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BE456" w14:textId="01C7FB9D" w:rsidR="00C26731" w:rsidRDefault="001C5DD1" w:rsidP="00760AF0">
      <w:pPr>
        <w:tabs>
          <w:tab w:val="left" w:pos="4680"/>
        </w:tabs>
        <w:rPr>
          <w:rFonts w:ascii="Franklin Gothic Book" w:hAnsi="Franklin Gothic Book" w:cs="Times New Roman"/>
          <w:sz w:val="22"/>
          <w:szCs w:val="22"/>
        </w:rPr>
      </w:pPr>
      <w:bookmarkStart w:id="0" w:name="_GoBack"/>
      <w:bookmarkEnd w:id="0"/>
      <w:r>
        <w:rPr>
          <w:noProof/>
        </w:rPr>
        <w:drawing>
          <wp:inline distT="0" distB="0" distL="0" distR="0" wp14:anchorId="11D40A1C" wp14:editId="144BE318">
            <wp:extent cx="4876800" cy="1327053"/>
            <wp:effectExtent l="0" t="0" r="0" b="6985"/>
            <wp:docPr id="2050" name="Picture 2050" descr="Commonwealth of Massachusetts Health Policy Commission letterhead&#10;50 Milk Street, 8th FLoor&#10;Bosoton, Massachusetts 02109&#10;(617)-979-1400&#10;&#10;Stuart H. Altman, Chair&#10;David M. Seltz, Executive Director" title="Commonwealth of Massachusetts Health Policy Commission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050" descr="Text, timelin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4866" cy="1331969"/>
                    </a:xfrm>
                    <a:prstGeom prst="rect">
                      <a:avLst/>
                    </a:prstGeom>
                  </pic:spPr>
                </pic:pic>
              </a:graphicData>
            </a:graphic>
          </wp:inline>
        </w:drawing>
      </w:r>
    </w:p>
    <w:p w14:paraId="3090268C" w14:textId="2133B6D9" w:rsidR="00760AF0" w:rsidRPr="009C0C39" w:rsidRDefault="00760AF0" w:rsidP="00760AF0">
      <w:pPr>
        <w:tabs>
          <w:tab w:val="left" w:pos="4680"/>
        </w:tabs>
        <w:rPr>
          <w:rFonts w:ascii="Franklin Gothic Book" w:hAnsi="Franklin Gothic Book" w:cs="Times New Roman"/>
          <w:sz w:val="22"/>
          <w:szCs w:val="22"/>
        </w:rPr>
      </w:pPr>
      <w:r w:rsidRPr="009C0C39">
        <w:rPr>
          <w:rFonts w:ascii="Franklin Gothic Book" w:hAnsi="Franklin Gothic Book" w:cs="Times New Roman"/>
          <w:sz w:val="22"/>
          <w:szCs w:val="22"/>
        </w:rPr>
        <w:t>January 25, 2022</w:t>
      </w:r>
    </w:p>
    <w:p w14:paraId="252390CB" w14:textId="77777777" w:rsidR="00760AF0" w:rsidRPr="009C0C39" w:rsidRDefault="00760AF0" w:rsidP="00760AF0">
      <w:pPr>
        <w:rPr>
          <w:rFonts w:ascii="Franklin Gothic Book" w:hAnsi="Franklin Gothic Book" w:cs="Times New Roman"/>
          <w:sz w:val="22"/>
          <w:szCs w:val="22"/>
        </w:rPr>
      </w:pPr>
    </w:p>
    <w:p w14:paraId="60767D9B" w14:textId="77777777" w:rsidR="00760AF0" w:rsidRPr="009C0C39" w:rsidRDefault="00760AF0" w:rsidP="00760AF0">
      <w:pPr>
        <w:rPr>
          <w:rFonts w:ascii="Franklin Gothic Book" w:hAnsi="Franklin Gothic Book" w:cs="Times New Roman"/>
          <w:b/>
          <w:bCs/>
          <w:i/>
          <w:iCs/>
          <w:sz w:val="22"/>
          <w:szCs w:val="22"/>
        </w:rPr>
      </w:pPr>
      <w:r w:rsidRPr="009C0C39">
        <w:rPr>
          <w:rFonts w:ascii="Franklin Gothic Book" w:hAnsi="Franklin Gothic Book" w:cs="Times New Roman"/>
          <w:b/>
          <w:bCs/>
          <w:i/>
          <w:iCs/>
          <w:sz w:val="22"/>
          <w:szCs w:val="22"/>
        </w:rPr>
        <w:t>Via Email and First Class Mail</w:t>
      </w:r>
    </w:p>
    <w:p w14:paraId="3CBD968D" w14:textId="77777777" w:rsidR="00760AF0" w:rsidRPr="009C0C39" w:rsidRDefault="00760AF0" w:rsidP="00760AF0">
      <w:pPr>
        <w:rPr>
          <w:rFonts w:ascii="Franklin Gothic Book" w:hAnsi="Franklin Gothic Book" w:cs="Times New Roman"/>
          <w:sz w:val="22"/>
          <w:szCs w:val="22"/>
        </w:rPr>
      </w:pPr>
      <w:r w:rsidRPr="009C0C39">
        <w:rPr>
          <w:rFonts w:ascii="Franklin Gothic Book" w:hAnsi="Franklin Gothic Book" w:cs="Times New Roman"/>
          <w:sz w:val="22"/>
          <w:szCs w:val="22"/>
        </w:rPr>
        <w:t>Lara Szent-Gyorgi, MPA</w:t>
      </w:r>
    </w:p>
    <w:p w14:paraId="504560A2" w14:textId="77777777" w:rsidR="00760AF0" w:rsidRPr="009C0C39" w:rsidRDefault="00760AF0" w:rsidP="00760AF0">
      <w:pPr>
        <w:rPr>
          <w:rFonts w:ascii="Franklin Gothic Book" w:hAnsi="Franklin Gothic Book" w:cs="Times New Roman"/>
          <w:sz w:val="22"/>
          <w:szCs w:val="22"/>
        </w:rPr>
      </w:pPr>
      <w:r w:rsidRPr="009C0C39">
        <w:rPr>
          <w:rFonts w:ascii="Franklin Gothic Book" w:hAnsi="Franklin Gothic Book" w:cs="Times New Roman"/>
          <w:sz w:val="22"/>
          <w:szCs w:val="22"/>
        </w:rPr>
        <w:t>Director, Determination of Need Program</w:t>
      </w:r>
    </w:p>
    <w:p w14:paraId="109916A6" w14:textId="77777777" w:rsidR="00760AF0" w:rsidRPr="009C0C39" w:rsidRDefault="00760AF0" w:rsidP="00760AF0">
      <w:pPr>
        <w:rPr>
          <w:rFonts w:ascii="Franklin Gothic Book" w:hAnsi="Franklin Gothic Book" w:cs="Times New Roman"/>
          <w:sz w:val="22"/>
          <w:szCs w:val="22"/>
        </w:rPr>
      </w:pPr>
      <w:r w:rsidRPr="009C0C39">
        <w:rPr>
          <w:rFonts w:ascii="Franklin Gothic Book" w:hAnsi="Franklin Gothic Book" w:cs="Times New Roman"/>
          <w:sz w:val="22"/>
          <w:szCs w:val="22"/>
        </w:rPr>
        <w:t>Massachusetts Department of Public Health</w:t>
      </w:r>
    </w:p>
    <w:p w14:paraId="5C069214" w14:textId="77777777" w:rsidR="00760AF0" w:rsidRPr="009C0C39" w:rsidRDefault="00760AF0" w:rsidP="00760AF0">
      <w:pPr>
        <w:rPr>
          <w:rFonts w:ascii="Franklin Gothic Book" w:hAnsi="Franklin Gothic Book" w:cs="Times New Roman"/>
          <w:sz w:val="22"/>
          <w:szCs w:val="22"/>
        </w:rPr>
      </w:pPr>
      <w:r w:rsidRPr="009C0C39">
        <w:rPr>
          <w:rFonts w:ascii="Franklin Gothic Book" w:hAnsi="Franklin Gothic Book" w:cs="Times New Roman"/>
          <w:sz w:val="22"/>
          <w:szCs w:val="22"/>
        </w:rPr>
        <w:t>67 Forest Street</w:t>
      </w:r>
    </w:p>
    <w:p w14:paraId="031EF6D1" w14:textId="77777777" w:rsidR="00760AF0" w:rsidRPr="009C0C39" w:rsidRDefault="00760AF0" w:rsidP="00760AF0">
      <w:pPr>
        <w:rPr>
          <w:rFonts w:ascii="Franklin Gothic Book" w:hAnsi="Franklin Gothic Book" w:cs="Times New Roman"/>
          <w:sz w:val="22"/>
          <w:szCs w:val="22"/>
        </w:rPr>
      </w:pPr>
      <w:r w:rsidRPr="009C0C39">
        <w:rPr>
          <w:rFonts w:ascii="Franklin Gothic Book" w:hAnsi="Franklin Gothic Book" w:cs="Times New Roman"/>
          <w:sz w:val="22"/>
          <w:szCs w:val="22"/>
        </w:rPr>
        <w:t>Marlborough, MA 01752</w:t>
      </w:r>
    </w:p>
    <w:p w14:paraId="55EF5277" w14:textId="77777777" w:rsidR="00760AF0" w:rsidRPr="009C0C39" w:rsidRDefault="00760AF0" w:rsidP="00760AF0">
      <w:pPr>
        <w:rPr>
          <w:rFonts w:ascii="Franklin Gothic Book" w:hAnsi="Franklin Gothic Book" w:cs="Times New Roman"/>
          <w:sz w:val="22"/>
          <w:szCs w:val="22"/>
        </w:rPr>
      </w:pPr>
    </w:p>
    <w:p w14:paraId="593B9552" w14:textId="77777777" w:rsidR="00760AF0" w:rsidRPr="009C0C39" w:rsidRDefault="00760AF0" w:rsidP="00760AF0">
      <w:pPr>
        <w:ind w:left="540" w:hanging="540"/>
        <w:rPr>
          <w:rFonts w:ascii="Franklin Gothic Book" w:hAnsi="Franklin Gothic Book" w:cs="Times New Roman"/>
          <w:i/>
          <w:iCs/>
          <w:sz w:val="22"/>
          <w:szCs w:val="22"/>
        </w:rPr>
      </w:pPr>
      <w:r w:rsidRPr="009C0C39">
        <w:rPr>
          <w:rFonts w:ascii="Franklin Gothic Book" w:hAnsi="Franklin Gothic Book" w:cs="Times New Roman"/>
          <w:sz w:val="22"/>
          <w:szCs w:val="22"/>
        </w:rPr>
        <w:t>Re:</w:t>
      </w:r>
      <w:r w:rsidRPr="009C0C39">
        <w:rPr>
          <w:rFonts w:ascii="Franklin Gothic Book" w:hAnsi="Franklin Gothic Book" w:cs="Times New Roman"/>
          <w:sz w:val="22"/>
          <w:szCs w:val="22"/>
        </w:rPr>
        <w:tab/>
      </w:r>
      <w:r w:rsidRPr="009C0C39">
        <w:rPr>
          <w:rFonts w:ascii="Franklin Gothic Book" w:hAnsi="Franklin Gothic Book" w:cs="Times New Roman"/>
          <w:i/>
          <w:iCs/>
          <w:sz w:val="22"/>
          <w:szCs w:val="22"/>
        </w:rPr>
        <w:t>Mass General Brigham Incorporated Determination of Need Applications - Massachusetts General Hospital # MGB-20121612-HE, Brigham and Women’s Faulkner Hospital # MGB-20121716-HE, and Multisite # Multisite-21012113-AS Independent Cost-Analysis Comment</w:t>
      </w:r>
    </w:p>
    <w:p w14:paraId="5DDC3F75" w14:textId="77777777" w:rsidR="00760AF0" w:rsidRPr="009C0C39" w:rsidRDefault="00760AF0" w:rsidP="00760AF0">
      <w:pPr>
        <w:ind w:left="540" w:hanging="540"/>
        <w:rPr>
          <w:rFonts w:ascii="Franklin Gothic Book" w:hAnsi="Franklin Gothic Book" w:cs="Times New Roman"/>
          <w:i/>
          <w:iCs/>
          <w:sz w:val="22"/>
          <w:szCs w:val="22"/>
        </w:rPr>
      </w:pPr>
    </w:p>
    <w:p w14:paraId="657B4F15" w14:textId="77777777" w:rsidR="00760AF0" w:rsidRPr="009C0C39" w:rsidRDefault="00760AF0" w:rsidP="00760AF0">
      <w:pPr>
        <w:rPr>
          <w:rFonts w:ascii="Franklin Gothic Book" w:hAnsi="Franklin Gothic Book" w:cs="Times New Roman"/>
          <w:sz w:val="22"/>
          <w:szCs w:val="22"/>
        </w:rPr>
      </w:pPr>
      <w:r w:rsidRPr="009C0C39">
        <w:rPr>
          <w:rFonts w:ascii="Franklin Gothic Book" w:hAnsi="Franklin Gothic Book" w:cs="Times New Roman"/>
          <w:sz w:val="22"/>
          <w:szCs w:val="22"/>
        </w:rPr>
        <w:t xml:space="preserve">Dear Ms. Szent-Gyorgi: </w:t>
      </w:r>
    </w:p>
    <w:p w14:paraId="4695C1D4" w14:textId="77777777" w:rsidR="00760AF0" w:rsidRPr="009C0C39" w:rsidRDefault="00760AF0" w:rsidP="00760AF0">
      <w:pPr>
        <w:rPr>
          <w:rFonts w:ascii="Franklin Gothic Book" w:hAnsi="Franklin Gothic Book" w:cs="Times New Roman"/>
          <w:sz w:val="22"/>
          <w:szCs w:val="22"/>
        </w:rPr>
      </w:pPr>
    </w:p>
    <w:p w14:paraId="7A39BCC0" w14:textId="75B5E0B4" w:rsidR="00760AF0" w:rsidRPr="009C0C39" w:rsidRDefault="00760AF0" w:rsidP="00760AF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Pursuant to </w:t>
      </w:r>
      <w:r w:rsidRPr="009C0C39">
        <w:rPr>
          <w:rFonts w:ascii="Franklin Gothic Book" w:hAnsi="Franklin Gothic Book" w:cs="Times New Roman"/>
          <w:smallCaps/>
          <w:sz w:val="22"/>
          <w:szCs w:val="22"/>
        </w:rPr>
        <w:t>Mass. Gen. Laws</w:t>
      </w:r>
      <w:r w:rsidRPr="009C0C39">
        <w:rPr>
          <w:rFonts w:ascii="Franklin Gothic Book" w:hAnsi="Franklin Gothic Book" w:cs="Times New Roman"/>
          <w:sz w:val="22"/>
          <w:szCs w:val="22"/>
        </w:rPr>
        <w:t xml:space="preserve"> ch.111, § 25C(g) and (i) and the Department of Public Health’s (DPH) regulations at 105 CMR 100.405(D), the Health Policy Commission (HPC) submits the following comment regarding the above-referenced matters and the independent cost-analyses (ICAs) thereof for consideration by DPH and the applicant, Mass General Brigham</w:t>
      </w:r>
      <w:r w:rsidR="00F041DF" w:rsidRPr="009C0C39">
        <w:rPr>
          <w:rFonts w:ascii="Franklin Gothic Book" w:hAnsi="Franklin Gothic Book" w:cs="Times New Roman"/>
          <w:sz w:val="22"/>
          <w:szCs w:val="22"/>
        </w:rPr>
        <w:t xml:space="preserve"> (MGB)</w:t>
      </w:r>
      <w:r w:rsidRPr="009C0C39">
        <w:rPr>
          <w:rFonts w:ascii="Franklin Gothic Book" w:hAnsi="Franklin Gothic Book" w:cs="Times New Roman"/>
          <w:sz w:val="22"/>
          <w:szCs w:val="22"/>
        </w:rPr>
        <w:t xml:space="preserve">. </w:t>
      </w:r>
    </w:p>
    <w:p w14:paraId="20017609" w14:textId="77777777" w:rsidR="00760AF0" w:rsidRPr="009C0C39" w:rsidRDefault="00760AF0" w:rsidP="00760AF0">
      <w:pPr>
        <w:pStyle w:val="CommentText"/>
        <w:ind w:firstLine="720"/>
        <w:rPr>
          <w:rFonts w:ascii="Franklin Gothic Book" w:hAnsi="Franklin Gothic Book" w:cs="Times New Roman"/>
          <w:sz w:val="22"/>
          <w:szCs w:val="22"/>
        </w:rPr>
      </w:pPr>
    </w:p>
    <w:p w14:paraId="731A0139" w14:textId="5CCCF953" w:rsidR="00760AF0" w:rsidRPr="009C0C39" w:rsidRDefault="00760AF0" w:rsidP="00760AF0">
      <w:pPr>
        <w:pStyle w:val="CommentText"/>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has elected to exercise its authority to comment on the three above-referenced applications and the ICAs thereof based on (1) results of HPC analyses showing that the above-referenced applications are likely to increase Massachusetts health care spending</w:t>
      </w:r>
      <w:r w:rsidR="0033415A" w:rsidRPr="009C0C39">
        <w:rPr>
          <w:rFonts w:ascii="Franklin Gothic Book" w:hAnsi="Franklin Gothic Book" w:cs="Times New Roman"/>
          <w:sz w:val="22"/>
          <w:szCs w:val="22"/>
        </w:rPr>
        <w:t>, result in increased commercial insurance premiums,</w:t>
      </w:r>
      <w:r w:rsidRPr="009C0C39">
        <w:rPr>
          <w:rFonts w:ascii="Franklin Gothic Book" w:hAnsi="Franklin Gothic Book" w:cs="Times New Roman"/>
          <w:sz w:val="22"/>
          <w:szCs w:val="22"/>
        </w:rPr>
        <w:t xml:space="preserve"> and impair market functioning in a manner inconsistent with the Commonwealth’s goals for cost containment, including impacts to health </w:t>
      </w:r>
      <w:r w:rsidR="008E455C">
        <w:rPr>
          <w:rFonts w:ascii="Franklin Gothic Book" w:hAnsi="Franklin Gothic Book" w:cs="Times New Roman"/>
          <w:sz w:val="22"/>
          <w:szCs w:val="22"/>
        </w:rPr>
        <w:t xml:space="preserve">care </w:t>
      </w:r>
      <w:r w:rsidRPr="009C0C39">
        <w:rPr>
          <w:rFonts w:ascii="Franklin Gothic Book" w:hAnsi="Franklin Gothic Book" w:cs="Times New Roman"/>
          <w:sz w:val="22"/>
          <w:szCs w:val="22"/>
        </w:rPr>
        <w:t>access and equity, and (2) the HPC’s determination that it can provide analyses of these impacts that may aid DPH in its review of all relevant factors for approval of the applications.</w:t>
      </w:r>
      <w:r w:rsidR="00835D3E">
        <w:rPr>
          <w:rFonts w:ascii="Franklin Gothic Book" w:hAnsi="Franklin Gothic Book" w:cs="Times New Roman"/>
          <w:sz w:val="22"/>
          <w:szCs w:val="22"/>
        </w:rPr>
        <w:t xml:space="preserve"> </w:t>
      </w:r>
    </w:p>
    <w:p w14:paraId="47ADCC43" w14:textId="77777777" w:rsidR="00760AF0" w:rsidRPr="009C0C39" w:rsidRDefault="00760AF0" w:rsidP="00760AF0">
      <w:pPr>
        <w:ind w:firstLine="720"/>
        <w:rPr>
          <w:rFonts w:ascii="Franklin Gothic Book" w:hAnsi="Franklin Gothic Book" w:cs="Times New Roman"/>
          <w:sz w:val="22"/>
          <w:szCs w:val="22"/>
        </w:rPr>
      </w:pPr>
    </w:p>
    <w:p w14:paraId="7181F72F" w14:textId="5BE2CDDD" w:rsidR="00760AF0" w:rsidRPr="009C0C39" w:rsidRDefault="00760AF0" w:rsidP="00760AF0">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Specifically, and as further detailed in the attached comment, the HPC’s analyses show that the above-referenced proposals are</w:t>
      </w:r>
      <w:r w:rsidR="007B6279" w:rsidRPr="009C0C39">
        <w:rPr>
          <w:rFonts w:ascii="Franklin Gothic Book" w:hAnsi="Franklin Gothic Book" w:cs="Times New Roman"/>
          <w:sz w:val="22"/>
          <w:szCs w:val="22"/>
        </w:rPr>
        <w:t xml:space="preserve"> likely to</w:t>
      </w:r>
      <w:r w:rsidRPr="009C0C39">
        <w:rPr>
          <w:rFonts w:ascii="Franklin Gothic Book" w:hAnsi="Franklin Gothic Book" w:cs="Times New Roman"/>
          <w:sz w:val="22"/>
          <w:szCs w:val="22"/>
        </w:rPr>
        <w:t>:</w:t>
      </w:r>
    </w:p>
    <w:p w14:paraId="25348A73" w14:textId="6B670D8E" w:rsidR="00AC22BF" w:rsidRPr="00AC22BF" w:rsidRDefault="00AC22BF" w:rsidP="00AC22BF">
      <w:pPr>
        <w:numPr>
          <w:ilvl w:val="0"/>
          <w:numId w:val="44"/>
        </w:numPr>
        <w:rPr>
          <w:rFonts w:ascii="Franklin Gothic Book" w:eastAsia="Times New Roman" w:hAnsi="Franklin Gothic Book" w:cs="Times New Roman"/>
          <w:sz w:val="22"/>
          <w:szCs w:val="22"/>
        </w:rPr>
      </w:pPr>
      <w:r w:rsidRPr="00AC22BF">
        <w:rPr>
          <w:rFonts w:ascii="Franklin Gothic Book" w:eastAsia="Times New Roman" w:hAnsi="Franklin Gothic Book" w:cs="Times New Roman"/>
          <w:sz w:val="22"/>
          <w:szCs w:val="22"/>
        </w:rPr>
        <w:t xml:space="preserve">Result in increased health care spending, likely $46.0 million to $90.1 million for the three projects per year for commercially insured patients, with approximately $9.3 </w:t>
      </w:r>
      <w:r w:rsidR="008E455C">
        <w:rPr>
          <w:rFonts w:ascii="Franklin Gothic Book" w:eastAsia="Times New Roman" w:hAnsi="Franklin Gothic Book" w:cs="Times New Roman"/>
          <w:sz w:val="22"/>
          <w:szCs w:val="22"/>
        </w:rPr>
        <w:t xml:space="preserve">million </w:t>
      </w:r>
      <w:r w:rsidRPr="00AC22BF">
        <w:rPr>
          <w:rFonts w:ascii="Franklin Gothic Book" w:eastAsia="Times New Roman" w:hAnsi="Franklin Gothic Book" w:cs="Times New Roman"/>
          <w:sz w:val="22"/>
          <w:szCs w:val="22"/>
        </w:rPr>
        <w:t xml:space="preserve">to $27.9 million due to the proposed ambulatory expansion, $6.4 </w:t>
      </w:r>
      <w:r w:rsidR="008E455C">
        <w:rPr>
          <w:rFonts w:ascii="Franklin Gothic Book" w:eastAsia="Times New Roman" w:hAnsi="Franklin Gothic Book" w:cs="Times New Roman"/>
          <w:sz w:val="22"/>
          <w:szCs w:val="22"/>
        </w:rPr>
        <w:t xml:space="preserve">million </w:t>
      </w:r>
      <w:r w:rsidRPr="00AC22BF">
        <w:rPr>
          <w:rFonts w:ascii="Franklin Gothic Book" w:eastAsia="Times New Roman" w:hAnsi="Franklin Gothic Book" w:cs="Times New Roman"/>
          <w:sz w:val="22"/>
          <w:szCs w:val="22"/>
        </w:rPr>
        <w:t xml:space="preserve">to $7.9 million due to the proposed Faulkner Hospital expansion, and $30.3 </w:t>
      </w:r>
      <w:r w:rsidR="008E455C">
        <w:rPr>
          <w:rFonts w:ascii="Franklin Gothic Book" w:eastAsia="Times New Roman" w:hAnsi="Franklin Gothic Book" w:cs="Times New Roman"/>
          <w:sz w:val="22"/>
          <w:szCs w:val="22"/>
        </w:rPr>
        <w:t xml:space="preserve">million </w:t>
      </w:r>
      <w:r w:rsidRPr="00AC22BF">
        <w:rPr>
          <w:rFonts w:ascii="Franklin Gothic Book" w:eastAsia="Times New Roman" w:hAnsi="Franklin Gothic Book" w:cs="Times New Roman"/>
          <w:sz w:val="22"/>
          <w:szCs w:val="22"/>
        </w:rPr>
        <w:t xml:space="preserve">to $54.4 million due to the proposed Mass General Hospital expansion, based on conservative projections for the subset of potential spending drivers that the HPC was able to quantify with available data and information; </w:t>
      </w:r>
    </w:p>
    <w:p w14:paraId="61D3FFC2" w14:textId="6DF5ADAB" w:rsidR="00AC22BF" w:rsidRPr="00AC22BF" w:rsidRDefault="00AC22BF" w:rsidP="00AC22BF">
      <w:pPr>
        <w:numPr>
          <w:ilvl w:val="0"/>
          <w:numId w:val="44"/>
        </w:numPr>
        <w:rPr>
          <w:rFonts w:ascii="Franklin Gothic Book" w:eastAsia="Times New Roman" w:hAnsi="Franklin Gothic Book" w:cs="Times New Roman"/>
          <w:sz w:val="22"/>
          <w:szCs w:val="22"/>
        </w:rPr>
      </w:pPr>
      <w:r w:rsidRPr="00AC22BF">
        <w:rPr>
          <w:rFonts w:ascii="Franklin Gothic Book" w:eastAsia="Times New Roman" w:hAnsi="Franklin Gothic Book" w:cs="Times New Roman"/>
          <w:sz w:val="22"/>
          <w:szCs w:val="22"/>
        </w:rPr>
        <w:t>Drive substantial patient volume and revenue to the higher-cost MGB system, particularly commercially insured volume, and likely away from other lower-cost providers; and</w:t>
      </w:r>
    </w:p>
    <w:p w14:paraId="1DF74970" w14:textId="73A40568" w:rsidR="008E455C" w:rsidRDefault="00AC22BF" w:rsidP="00AC22BF">
      <w:pPr>
        <w:numPr>
          <w:ilvl w:val="0"/>
          <w:numId w:val="44"/>
        </w:numPr>
        <w:rPr>
          <w:rFonts w:ascii="Franklin Gothic Book" w:eastAsia="Times New Roman" w:hAnsi="Franklin Gothic Book" w:cs="Times New Roman"/>
          <w:sz w:val="22"/>
          <w:szCs w:val="22"/>
        </w:rPr>
      </w:pPr>
      <w:r w:rsidRPr="00AC22BF">
        <w:rPr>
          <w:rFonts w:ascii="Franklin Gothic Book" w:eastAsia="Times New Roman" w:hAnsi="Franklin Gothic Book" w:cs="Times New Roman"/>
          <w:sz w:val="22"/>
          <w:szCs w:val="22"/>
        </w:rPr>
        <w:t xml:space="preserve">Negatively impact market functioning, including health care access and equity, as a substantial amount of the commercial revenue mentioned above is likely to shift to MGB and away from other provider systems that have fewer financial resources, lower average prices </w:t>
      </w:r>
    </w:p>
    <w:p w14:paraId="49BB5F07" w14:textId="1B2AB5E4" w:rsidR="008E455C" w:rsidRDefault="00271EE7" w:rsidP="00613047">
      <w:pPr>
        <w:ind w:left="720"/>
        <w:rPr>
          <w:rFonts w:ascii="Franklin Gothic Book" w:eastAsia="Times New Roman" w:hAnsi="Franklin Gothic Book" w:cs="Times New Roman"/>
          <w:sz w:val="22"/>
          <w:szCs w:val="22"/>
        </w:rPr>
      </w:pPr>
      <w:r>
        <w:rPr>
          <w:noProof/>
        </w:rPr>
        <w:lastRenderedPageBreak/>
        <w:drawing>
          <wp:inline distT="0" distB="0" distL="0" distR="0" wp14:anchorId="73B384DE" wp14:editId="4591799F">
            <wp:extent cx="4171950" cy="1135252"/>
            <wp:effectExtent l="0" t="0" r="0" b="8255"/>
            <wp:docPr id="2051" name="Picture 2051" descr="Commonwealth of Massachusetts Health Policy Commission letterhead&#10;50 Milk Street, 8th FLoor&#10;Bosoton, Massachusetts 02109&#10;(617)-979-1400&#10;&#10;Stuart H. Altman, Chair&#10;David M. Seltz, Executive Director" title="Commonwealth of Massachusetts Health Policy Commission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050" descr="Text, time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9127" cy="1142647"/>
                    </a:xfrm>
                    <a:prstGeom prst="rect">
                      <a:avLst/>
                    </a:prstGeom>
                  </pic:spPr>
                </pic:pic>
              </a:graphicData>
            </a:graphic>
          </wp:inline>
        </w:drawing>
      </w:r>
    </w:p>
    <w:p w14:paraId="39B9AF84" w14:textId="4AE291A1" w:rsidR="008E455C" w:rsidRDefault="00AC22BF" w:rsidP="008E455C">
      <w:pPr>
        <w:ind w:left="720"/>
        <w:rPr>
          <w:rFonts w:ascii="Franklin Gothic Book" w:hAnsi="Franklin Gothic Book" w:cs="Times New Roman"/>
          <w:sz w:val="22"/>
          <w:szCs w:val="22"/>
        </w:rPr>
      </w:pPr>
      <w:r w:rsidRPr="00AC22BF">
        <w:rPr>
          <w:rFonts w:ascii="Franklin Gothic Book" w:eastAsia="Times New Roman" w:hAnsi="Franklin Gothic Book" w:cs="Times New Roman"/>
          <w:sz w:val="22"/>
          <w:szCs w:val="22"/>
        </w:rPr>
        <w:t xml:space="preserve">for commercial patients, and generally serve larger proportions of MassHealth patients and communities with higher indicia of social need. </w:t>
      </w:r>
    </w:p>
    <w:p w14:paraId="5D6C08AA" w14:textId="77777777" w:rsidR="008E455C" w:rsidRDefault="008E455C" w:rsidP="008E455C">
      <w:pPr>
        <w:ind w:firstLine="720"/>
        <w:rPr>
          <w:rFonts w:ascii="Franklin Gothic Book" w:hAnsi="Franklin Gothic Book" w:cs="Times New Roman"/>
          <w:sz w:val="22"/>
          <w:szCs w:val="22"/>
        </w:rPr>
      </w:pPr>
    </w:p>
    <w:p w14:paraId="4770D5C1" w14:textId="03B1C672" w:rsidR="00760AF0" w:rsidRDefault="00760AF0" w:rsidP="008E455C">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Due to the interrelatedness of the applications—all three filed by MGB on the same date, citing similar rationales, and described by the applicant as part of a “system-wide strategy”—the HPC is filing one document that describes analyses in common across the three applications (e.g. the background of the applicant and its position in the market), but which also discusses the impacts of each project individually where such impacts are easily divisible. </w:t>
      </w:r>
    </w:p>
    <w:p w14:paraId="5616B384" w14:textId="77777777" w:rsidR="008E455C" w:rsidRPr="009C0C39" w:rsidRDefault="008E455C" w:rsidP="008E455C">
      <w:pPr>
        <w:ind w:firstLine="720"/>
        <w:rPr>
          <w:rFonts w:ascii="Franklin Gothic Book" w:hAnsi="Franklin Gothic Book" w:cs="Times New Roman"/>
          <w:sz w:val="22"/>
          <w:szCs w:val="22"/>
        </w:rPr>
      </w:pPr>
    </w:p>
    <w:p w14:paraId="4EC52B39" w14:textId="77777777" w:rsidR="00760AF0" w:rsidRPr="009C0C39" w:rsidRDefault="00760AF0" w:rsidP="00760AF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We hope that this comment provides important and relevant factual context for the consideration of DPH and Mass General Brigham in this process. </w:t>
      </w:r>
    </w:p>
    <w:p w14:paraId="7D1808F0" w14:textId="77777777" w:rsidR="00760AF0" w:rsidRPr="009C0C39" w:rsidRDefault="00760AF0" w:rsidP="00760AF0">
      <w:pPr>
        <w:rPr>
          <w:rFonts w:ascii="Franklin Gothic Book" w:hAnsi="Franklin Gothic Book" w:cs="Times New Roman"/>
          <w:sz w:val="22"/>
          <w:szCs w:val="22"/>
        </w:rPr>
      </w:pPr>
    </w:p>
    <w:p w14:paraId="744AFBAC" w14:textId="090B2C12" w:rsidR="00760AF0" w:rsidRPr="009C0C39" w:rsidRDefault="00760AF0" w:rsidP="009C0C39">
      <w:pPr>
        <w:ind w:left="4680"/>
        <w:rPr>
          <w:rFonts w:ascii="Franklin Gothic Book" w:hAnsi="Franklin Gothic Book" w:cs="Times New Roman"/>
          <w:sz w:val="22"/>
          <w:szCs w:val="22"/>
        </w:rPr>
      </w:pPr>
      <w:r w:rsidRPr="009C0C39">
        <w:rPr>
          <w:rFonts w:ascii="Franklin Gothic Book" w:hAnsi="Franklin Gothic Book" w:cs="Times New Roman"/>
          <w:sz w:val="22"/>
          <w:szCs w:val="22"/>
        </w:rPr>
        <w:t>Sincerely,</w:t>
      </w:r>
    </w:p>
    <w:p w14:paraId="7BA5EE57" w14:textId="57D57CDB" w:rsidR="00760AF0" w:rsidRDefault="00760AF0" w:rsidP="00760AF0">
      <w:pPr>
        <w:ind w:left="4680"/>
        <w:rPr>
          <w:rFonts w:ascii="Franklin Gothic Book" w:hAnsi="Franklin Gothic Book" w:cs="Times New Roman"/>
          <w:sz w:val="22"/>
          <w:szCs w:val="22"/>
        </w:rPr>
      </w:pPr>
    </w:p>
    <w:p w14:paraId="3423B021" w14:textId="62801E32" w:rsidR="001252E6" w:rsidRDefault="00271EE7" w:rsidP="00760AF0">
      <w:pPr>
        <w:ind w:left="4680"/>
        <w:rPr>
          <w:noProof/>
        </w:rPr>
      </w:pPr>
      <w:r>
        <w:rPr>
          <w:noProof/>
        </w:rPr>
        <w:t>&lt;signature on file&gt;</w:t>
      </w:r>
    </w:p>
    <w:p w14:paraId="68135C1F" w14:textId="77777777" w:rsidR="00271EE7" w:rsidRPr="009C0C39" w:rsidRDefault="00271EE7" w:rsidP="00760AF0">
      <w:pPr>
        <w:ind w:left="4680"/>
        <w:rPr>
          <w:rFonts w:ascii="Franklin Gothic Book" w:hAnsi="Franklin Gothic Book" w:cs="Times New Roman"/>
          <w:sz w:val="22"/>
          <w:szCs w:val="22"/>
        </w:rPr>
      </w:pPr>
    </w:p>
    <w:p w14:paraId="27B57F5C" w14:textId="77777777" w:rsidR="00760AF0" w:rsidRPr="009C0C39" w:rsidRDefault="00760AF0" w:rsidP="00760AF0">
      <w:pPr>
        <w:ind w:left="4680"/>
        <w:rPr>
          <w:rFonts w:ascii="Franklin Gothic Book" w:hAnsi="Franklin Gothic Book" w:cs="Times New Roman"/>
          <w:sz w:val="22"/>
          <w:szCs w:val="22"/>
        </w:rPr>
      </w:pPr>
      <w:r w:rsidRPr="009C0C39">
        <w:rPr>
          <w:rFonts w:ascii="Franklin Gothic Book" w:hAnsi="Franklin Gothic Book" w:cs="Times New Roman"/>
          <w:sz w:val="22"/>
          <w:szCs w:val="22"/>
        </w:rPr>
        <w:t>Dr. Stuart Altman</w:t>
      </w:r>
    </w:p>
    <w:p w14:paraId="30D0AED2" w14:textId="29A08447" w:rsidR="009C0C39" w:rsidRPr="002C0CED" w:rsidRDefault="00760AF0" w:rsidP="002C0CED">
      <w:pPr>
        <w:ind w:left="4680"/>
        <w:rPr>
          <w:rFonts w:ascii="Franklin Gothic Book" w:hAnsi="Franklin Gothic Book" w:cs="Times New Roman"/>
          <w:sz w:val="22"/>
          <w:szCs w:val="22"/>
        </w:rPr>
        <w:sectPr w:rsidR="009C0C39" w:rsidRPr="002C0CED" w:rsidSect="00AB4B98">
          <w:footerReference w:type="default" r:id="rId10"/>
          <w:pgSz w:w="12240" w:h="15840"/>
          <w:pgMar w:top="1440" w:right="1440" w:bottom="1008" w:left="1440" w:header="720" w:footer="720" w:gutter="0"/>
          <w:cols w:space="720"/>
          <w:docGrid w:linePitch="360"/>
        </w:sectPr>
      </w:pPr>
      <w:r w:rsidRPr="009C0C39">
        <w:rPr>
          <w:rFonts w:ascii="Franklin Gothic Book" w:hAnsi="Franklin Gothic Book" w:cs="Times New Roman"/>
          <w:sz w:val="22"/>
          <w:szCs w:val="22"/>
        </w:rPr>
        <w:t xml:space="preserve">Chair </w:t>
      </w:r>
    </w:p>
    <w:p w14:paraId="2C2C9193" w14:textId="4A949700" w:rsidR="00760AF0" w:rsidRPr="009C0C39" w:rsidRDefault="00760AF0" w:rsidP="001C5DD1">
      <w:pPr>
        <w:pStyle w:val="Heading1"/>
        <w:spacing w:before="0"/>
      </w:pPr>
      <w:r w:rsidRPr="009C0C39">
        <w:lastRenderedPageBreak/>
        <w:t>Introduction</w:t>
      </w:r>
    </w:p>
    <w:p w14:paraId="44D97571" w14:textId="77777777" w:rsidR="00760AF0" w:rsidRPr="009C0C39" w:rsidRDefault="00760AF0" w:rsidP="00760AF0">
      <w:pPr>
        <w:rPr>
          <w:rFonts w:ascii="Franklin Gothic Book" w:eastAsia="Times New Roman" w:hAnsi="Franklin Gothic Book" w:cs="Times New Roman"/>
          <w:color w:val="FF0000"/>
          <w:sz w:val="22"/>
          <w:szCs w:val="22"/>
        </w:rPr>
      </w:pPr>
    </w:p>
    <w:p w14:paraId="657B3D00" w14:textId="7896FC21" w:rsidR="00760AF0" w:rsidRPr="009C0C39" w:rsidRDefault="00760AF0" w:rsidP="00760AF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Massachusetts has long been a leader in health care coverage, innovation</w:t>
      </w:r>
      <w:r w:rsidR="00857AEE"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and quality. However, the cost of health care has been, and remains, a profound challenge. In an effort to restrain rapidly increasing health care costs, Massachusetts passed comprehensive health care reform in 2012 (Chapter 224) and set a first-in-the-nation, statewide target for sustainable growth in total health care spending (3.6 percent for the first five years, lowered to 3.1 percent in 2018). Chapter 224 also established the independent Massachusetts Health Policy Commission (HPC) and charged it with setting goals for health care spending and developing policies to reduce overall cost growth while improving quality, including efforts to foster the </w:t>
      </w:r>
      <w:r w:rsidRPr="009C0C39">
        <w:rPr>
          <w:rFonts w:ascii="Franklin Gothic Book" w:hAnsi="Franklin Gothic Book" w:cs="Times New Roman"/>
          <w:color w:val="000000"/>
          <w:sz w:val="22"/>
          <w:szCs w:val="22"/>
        </w:rPr>
        <w:t>continued development of a competitive, value-based health care market while protecting patient access to necessary health care services and seeking to reduce health care disparities.</w:t>
      </w:r>
    </w:p>
    <w:p w14:paraId="43E017BE" w14:textId="77777777" w:rsidR="00760AF0" w:rsidRPr="009C0C39" w:rsidRDefault="00760AF0" w:rsidP="0016047E">
      <w:pPr>
        <w:ind w:firstLine="720"/>
        <w:rPr>
          <w:rFonts w:ascii="Franklin Gothic Book" w:hAnsi="Franklin Gothic Book" w:cs="Times New Roman"/>
          <w:sz w:val="22"/>
          <w:szCs w:val="22"/>
        </w:rPr>
      </w:pPr>
    </w:p>
    <w:p w14:paraId="06FBBFB3" w14:textId="4187F8BA" w:rsidR="00760AF0" w:rsidRPr="009C0C39" w:rsidRDefault="00760AF0" w:rsidP="00760AF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Because health care costs, quality, and access to services may be influenced by changes in the delivery system, Chapter 224 directs the HPC to monitor changes in our health care market; to provide objective, data-driven analyses of changes that have the potential to significantly impact health care costs or market functioning; and to thus increase public transparency and accountability for market changes that may impact health care costs, quality, and access. For provider changes that require the filing of a determination of need (DoN) application with the Department of Public Health (DPH), Chapter 224 provides that DPH may require an independent cost-analysis (ICA) to demonstrate that an application is “consistent with the commonwealth’s efforts to meet the health care cost-containment goals established by the [health policy] commission”, and </w:t>
      </w:r>
      <w:r w:rsidR="00F50260" w:rsidRPr="009C0C39">
        <w:rPr>
          <w:rFonts w:ascii="Franklin Gothic Book" w:hAnsi="Franklin Gothic Book" w:cs="Times New Roman"/>
          <w:sz w:val="22"/>
          <w:szCs w:val="22"/>
        </w:rPr>
        <w:t xml:space="preserve">the statute and </w:t>
      </w:r>
      <w:r w:rsidRPr="009C0C39">
        <w:rPr>
          <w:rFonts w:ascii="Franklin Gothic Book" w:hAnsi="Franklin Gothic Book" w:cs="Times New Roman"/>
          <w:sz w:val="22"/>
          <w:szCs w:val="22"/>
        </w:rPr>
        <w:t xml:space="preserve">DPH regulations provide that </w:t>
      </w:r>
      <w:r w:rsidR="00857AEE"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 xml:space="preserve">HPC may comment on </w:t>
      </w:r>
      <w:r w:rsidR="00F50260" w:rsidRPr="009C0C39">
        <w:rPr>
          <w:rFonts w:ascii="Franklin Gothic Book" w:hAnsi="Franklin Gothic Book" w:cs="Times New Roman"/>
          <w:sz w:val="22"/>
          <w:szCs w:val="22"/>
        </w:rPr>
        <w:t xml:space="preserve">any application and </w:t>
      </w:r>
      <w:r w:rsidRPr="009C0C39">
        <w:rPr>
          <w:rFonts w:ascii="Franklin Gothic Book" w:hAnsi="Franklin Gothic Book" w:cs="Times New Roman"/>
          <w:sz w:val="22"/>
          <w:szCs w:val="22"/>
        </w:rPr>
        <w:t>any such analysis.</w:t>
      </w:r>
      <w:r w:rsidRPr="009C0C39">
        <w:rPr>
          <w:rStyle w:val="FootnoteReference"/>
          <w:rFonts w:ascii="Franklin Gothic Book" w:hAnsi="Franklin Gothic Book" w:cs="Times New Roman"/>
          <w:sz w:val="22"/>
          <w:szCs w:val="22"/>
        </w:rPr>
        <w:footnoteReference w:id="2"/>
      </w:r>
      <w:r w:rsidRPr="009C0C39">
        <w:rPr>
          <w:rFonts w:ascii="Franklin Gothic Book" w:hAnsi="Franklin Gothic Book" w:cs="Times New Roman"/>
          <w:sz w:val="22"/>
          <w:szCs w:val="22"/>
          <w:vertAlign w:val="superscript"/>
        </w:rPr>
        <w:t xml:space="preserve"> </w:t>
      </w:r>
    </w:p>
    <w:p w14:paraId="02F5EA2E" w14:textId="77777777" w:rsidR="00760AF0" w:rsidRPr="009C0C39" w:rsidRDefault="00760AF0" w:rsidP="00760AF0">
      <w:pPr>
        <w:ind w:firstLine="720"/>
        <w:rPr>
          <w:rFonts w:ascii="Franklin Gothic Book" w:hAnsi="Franklin Gothic Book" w:cs="Times New Roman"/>
          <w:sz w:val="22"/>
          <w:szCs w:val="22"/>
        </w:rPr>
      </w:pPr>
    </w:p>
    <w:p w14:paraId="2F25AA5F" w14:textId="26820B96" w:rsidR="00760AF0" w:rsidRPr="009C0C39" w:rsidRDefault="00760AF0" w:rsidP="00760AF0">
      <w:pPr>
        <w:ind w:firstLine="720"/>
        <w:rPr>
          <w:rFonts w:ascii="Franklin Gothic Book" w:eastAsia="Times New Roman" w:hAnsi="Franklin Gothic Book" w:cs="Times New Roman"/>
          <w:sz w:val="22"/>
          <w:szCs w:val="22"/>
        </w:rPr>
      </w:pPr>
      <w:r w:rsidRPr="009C0C39">
        <w:rPr>
          <w:rFonts w:ascii="Franklin Gothic Book" w:hAnsi="Franklin Gothic Book" w:cs="Times New Roman"/>
          <w:sz w:val="22"/>
          <w:szCs w:val="22"/>
        </w:rPr>
        <w:t xml:space="preserve">The HPC conducts this work during a time in which both our health care system and our broader community are facing unprecedented challenges. </w:t>
      </w:r>
      <w:r w:rsidRPr="009C0C39">
        <w:rPr>
          <w:rFonts w:ascii="Franklin Gothic Book" w:eastAsia="Times New Roman" w:hAnsi="Franklin Gothic Book" w:cs="Times New Roman"/>
          <w:sz w:val="22"/>
          <w:szCs w:val="22"/>
        </w:rPr>
        <w:t>The COVID-19 pandemic has profoundly impacted the health care system, as well as all individuals, families</w:t>
      </w:r>
      <w:r w:rsidR="00857AEE" w:rsidRPr="009C0C39">
        <w:rPr>
          <w:rFonts w:ascii="Franklin Gothic Book" w:eastAsia="Times New Roman" w:hAnsi="Franklin Gothic Book" w:cs="Times New Roman"/>
          <w:sz w:val="22"/>
          <w:szCs w:val="22"/>
        </w:rPr>
        <w:t>,</w:t>
      </w:r>
      <w:r w:rsidRPr="009C0C39">
        <w:rPr>
          <w:rFonts w:ascii="Franklin Gothic Book" w:eastAsia="Times New Roman" w:hAnsi="Franklin Gothic Book" w:cs="Times New Roman"/>
          <w:sz w:val="22"/>
          <w:szCs w:val="22"/>
        </w:rPr>
        <w:t xml:space="preserve"> and businesses across the Commonwealth. At the same time, job losses and </w:t>
      </w:r>
      <w:r w:rsidR="00C41EA9">
        <w:rPr>
          <w:rFonts w:ascii="Franklin Gothic Book" w:eastAsia="Times New Roman" w:hAnsi="Franklin Gothic Book" w:cs="Times New Roman"/>
          <w:sz w:val="22"/>
          <w:szCs w:val="22"/>
        </w:rPr>
        <w:t>widespread</w:t>
      </w:r>
      <w:r w:rsidR="00C41EA9" w:rsidRPr="009C0C39">
        <w:rPr>
          <w:rFonts w:ascii="Franklin Gothic Book" w:eastAsia="Times New Roman" w:hAnsi="Franklin Gothic Book" w:cs="Times New Roman"/>
          <w:sz w:val="22"/>
          <w:szCs w:val="22"/>
        </w:rPr>
        <w:t xml:space="preserve"> </w:t>
      </w:r>
      <w:r w:rsidRPr="009C0C39">
        <w:rPr>
          <w:rFonts w:ascii="Franklin Gothic Book" w:eastAsia="Times New Roman" w:hAnsi="Franklin Gothic Book" w:cs="Times New Roman"/>
          <w:sz w:val="22"/>
          <w:szCs w:val="22"/>
        </w:rPr>
        <w:t xml:space="preserve">economic disruption from the pandemic </w:t>
      </w:r>
      <w:r w:rsidR="00C41EA9">
        <w:rPr>
          <w:rFonts w:ascii="Franklin Gothic Book" w:eastAsia="Times New Roman" w:hAnsi="Franklin Gothic Book" w:cs="Times New Roman"/>
          <w:sz w:val="22"/>
          <w:szCs w:val="22"/>
        </w:rPr>
        <w:t xml:space="preserve">have </w:t>
      </w:r>
      <w:r w:rsidR="007B6279" w:rsidRPr="009C0C39">
        <w:rPr>
          <w:rFonts w:ascii="Franklin Gothic Book" w:eastAsia="Times New Roman" w:hAnsi="Franklin Gothic Book" w:cs="Times New Roman"/>
          <w:sz w:val="22"/>
          <w:szCs w:val="22"/>
        </w:rPr>
        <w:t>underscored persistent health care affordability challenges</w:t>
      </w:r>
      <w:r w:rsidRPr="009C0C39">
        <w:rPr>
          <w:rFonts w:ascii="Franklin Gothic Book" w:eastAsia="Times New Roman" w:hAnsi="Franklin Gothic Book" w:cs="Times New Roman"/>
          <w:sz w:val="22"/>
          <w:szCs w:val="22"/>
        </w:rPr>
        <w:t xml:space="preserve">, </w:t>
      </w:r>
      <w:r w:rsidR="00C41EA9">
        <w:rPr>
          <w:rFonts w:ascii="Franklin Gothic Book" w:eastAsia="Times New Roman" w:hAnsi="Franklin Gothic Book" w:cs="Times New Roman"/>
          <w:sz w:val="22"/>
          <w:szCs w:val="22"/>
        </w:rPr>
        <w:t xml:space="preserve">and </w:t>
      </w:r>
      <w:r w:rsidRPr="009C0C39">
        <w:rPr>
          <w:rFonts w:ascii="Franklin Gothic Book" w:eastAsia="Times New Roman" w:hAnsi="Franklin Gothic Book" w:cs="Times New Roman"/>
          <w:sz w:val="22"/>
          <w:szCs w:val="22"/>
        </w:rPr>
        <w:t>health care costs have continued to escalate. In both 2018 and 2019, Massachusetts’s total health care expenditures exceeded the health care cost growth benchmark</w:t>
      </w:r>
      <w:r w:rsidR="00857AEE" w:rsidRPr="009C0C39">
        <w:rPr>
          <w:rFonts w:ascii="Franklin Gothic Book" w:eastAsia="Times New Roman" w:hAnsi="Franklin Gothic Book" w:cs="Times New Roman"/>
          <w:sz w:val="22"/>
          <w:szCs w:val="22"/>
        </w:rPr>
        <w:t xml:space="preserve">, and </w:t>
      </w:r>
      <w:r w:rsidR="004532F5" w:rsidRPr="009C0C39">
        <w:rPr>
          <w:rFonts w:ascii="Franklin Gothic Book" w:eastAsia="Times New Roman" w:hAnsi="Franklin Gothic Book" w:cs="Times New Roman"/>
          <w:sz w:val="22"/>
          <w:szCs w:val="22"/>
        </w:rPr>
        <w:t xml:space="preserve">in 2020 </w:t>
      </w:r>
      <w:r w:rsidR="00857AEE" w:rsidRPr="009C0C39">
        <w:rPr>
          <w:rFonts w:ascii="Franklin Gothic Book" w:eastAsia="Times New Roman" w:hAnsi="Franklin Gothic Book" w:cs="Times New Roman"/>
          <w:sz w:val="22"/>
          <w:szCs w:val="22"/>
        </w:rPr>
        <w:t xml:space="preserve">price </w:t>
      </w:r>
      <w:r w:rsidR="00720AFD" w:rsidRPr="009C0C39">
        <w:rPr>
          <w:rFonts w:ascii="Franklin Gothic Book" w:eastAsia="Times New Roman" w:hAnsi="Franklin Gothic Book" w:cs="Times New Roman"/>
          <w:sz w:val="22"/>
          <w:szCs w:val="22"/>
        </w:rPr>
        <w:t xml:space="preserve">growth for </w:t>
      </w:r>
      <w:r w:rsidR="007B6279" w:rsidRPr="009C0C39">
        <w:rPr>
          <w:rFonts w:ascii="Franklin Gothic Book" w:eastAsia="Times New Roman" w:hAnsi="Franklin Gothic Book" w:cs="Times New Roman"/>
          <w:sz w:val="22"/>
          <w:szCs w:val="22"/>
        </w:rPr>
        <w:t xml:space="preserve">health </w:t>
      </w:r>
      <w:r w:rsidR="00857AEE" w:rsidRPr="009C0C39">
        <w:rPr>
          <w:rFonts w:ascii="Franklin Gothic Book" w:eastAsia="Times New Roman" w:hAnsi="Franklin Gothic Book" w:cs="Times New Roman"/>
          <w:sz w:val="22"/>
          <w:szCs w:val="22"/>
        </w:rPr>
        <w:t xml:space="preserve">care </w:t>
      </w:r>
      <w:r w:rsidR="007B6279" w:rsidRPr="009C0C39">
        <w:rPr>
          <w:rFonts w:ascii="Franklin Gothic Book" w:eastAsia="Times New Roman" w:hAnsi="Franklin Gothic Book" w:cs="Times New Roman"/>
          <w:sz w:val="22"/>
          <w:szCs w:val="22"/>
        </w:rPr>
        <w:t xml:space="preserve">services </w:t>
      </w:r>
      <w:r w:rsidR="00720AFD" w:rsidRPr="009C0C39">
        <w:rPr>
          <w:rFonts w:ascii="Franklin Gothic Book" w:eastAsia="Times New Roman" w:hAnsi="Franklin Gothic Book" w:cs="Times New Roman"/>
          <w:sz w:val="22"/>
          <w:szCs w:val="22"/>
        </w:rPr>
        <w:t>accelerated</w:t>
      </w:r>
      <w:r w:rsidR="004532F5" w:rsidRPr="009C0C39">
        <w:rPr>
          <w:rFonts w:ascii="Franklin Gothic Book" w:eastAsia="Times New Roman" w:hAnsi="Franklin Gothic Book" w:cs="Times New Roman"/>
          <w:sz w:val="22"/>
          <w:szCs w:val="22"/>
        </w:rPr>
        <w:t xml:space="preserve"> even as utilization fell</w:t>
      </w:r>
      <w:r w:rsidRPr="009C0C39">
        <w:rPr>
          <w:rFonts w:ascii="Franklin Gothic Book" w:eastAsia="Times New Roman" w:hAnsi="Franklin Gothic Book" w:cs="Times New Roman"/>
          <w:sz w:val="22"/>
          <w:szCs w:val="22"/>
        </w:rPr>
        <w:t>.</w:t>
      </w:r>
      <w:r w:rsidR="004532F5" w:rsidRPr="009C0C39">
        <w:rPr>
          <w:rStyle w:val="FootnoteReference"/>
          <w:rFonts w:ascii="Franklin Gothic Book" w:eastAsia="Times New Roman" w:hAnsi="Franklin Gothic Book" w:cs="Times New Roman"/>
          <w:sz w:val="22"/>
          <w:szCs w:val="22"/>
        </w:rPr>
        <w:footnoteReference w:id="3"/>
      </w:r>
    </w:p>
    <w:p w14:paraId="5305D92D" w14:textId="77777777" w:rsidR="00760AF0" w:rsidRPr="009C0C39" w:rsidRDefault="00760AF0" w:rsidP="00760AF0">
      <w:pPr>
        <w:ind w:firstLine="720"/>
        <w:rPr>
          <w:rFonts w:ascii="Franklin Gothic Book" w:eastAsia="Times New Roman" w:hAnsi="Franklin Gothic Book" w:cs="Times New Roman"/>
          <w:sz w:val="22"/>
          <w:szCs w:val="22"/>
        </w:rPr>
      </w:pPr>
    </w:p>
    <w:p w14:paraId="5003FA40" w14:textId="24DAE102" w:rsidR="00760AF0" w:rsidRDefault="009834C1" w:rsidP="009834C1">
      <w:pPr>
        <w:ind w:firstLine="720"/>
        <w:rPr>
          <w:rFonts w:ascii="Franklin Gothic Book" w:hAnsi="Franklin Gothic Book" w:cs="Times New Roman"/>
          <w:sz w:val="22"/>
          <w:szCs w:val="22"/>
        </w:rPr>
      </w:pPr>
      <w:r w:rsidRPr="009834C1">
        <w:rPr>
          <w:rFonts w:ascii="Franklin Gothic Book" w:hAnsi="Franklin Gothic Book" w:cs="Times New Roman"/>
          <w:sz w:val="22"/>
          <w:szCs w:val="22"/>
        </w:rPr>
        <w:t>It is in this context that the Mass General Brigham (MGB) system— which includes two renowned academic medical centers and is the largest and generally highest-priced health care system in the Commonwealth—is seeking to spend nearly $2.3 billion in Massachusetts on expansions and improvements at two of its hospitals and on the creation of three new ambulatory sites the communities of Westborough, Westwood</w:t>
      </w:r>
      <w:r w:rsidR="008E455C">
        <w:rPr>
          <w:rFonts w:ascii="Franklin Gothic Book" w:hAnsi="Franklin Gothic Book" w:cs="Times New Roman"/>
          <w:sz w:val="22"/>
          <w:szCs w:val="22"/>
        </w:rPr>
        <w:t>, and</w:t>
      </w:r>
      <w:r w:rsidR="008E455C" w:rsidRPr="008E455C">
        <w:rPr>
          <w:rFonts w:ascii="Franklin Gothic Book" w:hAnsi="Franklin Gothic Book" w:cs="Times New Roman"/>
          <w:sz w:val="22"/>
          <w:szCs w:val="22"/>
        </w:rPr>
        <w:t xml:space="preserve"> </w:t>
      </w:r>
      <w:r w:rsidR="008E455C" w:rsidRPr="009834C1">
        <w:rPr>
          <w:rFonts w:ascii="Franklin Gothic Book" w:hAnsi="Franklin Gothic Book" w:cs="Times New Roman"/>
          <w:sz w:val="22"/>
          <w:szCs w:val="22"/>
        </w:rPr>
        <w:t>Woburn</w:t>
      </w:r>
      <w:r w:rsidRPr="009834C1">
        <w:rPr>
          <w:rFonts w:ascii="Franklin Gothic Book" w:hAnsi="Franklin Gothic Book" w:cs="Times New Roman"/>
          <w:sz w:val="22"/>
          <w:szCs w:val="22"/>
        </w:rPr>
        <w:t>.</w:t>
      </w:r>
    </w:p>
    <w:p w14:paraId="59ACC921" w14:textId="77777777" w:rsidR="009834C1" w:rsidRPr="009C0C39" w:rsidRDefault="009834C1" w:rsidP="007B6279">
      <w:pPr>
        <w:rPr>
          <w:rFonts w:ascii="Franklin Gothic Book" w:eastAsia="Times New Roman" w:hAnsi="Franklin Gothic Book" w:cs="Times New Roman"/>
          <w:sz w:val="22"/>
          <w:szCs w:val="22"/>
        </w:rPr>
      </w:pPr>
    </w:p>
    <w:p w14:paraId="43A45466" w14:textId="23FA8DD1" w:rsidR="00760AF0" w:rsidRPr="009C0C39" w:rsidRDefault="00760AF0" w:rsidP="00760AF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now releases its analysis of the impacts of these three proposed expansions to contribute important information to the public dialogue as providers, payers, government, consumers, and other stakeholders strive to address these challenges and develop a more affordable, accessible, and equitable health care system. </w:t>
      </w:r>
    </w:p>
    <w:p w14:paraId="3CBB85E6" w14:textId="77777777" w:rsidR="0062704A" w:rsidRPr="00780182" w:rsidRDefault="00323EF7" w:rsidP="00780182">
      <w:pPr>
        <w:pStyle w:val="Heading1"/>
      </w:pPr>
      <w:r w:rsidRPr="009C0C39">
        <w:br w:type="column"/>
      </w:r>
      <w:r w:rsidR="0062704A" w:rsidRPr="00780182">
        <w:lastRenderedPageBreak/>
        <w:t>Executive Summary</w:t>
      </w:r>
    </w:p>
    <w:p w14:paraId="010C8D91" w14:textId="77777777" w:rsidR="0062704A" w:rsidRPr="009C0C39" w:rsidRDefault="0062704A" w:rsidP="0062704A">
      <w:pPr>
        <w:ind w:firstLine="720"/>
        <w:rPr>
          <w:rFonts w:ascii="Franklin Gothic Book" w:hAnsi="Franklin Gothic Book" w:cs="Times New Roman"/>
          <w:sz w:val="22"/>
          <w:szCs w:val="22"/>
        </w:rPr>
      </w:pPr>
    </w:p>
    <w:p w14:paraId="3AAB42AB" w14:textId="1997DE1D" w:rsidR="0062704A" w:rsidRPr="009C0C39" w:rsidRDefault="0062704A" w:rsidP="0062704A">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On January 21, 2021, Mass General Brigham (MGB) filed three applications with the Massachusetts Determination of Need (DoN) program describing </w:t>
      </w:r>
      <w:r w:rsidR="00EB60E8" w:rsidRPr="009C0C39">
        <w:rPr>
          <w:rFonts w:ascii="Franklin Gothic Book" w:hAnsi="Franklin Gothic Book" w:cs="Times New Roman"/>
          <w:sz w:val="22"/>
          <w:szCs w:val="22"/>
        </w:rPr>
        <w:t xml:space="preserve">significant </w:t>
      </w:r>
      <w:r w:rsidRPr="009C0C39">
        <w:rPr>
          <w:rFonts w:ascii="Franklin Gothic Book" w:hAnsi="Franklin Gothic Book" w:cs="Times New Roman"/>
          <w:sz w:val="22"/>
          <w:szCs w:val="22"/>
        </w:rPr>
        <w:t>expansion, renovation, and improvement of Massachusetts General Hospital (MGH) and Brigham and Women's Faulkner Hospital (Faulkner), as well as the creation of three new ambulatory sites in the communities of Westborough, Westwood</w:t>
      </w:r>
      <w:r w:rsidR="006C0EDD">
        <w:rPr>
          <w:rFonts w:ascii="Franklin Gothic Book" w:hAnsi="Franklin Gothic Book" w:cs="Times New Roman"/>
          <w:sz w:val="22"/>
          <w:szCs w:val="22"/>
        </w:rPr>
        <w:t>, and</w:t>
      </w:r>
      <w:r w:rsidR="006C0EDD" w:rsidRPr="006C0EDD">
        <w:rPr>
          <w:rFonts w:ascii="Franklin Gothic Book" w:hAnsi="Franklin Gothic Book" w:cs="Times New Roman"/>
          <w:sz w:val="22"/>
          <w:szCs w:val="22"/>
        </w:rPr>
        <w:t xml:space="preserve"> </w:t>
      </w:r>
      <w:r w:rsidR="006C0EDD" w:rsidRPr="009C0C39">
        <w:rPr>
          <w:rFonts w:ascii="Franklin Gothic Book" w:hAnsi="Franklin Gothic Book" w:cs="Times New Roman"/>
          <w:sz w:val="22"/>
          <w:szCs w:val="22"/>
        </w:rPr>
        <w:t>Woburn</w:t>
      </w:r>
      <w:r w:rsidRPr="009C0C39">
        <w:rPr>
          <w:rFonts w:ascii="Franklin Gothic Book" w:hAnsi="Franklin Gothic Book" w:cs="Times New Roman"/>
          <w:sz w:val="22"/>
          <w:szCs w:val="22"/>
        </w:rPr>
        <w:t>.</w:t>
      </w:r>
      <w:bookmarkStart w:id="1" w:name="_Ref93614427"/>
      <w:r w:rsidRPr="009C0C39">
        <w:rPr>
          <w:rStyle w:val="FootnoteReference"/>
          <w:rFonts w:ascii="Franklin Gothic Book" w:hAnsi="Franklin Gothic Book" w:cs="Times New Roman"/>
          <w:sz w:val="22"/>
          <w:szCs w:val="22"/>
        </w:rPr>
        <w:footnoteReference w:id="4"/>
      </w:r>
      <w:bookmarkEnd w:id="1"/>
      <w:r w:rsidRPr="009C0C39">
        <w:rPr>
          <w:rFonts w:ascii="Franklin Gothic Book" w:hAnsi="Franklin Gothic Book" w:cs="Times New Roman"/>
          <w:sz w:val="22"/>
          <w:szCs w:val="22"/>
        </w:rPr>
        <w:t xml:space="preserve"> In total, the three applications propose a capital expenditure of $2.25 billion in Massachusetts,</w:t>
      </w:r>
      <w:r w:rsidRPr="009C0C39">
        <w:rPr>
          <w:rStyle w:val="FootnoteReference"/>
          <w:rFonts w:ascii="Franklin Gothic Book" w:hAnsi="Franklin Gothic Book" w:cs="Times New Roman"/>
          <w:sz w:val="22"/>
          <w:szCs w:val="22"/>
        </w:rPr>
        <w:footnoteReference w:id="5"/>
      </w:r>
      <w:r w:rsidRPr="009C0C39">
        <w:rPr>
          <w:rFonts w:ascii="Franklin Gothic Book" w:hAnsi="Franklin Gothic Book" w:cs="Times New Roman"/>
          <w:sz w:val="22"/>
          <w:szCs w:val="22"/>
        </w:rPr>
        <w:t xml:space="preserve"> with substantial additions of inpatient, outpatient, imaging</w:t>
      </w:r>
      <w:r w:rsidR="002B78DF"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and other capacity at MGH and Faulkner, as well as extensive new ambulatory surgery, imaging, primary care, and specialty care services in Westborough, Westwood</w:t>
      </w:r>
      <w:r w:rsidR="006C0EDD">
        <w:rPr>
          <w:rFonts w:ascii="Franklin Gothic Book" w:hAnsi="Franklin Gothic Book" w:cs="Times New Roman"/>
          <w:sz w:val="22"/>
          <w:szCs w:val="22"/>
        </w:rPr>
        <w:t>, and</w:t>
      </w:r>
      <w:r w:rsidR="006C0EDD" w:rsidRPr="006C0EDD">
        <w:rPr>
          <w:rFonts w:ascii="Franklin Gothic Book" w:hAnsi="Franklin Gothic Book" w:cs="Times New Roman"/>
          <w:sz w:val="22"/>
          <w:szCs w:val="22"/>
        </w:rPr>
        <w:t xml:space="preserve"> </w:t>
      </w:r>
      <w:r w:rsidR="006C0EDD" w:rsidRPr="009C0C39">
        <w:rPr>
          <w:rFonts w:ascii="Franklin Gothic Book" w:hAnsi="Franklin Gothic Book" w:cs="Times New Roman"/>
          <w:sz w:val="22"/>
          <w:szCs w:val="22"/>
        </w:rPr>
        <w:t>Woburn</w:t>
      </w:r>
      <w:r w:rsidRPr="009C0C39">
        <w:rPr>
          <w:rFonts w:ascii="Franklin Gothic Book" w:hAnsi="Franklin Gothic Book" w:cs="Times New Roman"/>
          <w:sz w:val="22"/>
          <w:szCs w:val="22"/>
        </w:rPr>
        <w:t>. MGB’s DoN applications and supporting filings describe these proposed expansions as cost</w:t>
      </w:r>
      <w:r w:rsidR="002B78DF" w:rsidRPr="009C0C39">
        <w:rPr>
          <w:rFonts w:ascii="Franklin Gothic Book" w:hAnsi="Franklin Gothic Book" w:cs="Times New Roman"/>
          <w:sz w:val="22"/>
          <w:szCs w:val="22"/>
        </w:rPr>
        <w:t>-</w:t>
      </w:r>
      <w:r w:rsidRPr="009C0C39">
        <w:rPr>
          <w:rFonts w:ascii="Franklin Gothic Book" w:hAnsi="Franklin Gothic Book" w:cs="Times New Roman"/>
          <w:sz w:val="22"/>
          <w:szCs w:val="22"/>
        </w:rPr>
        <w:t>saving and designed to provide needed services</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 xml:space="preserve">to </w:t>
      </w:r>
      <w:r w:rsidR="00D94B82" w:rsidRPr="009C0C39">
        <w:rPr>
          <w:rFonts w:ascii="Franklin Gothic Book" w:hAnsi="Franklin Gothic Book" w:cs="Times New Roman"/>
          <w:sz w:val="22"/>
          <w:szCs w:val="22"/>
        </w:rPr>
        <w:t>MGB’s patients</w:t>
      </w:r>
      <w:r w:rsidRPr="009C0C39">
        <w:rPr>
          <w:rFonts w:ascii="Franklin Gothic Book" w:hAnsi="Franklin Gothic Book" w:cs="Times New Roman"/>
          <w:sz w:val="22"/>
          <w:szCs w:val="22"/>
        </w:rPr>
        <w:t>. On March 14, 2021, the DoN program notified MGB that it was requiring an independent cost-analysis (ICA) to be conducted on each of the three applications, as authorized under its statute</w:t>
      </w:r>
      <w:r w:rsidR="006C0EDD">
        <w:rPr>
          <w:rFonts w:ascii="Franklin Gothic Book" w:hAnsi="Franklin Gothic Book" w:cs="Times New Roman"/>
          <w:sz w:val="22"/>
          <w:szCs w:val="22"/>
        </w:rPr>
        <w:t>,</w:t>
      </w:r>
      <w:r w:rsidRPr="009C0C39">
        <w:rPr>
          <w:rFonts w:ascii="Franklin Gothic Book" w:hAnsi="Franklin Gothic Book" w:cs="Times New Roman"/>
          <w:sz w:val="22"/>
          <w:szCs w:val="22"/>
        </w:rPr>
        <w:t xml:space="preserve"> to demonstrate that each proposed project is “consistent with the commonwealth’s efforts to meet the health care cost-containment goals established by the [health policy] commission</w:t>
      </w:r>
      <w:r w:rsidR="00F534AA" w:rsidRPr="009C0C39">
        <w:rPr>
          <w:rFonts w:ascii="Franklin Gothic Book" w:hAnsi="Franklin Gothic Book" w:cs="Times New Roman"/>
          <w:sz w:val="22"/>
          <w:szCs w:val="22"/>
        </w:rPr>
        <w:t>,</w:t>
      </w:r>
      <w:r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6"/>
      </w:r>
      <w:r w:rsidRPr="009C0C39">
        <w:rPr>
          <w:rFonts w:ascii="Franklin Gothic Book" w:hAnsi="Franklin Gothic Book" w:cs="Times New Roman"/>
          <w:sz w:val="22"/>
          <w:szCs w:val="22"/>
        </w:rPr>
        <w:t xml:space="preserve"> and a third-party vendor was engaged to conduct the analyses at MGB’s expense. </w:t>
      </w:r>
    </w:p>
    <w:p w14:paraId="572971C9" w14:textId="77777777" w:rsidR="0062704A" w:rsidRPr="009C0C39" w:rsidRDefault="0062704A" w:rsidP="0062704A">
      <w:pPr>
        <w:ind w:firstLine="720"/>
        <w:rPr>
          <w:rFonts w:ascii="Franklin Gothic Book" w:hAnsi="Franklin Gothic Book" w:cs="Times New Roman"/>
          <w:sz w:val="22"/>
          <w:szCs w:val="22"/>
        </w:rPr>
      </w:pPr>
    </w:p>
    <w:p w14:paraId="2D427ACD" w14:textId="51C807A6" w:rsidR="008D3EA9" w:rsidRPr="009C0C39" w:rsidRDefault="0062704A" w:rsidP="0077730A">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w:t>
      </w:r>
      <w:r w:rsidR="007B6279" w:rsidRPr="009C0C39">
        <w:rPr>
          <w:rFonts w:ascii="Franklin Gothic Book" w:hAnsi="Franklin Gothic Book" w:cs="Times New Roman"/>
          <w:sz w:val="22"/>
          <w:szCs w:val="22"/>
        </w:rPr>
        <w:t>conducted</w:t>
      </w:r>
      <w:r w:rsidRPr="009C0C39">
        <w:rPr>
          <w:rFonts w:ascii="Franklin Gothic Book" w:hAnsi="Franklin Gothic Book" w:cs="Times New Roman"/>
          <w:sz w:val="22"/>
          <w:szCs w:val="22"/>
        </w:rPr>
        <w:t xml:space="preserve"> its own analys</w:t>
      </w:r>
      <w:r w:rsidR="007B6279" w:rsidRPr="009C0C39">
        <w:rPr>
          <w:rFonts w:ascii="Franklin Gothic Book" w:hAnsi="Franklin Gothic Book" w:cs="Times New Roman"/>
          <w:sz w:val="22"/>
          <w:szCs w:val="22"/>
        </w:rPr>
        <w:t>e</w:t>
      </w:r>
      <w:r w:rsidRPr="009C0C39">
        <w:rPr>
          <w:rFonts w:ascii="Franklin Gothic Book" w:hAnsi="Franklin Gothic Book" w:cs="Times New Roman"/>
          <w:sz w:val="22"/>
          <w:szCs w:val="22"/>
        </w:rPr>
        <w:t xml:space="preserve">s, detailed throughout the remainder of this comment, to determine the likely impacts of these proposals on the Commonwealth’s health care cost containment goals. </w:t>
      </w:r>
      <w:r w:rsidR="001C52D5" w:rsidRPr="009C0C39">
        <w:rPr>
          <w:rFonts w:ascii="Franklin Gothic Book" w:hAnsi="Franklin Gothic Book" w:cs="Times New Roman"/>
          <w:sz w:val="22"/>
          <w:szCs w:val="22"/>
        </w:rPr>
        <w:t xml:space="preserve">The HPC’s analyses focus on impacts to commercial spending, which are expected to </w:t>
      </w:r>
      <w:r w:rsidR="00C41EA9">
        <w:rPr>
          <w:rFonts w:ascii="Franklin Gothic Book" w:hAnsi="Franklin Gothic Book" w:cs="Times New Roman"/>
          <w:sz w:val="22"/>
          <w:szCs w:val="22"/>
        </w:rPr>
        <w:t>result in</w:t>
      </w:r>
      <w:r w:rsidR="001C52D5" w:rsidRPr="009C0C39">
        <w:rPr>
          <w:rFonts w:ascii="Franklin Gothic Book" w:hAnsi="Franklin Gothic Book" w:cs="Times New Roman"/>
          <w:sz w:val="22"/>
          <w:szCs w:val="22"/>
        </w:rPr>
        <w:t xml:space="preserve"> higher commercial insurance premiums for Massachusetts residents and businesses, but the projects are also likely to have spending impacts for Medicare and Medicaid. </w:t>
      </w:r>
    </w:p>
    <w:p w14:paraId="4FF3633E" w14:textId="77777777" w:rsidR="008D3EA9" w:rsidRPr="009C0C39" w:rsidRDefault="008D3EA9" w:rsidP="0077730A">
      <w:pPr>
        <w:ind w:firstLine="720"/>
        <w:rPr>
          <w:rFonts w:ascii="Franklin Gothic Book" w:hAnsi="Franklin Gothic Book" w:cs="Times New Roman"/>
          <w:sz w:val="22"/>
          <w:szCs w:val="22"/>
        </w:rPr>
      </w:pPr>
    </w:p>
    <w:p w14:paraId="328B76CA" w14:textId="2C094706" w:rsidR="0062704A" w:rsidRPr="009C0C39" w:rsidRDefault="005040F0" w:rsidP="0077730A">
      <w:pPr>
        <w:ind w:firstLine="720"/>
        <w:rPr>
          <w:rFonts w:ascii="Franklin Gothic Book" w:hAnsi="Franklin Gothic Book"/>
          <w:sz w:val="22"/>
          <w:szCs w:val="22"/>
        </w:rPr>
      </w:pPr>
      <w:bookmarkStart w:id="4" w:name="_Hlk93900931"/>
      <w:r w:rsidRPr="009C0C39">
        <w:rPr>
          <w:rFonts w:ascii="Franklin Gothic Book" w:hAnsi="Franklin Gothic Book" w:cs="Times New Roman"/>
          <w:sz w:val="22"/>
          <w:szCs w:val="22"/>
        </w:rPr>
        <w:t>T</w:t>
      </w:r>
      <w:r w:rsidR="0062704A" w:rsidRPr="009C0C39">
        <w:rPr>
          <w:rFonts w:ascii="Franklin Gothic Book" w:hAnsi="Franklin Gothic Book" w:cs="Times New Roman"/>
          <w:sz w:val="22"/>
          <w:szCs w:val="22"/>
        </w:rPr>
        <w:t xml:space="preserve">he HPC’s analyses show that these proposals are likely to drive </w:t>
      </w:r>
      <w:r w:rsidR="00CF03F0" w:rsidRPr="009C0C39">
        <w:rPr>
          <w:rFonts w:ascii="Franklin Gothic Book" w:hAnsi="Franklin Gothic Book" w:cs="Times New Roman"/>
          <w:sz w:val="22"/>
          <w:szCs w:val="22"/>
        </w:rPr>
        <w:t xml:space="preserve">substantial </w:t>
      </w:r>
      <w:r w:rsidR="00297250" w:rsidRPr="009C0C39">
        <w:rPr>
          <w:rFonts w:ascii="Franklin Gothic Book" w:hAnsi="Franklin Gothic Book" w:cs="Times New Roman"/>
          <w:sz w:val="22"/>
          <w:szCs w:val="22"/>
        </w:rPr>
        <w:t xml:space="preserve">patient </w:t>
      </w:r>
      <w:r w:rsidR="0062704A" w:rsidRPr="009C0C39">
        <w:rPr>
          <w:rFonts w:ascii="Franklin Gothic Book" w:hAnsi="Franklin Gothic Book" w:cs="Times New Roman"/>
          <w:sz w:val="22"/>
          <w:szCs w:val="22"/>
        </w:rPr>
        <w:t xml:space="preserve">volume and revenue to the </w:t>
      </w:r>
      <w:r w:rsidR="00D43257" w:rsidRPr="009C0C39">
        <w:rPr>
          <w:rFonts w:ascii="Franklin Gothic Book" w:hAnsi="Franklin Gothic Book" w:cs="Times New Roman"/>
          <w:sz w:val="22"/>
          <w:szCs w:val="22"/>
        </w:rPr>
        <w:t>higher-cost</w:t>
      </w:r>
      <w:r w:rsidR="0062704A" w:rsidRPr="009C0C39">
        <w:rPr>
          <w:rFonts w:ascii="Franklin Gothic Book" w:hAnsi="Franklin Gothic Book" w:cs="Times New Roman"/>
          <w:sz w:val="22"/>
          <w:szCs w:val="22"/>
        </w:rPr>
        <w:t xml:space="preserve"> MGB system</w:t>
      </w:r>
      <w:r w:rsidR="008D3EA9" w:rsidRPr="009C0C39">
        <w:rPr>
          <w:rFonts w:ascii="Franklin Gothic Book" w:hAnsi="Franklin Gothic Book" w:cs="Times New Roman"/>
          <w:sz w:val="22"/>
          <w:szCs w:val="22"/>
        </w:rPr>
        <w:t>—particularly commercially</w:t>
      </w:r>
      <w:r w:rsidR="00CF224F" w:rsidRPr="009C0C39">
        <w:rPr>
          <w:rFonts w:ascii="Franklin Gothic Book" w:hAnsi="Franklin Gothic Book" w:cs="Times New Roman"/>
          <w:sz w:val="22"/>
          <w:szCs w:val="22"/>
        </w:rPr>
        <w:t xml:space="preserve"> </w:t>
      </w:r>
      <w:r w:rsidR="008D3EA9" w:rsidRPr="009C0C39">
        <w:rPr>
          <w:rFonts w:ascii="Franklin Gothic Book" w:hAnsi="Franklin Gothic Book" w:cs="Times New Roman"/>
          <w:sz w:val="22"/>
          <w:szCs w:val="22"/>
        </w:rPr>
        <w:t>insured volume—</w:t>
      </w:r>
      <w:r w:rsidR="0062704A" w:rsidRPr="009C0C39">
        <w:rPr>
          <w:rFonts w:ascii="Franklin Gothic Book" w:hAnsi="Franklin Gothic Book" w:cs="Times New Roman"/>
          <w:sz w:val="22"/>
          <w:szCs w:val="22"/>
        </w:rPr>
        <w:t xml:space="preserve">resulting in </w:t>
      </w:r>
      <w:r w:rsidR="007B6279" w:rsidRPr="009C0C39">
        <w:rPr>
          <w:rFonts w:ascii="Franklin Gothic Book" w:hAnsi="Franklin Gothic Book" w:cs="Times New Roman"/>
          <w:sz w:val="22"/>
          <w:szCs w:val="22"/>
        </w:rPr>
        <w:t xml:space="preserve">increased </w:t>
      </w:r>
      <w:r w:rsidR="0062704A" w:rsidRPr="009C0C39">
        <w:rPr>
          <w:rFonts w:ascii="Franklin Gothic Book" w:hAnsi="Franklin Gothic Book" w:cs="Times New Roman"/>
          <w:sz w:val="22"/>
          <w:szCs w:val="22"/>
        </w:rPr>
        <w:t>health care spending</w:t>
      </w:r>
      <w:r w:rsidR="00022CAF" w:rsidRPr="009C0C39">
        <w:rPr>
          <w:rFonts w:ascii="Franklin Gothic Book" w:hAnsi="Franklin Gothic Book" w:cs="Times New Roman"/>
          <w:sz w:val="22"/>
          <w:szCs w:val="22"/>
        </w:rPr>
        <w:t>, increased commercial insurance premiums,</w:t>
      </w:r>
      <w:r w:rsidR="0062704A" w:rsidRPr="009C0C39">
        <w:rPr>
          <w:rFonts w:ascii="Franklin Gothic Book" w:hAnsi="Franklin Gothic Book" w:cs="Times New Roman"/>
          <w:sz w:val="22"/>
          <w:szCs w:val="22"/>
        </w:rPr>
        <w:t xml:space="preserve"> and</w:t>
      </w:r>
      <w:r w:rsidR="00CE2EB3" w:rsidRPr="009C0C39">
        <w:rPr>
          <w:rFonts w:ascii="Franklin Gothic Book" w:hAnsi="Franklin Gothic Book" w:cs="Times New Roman"/>
          <w:sz w:val="22"/>
          <w:szCs w:val="22"/>
        </w:rPr>
        <w:t xml:space="preserve"> a negative impact on health care market functioning, including access and equity</w:t>
      </w:r>
      <w:r w:rsidR="0062704A" w:rsidRPr="009C0C39">
        <w:rPr>
          <w:rFonts w:ascii="Franklin Gothic Book" w:hAnsi="Franklin Gothic Book" w:cs="Times New Roman"/>
          <w:sz w:val="22"/>
          <w:szCs w:val="22"/>
        </w:rPr>
        <w:t>.</w:t>
      </w:r>
      <w:r w:rsidR="008D3EA9" w:rsidRPr="009C0C39">
        <w:rPr>
          <w:rFonts w:ascii="Franklin Gothic Book" w:hAnsi="Franklin Gothic Book" w:cs="Times New Roman"/>
          <w:sz w:val="22"/>
          <w:szCs w:val="22"/>
        </w:rPr>
        <w:t xml:space="preserve"> Based on conservative projections for </w:t>
      </w:r>
      <w:r w:rsidR="001E74C3" w:rsidRPr="009C0C39">
        <w:rPr>
          <w:rFonts w:ascii="Franklin Gothic Book" w:hAnsi="Franklin Gothic Book" w:cs="Times New Roman"/>
          <w:sz w:val="22"/>
          <w:szCs w:val="22"/>
        </w:rPr>
        <w:t xml:space="preserve">the </w:t>
      </w:r>
      <w:r w:rsidR="008D3EA9" w:rsidRPr="009C0C39">
        <w:rPr>
          <w:rFonts w:ascii="Franklin Gothic Book" w:hAnsi="Franklin Gothic Book" w:cs="Times New Roman"/>
          <w:sz w:val="22"/>
          <w:szCs w:val="22"/>
        </w:rPr>
        <w:t>subset of potential spending drivers</w:t>
      </w:r>
      <w:r w:rsidR="001E74C3" w:rsidRPr="009C0C39">
        <w:rPr>
          <w:rFonts w:ascii="Franklin Gothic Book" w:hAnsi="Franklin Gothic Book" w:cs="Times New Roman"/>
          <w:sz w:val="22"/>
          <w:szCs w:val="22"/>
        </w:rPr>
        <w:t xml:space="preserve"> that the HPC was able to quantify with available data and information</w:t>
      </w:r>
      <w:r w:rsidR="008D3EA9" w:rsidRPr="009C0C39">
        <w:rPr>
          <w:rFonts w:ascii="Franklin Gothic Book" w:hAnsi="Franklin Gothic Book" w:cs="Times New Roman"/>
          <w:sz w:val="22"/>
          <w:szCs w:val="22"/>
        </w:rPr>
        <w:t xml:space="preserve">, the projects are likely to increase </w:t>
      </w:r>
      <w:r w:rsidR="00ED623D" w:rsidRPr="009C0C39">
        <w:rPr>
          <w:rFonts w:ascii="Franklin Gothic Book" w:hAnsi="Franklin Gothic Book" w:cs="Times New Roman"/>
          <w:b/>
          <w:bCs/>
          <w:i/>
          <w:iCs/>
          <w:sz w:val="22"/>
          <w:szCs w:val="22"/>
        </w:rPr>
        <w:t>yearly</w:t>
      </w:r>
      <w:r w:rsidR="00ED623D" w:rsidRPr="009C0C39">
        <w:rPr>
          <w:rFonts w:ascii="Franklin Gothic Book" w:hAnsi="Franklin Gothic Book" w:cs="Times New Roman"/>
          <w:sz w:val="22"/>
          <w:szCs w:val="22"/>
        </w:rPr>
        <w:t xml:space="preserve"> commercial health insurance </w:t>
      </w:r>
      <w:r w:rsidR="008D3EA9" w:rsidRPr="009C0C39">
        <w:rPr>
          <w:rFonts w:ascii="Franklin Gothic Book" w:hAnsi="Franklin Gothic Book" w:cs="Times New Roman"/>
          <w:sz w:val="22"/>
          <w:szCs w:val="22"/>
        </w:rPr>
        <w:t xml:space="preserve">spending </w:t>
      </w:r>
      <w:r w:rsidR="001E74C3" w:rsidRPr="009C0C39">
        <w:rPr>
          <w:rFonts w:ascii="Franklin Gothic Book" w:hAnsi="Franklin Gothic Book" w:cs="Times New Roman"/>
          <w:sz w:val="22"/>
          <w:szCs w:val="22"/>
        </w:rPr>
        <w:t xml:space="preserve">in </w:t>
      </w:r>
      <w:bookmarkStart w:id="5" w:name="_Hlk93866033"/>
      <w:r w:rsidR="001E74C3" w:rsidRPr="009C0C39">
        <w:rPr>
          <w:rFonts w:ascii="Franklin Gothic Book" w:hAnsi="Franklin Gothic Book" w:cs="Times New Roman"/>
          <w:sz w:val="22"/>
          <w:szCs w:val="22"/>
        </w:rPr>
        <w:t xml:space="preserve">Massachusetts </w:t>
      </w:r>
      <w:r w:rsidR="008D3EA9" w:rsidRPr="009C0C39">
        <w:rPr>
          <w:rFonts w:ascii="Franklin Gothic Book" w:hAnsi="Franklin Gothic Book" w:cs="Times New Roman"/>
          <w:sz w:val="22"/>
          <w:szCs w:val="22"/>
        </w:rPr>
        <w:t xml:space="preserve">by </w:t>
      </w:r>
      <w:r w:rsidR="00CE2EB3" w:rsidRPr="009C0C39">
        <w:rPr>
          <w:rFonts w:ascii="Franklin Gothic Book" w:hAnsi="Franklin Gothic Book" w:cs="Times New Roman"/>
          <w:b/>
          <w:bCs/>
          <w:sz w:val="22"/>
          <w:szCs w:val="22"/>
        </w:rPr>
        <w:t>$</w:t>
      </w:r>
      <w:r w:rsidR="00297DD4" w:rsidRPr="009C0C39">
        <w:rPr>
          <w:rFonts w:ascii="Franklin Gothic Book" w:hAnsi="Franklin Gothic Book" w:cs="Times New Roman"/>
          <w:b/>
          <w:bCs/>
          <w:sz w:val="22"/>
          <w:szCs w:val="22"/>
        </w:rPr>
        <w:t>46</w:t>
      </w:r>
      <w:r w:rsidR="009325F2" w:rsidRPr="009C0C39">
        <w:rPr>
          <w:rFonts w:ascii="Franklin Gothic Book" w:hAnsi="Franklin Gothic Book" w:cs="Times New Roman"/>
          <w:b/>
          <w:bCs/>
          <w:sz w:val="22"/>
          <w:szCs w:val="22"/>
        </w:rPr>
        <w:t>.0</w:t>
      </w:r>
      <w:r w:rsidR="00CE2EB3" w:rsidRPr="009C0C39">
        <w:rPr>
          <w:rFonts w:ascii="Franklin Gothic Book" w:hAnsi="Franklin Gothic Book" w:cs="Times New Roman"/>
          <w:b/>
          <w:bCs/>
          <w:sz w:val="22"/>
          <w:szCs w:val="22"/>
        </w:rPr>
        <w:t xml:space="preserve"> </w:t>
      </w:r>
      <w:r w:rsidR="001A00DA" w:rsidRPr="009C0C39">
        <w:rPr>
          <w:rFonts w:ascii="Franklin Gothic Book" w:hAnsi="Franklin Gothic Book" w:cs="Times New Roman"/>
          <w:b/>
          <w:bCs/>
          <w:sz w:val="22"/>
          <w:szCs w:val="22"/>
        </w:rPr>
        <w:t xml:space="preserve">million </w:t>
      </w:r>
      <w:r w:rsidR="00CE2EB3" w:rsidRPr="009C0C39">
        <w:rPr>
          <w:rFonts w:ascii="Franklin Gothic Book" w:hAnsi="Franklin Gothic Book" w:cs="Times New Roman"/>
          <w:sz w:val="22"/>
          <w:szCs w:val="22"/>
        </w:rPr>
        <w:t>to</w:t>
      </w:r>
      <w:r w:rsidR="00CE2EB3" w:rsidRPr="009C0C39">
        <w:rPr>
          <w:rFonts w:ascii="Franklin Gothic Book" w:hAnsi="Franklin Gothic Book" w:cs="Times New Roman"/>
          <w:b/>
          <w:bCs/>
          <w:sz w:val="22"/>
          <w:szCs w:val="22"/>
        </w:rPr>
        <w:t xml:space="preserve"> $</w:t>
      </w:r>
      <w:r w:rsidR="00297DD4" w:rsidRPr="009C0C39">
        <w:rPr>
          <w:rFonts w:ascii="Franklin Gothic Book" w:hAnsi="Franklin Gothic Book" w:cs="Times New Roman"/>
          <w:b/>
          <w:bCs/>
          <w:sz w:val="22"/>
          <w:szCs w:val="22"/>
        </w:rPr>
        <w:t>90.1</w:t>
      </w:r>
      <w:r w:rsidR="008D3EA9" w:rsidRPr="009C0C39">
        <w:rPr>
          <w:rFonts w:ascii="Franklin Gothic Book" w:hAnsi="Franklin Gothic Book" w:cs="Times New Roman"/>
          <w:sz w:val="22"/>
          <w:szCs w:val="22"/>
        </w:rPr>
        <w:t xml:space="preserve"> </w:t>
      </w:r>
      <w:r w:rsidR="001A00DA" w:rsidRPr="009C0C39">
        <w:rPr>
          <w:rFonts w:ascii="Franklin Gothic Book" w:hAnsi="Franklin Gothic Book" w:cs="Times New Roman"/>
          <w:b/>
          <w:bCs/>
          <w:sz w:val="22"/>
          <w:szCs w:val="22"/>
        </w:rPr>
        <w:t>million</w:t>
      </w:r>
      <w:r w:rsidR="001A00DA" w:rsidRPr="009C0C39">
        <w:rPr>
          <w:rFonts w:ascii="Franklin Gothic Book" w:hAnsi="Franklin Gothic Book" w:cs="Times New Roman"/>
          <w:sz w:val="22"/>
          <w:szCs w:val="22"/>
        </w:rPr>
        <w:t xml:space="preserve"> </w:t>
      </w:r>
      <w:r w:rsidR="008D3EA9" w:rsidRPr="009C0C39">
        <w:rPr>
          <w:rFonts w:ascii="Franklin Gothic Book" w:hAnsi="Franklin Gothic Book" w:cs="Times New Roman"/>
          <w:sz w:val="22"/>
          <w:szCs w:val="22"/>
        </w:rPr>
        <w:t xml:space="preserve">in total, with approximately </w:t>
      </w:r>
      <w:r w:rsidR="00CE2EB3" w:rsidRPr="009C0C39">
        <w:rPr>
          <w:rFonts w:ascii="Franklin Gothic Book" w:hAnsi="Franklin Gothic Book" w:cs="Times New Roman"/>
          <w:b/>
          <w:bCs/>
          <w:sz w:val="22"/>
          <w:szCs w:val="22"/>
        </w:rPr>
        <w:t>$</w:t>
      </w:r>
      <w:r w:rsidR="00297DD4" w:rsidRPr="009C0C39">
        <w:rPr>
          <w:rFonts w:ascii="Franklin Gothic Book" w:hAnsi="Franklin Gothic Book" w:cs="Times New Roman"/>
          <w:b/>
          <w:bCs/>
          <w:sz w:val="22"/>
          <w:szCs w:val="22"/>
        </w:rPr>
        <w:t xml:space="preserve">9.3 </w:t>
      </w:r>
      <w:r w:rsidR="001A00DA" w:rsidRPr="009C0C39">
        <w:rPr>
          <w:rFonts w:ascii="Franklin Gothic Book" w:hAnsi="Franklin Gothic Book" w:cs="Times New Roman"/>
          <w:b/>
          <w:bCs/>
          <w:sz w:val="22"/>
          <w:szCs w:val="22"/>
        </w:rPr>
        <w:t>million</w:t>
      </w:r>
      <w:r w:rsidR="00CE2EB3" w:rsidRPr="009C0C39">
        <w:rPr>
          <w:rFonts w:ascii="Franklin Gothic Book" w:hAnsi="Franklin Gothic Book" w:cs="Times New Roman"/>
          <w:sz w:val="22"/>
          <w:szCs w:val="22"/>
        </w:rPr>
        <w:t xml:space="preserve"> to </w:t>
      </w:r>
      <w:r w:rsidR="00CE2EB3" w:rsidRPr="009C0C39">
        <w:rPr>
          <w:rFonts w:ascii="Franklin Gothic Book" w:hAnsi="Franklin Gothic Book" w:cs="Times New Roman"/>
          <w:b/>
          <w:bCs/>
          <w:sz w:val="22"/>
          <w:szCs w:val="22"/>
        </w:rPr>
        <w:t>$</w:t>
      </w:r>
      <w:r w:rsidR="00297DD4" w:rsidRPr="009C0C39">
        <w:rPr>
          <w:rFonts w:ascii="Franklin Gothic Book" w:hAnsi="Franklin Gothic Book" w:cs="Times New Roman"/>
          <w:b/>
          <w:bCs/>
          <w:sz w:val="22"/>
          <w:szCs w:val="22"/>
        </w:rPr>
        <w:t xml:space="preserve">27.9 </w:t>
      </w:r>
      <w:r w:rsidR="001A00DA" w:rsidRPr="009C0C39">
        <w:rPr>
          <w:rFonts w:ascii="Franklin Gothic Book" w:hAnsi="Franklin Gothic Book" w:cs="Times New Roman"/>
          <w:b/>
          <w:bCs/>
          <w:sz w:val="22"/>
          <w:szCs w:val="22"/>
        </w:rPr>
        <w:t>million</w:t>
      </w:r>
      <w:r w:rsidR="001E74C3" w:rsidRPr="009C0C39">
        <w:rPr>
          <w:rStyle w:val="FootnoteReference"/>
          <w:rFonts w:ascii="Franklin Gothic Book" w:hAnsi="Franklin Gothic Book" w:cs="Times New Roman"/>
          <w:sz w:val="22"/>
          <w:szCs w:val="22"/>
        </w:rPr>
        <w:footnoteReference w:id="7"/>
      </w:r>
      <w:r w:rsidR="00CE2EB3" w:rsidRPr="009C0C39">
        <w:rPr>
          <w:rFonts w:ascii="Franklin Gothic Book" w:hAnsi="Franklin Gothic Book" w:cs="Times New Roman"/>
          <w:sz w:val="22"/>
          <w:szCs w:val="22"/>
        </w:rPr>
        <w:t xml:space="preserve"> </w:t>
      </w:r>
      <w:r w:rsidR="007155C3" w:rsidRPr="009C0C39">
        <w:rPr>
          <w:rFonts w:ascii="Franklin Gothic Book" w:hAnsi="Franklin Gothic Book" w:cs="Times New Roman"/>
          <w:sz w:val="22"/>
          <w:szCs w:val="22"/>
        </w:rPr>
        <w:t>due to</w:t>
      </w:r>
      <w:r w:rsidR="008D3EA9" w:rsidRPr="009C0C39">
        <w:rPr>
          <w:rFonts w:ascii="Franklin Gothic Book" w:hAnsi="Franklin Gothic Book" w:cs="Times New Roman"/>
          <w:sz w:val="22"/>
          <w:szCs w:val="22"/>
        </w:rPr>
        <w:t xml:space="preserve"> the proposed ambulatory expansion, </w:t>
      </w:r>
      <w:r w:rsidR="00CE2EB3" w:rsidRPr="009C0C39">
        <w:rPr>
          <w:rFonts w:ascii="Franklin Gothic Book" w:hAnsi="Franklin Gothic Book" w:cs="Times New Roman"/>
          <w:b/>
          <w:bCs/>
          <w:sz w:val="22"/>
          <w:szCs w:val="22"/>
        </w:rPr>
        <w:t>$6.4</w:t>
      </w:r>
      <w:r w:rsidR="00DF0AFC" w:rsidRPr="009C0C39">
        <w:rPr>
          <w:rFonts w:ascii="Franklin Gothic Book" w:hAnsi="Franklin Gothic Book" w:cs="Times New Roman"/>
          <w:b/>
          <w:bCs/>
          <w:sz w:val="22"/>
          <w:szCs w:val="22"/>
        </w:rPr>
        <w:t xml:space="preserve"> million</w:t>
      </w:r>
      <w:r w:rsidR="00CE2EB3" w:rsidRPr="009C0C39">
        <w:rPr>
          <w:rFonts w:ascii="Franklin Gothic Book" w:hAnsi="Franklin Gothic Book" w:cs="Times New Roman"/>
          <w:sz w:val="22"/>
          <w:szCs w:val="22"/>
        </w:rPr>
        <w:t xml:space="preserve"> to </w:t>
      </w:r>
      <w:r w:rsidR="00CE2EB3" w:rsidRPr="009C0C39">
        <w:rPr>
          <w:rFonts w:ascii="Franklin Gothic Book" w:hAnsi="Franklin Gothic Book" w:cs="Times New Roman"/>
          <w:b/>
          <w:bCs/>
          <w:sz w:val="22"/>
          <w:szCs w:val="22"/>
        </w:rPr>
        <w:t>$</w:t>
      </w:r>
      <w:r w:rsidR="00821F0B" w:rsidRPr="009C0C39">
        <w:rPr>
          <w:rFonts w:ascii="Franklin Gothic Book" w:hAnsi="Franklin Gothic Book" w:cs="Times New Roman"/>
          <w:b/>
          <w:bCs/>
          <w:sz w:val="22"/>
          <w:szCs w:val="22"/>
        </w:rPr>
        <w:t>7.9</w:t>
      </w:r>
      <w:r w:rsidR="00DF0AFC" w:rsidRPr="009C0C39">
        <w:rPr>
          <w:rFonts w:ascii="Franklin Gothic Book" w:hAnsi="Franklin Gothic Book" w:cs="Times New Roman"/>
          <w:b/>
          <w:bCs/>
          <w:sz w:val="22"/>
          <w:szCs w:val="22"/>
        </w:rPr>
        <w:t xml:space="preserve"> million</w:t>
      </w:r>
      <w:r w:rsidR="00CE2EB3" w:rsidRPr="009C0C39">
        <w:rPr>
          <w:rFonts w:ascii="Franklin Gothic Book" w:hAnsi="Franklin Gothic Book" w:cs="Times New Roman"/>
          <w:b/>
          <w:bCs/>
          <w:sz w:val="22"/>
          <w:szCs w:val="22"/>
        </w:rPr>
        <w:t xml:space="preserve"> </w:t>
      </w:r>
      <w:r w:rsidR="007155C3" w:rsidRPr="009C0C39">
        <w:rPr>
          <w:rFonts w:ascii="Franklin Gothic Book" w:hAnsi="Franklin Gothic Book" w:cs="Times New Roman"/>
          <w:sz w:val="22"/>
          <w:szCs w:val="22"/>
        </w:rPr>
        <w:t xml:space="preserve">due to </w:t>
      </w:r>
      <w:r w:rsidRPr="009C0C39">
        <w:rPr>
          <w:rFonts w:ascii="Franklin Gothic Book" w:hAnsi="Franklin Gothic Book" w:cs="Times New Roman"/>
          <w:sz w:val="22"/>
          <w:szCs w:val="22"/>
        </w:rPr>
        <w:t xml:space="preserve">the proposed Faulkner expansion, and </w:t>
      </w:r>
      <w:r w:rsidR="00CE2EB3" w:rsidRPr="009C0C39">
        <w:rPr>
          <w:rFonts w:ascii="Franklin Gothic Book" w:hAnsi="Franklin Gothic Book" w:cs="Times New Roman"/>
          <w:b/>
          <w:bCs/>
          <w:sz w:val="22"/>
          <w:szCs w:val="22"/>
        </w:rPr>
        <w:t>$30.3</w:t>
      </w:r>
      <w:r w:rsidR="00DF0AFC" w:rsidRPr="009C0C39">
        <w:rPr>
          <w:rFonts w:ascii="Franklin Gothic Book" w:hAnsi="Franklin Gothic Book" w:cs="Times New Roman"/>
          <w:b/>
          <w:bCs/>
          <w:sz w:val="22"/>
          <w:szCs w:val="22"/>
        </w:rPr>
        <w:t xml:space="preserve"> million</w:t>
      </w:r>
      <w:r w:rsidR="00CE2EB3" w:rsidRPr="009C0C39">
        <w:rPr>
          <w:rFonts w:ascii="Franklin Gothic Book" w:hAnsi="Franklin Gothic Book" w:cs="Times New Roman"/>
          <w:b/>
          <w:bCs/>
          <w:sz w:val="22"/>
          <w:szCs w:val="22"/>
        </w:rPr>
        <w:t xml:space="preserve"> </w:t>
      </w:r>
      <w:r w:rsidR="00CE2EB3" w:rsidRPr="009C0C39">
        <w:rPr>
          <w:rFonts w:ascii="Franklin Gothic Book" w:hAnsi="Franklin Gothic Book" w:cs="Times New Roman"/>
          <w:sz w:val="22"/>
          <w:szCs w:val="22"/>
        </w:rPr>
        <w:t>to</w:t>
      </w:r>
      <w:r w:rsidR="00CE2EB3" w:rsidRPr="009C0C39">
        <w:rPr>
          <w:rFonts w:ascii="Franklin Gothic Book" w:hAnsi="Franklin Gothic Book" w:cs="Times New Roman"/>
          <w:b/>
          <w:bCs/>
          <w:sz w:val="22"/>
          <w:szCs w:val="22"/>
        </w:rPr>
        <w:t xml:space="preserve"> $54.4</w:t>
      </w:r>
      <w:r w:rsidR="00DF0AFC" w:rsidRPr="009C0C39">
        <w:rPr>
          <w:rFonts w:ascii="Franklin Gothic Book" w:hAnsi="Franklin Gothic Book" w:cs="Times New Roman"/>
          <w:b/>
          <w:bCs/>
          <w:sz w:val="22"/>
          <w:szCs w:val="22"/>
        </w:rPr>
        <w:t xml:space="preserve"> million</w:t>
      </w:r>
      <w:r w:rsidR="00CE2EB3" w:rsidRPr="009C0C39">
        <w:rPr>
          <w:rFonts w:ascii="Franklin Gothic Book" w:hAnsi="Franklin Gothic Book" w:cs="Times New Roman"/>
          <w:sz w:val="22"/>
          <w:szCs w:val="22"/>
        </w:rPr>
        <w:t xml:space="preserve"> </w:t>
      </w:r>
      <w:r w:rsidR="007155C3" w:rsidRPr="009C0C39">
        <w:rPr>
          <w:rFonts w:ascii="Franklin Gothic Book" w:hAnsi="Franklin Gothic Book" w:cs="Times New Roman"/>
          <w:sz w:val="22"/>
          <w:szCs w:val="22"/>
        </w:rPr>
        <w:t xml:space="preserve">due to </w:t>
      </w:r>
      <w:r w:rsidRPr="009C0C39">
        <w:rPr>
          <w:rFonts w:ascii="Franklin Gothic Book" w:hAnsi="Franklin Gothic Book" w:cs="Times New Roman"/>
          <w:sz w:val="22"/>
          <w:szCs w:val="22"/>
        </w:rPr>
        <w:t xml:space="preserve">the proposed MGH expansion. </w:t>
      </w:r>
      <w:r w:rsidR="00DF0AFC" w:rsidRPr="009C0C39">
        <w:rPr>
          <w:rFonts w:ascii="Franklin Gothic Book" w:hAnsi="Franklin Gothic Book" w:cs="Times New Roman"/>
          <w:sz w:val="22"/>
          <w:szCs w:val="22"/>
        </w:rPr>
        <w:t>T</w:t>
      </w:r>
      <w:r w:rsidRPr="009C0C39">
        <w:rPr>
          <w:rFonts w:ascii="Franklin Gothic Book" w:hAnsi="Franklin Gothic Book" w:cs="Times New Roman"/>
          <w:sz w:val="22"/>
          <w:szCs w:val="22"/>
        </w:rPr>
        <w:t xml:space="preserve">hese projects are </w:t>
      </w:r>
      <w:r w:rsidR="00DF0AFC" w:rsidRPr="009C0C39">
        <w:rPr>
          <w:rFonts w:ascii="Franklin Gothic Book" w:hAnsi="Franklin Gothic Book" w:cs="Times New Roman"/>
          <w:sz w:val="22"/>
          <w:szCs w:val="22"/>
        </w:rPr>
        <w:t xml:space="preserve">also likely to shift </w:t>
      </w:r>
      <w:r w:rsidRPr="009C0C39">
        <w:rPr>
          <w:rFonts w:ascii="Franklin Gothic Book" w:hAnsi="Franklin Gothic Book" w:cs="Times New Roman"/>
          <w:sz w:val="22"/>
          <w:szCs w:val="22"/>
        </w:rPr>
        <w:t xml:space="preserve">substantial commercial revenue to the MGB system and away from </w:t>
      </w:r>
      <w:r w:rsidRPr="009C0C39">
        <w:rPr>
          <w:rFonts w:ascii="Franklin Gothic Book" w:hAnsi="Franklin Gothic Book" w:cs="Times New Roman"/>
          <w:sz w:val="22"/>
          <w:szCs w:val="22"/>
        </w:rPr>
        <w:lastRenderedPageBreak/>
        <w:t>other providers in the Commonwealth</w:t>
      </w:r>
      <w:r w:rsidR="00E33735" w:rsidRPr="009C0C39">
        <w:rPr>
          <w:rFonts w:ascii="Franklin Gothic Book" w:hAnsi="Franklin Gothic Book" w:cs="Times New Roman"/>
          <w:sz w:val="22"/>
          <w:szCs w:val="22"/>
        </w:rPr>
        <w:t xml:space="preserve">, with a loss </w:t>
      </w:r>
      <w:r w:rsidR="00247ECF" w:rsidRPr="009C0C39">
        <w:rPr>
          <w:rFonts w:ascii="Franklin Gothic Book" w:hAnsi="Franklin Gothic Book" w:cs="Times New Roman"/>
          <w:sz w:val="22"/>
          <w:szCs w:val="22"/>
        </w:rPr>
        <w:t xml:space="preserve">for other providers </w:t>
      </w:r>
      <w:r w:rsidR="00E33735" w:rsidRPr="009C0C39">
        <w:rPr>
          <w:rFonts w:ascii="Franklin Gothic Book" w:hAnsi="Franklin Gothic Book" w:cs="Times New Roman"/>
          <w:sz w:val="22"/>
          <w:szCs w:val="22"/>
        </w:rPr>
        <w:t>in the range of</w:t>
      </w:r>
      <w:r w:rsidR="008F60D0" w:rsidRPr="009C0C39">
        <w:rPr>
          <w:rFonts w:ascii="Franklin Gothic Book" w:hAnsi="Franklin Gothic Book" w:cs="Times New Roman"/>
          <w:sz w:val="22"/>
          <w:szCs w:val="22"/>
        </w:rPr>
        <w:t xml:space="preserve"> </w:t>
      </w:r>
      <w:r w:rsidR="00A44395" w:rsidRPr="009C0C39">
        <w:rPr>
          <w:rFonts w:ascii="Franklin Gothic Book" w:hAnsi="Franklin Gothic Book" w:cs="Times New Roman"/>
          <w:b/>
          <w:bCs/>
          <w:sz w:val="22"/>
          <w:szCs w:val="22"/>
        </w:rPr>
        <w:t>$</w:t>
      </w:r>
      <w:r w:rsidR="00821F0B" w:rsidRPr="009C0C39">
        <w:rPr>
          <w:rFonts w:ascii="Franklin Gothic Book" w:hAnsi="Franklin Gothic Book" w:cs="Times New Roman"/>
          <w:b/>
          <w:bCs/>
          <w:sz w:val="22"/>
          <w:szCs w:val="22"/>
        </w:rPr>
        <w:t>152.9</w:t>
      </w:r>
      <w:r w:rsidR="00A44395" w:rsidRPr="009C0C39">
        <w:rPr>
          <w:rFonts w:ascii="Franklin Gothic Book" w:hAnsi="Franklin Gothic Book" w:cs="Times New Roman"/>
          <w:sz w:val="22"/>
          <w:szCs w:val="22"/>
        </w:rPr>
        <w:t xml:space="preserve"> </w:t>
      </w:r>
      <w:r w:rsidR="00A44395" w:rsidRPr="009C0C39">
        <w:rPr>
          <w:rFonts w:ascii="Franklin Gothic Book" w:hAnsi="Franklin Gothic Book" w:cs="Times New Roman"/>
          <w:b/>
          <w:bCs/>
          <w:sz w:val="22"/>
          <w:szCs w:val="22"/>
        </w:rPr>
        <w:t>million</w:t>
      </w:r>
      <w:r w:rsidR="00A44395" w:rsidRPr="009C0C39">
        <w:rPr>
          <w:rFonts w:ascii="Franklin Gothic Book" w:hAnsi="Franklin Gothic Book" w:cs="Times New Roman"/>
          <w:sz w:val="22"/>
          <w:szCs w:val="22"/>
        </w:rPr>
        <w:t xml:space="preserve"> to </w:t>
      </w:r>
      <w:r w:rsidR="00A44395" w:rsidRPr="009C0C39">
        <w:rPr>
          <w:rFonts w:ascii="Franklin Gothic Book" w:hAnsi="Franklin Gothic Book" w:cs="Times New Roman"/>
          <w:b/>
          <w:bCs/>
          <w:sz w:val="22"/>
          <w:szCs w:val="22"/>
        </w:rPr>
        <w:t>$</w:t>
      </w:r>
      <w:r w:rsidR="00821F0B" w:rsidRPr="009C0C39">
        <w:rPr>
          <w:rFonts w:ascii="Franklin Gothic Book" w:hAnsi="Franklin Gothic Book" w:cs="Times New Roman"/>
          <w:b/>
          <w:bCs/>
          <w:sz w:val="22"/>
          <w:szCs w:val="22"/>
        </w:rPr>
        <w:t>261.1</w:t>
      </w:r>
      <w:r w:rsidR="00A44395" w:rsidRPr="009C0C39">
        <w:rPr>
          <w:rFonts w:ascii="Franklin Gothic Book" w:hAnsi="Franklin Gothic Book" w:cs="Times New Roman"/>
          <w:sz w:val="22"/>
          <w:szCs w:val="22"/>
        </w:rPr>
        <w:t xml:space="preserve"> </w:t>
      </w:r>
      <w:r w:rsidR="00A44395" w:rsidRPr="009C0C39">
        <w:rPr>
          <w:rFonts w:ascii="Franklin Gothic Book" w:hAnsi="Franklin Gothic Book" w:cs="Times New Roman"/>
          <w:b/>
          <w:bCs/>
          <w:sz w:val="22"/>
          <w:szCs w:val="22"/>
        </w:rPr>
        <w:t>million</w:t>
      </w:r>
      <w:r w:rsidR="00A44395" w:rsidRPr="009C0C39">
        <w:rPr>
          <w:rFonts w:ascii="Franklin Gothic Book" w:hAnsi="Franklin Gothic Book" w:cs="Times New Roman"/>
          <w:sz w:val="22"/>
          <w:szCs w:val="22"/>
        </w:rPr>
        <w:t xml:space="preserve"> </w:t>
      </w:r>
      <w:r w:rsidR="00E33735" w:rsidRPr="009C0C39">
        <w:rPr>
          <w:rFonts w:ascii="Franklin Gothic Book" w:hAnsi="Franklin Gothic Book" w:cs="Times New Roman"/>
          <w:sz w:val="22"/>
          <w:szCs w:val="22"/>
        </w:rPr>
        <w:t xml:space="preserve">in </w:t>
      </w:r>
      <w:r w:rsidRPr="009C0C39">
        <w:rPr>
          <w:rFonts w:ascii="Franklin Gothic Book" w:hAnsi="Franklin Gothic Book" w:cs="Times New Roman"/>
          <w:sz w:val="22"/>
          <w:szCs w:val="22"/>
        </w:rPr>
        <w:t>commercial revenue</w:t>
      </w:r>
      <w:r w:rsidR="00ED623D" w:rsidRPr="009C0C39">
        <w:rPr>
          <w:rFonts w:ascii="Franklin Gothic Book" w:hAnsi="Franklin Gothic Book" w:cs="Times New Roman"/>
          <w:sz w:val="22"/>
          <w:szCs w:val="22"/>
        </w:rPr>
        <w:t xml:space="preserve"> each year</w:t>
      </w:r>
      <w:r w:rsidR="00DF0AFC" w:rsidRPr="009C0C39">
        <w:rPr>
          <w:rFonts w:ascii="Franklin Gothic Book" w:hAnsi="Franklin Gothic Book" w:cs="Times New Roman"/>
          <w:sz w:val="22"/>
          <w:szCs w:val="22"/>
        </w:rPr>
        <w:t xml:space="preserve"> for the subset of proposed services that the HPC was able to quantify</w:t>
      </w:r>
      <w:r w:rsidRPr="009C0C39">
        <w:rPr>
          <w:rFonts w:ascii="Franklin Gothic Book" w:hAnsi="Franklin Gothic Book" w:cs="Times New Roman"/>
          <w:sz w:val="22"/>
          <w:szCs w:val="22"/>
        </w:rPr>
        <w:t xml:space="preserve">. </w:t>
      </w:r>
      <w:bookmarkStart w:id="7" w:name="_Hlk93845535"/>
      <w:r w:rsidR="00DF0AFC" w:rsidRPr="009C0C39">
        <w:rPr>
          <w:rFonts w:ascii="Franklin Gothic Book" w:hAnsi="Franklin Gothic Book" w:cs="Times New Roman"/>
          <w:sz w:val="22"/>
          <w:szCs w:val="22"/>
        </w:rPr>
        <w:t xml:space="preserve">These providers </w:t>
      </w:r>
      <w:r w:rsidR="00DF0AFC" w:rsidRPr="009C0C39">
        <w:rPr>
          <w:rFonts w:ascii="Franklin Gothic Book" w:eastAsia="Calibri" w:hAnsi="Franklin Gothic Book" w:cs="Times New Roman"/>
          <w:sz w:val="22"/>
          <w:szCs w:val="22"/>
        </w:rPr>
        <w:t>have fewer financial resources and lower average prices for commercially</w:t>
      </w:r>
      <w:r w:rsidR="00CF224F" w:rsidRPr="009C0C39">
        <w:rPr>
          <w:rFonts w:ascii="Franklin Gothic Book" w:eastAsia="Calibri" w:hAnsi="Franklin Gothic Book" w:cs="Times New Roman"/>
          <w:sz w:val="22"/>
          <w:szCs w:val="22"/>
        </w:rPr>
        <w:t xml:space="preserve"> </w:t>
      </w:r>
      <w:bookmarkEnd w:id="5"/>
      <w:r w:rsidR="00DF0AFC" w:rsidRPr="009C0C39">
        <w:rPr>
          <w:rFonts w:ascii="Franklin Gothic Book" w:eastAsia="Calibri" w:hAnsi="Franklin Gothic Book" w:cs="Times New Roman"/>
          <w:sz w:val="22"/>
          <w:szCs w:val="22"/>
        </w:rPr>
        <w:t>insured patients, and they generally serve larger proportions of MassHealth patients and communities with higher indicia of social need than MGB</w:t>
      </w:r>
      <w:r w:rsidR="00DF0AFC" w:rsidRPr="009C0C39">
        <w:rPr>
          <w:rFonts w:ascii="Franklin Gothic Book" w:hAnsi="Franklin Gothic Book" w:cs="Times New Roman"/>
          <w:sz w:val="22"/>
          <w:szCs w:val="22"/>
        </w:rPr>
        <w:t xml:space="preserve">. </w:t>
      </w:r>
      <w:bookmarkEnd w:id="7"/>
      <w:r w:rsidR="007B6279" w:rsidRPr="009C0C39">
        <w:rPr>
          <w:rFonts w:ascii="Franklin Gothic Book" w:hAnsi="Franklin Gothic Book" w:cs="Times New Roman"/>
          <w:sz w:val="22"/>
          <w:szCs w:val="22"/>
        </w:rPr>
        <w:t>Given t</w:t>
      </w:r>
      <w:r w:rsidR="0062704A" w:rsidRPr="009C0C39">
        <w:rPr>
          <w:rFonts w:ascii="Franklin Gothic Book" w:hAnsi="Franklin Gothic Book" w:cs="Times New Roman"/>
          <w:sz w:val="22"/>
          <w:szCs w:val="22"/>
        </w:rPr>
        <w:t>hese impacts</w:t>
      </w:r>
      <w:r w:rsidR="007B6279" w:rsidRPr="009C0C39">
        <w:rPr>
          <w:rFonts w:ascii="Franklin Gothic Book" w:hAnsi="Franklin Gothic Book" w:cs="Times New Roman"/>
          <w:sz w:val="22"/>
          <w:szCs w:val="22"/>
        </w:rPr>
        <w:t>, the projects</w:t>
      </w:r>
      <w:r w:rsidR="0062704A" w:rsidRPr="009C0C39">
        <w:rPr>
          <w:rFonts w:ascii="Franklin Gothic Book" w:hAnsi="Franklin Gothic Book" w:cs="Times New Roman"/>
          <w:sz w:val="22"/>
          <w:szCs w:val="22"/>
        </w:rPr>
        <w:t xml:space="preserve"> are not consistent with the Commonwealth’s goals for cost containment.</w:t>
      </w:r>
    </w:p>
    <w:bookmarkEnd w:id="4"/>
    <w:p w14:paraId="2B5903D1" w14:textId="77777777" w:rsidR="0062704A" w:rsidRPr="009C0C39" w:rsidRDefault="0062704A" w:rsidP="0062704A">
      <w:pPr>
        <w:pStyle w:val="CommentText"/>
        <w:ind w:firstLine="720"/>
        <w:rPr>
          <w:rFonts w:ascii="Franklin Gothic Book" w:hAnsi="Franklin Gothic Book" w:cs="Times New Roman"/>
          <w:sz w:val="22"/>
          <w:szCs w:val="22"/>
        </w:rPr>
      </w:pPr>
    </w:p>
    <w:p w14:paraId="0461DA03" w14:textId="40768D98" w:rsidR="0062704A" w:rsidRPr="009C0C39" w:rsidRDefault="0062704A" w:rsidP="00EA3528">
      <w:pPr>
        <w:pStyle w:val="CommentText"/>
        <w:ind w:firstLine="720"/>
        <w:rPr>
          <w:rFonts w:ascii="Franklin Gothic Book" w:hAnsi="Franklin Gothic Book" w:cs="Times New Roman"/>
          <w:b/>
          <w:bCs/>
          <w:sz w:val="22"/>
          <w:szCs w:val="22"/>
        </w:rPr>
      </w:pPr>
      <w:r w:rsidRPr="009C0C39">
        <w:rPr>
          <w:rFonts w:ascii="Franklin Gothic Book" w:hAnsi="Franklin Gothic Book" w:cs="Times New Roman"/>
          <w:sz w:val="22"/>
          <w:szCs w:val="22"/>
        </w:rPr>
        <w:t xml:space="preserve">This comment is organized into four parts. Part I provides a brief overview of the review process to-date including the independent cost-analyses and the HPC’s concerns regarding those analyses. Part II provides background on MGB and the current structure and functioning of the health care system in Massachusetts as important context for understanding the potential impact of the proposed expansions. Part III presents our findings on the likely spending impacts from the proposed projects, </w:t>
      </w:r>
      <w:r w:rsidR="00F51064" w:rsidRPr="009C0C39">
        <w:rPr>
          <w:rFonts w:ascii="Franklin Gothic Book" w:hAnsi="Franklin Gothic Book" w:cs="Times New Roman"/>
          <w:sz w:val="22"/>
          <w:szCs w:val="22"/>
        </w:rPr>
        <w:t>distinguishing</w:t>
      </w:r>
      <w:r w:rsidRPr="009C0C39">
        <w:rPr>
          <w:rFonts w:ascii="Franklin Gothic Book" w:hAnsi="Franklin Gothic Book" w:cs="Times New Roman"/>
          <w:sz w:val="22"/>
          <w:szCs w:val="22"/>
        </w:rPr>
        <w:t xml:space="preserve"> </w:t>
      </w:r>
      <w:r w:rsidR="00F51064"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 xml:space="preserve">impacts </w:t>
      </w:r>
      <w:r w:rsidR="00A23335">
        <w:rPr>
          <w:rFonts w:ascii="Franklin Gothic Book" w:hAnsi="Franklin Gothic Book" w:cs="Times New Roman"/>
          <w:sz w:val="22"/>
          <w:szCs w:val="22"/>
        </w:rPr>
        <w:t>for each</w:t>
      </w:r>
      <w:r w:rsidR="00A23335"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project where possible, and Part IV outlines some broader implications of the proposed expansions on market functioning, including potential impacts to health care access and equity. Below is a summary of the findings presented in Parts II through IV.</w:t>
      </w:r>
    </w:p>
    <w:p w14:paraId="38F5478F" w14:textId="5C474D58" w:rsidR="0062704A" w:rsidRPr="009C0C39" w:rsidRDefault="0062704A" w:rsidP="0062704A">
      <w:pPr>
        <w:pStyle w:val="ListParagraph"/>
        <w:spacing w:before="240" w:after="240"/>
        <w:ind w:left="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Background: MGB and the </w:t>
      </w:r>
      <w:r w:rsidR="004D5BDC">
        <w:rPr>
          <w:rFonts w:ascii="Franklin Gothic Book" w:hAnsi="Franklin Gothic Book" w:cs="Times New Roman"/>
          <w:b/>
          <w:bCs/>
          <w:sz w:val="22"/>
          <w:szCs w:val="22"/>
        </w:rPr>
        <w:t>C</w:t>
      </w:r>
      <w:r w:rsidRPr="009C0C39">
        <w:rPr>
          <w:rFonts w:ascii="Franklin Gothic Book" w:hAnsi="Franklin Gothic Book" w:cs="Times New Roman"/>
          <w:b/>
          <w:bCs/>
          <w:sz w:val="22"/>
          <w:szCs w:val="22"/>
        </w:rPr>
        <w:t xml:space="preserve">urrent </w:t>
      </w:r>
      <w:r w:rsidR="004D5BDC">
        <w:rPr>
          <w:rFonts w:ascii="Franklin Gothic Book" w:hAnsi="Franklin Gothic Book" w:cs="Times New Roman"/>
          <w:b/>
          <w:bCs/>
          <w:sz w:val="22"/>
          <w:szCs w:val="22"/>
        </w:rPr>
        <w:t>P</w:t>
      </w:r>
      <w:r w:rsidRPr="009C0C39">
        <w:rPr>
          <w:rFonts w:ascii="Franklin Gothic Book" w:hAnsi="Franklin Gothic Book" w:cs="Times New Roman"/>
          <w:b/>
          <w:bCs/>
          <w:sz w:val="22"/>
          <w:szCs w:val="22"/>
        </w:rPr>
        <w:t xml:space="preserve">rovider </w:t>
      </w:r>
      <w:r w:rsidR="004D5BDC">
        <w:rPr>
          <w:rFonts w:ascii="Franklin Gothic Book" w:hAnsi="Franklin Gothic Book" w:cs="Times New Roman"/>
          <w:b/>
          <w:bCs/>
          <w:sz w:val="22"/>
          <w:szCs w:val="22"/>
        </w:rPr>
        <w:t>L</w:t>
      </w:r>
      <w:r w:rsidRPr="009C0C39">
        <w:rPr>
          <w:rFonts w:ascii="Franklin Gothic Book" w:hAnsi="Franklin Gothic Book" w:cs="Times New Roman"/>
          <w:b/>
          <w:bCs/>
          <w:sz w:val="22"/>
          <w:szCs w:val="22"/>
        </w:rPr>
        <w:t xml:space="preserve">andscape in Massachusetts: </w:t>
      </w:r>
      <w:r w:rsidRPr="009C0C39">
        <w:rPr>
          <w:rFonts w:ascii="Franklin Gothic Book" w:hAnsi="Franklin Gothic Book" w:cs="Times New Roman"/>
          <w:sz w:val="22"/>
          <w:szCs w:val="22"/>
        </w:rPr>
        <w:t>MGB is the largest provider system in Massachusetts, with significantly higher prices than nearly all other Massachusetts providers and higher spending for its patients</w:t>
      </w:r>
      <w:r w:rsidR="007B6279" w:rsidRPr="009C0C39">
        <w:rPr>
          <w:rFonts w:ascii="Franklin Gothic Book" w:hAnsi="Franklin Gothic Book" w:cs="Times New Roman"/>
          <w:sz w:val="22"/>
          <w:szCs w:val="22"/>
        </w:rPr>
        <w:t>. MGB is a high-quality provider system, but much of the care that MGB provides—and the services it is proposing to expand—constitutes routine care that can be provided by other high-quality Massachusetts providers</w:t>
      </w:r>
      <w:r w:rsidRPr="009C0C39">
        <w:rPr>
          <w:rFonts w:ascii="Franklin Gothic Book" w:hAnsi="Franklin Gothic Book" w:cs="Times New Roman"/>
          <w:sz w:val="22"/>
          <w:szCs w:val="22"/>
        </w:rPr>
        <w:t xml:space="preserve">. MGB providers generally serve higher proportions of commercially insured patients and patients from wealthier communities. Reflecting many of these dynamics, MGB has substantially more financial resources than other Massachusetts provider systems. </w:t>
      </w:r>
    </w:p>
    <w:p w14:paraId="34C701B5" w14:textId="7E481A14" w:rsidR="0062704A" w:rsidRPr="009C0C39" w:rsidRDefault="0062704A" w:rsidP="0062704A">
      <w:pPr>
        <w:spacing w:after="240"/>
        <w:rPr>
          <w:rFonts w:ascii="Franklin Gothic Book" w:hAnsi="Franklin Gothic Book" w:cs="Times New Roman"/>
          <w:sz w:val="22"/>
          <w:szCs w:val="22"/>
        </w:rPr>
      </w:pPr>
      <w:r w:rsidRPr="009C0C39">
        <w:rPr>
          <w:rFonts w:ascii="Franklin Gothic Book" w:hAnsi="Franklin Gothic Book" w:cs="Times New Roman"/>
          <w:b/>
          <w:bCs/>
          <w:sz w:val="22"/>
          <w:szCs w:val="22"/>
        </w:rPr>
        <w:t>Projected Impacts on Health Care Spending</w:t>
      </w:r>
      <w:r w:rsidR="00044F4B" w:rsidRPr="009C0C39">
        <w:rPr>
          <w:rFonts w:ascii="Franklin Gothic Book" w:hAnsi="Franklin Gothic Book" w:cs="Times New Roman"/>
          <w:b/>
          <w:bCs/>
          <w:sz w:val="22"/>
          <w:szCs w:val="22"/>
        </w:rPr>
        <w:t>:</w:t>
      </w:r>
      <w:r w:rsidRPr="009C0C39">
        <w:rPr>
          <w:rFonts w:ascii="Franklin Gothic Book" w:hAnsi="Franklin Gothic Book" w:cs="Times New Roman"/>
          <w:sz w:val="22"/>
          <w:szCs w:val="22"/>
        </w:rPr>
        <w:t xml:space="preserve"> The projects described in the three DoN applications are likely to increase total health care spending and </w:t>
      </w:r>
      <w:r w:rsidR="0077730A" w:rsidRPr="009C0C39">
        <w:rPr>
          <w:rFonts w:ascii="Franklin Gothic Book" w:hAnsi="Franklin Gothic Book" w:cs="Times New Roman"/>
          <w:sz w:val="22"/>
          <w:szCs w:val="22"/>
        </w:rPr>
        <w:t>result in increased commercial insurance premiums</w:t>
      </w:r>
      <w:r w:rsidRPr="009C0C39">
        <w:rPr>
          <w:rFonts w:ascii="Franklin Gothic Book" w:hAnsi="Franklin Gothic Book" w:cs="Times New Roman"/>
          <w:sz w:val="22"/>
          <w:szCs w:val="22"/>
        </w:rPr>
        <w:t>. Specifically:</w:t>
      </w:r>
    </w:p>
    <w:p w14:paraId="51993E8A" w14:textId="7A3A6210" w:rsidR="0062704A" w:rsidRPr="009C0C39" w:rsidRDefault="0062704A" w:rsidP="003F4302">
      <w:pPr>
        <w:pStyle w:val="ListParagraph"/>
        <w:numPr>
          <w:ilvl w:val="1"/>
          <w:numId w:val="2"/>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The</w:t>
      </w:r>
      <w:r w:rsidR="00765942" w:rsidRPr="009C0C39">
        <w:rPr>
          <w:rFonts w:ascii="Franklin Gothic Book" w:hAnsi="Franklin Gothic Book" w:cs="Times New Roman"/>
          <w:sz w:val="22"/>
          <w:szCs w:val="22"/>
        </w:rPr>
        <w:t xml:space="preserve"> new and expanded capacity</w:t>
      </w:r>
      <w:r w:rsidRPr="009C0C39">
        <w:rPr>
          <w:rFonts w:ascii="Franklin Gothic Book" w:hAnsi="Franklin Gothic Book" w:cs="Times New Roman"/>
          <w:sz w:val="22"/>
          <w:szCs w:val="22"/>
        </w:rPr>
        <w:t xml:space="preserve"> </w:t>
      </w:r>
      <w:r w:rsidR="00C1629C" w:rsidRPr="009C0C39">
        <w:rPr>
          <w:rFonts w:ascii="Franklin Gothic Book" w:hAnsi="Franklin Gothic Book" w:cs="Times New Roman"/>
          <w:sz w:val="22"/>
          <w:szCs w:val="22"/>
        </w:rPr>
        <w:t xml:space="preserve">from the proposed </w:t>
      </w:r>
      <w:r w:rsidRPr="009C0C39">
        <w:rPr>
          <w:rFonts w:ascii="Franklin Gothic Book" w:hAnsi="Franklin Gothic Book" w:cs="Times New Roman"/>
          <w:sz w:val="22"/>
          <w:szCs w:val="22"/>
        </w:rPr>
        <w:t xml:space="preserve">projects </w:t>
      </w:r>
      <w:r w:rsidR="00C1629C" w:rsidRPr="009C0C39">
        <w:rPr>
          <w:rFonts w:ascii="Franklin Gothic Book" w:hAnsi="Franklin Gothic Book" w:cs="Times New Roman"/>
          <w:sz w:val="22"/>
          <w:szCs w:val="22"/>
        </w:rPr>
        <w:t xml:space="preserve">is </w:t>
      </w:r>
      <w:r w:rsidRPr="009C0C39">
        <w:rPr>
          <w:rFonts w:ascii="Franklin Gothic Book" w:hAnsi="Franklin Gothic Book" w:cs="Times New Roman"/>
          <w:sz w:val="22"/>
          <w:szCs w:val="22"/>
        </w:rPr>
        <w:t xml:space="preserve">likely to drive significant </w:t>
      </w:r>
      <w:r w:rsidR="00297250" w:rsidRPr="009C0C39">
        <w:rPr>
          <w:rFonts w:ascii="Franklin Gothic Book" w:hAnsi="Franklin Gothic Book" w:cs="Times New Roman"/>
          <w:sz w:val="22"/>
          <w:szCs w:val="22"/>
        </w:rPr>
        <w:t xml:space="preserve">patient </w:t>
      </w:r>
      <w:r w:rsidRPr="009C0C39">
        <w:rPr>
          <w:rFonts w:ascii="Franklin Gothic Book" w:hAnsi="Franklin Gothic Book" w:cs="Times New Roman"/>
          <w:sz w:val="22"/>
          <w:szCs w:val="22"/>
        </w:rPr>
        <w:t>volume and revenue</w:t>
      </w:r>
      <w:r w:rsidR="00485149" w:rsidRPr="009C0C39">
        <w:rPr>
          <w:rFonts w:ascii="Franklin Gothic Book" w:hAnsi="Franklin Gothic Book" w:cs="Times New Roman"/>
          <w:sz w:val="22"/>
          <w:szCs w:val="22"/>
        </w:rPr>
        <w:t>—particularly commercially</w:t>
      </w:r>
      <w:r w:rsidR="00CF224F" w:rsidRPr="009C0C39">
        <w:rPr>
          <w:rFonts w:ascii="Franklin Gothic Book" w:hAnsi="Franklin Gothic Book" w:cs="Times New Roman"/>
          <w:sz w:val="22"/>
          <w:szCs w:val="22"/>
        </w:rPr>
        <w:t xml:space="preserve"> </w:t>
      </w:r>
      <w:r w:rsidR="00485149" w:rsidRPr="009C0C39">
        <w:rPr>
          <w:rFonts w:ascii="Franklin Gothic Book" w:hAnsi="Franklin Gothic Book" w:cs="Times New Roman"/>
          <w:sz w:val="22"/>
          <w:szCs w:val="22"/>
        </w:rPr>
        <w:t>insured volume—</w:t>
      </w:r>
      <w:r w:rsidRPr="009C0C39">
        <w:rPr>
          <w:rFonts w:ascii="Franklin Gothic Book" w:hAnsi="Franklin Gothic Book" w:cs="Times New Roman"/>
          <w:sz w:val="22"/>
          <w:szCs w:val="22"/>
        </w:rPr>
        <w:t>to the higher-cost MGB system and away from other lower-cost providers;</w:t>
      </w:r>
    </w:p>
    <w:p w14:paraId="7F012067" w14:textId="5B54A9B9" w:rsidR="0062704A" w:rsidRPr="009C0C39" w:rsidRDefault="0062704A" w:rsidP="003F4302">
      <w:pPr>
        <w:pStyle w:val="ListParagraph"/>
        <w:numPr>
          <w:ilvl w:val="1"/>
          <w:numId w:val="2"/>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Both the ambulatory expansion and the hospital expansions are anticipated to result in </w:t>
      </w:r>
      <w:r w:rsidR="007B6279" w:rsidRPr="009C0C39">
        <w:rPr>
          <w:rFonts w:ascii="Franklin Gothic Book" w:hAnsi="Franklin Gothic Book" w:cs="Times New Roman"/>
          <w:sz w:val="22"/>
          <w:szCs w:val="22"/>
        </w:rPr>
        <w:t>increased</w:t>
      </w:r>
      <w:r w:rsidRPr="009C0C39">
        <w:rPr>
          <w:rFonts w:ascii="Franklin Gothic Book" w:hAnsi="Franklin Gothic Book" w:cs="Times New Roman"/>
          <w:sz w:val="22"/>
          <w:szCs w:val="22"/>
        </w:rPr>
        <w:t xml:space="preserve"> health care spending, based on conservative projections for a subset of potential spending drivers: </w:t>
      </w:r>
    </w:p>
    <w:p w14:paraId="6944FB50" w14:textId="0BC8510C" w:rsidR="0062704A" w:rsidRPr="009C0C39" w:rsidRDefault="0062704A" w:rsidP="003F4302">
      <w:pPr>
        <w:pStyle w:val="ListParagraph"/>
        <w:numPr>
          <w:ilvl w:val="2"/>
          <w:numId w:val="2"/>
        </w:numPr>
        <w:spacing w:after="240"/>
        <w:ind w:left="108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ambulatory expansion would likely increase annual commercial spending by $9.5 million to $15.4 million due </w:t>
      </w:r>
      <w:r w:rsidR="00C15BEF" w:rsidRPr="009C0C39">
        <w:rPr>
          <w:rFonts w:ascii="Franklin Gothic Book" w:hAnsi="Franklin Gothic Book" w:cs="Times New Roman"/>
          <w:sz w:val="22"/>
          <w:szCs w:val="22"/>
        </w:rPr>
        <w:t xml:space="preserve">to </w:t>
      </w:r>
      <w:r w:rsidRPr="009C0C39">
        <w:rPr>
          <w:rFonts w:ascii="Franklin Gothic Book" w:hAnsi="Franklin Gothic Book" w:cs="Times New Roman"/>
          <w:sz w:val="22"/>
          <w:szCs w:val="22"/>
        </w:rPr>
        <w:t>new primary care patients joining the higher cost MGB system</w:t>
      </w:r>
      <w:r w:rsidR="00485149" w:rsidRPr="009C0C39">
        <w:rPr>
          <w:rFonts w:ascii="Franklin Gothic Book" w:hAnsi="Franklin Gothic Book" w:cs="Times New Roman"/>
          <w:sz w:val="22"/>
          <w:szCs w:val="22"/>
        </w:rPr>
        <w:t>. S</w:t>
      </w:r>
      <w:r w:rsidR="00EA3528" w:rsidRPr="009C0C39">
        <w:rPr>
          <w:rFonts w:ascii="Franklin Gothic Book" w:hAnsi="Franklin Gothic Book" w:cs="Times New Roman"/>
          <w:sz w:val="22"/>
          <w:szCs w:val="22"/>
        </w:rPr>
        <w:t xml:space="preserve">ubstantial </w:t>
      </w:r>
      <w:r w:rsidRPr="009C0C39">
        <w:rPr>
          <w:rFonts w:ascii="Franklin Gothic Book" w:hAnsi="Franklin Gothic Book" w:cs="Times New Roman"/>
          <w:sz w:val="22"/>
          <w:szCs w:val="22"/>
        </w:rPr>
        <w:t xml:space="preserve">additional spending increases </w:t>
      </w:r>
      <w:r w:rsidR="00485149" w:rsidRPr="009C0C39">
        <w:rPr>
          <w:rFonts w:ascii="Franklin Gothic Book" w:hAnsi="Franklin Gothic Book" w:cs="Times New Roman"/>
          <w:sz w:val="22"/>
          <w:szCs w:val="22"/>
        </w:rPr>
        <w:t xml:space="preserve">are </w:t>
      </w:r>
      <w:r w:rsidR="00EA3528" w:rsidRPr="009C0C39">
        <w:rPr>
          <w:rFonts w:ascii="Franklin Gothic Book" w:hAnsi="Franklin Gothic Book" w:cs="Times New Roman"/>
          <w:sz w:val="22"/>
          <w:szCs w:val="22"/>
        </w:rPr>
        <w:t xml:space="preserve">expected </w:t>
      </w:r>
      <w:r w:rsidRPr="009C0C39">
        <w:rPr>
          <w:rFonts w:ascii="Franklin Gothic Book" w:hAnsi="Franklin Gothic Book" w:cs="Times New Roman"/>
          <w:sz w:val="22"/>
          <w:szCs w:val="22"/>
        </w:rPr>
        <w:t xml:space="preserve">due to increased inpatient and outpatient volume at MGB hospitals </w:t>
      </w:r>
      <w:r w:rsidR="00C41EA9">
        <w:rPr>
          <w:rFonts w:ascii="Franklin Gothic Book" w:hAnsi="Franklin Gothic Book" w:cs="Times New Roman"/>
          <w:sz w:val="22"/>
          <w:szCs w:val="22"/>
        </w:rPr>
        <w:t xml:space="preserve">coming </w:t>
      </w:r>
      <w:r w:rsidRPr="009C0C39">
        <w:rPr>
          <w:rFonts w:ascii="Franklin Gothic Book" w:hAnsi="Franklin Gothic Book" w:cs="Times New Roman"/>
          <w:sz w:val="22"/>
          <w:szCs w:val="22"/>
        </w:rPr>
        <w:t>from patients living near the ambulatory sites</w:t>
      </w:r>
      <w:r w:rsidR="00C41EA9">
        <w:rPr>
          <w:rFonts w:ascii="Franklin Gothic Book" w:hAnsi="Franklin Gothic Book" w:cs="Times New Roman"/>
          <w:sz w:val="22"/>
          <w:szCs w:val="22"/>
        </w:rPr>
        <w:t xml:space="preserve">. These increases would be </w:t>
      </w:r>
      <w:r w:rsidR="00247ECF" w:rsidRPr="009C0C39">
        <w:rPr>
          <w:rFonts w:ascii="Franklin Gothic Book" w:hAnsi="Franklin Gothic Book" w:cs="Times New Roman"/>
          <w:sz w:val="22"/>
          <w:szCs w:val="22"/>
        </w:rPr>
        <w:t>$4.5 million to $17.9 million for inpatient care if the three proposed sites allow MGB to achieve half of its market share growth expectations for its larger multiyear ambulatory plan</w:t>
      </w:r>
      <w:r w:rsidR="007E6CA0" w:rsidRPr="009C0C39">
        <w:rPr>
          <w:rFonts w:ascii="Franklin Gothic Book" w:hAnsi="Franklin Gothic Book" w:cs="Times New Roman"/>
          <w:sz w:val="22"/>
          <w:szCs w:val="22"/>
        </w:rPr>
        <w:t xml:space="preserve">, or half of that amount if the three proposed sites allow MGB to achieve a quarter of its expectations </w:t>
      </w:r>
      <w:r w:rsidR="00C41EA9">
        <w:rPr>
          <w:rFonts w:ascii="Franklin Gothic Book" w:hAnsi="Franklin Gothic Book" w:cs="Times New Roman"/>
          <w:sz w:val="22"/>
          <w:szCs w:val="22"/>
        </w:rPr>
        <w:t xml:space="preserve">for </w:t>
      </w:r>
      <w:r w:rsidR="007E6CA0" w:rsidRPr="009C0C39">
        <w:rPr>
          <w:rFonts w:ascii="Franklin Gothic Book" w:hAnsi="Franklin Gothic Book" w:cs="Times New Roman"/>
          <w:sz w:val="22"/>
          <w:szCs w:val="22"/>
        </w:rPr>
        <w:t>the larger plan</w:t>
      </w:r>
      <w:r w:rsidRPr="009C0C39">
        <w:rPr>
          <w:rFonts w:ascii="Franklin Gothic Book" w:hAnsi="Franklin Gothic Book" w:cs="Times New Roman"/>
          <w:sz w:val="22"/>
          <w:szCs w:val="22"/>
        </w:rPr>
        <w:t xml:space="preserve">. </w:t>
      </w:r>
      <w:r w:rsidR="00BC614B" w:rsidRPr="009C0C39">
        <w:rPr>
          <w:rFonts w:ascii="Franklin Gothic Book" w:hAnsi="Franklin Gothic Book" w:cs="Times New Roman"/>
          <w:sz w:val="22"/>
          <w:szCs w:val="22"/>
        </w:rPr>
        <w:t>At the same time, an estimated annual commercial savings of approximately $3.</w:t>
      </w:r>
      <w:r w:rsidR="00CA21A3" w:rsidRPr="009C0C39">
        <w:rPr>
          <w:rFonts w:ascii="Franklin Gothic Book" w:hAnsi="Franklin Gothic Book" w:cs="Times New Roman"/>
          <w:sz w:val="22"/>
          <w:szCs w:val="22"/>
        </w:rPr>
        <w:t>4</w:t>
      </w:r>
      <w:r w:rsidR="00BC614B" w:rsidRPr="009C0C39">
        <w:rPr>
          <w:rFonts w:ascii="Franklin Gothic Book" w:hAnsi="Franklin Gothic Book" w:cs="Times New Roman"/>
          <w:sz w:val="22"/>
          <w:szCs w:val="22"/>
        </w:rPr>
        <w:t xml:space="preserve"> million based on current prices </w:t>
      </w:r>
      <w:r w:rsidR="00C15BEF" w:rsidRPr="009C0C39">
        <w:rPr>
          <w:rFonts w:ascii="Franklin Gothic Book" w:hAnsi="Franklin Gothic Book" w:cs="Times New Roman"/>
          <w:sz w:val="22"/>
          <w:szCs w:val="22"/>
        </w:rPr>
        <w:t xml:space="preserve">may result from </w:t>
      </w:r>
      <w:r w:rsidRPr="009C0C39">
        <w:rPr>
          <w:rFonts w:ascii="Franklin Gothic Book" w:hAnsi="Franklin Gothic Book" w:cs="Times New Roman"/>
          <w:sz w:val="22"/>
          <w:szCs w:val="22"/>
        </w:rPr>
        <w:t>shift</w:t>
      </w:r>
      <w:r w:rsidR="00C15BEF" w:rsidRPr="009C0C39">
        <w:rPr>
          <w:rFonts w:ascii="Franklin Gothic Book" w:hAnsi="Franklin Gothic Book" w:cs="Times New Roman"/>
          <w:sz w:val="22"/>
          <w:szCs w:val="22"/>
        </w:rPr>
        <w:t>s</w:t>
      </w:r>
      <w:r w:rsidRPr="009C0C39">
        <w:rPr>
          <w:rFonts w:ascii="Franklin Gothic Book" w:hAnsi="Franklin Gothic Book" w:cs="Times New Roman"/>
          <w:sz w:val="22"/>
          <w:szCs w:val="22"/>
        </w:rPr>
        <w:t xml:space="preserve"> </w:t>
      </w:r>
      <w:r w:rsidR="00C15BEF" w:rsidRPr="009C0C39">
        <w:rPr>
          <w:rFonts w:ascii="Franklin Gothic Book" w:hAnsi="Franklin Gothic Book" w:cs="Times New Roman"/>
          <w:sz w:val="22"/>
          <w:szCs w:val="22"/>
        </w:rPr>
        <w:t xml:space="preserve">of </w:t>
      </w:r>
      <w:r w:rsidRPr="009C0C39">
        <w:rPr>
          <w:rFonts w:ascii="Franklin Gothic Book" w:hAnsi="Franklin Gothic Book" w:cs="Times New Roman"/>
          <w:sz w:val="22"/>
          <w:szCs w:val="22"/>
        </w:rPr>
        <w:t xml:space="preserve">care </w:t>
      </w:r>
      <w:r w:rsidR="00C41EA9" w:rsidRPr="009C0C39">
        <w:rPr>
          <w:rFonts w:ascii="Franklin Gothic Book" w:hAnsi="Franklin Gothic Book" w:cs="Times New Roman"/>
          <w:sz w:val="22"/>
          <w:szCs w:val="22"/>
        </w:rPr>
        <w:t xml:space="preserve">to the ambulatory sites </w:t>
      </w:r>
      <w:r w:rsidRPr="009C0C39">
        <w:rPr>
          <w:rFonts w:ascii="Franklin Gothic Book" w:hAnsi="Franklin Gothic Book" w:cs="Times New Roman"/>
          <w:sz w:val="22"/>
          <w:szCs w:val="22"/>
        </w:rPr>
        <w:t xml:space="preserve">out of </w:t>
      </w:r>
      <w:r w:rsidR="00C15BEF" w:rsidRPr="009C0C39">
        <w:rPr>
          <w:rFonts w:ascii="Franklin Gothic Book" w:hAnsi="Franklin Gothic Book" w:cs="Times New Roman"/>
          <w:sz w:val="22"/>
          <w:szCs w:val="22"/>
        </w:rPr>
        <w:t xml:space="preserve">hospital </w:t>
      </w:r>
      <w:r w:rsidRPr="009C0C39">
        <w:rPr>
          <w:rFonts w:ascii="Franklin Gothic Book" w:hAnsi="Franklin Gothic Book" w:cs="Times New Roman"/>
          <w:sz w:val="22"/>
          <w:szCs w:val="22"/>
        </w:rPr>
        <w:t xml:space="preserve">outpatient departments, </w:t>
      </w:r>
      <w:r w:rsidR="00BC614B" w:rsidRPr="009C0C39">
        <w:rPr>
          <w:rFonts w:ascii="Franklin Gothic Book" w:hAnsi="Franklin Gothic Book" w:cs="Times New Roman"/>
          <w:sz w:val="22"/>
          <w:szCs w:val="22"/>
        </w:rPr>
        <w:t xml:space="preserve">after accounting for </w:t>
      </w:r>
      <w:r w:rsidRPr="009C0C39">
        <w:rPr>
          <w:rFonts w:ascii="Franklin Gothic Book" w:hAnsi="Franklin Gothic Book" w:cs="Times New Roman"/>
          <w:sz w:val="22"/>
          <w:szCs w:val="22"/>
        </w:rPr>
        <w:t xml:space="preserve">backfilling capacity at MGB’s hospitals </w:t>
      </w:r>
      <w:r w:rsidR="00BC614B" w:rsidRPr="009C0C39">
        <w:rPr>
          <w:rFonts w:ascii="Franklin Gothic Book" w:hAnsi="Franklin Gothic Book" w:cs="Times New Roman"/>
          <w:sz w:val="22"/>
          <w:szCs w:val="22"/>
        </w:rPr>
        <w:t xml:space="preserve">that would </w:t>
      </w:r>
      <w:r w:rsidRPr="009C0C39">
        <w:rPr>
          <w:rFonts w:ascii="Franklin Gothic Book" w:hAnsi="Franklin Gothic Book" w:cs="Times New Roman"/>
          <w:sz w:val="22"/>
          <w:szCs w:val="22"/>
        </w:rPr>
        <w:t xml:space="preserve">likely reduce such savings. </w:t>
      </w:r>
    </w:p>
    <w:p w14:paraId="166A1B7C" w14:textId="315D624B" w:rsidR="0062704A" w:rsidRPr="009C0C39" w:rsidRDefault="0062704A" w:rsidP="003F4302">
      <w:pPr>
        <w:pStyle w:val="ListParagraph"/>
        <w:numPr>
          <w:ilvl w:val="2"/>
          <w:numId w:val="2"/>
        </w:numPr>
        <w:spacing w:after="240"/>
        <w:ind w:left="108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The MGH expansion would likely increase annual commercial spending by $</w:t>
      </w:r>
      <w:r w:rsidR="007467C9" w:rsidRPr="009C0C39">
        <w:rPr>
          <w:rFonts w:ascii="Franklin Gothic Book" w:hAnsi="Franklin Gothic Book" w:cs="Times New Roman"/>
          <w:sz w:val="22"/>
          <w:szCs w:val="22"/>
        </w:rPr>
        <w:t>23.7</w:t>
      </w:r>
      <w:r w:rsidRPr="009C0C39">
        <w:rPr>
          <w:rFonts w:ascii="Franklin Gothic Book" w:hAnsi="Franklin Gothic Book" w:cs="Times New Roman"/>
          <w:sz w:val="22"/>
          <w:szCs w:val="22"/>
        </w:rPr>
        <w:t xml:space="preserve"> million to $</w:t>
      </w:r>
      <w:r w:rsidR="00011139" w:rsidRPr="009C0C39">
        <w:rPr>
          <w:rFonts w:ascii="Franklin Gothic Book" w:hAnsi="Franklin Gothic Book" w:cs="Times New Roman"/>
          <w:sz w:val="22"/>
          <w:szCs w:val="22"/>
        </w:rPr>
        <w:t>40.6</w:t>
      </w:r>
      <w:r w:rsidRPr="009C0C39">
        <w:rPr>
          <w:rFonts w:ascii="Franklin Gothic Book" w:hAnsi="Franklin Gothic Book" w:cs="Times New Roman"/>
          <w:sz w:val="22"/>
          <w:szCs w:val="22"/>
        </w:rPr>
        <w:t xml:space="preserve"> million </w:t>
      </w:r>
      <w:r w:rsidR="00510618" w:rsidRPr="009C0C39">
        <w:rPr>
          <w:rFonts w:ascii="Franklin Gothic Book" w:hAnsi="Franklin Gothic Book" w:cs="Times New Roman"/>
          <w:sz w:val="22"/>
          <w:szCs w:val="22"/>
        </w:rPr>
        <w:t xml:space="preserve">through </w:t>
      </w:r>
      <w:r w:rsidRPr="009C0C39">
        <w:rPr>
          <w:rFonts w:ascii="Franklin Gothic Book" w:hAnsi="Franklin Gothic Book" w:cs="Times New Roman"/>
          <w:sz w:val="22"/>
          <w:szCs w:val="22"/>
        </w:rPr>
        <w:t>new MGH inpatient capacity and $</w:t>
      </w:r>
      <w:r w:rsidR="005C5F6F" w:rsidRPr="009C0C39">
        <w:rPr>
          <w:rFonts w:ascii="Franklin Gothic Book" w:hAnsi="Franklin Gothic Book" w:cs="Times New Roman"/>
          <w:sz w:val="22"/>
          <w:szCs w:val="22"/>
        </w:rPr>
        <w:t>573</w:t>
      </w:r>
      <w:r w:rsidRPr="009C0C39">
        <w:rPr>
          <w:rFonts w:ascii="Franklin Gothic Book" w:hAnsi="Franklin Gothic Book" w:cs="Times New Roman"/>
          <w:sz w:val="22"/>
          <w:szCs w:val="22"/>
        </w:rPr>
        <w:t xml:space="preserve">K </w:t>
      </w:r>
      <w:r w:rsidR="00510618" w:rsidRPr="009C0C39">
        <w:rPr>
          <w:rFonts w:ascii="Franklin Gothic Book" w:hAnsi="Franklin Gothic Book" w:cs="Times New Roman"/>
          <w:sz w:val="22"/>
          <w:szCs w:val="22"/>
        </w:rPr>
        <w:t xml:space="preserve">through </w:t>
      </w:r>
      <w:r w:rsidRPr="009C0C39">
        <w:rPr>
          <w:rFonts w:ascii="Franklin Gothic Book" w:hAnsi="Franklin Gothic Book" w:cs="Times New Roman"/>
          <w:sz w:val="22"/>
          <w:szCs w:val="22"/>
        </w:rPr>
        <w:t xml:space="preserve">new CT and MR capacity, with additional increases attributable to other new outpatient capacity. </w:t>
      </w:r>
    </w:p>
    <w:p w14:paraId="7FAD1B57" w14:textId="2BB4972A" w:rsidR="0062704A" w:rsidRPr="009C0C39" w:rsidRDefault="0062704A" w:rsidP="003F4302">
      <w:pPr>
        <w:pStyle w:val="ListParagraph"/>
        <w:numPr>
          <w:ilvl w:val="2"/>
          <w:numId w:val="2"/>
        </w:numPr>
        <w:spacing w:after="240"/>
        <w:ind w:left="108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The Faulkner expansion would likely increase annual commercial spending by $</w:t>
      </w:r>
      <w:r w:rsidR="00011139" w:rsidRPr="009C0C39">
        <w:rPr>
          <w:rFonts w:ascii="Franklin Gothic Book" w:hAnsi="Franklin Gothic Book" w:cs="Times New Roman"/>
          <w:sz w:val="22"/>
          <w:szCs w:val="22"/>
        </w:rPr>
        <w:t>2.9</w:t>
      </w:r>
      <w:r w:rsidRPr="009C0C39">
        <w:rPr>
          <w:rFonts w:ascii="Franklin Gothic Book" w:hAnsi="Franklin Gothic Book" w:cs="Times New Roman"/>
          <w:sz w:val="22"/>
          <w:szCs w:val="22"/>
        </w:rPr>
        <w:t xml:space="preserve"> million to $</w:t>
      </w:r>
      <w:r w:rsidR="00011139" w:rsidRPr="009C0C39">
        <w:rPr>
          <w:rFonts w:ascii="Franklin Gothic Book" w:hAnsi="Franklin Gothic Book" w:cs="Times New Roman"/>
          <w:sz w:val="22"/>
          <w:szCs w:val="22"/>
        </w:rPr>
        <w:t>3</w:t>
      </w:r>
      <w:r w:rsidRPr="009C0C39">
        <w:rPr>
          <w:rFonts w:ascii="Franklin Gothic Book" w:hAnsi="Franklin Gothic Book" w:cs="Times New Roman"/>
          <w:sz w:val="22"/>
          <w:szCs w:val="22"/>
        </w:rPr>
        <w:t xml:space="preserve">.8 million </w:t>
      </w:r>
      <w:r w:rsidR="00510618" w:rsidRPr="009C0C39">
        <w:rPr>
          <w:rFonts w:ascii="Franklin Gothic Book" w:hAnsi="Franklin Gothic Book" w:cs="Times New Roman"/>
          <w:sz w:val="22"/>
          <w:szCs w:val="22"/>
        </w:rPr>
        <w:t xml:space="preserve">through </w:t>
      </w:r>
      <w:r w:rsidRPr="009C0C39">
        <w:rPr>
          <w:rFonts w:ascii="Franklin Gothic Book" w:hAnsi="Franklin Gothic Book" w:cs="Times New Roman"/>
          <w:sz w:val="22"/>
          <w:szCs w:val="22"/>
        </w:rPr>
        <w:t xml:space="preserve">new Faulkner inpatient capacity, while the spending impacts of additional outpatient services would likely be small. </w:t>
      </w:r>
    </w:p>
    <w:p w14:paraId="469A619F" w14:textId="6BE1C132" w:rsidR="007B6279" w:rsidRPr="009C0C39" w:rsidRDefault="007B6279" w:rsidP="003F4302">
      <w:pPr>
        <w:pStyle w:val="ListParagraph"/>
        <w:numPr>
          <w:ilvl w:val="2"/>
          <w:numId w:val="2"/>
        </w:numPr>
        <w:spacing w:after="240"/>
        <w:ind w:left="108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In addition to these spending impacts, each of the projects is likely to increase MGB’s market share and bargaining leverage with commercial payers, allowing it to negotiate higher commercial rates in the future that would further increase spending. </w:t>
      </w:r>
      <w:r w:rsidR="007E6CA0" w:rsidRPr="009C0C39">
        <w:rPr>
          <w:rFonts w:ascii="Franklin Gothic Book" w:hAnsi="Franklin Gothic Book" w:cs="Times New Roman"/>
          <w:sz w:val="22"/>
          <w:szCs w:val="22"/>
        </w:rPr>
        <w:t xml:space="preserve">The expansions at MGH and Faulkner </w:t>
      </w:r>
      <w:r w:rsidR="00C41EA9">
        <w:rPr>
          <w:rFonts w:ascii="Franklin Gothic Book" w:hAnsi="Franklin Gothic Book" w:cs="Times New Roman"/>
          <w:sz w:val="22"/>
          <w:szCs w:val="22"/>
        </w:rPr>
        <w:t>would</w:t>
      </w:r>
      <w:r w:rsidR="007E6CA0" w:rsidRPr="009C0C39">
        <w:rPr>
          <w:rFonts w:ascii="Franklin Gothic Book" w:hAnsi="Franklin Gothic Book" w:cs="Times New Roman"/>
          <w:sz w:val="22"/>
          <w:szCs w:val="22"/>
        </w:rPr>
        <w:t xml:space="preserve"> result in price increases of $9.7M to $17.3M</w:t>
      </w:r>
      <w:r w:rsidR="00B27F4E" w:rsidRPr="009C0C39">
        <w:rPr>
          <w:rFonts w:ascii="Franklin Gothic Book" w:hAnsi="Franklin Gothic Book" w:cs="Times New Roman"/>
          <w:sz w:val="22"/>
          <w:szCs w:val="22"/>
        </w:rPr>
        <w:t xml:space="preserve"> for inpatient care</w:t>
      </w:r>
      <w:r w:rsidR="007E6CA0" w:rsidRPr="009C0C39">
        <w:rPr>
          <w:rFonts w:ascii="Franklin Gothic Book" w:hAnsi="Franklin Gothic Book" w:cs="Times New Roman"/>
          <w:sz w:val="22"/>
          <w:szCs w:val="22"/>
        </w:rPr>
        <w:t xml:space="preserve">, with additional price increases expected from the ambulatory and outpatient expansions. </w:t>
      </w:r>
      <w:r w:rsidRPr="009C0C39">
        <w:rPr>
          <w:rFonts w:ascii="Franklin Gothic Book" w:hAnsi="Franklin Gothic Book" w:cs="Times New Roman"/>
          <w:sz w:val="22"/>
          <w:szCs w:val="22"/>
        </w:rPr>
        <w:t>Loss of commercial volume by other providers may also further widen the disparity in prices between MGB and other providers.</w:t>
      </w:r>
    </w:p>
    <w:p w14:paraId="021B0B96" w14:textId="04D29BA6" w:rsidR="0062704A" w:rsidRPr="009C0C39" w:rsidRDefault="0062704A" w:rsidP="003F4302">
      <w:pPr>
        <w:pStyle w:val="ListParagraph"/>
        <w:numPr>
          <w:ilvl w:val="1"/>
          <w:numId w:val="2"/>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development of the three proposed projects together, described by MGB as </w:t>
      </w:r>
      <w:r w:rsidR="004D5BDC">
        <w:rPr>
          <w:rFonts w:ascii="Franklin Gothic Book" w:hAnsi="Franklin Gothic Book" w:cs="Times New Roman"/>
          <w:sz w:val="22"/>
          <w:szCs w:val="22"/>
        </w:rPr>
        <w:t xml:space="preserve">part of </w:t>
      </w:r>
      <w:r w:rsidRPr="009C0C39">
        <w:rPr>
          <w:rFonts w:ascii="Franklin Gothic Book" w:hAnsi="Franklin Gothic Book" w:cs="Times New Roman"/>
          <w:sz w:val="22"/>
          <w:szCs w:val="22"/>
        </w:rPr>
        <w:t xml:space="preserve">a system-wide strategy, </w:t>
      </w:r>
      <w:r w:rsidR="00CC431E" w:rsidRPr="009C0C39">
        <w:rPr>
          <w:rFonts w:ascii="Franklin Gothic Book" w:hAnsi="Franklin Gothic Book" w:cs="Times New Roman"/>
          <w:sz w:val="22"/>
          <w:szCs w:val="22"/>
        </w:rPr>
        <w:t xml:space="preserve">undermines MGB’s claims that the </w:t>
      </w:r>
      <w:r w:rsidR="00B65555" w:rsidRPr="009C0C39">
        <w:rPr>
          <w:rFonts w:ascii="Franklin Gothic Book" w:hAnsi="Franklin Gothic Book" w:cs="Times New Roman"/>
          <w:sz w:val="22"/>
          <w:szCs w:val="22"/>
        </w:rPr>
        <w:t>a</w:t>
      </w:r>
      <w:r w:rsidR="00CC431E" w:rsidRPr="009C0C39">
        <w:rPr>
          <w:rFonts w:ascii="Franklin Gothic Book" w:hAnsi="Franklin Gothic Book" w:cs="Times New Roman"/>
          <w:sz w:val="22"/>
          <w:szCs w:val="22"/>
        </w:rPr>
        <w:t xml:space="preserve">mbulatory </w:t>
      </w:r>
      <w:r w:rsidR="00B65555" w:rsidRPr="009C0C39">
        <w:rPr>
          <w:rFonts w:ascii="Franklin Gothic Book" w:hAnsi="Franklin Gothic Book" w:cs="Times New Roman"/>
          <w:sz w:val="22"/>
          <w:szCs w:val="22"/>
        </w:rPr>
        <w:t>e</w:t>
      </w:r>
      <w:r w:rsidR="00CC431E" w:rsidRPr="009C0C39">
        <w:rPr>
          <w:rFonts w:ascii="Franklin Gothic Book" w:hAnsi="Franklin Gothic Book" w:cs="Times New Roman"/>
          <w:sz w:val="22"/>
          <w:szCs w:val="22"/>
        </w:rPr>
        <w:t xml:space="preserve">xpansion </w:t>
      </w:r>
      <w:r w:rsidR="00B50D4C" w:rsidRPr="009C0C39">
        <w:rPr>
          <w:rFonts w:ascii="Franklin Gothic Book" w:hAnsi="Franklin Gothic Book" w:cs="Times New Roman"/>
          <w:sz w:val="22"/>
          <w:szCs w:val="22"/>
        </w:rPr>
        <w:t xml:space="preserve">would </w:t>
      </w:r>
      <w:r w:rsidR="00CC431E" w:rsidRPr="009C0C39">
        <w:rPr>
          <w:rFonts w:ascii="Franklin Gothic Book" w:hAnsi="Franklin Gothic Book" w:cs="Times New Roman"/>
          <w:sz w:val="22"/>
          <w:szCs w:val="22"/>
        </w:rPr>
        <w:t>reduce health care spending, and may</w:t>
      </w:r>
      <w:r w:rsidRPr="009C0C39">
        <w:rPr>
          <w:rFonts w:ascii="Franklin Gothic Book" w:hAnsi="Franklin Gothic Book" w:cs="Times New Roman"/>
          <w:sz w:val="22"/>
          <w:szCs w:val="22"/>
        </w:rPr>
        <w:t xml:space="preserve"> result in combined impacts greater than those the HPC has modeled for each project individually. While shifting care out of hospitals and into ambulatory sites will generally produce savings, MGB is not seeking to reduce the care at its hospitals to reflect any diversion of care to lower cost settings. Instead, </w:t>
      </w:r>
      <w:r w:rsidR="007B6279" w:rsidRPr="009C0C39">
        <w:rPr>
          <w:rFonts w:ascii="Franklin Gothic Book" w:hAnsi="Franklin Gothic Book" w:cs="Times New Roman"/>
          <w:sz w:val="22"/>
          <w:szCs w:val="22"/>
        </w:rPr>
        <w:t xml:space="preserve">by </w:t>
      </w:r>
      <w:r w:rsidR="00297250" w:rsidRPr="009C0C39">
        <w:rPr>
          <w:rFonts w:ascii="Franklin Gothic Book" w:hAnsi="Franklin Gothic Book" w:cs="Times New Roman"/>
          <w:sz w:val="22"/>
          <w:szCs w:val="22"/>
        </w:rPr>
        <w:t>also</w:t>
      </w:r>
      <w:r w:rsidRPr="009C0C39">
        <w:rPr>
          <w:rFonts w:ascii="Franklin Gothic Book" w:hAnsi="Franklin Gothic Book" w:cs="Times New Roman"/>
          <w:sz w:val="22"/>
          <w:szCs w:val="22"/>
        </w:rPr>
        <w:t xml:space="preserve"> seeking to substantially expand inpatient and hospital outpatient services</w:t>
      </w:r>
      <w:r w:rsidR="002203F6">
        <w:rPr>
          <w:rFonts w:ascii="Franklin Gothic Book" w:hAnsi="Franklin Gothic Book" w:cs="Times New Roman"/>
          <w:sz w:val="22"/>
          <w:szCs w:val="22"/>
        </w:rPr>
        <w:t xml:space="preserve"> as part of its broader strategy</w:t>
      </w:r>
      <w:r w:rsidRPr="009C0C39">
        <w:rPr>
          <w:rFonts w:ascii="Franklin Gothic Book" w:hAnsi="Franklin Gothic Book" w:cs="Times New Roman"/>
          <w:sz w:val="22"/>
          <w:szCs w:val="22"/>
        </w:rPr>
        <w:t xml:space="preserve">, </w:t>
      </w:r>
      <w:r w:rsidR="007B6279" w:rsidRPr="009C0C39">
        <w:rPr>
          <w:rFonts w:ascii="Franklin Gothic Book" w:hAnsi="Franklin Gothic Book" w:cs="Times New Roman"/>
          <w:sz w:val="22"/>
          <w:szCs w:val="22"/>
        </w:rPr>
        <w:t xml:space="preserve">MGB will increase spending as it </w:t>
      </w:r>
      <w:r w:rsidRPr="009C0C39">
        <w:rPr>
          <w:rFonts w:ascii="Franklin Gothic Book" w:hAnsi="Franklin Gothic Book" w:cs="Times New Roman"/>
          <w:sz w:val="22"/>
          <w:szCs w:val="22"/>
        </w:rPr>
        <w:t>increas</w:t>
      </w:r>
      <w:r w:rsidR="007B6279" w:rsidRPr="009C0C39">
        <w:rPr>
          <w:rFonts w:ascii="Franklin Gothic Book" w:hAnsi="Franklin Gothic Book" w:cs="Times New Roman"/>
          <w:sz w:val="22"/>
          <w:szCs w:val="22"/>
        </w:rPr>
        <w:t>e</w:t>
      </w:r>
      <w:r w:rsidR="007C1900" w:rsidRPr="009C0C39">
        <w:rPr>
          <w:rFonts w:ascii="Franklin Gothic Book" w:hAnsi="Franklin Gothic Book" w:cs="Times New Roman"/>
          <w:sz w:val="22"/>
          <w:szCs w:val="22"/>
        </w:rPr>
        <w:t>s</w:t>
      </w:r>
      <w:r w:rsidRPr="009C0C39">
        <w:rPr>
          <w:rFonts w:ascii="Franklin Gothic Book" w:hAnsi="Franklin Gothic Book" w:cs="Times New Roman"/>
          <w:i/>
          <w:iCs/>
          <w:sz w:val="22"/>
          <w:szCs w:val="22"/>
        </w:rPr>
        <w:t xml:space="preserve"> </w:t>
      </w:r>
      <w:r w:rsidRPr="009C0C39">
        <w:rPr>
          <w:rFonts w:ascii="Franklin Gothic Book" w:hAnsi="Franklin Gothic Book" w:cs="Times New Roman"/>
          <w:sz w:val="22"/>
          <w:szCs w:val="22"/>
        </w:rPr>
        <w:t>the volume of care at both MGB’s high-priced hospitals and its proposed new ambulatory sites.</w:t>
      </w:r>
    </w:p>
    <w:p w14:paraId="052CBED0" w14:textId="4BE9A2C3" w:rsidR="0062704A" w:rsidRPr="009C0C39" w:rsidRDefault="0062704A" w:rsidP="0062704A">
      <w:pPr>
        <w:spacing w:after="240"/>
        <w:rPr>
          <w:rFonts w:ascii="Franklin Gothic Book" w:hAnsi="Franklin Gothic Book" w:cs="Times New Roman"/>
          <w:sz w:val="22"/>
          <w:szCs w:val="22"/>
        </w:rPr>
      </w:pPr>
      <w:bookmarkStart w:id="8" w:name="_Hlk93947031"/>
      <w:r w:rsidRPr="009C0C39">
        <w:rPr>
          <w:rFonts w:ascii="Franklin Gothic Book" w:hAnsi="Franklin Gothic Book" w:cs="Times New Roman"/>
          <w:b/>
          <w:bCs/>
          <w:sz w:val="22"/>
          <w:szCs w:val="22"/>
        </w:rPr>
        <w:t>Additional Impacts on Market Functioning, including Health Care Access and Equity</w:t>
      </w:r>
      <w:bookmarkEnd w:id="8"/>
      <w:r w:rsidRPr="009C0C39">
        <w:rPr>
          <w:rFonts w:ascii="Franklin Gothic Book" w:hAnsi="Franklin Gothic Book" w:cs="Times New Roman"/>
          <w:b/>
          <w:bCs/>
          <w:sz w:val="22"/>
          <w:szCs w:val="22"/>
        </w:rPr>
        <w:t>:</w:t>
      </w:r>
      <w:r w:rsidRPr="009C0C39">
        <w:rPr>
          <w:rFonts w:ascii="Franklin Gothic Book" w:hAnsi="Franklin Gothic Book" w:cs="Times New Roman"/>
          <w:sz w:val="22"/>
          <w:szCs w:val="22"/>
        </w:rPr>
        <w:t xml:space="preserve"> There are also likely to be significant follow-on impacts to the market from the proposed expansions, including potential impacts to health care access and equity. Specifically:</w:t>
      </w:r>
    </w:p>
    <w:p w14:paraId="20A0DF7F" w14:textId="6DDB8E3A" w:rsidR="0062704A" w:rsidRPr="009C0C39" w:rsidRDefault="00EA3528" w:rsidP="003F4302">
      <w:pPr>
        <w:pStyle w:val="ListParagraph"/>
        <w:numPr>
          <w:ilvl w:val="0"/>
          <w:numId w:val="5"/>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For each proposed project, a substantial amount of commercial </w:t>
      </w:r>
      <w:r w:rsidR="0062704A" w:rsidRPr="009C0C39">
        <w:rPr>
          <w:rFonts w:ascii="Franklin Gothic Book" w:hAnsi="Franklin Gothic Book" w:cs="Times New Roman"/>
          <w:sz w:val="22"/>
          <w:szCs w:val="22"/>
        </w:rPr>
        <w:t xml:space="preserve">revenue is likely to shift to MGB and away from other provider systems that serve a greater share of public payer patients and </w:t>
      </w:r>
      <w:r w:rsidR="00A53D64" w:rsidRPr="009C0C39">
        <w:rPr>
          <w:rFonts w:ascii="Franklin Gothic Book" w:hAnsi="Franklin Gothic Book" w:cs="Times New Roman"/>
          <w:sz w:val="22"/>
          <w:szCs w:val="22"/>
        </w:rPr>
        <w:t xml:space="preserve">communities </w:t>
      </w:r>
      <w:r w:rsidR="0062704A" w:rsidRPr="009C0C39">
        <w:rPr>
          <w:rFonts w:ascii="Franklin Gothic Book" w:hAnsi="Franklin Gothic Book" w:cs="Times New Roman"/>
          <w:sz w:val="22"/>
          <w:szCs w:val="22"/>
        </w:rPr>
        <w:t xml:space="preserve">with greater indicia of social need, leaving those providers with fewer resources to serve those populations. </w:t>
      </w:r>
      <w:r w:rsidR="00445BEF" w:rsidRPr="009C0C39">
        <w:rPr>
          <w:rFonts w:ascii="Franklin Gothic Book" w:hAnsi="Franklin Gothic Book" w:cs="Times New Roman"/>
          <w:sz w:val="22"/>
          <w:szCs w:val="22"/>
        </w:rPr>
        <w:t>In total, other providers are expected to lose $152.9 million to $261.1 million in commercial revenue each year for the subset of proposed services that the HPC was able to quantify.</w:t>
      </w:r>
    </w:p>
    <w:p w14:paraId="7C47F204" w14:textId="5C1CC2F1" w:rsidR="00A53D64" w:rsidRPr="009C0C39" w:rsidRDefault="00A53D64" w:rsidP="003F4302">
      <w:pPr>
        <w:pStyle w:val="ListParagraph"/>
        <w:numPr>
          <w:ilvl w:val="0"/>
          <w:numId w:val="5"/>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services </w:t>
      </w:r>
      <w:r w:rsidR="002203F6">
        <w:rPr>
          <w:rFonts w:ascii="Franklin Gothic Book" w:hAnsi="Franklin Gothic Book" w:cs="Times New Roman"/>
          <w:sz w:val="22"/>
          <w:szCs w:val="22"/>
        </w:rPr>
        <w:t>for</w:t>
      </w:r>
      <w:r w:rsidR="002203F6"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which MGB has provided the most detail in its ambulatory expansion plans are ones likely to generate substantial financial margin and drive additional volume to its system. </w:t>
      </w:r>
    </w:p>
    <w:p w14:paraId="6F1C84B4" w14:textId="1C01B940" w:rsidR="00A53D64" w:rsidRPr="009C0C39" w:rsidRDefault="00A53D64" w:rsidP="003F4302">
      <w:pPr>
        <w:pStyle w:val="ListParagraph"/>
        <w:numPr>
          <w:ilvl w:val="0"/>
          <w:numId w:val="5"/>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MGB’s projections of future utilization at its facilities</w:t>
      </w:r>
      <w:r w:rsidR="00A6051B" w:rsidRPr="009C0C39">
        <w:rPr>
          <w:rFonts w:ascii="Franklin Gothic Book" w:hAnsi="Franklin Gothic Book" w:cs="Times New Roman"/>
          <w:sz w:val="22"/>
          <w:szCs w:val="22"/>
        </w:rPr>
        <w:t>, which do not take capacity at other providers into account,</w:t>
      </w:r>
      <w:r w:rsidRPr="009C0C39">
        <w:rPr>
          <w:rFonts w:ascii="Franklin Gothic Book" w:hAnsi="Franklin Gothic Book" w:cs="Times New Roman"/>
          <w:sz w:val="22"/>
          <w:szCs w:val="22"/>
        </w:rPr>
        <w:t xml:space="preserve"> do not indicate that the projects are necessary to meet unmet need. The proposed ambulatory expansions </w:t>
      </w:r>
      <w:r w:rsidR="007E3F2E" w:rsidRPr="009C0C39">
        <w:rPr>
          <w:rFonts w:ascii="Franklin Gothic Book" w:hAnsi="Franklin Gothic Book" w:cs="Times New Roman"/>
          <w:sz w:val="22"/>
          <w:szCs w:val="22"/>
        </w:rPr>
        <w:t xml:space="preserve">would </w:t>
      </w:r>
      <w:r w:rsidRPr="009C0C39">
        <w:rPr>
          <w:rFonts w:ascii="Franklin Gothic Book" w:hAnsi="Franklin Gothic Book" w:cs="Times New Roman"/>
          <w:sz w:val="22"/>
          <w:szCs w:val="22"/>
        </w:rPr>
        <w:t xml:space="preserve">also </w:t>
      </w:r>
      <w:r w:rsidR="007E3F2E" w:rsidRPr="009C0C39">
        <w:rPr>
          <w:rFonts w:ascii="Franklin Gothic Book" w:hAnsi="Franklin Gothic Book" w:cs="Times New Roman"/>
          <w:sz w:val="22"/>
          <w:szCs w:val="22"/>
        </w:rPr>
        <w:t xml:space="preserve">be </w:t>
      </w:r>
      <w:r w:rsidRPr="009C0C39">
        <w:rPr>
          <w:rFonts w:ascii="Franklin Gothic Book" w:hAnsi="Franklin Gothic Book" w:cs="Times New Roman"/>
          <w:sz w:val="22"/>
          <w:szCs w:val="22"/>
        </w:rPr>
        <w:t>located in areas that report already having good access to health care services.</w:t>
      </w:r>
      <w:r w:rsidRPr="009C0C39" w:rsidDel="00983B01">
        <w:rPr>
          <w:rFonts w:ascii="Franklin Gothic Book" w:hAnsi="Franklin Gothic Book" w:cs="Times New Roman"/>
          <w:sz w:val="22"/>
          <w:szCs w:val="22"/>
        </w:rPr>
        <w:t xml:space="preserve"> </w:t>
      </w:r>
    </w:p>
    <w:p w14:paraId="341BD3F8" w14:textId="3849B316" w:rsidR="00A53D64" w:rsidRPr="009C0C39" w:rsidRDefault="00A53D64" w:rsidP="003F4302">
      <w:pPr>
        <w:pStyle w:val="ListParagraph"/>
        <w:numPr>
          <w:ilvl w:val="0"/>
          <w:numId w:val="5"/>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proposed ambulatory expansions </w:t>
      </w:r>
      <w:r w:rsidR="007E3F2E" w:rsidRPr="009C0C39">
        <w:rPr>
          <w:rFonts w:ascii="Franklin Gothic Book" w:hAnsi="Franklin Gothic Book" w:cs="Times New Roman"/>
          <w:sz w:val="22"/>
          <w:szCs w:val="22"/>
        </w:rPr>
        <w:t xml:space="preserve">would be </w:t>
      </w:r>
      <w:r w:rsidRPr="009C0C39">
        <w:rPr>
          <w:rFonts w:ascii="Franklin Gothic Book" w:hAnsi="Franklin Gothic Book" w:cs="Times New Roman"/>
          <w:sz w:val="22"/>
          <w:szCs w:val="22"/>
        </w:rPr>
        <w:t xml:space="preserve">located in relatively affluent areas with </w:t>
      </w:r>
      <w:r w:rsidR="007657CC" w:rsidRPr="009C0C39">
        <w:rPr>
          <w:rFonts w:ascii="Franklin Gothic Book" w:hAnsi="Franklin Gothic Book" w:cs="Times New Roman"/>
          <w:sz w:val="22"/>
          <w:szCs w:val="22"/>
        </w:rPr>
        <w:t xml:space="preserve">low MassHealth </w:t>
      </w:r>
      <w:r w:rsidRPr="009C0C39">
        <w:rPr>
          <w:rFonts w:ascii="Franklin Gothic Book" w:hAnsi="Franklin Gothic Book" w:cs="Times New Roman"/>
          <w:sz w:val="22"/>
          <w:szCs w:val="22"/>
        </w:rPr>
        <w:t>payer mix</w:t>
      </w:r>
      <w:r w:rsidR="00297250" w:rsidRPr="009C0C39">
        <w:rPr>
          <w:rFonts w:ascii="Franklin Gothic Book" w:hAnsi="Franklin Gothic Book" w:cs="Times New Roman"/>
          <w:sz w:val="22"/>
          <w:szCs w:val="22"/>
        </w:rPr>
        <w:t>, consistent</w:t>
      </w:r>
      <w:r w:rsidRPr="009C0C39">
        <w:rPr>
          <w:rFonts w:ascii="Franklin Gothic Book" w:hAnsi="Franklin Gothic Book" w:cs="Times New Roman"/>
          <w:sz w:val="22"/>
          <w:szCs w:val="22"/>
        </w:rPr>
        <w:t xml:space="preserve"> with MGB’s stated goals of increasing network lives and commercial referrals</w:t>
      </w:r>
      <w:r w:rsidR="00297250"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w:t>
      </w:r>
      <w:r w:rsidR="00297250" w:rsidRPr="009C0C39">
        <w:rPr>
          <w:rFonts w:ascii="Franklin Gothic Book" w:hAnsi="Franklin Gothic Book" w:cs="Times New Roman"/>
          <w:sz w:val="22"/>
          <w:szCs w:val="22"/>
        </w:rPr>
        <w:t xml:space="preserve">As a result, the expansions </w:t>
      </w:r>
      <w:r w:rsidRPr="009C0C39">
        <w:rPr>
          <w:rFonts w:ascii="Franklin Gothic Book" w:hAnsi="Franklin Gothic Book" w:cs="Times New Roman"/>
          <w:sz w:val="22"/>
          <w:szCs w:val="22"/>
        </w:rPr>
        <w:t>are likely to reinforce MGB’s already small share of MassHealth patients</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relative to other systems.</w:t>
      </w:r>
    </w:p>
    <w:p w14:paraId="2A9F9E32" w14:textId="3CEDED07" w:rsidR="00A53D64" w:rsidRPr="009C0C39" w:rsidRDefault="00A53D64" w:rsidP="003F4302">
      <w:pPr>
        <w:pStyle w:val="ListParagraph"/>
        <w:numPr>
          <w:ilvl w:val="0"/>
          <w:numId w:val="5"/>
        </w:numPr>
        <w:spacing w:after="240"/>
        <w:ind w:left="72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 xml:space="preserve">MGB </w:t>
      </w:r>
      <w:r w:rsidR="00324777">
        <w:rPr>
          <w:rFonts w:ascii="Franklin Gothic Book" w:hAnsi="Franklin Gothic Book" w:cs="Times New Roman"/>
          <w:sz w:val="22"/>
          <w:szCs w:val="22"/>
        </w:rPr>
        <w:t>would</w:t>
      </w:r>
      <w:r w:rsidR="00324777"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need substantial new staff for the new capacity, which could result both in increased staffing costs for some providers and in staff being recruited away from other providers, particularly those providers with more limited financial resources.</w:t>
      </w:r>
    </w:p>
    <w:p w14:paraId="223B6345" w14:textId="53640D34" w:rsidR="005461BB" w:rsidRPr="009C0C39" w:rsidRDefault="008D3EA9" w:rsidP="008D3EA9">
      <w:pPr>
        <w:spacing w:after="240"/>
        <w:rPr>
          <w:rFonts w:ascii="Franklin Gothic Book" w:hAnsi="Franklin Gothic Book" w:cs="Times New Roman"/>
          <w:sz w:val="22"/>
          <w:szCs w:val="22"/>
        </w:rPr>
        <w:sectPr w:rsidR="005461BB" w:rsidRPr="009C0C39" w:rsidSect="00804A4E">
          <w:pgSz w:w="12240" w:h="15840"/>
          <w:pgMar w:top="1440" w:right="1440" w:bottom="1008" w:left="1440" w:header="720" w:footer="720" w:gutter="0"/>
          <w:cols w:space="720"/>
          <w:docGrid w:linePitch="360"/>
        </w:sectPr>
      </w:pPr>
      <w:r w:rsidRPr="009C0C39">
        <w:rPr>
          <w:rFonts w:ascii="Franklin Gothic Book" w:hAnsi="Franklin Gothic Book" w:cs="Times New Roman"/>
          <w:sz w:val="22"/>
          <w:szCs w:val="22"/>
        </w:rPr>
        <w:t>These spending impacts, and the shifts in projected revenue between MGB and other providers are summarized below</w:t>
      </w:r>
      <w:r w:rsidR="00324777">
        <w:rPr>
          <w:rFonts w:ascii="Franklin Gothic Book" w:hAnsi="Franklin Gothic Book" w:cs="Times New Roman"/>
          <w:sz w:val="22"/>
          <w:szCs w:val="22"/>
        </w:rPr>
        <w:t>.</w:t>
      </w:r>
    </w:p>
    <w:p w14:paraId="16F3D402" w14:textId="5B5C0D9B" w:rsidR="0050471E" w:rsidRPr="009C0C39" w:rsidRDefault="0050471E" w:rsidP="005461BB">
      <w:pPr>
        <w:rPr>
          <w:rFonts w:ascii="Franklin Gothic Book" w:hAnsi="Franklin Gothic Book" w:cs="Times New Roman"/>
          <w:b/>
          <w:bCs/>
          <w:sz w:val="22"/>
          <w:szCs w:val="22"/>
        </w:rPr>
      </w:pPr>
      <w:bookmarkStart w:id="9" w:name="_Hlk93899188"/>
      <w:bookmarkStart w:id="10" w:name="_Hlk93899451"/>
      <w:r w:rsidRPr="009C0C39">
        <w:rPr>
          <w:rFonts w:ascii="Franklin Gothic Book" w:hAnsi="Franklin Gothic Book" w:cs="Times New Roman"/>
          <w:b/>
          <w:bCs/>
          <w:sz w:val="22"/>
          <w:szCs w:val="22"/>
        </w:rPr>
        <w:lastRenderedPageBreak/>
        <w:t>Summary of Projected Impacts of the Expansions on Annual Commercial Health Care Spending and Provider Revenue</w:t>
      </w:r>
    </w:p>
    <w:p w14:paraId="231916A3" w14:textId="77777777" w:rsidR="0050471E" w:rsidRPr="009C0C39" w:rsidRDefault="0050471E" w:rsidP="0050471E">
      <w:pPr>
        <w:jc w:val="center"/>
        <w:rPr>
          <w:rFonts w:ascii="Franklin Gothic Book" w:hAnsi="Franklin Gothic Book" w:cs="Times New Roman"/>
          <w:b/>
          <w:bCs/>
          <w:sz w:val="22"/>
          <w:szCs w:val="22"/>
        </w:rPr>
      </w:pPr>
    </w:p>
    <w:tbl>
      <w:tblPr>
        <w:tblStyle w:val="GridTable4-Accent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72" w:type="dxa"/>
          <w:bottom w:w="43" w:type="dxa"/>
          <w:right w:w="72" w:type="dxa"/>
        </w:tblCellMar>
        <w:tblLook w:val="0620" w:firstRow="1" w:lastRow="0" w:firstColumn="0" w:lastColumn="0" w:noHBand="1" w:noVBand="1"/>
        <w:tblCaption w:val="Summary of Projected Impacts of the Expansions on Annual Commercial Health Care Spending and Provider Revenue"/>
        <w:tblDescription w:val="Summary of Projected Impacts of the Expansions on Annual Commercial Health Care Spending and Provider Revenue"/>
      </w:tblPr>
      <w:tblGrid>
        <w:gridCol w:w="461"/>
        <w:gridCol w:w="2684"/>
        <w:gridCol w:w="811"/>
        <w:gridCol w:w="2278"/>
        <w:gridCol w:w="2279"/>
        <w:gridCol w:w="2277"/>
      </w:tblGrid>
      <w:tr w:rsidR="009C0C39" w:rsidRPr="009C0C39" w14:paraId="6EF92345" w14:textId="77777777" w:rsidTr="006B6365">
        <w:trPr>
          <w:cnfStyle w:val="100000000000" w:firstRow="1" w:lastRow="0" w:firstColumn="0" w:lastColumn="0" w:oddVBand="0" w:evenVBand="0" w:oddHBand="0" w:evenHBand="0" w:firstRowFirstColumn="0" w:firstRowLastColumn="0" w:lastRowFirstColumn="0" w:lastRowLastColumn="0"/>
          <w:trHeight w:val="457"/>
          <w:tblHeader/>
        </w:trPr>
        <w:tc>
          <w:tcPr>
            <w:tcW w:w="214" w:type="pct"/>
            <w:vAlign w:val="center"/>
          </w:tcPr>
          <w:p w14:paraId="6679B1D8" w14:textId="77777777" w:rsidR="0085153C" w:rsidRPr="009C0C39" w:rsidRDefault="0085153C" w:rsidP="00415812">
            <w:pPr>
              <w:rPr>
                <w:rFonts w:ascii="Franklin Gothic Book" w:hAnsi="Franklin Gothic Book" w:cs="Times New Roman"/>
                <w:b w:val="0"/>
                <w:bCs w:val="0"/>
                <w:sz w:val="20"/>
                <w:szCs w:val="20"/>
              </w:rPr>
            </w:pPr>
            <w:bookmarkStart w:id="11" w:name="_Hlk93864021"/>
            <w:bookmarkStart w:id="12" w:name="_Hlk93899489"/>
            <w:bookmarkEnd w:id="9"/>
          </w:p>
        </w:tc>
        <w:tc>
          <w:tcPr>
            <w:tcW w:w="1619" w:type="pct"/>
            <w:gridSpan w:val="2"/>
            <w:vAlign w:val="center"/>
            <w:hideMark/>
          </w:tcPr>
          <w:p w14:paraId="65A89D48" w14:textId="77777777" w:rsidR="0085153C" w:rsidRPr="009C0C39" w:rsidRDefault="0085153C" w:rsidP="00415812">
            <w:pPr>
              <w:rPr>
                <w:rFonts w:ascii="Franklin Gothic Demi Cond" w:hAnsi="Franklin Gothic Demi Cond" w:cs="Times New Roman"/>
                <w:b w:val="0"/>
                <w:bCs w:val="0"/>
                <w:sz w:val="20"/>
                <w:szCs w:val="20"/>
              </w:rPr>
            </w:pPr>
            <w:r w:rsidRPr="009C0C39">
              <w:rPr>
                <w:rFonts w:ascii="Franklin Gothic Demi Cond" w:hAnsi="Franklin Gothic Demi Cond" w:cs="Times New Roman"/>
                <w:b w:val="0"/>
                <w:bCs w:val="0"/>
                <w:sz w:val="20"/>
                <w:szCs w:val="20"/>
              </w:rPr>
              <w:t>Spending Dynamic</w:t>
            </w:r>
          </w:p>
        </w:tc>
        <w:tc>
          <w:tcPr>
            <w:tcW w:w="1056" w:type="pct"/>
            <w:vAlign w:val="center"/>
            <w:hideMark/>
          </w:tcPr>
          <w:p w14:paraId="10A6CFFD" w14:textId="77777777" w:rsidR="0085153C" w:rsidRPr="009C0C39" w:rsidRDefault="0085153C" w:rsidP="00415812">
            <w:pPr>
              <w:rPr>
                <w:rFonts w:ascii="Franklin Gothic Demi Cond" w:hAnsi="Franklin Gothic Demi Cond" w:cs="Times New Roman"/>
                <w:b w:val="0"/>
                <w:bCs w:val="0"/>
                <w:sz w:val="20"/>
                <w:szCs w:val="20"/>
              </w:rPr>
            </w:pPr>
            <w:r w:rsidRPr="009C0C39">
              <w:rPr>
                <w:rFonts w:ascii="Franklin Gothic Demi Cond" w:hAnsi="Franklin Gothic Demi Cond" w:cs="Times New Roman"/>
                <w:b w:val="0"/>
                <w:bCs w:val="0"/>
                <w:sz w:val="20"/>
                <w:szCs w:val="20"/>
              </w:rPr>
              <w:t>Annual Commercial Spending Impact</w:t>
            </w:r>
          </w:p>
        </w:tc>
        <w:tc>
          <w:tcPr>
            <w:tcW w:w="1056" w:type="pct"/>
            <w:vAlign w:val="center"/>
            <w:hideMark/>
          </w:tcPr>
          <w:p w14:paraId="6A85E7E9" w14:textId="77777777" w:rsidR="0085153C" w:rsidRPr="009C0C39" w:rsidRDefault="0085153C" w:rsidP="00415812">
            <w:pPr>
              <w:rPr>
                <w:rFonts w:ascii="Franklin Gothic Demi Cond" w:hAnsi="Franklin Gothic Demi Cond" w:cs="Times New Roman"/>
                <w:b w:val="0"/>
                <w:bCs w:val="0"/>
                <w:sz w:val="20"/>
                <w:szCs w:val="20"/>
              </w:rPr>
            </w:pPr>
            <w:r w:rsidRPr="009C0C39">
              <w:rPr>
                <w:rFonts w:ascii="Franklin Gothic Demi Cond" w:hAnsi="Franklin Gothic Demi Cond" w:cs="Times New Roman"/>
                <w:b w:val="0"/>
                <w:bCs w:val="0"/>
                <w:sz w:val="20"/>
                <w:szCs w:val="20"/>
              </w:rPr>
              <w:t>Annual Commercial Revenue Gain by MGB</w:t>
            </w:r>
          </w:p>
        </w:tc>
        <w:tc>
          <w:tcPr>
            <w:tcW w:w="1055" w:type="pct"/>
            <w:vAlign w:val="center"/>
            <w:hideMark/>
          </w:tcPr>
          <w:p w14:paraId="2E1ECF08" w14:textId="77777777" w:rsidR="0085153C" w:rsidRPr="009C0C39" w:rsidRDefault="0085153C" w:rsidP="00415812">
            <w:pPr>
              <w:rPr>
                <w:rFonts w:ascii="Franklin Gothic Demi Cond" w:hAnsi="Franklin Gothic Demi Cond" w:cs="Times New Roman"/>
                <w:b w:val="0"/>
                <w:bCs w:val="0"/>
                <w:sz w:val="20"/>
                <w:szCs w:val="20"/>
              </w:rPr>
            </w:pPr>
            <w:r w:rsidRPr="009C0C39">
              <w:rPr>
                <w:rFonts w:ascii="Franklin Gothic Demi Cond" w:hAnsi="Franklin Gothic Demi Cond" w:cs="Times New Roman"/>
                <w:b w:val="0"/>
                <w:bCs w:val="0"/>
                <w:sz w:val="20"/>
                <w:szCs w:val="20"/>
              </w:rPr>
              <w:t>Annual Commercial Revenue Loss by Other Providers</w:t>
            </w:r>
          </w:p>
        </w:tc>
      </w:tr>
      <w:tr w:rsidR="00804A4E" w:rsidRPr="009C0C39" w14:paraId="32A4E5F1" w14:textId="77777777" w:rsidTr="00415812">
        <w:trPr>
          <w:trHeight w:val="70"/>
        </w:trPr>
        <w:tc>
          <w:tcPr>
            <w:tcW w:w="214" w:type="pct"/>
            <w:vMerge w:val="restart"/>
            <w:shd w:val="clear" w:color="auto" w:fill="auto"/>
            <w:textDirection w:val="btLr"/>
            <w:vAlign w:val="center"/>
          </w:tcPr>
          <w:p w14:paraId="66CB0533" w14:textId="77777777" w:rsidR="0085153C" w:rsidRPr="009C0C39" w:rsidRDefault="0085153C" w:rsidP="00415812">
            <w:pPr>
              <w:pStyle w:val="ListParagraph"/>
              <w:numPr>
                <w:ilvl w:val="0"/>
                <w:numId w:val="18"/>
              </w:numPr>
              <w:ind w:right="113"/>
              <w:jc w:val="center"/>
              <w:rPr>
                <w:rFonts w:ascii="Franklin Gothic Book" w:hAnsi="Franklin Gothic Book" w:cs="Times New Roman"/>
                <w:sz w:val="20"/>
                <w:szCs w:val="20"/>
              </w:rPr>
            </w:pPr>
            <w:r w:rsidRPr="009C0C39">
              <w:rPr>
                <w:rFonts w:ascii="Franklin Gothic Book" w:hAnsi="Franklin Gothic Book" w:cs="Times New Roman"/>
                <w:sz w:val="20"/>
                <w:szCs w:val="20"/>
              </w:rPr>
              <w:t>Ambulatory Expansion</w:t>
            </w:r>
          </w:p>
        </w:tc>
        <w:tc>
          <w:tcPr>
            <w:tcW w:w="1619" w:type="pct"/>
            <w:gridSpan w:val="2"/>
            <w:shd w:val="clear" w:color="auto" w:fill="auto"/>
            <w:vAlign w:val="center"/>
            <w:hideMark/>
          </w:tcPr>
          <w:p w14:paraId="15936E8A" w14:textId="77777777" w:rsidR="0085153C" w:rsidRPr="003F4302" w:rsidRDefault="0085153C" w:rsidP="00415812">
            <w:pPr>
              <w:pStyle w:val="ListParagraph"/>
              <w:numPr>
                <w:ilvl w:val="0"/>
                <w:numId w:val="22"/>
              </w:numPr>
              <w:ind w:left="202" w:hanging="270"/>
              <w:rPr>
                <w:rFonts w:ascii="Franklin Gothic Book" w:hAnsi="Franklin Gothic Book" w:cs="Times New Roman"/>
                <w:sz w:val="18"/>
                <w:szCs w:val="18"/>
              </w:rPr>
            </w:pPr>
            <w:r w:rsidRPr="003F4302">
              <w:rPr>
                <w:rFonts w:ascii="Franklin Gothic Book" w:hAnsi="Franklin Gothic Book" w:cs="Times New Roman"/>
                <w:sz w:val="18"/>
                <w:szCs w:val="18"/>
              </w:rPr>
              <w:t>New MGB primary care patients</w:t>
            </w:r>
          </w:p>
        </w:tc>
        <w:tc>
          <w:tcPr>
            <w:tcW w:w="1056" w:type="pct"/>
            <w:shd w:val="clear" w:color="auto" w:fill="auto"/>
            <w:vAlign w:val="center"/>
          </w:tcPr>
          <w:p w14:paraId="54046505"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$9.5M to $15.4M</w:t>
            </w:r>
          </w:p>
        </w:tc>
        <w:tc>
          <w:tcPr>
            <w:tcW w:w="1056" w:type="pct"/>
            <w:shd w:val="clear" w:color="auto" w:fill="auto"/>
            <w:vAlign w:val="center"/>
          </w:tcPr>
          <w:p w14:paraId="47A45632"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Not Modeled, but likely to increase revenue.</w:t>
            </w:r>
          </w:p>
        </w:tc>
        <w:tc>
          <w:tcPr>
            <w:tcW w:w="1055" w:type="pct"/>
            <w:shd w:val="clear" w:color="auto" w:fill="auto"/>
            <w:vAlign w:val="center"/>
          </w:tcPr>
          <w:p w14:paraId="068B8CCA"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Not Modeled, but likely to decrease revenue.</w:t>
            </w:r>
          </w:p>
        </w:tc>
      </w:tr>
      <w:tr w:rsidR="00E7023A" w:rsidRPr="009C0C39" w14:paraId="69BC6149" w14:textId="77777777" w:rsidTr="00E7023A">
        <w:trPr>
          <w:trHeight w:val="790"/>
        </w:trPr>
        <w:tc>
          <w:tcPr>
            <w:tcW w:w="214" w:type="pct"/>
            <w:vMerge/>
            <w:shd w:val="clear" w:color="auto" w:fill="auto"/>
            <w:vAlign w:val="center"/>
          </w:tcPr>
          <w:p w14:paraId="7B16301B" w14:textId="77777777" w:rsidR="0085153C" w:rsidRPr="009C0C39" w:rsidRDefault="0085153C" w:rsidP="00415812">
            <w:pPr>
              <w:jc w:val="center"/>
              <w:rPr>
                <w:rFonts w:ascii="Franklin Gothic Book" w:hAnsi="Franklin Gothic Book" w:cs="Times New Roman"/>
                <w:sz w:val="20"/>
                <w:szCs w:val="20"/>
              </w:rPr>
            </w:pPr>
          </w:p>
        </w:tc>
        <w:tc>
          <w:tcPr>
            <w:tcW w:w="1619" w:type="pct"/>
            <w:gridSpan w:val="2"/>
            <w:shd w:val="clear" w:color="auto" w:fill="EDEDED" w:themeFill="text2" w:themeFillTint="33"/>
            <w:vAlign w:val="center"/>
            <w:hideMark/>
          </w:tcPr>
          <w:p w14:paraId="1D4068AF" w14:textId="77777777" w:rsidR="0085153C" w:rsidRPr="003F4302" w:rsidRDefault="0085153C" w:rsidP="00415812">
            <w:pPr>
              <w:pStyle w:val="ListParagraph"/>
              <w:numPr>
                <w:ilvl w:val="0"/>
                <w:numId w:val="22"/>
              </w:numPr>
              <w:ind w:left="225" w:hanging="270"/>
              <w:rPr>
                <w:rFonts w:ascii="Franklin Gothic Book" w:hAnsi="Franklin Gothic Book" w:cs="Times New Roman"/>
                <w:sz w:val="18"/>
                <w:szCs w:val="18"/>
              </w:rPr>
            </w:pPr>
            <w:r w:rsidRPr="003F4302">
              <w:rPr>
                <w:rFonts w:ascii="Franklin Gothic Book" w:hAnsi="Franklin Gothic Book" w:cs="Times New Roman"/>
                <w:sz w:val="18"/>
                <w:szCs w:val="18"/>
              </w:rPr>
              <w:t xml:space="preserve">Increased utilization of MGB hospitals </w:t>
            </w:r>
          </w:p>
        </w:tc>
        <w:tc>
          <w:tcPr>
            <w:tcW w:w="1056" w:type="pct"/>
            <w:shd w:val="clear" w:color="auto" w:fill="EDEDED" w:themeFill="text2" w:themeFillTint="33"/>
            <w:vAlign w:val="center"/>
            <w:hideMark/>
          </w:tcPr>
          <w:p w14:paraId="4AFCB234"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 xml:space="preserve">Likely significant. </w:t>
            </w:r>
            <w:bookmarkStart w:id="13" w:name="_Hlk93862399"/>
            <w:r w:rsidRPr="003F4302">
              <w:rPr>
                <w:rFonts w:ascii="Franklin Gothic Book" w:hAnsi="Franklin Gothic Book" w:cs="Times New Roman"/>
                <w:sz w:val="18"/>
                <w:szCs w:val="18"/>
              </w:rPr>
              <w:t>If the three proposed sites allow MGB to achieve half of its market share expectations for the larger multiyear ambulatory expansion</w:t>
            </w:r>
            <w:bookmarkEnd w:id="13"/>
            <w:r w:rsidRPr="003F4302">
              <w:rPr>
                <w:rFonts w:ascii="Franklin Gothic Book" w:hAnsi="Franklin Gothic Book" w:cs="Times New Roman"/>
                <w:sz w:val="18"/>
                <w:szCs w:val="18"/>
              </w:rPr>
              <w:t xml:space="preserve">, $4.5M to $17.9M for inpatient care. Outpatient would further increase spending. </w:t>
            </w:r>
          </w:p>
        </w:tc>
        <w:tc>
          <w:tcPr>
            <w:tcW w:w="1056" w:type="pct"/>
            <w:shd w:val="clear" w:color="auto" w:fill="EDEDED" w:themeFill="text2" w:themeFillTint="33"/>
            <w:vAlign w:val="center"/>
            <w:hideMark/>
          </w:tcPr>
          <w:p w14:paraId="5B4D4A4F"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Likely significant. If the three proposed sites allow MGB to achieve half of its market share expectations for the larger multiyear ambulatory expansion, $19.1M to $76.5M for inpatient care. Outpatient would further increase revenue.</w:t>
            </w:r>
          </w:p>
        </w:tc>
        <w:tc>
          <w:tcPr>
            <w:tcW w:w="1055" w:type="pct"/>
            <w:shd w:val="clear" w:color="auto" w:fill="EDEDED" w:themeFill="text2" w:themeFillTint="33"/>
            <w:vAlign w:val="center"/>
            <w:hideMark/>
          </w:tcPr>
          <w:p w14:paraId="3F28953C"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 xml:space="preserve">Likely significant. </w:t>
            </w:r>
          </w:p>
          <w:p w14:paraId="12F20527"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If the three proposed sites allow MGB to achieve half of its market share expectations for the larger multiyear ambulatory expansion,</w:t>
            </w:r>
            <w:r w:rsidRPr="003F4302">
              <w:rPr>
                <w:rFonts w:ascii="Franklin Gothic Book" w:hAnsi="Franklin Gothic Book" w:cs="Times New Roman"/>
                <w:color w:val="FF0000"/>
                <w:sz w:val="18"/>
                <w:szCs w:val="18"/>
              </w:rPr>
              <w:t xml:space="preserve"> -$14.6M</w:t>
            </w:r>
            <w:r w:rsidRPr="003F4302">
              <w:rPr>
                <w:rFonts w:ascii="Franklin Gothic Book" w:hAnsi="Franklin Gothic Book" w:cs="Times New Roman"/>
                <w:sz w:val="18"/>
                <w:szCs w:val="18"/>
              </w:rPr>
              <w:t xml:space="preserve"> to </w:t>
            </w:r>
            <w:r w:rsidRPr="003F4302">
              <w:rPr>
                <w:rFonts w:ascii="Franklin Gothic Book" w:hAnsi="Franklin Gothic Book" w:cs="Times New Roman"/>
                <w:color w:val="FF0000"/>
                <w:sz w:val="18"/>
                <w:szCs w:val="18"/>
              </w:rPr>
              <w:t>-$58.6M</w:t>
            </w:r>
            <w:r w:rsidRPr="003F4302">
              <w:rPr>
                <w:rFonts w:ascii="Franklin Gothic Book" w:hAnsi="Franklin Gothic Book" w:cs="Times New Roman"/>
                <w:sz w:val="18"/>
                <w:szCs w:val="18"/>
              </w:rPr>
              <w:t xml:space="preserve"> for inpatient care. Outpatient would further reduce revenue.</w:t>
            </w:r>
          </w:p>
        </w:tc>
      </w:tr>
      <w:tr w:rsidR="00804A4E" w:rsidRPr="009C0C39" w14:paraId="68D347E6" w14:textId="77777777" w:rsidTr="00415812">
        <w:trPr>
          <w:trHeight w:val="700"/>
        </w:trPr>
        <w:tc>
          <w:tcPr>
            <w:tcW w:w="214" w:type="pct"/>
            <w:vMerge/>
            <w:shd w:val="clear" w:color="auto" w:fill="auto"/>
            <w:vAlign w:val="center"/>
          </w:tcPr>
          <w:p w14:paraId="7AED2F97" w14:textId="77777777" w:rsidR="0085153C" w:rsidRPr="009C0C39" w:rsidRDefault="0085153C" w:rsidP="00415812">
            <w:pPr>
              <w:jc w:val="center"/>
              <w:rPr>
                <w:rFonts w:ascii="Franklin Gothic Book" w:hAnsi="Franklin Gothic Book" w:cs="Times New Roman"/>
                <w:sz w:val="20"/>
                <w:szCs w:val="20"/>
              </w:rPr>
            </w:pPr>
          </w:p>
        </w:tc>
        <w:tc>
          <w:tcPr>
            <w:tcW w:w="1619" w:type="pct"/>
            <w:gridSpan w:val="2"/>
            <w:shd w:val="clear" w:color="auto" w:fill="auto"/>
            <w:vAlign w:val="center"/>
            <w:hideMark/>
          </w:tcPr>
          <w:p w14:paraId="7847C0A5" w14:textId="77777777" w:rsidR="0085153C" w:rsidRPr="003F4302" w:rsidRDefault="0085153C" w:rsidP="00415812">
            <w:pPr>
              <w:pStyle w:val="ListParagraph"/>
              <w:numPr>
                <w:ilvl w:val="0"/>
                <w:numId w:val="22"/>
              </w:numPr>
              <w:ind w:left="225" w:hanging="270"/>
              <w:rPr>
                <w:rFonts w:ascii="Franklin Gothic Book" w:hAnsi="Franklin Gothic Book" w:cs="Times New Roman"/>
                <w:sz w:val="18"/>
                <w:szCs w:val="18"/>
              </w:rPr>
            </w:pPr>
            <w:r w:rsidRPr="003F4302">
              <w:rPr>
                <w:rFonts w:ascii="Franklin Gothic Book" w:hAnsi="Franklin Gothic Book" w:cs="Times New Roman"/>
                <w:sz w:val="18"/>
                <w:szCs w:val="18"/>
              </w:rPr>
              <w:t xml:space="preserve">Patients at new ambulatory locations and backfill of outpatient capacity at MGB hospitals </w:t>
            </w:r>
          </w:p>
        </w:tc>
        <w:tc>
          <w:tcPr>
            <w:tcW w:w="1056" w:type="pct"/>
            <w:shd w:val="clear" w:color="auto" w:fill="auto"/>
            <w:vAlign w:val="center"/>
            <w:hideMark/>
          </w:tcPr>
          <w:p w14:paraId="73B65F77"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color w:val="FF0000"/>
                <w:sz w:val="18"/>
                <w:szCs w:val="18"/>
              </w:rPr>
              <w:t>-$3.4M</w:t>
            </w:r>
            <w:r w:rsidRPr="003F4302">
              <w:rPr>
                <w:rFonts w:ascii="Franklin Gothic Book" w:hAnsi="Franklin Gothic Book" w:cs="Times New Roman"/>
                <w:sz w:val="18"/>
                <w:szCs w:val="18"/>
              </w:rPr>
              <w:t xml:space="preserve"> for ambulatory surgery, CT and MRI. Other services could further impact spending.</w:t>
            </w:r>
          </w:p>
        </w:tc>
        <w:tc>
          <w:tcPr>
            <w:tcW w:w="1056" w:type="pct"/>
            <w:shd w:val="clear" w:color="auto" w:fill="auto"/>
            <w:vAlign w:val="center"/>
            <w:hideMark/>
          </w:tcPr>
          <w:p w14:paraId="36795D3B"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$24.2M to $28.2M for ambulatory surgery, CT and MRI. Other services would further increase revenue.</w:t>
            </w:r>
          </w:p>
        </w:tc>
        <w:tc>
          <w:tcPr>
            <w:tcW w:w="1055" w:type="pct"/>
            <w:shd w:val="clear" w:color="auto" w:fill="auto"/>
            <w:vAlign w:val="center"/>
            <w:hideMark/>
          </w:tcPr>
          <w:p w14:paraId="68FA63CB"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color w:val="FF0000"/>
                <w:sz w:val="18"/>
                <w:szCs w:val="18"/>
              </w:rPr>
              <w:t>-$27.6M</w:t>
            </w:r>
            <w:r w:rsidRPr="003F4302">
              <w:rPr>
                <w:rFonts w:ascii="Franklin Gothic Book" w:hAnsi="Franklin Gothic Book" w:cs="Times New Roman"/>
                <w:sz w:val="18"/>
                <w:szCs w:val="18"/>
              </w:rPr>
              <w:t xml:space="preserve"> to </w:t>
            </w:r>
            <w:r w:rsidRPr="003F4302">
              <w:rPr>
                <w:rFonts w:ascii="Franklin Gothic Book" w:hAnsi="Franklin Gothic Book" w:cs="Times New Roman"/>
                <w:color w:val="FF0000"/>
                <w:sz w:val="18"/>
                <w:szCs w:val="18"/>
              </w:rPr>
              <w:t>-$31.6M</w:t>
            </w:r>
            <w:r w:rsidRPr="003F4302">
              <w:rPr>
                <w:rFonts w:ascii="Franklin Gothic Book" w:hAnsi="Franklin Gothic Book" w:cs="Times New Roman"/>
                <w:sz w:val="18"/>
                <w:szCs w:val="18"/>
              </w:rPr>
              <w:t xml:space="preserve"> for ambulatory surgery, CT and MRI. Other services would further reduce revenue</w:t>
            </w:r>
          </w:p>
        </w:tc>
      </w:tr>
      <w:tr w:rsidR="00804A4E" w:rsidRPr="009C0C39" w14:paraId="24D92A38" w14:textId="77777777" w:rsidTr="00E7023A">
        <w:trPr>
          <w:trHeight w:val="214"/>
        </w:trPr>
        <w:tc>
          <w:tcPr>
            <w:tcW w:w="214" w:type="pct"/>
            <w:vMerge/>
            <w:shd w:val="clear" w:color="auto" w:fill="auto"/>
            <w:vAlign w:val="center"/>
          </w:tcPr>
          <w:p w14:paraId="0C7A24A4" w14:textId="77777777" w:rsidR="0085153C" w:rsidRPr="009C0C39" w:rsidRDefault="0085153C" w:rsidP="00415812">
            <w:pPr>
              <w:jc w:val="center"/>
              <w:rPr>
                <w:rFonts w:ascii="Franklin Gothic Book" w:hAnsi="Franklin Gothic Book" w:cs="Times New Roman"/>
                <w:sz w:val="20"/>
                <w:szCs w:val="20"/>
              </w:rPr>
            </w:pPr>
          </w:p>
        </w:tc>
        <w:tc>
          <w:tcPr>
            <w:tcW w:w="1619" w:type="pct"/>
            <w:gridSpan w:val="2"/>
            <w:shd w:val="clear" w:color="auto" w:fill="EDEDED" w:themeFill="text2" w:themeFillTint="33"/>
            <w:vAlign w:val="center"/>
          </w:tcPr>
          <w:p w14:paraId="44DC5223" w14:textId="77777777" w:rsidR="0085153C" w:rsidRPr="003F4302" w:rsidRDefault="0085153C" w:rsidP="00415812">
            <w:pPr>
              <w:pStyle w:val="ListParagraph"/>
              <w:numPr>
                <w:ilvl w:val="0"/>
                <w:numId w:val="22"/>
              </w:numPr>
              <w:ind w:left="225" w:hanging="270"/>
              <w:rPr>
                <w:rFonts w:ascii="Franklin Gothic Book" w:hAnsi="Franklin Gothic Book" w:cs="Times New Roman"/>
                <w:sz w:val="18"/>
                <w:szCs w:val="18"/>
              </w:rPr>
            </w:pPr>
            <w:r w:rsidRPr="003F4302">
              <w:rPr>
                <w:rFonts w:ascii="Franklin Gothic Book" w:hAnsi="Franklin Gothic Book" w:cs="Times New Roman"/>
                <w:sz w:val="18"/>
                <w:szCs w:val="18"/>
              </w:rPr>
              <w:t>Increased MGB prices as market concentration and MGB’s commercial market shares increase</w:t>
            </w:r>
          </w:p>
        </w:tc>
        <w:tc>
          <w:tcPr>
            <w:tcW w:w="1056" w:type="pct"/>
            <w:shd w:val="clear" w:color="auto" w:fill="EDEDED" w:themeFill="text2" w:themeFillTint="33"/>
            <w:vAlign w:val="center"/>
          </w:tcPr>
          <w:p w14:paraId="5347E926"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Not Modeled</w:t>
            </w:r>
          </w:p>
        </w:tc>
        <w:tc>
          <w:tcPr>
            <w:tcW w:w="1056" w:type="pct"/>
            <w:shd w:val="clear" w:color="auto" w:fill="EDEDED" w:themeFill="text2" w:themeFillTint="33"/>
            <w:vAlign w:val="center"/>
          </w:tcPr>
          <w:p w14:paraId="08C827E1"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Not Modeled</w:t>
            </w:r>
          </w:p>
        </w:tc>
        <w:tc>
          <w:tcPr>
            <w:tcW w:w="1055" w:type="pct"/>
            <w:shd w:val="clear" w:color="auto" w:fill="EDEDED" w:themeFill="text2" w:themeFillTint="33"/>
            <w:vAlign w:val="center"/>
          </w:tcPr>
          <w:p w14:paraId="01AEAAC0"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Not Modeled</w:t>
            </w:r>
          </w:p>
        </w:tc>
      </w:tr>
      <w:tr w:rsidR="00804A4E" w:rsidRPr="009C0C39" w14:paraId="11C6D448" w14:textId="77777777" w:rsidTr="00415812">
        <w:trPr>
          <w:trHeight w:val="350"/>
        </w:trPr>
        <w:tc>
          <w:tcPr>
            <w:tcW w:w="214" w:type="pct"/>
            <w:vMerge/>
            <w:shd w:val="clear" w:color="auto" w:fill="auto"/>
            <w:textDirection w:val="btLr"/>
            <w:vAlign w:val="center"/>
          </w:tcPr>
          <w:p w14:paraId="3A356F1A" w14:textId="77777777" w:rsidR="0085153C" w:rsidRPr="009C0C39" w:rsidRDefault="0085153C" w:rsidP="00415812">
            <w:pPr>
              <w:ind w:left="113" w:right="113"/>
              <w:jc w:val="center"/>
              <w:rPr>
                <w:rFonts w:ascii="Franklin Gothic Book" w:hAnsi="Franklin Gothic Book" w:cs="Times New Roman"/>
                <w:sz w:val="20"/>
                <w:szCs w:val="20"/>
              </w:rPr>
            </w:pPr>
          </w:p>
        </w:tc>
        <w:tc>
          <w:tcPr>
            <w:tcW w:w="1619" w:type="pct"/>
            <w:gridSpan w:val="2"/>
            <w:shd w:val="clear" w:color="auto" w:fill="E2E8F1" w:themeFill="background2" w:themeFillTint="33"/>
            <w:vAlign w:val="center"/>
          </w:tcPr>
          <w:p w14:paraId="2EF4113D" w14:textId="77777777" w:rsidR="0085153C" w:rsidRPr="003F4302" w:rsidRDefault="0085153C" w:rsidP="00415812">
            <w:pPr>
              <w:rPr>
                <w:rFonts w:ascii="Franklin Gothic Book" w:hAnsi="Franklin Gothic Book" w:cs="Times New Roman"/>
                <w:b/>
                <w:bCs/>
                <w:sz w:val="18"/>
                <w:szCs w:val="18"/>
              </w:rPr>
            </w:pPr>
            <w:r w:rsidRPr="003F4302">
              <w:rPr>
                <w:rFonts w:ascii="Franklin Gothic Book" w:hAnsi="Franklin Gothic Book" w:cs="Times New Roman"/>
                <w:b/>
                <w:bCs/>
                <w:sz w:val="18"/>
                <w:szCs w:val="18"/>
              </w:rPr>
              <w:t xml:space="preserve">Total </w:t>
            </w:r>
            <w:r w:rsidRPr="003F4302">
              <w:rPr>
                <w:rFonts w:ascii="Franklin Gothic Book" w:hAnsi="Franklin Gothic Book" w:cs="Times New Roman"/>
                <w:b/>
                <w:bCs/>
                <w:i/>
                <w:iCs/>
                <w:sz w:val="18"/>
                <w:szCs w:val="18"/>
              </w:rPr>
              <w:t>yearly</w:t>
            </w:r>
            <w:r w:rsidRPr="003F4302">
              <w:rPr>
                <w:rFonts w:ascii="Franklin Gothic Book" w:hAnsi="Franklin Gothic Book" w:cs="Times New Roman"/>
                <w:b/>
                <w:bCs/>
                <w:sz w:val="18"/>
                <w:szCs w:val="18"/>
              </w:rPr>
              <w:t xml:space="preserve"> commercial impact for modeled services and spending dynamics</w:t>
            </w:r>
          </w:p>
        </w:tc>
        <w:tc>
          <w:tcPr>
            <w:tcW w:w="1056" w:type="pct"/>
            <w:shd w:val="clear" w:color="auto" w:fill="E2E8F1" w:themeFill="background2" w:themeFillTint="33"/>
            <w:vAlign w:val="center"/>
          </w:tcPr>
          <w:p w14:paraId="64460E00"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$9.3M</w:t>
            </w:r>
            <w:r w:rsidRPr="003F4302">
              <w:rPr>
                <w:rFonts w:ascii="Franklin Gothic Book" w:hAnsi="Franklin Gothic Book" w:cs="Times New Roman"/>
                <w:sz w:val="18"/>
                <w:szCs w:val="18"/>
              </w:rPr>
              <w:t xml:space="preserve"> to </w:t>
            </w:r>
            <w:r w:rsidRPr="003F4302">
              <w:rPr>
                <w:rFonts w:ascii="Franklin Gothic Book" w:hAnsi="Franklin Gothic Book" w:cs="Times New Roman"/>
                <w:b/>
                <w:bCs/>
                <w:sz w:val="18"/>
                <w:szCs w:val="18"/>
              </w:rPr>
              <w:t>$27.9M</w:t>
            </w:r>
          </w:p>
        </w:tc>
        <w:tc>
          <w:tcPr>
            <w:tcW w:w="1056" w:type="pct"/>
            <w:shd w:val="clear" w:color="auto" w:fill="E2E8F1" w:themeFill="background2" w:themeFillTint="33"/>
            <w:vAlign w:val="center"/>
          </w:tcPr>
          <w:p w14:paraId="6E9402B8"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$43.3M</w:t>
            </w:r>
            <w:r w:rsidRPr="003F4302">
              <w:rPr>
                <w:rFonts w:ascii="Franklin Gothic Book" w:hAnsi="Franklin Gothic Book" w:cs="Times New Roman"/>
                <w:sz w:val="18"/>
                <w:szCs w:val="18"/>
              </w:rPr>
              <w:t xml:space="preserve"> to </w:t>
            </w:r>
            <w:r w:rsidRPr="003F4302">
              <w:rPr>
                <w:rFonts w:ascii="Franklin Gothic Book" w:hAnsi="Franklin Gothic Book" w:cs="Times New Roman"/>
                <w:b/>
                <w:bCs/>
                <w:sz w:val="18"/>
                <w:szCs w:val="18"/>
              </w:rPr>
              <w:t>$104.6M</w:t>
            </w:r>
          </w:p>
        </w:tc>
        <w:tc>
          <w:tcPr>
            <w:tcW w:w="1055" w:type="pct"/>
            <w:shd w:val="clear" w:color="auto" w:fill="E2E8F1" w:themeFill="background2" w:themeFillTint="33"/>
            <w:vAlign w:val="center"/>
          </w:tcPr>
          <w:p w14:paraId="3F393C30" w14:textId="77777777" w:rsidR="0085153C" w:rsidRPr="003F4302" w:rsidRDefault="0085153C" w:rsidP="00415812">
            <w:pPr>
              <w:rPr>
                <w:rFonts w:ascii="Franklin Gothic Book" w:hAnsi="Franklin Gothic Book" w:cs="Times New Roman"/>
                <w:color w:val="FF0000"/>
                <w:sz w:val="18"/>
                <w:szCs w:val="18"/>
              </w:rPr>
            </w:pPr>
            <w:r w:rsidRPr="003F4302">
              <w:rPr>
                <w:rFonts w:ascii="Franklin Gothic Book" w:hAnsi="Franklin Gothic Book" w:cs="Times New Roman"/>
                <w:b/>
                <w:bCs/>
                <w:color w:val="FF0000"/>
                <w:sz w:val="18"/>
                <w:szCs w:val="18"/>
              </w:rPr>
              <w:t>-$42.2M</w:t>
            </w:r>
            <w:r w:rsidRPr="003F4302">
              <w:rPr>
                <w:rFonts w:ascii="Franklin Gothic Book" w:hAnsi="Franklin Gothic Book" w:cs="Times New Roman"/>
                <w:color w:val="FF0000"/>
                <w:sz w:val="18"/>
                <w:szCs w:val="18"/>
              </w:rPr>
              <w:t xml:space="preserve"> </w:t>
            </w:r>
            <w:r w:rsidRPr="003F4302">
              <w:rPr>
                <w:rFonts w:ascii="Franklin Gothic Book" w:hAnsi="Franklin Gothic Book" w:cs="Times New Roman"/>
                <w:sz w:val="18"/>
                <w:szCs w:val="18"/>
              </w:rPr>
              <w:t xml:space="preserve">to </w:t>
            </w:r>
            <w:r w:rsidRPr="003F4302">
              <w:rPr>
                <w:rFonts w:ascii="Franklin Gothic Book" w:hAnsi="Franklin Gothic Book" w:cs="Times New Roman"/>
                <w:b/>
                <w:bCs/>
                <w:color w:val="FF0000"/>
                <w:sz w:val="18"/>
                <w:szCs w:val="18"/>
              </w:rPr>
              <w:t>-$90.2M</w:t>
            </w:r>
          </w:p>
        </w:tc>
      </w:tr>
      <w:tr w:rsidR="009C0C39" w:rsidRPr="009C0C39" w14:paraId="73BBBA4E" w14:textId="77777777" w:rsidTr="00415812">
        <w:trPr>
          <w:trHeight w:val="197"/>
        </w:trPr>
        <w:tc>
          <w:tcPr>
            <w:tcW w:w="214" w:type="pct"/>
            <w:vMerge w:val="restart"/>
            <w:shd w:val="clear" w:color="auto" w:fill="auto"/>
            <w:textDirection w:val="btLr"/>
            <w:vAlign w:val="center"/>
          </w:tcPr>
          <w:p w14:paraId="13CA95A4" w14:textId="77777777" w:rsidR="0085153C" w:rsidRPr="009C0C39" w:rsidRDefault="0085153C" w:rsidP="00415812">
            <w:pPr>
              <w:pStyle w:val="ListParagraph"/>
              <w:numPr>
                <w:ilvl w:val="0"/>
                <w:numId w:val="18"/>
              </w:numPr>
              <w:ind w:right="113"/>
              <w:jc w:val="center"/>
              <w:rPr>
                <w:rFonts w:ascii="Franklin Gothic Book" w:hAnsi="Franklin Gothic Book" w:cs="Times New Roman"/>
                <w:sz w:val="20"/>
                <w:szCs w:val="20"/>
              </w:rPr>
            </w:pPr>
            <w:r w:rsidRPr="009C0C39">
              <w:rPr>
                <w:rFonts w:ascii="Franklin Gothic Book" w:hAnsi="Franklin Gothic Book" w:cs="Times New Roman"/>
                <w:sz w:val="20"/>
                <w:szCs w:val="20"/>
              </w:rPr>
              <w:t>MGH and Faulkner Expansions</w:t>
            </w:r>
          </w:p>
        </w:tc>
        <w:tc>
          <w:tcPr>
            <w:tcW w:w="1244" w:type="pct"/>
            <w:vMerge w:val="restart"/>
            <w:shd w:val="clear" w:color="auto" w:fill="auto"/>
            <w:vAlign w:val="center"/>
          </w:tcPr>
          <w:p w14:paraId="5DDB72FE" w14:textId="77777777" w:rsidR="0085153C" w:rsidRPr="003F4302" w:rsidRDefault="0085153C" w:rsidP="00415812">
            <w:pPr>
              <w:pStyle w:val="ListParagraph"/>
              <w:numPr>
                <w:ilvl w:val="0"/>
                <w:numId w:val="23"/>
              </w:numPr>
              <w:ind w:left="204" w:hanging="270"/>
              <w:rPr>
                <w:rFonts w:ascii="Franklin Gothic Book" w:hAnsi="Franklin Gothic Book" w:cs="Times New Roman"/>
                <w:sz w:val="18"/>
                <w:szCs w:val="18"/>
              </w:rPr>
            </w:pPr>
            <w:r w:rsidRPr="003F4302">
              <w:rPr>
                <w:rFonts w:ascii="Franklin Gothic Book" w:hAnsi="Franklin Gothic Book" w:cs="Times New Roman"/>
                <w:sz w:val="18"/>
                <w:szCs w:val="18"/>
              </w:rPr>
              <w:t>Patients filling new inpatient capacity</w:t>
            </w:r>
          </w:p>
        </w:tc>
        <w:tc>
          <w:tcPr>
            <w:tcW w:w="375" w:type="pct"/>
            <w:shd w:val="clear" w:color="auto" w:fill="auto"/>
            <w:vAlign w:val="center"/>
          </w:tcPr>
          <w:p w14:paraId="46D75FE0"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MGH</w:t>
            </w:r>
          </w:p>
        </w:tc>
        <w:tc>
          <w:tcPr>
            <w:tcW w:w="1056" w:type="pct"/>
            <w:shd w:val="clear" w:color="auto" w:fill="auto"/>
            <w:vAlign w:val="center"/>
          </w:tcPr>
          <w:p w14:paraId="4F85F9E7"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$23.7M to $40.6M</w:t>
            </w:r>
          </w:p>
        </w:tc>
        <w:tc>
          <w:tcPr>
            <w:tcW w:w="1056" w:type="pct"/>
            <w:shd w:val="clear" w:color="auto" w:fill="auto"/>
            <w:vAlign w:val="center"/>
          </w:tcPr>
          <w:p w14:paraId="61D0F17A"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$91.3M to $156.3M</w:t>
            </w:r>
          </w:p>
        </w:tc>
        <w:tc>
          <w:tcPr>
            <w:tcW w:w="1055" w:type="pct"/>
            <w:shd w:val="clear" w:color="auto" w:fill="auto"/>
            <w:vAlign w:val="center"/>
          </w:tcPr>
          <w:p w14:paraId="27CCB801"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color w:val="FF0000"/>
                <w:sz w:val="18"/>
                <w:szCs w:val="18"/>
              </w:rPr>
              <w:t xml:space="preserve">-$67.6M </w:t>
            </w:r>
            <w:r w:rsidRPr="003F4302">
              <w:rPr>
                <w:rFonts w:ascii="Franklin Gothic Book" w:hAnsi="Franklin Gothic Book" w:cs="Times New Roman"/>
                <w:sz w:val="18"/>
                <w:szCs w:val="18"/>
              </w:rPr>
              <w:t xml:space="preserve">to </w:t>
            </w:r>
            <w:r w:rsidRPr="003F4302">
              <w:rPr>
                <w:rFonts w:ascii="Franklin Gothic Book" w:hAnsi="Franklin Gothic Book" w:cs="Times New Roman"/>
                <w:color w:val="FF0000"/>
                <w:sz w:val="18"/>
                <w:szCs w:val="18"/>
              </w:rPr>
              <w:t>-$115.7M</w:t>
            </w:r>
          </w:p>
        </w:tc>
      </w:tr>
      <w:tr w:rsidR="003F4302" w:rsidRPr="009C0C39" w14:paraId="0908B443" w14:textId="77777777" w:rsidTr="00415812">
        <w:trPr>
          <w:trHeight w:val="170"/>
        </w:trPr>
        <w:tc>
          <w:tcPr>
            <w:tcW w:w="214" w:type="pct"/>
            <w:vMerge/>
            <w:shd w:val="clear" w:color="auto" w:fill="auto"/>
            <w:textDirection w:val="btLr"/>
            <w:vAlign w:val="center"/>
          </w:tcPr>
          <w:p w14:paraId="03E7282B" w14:textId="77777777" w:rsidR="0085153C" w:rsidRPr="009C0C39" w:rsidRDefault="0085153C" w:rsidP="00415812">
            <w:pPr>
              <w:ind w:left="113" w:right="113"/>
              <w:rPr>
                <w:rFonts w:ascii="Franklin Gothic Book" w:hAnsi="Franklin Gothic Book" w:cs="Times New Roman"/>
                <w:sz w:val="20"/>
                <w:szCs w:val="20"/>
              </w:rPr>
            </w:pPr>
          </w:p>
        </w:tc>
        <w:tc>
          <w:tcPr>
            <w:tcW w:w="1244" w:type="pct"/>
            <w:vMerge/>
            <w:shd w:val="clear" w:color="auto" w:fill="auto"/>
            <w:vAlign w:val="center"/>
            <w:hideMark/>
          </w:tcPr>
          <w:p w14:paraId="55FCA767" w14:textId="77777777" w:rsidR="0085153C" w:rsidRPr="003F4302" w:rsidRDefault="0085153C" w:rsidP="00415812">
            <w:pPr>
              <w:rPr>
                <w:rFonts w:ascii="Franklin Gothic Book" w:hAnsi="Franklin Gothic Book" w:cs="Times New Roman"/>
                <w:sz w:val="18"/>
                <w:szCs w:val="18"/>
              </w:rPr>
            </w:pPr>
          </w:p>
        </w:tc>
        <w:tc>
          <w:tcPr>
            <w:tcW w:w="375" w:type="pct"/>
            <w:shd w:val="clear" w:color="auto" w:fill="auto"/>
            <w:vAlign w:val="center"/>
          </w:tcPr>
          <w:p w14:paraId="58AEF395"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Faulkner</w:t>
            </w:r>
          </w:p>
        </w:tc>
        <w:tc>
          <w:tcPr>
            <w:tcW w:w="1056" w:type="pct"/>
            <w:shd w:val="clear" w:color="auto" w:fill="auto"/>
            <w:vAlign w:val="center"/>
          </w:tcPr>
          <w:p w14:paraId="4AC37AD0"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$2.9M to $3.8M</w:t>
            </w:r>
          </w:p>
        </w:tc>
        <w:tc>
          <w:tcPr>
            <w:tcW w:w="1056" w:type="pct"/>
            <w:shd w:val="clear" w:color="auto" w:fill="auto"/>
            <w:vAlign w:val="center"/>
          </w:tcPr>
          <w:p w14:paraId="484B55AE"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$41.8M to $54.9M</w:t>
            </w:r>
          </w:p>
        </w:tc>
        <w:tc>
          <w:tcPr>
            <w:tcW w:w="1055" w:type="pct"/>
            <w:shd w:val="clear" w:color="auto" w:fill="auto"/>
            <w:vAlign w:val="center"/>
          </w:tcPr>
          <w:p w14:paraId="0D22BF11"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color w:val="FF0000"/>
                <w:sz w:val="18"/>
                <w:szCs w:val="18"/>
              </w:rPr>
              <w:t>-$39.0M</w:t>
            </w:r>
            <w:r w:rsidRPr="003F4302">
              <w:rPr>
                <w:rFonts w:ascii="Franklin Gothic Book" w:hAnsi="Franklin Gothic Book" w:cs="Times New Roman"/>
                <w:sz w:val="18"/>
                <w:szCs w:val="18"/>
              </w:rPr>
              <w:t xml:space="preserve"> to </w:t>
            </w:r>
            <w:r w:rsidRPr="003F4302">
              <w:rPr>
                <w:rFonts w:ascii="Franklin Gothic Book" w:hAnsi="Franklin Gothic Book" w:cs="Times New Roman"/>
                <w:color w:val="FF0000"/>
                <w:sz w:val="18"/>
                <w:szCs w:val="18"/>
              </w:rPr>
              <w:t>-$51.1M</w:t>
            </w:r>
          </w:p>
        </w:tc>
      </w:tr>
      <w:tr w:rsidR="00415812" w:rsidRPr="009C0C39" w14:paraId="3BBACB09" w14:textId="77777777" w:rsidTr="00E7023A">
        <w:trPr>
          <w:trHeight w:val="673"/>
        </w:trPr>
        <w:tc>
          <w:tcPr>
            <w:tcW w:w="214" w:type="pct"/>
            <w:vMerge/>
            <w:shd w:val="clear" w:color="auto" w:fill="auto"/>
            <w:vAlign w:val="center"/>
          </w:tcPr>
          <w:p w14:paraId="2DF833F3" w14:textId="77777777" w:rsidR="0085153C" w:rsidRPr="009C0C39" w:rsidRDefault="0085153C" w:rsidP="00415812">
            <w:pPr>
              <w:rPr>
                <w:rFonts w:ascii="Franklin Gothic Book" w:hAnsi="Franklin Gothic Book" w:cs="Times New Roman"/>
                <w:sz w:val="20"/>
                <w:szCs w:val="20"/>
              </w:rPr>
            </w:pPr>
          </w:p>
        </w:tc>
        <w:tc>
          <w:tcPr>
            <w:tcW w:w="1244" w:type="pct"/>
            <w:vMerge w:val="restart"/>
            <w:shd w:val="clear" w:color="auto" w:fill="EDEDED" w:themeFill="text2" w:themeFillTint="33"/>
            <w:vAlign w:val="center"/>
          </w:tcPr>
          <w:p w14:paraId="25EDC14D" w14:textId="77777777" w:rsidR="0085153C" w:rsidRPr="003F4302" w:rsidRDefault="0085153C" w:rsidP="00415812">
            <w:pPr>
              <w:pStyle w:val="ListParagraph"/>
              <w:numPr>
                <w:ilvl w:val="0"/>
                <w:numId w:val="23"/>
              </w:numPr>
              <w:ind w:left="225" w:hanging="270"/>
              <w:rPr>
                <w:rFonts w:ascii="Franklin Gothic Book" w:hAnsi="Franklin Gothic Book" w:cs="Times New Roman"/>
                <w:sz w:val="18"/>
                <w:szCs w:val="18"/>
              </w:rPr>
            </w:pPr>
            <w:r w:rsidRPr="003F4302">
              <w:rPr>
                <w:rFonts w:ascii="Franklin Gothic Book" w:hAnsi="Franklin Gothic Book" w:cs="Times New Roman"/>
                <w:sz w:val="18"/>
                <w:szCs w:val="18"/>
              </w:rPr>
              <w:t>Patients filling new outpatient capacity</w:t>
            </w:r>
          </w:p>
        </w:tc>
        <w:tc>
          <w:tcPr>
            <w:tcW w:w="375" w:type="pct"/>
            <w:shd w:val="clear" w:color="auto" w:fill="EDEDED" w:themeFill="text2" w:themeFillTint="33"/>
            <w:vAlign w:val="center"/>
          </w:tcPr>
          <w:p w14:paraId="2D1D8083"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MGH</w:t>
            </w:r>
          </w:p>
        </w:tc>
        <w:tc>
          <w:tcPr>
            <w:tcW w:w="1056" w:type="pct"/>
            <w:shd w:val="clear" w:color="auto" w:fill="EDEDED" w:themeFill="text2" w:themeFillTint="33"/>
            <w:vAlign w:val="center"/>
          </w:tcPr>
          <w:p w14:paraId="5FD7FDC0"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$573K for CT and MRI imaging only. Other services would further increase spending</w:t>
            </w:r>
          </w:p>
        </w:tc>
        <w:tc>
          <w:tcPr>
            <w:tcW w:w="1056" w:type="pct"/>
            <w:shd w:val="clear" w:color="auto" w:fill="EDEDED" w:themeFill="text2" w:themeFillTint="33"/>
            <w:vAlign w:val="center"/>
          </w:tcPr>
          <w:p w14:paraId="7C2E989F"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$3.8M for CT and MRI imaging only. Other services would further increase revenue</w:t>
            </w:r>
          </w:p>
        </w:tc>
        <w:tc>
          <w:tcPr>
            <w:tcW w:w="1055" w:type="pct"/>
            <w:shd w:val="clear" w:color="auto" w:fill="EDEDED" w:themeFill="text2" w:themeFillTint="33"/>
            <w:vAlign w:val="center"/>
          </w:tcPr>
          <w:p w14:paraId="22A1FEDB" w14:textId="77777777" w:rsidR="0085153C" w:rsidRPr="003F4302" w:rsidRDefault="0085153C" w:rsidP="00415812">
            <w:pPr>
              <w:rPr>
                <w:rFonts w:ascii="Franklin Gothic Book" w:hAnsi="Franklin Gothic Book" w:cs="Times New Roman"/>
                <w:color w:val="FF0000"/>
                <w:sz w:val="18"/>
                <w:szCs w:val="18"/>
              </w:rPr>
            </w:pPr>
            <w:r w:rsidRPr="003F4302">
              <w:rPr>
                <w:rFonts w:ascii="Franklin Gothic Book" w:hAnsi="Franklin Gothic Book" w:cs="Times New Roman"/>
                <w:color w:val="FF0000"/>
                <w:sz w:val="18"/>
                <w:szCs w:val="18"/>
              </w:rPr>
              <w:t>-$3.3M</w:t>
            </w:r>
            <w:r w:rsidRPr="003F4302">
              <w:rPr>
                <w:rFonts w:ascii="Franklin Gothic Book" w:hAnsi="Franklin Gothic Book" w:cs="Times New Roman"/>
                <w:sz w:val="18"/>
                <w:szCs w:val="18"/>
              </w:rPr>
              <w:t xml:space="preserve"> for CT and MRI imaging only. Other services would further reduce revenue</w:t>
            </w:r>
          </w:p>
        </w:tc>
      </w:tr>
      <w:tr w:rsidR="00415812" w:rsidRPr="009C0C39" w14:paraId="5A6A9C25" w14:textId="77777777" w:rsidTr="00E7023A">
        <w:trPr>
          <w:trHeight w:val="664"/>
        </w:trPr>
        <w:tc>
          <w:tcPr>
            <w:tcW w:w="214" w:type="pct"/>
            <w:vMerge/>
            <w:shd w:val="clear" w:color="auto" w:fill="auto"/>
            <w:vAlign w:val="center"/>
          </w:tcPr>
          <w:p w14:paraId="080BE9F2" w14:textId="77777777" w:rsidR="0085153C" w:rsidRPr="009C0C39" w:rsidRDefault="0085153C" w:rsidP="00415812">
            <w:pPr>
              <w:rPr>
                <w:rFonts w:ascii="Franklin Gothic Book" w:hAnsi="Franklin Gothic Book" w:cs="Times New Roman"/>
                <w:sz w:val="20"/>
                <w:szCs w:val="20"/>
              </w:rPr>
            </w:pPr>
          </w:p>
        </w:tc>
        <w:tc>
          <w:tcPr>
            <w:tcW w:w="1244" w:type="pct"/>
            <w:vMerge/>
            <w:shd w:val="clear" w:color="auto" w:fill="EDEDED" w:themeFill="text2" w:themeFillTint="33"/>
            <w:vAlign w:val="center"/>
            <w:hideMark/>
          </w:tcPr>
          <w:p w14:paraId="4C1A9BF1" w14:textId="77777777" w:rsidR="0085153C" w:rsidRPr="003F4302" w:rsidRDefault="0085153C" w:rsidP="00415812">
            <w:pPr>
              <w:rPr>
                <w:rFonts w:ascii="Franklin Gothic Book" w:hAnsi="Franklin Gothic Book" w:cs="Times New Roman"/>
                <w:sz w:val="18"/>
                <w:szCs w:val="18"/>
              </w:rPr>
            </w:pPr>
          </w:p>
        </w:tc>
        <w:tc>
          <w:tcPr>
            <w:tcW w:w="375" w:type="pct"/>
            <w:shd w:val="clear" w:color="auto" w:fill="EDEDED" w:themeFill="text2" w:themeFillTint="33"/>
            <w:vAlign w:val="center"/>
          </w:tcPr>
          <w:p w14:paraId="33DD3AC7"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Faulkner</w:t>
            </w:r>
          </w:p>
        </w:tc>
        <w:tc>
          <w:tcPr>
            <w:tcW w:w="1056" w:type="pct"/>
            <w:shd w:val="clear" w:color="auto" w:fill="EDEDED" w:themeFill="text2" w:themeFillTint="33"/>
            <w:vAlign w:val="center"/>
            <w:hideMark/>
          </w:tcPr>
          <w:p w14:paraId="4924B00C"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color w:val="FF0000"/>
                <w:sz w:val="18"/>
                <w:szCs w:val="18"/>
              </w:rPr>
              <w:t>-$91K</w:t>
            </w:r>
            <w:r w:rsidRPr="003F4302">
              <w:rPr>
                <w:rFonts w:ascii="Franklin Gothic Book" w:hAnsi="Franklin Gothic Book" w:cs="Times New Roman"/>
                <w:sz w:val="18"/>
                <w:szCs w:val="18"/>
              </w:rPr>
              <w:t xml:space="preserve"> for MRI imaging only. Other services could further impact spending. </w:t>
            </w:r>
          </w:p>
        </w:tc>
        <w:tc>
          <w:tcPr>
            <w:tcW w:w="1056" w:type="pct"/>
            <w:shd w:val="clear" w:color="auto" w:fill="EDEDED" w:themeFill="text2" w:themeFillTint="33"/>
            <w:vAlign w:val="center"/>
            <w:hideMark/>
          </w:tcPr>
          <w:p w14:paraId="1F828857"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$788K for MRI imaging only. Other services would further increase revenue</w:t>
            </w:r>
          </w:p>
        </w:tc>
        <w:tc>
          <w:tcPr>
            <w:tcW w:w="1055" w:type="pct"/>
            <w:shd w:val="clear" w:color="auto" w:fill="EDEDED" w:themeFill="text2" w:themeFillTint="33"/>
            <w:vAlign w:val="center"/>
            <w:hideMark/>
          </w:tcPr>
          <w:p w14:paraId="6DB52C1F"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color w:val="FF0000"/>
                <w:sz w:val="18"/>
                <w:szCs w:val="18"/>
              </w:rPr>
              <w:t>-$879K</w:t>
            </w:r>
            <w:r w:rsidRPr="003F4302">
              <w:rPr>
                <w:rFonts w:ascii="Franklin Gothic Book" w:hAnsi="Franklin Gothic Book" w:cs="Times New Roman"/>
                <w:sz w:val="18"/>
                <w:szCs w:val="18"/>
              </w:rPr>
              <w:t xml:space="preserve"> for MRI imaging only. Other services would further reduce revenue</w:t>
            </w:r>
          </w:p>
        </w:tc>
      </w:tr>
      <w:tr w:rsidR="003F4302" w:rsidRPr="009C0C39" w14:paraId="25AA2FA1" w14:textId="77777777" w:rsidTr="00415812">
        <w:trPr>
          <w:trHeight w:val="803"/>
        </w:trPr>
        <w:tc>
          <w:tcPr>
            <w:tcW w:w="214" w:type="pct"/>
            <w:vMerge/>
            <w:shd w:val="clear" w:color="auto" w:fill="auto"/>
            <w:vAlign w:val="center"/>
          </w:tcPr>
          <w:p w14:paraId="46F50D16" w14:textId="77777777" w:rsidR="0085153C" w:rsidRPr="009C0C39" w:rsidRDefault="0085153C" w:rsidP="00415812">
            <w:pPr>
              <w:rPr>
                <w:rFonts w:ascii="Franklin Gothic Book" w:hAnsi="Franklin Gothic Book" w:cs="Times New Roman"/>
                <w:sz w:val="20"/>
                <w:szCs w:val="20"/>
              </w:rPr>
            </w:pPr>
          </w:p>
        </w:tc>
        <w:tc>
          <w:tcPr>
            <w:tcW w:w="1244" w:type="pct"/>
            <w:vMerge w:val="restart"/>
            <w:shd w:val="clear" w:color="auto" w:fill="auto"/>
            <w:vAlign w:val="center"/>
          </w:tcPr>
          <w:p w14:paraId="4203D012" w14:textId="77777777" w:rsidR="0085153C" w:rsidRPr="003F4302" w:rsidRDefault="0085153C" w:rsidP="00415812">
            <w:pPr>
              <w:pStyle w:val="ListParagraph"/>
              <w:numPr>
                <w:ilvl w:val="0"/>
                <w:numId w:val="23"/>
              </w:numPr>
              <w:ind w:left="225" w:hanging="270"/>
              <w:rPr>
                <w:rFonts w:ascii="Franklin Gothic Book" w:hAnsi="Franklin Gothic Book" w:cs="Times New Roman"/>
                <w:sz w:val="18"/>
                <w:szCs w:val="18"/>
              </w:rPr>
            </w:pPr>
            <w:r w:rsidRPr="003F4302">
              <w:rPr>
                <w:rFonts w:ascii="Franklin Gothic Book" w:hAnsi="Franklin Gothic Book" w:cs="Times New Roman"/>
                <w:sz w:val="18"/>
                <w:szCs w:val="18"/>
              </w:rPr>
              <w:t>Increased MGB prices as market concentration and MGB’s commercial market shares increase</w:t>
            </w:r>
          </w:p>
        </w:tc>
        <w:tc>
          <w:tcPr>
            <w:tcW w:w="375" w:type="pct"/>
            <w:shd w:val="clear" w:color="auto" w:fill="auto"/>
            <w:vAlign w:val="center"/>
          </w:tcPr>
          <w:p w14:paraId="27521C88"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 xml:space="preserve">MGH </w:t>
            </w:r>
          </w:p>
        </w:tc>
        <w:tc>
          <w:tcPr>
            <w:tcW w:w="1056" w:type="pct"/>
            <w:shd w:val="clear" w:color="auto" w:fill="auto"/>
            <w:vAlign w:val="center"/>
          </w:tcPr>
          <w:p w14:paraId="141D46A8" w14:textId="77777777" w:rsidR="0085153C" w:rsidRPr="003F4302" w:rsidRDefault="0085153C" w:rsidP="00415812">
            <w:pPr>
              <w:rPr>
                <w:rFonts w:ascii="Franklin Gothic Book" w:hAnsi="Franklin Gothic Book" w:cs="Times New Roman"/>
                <w:color w:val="FF0000"/>
                <w:sz w:val="18"/>
                <w:szCs w:val="18"/>
              </w:rPr>
            </w:pPr>
            <w:r w:rsidRPr="003F4302">
              <w:rPr>
                <w:rFonts w:ascii="Franklin Gothic Book" w:hAnsi="Franklin Gothic Book" w:cs="Times New Roman"/>
                <w:sz w:val="18"/>
                <w:szCs w:val="18"/>
              </w:rPr>
              <w:t>$6.0M to $13.2M due to inpatient volume increases. Outpatient market share increases are likely to drive further price increases.</w:t>
            </w:r>
          </w:p>
        </w:tc>
        <w:tc>
          <w:tcPr>
            <w:tcW w:w="1056" w:type="pct"/>
            <w:shd w:val="clear" w:color="auto" w:fill="auto"/>
            <w:vAlign w:val="center"/>
          </w:tcPr>
          <w:p w14:paraId="422C45D1"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$6.0M to 13.2M due to inpatient volume increases. Outpatient market share increases are likely to drive further revenue increases.</w:t>
            </w:r>
          </w:p>
        </w:tc>
        <w:tc>
          <w:tcPr>
            <w:tcW w:w="1055" w:type="pct"/>
            <w:shd w:val="clear" w:color="auto" w:fill="auto"/>
            <w:vAlign w:val="center"/>
          </w:tcPr>
          <w:p w14:paraId="377F31E7" w14:textId="77777777" w:rsidR="0085153C" w:rsidRPr="003F4302" w:rsidRDefault="0085153C" w:rsidP="00415812">
            <w:pPr>
              <w:rPr>
                <w:rFonts w:ascii="Franklin Gothic Book" w:hAnsi="Franklin Gothic Book" w:cs="Times New Roman"/>
                <w:color w:val="FF0000"/>
                <w:sz w:val="18"/>
                <w:szCs w:val="18"/>
              </w:rPr>
            </w:pPr>
            <w:r w:rsidRPr="003F4302">
              <w:rPr>
                <w:rFonts w:ascii="Franklin Gothic Book" w:hAnsi="Franklin Gothic Book" w:cs="Times New Roman"/>
                <w:sz w:val="18"/>
                <w:szCs w:val="18"/>
              </w:rPr>
              <w:t>Not Modeled</w:t>
            </w:r>
          </w:p>
        </w:tc>
      </w:tr>
      <w:tr w:rsidR="003F4302" w:rsidRPr="009C0C39" w14:paraId="3FDB3301" w14:textId="77777777" w:rsidTr="00415812">
        <w:trPr>
          <w:trHeight w:val="802"/>
        </w:trPr>
        <w:tc>
          <w:tcPr>
            <w:tcW w:w="214" w:type="pct"/>
            <w:vMerge/>
            <w:shd w:val="clear" w:color="auto" w:fill="auto"/>
            <w:vAlign w:val="center"/>
          </w:tcPr>
          <w:p w14:paraId="0CF1FC9F" w14:textId="77777777" w:rsidR="0085153C" w:rsidRPr="009C0C39" w:rsidRDefault="0085153C" w:rsidP="00415812">
            <w:pPr>
              <w:rPr>
                <w:rFonts w:ascii="Franklin Gothic Book" w:hAnsi="Franklin Gothic Book" w:cs="Times New Roman"/>
                <w:sz w:val="20"/>
                <w:szCs w:val="20"/>
              </w:rPr>
            </w:pPr>
          </w:p>
        </w:tc>
        <w:tc>
          <w:tcPr>
            <w:tcW w:w="1244" w:type="pct"/>
            <w:vMerge/>
            <w:shd w:val="clear" w:color="auto" w:fill="auto"/>
            <w:vAlign w:val="center"/>
          </w:tcPr>
          <w:p w14:paraId="3A751E07" w14:textId="77777777" w:rsidR="0085153C" w:rsidRPr="003F4302" w:rsidRDefault="0085153C" w:rsidP="00415812">
            <w:pPr>
              <w:pStyle w:val="ListParagraph"/>
              <w:numPr>
                <w:ilvl w:val="0"/>
                <w:numId w:val="23"/>
              </w:numPr>
              <w:ind w:left="225" w:hanging="270"/>
              <w:rPr>
                <w:rFonts w:ascii="Franklin Gothic Book" w:hAnsi="Franklin Gothic Book" w:cs="Times New Roman"/>
                <w:sz w:val="18"/>
                <w:szCs w:val="18"/>
              </w:rPr>
            </w:pPr>
          </w:p>
        </w:tc>
        <w:tc>
          <w:tcPr>
            <w:tcW w:w="375" w:type="pct"/>
            <w:shd w:val="clear" w:color="auto" w:fill="auto"/>
            <w:vAlign w:val="center"/>
          </w:tcPr>
          <w:p w14:paraId="3A0DCA36"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Faulkner</w:t>
            </w:r>
          </w:p>
        </w:tc>
        <w:tc>
          <w:tcPr>
            <w:tcW w:w="1056" w:type="pct"/>
            <w:shd w:val="clear" w:color="auto" w:fill="auto"/>
            <w:vAlign w:val="center"/>
          </w:tcPr>
          <w:p w14:paraId="3E134106"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$3.6M to $4.1M due to inpatient volume increases. Outpatient market share increases are likely to drive further price increases.</w:t>
            </w:r>
          </w:p>
        </w:tc>
        <w:tc>
          <w:tcPr>
            <w:tcW w:w="1056" w:type="pct"/>
            <w:shd w:val="clear" w:color="auto" w:fill="auto"/>
            <w:vAlign w:val="center"/>
          </w:tcPr>
          <w:p w14:paraId="03B260FE"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$3.6M to $4.1M due to inpatient volume increases. Outpatient market share increases are likely to drive further revenue increases.</w:t>
            </w:r>
          </w:p>
        </w:tc>
        <w:tc>
          <w:tcPr>
            <w:tcW w:w="1055" w:type="pct"/>
            <w:shd w:val="clear" w:color="auto" w:fill="auto"/>
            <w:vAlign w:val="center"/>
          </w:tcPr>
          <w:p w14:paraId="6D3FB3A2"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Not Modeled</w:t>
            </w:r>
          </w:p>
        </w:tc>
      </w:tr>
      <w:tr w:rsidR="00415812" w:rsidRPr="009C0C39" w14:paraId="26128DA0" w14:textId="77777777" w:rsidTr="00415812">
        <w:trPr>
          <w:trHeight w:val="305"/>
        </w:trPr>
        <w:tc>
          <w:tcPr>
            <w:tcW w:w="214" w:type="pct"/>
            <w:vMerge/>
            <w:shd w:val="clear" w:color="auto" w:fill="auto"/>
            <w:vAlign w:val="center"/>
          </w:tcPr>
          <w:p w14:paraId="57408F98" w14:textId="77777777" w:rsidR="0085153C" w:rsidRPr="009C0C39" w:rsidRDefault="0085153C" w:rsidP="00415812">
            <w:pPr>
              <w:rPr>
                <w:rFonts w:ascii="Franklin Gothic Book" w:hAnsi="Franklin Gothic Book" w:cs="Times New Roman"/>
                <w:sz w:val="20"/>
                <w:szCs w:val="20"/>
              </w:rPr>
            </w:pPr>
          </w:p>
        </w:tc>
        <w:tc>
          <w:tcPr>
            <w:tcW w:w="1244" w:type="pct"/>
            <w:vMerge w:val="restart"/>
            <w:shd w:val="clear" w:color="auto" w:fill="E2E8F1" w:themeFill="background2" w:themeFillTint="33"/>
            <w:vAlign w:val="center"/>
          </w:tcPr>
          <w:p w14:paraId="62D19913"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 xml:space="preserve">Total </w:t>
            </w:r>
            <w:r w:rsidRPr="003F4302">
              <w:rPr>
                <w:rFonts w:ascii="Franklin Gothic Book" w:hAnsi="Franklin Gothic Book" w:cs="Times New Roman"/>
                <w:b/>
                <w:bCs/>
                <w:i/>
                <w:iCs/>
                <w:sz w:val="18"/>
                <w:szCs w:val="18"/>
              </w:rPr>
              <w:t>yearly</w:t>
            </w:r>
            <w:r w:rsidRPr="003F4302">
              <w:rPr>
                <w:rFonts w:ascii="Franklin Gothic Book" w:hAnsi="Franklin Gothic Book" w:cs="Times New Roman"/>
                <w:b/>
                <w:bCs/>
                <w:sz w:val="18"/>
                <w:szCs w:val="18"/>
              </w:rPr>
              <w:t xml:space="preserve"> commercial impact for modeled services and spending dynamics</w:t>
            </w:r>
          </w:p>
        </w:tc>
        <w:tc>
          <w:tcPr>
            <w:tcW w:w="375" w:type="pct"/>
            <w:shd w:val="clear" w:color="auto" w:fill="E2E8F1" w:themeFill="background2" w:themeFillTint="33"/>
            <w:vAlign w:val="center"/>
          </w:tcPr>
          <w:p w14:paraId="1DEA6C75"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MGH</w:t>
            </w:r>
          </w:p>
        </w:tc>
        <w:tc>
          <w:tcPr>
            <w:tcW w:w="1056" w:type="pct"/>
            <w:shd w:val="clear" w:color="auto" w:fill="E2E8F1" w:themeFill="background2" w:themeFillTint="33"/>
            <w:vAlign w:val="center"/>
          </w:tcPr>
          <w:p w14:paraId="454F9653"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$30.3M</w:t>
            </w:r>
            <w:r w:rsidRPr="003F4302">
              <w:rPr>
                <w:rFonts w:ascii="Franklin Gothic Book" w:hAnsi="Franklin Gothic Book" w:cs="Times New Roman"/>
                <w:sz w:val="18"/>
                <w:szCs w:val="18"/>
              </w:rPr>
              <w:t xml:space="preserve"> to</w:t>
            </w:r>
            <w:r w:rsidRPr="003F4302">
              <w:rPr>
                <w:rFonts w:ascii="Franklin Gothic Book" w:hAnsi="Franklin Gothic Book" w:cs="Times New Roman"/>
                <w:b/>
                <w:bCs/>
                <w:sz w:val="18"/>
                <w:szCs w:val="18"/>
              </w:rPr>
              <w:t xml:space="preserve"> $54.4M</w:t>
            </w:r>
          </w:p>
        </w:tc>
        <w:tc>
          <w:tcPr>
            <w:tcW w:w="1056" w:type="pct"/>
            <w:shd w:val="clear" w:color="auto" w:fill="E2E8F1" w:themeFill="background2" w:themeFillTint="33"/>
            <w:vAlign w:val="center"/>
          </w:tcPr>
          <w:p w14:paraId="1946D57B"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$101.2M</w:t>
            </w:r>
            <w:r w:rsidRPr="003F4302">
              <w:rPr>
                <w:rFonts w:ascii="Franklin Gothic Book" w:hAnsi="Franklin Gothic Book" w:cs="Times New Roman"/>
                <w:sz w:val="18"/>
                <w:szCs w:val="18"/>
              </w:rPr>
              <w:t xml:space="preserve"> to </w:t>
            </w:r>
            <w:r w:rsidRPr="003F4302">
              <w:rPr>
                <w:rFonts w:ascii="Franklin Gothic Book" w:hAnsi="Franklin Gothic Book" w:cs="Times New Roman"/>
                <w:b/>
                <w:bCs/>
                <w:sz w:val="18"/>
                <w:szCs w:val="18"/>
              </w:rPr>
              <w:t>$173.3M</w:t>
            </w:r>
          </w:p>
        </w:tc>
        <w:tc>
          <w:tcPr>
            <w:tcW w:w="1055" w:type="pct"/>
            <w:shd w:val="clear" w:color="auto" w:fill="E2E8F1" w:themeFill="background2" w:themeFillTint="33"/>
            <w:vAlign w:val="center"/>
          </w:tcPr>
          <w:p w14:paraId="4D7895AB"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color w:val="FF0000"/>
                <w:sz w:val="18"/>
                <w:szCs w:val="18"/>
              </w:rPr>
              <w:t>-$70.1M</w:t>
            </w:r>
            <w:r w:rsidRPr="003F4302">
              <w:rPr>
                <w:rFonts w:ascii="Franklin Gothic Book" w:hAnsi="Franklin Gothic Book" w:cs="Times New Roman"/>
                <w:color w:val="FF0000"/>
                <w:sz w:val="18"/>
                <w:szCs w:val="18"/>
              </w:rPr>
              <w:t xml:space="preserve"> </w:t>
            </w:r>
            <w:r w:rsidRPr="003F4302">
              <w:rPr>
                <w:rFonts w:ascii="Franklin Gothic Book" w:hAnsi="Franklin Gothic Book" w:cs="Times New Roman"/>
                <w:sz w:val="18"/>
                <w:szCs w:val="18"/>
              </w:rPr>
              <w:t>to -</w:t>
            </w:r>
            <w:r w:rsidRPr="003F4302">
              <w:rPr>
                <w:rFonts w:ascii="Franklin Gothic Book" w:hAnsi="Franklin Gothic Book" w:cs="Times New Roman"/>
                <w:b/>
                <w:bCs/>
                <w:color w:val="FF0000"/>
                <w:sz w:val="18"/>
                <w:szCs w:val="18"/>
              </w:rPr>
              <w:t>$119.0M</w:t>
            </w:r>
          </w:p>
        </w:tc>
      </w:tr>
      <w:tr w:rsidR="00415812" w:rsidRPr="009C0C39" w14:paraId="67629145" w14:textId="77777777" w:rsidTr="00415812">
        <w:trPr>
          <w:trHeight w:val="71"/>
        </w:trPr>
        <w:tc>
          <w:tcPr>
            <w:tcW w:w="214" w:type="pct"/>
            <w:vMerge/>
            <w:shd w:val="clear" w:color="auto" w:fill="auto"/>
            <w:vAlign w:val="center"/>
          </w:tcPr>
          <w:p w14:paraId="30CFF80F" w14:textId="77777777" w:rsidR="0085153C" w:rsidRPr="009C0C39" w:rsidRDefault="0085153C" w:rsidP="00415812">
            <w:pPr>
              <w:rPr>
                <w:rFonts w:ascii="Franklin Gothic Book" w:hAnsi="Franklin Gothic Book" w:cs="Times New Roman"/>
                <w:sz w:val="20"/>
                <w:szCs w:val="20"/>
              </w:rPr>
            </w:pPr>
          </w:p>
        </w:tc>
        <w:tc>
          <w:tcPr>
            <w:tcW w:w="1244" w:type="pct"/>
            <w:vMerge/>
            <w:shd w:val="clear" w:color="auto" w:fill="E2E8F1" w:themeFill="background2" w:themeFillTint="33"/>
            <w:vAlign w:val="center"/>
          </w:tcPr>
          <w:p w14:paraId="356C357C" w14:textId="77777777" w:rsidR="0085153C" w:rsidRPr="003F4302" w:rsidRDefault="0085153C" w:rsidP="00415812">
            <w:pPr>
              <w:pStyle w:val="ListParagraph"/>
              <w:numPr>
                <w:ilvl w:val="0"/>
                <w:numId w:val="23"/>
              </w:numPr>
              <w:ind w:left="225" w:hanging="270"/>
              <w:rPr>
                <w:rFonts w:ascii="Franklin Gothic Book" w:hAnsi="Franklin Gothic Book" w:cs="Times New Roman"/>
                <w:sz w:val="18"/>
                <w:szCs w:val="18"/>
              </w:rPr>
            </w:pPr>
          </w:p>
        </w:tc>
        <w:tc>
          <w:tcPr>
            <w:tcW w:w="375" w:type="pct"/>
            <w:shd w:val="clear" w:color="auto" w:fill="E2E8F1" w:themeFill="background2" w:themeFillTint="33"/>
            <w:vAlign w:val="center"/>
          </w:tcPr>
          <w:p w14:paraId="134CAE51"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sz w:val="18"/>
                <w:szCs w:val="18"/>
              </w:rPr>
              <w:t>Faulkner</w:t>
            </w:r>
          </w:p>
        </w:tc>
        <w:tc>
          <w:tcPr>
            <w:tcW w:w="1056" w:type="pct"/>
            <w:shd w:val="clear" w:color="auto" w:fill="E2E8F1" w:themeFill="background2" w:themeFillTint="33"/>
            <w:vAlign w:val="center"/>
          </w:tcPr>
          <w:p w14:paraId="7FC80BD9"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$6.4M</w:t>
            </w:r>
            <w:r w:rsidRPr="003F4302">
              <w:rPr>
                <w:rFonts w:ascii="Franklin Gothic Book" w:hAnsi="Franklin Gothic Book" w:cs="Times New Roman"/>
                <w:sz w:val="18"/>
                <w:szCs w:val="18"/>
              </w:rPr>
              <w:t xml:space="preserve"> to </w:t>
            </w:r>
            <w:r w:rsidRPr="003F4302">
              <w:rPr>
                <w:rFonts w:ascii="Franklin Gothic Book" w:hAnsi="Franklin Gothic Book" w:cs="Times New Roman"/>
                <w:b/>
                <w:bCs/>
                <w:sz w:val="18"/>
                <w:szCs w:val="18"/>
              </w:rPr>
              <w:t>$7.9M</w:t>
            </w:r>
          </w:p>
        </w:tc>
        <w:tc>
          <w:tcPr>
            <w:tcW w:w="1056" w:type="pct"/>
            <w:shd w:val="clear" w:color="auto" w:fill="E2E8F1" w:themeFill="background2" w:themeFillTint="33"/>
            <w:vAlign w:val="center"/>
          </w:tcPr>
          <w:p w14:paraId="387B8D67"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sz w:val="18"/>
                <w:szCs w:val="18"/>
              </w:rPr>
              <w:t>$46.3M</w:t>
            </w:r>
            <w:r w:rsidRPr="003F4302">
              <w:rPr>
                <w:rFonts w:ascii="Franklin Gothic Book" w:hAnsi="Franklin Gothic Book" w:cs="Times New Roman"/>
                <w:sz w:val="18"/>
                <w:szCs w:val="18"/>
              </w:rPr>
              <w:t xml:space="preserve"> to </w:t>
            </w:r>
            <w:r w:rsidRPr="003F4302">
              <w:rPr>
                <w:rFonts w:ascii="Franklin Gothic Book" w:hAnsi="Franklin Gothic Book" w:cs="Times New Roman"/>
                <w:b/>
                <w:bCs/>
                <w:sz w:val="18"/>
                <w:szCs w:val="18"/>
              </w:rPr>
              <w:t>$59.8M</w:t>
            </w:r>
          </w:p>
        </w:tc>
        <w:tc>
          <w:tcPr>
            <w:tcW w:w="1055" w:type="pct"/>
            <w:shd w:val="clear" w:color="auto" w:fill="E2E8F1" w:themeFill="background2" w:themeFillTint="33"/>
            <w:vAlign w:val="center"/>
          </w:tcPr>
          <w:p w14:paraId="76EC6EC6" w14:textId="77777777" w:rsidR="0085153C" w:rsidRPr="003F4302" w:rsidRDefault="0085153C" w:rsidP="00415812">
            <w:pPr>
              <w:rPr>
                <w:rFonts w:ascii="Franklin Gothic Book" w:hAnsi="Franklin Gothic Book" w:cs="Times New Roman"/>
                <w:sz w:val="18"/>
                <w:szCs w:val="18"/>
              </w:rPr>
            </w:pPr>
            <w:r w:rsidRPr="003F4302">
              <w:rPr>
                <w:rFonts w:ascii="Franklin Gothic Book" w:hAnsi="Franklin Gothic Book" w:cs="Times New Roman"/>
                <w:b/>
                <w:bCs/>
                <w:color w:val="FF0000"/>
                <w:sz w:val="18"/>
                <w:szCs w:val="18"/>
              </w:rPr>
              <w:t>-$39.8M</w:t>
            </w:r>
            <w:r w:rsidRPr="003F4302">
              <w:rPr>
                <w:rFonts w:ascii="Franklin Gothic Book" w:hAnsi="Franklin Gothic Book" w:cs="Times New Roman"/>
                <w:color w:val="FF0000"/>
                <w:sz w:val="18"/>
                <w:szCs w:val="18"/>
              </w:rPr>
              <w:t xml:space="preserve"> </w:t>
            </w:r>
            <w:r w:rsidRPr="003F4302">
              <w:rPr>
                <w:rFonts w:ascii="Franklin Gothic Book" w:hAnsi="Franklin Gothic Book" w:cs="Times New Roman"/>
                <w:sz w:val="18"/>
                <w:szCs w:val="18"/>
              </w:rPr>
              <w:t xml:space="preserve">to </w:t>
            </w:r>
            <w:r w:rsidRPr="003F4302">
              <w:rPr>
                <w:rFonts w:ascii="Franklin Gothic Book" w:hAnsi="Franklin Gothic Book" w:cs="Times New Roman"/>
                <w:b/>
                <w:bCs/>
                <w:color w:val="FF0000"/>
                <w:sz w:val="18"/>
                <w:szCs w:val="18"/>
              </w:rPr>
              <w:t>-$52.0M</w:t>
            </w:r>
          </w:p>
        </w:tc>
      </w:tr>
      <w:tr w:rsidR="00804A4E" w:rsidRPr="009C0C39" w14:paraId="1F6A20B4" w14:textId="77777777" w:rsidTr="00415812">
        <w:trPr>
          <w:trHeight w:val="71"/>
        </w:trPr>
        <w:tc>
          <w:tcPr>
            <w:tcW w:w="1833" w:type="pct"/>
            <w:gridSpan w:val="3"/>
            <w:shd w:val="clear" w:color="auto" w:fill="FAA721" w:themeFill="accent3"/>
            <w:vAlign w:val="center"/>
          </w:tcPr>
          <w:p w14:paraId="4B6C0145" w14:textId="77777777" w:rsidR="0085153C" w:rsidRPr="003F4302" w:rsidRDefault="0085153C" w:rsidP="00415812">
            <w:pPr>
              <w:rPr>
                <w:rFonts w:ascii="Franklin Gothic Book" w:hAnsi="Franklin Gothic Book" w:cs="Times New Roman"/>
                <w:color w:val="000000" w:themeColor="text1"/>
                <w:sz w:val="18"/>
                <w:szCs w:val="18"/>
              </w:rPr>
            </w:pPr>
            <w:r w:rsidRPr="003F4302">
              <w:rPr>
                <w:rFonts w:ascii="Franklin Gothic Book" w:hAnsi="Franklin Gothic Book" w:cs="Times New Roman"/>
                <w:b/>
                <w:bCs/>
                <w:color w:val="000000" w:themeColor="text1"/>
                <w:sz w:val="18"/>
                <w:szCs w:val="18"/>
              </w:rPr>
              <w:t>Total yearly commercial impact for modeled services and spending dynamics - all projects combined</w:t>
            </w:r>
          </w:p>
        </w:tc>
        <w:tc>
          <w:tcPr>
            <w:tcW w:w="1056" w:type="pct"/>
            <w:shd w:val="clear" w:color="auto" w:fill="FAA721" w:themeFill="accent3"/>
            <w:vAlign w:val="center"/>
          </w:tcPr>
          <w:p w14:paraId="0979A1EA" w14:textId="77777777" w:rsidR="0085153C" w:rsidRPr="003F4302" w:rsidRDefault="0085153C" w:rsidP="00415812">
            <w:pPr>
              <w:rPr>
                <w:rFonts w:ascii="Franklin Gothic Book" w:hAnsi="Franklin Gothic Book" w:cs="Times New Roman"/>
                <w:b/>
                <w:bCs/>
                <w:color w:val="000000" w:themeColor="text1"/>
                <w:sz w:val="18"/>
                <w:szCs w:val="18"/>
              </w:rPr>
            </w:pPr>
            <w:r w:rsidRPr="003F4302">
              <w:rPr>
                <w:rFonts w:ascii="Franklin Gothic Book" w:hAnsi="Franklin Gothic Book" w:cs="Times New Roman"/>
                <w:b/>
                <w:bCs/>
                <w:color w:val="000000" w:themeColor="text1"/>
                <w:sz w:val="18"/>
                <w:szCs w:val="18"/>
              </w:rPr>
              <w:t>$46.0M to $90.1M</w:t>
            </w:r>
          </w:p>
        </w:tc>
        <w:tc>
          <w:tcPr>
            <w:tcW w:w="1056" w:type="pct"/>
            <w:shd w:val="clear" w:color="auto" w:fill="FAA721" w:themeFill="accent3"/>
            <w:vAlign w:val="center"/>
          </w:tcPr>
          <w:p w14:paraId="1A454C6D" w14:textId="77777777" w:rsidR="0085153C" w:rsidRPr="003F4302" w:rsidRDefault="0085153C" w:rsidP="00415812">
            <w:pPr>
              <w:rPr>
                <w:rFonts w:ascii="Franklin Gothic Book" w:hAnsi="Franklin Gothic Book" w:cs="Times New Roman"/>
                <w:b/>
                <w:bCs/>
                <w:color w:val="000000" w:themeColor="text1"/>
                <w:sz w:val="18"/>
                <w:szCs w:val="18"/>
              </w:rPr>
            </w:pPr>
            <w:r w:rsidRPr="003F4302">
              <w:rPr>
                <w:rFonts w:ascii="Franklin Gothic Book" w:hAnsi="Franklin Gothic Book" w:cs="Times New Roman"/>
                <w:b/>
                <w:bCs/>
                <w:color w:val="000000" w:themeColor="text1"/>
                <w:sz w:val="18"/>
                <w:szCs w:val="18"/>
              </w:rPr>
              <w:t>$190.7M to $337.8M</w:t>
            </w:r>
          </w:p>
        </w:tc>
        <w:tc>
          <w:tcPr>
            <w:tcW w:w="1055" w:type="pct"/>
            <w:shd w:val="clear" w:color="auto" w:fill="FAA721" w:themeFill="accent3"/>
            <w:vAlign w:val="center"/>
          </w:tcPr>
          <w:p w14:paraId="6F91B0D6" w14:textId="77777777" w:rsidR="0085153C" w:rsidRPr="003F4302" w:rsidRDefault="0085153C" w:rsidP="00415812">
            <w:pPr>
              <w:rPr>
                <w:rFonts w:ascii="Franklin Gothic Book" w:hAnsi="Franklin Gothic Book" w:cs="Times New Roman"/>
                <w:b/>
                <w:bCs/>
                <w:color w:val="FF0000"/>
                <w:sz w:val="18"/>
                <w:szCs w:val="18"/>
              </w:rPr>
            </w:pPr>
            <w:r w:rsidRPr="003F4302">
              <w:rPr>
                <w:rFonts w:ascii="Franklin Gothic Book" w:hAnsi="Franklin Gothic Book" w:cs="Times New Roman"/>
                <w:b/>
                <w:bCs/>
                <w:color w:val="FF0000"/>
                <w:sz w:val="18"/>
                <w:szCs w:val="18"/>
              </w:rPr>
              <w:t xml:space="preserve">-$152.9M to </w:t>
            </w:r>
          </w:p>
          <w:p w14:paraId="4339E745" w14:textId="77777777" w:rsidR="0085153C" w:rsidRPr="003F4302" w:rsidRDefault="0085153C" w:rsidP="00415812">
            <w:pPr>
              <w:rPr>
                <w:rFonts w:ascii="Franklin Gothic Book" w:hAnsi="Franklin Gothic Book" w:cs="Times New Roman"/>
                <w:b/>
                <w:bCs/>
                <w:color w:val="FFFFFF" w:themeColor="background1"/>
                <w:sz w:val="18"/>
                <w:szCs w:val="18"/>
              </w:rPr>
            </w:pPr>
            <w:r w:rsidRPr="003F4302">
              <w:rPr>
                <w:rFonts w:ascii="Franklin Gothic Book" w:hAnsi="Franklin Gothic Book" w:cs="Times New Roman"/>
                <w:b/>
                <w:bCs/>
                <w:color w:val="FF0000"/>
                <w:sz w:val="18"/>
                <w:szCs w:val="18"/>
              </w:rPr>
              <w:t>-$261.1M</w:t>
            </w:r>
          </w:p>
        </w:tc>
      </w:tr>
    </w:tbl>
    <w:bookmarkEnd w:id="11"/>
    <w:p w14:paraId="182D4572" w14:textId="32879DC2" w:rsidR="0050471E" w:rsidRPr="009C0C39" w:rsidRDefault="00804A4E" w:rsidP="0050471E">
      <w:pPr>
        <w:pStyle w:val="FootnoteText"/>
        <w:rPr>
          <w:rFonts w:ascii="Franklin Gothic Book" w:hAnsi="Franklin Gothic Book" w:cs="Times New Roman"/>
          <w:sz w:val="18"/>
          <w:szCs w:val="18"/>
        </w:rPr>
      </w:pPr>
      <w:r w:rsidRPr="009C0C39">
        <w:rPr>
          <w:rFonts w:ascii="Franklin Gothic Book" w:hAnsi="Franklin Gothic Book" w:cs="Times New Roman"/>
          <w:sz w:val="18"/>
          <w:szCs w:val="18"/>
        </w:rPr>
        <w:br/>
      </w:r>
      <w:r w:rsidR="0050471E" w:rsidRPr="009C0C39">
        <w:rPr>
          <w:rFonts w:ascii="Franklin Gothic Book" w:hAnsi="Franklin Gothic Book" w:cs="Times New Roman"/>
          <w:sz w:val="18"/>
          <w:szCs w:val="18"/>
        </w:rPr>
        <w:t xml:space="preserve">Notes: </w:t>
      </w:r>
      <w:bookmarkStart w:id="14" w:name="_Hlk93864381"/>
      <w:r w:rsidR="004E5D0D" w:rsidRPr="009C0C39">
        <w:rPr>
          <w:rFonts w:ascii="Franklin Gothic Book" w:hAnsi="Franklin Gothic Book" w:cs="Times New Roman"/>
          <w:sz w:val="18"/>
          <w:szCs w:val="18"/>
        </w:rPr>
        <w:t xml:space="preserve">When </w:t>
      </w:r>
      <w:r w:rsidR="00982CB8" w:rsidRPr="009C0C39">
        <w:rPr>
          <w:rFonts w:ascii="Franklin Gothic Book" w:hAnsi="Franklin Gothic Book" w:cs="Times New Roman"/>
          <w:sz w:val="18"/>
          <w:szCs w:val="18"/>
        </w:rPr>
        <w:t>totaling spending impacts</w:t>
      </w:r>
      <w:r w:rsidR="004E5D0D" w:rsidRPr="009C0C39">
        <w:rPr>
          <w:rFonts w:ascii="Franklin Gothic Book" w:hAnsi="Franklin Gothic Book" w:cs="Times New Roman"/>
          <w:sz w:val="18"/>
          <w:szCs w:val="18"/>
        </w:rPr>
        <w:t xml:space="preserve">, </w:t>
      </w:r>
      <w:r w:rsidR="00D50B0C" w:rsidRPr="009C0C39">
        <w:rPr>
          <w:rFonts w:ascii="Franklin Gothic Book" w:hAnsi="Franklin Gothic Book" w:cs="Times New Roman"/>
          <w:sz w:val="18"/>
          <w:szCs w:val="18"/>
        </w:rPr>
        <w:t xml:space="preserve">the HPC discounts the spending impact in row 1 by the portion of total medical expense (TME) </w:t>
      </w:r>
      <w:r w:rsidR="00982CB8" w:rsidRPr="009C0C39">
        <w:rPr>
          <w:rFonts w:ascii="Franklin Gothic Book" w:hAnsi="Franklin Gothic Book" w:cs="Times New Roman"/>
          <w:sz w:val="18"/>
          <w:szCs w:val="18"/>
        </w:rPr>
        <w:t xml:space="preserve">for </w:t>
      </w:r>
      <w:r w:rsidR="00550946" w:rsidRPr="009C0C39">
        <w:rPr>
          <w:rFonts w:ascii="Franklin Gothic Book" w:hAnsi="Franklin Gothic Book" w:cs="Times New Roman"/>
          <w:sz w:val="18"/>
          <w:szCs w:val="18"/>
        </w:rPr>
        <w:t xml:space="preserve">MGB’s primary care patients </w:t>
      </w:r>
      <w:r w:rsidR="00982CB8" w:rsidRPr="009C0C39">
        <w:rPr>
          <w:rFonts w:ascii="Franklin Gothic Book" w:hAnsi="Franklin Gothic Book" w:cs="Times New Roman"/>
          <w:sz w:val="18"/>
          <w:szCs w:val="18"/>
        </w:rPr>
        <w:t xml:space="preserve">that represents spending on </w:t>
      </w:r>
      <w:r w:rsidR="00CA21A3" w:rsidRPr="009C0C39">
        <w:rPr>
          <w:rFonts w:ascii="Franklin Gothic Book" w:hAnsi="Franklin Gothic Book" w:cs="Times New Roman"/>
          <w:sz w:val="18"/>
          <w:szCs w:val="18"/>
        </w:rPr>
        <w:t xml:space="preserve">inpatient </w:t>
      </w:r>
      <w:r w:rsidR="00982CB8" w:rsidRPr="009C0C39">
        <w:rPr>
          <w:rFonts w:ascii="Franklin Gothic Book" w:hAnsi="Franklin Gothic Book" w:cs="Times New Roman"/>
          <w:sz w:val="18"/>
          <w:szCs w:val="18"/>
        </w:rPr>
        <w:t xml:space="preserve">care </w:t>
      </w:r>
      <w:r w:rsidR="00550946" w:rsidRPr="009C0C39">
        <w:rPr>
          <w:rFonts w:ascii="Franklin Gothic Book" w:hAnsi="Franklin Gothic Book" w:cs="Times New Roman"/>
          <w:sz w:val="18"/>
          <w:szCs w:val="18"/>
        </w:rPr>
        <w:t>receive</w:t>
      </w:r>
      <w:r w:rsidR="00982CB8" w:rsidRPr="009C0C39">
        <w:rPr>
          <w:rFonts w:ascii="Franklin Gothic Book" w:hAnsi="Franklin Gothic Book" w:cs="Times New Roman"/>
          <w:sz w:val="18"/>
          <w:szCs w:val="18"/>
        </w:rPr>
        <w:t>d</w:t>
      </w:r>
      <w:r w:rsidR="00550946" w:rsidRPr="009C0C39">
        <w:rPr>
          <w:rFonts w:ascii="Franklin Gothic Book" w:hAnsi="Franklin Gothic Book" w:cs="Times New Roman"/>
          <w:sz w:val="18"/>
          <w:szCs w:val="18"/>
        </w:rPr>
        <w:t xml:space="preserve"> at MGB hospitals</w:t>
      </w:r>
      <w:r w:rsidR="004E5D0D" w:rsidRPr="009C0C39">
        <w:rPr>
          <w:rFonts w:ascii="Franklin Gothic Book" w:hAnsi="Franklin Gothic Book" w:cs="Times New Roman"/>
          <w:sz w:val="18"/>
          <w:szCs w:val="18"/>
        </w:rPr>
        <w:t xml:space="preserve">. </w:t>
      </w:r>
      <w:bookmarkEnd w:id="14"/>
      <w:r w:rsidR="0050471E" w:rsidRPr="009C0C39">
        <w:rPr>
          <w:rFonts w:ascii="Franklin Gothic Book" w:hAnsi="Franklin Gothic Book" w:cs="Times New Roman"/>
          <w:sz w:val="18"/>
          <w:szCs w:val="18"/>
        </w:rPr>
        <w:t>Additional shifts of patients and revenue to higher-priced providers would be expected if projected revenue losses disrupt the operations of lower-priced providers. Additional spending and revenue impacts are also likely for other payer categories, particularly for Medicare Advantage plans and MassHealth Managed Care Organizations</w:t>
      </w:r>
      <w:r w:rsidR="002773E6" w:rsidRPr="009C0C39">
        <w:rPr>
          <w:rFonts w:ascii="Franklin Gothic Book" w:hAnsi="Franklin Gothic Book" w:cs="Times New Roman"/>
          <w:sz w:val="18"/>
          <w:szCs w:val="18"/>
        </w:rPr>
        <w:t>,</w:t>
      </w:r>
      <w:r w:rsidR="0050471E" w:rsidRPr="009C0C39">
        <w:rPr>
          <w:rFonts w:ascii="Franklin Gothic Book" w:hAnsi="Franklin Gothic Book" w:cs="Times New Roman"/>
          <w:sz w:val="18"/>
          <w:szCs w:val="18"/>
        </w:rPr>
        <w:t xml:space="preserve"> which do not operate with standardized fee schedule</w:t>
      </w:r>
      <w:r w:rsidR="00CB5A79">
        <w:rPr>
          <w:rFonts w:ascii="Franklin Gothic Book" w:hAnsi="Franklin Gothic Book" w:cs="Times New Roman"/>
          <w:sz w:val="18"/>
          <w:szCs w:val="18"/>
        </w:rPr>
        <w:t>s</w:t>
      </w:r>
      <w:r w:rsidR="0050471E" w:rsidRPr="009C0C39">
        <w:rPr>
          <w:rFonts w:ascii="Franklin Gothic Book" w:hAnsi="Franklin Gothic Book" w:cs="Times New Roman"/>
          <w:sz w:val="18"/>
          <w:szCs w:val="18"/>
        </w:rPr>
        <w:t xml:space="preserve">. The HPC’s calculations are likely to be conservative. </w:t>
      </w:r>
    </w:p>
    <w:bookmarkEnd w:id="10"/>
    <w:bookmarkEnd w:id="12"/>
    <w:p w14:paraId="1871D031" w14:textId="77777777" w:rsidR="008D3EA9" w:rsidRPr="009C0C39" w:rsidRDefault="008D3EA9" w:rsidP="008D3EA9">
      <w:pPr>
        <w:spacing w:after="240"/>
        <w:rPr>
          <w:rFonts w:ascii="Franklin Gothic Book" w:hAnsi="Franklin Gothic Book" w:cs="Times New Roman"/>
          <w:sz w:val="22"/>
          <w:szCs w:val="22"/>
        </w:rPr>
      </w:pPr>
    </w:p>
    <w:p w14:paraId="3632FA69" w14:textId="77777777" w:rsidR="005461BB" w:rsidRPr="009C0C39" w:rsidRDefault="005461BB" w:rsidP="0062704A">
      <w:pPr>
        <w:ind w:firstLine="720"/>
        <w:rPr>
          <w:rFonts w:ascii="Franklin Gothic Book" w:hAnsi="Franklin Gothic Book" w:cs="Times New Roman"/>
          <w:sz w:val="22"/>
          <w:szCs w:val="22"/>
        </w:rPr>
        <w:sectPr w:rsidR="005461BB" w:rsidRPr="009C0C39" w:rsidSect="00804A4E">
          <w:pgSz w:w="12240" w:h="15840"/>
          <w:pgMar w:top="720" w:right="720" w:bottom="1008" w:left="720" w:header="720" w:footer="420" w:gutter="0"/>
          <w:cols w:space="720"/>
          <w:docGrid w:linePitch="360"/>
        </w:sectPr>
      </w:pPr>
    </w:p>
    <w:p w14:paraId="03C5C002" w14:textId="22ED2686" w:rsidR="0062704A" w:rsidRPr="009C0C39" w:rsidRDefault="0062704A" w:rsidP="0062704A">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The HPC’s conclusions stand in contrast to those of the ICAs,</w:t>
      </w:r>
      <w:bookmarkStart w:id="15" w:name="_Ref93071071"/>
      <w:r w:rsidRPr="009C0C39">
        <w:rPr>
          <w:rStyle w:val="FootnoteReference"/>
          <w:rFonts w:ascii="Franklin Gothic Book" w:hAnsi="Franklin Gothic Book" w:cs="Times New Roman"/>
          <w:sz w:val="22"/>
          <w:szCs w:val="22"/>
        </w:rPr>
        <w:footnoteReference w:id="8"/>
      </w:r>
      <w:bookmarkEnd w:id="15"/>
      <w:r w:rsidRPr="009C0C39">
        <w:rPr>
          <w:rFonts w:ascii="Franklin Gothic Book" w:hAnsi="Franklin Gothic Book" w:cs="Times New Roman"/>
          <w:sz w:val="22"/>
          <w:szCs w:val="22"/>
        </w:rPr>
        <w:t xml:space="preserve"> which were released on December 28, 2021 and conclude that all three projects are consistent with the Commonwealth’s cost containment goals. However, the ICAs </w:t>
      </w:r>
      <w:r w:rsidR="00A53D64" w:rsidRPr="009C0C39">
        <w:rPr>
          <w:rFonts w:ascii="Franklin Gothic Book" w:hAnsi="Franklin Gothic Book" w:cs="Times New Roman"/>
          <w:sz w:val="22"/>
          <w:szCs w:val="22"/>
        </w:rPr>
        <w:t xml:space="preserve">fail to address certain major drivers of spending for the three projects, particularly for the ambulatory projects, </w:t>
      </w:r>
      <w:r w:rsidRPr="009C0C39">
        <w:rPr>
          <w:rFonts w:ascii="Franklin Gothic Book" w:hAnsi="Franklin Gothic Book" w:cs="Times New Roman"/>
          <w:sz w:val="22"/>
          <w:szCs w:val="22"/>
        </w:rPr>
        <w:t xml:space="preserve">minimize significant cost impacts </w:t>
      </w:r>
      <w:r w:rsidR="002203F6">
        <w:rPr>
          <w:rFonts w:ascii="Franklin Gothic Book" w:hAnsi="Franklin Gothic Book" w:cs="Times New Roman"/>
          <w:sz w:val="22"/>
          <w:szCs w:val="22"/>
        </w:rPr>
        <w:t xml:space="preserve">identified </w:t>
      </w:r>
      <w:r w:rsidRPr="009C0C39">
        <w:rPr>
          <w:rFonts w:ascii="Franklin Gothic Book" w:hAnsi="Franklin Gothic Book" w:cs="Times New Roman"/>
          <w:sz w:val="22"/>
          <w:szCs w:val="22"/>
        </w:rPr>
        <w:t>in their own findings, do not consider important and relevant publicly</w:t>
      </w:r>
      <w:r w:rsidR="00D70A9B"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available information, and do not consider key context about the current state of the health care market in Massachusetts. These limitations of the ICAs are discussed in more detail in Section I</w:t>
      </w:r>
      <w:r w:rsidR="00CB5A79">
        <w:rPr>
          <w:rFonts w:ascii="Franklin Gothic Book" w:hAnsi="Franklin Gothic Book" w:cs="Times New Roman"/>
          <w:sz w:val="22"/>
          <w:szCs w:val="22"/>
        </w:rPr>
        <w:t xml:space="preserve"> and </w:t>
      </w:r>
      <w:hyperlink w:anchor="Appendix_IB" w:history="1">
        <w:r w:rsidR="001A1DC0" w:rsidRPr="002907A7">
          <w:rPr>
            <w:rStyle w:val="Hyperlink"/>
            <w:rFonts w:ascii="Franklin Gothic Book" w:hAnsi="Franklin Gothic Book" w:cs="Times New Roman"/>
            <w:sz w:val="22"/>
            <w:szCs w:val="22"/>
          </w:rPr>
          <w:fldChar w:fldCharType="begin"/>
        </w:r>
        <w:r w:rsidR="001A1DC0" w:rsidRPr="002907A7">
          <w:rPr>
            <w:rStyle w:val="Hyperlink"/>
            <w:rFonts w:ascii="Franklin Gothic Book" w:hAnsi="Franklin Gothic Book" w:cs="Times New Roman"/>
            <w:sz w:val="22"/>
            <w:szCs w:val="22"/>
          </w:rPr>
          <w:instrText xml:space="preserve"> REF Appendix_IB \h </w:instrText>
        </w:r>
        <w:r w:rsidR="002907A7">
          <w:rPr>
            <w:rStyle w:val="Hyperlink"/>
            <w:rFonts w:ascii="Franklin Gothic Book" w:hAnsi="Franklin Gothic Book" w:cs="Times New Roman"/>
            <w:sz w:val="22"/>
            <w:szCs w:val="22"/>
          </w:rPr>
          <w:instrText xml:space="preserve"> \* MERGEFORMAT </w:instrText>
        </w:r>
        <w:r w:rsidR="001A1DC0" w:rsidRPr="002907A7">
          <w:rPr>
            <w:rStyle w:val="Hyperlink"/>
            <w:rFonts w:ascii="Franklin Gothic Book" w:hAnsi="Franklin Gothic Book" w:cs="Times New Roman"/>
            <w:sz w:val="22"/>
            <w:szCs w:val="22"/>
          </w:rPr>
        </w:r>
        <w:r w:rsidR="001A1DC0" w:rsidRPr="002907A7">
          <w:rPr>
            <w:rStyle w:val="Hyperlink"/>
            <w:rFonts w:ascii="Franklin Gothic Book" w:hAnsi="Franklin Gothic Book" w:cs="Times New Roman"/>
            <w:sz w:val="22"/>
            <w:szCs w:val="22"/>
          </w:rPr>
          <w:fldChar w:fldCharType="separate"/>
        </w:r>
        <w:r w:rsidR="002907A7" w:rsidRPr="002907A7">
          <w:rPr>
            <w:rFonts w:ascii="Franklin Gothic Book" w:hAnsi="Franklin Gothic Book" w:cs="Times New Roman"/>
            <w:b/>
            <w:bCs/>
            <w:color w:val="0000FF"/>
            <w:sz w:val="22"/>
            <w:szCs w:val="22"/>
          </w:rPr>
          <w:t>Appendix I.B</w:t>
        </w:r>
        <w:r w:rsidR="001A1DC0" w:rsidRPr="002907A7">
          <w:rPr>
            <w:rStyle w:val="Hyperlink"/>
            <w:rFonts w:ascii="Franklin Gothic Book" w:hAnsi="Franklin Gothic Book" w:cs="Times New Roman"/>
            <w:sz w:val="22"/>
            <w:szCs w:val="22"/>
          </w:rPr>
          <w:fldChar w:fldCharType="end"/>
        </w:r>
      </w:hyperlink>
      <w:r w:rsidRPr="009C0C39">
        <w:rPr>
          <w:rFonts w:ascii="Franklin Gothic Book" w:hAnsi="Franklin Gothic Book" w:cs="Times New Roman"/>
          <w:sz w:val="22"/>
          <w:szCs w:val="22"/>
        </w:rPr>
        <w:t>, and the remainder of this comment details the HPC’s analyses.</w:t>
      </w:r>
    </w:p>
    <w:p w14:paraId="2A5253E9" w14:textId="0C308D5A" w:rsidR="0062704A" w:rsidRPr="009C0C39" w:rsidRDefault="00A53D64" w:rsidP="00415812">
      <w:pPr>
        <w:spacing w:after="160" w:line="259" w:lineRule="auto"/>
        <w:rPr>
          <w:rFonts w:ascii="Franklin Gothic Book" w:hAnsi="Franklin Gothic Book" w:cs="Times New Roman"/>
          <w:sz w:val="22"/>
          <w:szCs w:val="22"/>
        </w:rPr>
      </w:pPr>
      <w:r w:rsidRPr="009C0C39">
        <w:rPr>
          <w:rFonts w:ascii="Franklin Gothic Book" w:hAnsi="Franklin Gothic Book" w:cs="Times New Roman"/>
          <w:sz w:val="22"/>
          <w:szCs w:val="22"/>
        </w:rPr>
        <w:br w:type="page"/>
      </w:r>
    </w:p>
    <w:p w14:paraId="05B1C2B4" w14:textId="36BBD056" w:rsidR="0062704A" w:rsidRPr="009C0C39" w:rsidRDefault="0062704A" w:rsidP="003F4302">
      <w:pPr>
        <w:pStyle w:val="Heading2"/>
      </w:pPr>
      <w:r w:rsidRPr="009C0C39">
        <w:lastRenderedPageBreak/>
        <w:t>Overview of Review Process to Date: DoN Filings, HPC Review Process</w:t>
      </w:r>
      <w:r w:rsidR="00EA0918" w:rsidRPr="009C0C39">
        <w:t xml:space="preserve">, </w:t>
      </w:r>
      <w:r w:rsidRPr="009C0C39">
        <w:t>and Independent Cost-Analyses</w:t>
      </w:r>
    </w:p>
    <w:p w14:paraId="0F872452" w14:textId="77777777" w:rsidR="0062704A" w:rsidRPr="009C0C39" w:rsidRDefault="0062704A" w:rsidP="0062704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On January 21, 2021, Mass General Brigham (MGB) filed three applications with the Massachusetts Determination of Need (DoN) program, describing: </w:t>
      </w:r>
    </w:p>
    <w:p w14:paraId="4E8928B7" w14:textId="5209AE13" w:rsidR="0062704A" w:rsidRPr="009C0C39" w:rsidRDefault="0062704A" w:rsidP="009257C1">
      <w:pPr>
        <w:pStyle w:val="ListParagraph"/>
        <w:numPr>
          <w:ilvl w:val="0"/>
          <w:numId w:val="1"/>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Massachusetts General Hospital: </w:t>
      </w:r>
      <w:r w:rsidRPr="009C0C39">
        <w:rPr>
          <w:rFonts w:ascii="Franklin Gothic Book" w:hAnsi="Franklin Gothic Book" w:cs="Times New Roman"/>
          <w:sz w:val="22"/>
          <w:szCs w:val="22"/>
        </w:rPr>
        <w:t>a proposed capital expenditure of $1.88 billion for significant expansion, renovation, and improvement of Massachusetts General Hospital</w:t>
      </w:r>
      <w:r w:rsidR="00CB5A79">
        <w:rPr>
          <w:rFonts w:ascii="Franklin Gothic Book" w:hAnsi="Franklin Gothic Book" w:cs="Times New Roman"/>
          <w:sz w:val="22"/>
          <w:szCs w:val="22"/>
        </w:rPr>
        <w:t xml:space="preserve"> (MGH)</w:t>
      </w:r>
      <w:r w:rsidRPr="009C0C39">
        <w:rPr>
          <w:rFonts w:ascii="Franklin Gothic Book" w:hAnsi="Franklin Gothic Book" w:cs="Times New Roman"/>
          <w:sz w:val="22"/>
          <w:szCs w:val="22"/>
        </w:rPr>
        <w:t>, including the addition of 54 new medical/surgical beds and 40 new intensive care unit (ICU) beds; the conversion of 388 semi-private beds to private rooms</w:t>
      </w:r>
      <w:r w:rsidR="00CB5A7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freeing up additional capacity that is often “blocked” in semi-private rooms</w:t>
      </w:r>
      <w:bookmarkStart w:id="16" w:name="_Ref93624434"/>
      <w:r w:rsidR="006420DA" w:rsidRPr="009C0C39">
        <w:rPr>
          <w:rStyle w:val="FootnoteReference"/>
          <w:rFonts w:ascii="Franklin Gothic Book" w:hAnsi="Franklin Gothic Book" w:cs="Times New Roman"/>
          <w:sz w:val="22"/>
          <w:szCs w:val="22"/>
        </w:rPr>
        <w:footnoteReference w:id="9"/>
      </w:r>
      <w:bookmarkEnd w:id="16"/>
      <w:r w:rsidR="00F37688" w:rsidRPr="009C0C39">
        <w:rPr>
          <w:rFonts w:ascii="Franklin Gothic Book" w:hAnsi="Franklin Gothic Book" w:cs="Times New Roman"/>
          <w:sz w:val="22"/>
          <w:szCs w:val="22"/>
        </w:rPr>
        <w:t xml:space="preserve"> and potentially brin</w:t>
      </w:r>
      <w:r w:rsidR="00D54D9E" w:rsidRPr="009C0C39">
        <w:rPr>
          <w:rFonts w:ascii="Franklin Gothic Book" w:hAnsi="Franklin Gothic Book" w:cs="Times New Roman"/>
          <w:sz w:val="22"/>
          <w:szCs w:val="22"/>
        </w:rPr>
        <w:t>g</w:t>
      </w:r>
      <w:r w:rsidR="00F37688" w:rsidRPr="009C0C39">
        <w:rPr>
          <w:rFonts w:ascii="Franklin Gothic Book" w:hAnsi="Franklin Gothic Book" w:cs="Times New Roman"/>
          <w:sz w:val="22"/>
          <w:szCs w:val="22"/>
        </w:rPr>
        <w:t>ing 24 beds licensed but not operational back into service</w:t>
      </w:r>
      <w:r w:rsidRPr="009C0C39">
        <w:rPr>
          <w:rFonts w:ascii="Franklin Gothic Book" w:hAnsi="Franklin Gothic Book" w:cs="Times New Roman"/>
          <w:sz w:val="22"/>
          <w:szCs w:val="22"/>
        </w:rPr>
        <w:t>; centraliz</w:t>
      </w:r>
      <w:r w:rsidR="00CB5A79">
        <w:rPr>
          <w:rFonts w:ascii="Franklin Gothic Book" w:hAnsi="Franklin Gothic Book" w:cs="Times New Roman"/>
          <w:sz w:val="22"/>
          <w:szCs w:val="22"/>
        </w:rPr>
        <w:t>ation</w:t>
      </w:r>
      <w:r w:rsidRPr="009C0C39">
        <w:rPr>
          <w:rFonts w:ascii="Franklin Gothic Book" w:hAnsi="Franklin Gothic Book" w:cs="Times New Roman"/>
          <w:sz w:val="22"/>
          <w:szCs w:val="22"/>
        </w:rPr>
        <w:t xml:space="preserve"> and significant expan</w:t>
      </w:r>
      <w:r w:rsidR="00CB5A79">
        <w:rPr>
          <w:rFonts w:ascii="Franklin Gothic Book" w:hAnsi="Franklin Gothic Book" w:cs="Times New Roman"/>
          <w:sz w:val="22"/>
          <w:szCs w:val="22"/>
        </w:rPr>
        <w:t>sion of</w:t>
      </w:r>
      <w:r w:rsidRPr="009C0C39">
        <w:rPr>
          <w:rFonts w:ascii="Franklin Gothic Book" w:hAnsi="Franklin Gothic Book" w:cs="Times New Roman"/>
          <w:sz w:val="22"/>
          <w:szCs w:val="22"/>
        </w:rPr>
        <w:t xml:space="preserve"> oncology, cardiology, and radiology services; and various other renovations and improvements (MGH </w:t>
      </w:r>
      <w:r w:rsidR="00D54D9E" w:rsidRPr="009C0C39">
        <w:rPr>
          <w:rFonts w:ascii="Franklin Gothic Book" w:hAnsi="Franklin Gothic Book" w:cs="Times New Roman"/>
          <w:sz w:val="22"/>
          <w:szCs w:val="22"/>
        </w:rPr>
        <w:t>e</w:t>
      </w:r>
      <w:r w:rsidRPr="009C0C39">
        <w:rPr>
          <w:rFonts w:ascii="Franklin Gothic Book" w:hAnsi="Franklin Gothic Book" w:cs="Times New Roman"/>
          <w:sz w:val="22"/>
          <w:szCs w:val="22"/>
        </w:rPr>
        <w:t>xpansion);</w:t>
      </w:r>
      <w:bookmarkStart w:id="18" w:name="_Ref93613745"/>
      <w:r w:rsidRPr="009C0C39">
        <w:rPr>
          <w:rStyle w:val="FootnoteReference"/>
          <w:rFonts w:ascii="Franklin Gothic Book" w:hAnsi="Franklin Gothic Book" w:cs="Times New Roman"/>
          <w:sz w:val="22"/>
          <w:szCs w:val="22"/>
        </w:rPr>
        <w:footnoteReference w:id="10"/>
      </w:r>
      <w:bookmarkEnd w:id="18"/>
    </w:p>
    <w:p w14:paraId="7EEBE6E4" w14:textId="22A4CE5C" w:rsidR="0062704A" w:rsidRPr="009C0C39" w:rsidRDefault="0062704A" w:rsidP="009257C1">
      <w:pPr>
        <w:pStyle w:val="ListParagraph"/>
        <w:numPr>
          <w:ilvl w:val="0"/>
          <w:numId w:val="1"/>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Brigham and Women’s Faulkner Hospital:</w:t>
      </w:r>
      <w:r w:rsidRPr="009C0C39">
        <w:rPr>
          <w:rFonts w:ascii="Franklin Gothic Book" w:hAnsi="Franklin Gothic Book" w:cs="Times New Roman"/>
          <w:sz w:val="22"/>
          <w:szCs w:val="22"/>
        </w:rPr>
        <w:t xml:space="preserve"> a proposed capital expenditure of $150 million for significant expansion, renovation, and improvement of Brigham and Women’s Faulkner Hospital, including the addition of 78 new medical/surgical beds and 8 new observation beds; expan</w:t>
      </w:r>
      <w:r w:rsidR="00CB5A79">
        <w:rPr>
          <w:rFonts w:ascii="Franklin Gothic Book" w:hAnsi="Franklin Gothic Book" w:cs="Times New Roman"/>
          <w:sz w:val="22"/>
          <w:szCs w:val="22"/>
        </w:rPr>
        <w:t>sion of</w:t>
      </w:r>
      <w:r w:rsidRPr="009C0C39">
        <w:rPr>
          <w:rFonts w:ascii="Franklin Gothic Book" w:hAnsi="Franklin Gothic Book" w:cs="Times New Roman"/>
          <w:sz w:val="22"/>
          <w:szCs w:val="22"/>
        </w:rPr>
        <w:t xml:space="preserve"> endoscopy and imaging services; and </w:t>
      </w:r>
      <w:r w:rsidR="00CB5A79">
        <w:rPr>
          <w:rFonts w:ascii="Franklin Gothic Book" w:hAnsi="Franklin Gothic Book" w:cs="Times New Roman"/>
          <w:sz w:val="22"/>
          <w:szCs w:val="22"/>
        </w:rPr>
        <w:t xml:space="preserve">creation of </w:t>
      </w:r>
      <w:r w:rsidRPr="009C0C39">
        <w:rPr>
          <w:rFonts w:ascii="Franklin Gothic Book" w:hAnsi="Franklin Gothic Book" w:cs="Times New Roman"/>
          <w:sz w:val="22"/>
          <w:szCs w:val="22"/>
        </w:rPr>
        <w:t xml:space="preserve">shell space for future clinical additions (Faulkner </w:t>
      </w:r>
      <w:r w:rsidR="00D54D9E" w:rsidRPr="009C0C39">
        <w:rPr>
          <w:rFonts w:ascii="Franklin Gothic Book" w:hAnsi="Franklin Gothic Book" w:cs="Times New Roman"/>
          <w:sz w:val="22"/>
          <w:szCs w:val="22"/>
        </w:rPr>
        <w:t>e</w:t>
      </w:r>
      <w:r w:rsidRPr="009C0C39">
        <w:rPr>
          <w:rFonts w:ascii="Franklin Gothic Book" w:hAnsi="Franklin Gothic Book" w:cs="Times New Roman"/>
          <w:sz w:val="22"/>
          <w:szCs w:val="22"/>
        </w:rPr>
        <w:t>xpansion);</w:t>
      </w:r>
      <w:bookmarkStart w:id="21" w:name="_Ref93654856"/>
      <w:r w:rsidRPr="009C0C39">
        <w:rPr>
          <w:rStyle w:val="FootnoteReference"/>
          <w:rFonts w:ascii="Franklin Gothic Book" w:hAnsi="Franklin Gothic Book" w:cs="Times New Roman"/>
          <w:sz w:val="22"/>
          <w:szCs w:val="22"/>
        </w:rPr>
        <w:footnoteReference w:id="11"/>
      </w:r>
      <w:bookmarkEnd w:id="21"/>
      <w:r w:rsidRPr="009C0C39">
        <w:rPr>
          <w:rFonts w:ascii="Franklin Gothic Book" w:hAnsi="Franklin Gothic Book" w:cs="Times New Roman"/>
          <w:sz w:val="22"/>
          <w:szCs w:val="22"/>
        </w:rPr>
        <w:t xml:space="preserve"> and</w:t>
      </w:r>
    </w:p>
    <w:p w14:paraId="3B05C70B" w14:textId="2476FBE4" w:rsidR="0062704A" w:rsidRPr="009C0C39" w:rsidRDefault="0062704A" w:rsidP="009257C1">
      <w:pPr>
        <w:pStyle w:val="ListParagraph"/>
        <w:numPr>
          <w:ilvl w:val="0"/>
          <w:numId w:val="1"/>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New Ambulatory Sites:</w:t>
      </w:r>
      <w:r w:rsidRPr="009C0C39">
        <w:rPr>
          <w:rFonts w:ascii="Franklin Gothic Book" w:hAnsi="Franklin Gothic Book" w:cs="Times New Roman"/>
          <w:sz w:val="22"/>
          <w:szCs w:val="22"/>
        </w:rPr>
        <w:t xml:space="preserve"> a proposed capital expenditure of $223.7 million for the creation of three new ambulatory sites in Massachusetts in Westborough, Westwood, and Woburn, each of which would include an independently licensed ambulatory surgery center (ASC) with 4 operating rooms per site; extensive physician services, including primary care, behavioral health, and a range of specialty services; and imaging services, with a total of 5 new CT units and 5 new MRI units across the three sites (</w:t>
      </w:r>
      <w:r w:rsidR="0055213C" w:rsidRPr="009C0C39">
        <w:rPr>
          <w:rFonts w:ascii="Franklin Gothic Book" w:hAnsi="Franklin Gothic Book" w:cs="Times New Roman"/>
          <w:sz w:val="22"/>
          <w:szCs w:val="22"/>
        </w:rPr>
        <w:t>a</w:t>
      </w:r>
      <w:r w:rsidRPr="009C0C39">
        <w:rPr>
          <w:rFonts w:ascii="Franklin Gothic Book" w:hAnsi="Franklin Gothic Book" w:cs="Times New Roman"/>
          <w:sz w:val="22"/>
          <w:szCs w:val="22"/>
        </w:rPr>
        <w:t xml:space="preserve">mbulatory </w:t>
      </w:r>
      <w:r w:rsidR="00D54D9E" w:rsidRPr="009C0C39">
        <w:rPr>
          <w:rFonts w:ascii="Franklin Gothic Book" w:hAnsi="Franklin Gothic Book" w:cs="Times New Roman"/>
          <w:sz w:val="22"/>
          <w:szCs w:val="22"/>
        </w:rPr>
        <w:t>e</w:t>
      </w:r>
      <w:r w:rsidRPr="009C0C39">
        <w:rPr>
          <w:rFonts w:ascii="Franklin Gothic Book" w:hAnsi="Franklin Gothic Book" w:cs="Times New Roman"/>
          <w:sz w:val="22"/>
          <w:szCs w:val="22"/>
        </w:rPr>
        <w:t>xpansion).</w:t>
      </w:r>
      <w:bookmarkStart w:id="22" w:name="_Ref93655328"/>
      <w:r w:rsidRPr="009C0C39">
        <w:rPr>
          <w:rStyle w:val="FootnoteReference"/>
          <w:rFonts w:ascii="Franklin Gothic Book" w:hAnsi="Franklin Gothic Book" w:cs="Times New Roman"/>
          <w:sz w:val="22"/>
          <w:szCs w:val="22"/>
        </w:rPr>
        <w:footnoteReference w:id="12"/>
      </w:r>
      <w:bookmarkEnd w:id="22"/>
    </w:p>
    <w:p w14:paraId="1CBCB46D" w14:textId="005416F1" w:rsidR="00226A5C" w:rsidRPr="009C0C39" w:rsidRDefault="00226A5C" w:rsidP="00226A5C">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MGB’s applications state that the proposed projects are part of a “system-wide strategy that is grounded in the excellence of Mass General Brigham’s two academic medical centers, focused on improved patient outcomes and experience, and supported by its historical and ongoing commitment to digital health and data analytics, population health, ambulatory care and insurance risk management.”</w:t>
      </w:r>
      <w:r w:rsidRPr="009C0C39">
        <w:rPr>
          <w:rStyle w:val="FootnoteReference"/>
          <w:rFonts w:ascii="Franklin Gothic Book" w:hAnsi="Franklin Gothic Book" w:cs="Times New Roman"/>
          <w:sz w:val="22"/>
          <w:szCs w:val="22"/>
        </w:rPr>
        <w:footnoteReference w:id="13"/>
      </w:r>
      <w:r w:rsidRPr="009C0C39">
        <w:rPr>
          <w:rFonts w:ascii="Franklin Gothic Book" w:hAnsi="Franklin Gothic Book" w:cs="Times New Roman"/>
          <w:sz w:val="22"/>
          <w:szCs w:val="22"/>
        </w:rPr>
        <w:t xml:space="preserve"> MGB states that its ambulatory proposal will address health care access challenges and the needs of its patient panel</w:t>
      </w:r>
      <w:r w:rsidR="00D94B82" w:rsidRPr="009C0C39">
        <w:rPr>
          <w:rStyle w:val="FootnoteReference"/>
          <w:rFonts w:ascii="Franklin Gothic Book" w:hAnsi="Franklin Gothic Book" w:cs="Times New Roman"/>
          <w:sz w:val="22"/>
          <w:szCs w:val="22"/>
        </w:rPr>
        <w:footnoteReference w:id="14"/>
      </w:r>
      <w:r w:rsidRPr="009C0C39">
        <w:rPr>
          <w:rFonts w:ascii="Franklin Gothic Book" w:hAnsi="Franklin Gothic Book" w:cs="Times New Roman"/>
          <w:sz w:val="22"/>
          <w:szCs w:val="22"/>
        </w:rPr>
        <w:t xml:space="preserve"> </w:t>
      </w:r>
      <w:r w:rsidR="002203F6">
        <w:rPr>
          <w:rFonts w:ascii="Franklin Gothic Book" w:hAnsi="Franklin Gothic Book" w:cs="Times New Roman"/>
          <w:sz w:val="22"/>
          <w:szCs w:val="22"/>
        </w:rPr>
        <w:t>and</w:t>
      </w:r>
      <w:r w:rsidRPr="009C0C39">
        <w:rPr>
          <w:rFonts w:ascii="Franklin Gothic Book" w:hAnsi="Franklin Gothic Book" w:cs="Times New Roman"/>
          <w:sz w:val="22"/>
          <w:szCs w:val="22"/>
        </w:rPr>
        <w:t xml:space="preserve"> shift care to lower cost settings (the application states that the ambulatory sites would be priced 25% lower than MGB’s community hospitals), which will lower costs and reduce </w:t>
      </w:r>
      <w:r w:rsidR="000715EF">
        <w:rPr>
          <w:rFonts w:ascii="Franklin Gothic Book" w:hAnsi="Franklin Gothic Book" w:cs="Times New Roman"/>
          <w:sz w:val="22"/>
          <w:szCs w:val="22"/>
        </w:rPr>
        <w:t>total medical expenses (</w:t>
      </w:r>
      <w:r w:rsidRPr="009C0C39">
        <w:rPr>
          <w:rFonts w:ascii="Franklin Gothic Book" w:hAnsi="Franklin Gothic Book" w:cs="Times New Roman"/>
          <w:sz w:val="22"/>
          <w:szCs w:val="22"/>
        </w:rPr>
        <w:t>TME</w:t>
      </w:r>
      <w:r w:rsidR="000715EF">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and health care spending.</w:t>
      </w:r>
      <w:r w:rsidR="003A1DDE" w:rsidRPr="009C0C39">
        <w:rPr>
          <w:rStyle w:val="FootnoteReference"/>
          <w:rFonts w:ascii="Franklin Gothic Book" w:hAnsi="Franklin Gothic Book" w:cs="Times New Roman"/>
          <w:sz w:val="22"/>
          <w:szCs w:val="22"/>
        </w:rPr>
        <w:footnoteReference w:id="15"/>
      </w:r>
      <w:r w:rsidRPr="009C0C39">
        <w:rPr>
          <w:rFonts w:ascii="Franklin Gothic Book" w:hAnsi="Franklin Gothic Book" w:cs="Times New Roman"/>
          <w:sz w:val="22"/>
          <w:szCs w:val="22"/>
        </w:rPr>
        <w:t xml:space="preserve"> MGB states that both </w:t>
      </w:r>
      <w:r w:rsidRPr="009C0C39">
        <w:rPr>
          <w:rFonts w:ascii="Franklin Gothic Book" w:hAnsi="Franklin Gothic Book" w:cs="Times New Roman"/>
          <w:sz w:val="22"/>
          <w:szCs w:val="22"/>
        </w:rPr>
        <w:lastRenderedPageBreak/>
        <w:t xml:space="preserve">hospital projects will update the hospital campuses, relieve hospital capacity constraints, and co-locate related services. MGB also states that the Faulkner expansion will allow care to be shifted to </w:t>
      </w:r>
      <w:r w:rsidR="002203F6">
        <w:rPr>
          <w:rFonts w:ascii="Franklin Gothic Book" w:hAnsi="Franklin Gothic Book" w:cs="Times New Roman"/>
          <w:sz w:val="22"/>
          <w:szCs w:val="22"/>
        </w:rPr>
        <w:t xml:space="preserve">Faulkner from higher-cost </w:t>
      </w:r>
      <w:r w:rsidRPr="009C0C39">
        <w:rPr>
          <w:rFonts w:ascii="Franklin Gothic Book" w:hAnsi="Franklin Gothic Book" w:cs="Times New Roman"/>
          <w:sz w:val="22"/>
          <w:szCs w:val="22"/>
        </w:rPr>
        <w:t>cost setting</w:t>
      </w:r>
      <w:r w:rsidR="002203F6">
        <w:rPr>
          <w:rFonts w:ascii="Franklin Gothic Book" w:hAnsi="Franklin Gothic Book" w:cs="Times New Roman"/>
          <w:sz w:val="22"/>
          <w:szCs w:val="22"/>
        </w:rPr>
        <w:t>s</w:t>
      </w:r>
      <w:r w:rsidRPr="009C0C39">
        <w:rPr>
          <w:rFonts w:ascii="Franklin Gothic Book" w:hAnsi="Franklin Gothic Book" w:cs="Times New Roman"/>
          <w:sz w:val="22"/>
          <w:szCs w:val="22"/>
        </w:rPr>
        <w:t>, and that both hospital expansions will reduce operational costs and increase efficiency and timely care delivery, reducing health care spending and TME.</w:t>
      </w:r>
      <w:r w:rsidR="003A1DDE" w:rsidRPr="009C0C39">
        <w:rPr>
          <w:rStyle w:val="FootnoteReference"/>
          <w:rFonts w:ascii="Franklin Gothic Book" w:hAnsi="Franklin Gothic Book" w:cs="Times New Roman"/>
          <w:sz w:val="22"/>
          <w:szCs w:val="22"/>
        </w:rPr>
        <w:footnoteReference w:id="16"/>
      </w:r>
      <w:r w:rsidR="00356EA0" w:rsidRPr="009C0C39">
        <w:rPr>
          <w:rStyle w:val="FootnoteReference"/>
          <w:rFonts w:ascii="Franklin Gothic Book" w:hAnsi="Franklin Gothic Book" w:cs="Times New Roman"/>
          <w:sz w:val="22"/>
          <w:szCs w:val="22"/>
        </w:rPr>
        <w:t>,</w:t>
      </w:r>
      <w:bookmarkStart w:id="24" w:name="_Ref93639535"/>
      <w:r w:rsidR="000715EF" w:rsidRPr="000715EF">
        <w:rPr>
          <w:rFonts w:ascii="Franklin Gothic Book" w:hAnsi="Franklin Gothic Book" w:cs="Times New Roman"/>
          <w:sz w:val="22"/>
          <w:szCs w:val="22"/>
          <w:vertAlign w:val="superscript"/>
        </w:rPr>
        <w:t xml:space="preserve"> </w:t>
      </w:r>
      <w:r w:rsidR="00356EA0" w:rsidRPr="009C0C39">
        <w:rPr>
          <w:rStyle w:val="FootnoteReference"/>
          <w:rFonts w:ascii="Franklin Gothic Book" w:hAnsi="Franklin Gothic Book" w:cs="Times New Roman"/>
          <w:sz w:val="22"/>
          <w:szCs w:val="22"/>
        </w:rPr>
        <w:footnoteReference w:id="17"/>
      </w:r>
      <w:bookmarkEnd w:id="24"/>
    </w:p>
    <w:p w14:paraId="67B1C18B" w14:textId="51DBB597" w:rsidR="0062704A" w:rsidRPr="009C0C39" w:rsidRDefault="0062704A" w:rsidP="0062704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On March 14, 2021, the DoN program notified MGB that it was requiring an independent cost-analysis (ICA) </w:t>
      </w:r>
      <w:r w:rsidR="00C41EA9">
        <w:rPr>
          <w:rFonts w:ascii="Franklin Gothic Book" w:hAnsi="Franklin Gothic Book" w:cs="Times New Roman"/>
          <w:sz w:val="22"/>
          <w:szCs w:val="22"/>
        </w:rPr>
        <w:t xml:space="preserve">to </w:t>
      </w:r>
      <w:r w:rsidRPr="009C0C39">
        <w:rPr>
          <w:rFonts w:ascii="Franklin Gothic Book" w:hAnsi="Franklin Gothic Book" w:cs="Times New Roman"/>
          <w:sz w:val="22"/>
          <w:szCs w:val="22"/>
        </w:rPr>
        <w:t>be conducted on each of the three applications, as authorized under its statute to demonstrate that a proposed project is “consistent with the commonwealth’s efforts to meet the health care cost-containment goals established by the [health policy] commission”.</w:t>
      </w:r>
      <w:r w:rsidRPr="009C0C39">
        <w:rPr>
          <w:rStyle w:val="FootnoteReference"/>
          <w:rFonts w:ascii="Franklin Gothic Book" w:hAnsi="Franklin Gothic Book" w:cs="Times New Roman"/>
          <w:sz w:val="22"/>
          <w:szCs w:val="22"/>
        </w:rPr>
        <w:footnoteReference w:id="18"/>
      </w:r>
      <w:r w:rsidRPr="009C0C39">
        <w:rPr>
          <w:rFonts w:ascii="Franklin Gothic Book" w:hAnsi="Franklin Gothic Book" w:cs="Times New Roman"/>
          <w:sz w:val="22"/>
          <w:szCs w:val="22"/>
        </w:rPr>
        <w:t xml:space="preserve"> A third-party vendor</w:t>
      </w:r>
      <w:r w:rsidRPr="009C0C39">
        <w:rPr>
          <w:rStyle w:val="FootnoteReference"/>
          <w:rFonts w:ascii="Franklin Gothic Book" w:hAnsi="Franklin Gothic Book" w:cs="Times New Roman"/>
          <w:sz w:val="22"/>
          <w:szCs w:val="22"/>
        </w:rPr>
        <w:footnoteReference w:id="19"/>
      </w:r>
      <w:r w:rsidRPr="009C0C39">
        <w:rPr>
          <w:rFonts w:ascii="Franklin Gothic Book" w:hAnsi="Franklin Gothic Book" w:cs="Times New Roman"/>
          <w:sz w:val="22"/>
          <w:szCs w:val="22"/>
        </w:rPr>
        <w:t xml:space="preserve"> was engaged to conduct the analyses, at MGB’s expense. </w:t>
      </w:r>
    </w:p>
    <w:p w14:paraId="295AD574" w14:textId="08D41051" w:rsidR="0062704A" w:rsidRPr="009C0C39" w:rsidRDefault="0062704A" w:rsidP="0062704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While the ICAs were pending, a limited amount of new information was disclosed </w:t>
      </w:r>
      <w:r w:rsidR="002D2DEB" w:rsidRPr="009C0C39">
        <w:rPr>
          <w:rFonts w:ascii="Franklin Gothic Book" w:hAnsi="Franklin Gothic Book" w:cs="Times New Roman"/>
          <w:sz w:val="22"/>
          <w:szCs w:val="22"/>
        </w:rPr>
        <w:t xml:space="preserve">publicly </w:t>
      </w:r>
      <w:r w:rsidRPr="009C0C39">
        <w:rPr>
          <w:rFonts w:ascii="Franklin Gothic Book" w:hAnsi="Franklin Gothic Book" w:cs="Times New Roman"/>
          <w:sz w:val="22"/>
          <w:szCs w:val="22"/>
        </w:rPr>
        <w:t>from confidential internal MGB documents related to the ambulatory expansions by the Office of the Attorney General—after balancing the public interests in disclosure relative to MGB’s interest in confidentiality (MGB Internal Document Disclosures).</w:t>
      </w:r>
      <w:bookmarkStart w:id="26" w:name="_Ref93071831"/>
      <w:r w:rsidRPr="009C0C39">
        <w:rPr>
          <w:rStyle w:val="FootnoteReference"/>
          <w:rFonts w:ascii="Franklin Gothic Book" w:hAnsi="Franklin Gothic Book" w:cs="Times New Roman"/>
          <w:sz w:val="22"/>
          <w:szCs w:val="22"/>
        </w:rPr>
        <w:footnoteReference w:id="20"/>
      </w:r>
      <w:bookmarkEnd w:id="26"/>
      <w:r w:rsidRPr="009C0C39">
        <w:rPr>
          <w:rFonts w:ascii="Franklin Gothic Book" w:hAnsi="Franklin Gothic Book" w:cs="Times New Roman"/>
          <w:sz w:val="22"/>
          <w:szCs w:val="22"/>
        </w:rPr>
        <w:t xml:space="preserve"> Such disclosures included that:</w:t>
      </w:r>
    </w:p>
    <w:p w14:paraId="1CBB8275" w14:textId="2D6C3392" w:rsidR="0062704A" w:rsidRPr="009C0C39" w:rsidRDefault="0062704A" w:rsidP="009257C1">
      <w:pPr>
        <w:pStyle w:val="ListParagraph"/>
        <w:numPr>
          <w:ilvl w:val="0"/>
          <w:numId w:val="7"/>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ambulatory sites proposed in the DoN filings </w:t>
      </w:r>
      <w:r w:rsidR="00000F1E">
        <w:rPr>
          <w:rFonts w:ascii="Franklin Gothic Book" w:hAnsi="Franklin Gothic Book" w:cs="Times New Roman"/>
          <w:sz w:val="22"/>
          <w:szCs w:val="22"/>
        </w:rPr>
        <w:t>are</w:t>
      </w:r>
      <w:r w:rsidR="00000F1E"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part of a larger multi-year ambulatory expansion plan</w:t>
      </w:r>
      <w:r w:rsidRPr="009C0C39">
        <w:rPr>
          <w:rFonts w:ascii="Franklin Gothic Book" w:hAnsi="Franklin Gothic Book" w:cs="Times New Roman"/>
          <w:b/>
          <w:bCs/>
          <w:sz w:val="22"/>
          <w:szCs w:val="22"/>
        </w:rPr>
        <w:t xml:space="preserve"> </w:t>
      </w:r>
      <w:r w:rsidR="002203F6">
        <w:rPr>
          <w:rFonts w:ascii="Franklin Gothic Book" w:hAnsi="Franklin Gothic Book" w:cs="Times New Roman"/>
          <w:sz w:val="22"/>
          <w:szCs w:val="22"/>
        </w:rPr>
        <w:t>for</w:t>
      </w:r>
      <w:r w:rsidR="002203F6"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Eastern Massachusetts (including but not limited to the three sites currently proposed in the Ambulatory </w:t>
      </w:r>
      <w:r w:rsidR="00B65555" w:rsidRPr="009C0C39">
        <w:rPr>
          <w:rFonts w:ascii="Franklin Gothic Book" w:hAnsi="Franklin Gothic Book" w:cs="Times New Roman"/>
          <w:sz w:val="22"/>
          <w:szCs w:val="22"/>
        </w:rPr>
        <w:t>DoN Application</w:t>
      </w:r>
      <w:r w:rsidRPr="009C0C39">
        <w:rPr>
          <w:rFonts w:ascii="Franklin Gothic Book" w:hAnsi="Franklin Gothic Book" w:cs="Times New Roman"/>
          <w:sz w:val="22"/>
          <w:szCs w:val="22"/>
        </w:rPr>
        <w:t>) that MGB expects will ultimately contribute direct margins to the system of $385 million per year. This reflects both</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 xml:space="preserve">anticipated new ambulatory volume and incremental hospital volume from the ambulatory sites, and MGB expects the new hospital margin to outweigh any losses from shifting care out of MGB hospitals to lower-priced sites; </w:t>
      </w:r>
    </w:p>
    <w:p w14:paraId="608888A3" w14:textId="476AAE5D" w:rsidR="0062704A" w:rsidRPr="009C0C39" w:rsidRDefault="0062704A" w:rsidP="009257C1">
      <w:pPr>
        <w:numPr>
          <w:ilvl w:val="0"/>
          <w:numId w:val="7"/>
        </w:num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MGB expects the multi-year ambulatory expansion plan to increase MGB’s market share</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by 1</w:t>
      </w:r>
      <w:r w:rsidR="002203F6">
        <w:rPr>
          <w:rFonts w:ascii="Franklin Gothic Book" w:hAnsi="Franklin Gothic Book" w:cs="Times New Roman"/>
          <w:sz w:val="22"/>
          <w:szCs w:val="22"/>
        </w:rPr>
        <w:t>%</w:t>
      </w:r>
      <w:r w:rsidRPr="009C0C39">
        <w:rPr>
          <w:rFonts w:ascii="Franklin Gothic Book" w:hAnsi="Franklin Gothic Book" w:cs="Times New Roman"/>
          <w:sz w:val="22"/>
          <w:szCs w:val="22"/>
        </w:rPr>
        <w:t xml:space="preserve"> to 2% for secondary inpatient admissions and 3</w:t>
      </w:r>
      <w:r w:rsidR="002203F6">
        <w:rPr>
          <w:rFonts w:ascii="Franklin Gothic Book" w:hAnsi="Franklin Gothic Book" w:cs="Times New Roman"/>
          <w:sz w:val="22"/>
          <w:szCs w:val="22"/>
        </w:rPr>
        <w:t>%</w:t>
      </w:r>
      <w:r w:rsidRPr="009C0C39">
        <w:rPr>
          <w:rFonts w:ascii="Franklin Gothic Book" w:hAnsi="Franklin Gothic Book" w:cs="Times New Roman"/>
          <w:sz w:val="22"/>
          <w:szCs w:val="22"/>
        </w:rPr>
        <w:t xml:space="preserve"> to 4% for tertiary inpatient admissions in Eastern Massachusetts. MGB also projected a 1</w:t>
      </w:r>
      <w:r w:rsidR="002203F6">
        <w:rPr>
          <w:rFonts w:ascii="Franklin Gothic Book" w:hAnsi="Franklin Gothic Book" w:cs="Times New Roman"/>
          <w:sz w:val="22"/>
          <w:szCs w:val="22"/>
        </w:rPr>
        <w:t>%</w:t>
      </w:r>
      <w:r w:rsidRPr="009C0C39">
        <w:rPr>
          <w:rFonts w:ascii="Franklin Gothic Book" w:hAnsi="Franklin Gothic Book" w:cs="Times New Roman"/>
          <w:sz w:val="22"/>
          <w:szCs w:val="22"/>
        </w:rPr>
        <w:t xml:space="preserve"> to 2% increase in covered lives in Eastern Massachusetts;</w:t>
      </w:r>
    </w:p>
    <w:p w14:paraId="70EEAFA7" w14:textId="650C0496" w:rsidR="0062704A" w:rsidRPr="009C0C39" w:rsidRDefault="0062704A" w:rsidP="009257C1">
      <w:pPr>
        <w:numPr>
          <w:ilvl w:val="0"/>
          <w:numId w:val="7"/>
        </w:num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 xml:space="preserve">Specific to the three ambulatory sites proposed in the Ambulatory DoN </w:t>
      </w:r>
      <w:r w:rsidR="00B65555" w:rsidRPr="009C0C39">
        <w:rPr>
          <w:rFonts w:ascii="Franklin Gothic Book" w:hAnsi="Franklin Gothic Book" w:cs="Times New Roman"/>
          <w:sz w:val="22"/>
          <w:szCs w:val="22"/>
        </w:rPr>
        <w:t>Application</w:t>
      </w:r>
      <w:r w:rsidRPr="009C0C39">
        <w:rPr>
          <w:rFonts w:ascii="Franklin Gothic Book" w:hAnsi="Franklin Gothic Book" w:cs="Times New Roman"/>
          <w:sz w:val="22"/>
          <w:szCs w:val="22"/>
        </w:rPr>
        <w:t>, MGB’s internal projections in 2018 for expected surgery capacity at the three sites were substantially higher (20-60%) than the capacity projections in its DoN filings; and</w:t>
      </w:r>
    </w:p>
    <w:p w14:paraId="0FD57CBA" w14:textId="2890C177" w:rsidR="0062704A" w:rsidRPr="009C0C39" w:rsidRDefault="0062704A" w:rsidP="009257C1">
      <w:pPr>
        <w:numPr>
          <w:ilvl w:val="0"/>
          <w:numId w:val="7"/>
        </w:num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 xml:space="preserve">MGB expects substantial physician staffing at the </w:t>
      </w:r>
      <w:r w:rsidR="00000F1E">
        <w:rPr>
          <w:rFonts w:ascii="Franklin Gothic Book" w:hAnsi="Franklin Gothic Book" w:cs="Times New Roman"/>
          <w:sz w:val="22"/>
          <w:szCs w:val="22"/>
        </w:rPr>
        <w:t xml:space="preserve">three </w:t>
      </w:r>
      <w:r w:rsidRPr="009C0C39">
        <w:rPr>
          <w:rFonts w:ascii="Franklin Gothic Book" w:hAnsi="Franklin Gothic Book" w:cs="Times New Roman"/>
          <w:sz w:val="22"/>
          <w:szCs w:val="22"/>
        </w:rPr>
        <w:t xml:space="preserve">sites in the Ambulatory DoN </w:t>
      </w:r>
      <w:r w:rsidR="00B65555" w:rsidRPr="009C0C39">
        <w:rPr>
          <w:rFonts w:ascii="Franklin Gothic Book" w:hAnsi="Franklin Gothic Book" w:cs="Times New Roman"/>
          <w:sz w:val="22"/>
          <w:szCs w:val="22"/>
        </w:rPr>
        <w:t>Application</w:t>
      </w:r>
      <w:r w:rsidRPr="009C0C39">
        <w:rPr>
          <w:rFonts w:ascii="Franklin Gothic Book" w:hAnsi="Franklin Gothic Book" w:cs="Times New Roman"/>
          <w:sz w:val="22"/>
          <w:szCs w:val="22"/>
        </w:rPr>
        <w:t>, including 22 new PCPs.</w:t>
      </w:r>
    </w:p>
    <w:p w14:paraId="0C1EA425" w14:textId="7EEB9507" w:rsidR="0062704A" w:rsidRPr="009C0C39" w:rsidRDefault="0062704A" w:rsidP="002714B2">
      <w:pPr>
        <w:spacing w:before="240"/>
        <w:ind w:firstLine="720"/>
        <w:rPr>
          <w:rFonts w:ascii="Franklin Gothic Book" w:hAnsi="Franklin Gothic Book" w:cs="Times New Roman"/>
          <w:sz w:val="22"/>
          <w:szCs w:val="22"/>
        </w:rPr>
      </w:pPr>
      <w:bookmarkStart w:id="28" w:name="_Hlk93929306"/>
      <w:r w:rsidRPr="009C0C39">
        <w:rPr>
          <w:rFonts w:ascii="Franklin Gothic Book" w:hAnsi="Franklin Gothic Book" w:cs="Times New Roman"/>
          <w:sz w:val="22"/>
          <w:szCs w:val="22"/>
        </w:rPr>
        <w:lastRenderedPageBreak/>
        <w:t>The HPC also conducted its own review of the likely impacts of the three proposed projects, consistent with its role of providing objective, data-driven analyses of significant changes to the health care delivery system. To conduct its review, the HPC used all available public information,</w:t>
      </w:r>
      <w:r w:rsidRPr="009C0C39">
        <w:rPr>
          <w:rStyle w:val="FootnoteReference"/>
          <w:rFonts w:ascii="Franklin Gothic Book" w:hAnsi="Franklin Gothic Book" w:cs="Times New Roman"/>
          <w:sz w:val="22"/>
          <w:szCs w:val="22"/>
        </w:rPr>
        <w:footnoteReference w:id="21"/>
      </w:r>
      <w:r w:rsidRPr="009C0C39">
        <w:rPr>
          <w:rStyle w:val="CommentReference"/>
          <w:rFonts w:ascii="Franklin Gothic Book" w:hAnsi="Franklin Gothic Book"/>
          <w:sz w:val="14"/>
          <w:szCs w:val="14"/>
        </w:rPr>
        <w:t xml:space="preserve"> </w:t>
      </w:r>
      <w:r w:rsidRPr="009C0C39">
        <w:rPr>
          <w:rFonts w:ascii="Franklin Gothic Book" w:hAnsi="Franklin Gothic Book" w:cs="Times New Roman"/>
          <w:sz w:val="22"/>
          <w:szCs w:val="22"/>
        </w:rPr>
        <w:t>including all materials provided to the DoN program and the MGB Internal Document Disclosures, as well as the data</w:t>
      </w:r>
      <w:r w:rsidR="002714B2" w:rsidRPr="009C0C39">
        <w:rPr>
          <w:rFonts w:ascii="Franklin Gothic Book" w:hAnsi="Franklin Gothic Book" w:cs="Times New Roman"/>
          <w:sz w:val="22"/>
          <w:szCs w:val="22"/>
        </w:rPr>
        <w:t xml:space="preserve"> and </w:t>
      </w:r>
      <w:r w:rsidRPr="009C0C39">
        <w:rPr>
          <w:rFonts w:ascii="Franklin Gothic Book" w:hAnsi="Franklin Gothic Book" w:cs="Times New Roman"/>
          <w:sz w:val="22"/>
          <w:szCs w:val="22"/>
        </w:rPr>
        <w:t xml:space="preserve">methodologies that it has used extensively in past market investigations, including cost and market impact reviews. </w:t>
      </w:r>
      <w:r w:rsidR="002714B2" w:rsidRPr="009C0C39">
        <w:rPr>
          <w:rFonts w:ascii="Franklin Gothic Book" w:hAnsi="Franklin Gothic Book" w:cs="Times New Roman"/>
          <w:sz w:val="22"/>
          <w:szCs w:val="22"/>
        </w:rPr>
        <w:t>The HPC worked closely with economists, actuaries, accountants</w:t>
      </w:r>
      <w:r w:rsidR="00494E02" w:rsidRPr="009C0C39">
        <w:rPr>
          <w:rFonts w:ascii="Franklin Gothic Book" w:hAnsi="Franklin Gothic Book" w:cs="Times New Roman"/>
          <w:sz w:val="22"/>
          <w:szCs w:val="22"/>
        </w:rPr>
        <w:t>,</w:t>
      </w:r>
      <w:r w:rsidR="002714B2" w:rsidRPr="009C0C39">
        <w:rPr>
          <w:rFonts w:ascii="Franklin Gothic Book" w:hAnsi="Franklin Gothic Book" w:cs="Times New Roman"/>
          <w:sz w:val="22"/>
          <w:szCs w:val="22"/>
        </w:rPr>
        <w:t xml:space="preserve"> and care delivery experts to conduct its analyses and wishes to acknowledge the expert analytic support provided by Bates White, LLC, Freedman Healthcare, LLC, Gorman Actuarial, Inc., BerryDunn, LLC, and Health Management Associates, Inc. </w:t>
      </w:r>
      <w:r w:rsidRPr="009C0C39">
        <w:rPr>
          <w:rFonts w:ascii="Franklin Gothic Book" w:hAnsi="Franklin Gothic Book" w:cs="Times New Roman"/>
          <w:sz w:val="22"/>
          <w:szCs w:val="22"/>
        </w:rPr>
        <w:t xml:space="preserve">An overview of the data and methodologies used by the HPC is attached as </w:t>
      </w:r>
      <w:hyperlink w:anchor="Appendix_IA" w:history="1">
        <w:r w:rsidRPr="009C0C39">
          <w:rPr>
            <w:rStyle w:val="Hyperlink"/>
            <w:rFonts w:ascii="Franklin Gothic Book" w:hAnsi="Franklin Gothic Book" w:cs="Times New Roman"/>
            <w:sz w:val="22"/>
            <w:szCs w:val="22"/>
          </w:rPr>
          <w:t>Appendix I.A</w:t>
        </w:r>
      </w:hyperlink>
      <w:r w:rsidRPr="009C0C39">
        <w:rPr>
          <w:rFonts w:ascii="Franklin Gothic Book" w:hAnsi="Franklin Gothic Book" w:cs="Times New Roman"/>
          <w:sz w:val="22"/>
          <w:szCs w:val="22"/>
        </w:rPr>
        <w:t>.</w:t>
      </w:r>
    </w:p>
    <w:bookmarkEnd w:id="28"/>
    <w:p w14:paraId="0E8BD83E" w14:textId="4708F040" w:rsidR="0062704A" w:rsidRPr="009C0C39" w:rsidRDefault="0062704A" w:rsidP="0062704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ICAs were released on December 28, 2021,</w:t>
      </w:r>
      <w:bookmarkStart w:id="29" w:name="_Ref93656068"/>
      <w:r w:rsidRPr="009C0C39">
        <w:rPr>
          <w:rStyle w:val="FootnoteReference"/>
          <w:rFonts w:ascii="Franklin Gothic Book" w:hAnsi="Franklin Gothic Book" w:cs="Times New Roman"/>
          <w:sz w:val="22"/>
          <w:szCs w:val="22"/>
        </w:rPr>
        <w:footnoteReference w:id="22"/>
      </w:r>
      <w:bookmarkEnd w:id="29"/>
      <w:r w:rsidRPr="009C0C39">
        <w:rPr>
          <w:rFonts w:ascii="Franklin Gothic Book" w:hAnsi="Franklin Gothic Book" w:cs="Times New Roman"/>
          <w:sz w:val="22"/>
          <w:szCs w:val="22"/>
        </w:rPr>
        <w:t xml:space="preserve"> concluding that all three projects </w:t>
      </w:r>
      <w:r w:rsidR="00CB0907" w:rsidRPr="009C0C39">
        <w:rPr>
          <w:rFonts w:ascii="Franklin Gothic Book" w:hAnsi="Franklin Gothic Book" w:cs="Times New Roman"/>
          <w:sz w:val="22"/>
          <w:szCs w:val="22"/>
        </w:rPr>
        <w:t xml:space="preserve">are </w:t>
      </w:r>
      <w:r w:rsidRPr="009C0C39">
        <w:rPr>
          <w:rFonts w:ascii="Franklin Gothic Book" w:hAnsi="Franklin Gothic Book" w:cs="Times New Roman"/>
          <w:sz w:val="22"/>
          <w:szCs w:val="22"/>
        </w:rPr>
        <w:t xml:space="preserve">consistent with the Commonwealth’s cost containment goals. This conclusion is contrary to the HPC’s findings, and while many of the methodologies used by the ICAs appear similar to the methodologies employed by the HPC, the HPC has identified a number of key </w:t>
      </w:r>
      <w:r w:rsidR="00297250" w:rsidRPr="009C0C39">
        <w:rPr>
          <w:rFonts w:ascii="Franklin Gothic Book" w:hAnsi="Franklin Gothic Book" w:cs="Times New Roman"/>
          <w:sz w:val="22"/>
          <w:szCs w:val="22"/>
        </w:rPr>
        <w:t>limitations</w:t>
      </w:r>
      <w:r w:rsidRPr="009C0C39">
        <w:rPr>
          <w:rFonts w:ascii="Franklin Gothic Book" w:hAnsi="Franklin Gothic Book" w:cs="Times New Roman"/>
          <w:sz w:val="22"/>
          <w:szCs w:val="22"/>
        </w:rPr>
        <w:t>:</w:t>
      </w:r>
    </w:p>
    <w:p w14:paraId="3BE71BD4" w14:textId="49D226ED" w:rsidR="002D50A5" w:rsidRPr="009C0C39" w:rsidRDefault="002D50A5" w:rsidP="009257C1">
      <w:pPr>
        <w:pStyle w:val="ListParagraph"/>
        <w:numPr>
          <w:ilvl w:val="0"/>
          <w:numId w:val="6"/>
        </w:numPr>
        <w:spacing w:before="240"/>
        <w:ind w:left="720"/>
        <w:contextualSpacing w:val="0"/>
        <w:rPr>
          <w:rFonts w:ascii="Franklin Gothic Book" w:hAnsi="Franklin Gothic Book" w:cs="Times New Roman"/>
          <w:sz w:val="22"/>
          <w:szCs w:val="22"/>
        </w:rPr>
      </w:pPr>
      <w:bookmarkStart w:id="30" w:name="_Hlk93867081"/>
      <w:r w:rsidRPr="009C0C39">
        <w:rPr>
          <w:rFonts w:ascii="Franklin Gothic Book" w:hAnsi="Franklin Gothic Book" w:cs="Times New Roman"/>
          <w:b/>
          <w:bCs/>
          <w:sz w:val="22"/>
          <w:szCs w:val="22"/>
        </w:rPr>
        <w:t xml:space="preserve">The ICAs fail to address major drivers of spending for the three projects that would negate any projected savings, particularly for the </w:t>
      </w:r>
      <w:r w:rsidR="00F77F97" w:rsidRPr="009C0C39">
        <w:rPr>
          <w:rFonts w:ascii="Franklin Gothic Book" w:hAnsi="Franklin Gothic Book" w:cs="Times New Roman"/>
          <w:b/>
          <w:bCs/>
          <w:sz w:val="22"/>
          <w:szCs w:val="22"/>
        </w:rPr>
        <w:t>a</w:t>
      </w:r>
      <w:r w:rsidRPr="009C0C39">
        <w:rPr>
          <w:rFonts w:ascii="Franklin Gothic Book" w:hAnsi="Franklin Gothic Book" w:cs="Times New Roman"/>
          <w:b/>
          <w:bCs/>
          <w:sz w:val="22"/>
          <w:szCs w:val="22"/>
        </w:rPr>
        <w:t xml:space="preserve">mbulatory </w:t>
      </w:r>
      <w:r w:rsidR="00F77F97" w:rsidRPr="009C0C39">
        <w:rPr>
          <w:rFonts w:ascii="Franklin Gothic Book" w:hAnsi="Franklin Gothic Book" w:cs="Times New Roman"/>
          <w:b/>
          <w:bCs/>
          <w:sz w:val="22"/>
          <w:szCs w:val="22"/>
        </w:rPr>
        <w:t>e</w:t>
      </w:r>
      <w:r w:rsidRPr="009C0C39">
        <w:rPr>
          <w:rFonts w:ascii="Franklin Gothic Book" w:hAnsi="Franklin Gothic Book" w:cs="Times New Roman"/>
          <w:b/>
          <w:bCs/>
          <w:sz w:val="22"/>
          <w:szCs w:val="22"/>
        </w:rPr>
        <w:t>xpansion</w:t>
      </w:r>
      <w:r w:rsidRPr="009C0C39">
        <w:rPr>
          <w:rFonts w:ascii="Franklin Gothic Book" w:hAnsi="Franklin Gothic Book" w:cs="Times New Roman"/>
          <w:sz w:val="22"/>
          <w:szCs w:val="22"/>
        </w:rPr>
        <w:t xml:space="preserve">. For example, the Ambulatory ICA calculates savings from shifting care to the new ambulatory sites—consistent with </w:t>
      </w:r>
      <w:r w:rsidR="00044F4B"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 xml:space="preserve">HPC’s analyses that </w:t>
      </w:r>
      <w:r w:rsidR="00A70725" w:rsidRPr="009C0C39">
        <w:rPr>
          <w:rFonts w:ascii="Franklin Gothic Book" w:hAnsi="Franklin Gothic Book" w:cs="Times New Roman"/>
          <w:sz w:val="22"/>
          <w:szCs w:val="22"/>
        </w:rPr>
        <w:t xml:space="preserve">find </w:t>
      </w:r>
      <w:r w:rsidRPr="009C0C39">
        <w:rPr>
          <w:rFonts w:ascii="Franklin Gothic Book" w:hAnsi="Franklin Gothic Book" w:cs="Times New Roman"/>
          <w:sz w:val="22"/>
          <w:szCs w:val="22"/>
        </w:rPr>
        <w:t xml:space="preserve">the potential for small savings from shifting care from hospitals to the ambulatory sites. However, the ICAs do not address the likelihood that if MGB shifts care out of its hospitals to the ambulatory sites, </w:t>
      </w:r>
      <w:r w:rsidR="00044F4B" w:rsidRPr="009C0C39">
        <w:rPr>
          <w:rFonts w:ascii="Franklin Gothic Book" w:hAnsi="Franklin Gothic Book" w:cs="Times New Roman"/>
          <w:sz w:val="22"/>
          <w:szCs w:val="22"/>
        </w:rPr>
        <w:t xml:space="preserve">that would </w:t>
      </w:r>
      <w:r w:rsidRPr="009C0C39">
        <w:rPr>
          <w:rFonts w:ascii="Franklin Gothic Book" w:hAnsi="Franklin Gothic Book" w:cs="Times New Roman"/>
          <w:sz w:val="22"/>
          <w:szCs w:val="22"/>
        </w:rPr>
        <w:t xml:space="preserve">free up capacity at those hospitals that </w:t>
      </w:r>
      <w:r w:rsidR="00044F4B" w:rsidRPr="009C0C39">
        <w:rPr>
          <w:rFonts w:ascii="Franklin Gothic Book" w:hAnsi="Franklin Gothic Book" w:cs="Times New Roman"/>
          <w:sz w:val="22"/>
          <w:szCs w:val="22"/>
        </w:rPr>
        <w:t xml:space="preserve">MGB would </w:t>
      </w:r>
      <w:r w:rsidRPr="009C0C39">
        <w:rPr>
          <w:rFonts w:ascii="Franklin Gothic Book" w:hAnsi="Franklin Gothic Book" w:cs="Times New Roman"/>
          <w:sz w:val="22"/>
          <w:szCs w:val="22"/>
        </w:rPr>
        <w:t xml:space="preserve">likely seek to backfill, particularly </w:t>
      </w:r>
      <w:r w:rsidR="00BD458A" w:rsidRPr="009C0C39">
        <w:rPr>
          <w:rFonts w:ascii="Franklin Gothic Book" w:hAnsi="Franklin Gothic Book" w:cs="Times New Roman"/>
          <w:sz w:val="22"/>
          <w:szCs w:val="22"/>
        </w:rPr>
        <w:t xml:space="preserve">given that </w:t>
      </w:r>
      <w:r w:rsidRPr="009C0C39">
        <w:rPr>
          <w:rFonts w:ascii="Franklin Gothic Book" w:hAnsi="Franklin Gothic Book" w:cs="Times New Roman"/>
          <w:sz w:val="22"/>
          <w:szCs w:val="22"/>
        </w:rPr>
        <w:t xml:space="preserve">MGB </w:t>
      </w:r>
      <w:r w:rsidR="002203F6">
        <w:rPr>
          <w:rFonts w:ascii="Franklin Gothic Book" w:hAnsi="Franklin Gothic Book" w:cs="Times New Roman"/>
          <w:sz w:val="22"/>
          <w:szCs w:val="22"/>
        </w:rPr>
        <w:t xml:space="preserve">does </w:t>
      </w:r>
      <w:r w:rsidRPr="009C0C39">
        <w:rPr>
          <w:rFonts w:ascii="Franklin Gothic Book" w:hAnsi="Franklin Gothic Book" w:cs="Times New Roman"/>
          <w:sz w:val="22"/>
          <w:szCs w:val="22"/>
        </w:rPr>
        <w:t>not propos</w:t>
      </w:r>
      <w:r w:rsidR="002203F6">
        <w:rPr>
          <w:rFonts w:ascii="Franklin Gothic Book" w:hAnsi="Franklin Gothic Book" w:cs="Times New Roman"/>
          <w:sz w:val="22"/>
          <w:szCs w:val="22"/>
        </w:rPr>
        <w:t>e</w:t>
      </w:r>
      <w:r w:rsidRPr="009C0C39">
        <w:rPr>
          <w:rFonts w:ascii="Franklin Gothic Book" w:hAnsi="Franklin Gothic Book" w:cs="Times New Roman"/>
          <w:sz w:val="22"/>
          <w:szCs w:val="22"/>
        </w:rPr>
        <w:t xml:space="preserve"> to reduce any existing hospital capacity to account for the diverted care, but rather </w:t>
      </w:r>
      <w:r w:rsidR="00000F1E">
        <w:rPr>
          <w:rFonts w:ascii="Franklin Gothic Book" w:hAnsi="Franklin Gothic Book" w:cs="Times New Roman"/>
          <w:sz w:val="22"/>
          <w:szCs w:val="22"/>
        </w:rPr>
        <w:t xml:space="preserve">proposes </w:t>
      </w:r>
      <w:r w:rsidRPr="009C0C39">
        <w:rPr>
          <w:rFonts w:ascii="Franklin Gothic Book" w:hAnsi="Franklin Gothic Book" w:cs="Times New Roman"/>
          <w:sz w:val="22"/>
          <w:szCs w:val="22"/>
        </w:rPr>
        <w:t xml:space="preserve">to simultaneously expand hospital capacity. The ICAs also do not address the fact that the ambulatory sites </w:t>
      </w:r>
      <w:r w:rsidR="00044F4B" w:rsidRPr="009C0C39">
        <w:rPr>
          <w:rFonts w:ascii="Franklin Gothic Book" w:hAnsi="Franklin Gothic Book" w:cs="Times New Roman"/>
          <w:sz w:val="22"/>
          <w:szCs w:val="22"/>
        </w:rPr>
        <w:t xml:space="preserve">would be </w:t>
      </w:r>
      <w:r w:rsidRPr="009C0C39">
        <w:rPr>
          <w:rFonts w:ascii="Franklin Gothic Book" w:hAnsi="Franklin Gothic Book" w:cs="Times New Roman"/>
          <w:sz w:val="22"/>
          <w:szCs w:val="22"/>
        </w:rPr>
        <w:t xml:space="preserve">likely to drive inpatient and outpatient hospital volume into MGB hospitals, </w:t>
      </w:r>
      <w:r w:rsidR="00BD458A" w:rsidRPr="009C0C39">
        <w:rPr>
          <w:rFonts w:ascii="Franklin Gothic Book" w:hAnsi="Franklin Gothic Book" w:cs="Times New Roman"/>
          <w:sz w:val="22"/>
          <w:szCs w:val="22"/>
        </w:rPr>
        <w:t>consistent with</w:t>
      </w:r>
      <w:r w:rsidRPr="009C0C39">
        <w:rPr>
          <w:rFonts w:ascii="Franklin Gothic Book" w:hAnsi="Franklin Gothic Book" w:cs="Times New Roman"/>
          <w:sz w:val="22"/>
          <w:szCs w:val="22"/>
        </w:rPr>
        <w:t xml:space="preserve"> the well-known principle that physician referrals strongly </w:t>
      </w:r>
      <w:r w:rsidR="002203F6">
        <w:rPr>
          <w:rFonts w:ascii="Franklin Gothic Book" w:hAnsi="Franklin Gothic Book" w:cs="Times New Roman"/>
          <w:sz w:val="22"/>
          <w:szCs w:val="22"/>
        </w:rPr>
        <w:t>influence</w:t>
      </w:r>
      <w:r w:rsidR="002203F6"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where patients seek hospital care and </w:t>
      </w:r>
      <w:r w:rsidR="00BD458A" w:rsidRPr="009C0C39">
        <w:rPr>
          <w:rFonts w:ascii="Franklin Gothic Book" w:hAnsi="Franklin Gothic Book" w:cs="Times New Roman"/>
          <w:sz w:val="22"/>
          <w:szCs w:val="22"/>
        </w:rPr>
        <w:t>with</w:t>
      </w:r>
      <w:r w:rsidRPr="009C0C39">
        <w:rPr>
          <w:rFonts w:ascii="Franklin Gothic Book" w:hAnsi="Franklin Gothic Book" w:cs="Times New Roman"/>
          <w:sz w:val="22"/>
          <w:szCs w:val="22"/>
        </w:rPr>
        <w:t xml:space="preserve"> MGB’s </w:t>
      </w:r>
      <w:r w:rsidR="00BD458A" w:rsidRPr="009C0C39">
        <w:rPr>
          <w:rFonts w:ascii="Franklin Gothic Book" w:hAnsi="Franklin Gothic Book" w:cs="Times New Roman"/>
          <w:sz w:val="22"/>
          <w:szCs w:val="22"/>
        </w:rPr>
        <w:t xml:space="preserve">own </w:t>
      </w:r>
      <w:r w:rsidRPr="009C0C39">
        <w:rPr>
          <w:rFonts w:ascii="Franklin Gothic Book" w:hAnsi="Franklin Gothic Book" w:cs="Times New Roman"/>
          <w:sz w:val="22"/>
          <w:szCs w:val="22"/>
        </w:rPr>
        <w:t>expectations of increased hospital market share from ambulatory expansions.</w:t>
      </w:r>
      <w:r w:rsidRPr="009C0C39">
        <w:rPr>
          <w:rStyle w:val="FootnoteReference"/>
          <w:rFonts w:ascii="Franklin Gothic Book" w:hAnsi="Franklin Gothic Book" w:cs="Times New Roman"/>
          <w:sz w:val="22"/>
          <w:szCs w:val="22"/>
        </w:rPr>
        <w:footnoteReference w:id="23"/>
      </w:r>
      <w:r w:rsidRPr="009C0C39">
        <w:rPr>
          <w:rFonts w:ascii="Franklin Gothic Book" w:hAnsi="Franklin Gothic Book" w:cs="Times New Roman"/>
          <w:sz w:val="22"/>
          <w:szCs w:val="22"/>
        </w:rPr>
        <w:t xml:space="preserve"> The Ambulatory ICA also does not acknowledge the likelihood of spending impacts for services other than ambulatory surgery and advanced imaging (i.e. it does not appear to address new primary care patients MGB would be anticipated to serve or any of the other professional services at </w:t>
      </w:r>
      <w:r w:rsidR="00000F1E">
        <w:rPr>
          <w:rFonts w:ascii="Franklin Gothic Book" w:hAnsi="Franklin Gothic Book" w:cs="Times New Roman"/>
          <w:sz w:val="22"/>
          <w:szCs w:val="22"/>
        </w:rPr>
        <w:t>the</w:t>
      </w:r>
      <w:r w:rsidR="00000F1E"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sites). Finally, none of the three ICAs address</w:t>
      </w:r>
      <w:r w:rsidR="009B0F15" w:rsidRPr="009C0C39">
        <w:rPr>
          <w:rFonts w:ascii="Franklin Gothic Book" w:hAnsi="Franklin Gothic Book" w:cs="Times New Roman"/>
          <w:sz w:val="22"/>
          <w:szCs w:val="22"/>
        </w:rPr>
        <w:t>es</w:t>
      </w:r>
      <w:r w:rsidRPr="009C0C39">
        <w:rPr>
          <w:rFonts w:ascii="Franklin Gothic Book" w:hAnsi="Franklin Gothic Book" w:cs="Times New Roman"/>
          <w:sz w:val="22"/>
          <w:szCs w:val="22"/>
        </w:rPr>
        <w:t xml:space="preserve"> impacts on professional spending </w:t>
      </w:r>
      <w:r w:rsidR="009B0F15" w:rsidRPr="009C0C39">
        <w:rPr>
          <w:rFonts w:ascii="Franklin Gothic Book" w:hAnsi="Franklin Gothic Book" w:cs="Times New Roman"/>
          <w:sz w:val="22"/>
          <w:szCs w:val="22"/>
        </w:rPr>
        <w:t xml:space="preserve">for </w:t>
      </w:r>
      <w:r w:rsidRPr="009C0C39">
        <w:rPr>
          <w:rFonts w:ascii="Franklin Gothic Book" w:hAnsi="Franklin Gothic Book" w:cs="Times New Roman"/>
          <w:sz w:val="22"/>
          <w:szCs w:val="22"/>
        </w:rPr>
        <w:t xml:space="preserve">care that would shift to MGB from other providers, generally evaluating only </w:t>
      </w:r>
      <w:r w:rsidR="006B5223" w:rsidRPr="009C0C39">
        <w:rPr>
          <w:rFonts w:ascii="Franklin Gothic Book" w:hAnsi="Franklin Gothic Book" w:cs="Times New Roman"/>
          <w:sz w:val="22"/>
          <w:szCs w:val="22"/>
        </w:rPr>
        <w:t>facility spending</w:t>
      </w:r>
      <w:r w:rsidRPr="009C0C39">
        <w:rPr>
          <w:rFonts w:ascii="Franklin Gothic Book" w:hAnsi="Franklin Gothic Book" w:cs="Times New Roman"/>
          <w:sz w:val="22"/>
          <w:szCs w:val="22"/>
        </w:rPr>
        <w:t xml:space="preserve">. The impact of these spending drivers </w:t>
      </w:r>
      <w:r w:rsidR="00044F4B" w:rsidRPr="009C0C39">
        <w:rPr>
          <w:rFonts w:ascii="Franklin Gothic Book" w:hAnsi="Franklin Gothic Book" w:cs="Times New Roman"/>
          <w:sz w:val="22"/>
          <w:szCs w:val="22"/>
        </w:rPr>
        <w:t xml:space="preserve">would </w:t>
      </w:r>
      <w:r w:rsidRPr="009C0C39">
        <w:rPr>
          <w:rFonts w:ascii="Franklin Gothic Book" w:hAnsi="Franklin Gothic Book" w:cs="Times New Roman"/>
          <w:sz w:val="22"/>
          <w:szCs w:val="22"/>
        </w:rPr>
        <w:t xml:space="preserve">likely </w:t>
      </w:r>
      <w:r w:rsidR="00044F4B" w:rsidRPr="009C0C39">
        <w:rPr>
          <w:rFonts w:ascii="Franklin Gothic Book" w:hAnsi="Franklin Gothic Book" w:cs="Times New Roman"/>
          <w:sz w:val="22"/>
          <w:szCs w:val="22"/>
        </w:rPr>
        <w:t xml:space="preserve">be </w:t>
      </w:r>
      <w:r w:rsidRPr="009C0C39">
        <w:rPr>
          <w:rFonts w:ascii="Franklin Gothic Book" w:hAnsi="Franklin Gothic Book" w:cs="Times New Roman"/>
          <w:sz w:val="22"/>
          <w:szCs w:val="22"/>
        </w:rPr>
        <w:t xml:space="preserve">far greater than the savings the </w:t>
      </w:r>
      <w:r w:rsidR="009B0F15" w:rsidRPr="009C0C39">
        <w:rPr>
          <w:rFonts w:ascii="Franklin Gothic Book" w:hAnsi="Franklin Gothic Book" w:cs="Times New Roman"/>
          <w:sz w:val="22"/>
          <w:szCs w:val="22"/>
        </w:rPr>
        <w:t xml:space="preserve">Ambulatory </w:t>
      </w:r>
      <w:r w:rsidRPr="009C0C39">
        <w:rPr>
          <w:rFonts w:ascii="Franklin Gothic Book" w:hAnsi="Franklin Gothic Book" w:cs="Times New Roman"/>
          <w:sz w:val="22"/>
          <w:szCs w:val="22"/>
        </w:rPr>
        <w:t>ICA projects from shifting care to the new ambulatory sites.</w:t>
      </w:r>
    </w:p>
    <w:p w14:paraId="25F369DD" w14:textId="130ED1DA" w:rsidR="0062704A" w:rsidRPr="009C0C39" w:rsidRDefault="0062704A" w:rsidP="009257C1">
      <w:pPr>
        <w:pStyle w:val="ListParagraph"/>
        <w:numPr>
          <w:ilvl w:val="0"/>
          <w:numId w:val="6"/>
        </w:numPr>
        <w:spacing w:before="240"/>
        <w:ind w:left="720"/>
        <w:contextualSpacing w:val="0"/>
        <w:rPr>
          <w:rFonts w:ascii="Franklin Gothic Book" w:hAnsi="Franklin Gothic Book" w:cs="Times New Roman"/>
          <w:sz w:val="22"/>
          <w:szCs w:val="22"/>
        </w:rPr>
      </w:pPr>
      <w:bookmarkStart w:id="31" w:name="_Hlk93867247"/>
      <w:r w:rsidRPr="009C0C39">
        <w:rPr>
          <w:rFonts w:ascii="Franklin Gothic Book" w:hAnsi="Franklin Gothic Book" w:cs="Times New Roman"/>
          <w:b/>
          <w:bCs/>
          <w:sz w:val="22"/>
          <w:szCs w:val="22"/>
        </w:rPr>
        <w:lastRenderedPageBreak/>
        <w:t>The ICAs minimize significant cost impacts identified within their own findings</w:t>
      </w:r>
      <w:r w:rsidRPr="009C0C39">
        <w:rPr>
          <w:rFonts w:ascii="Franklin Gothic Book" w:hAnsi="Franklin Gothic Book" w:cs="Times New Roman"/>
          <w:sz w:val="22"/>
          <w:szCs w:val="22"/>
        </w:rPr>
        <w:t xml:space="preserve">. The ICAs dismiss large spending increases as insignificant, particularly for the hospital expansions. For example, the </w:t>
      </w:r>
      <w:r w:rsidR="009B0F15" w:rsidRPr="009C0C39">
        <w:rPr>
          <w:rFonts w:ascii="Franklin Gothic Book" w:hAnsi="Franklin Gothic Book" w:cs="Times New Roman"/>
          <w:sz w:val="22"/>
          <w:szCs w:val="22"/>
        </w:rPr>
        <w:t xml:space="preserve">MGH </w:t>
      </w:r>
      <w:r w:rsidRPr="009C0C39">
        <w:rPr>
          <w:rFonts w:ascii="Franklin Gothic Book" w:hAnsi="Franklin Gothic Book" w:cs="Times New Roman"/>
          <w:sz w:val="22"/>
          <w:szCs w:val="22"/>
        </w:rPr>
        <w:t xml:space="preserve">ICA </w:t>
      </w:r>
      <w:r w:rsidR="00A70725" w:rsidRPr="009C0C39">
        <w:rPr>
          <w:rFonts w:ascii="Franklin Gothic Book" w:hAnsi="Franklin Gothic Book" w:cs="Times New Roman"/>
          <w:sz w:val="22"/>
          <w:szCs w:val="22"/>
        </w:rPr>
        <w:t xml:space="preserve">finds </w:t>
      </w:r>
      <w:r w:rsidRPr="009C0C39">
        <w:rPr>
          <w:rFonts w:ascii="Franklin Gothic Book" w:hAnsi="Franklin Gothic Book" w:cs="Times New Roman"/>
          <w:sz w:val="22"/>
          <w:szCs w:val="22"/>
        </w:rPr>
        <w:t xml:space="preserve">that spending would increase by </w:t>
      </w:r>
      <w:r w:rsidR="00D70A9B" w:rsidRPr="009C0C39">
        <w:rPr>
          <w:rFonts w:ascii="Franklin Gothic Book" w:hAnsi="Franklin Gothic Book" w:cs="Times New Roman"/>
          <w:sz w:val="22"/>
          <w:szCs w:val="22"/>
        </w:rPr>
        <w:t xml:space="preserve">an average of </w:t>
      </w:r>
      <w:r w:rsidRPr="009C0C39">
        <w:rPr>
          <w:rFonts w:ascii="Franklin Gothic Book" w:hAnsi="Franklin Gothic Book" w:cs="Times New Roman"/>
          <w:sz w:val="22"/>
          <w:szCs w:val="22"/>
        </w:rPr>
        <w:t xml:space="preserve">18% across services and payer types for patients anticipated to switch to receiving care at MGH, with spending for inpatient cancer services </w:t>
      </w:r>
      <w:r w:rsidR="002203F6">
        <w:rPr>
          <w:rFonts w:ascii="Franklin Gothic Book" w:hAnsi="Franklin Gothic Book" w:cs="Times New Roman"/>
          <w:sz w:val="22"/>
          <w:szCs w:val="22"/>
        </w:rPr>
        <w:t>specifically</w:t>
      </w:r>
      <w:r w:rsidR="002203F6"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increas</w:t>
      </w:r>
      <w:r w:rsidR="002203F6">
        <w:rPr>
          <w:rFonts w:ascii="Franklin Gothic Book" w:hAnsi="Franklin Gothic Book" w:cs="Times New Roman"/>
          <w:sz w:val="22"/>
          <w:szCs w:val="22"/>
        </w:rPr>
        <w:t>ing</w:t>
      </w:r>
      <w:r w:rsidRPr="009C0C39">
        <w:rPr>
          <w:rFonts w:ascii="Franklin Gothic Book" w:hAnsi="Franklin Gothic Book" w:cs="Times New Roman"/>
          <w:sz w:val="22"/>
          <w:szCs w:val="22"/>
        </w:rPr>
        <w:t xml:space="preserve"> of 38% across payer types. In the attached tables </w:t>
      </w:r>
      <w:r w:rsidR="009B0F15" w:rsidRPr="009C0C39">
        <w:rPr>
          <w:rFonts w:ascii="Franklin Gothic Book" w:hAnsi="Franklin Gothic Book" w:cs="Times New Roman"/>
          <w:sz w:val="22"/>
          <w:szCs w:val="22"/>
        </w:rPr>
        <w:t xml:space="preserve">that </w:t>
      </w:r>
      <w:r w:rsidRPr="009C0C39">
        <w:rPr>
          <w:rFonts w:ascii="Franklin Gothic Book" w:hAnsi="Franklin Gothic Book" w:cs="Times New Roman"/>
          <w:sz w:val="22"/>
          <w:szCs w:val="22"/>
        </w:rPr>
        <w:t xml:space="preserve">disaggregate </w:t>
      </w:r>
      <w:r w:rsidR="00044F4B" w:rsidRPr="009C0C39">
        <w:rPr>
          <w:rFonts w:ascii="Franklin Gothic Book" w:hAnsi="Franklin Gothic Book" w:cs="Times New Roman"/>
          <w:sz w:val="22"/>
          <w:szCs w:val="22"/>
        </w:rPr>
        <w:t xml:space="preserve">spending impacts </w:t>
      </w:r>
      <w:r w:rsidRPr="009C0C39">
        <w:rPr>
          <w:rFonts w:ascii="Franklin Gothic Book" w:hAnsi="Franklin Gothic Book" w:cs="Times New Roman"/>
          <w:sz w:val="22"/>
          <w:szCs w:val="22"/>
        </w:rPr>
        <w:t xml:space="preserve">by payer type, the ICA </w:t>
      </w:r>
      <w:r w:rsidR="002203F6">
        <w:rPr>
          <w:rFonts w:ascii="Franklin Gothic Book" w:hAnsi="Franklin Gothic Book" w:cs="Times New Roman"/>
          <w:sz w:val="22"/>
          <w:szCs w:val="22"/>
        </w:rPr>
        <w:t>identifies</w:t>
      </w:r>
      <w:r w:rsidR="002203F6"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much higher increases for specific services and payers, projecting that </w:t>
      </w:r>
      <w:r w:rsidR="000710DC" w:rsidRPr="009C0C39">
        <w:rPr>
          <w:rFonts w:ascii="Franklin Gothic Book" w:hAnsi="Franklin Gothic Book" w:cs="Times New Roman"/>
          <w:sz w:val="22"/>
          <w:szCs w:val="22"/>
        </w:rPr>
        <w:t>commercial payers would see a 33.8% increase for all inpatient c</w:t>
      </w:r>
      <w:r w:rsidR="00FE764D" w:rsidRPr="009C0C39">
        <w:rPr>
          <w:rFonts w:ascii="Franklin Gothic Book" w:hAnsi="Franklin Gothic Book" w:cs="Times New Roman"/>
          <w:sz w:val="22"/>
          <w:szCs w:val="22"/>
        </w:rPr>
        <w:t xml:space="preserve">are that would switch to MGH from other area providers and a 72.7% increase for inpatient cancer services. </w:t>
      </w:r>
      <w:r w:rsidRPr="009C0C39">
        <w:rPr>
          <w:rFonts w:ascii="Franklin Gothic Book" w:hAnsi="Franklin Gothic Book" w:cs="Times New Roman"/>
          <w:sz w:val="22"/>
          <w:szCs w:val="22"/>
        </w:rPr>
        <w:t>Medicare Advantage plans would see increases of 121.2% for inpatient cancer services</w:t>
      </w:r>
      <w:r w:rsidR="00455258" w:rsidRPr="009C0C39">
        <w:rPr>
          <w:rFonts w:ascii="Franklin Gothic Book" w:hAnsi="Franklin Gothic Book" w:cs="Times New Roman"/>
          <w:sz w:val="22"/>
          <w:szCs w:val="22"/>
        </w:rPr>
        <w:t xml:space="preserve"> for care switching to MGH</w:t>
      </w:r>
      <w:r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24"/>
      </w:r>
      <w:r w:rsidRPr="009C0C39">
        <w:rPr>
          <w:rFonts w:ascii="Franklin Gothic Book" w:hAnsi="Franklin Gothic Book" w:cs="Times New Roman"/>
          <w:sz w:val="22"/>
          <w:szCs w:val="22"/>
        </w:rPr>
        <w:t xml:space="preserve"> The Faulkner ICA </w:t>
      </w:r>
      <w:r w:rsidR="00A70725" w:rsidRPr="009C0C39">
        <w:rPr>
          <w:rFonts w:ascii="Franklin Gothic Book" w:hAnsi="Franklin Gothic Book" w:cs="Times New Roman"/>
          <w:sz w:val="22"/>
          <w:szCs w:val="22"/>
        </w:rPr>
        <w:t xml:space="preserve">finds </w:t>
      </w:r>
      <w:r w:rsidRPr="009C0C39">
        <w:rPr>
          <w:rFonts w:ascii="Franklin Gothic Book" w:hAnsi="Franklin Gothic Book" w:cs="Times New Roman"/>
          <w:sz w:val="22"/>
          <w:szCs w:val="22"/>
        </w:rPr>
        <w:t xml:space="preserve">that, for patients anticipated to switch to receiving outpatient MR scans at Faulkner, spending would likely increase by 11.3% overall, with </w:t>
      </w:r>
      <w:r w:rsidR="00455258" w:rsidRPr="009C0C39">
        <w:rPr>
          <w:rFonts w:ascii="Franklin Gothic Book" w:hAnsi="Franklin Gothic Book" w:cs="Times New Roman"/>
          <w:sz w:val="22"/>
          <w:szCs w:val="22"/>
        </w:rPr>
        <w:t>O</w:t>
      </w:r>
      <w:r w:rsidRPr="009C0C39">
        <w:rPr>
          <w:rFonts w:ascii="Franklin Gothic Book" w:hAnsi="Franklin Gothic Book" w:cs="Times New Roman"/>
          <w:sz w:val="22"/>
          <w:szCs w:val="22"/>
        </w:rPr>
        <w:t>riginal Medicare and Medicare Advantage plans seeing increases of 22.8%.</w:t>
      </w:r>
      <w:r w:rsidRPr="009C0C39">
        <w:rPr>
          <w:rStyle w:val="FootnoteReference"/>
          <w:rFonts w:ascii="Franklin Gothic Book" w:hAnsi="Franklin Gothic Book" w:cs="Times New Roman"/>
          <w:sz w:val="22"/>
          <w:szCs w:val="22"/>
        </w:rPr>
        <w:footnoteReference w:id="25"/>
      </w:r>
      <w:r w:rsidRPr="009C0C39">
        <w:rPr>
          <w:rFonts w:ascii="Franklin Gothic Book" w:hAnsi="Franklin Gothic Book" w:cs="Times New Roman"/>
          <w:sz w:val="22"/>
          <w:szCs w:val="22"/>
        </w:rPr>
        <w:t xml:space="preserve"> Yet the ICAs conclude that the projects </w:t>
      </w:r>
      <w:r w:rsidR="00455258" w:rsidRPr="009C0C39">
        <w:rPr>
          <w:rFonts w:ascii="Franklin Gothic Book" w:hAnsi="Franklin Gothic Book" w:cs="Times New Roman"/>
          <w:sz w:val="22"/>
          <w:szCs w:val="22"/>
        </w:rPr>
        <w:t>are</w:t>
      </w:r>
      <w:r w:rsidRPr="009C0C39">
        <w:rPr>
          <w:rFonts w:ascii="Franklin Gothic Book" w:hAnsi="Franklin Gothic Book" w:cs="Times New Roman"/>
          <w:sz w:val="22"/>
          <w:szCs w:val="22"/>
        </w:rPr>
        <w:t xml:space="preserve"> nonetheless consistent with the Commonwealth’s cost containment goals. All three ICAs also present spending impacts as percentage increases rather than dollar spending figures, generally </w:t>
      </w:r>
      <w:r w:rsidR="00455258" w:rsidRPr="009C0C39">
        <w:rPr>
          <w:rFonts w:ascii="Franklin Gothic Book" w:hAnsi="Franklin Gothic Book" w:cs="Times New Roman"/>
          <w:sz w:val="22"/>
          <w:szCs w:val="22"/>
        </w:rPr>
        <w:t xml:space="preserve">calculated </w:t>
      </w:r>
      <w:r w:rsidR="00FF47DA">
        <w:rPr>
          <w:rFonts w:ascii="Franklin Gothic Book" w:hAnsi="Franklin Gothic Book" w:cs="Times New Roman"/>
          <w:sz w:val="22"/>
          <w:szCs w:val="22"/>
        </w:rPr>
        <w:t>for</w:t>
      </w:r>
      <w:r w:rsidR="00FF47DA"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specific service</w:t>
      </w:r>
      <w:r w:rsidR="00455258" w:rsidRPr="009C0C39">
        <w:rPr>
          <w:rFonts w:ascii="Franklin Gothic Book" w:hAnsi="Franklin Gothic Book" w:cs="Times New Roman"/>
          <w:sz w:val="22"/>
          <w:szCs w:val="22"/>
        </w:rPr>
        <w:t xml:space="preserve"> lines</w:t>
      </w:r>
      <w:r w:rsidRPr="009C0C39">
        <w:rPr>
          <w:rFonts w:ascii="Franklin Gothic Book" w:hAnsi="Franklin Gothic Book" w:cs="Times New Roman"/>
          <w:sz w:val="22"/>
          <w:szCs w:val="22"/>
        </w:rPr>
        <w:t xml:space="preserve"> and often averaged across payer categories, </w:t>
      </w:r>
      <w:r w:rsidR="00E14372" w:rsidRPr="009C0C39">
        <w:rPr>
          <w:rFonts w:ascii="Franklin Gothic Book" w:hAnsi="Franklin Gothic Book" w:cs="Times New Roman"/>
          <w:sz w:val="22"/>
          <w:szCs w:val="22"/>
        </w:rPr>
        <w:t xml:space="preserve">making it </w:t>
      </w:r>
      <w:r w:rsidR="00CB0907" w:rsidRPr="009C0C39">
        <w:rPr>
          <w:rFonts w:ascii="Franklin Gothic Book" w:hAnsi="Franklin Gothic Book" w:cs="Times New Roman"/>
          <w:sz w:val="22"/>
          <w:szCs w:val="22"/>
        </w:rPr>
        <w:t xml:space="preserve">difficult to distinguish the often greater </w:t>
      </w:r>
      <w:r w:rsidRPr="009C0C39">
        <w:rPr>
          <w:rFonts w:ascii="Franklin Gothic Book" w:hAnsi="Franklin Gothic Book" w:cs="Times New Roman"/>
          <w:sz w:val="22"/>
          <w:szCs w:val="22"/>
        </w:rPr>
        <w:t xml:space="preserve">impacts </w:t>
      </w:r>
      <w:r w:rsidR="00CB0907" w:rsidRPr="009C0C39">
        <w:rPr>
          <w:rFonts w:ascii="Franklin Gothic Book" w:hAnsi="Franklin Gothic Book" w:cs="Times New Roman"/>
          <w:sz w:val="22"/>
          <w:szCs w:val="22"/>
        </w:rPr>
        <w:t xml:space="preserve">the ICAs project </w:t>
      </w:r>
      <w:r w:rsidRPr="009C0C39">
        <w:rPr>
          <w:rFonts w:ascii="Franklin Gothic Book" w:hAnsi="Franklin Gothic Book" w:cs="Times New Roman"/>
          <w:sz w:val="22"/>
          <w:szCs w:val="22"/>
        </w:rPr>
        <w:t>for commercial payers—</w:t>
      </w:r>
      <w:r w:rsidR="00455258" w:rsidRPr="009C0C39">
        <w:rPr>
          <w:rFonts w:ascii="Franklin Gothic Book" w:hAnsi="Franklin Gothic Book" w:cs="Times New Roman"/>
          <w:sz w:val="22"/>
          <w:szCs w:val="22"/>
        </w:rPr>
        <w:t xml:space="preserve">which more directly </w:t>
      </w:r>
      <w:r w:rsidR="00297250" w:rsidRPr="009C0C39">
        <w:rPr>
          <w:rFonts w:ascii="Franklin Gothic Book" w:hAnsi="Franklin Gothic Book" w:cs="Times New Roman"/>
          <w:sz w:val="22"/>
          <w:szCs w:val="22"/>
        </w:rPr>
        <w:t xml:space="preserve">impact </w:t>
      </w:r>
      <w:r w:rsidR="00455258" w:rsidRPr="009C0C39">
        <w:rPr>
          <w:rFonts w:ascii="Franklin Gothic Book" w:hAnsi="Franklin Gothic Book" w:cs="Times New Roman"/>
          <w:sz w:val="22"/>
          <w:szCs w:val="22"/>
        </w:rPr>
        <w:t>Massachusetts residents</w:t>
      </w:r>
      <w:r w:rsidR="00AB5100" w:rsidRPr="009C0C39">
        <w:rPr>
          <w:rFonts w:ascii="Franklin Gothic Book" w:hAnsi="Franklin Gothic Book" w:cs="Times New Roman"/>
          <w:sz w:val="22"/>
          <w:szCs w:val="22"/>
        </w:rPr>
        <w:t xml:space="preserve"> and businesses through higher insurance premiums</w:t>
      </w:r>
      <w:r w:rsidRPr="009C0C39">
        <w:rPr>
          <w:rFonts w:ascii="Franklin Gothic Book" w:hAnsi="Franklin Gothic Book" w:cs="Times New Roman"/>
          <w:sz w:val="22"/>
          <w:szCs w:val="22"/>
        </w:rPr>
        <w:t>—</w:t>
      </w:r>
      <w:r w:rsidR="00CB0907" w:rsidRPr="009C0C39">
        <w:rPr>
          <w:rFonts w:ascii="Franklin Gothic Book" w:hAnsi="Franklin Gothic Book" w:cs="Times New Roman"/>
          <w:sz w:val="22"/>
          <w:szCs w:val="22"/>
        </w:rPr>
        <w:t>from</w:t>
      </w:r>
      <w:r w:rsidRPr="009C0C39">
        <w:rPr>
          <w:rFonts w:ascii="Franklin Gothic Book" w:hAnsi="Franklin Gothic Book" w:cs="Times New Roman"/>
          <w:sz w:val="22"/>
          <w:szCs w:val="22"/>
        </w:rPr>
        <w:t xml:space="preserve"> impacts on Medicare and MassHealth </w:t>
      </w:r>
      <w:r w:rsidR="00CB0907" w:rsidRPr="009C0C39">
        <w:rPr>
          <w:rFonts w:ascii="Franklin Gothic Book" w:hAnsi="Franklin Gothic Book" w:cs="Times New Roman"/>
          <w:sz w:val="22"/>
          <w:szCs w:val="22"/>
        </w:rPr>
        <w:t xml:space="preserve">that </w:t>
      </w:r>
      <w:r w:rsidR="00455258" w:rsidRPr="009C0C39">
        <w:rPr>
          <w:rFonts w:ascii="Franklin Gothic Book" w:hAnsi="Franklin Gothic Book" w:cs="Times New Roman"/>
          <w:sz w:val="22"/>
          <w:szCs w:val="22"/>
        </w:rPr>
        <w:t xml:space="preserve">would </w:t>
      </w:r>
      <w:r w:rsidRPr="009C0C39">
        <w:rPr>
          <w:rFonts w:ascii="Franklin Gothic Book" w:hAnsi="Franklin Gothic Book" w:cs="Times New Roman"/>
          <w:sz w:val="22"/>
          <w:szCs w:val="22"/>
        </w:rPr>
        <w:t xml:space="preserve">generally be lower, particularly where prices are standardized and set administratively. </w:t>
      </w:r>
    </w:p>
    <w:bookmarkEnd w:id="31"/>
    <w:p w14:paraId="218B3097" w14:textId="5CE8C3B9" w:rsidR="0062704A" w:rsidRPr="009C0C39" w:rsidRDefault="0062704A" w:rsidP="009257C1">
      <w:pPr>
        <w:pStyle w:val="ListParagraph"/>
        <w:numPr>
          <w:ilvl w:val="0"/>
          <w:numId w:val="6"/>
        </w:numPr>
        <w:spacing w:before="240"/>
        <w:ind w:left="72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The ICAs </w:t>
      </w:r>
      <w:r w:rsidR="00E14372" w:rsidRPr="009C0C39">
        <w:rPr>
          <w:rFonts w:ascii="Franklin Gothic Book" w:hAnsi="Franklin Gothic Book" w:cs="Times New Roman"/>
          <w:b/>
          <w:bCs/>
          <w:sz w:val="22"/>
          <w:szCs w:val="22"/>
        </w:rPr>
        <w:t xml:space="preserve">do </w:t>
      </w:r>
      <w:r w:rsidRPr="009C0C39">
        <w:rPr>
          <w:rFonts w:ascii="Franklin Gothic Book" w:hAnsi="Franklin Gothic Book" w:cs="Times New Roman"/>
          <w:b/>
          <w:bCs/>
          <w:sz w:val="22"/>
          <w:szCs w:val="22"/>
        </w:rPr>
        <w:t>not consider important and relevant publicly</w:t>
      </w:r>
      <w:r w:rsidR="00A1474B" w:rsidRPr="009C0C39">
        <w:rPr>
          <w:rFonts w:ascii="Franklin Gothic Book" w:hAnsi="Franklin Gothic Book" w:cs="Times New Roman"/>
          <w:b/>
          <w:bCs/>
          <w:sz w:val="22"/>
          <w:szCs w:val="22"/>
        </w:rPr>
        <w:t xml:space="preserve"> </w:t>
      </w:r>
      <w:r w:rsidRPr="009C0C39">
        <w:rPr>
          <w:rFonts w:ascii="Franklin Gothic Book" w:hAnsi="Franklin Gothic Book" w:cs="Times New Roman"/>
          <w:b/>
          <w:bCs/>
          <w:sz w:val="22"/>
          <w:szCs w:val="22"/>
        </w:rPr>
        <w:t>available information</w:t>
      </w:r>
      <w:r w:rsidRPr="009C0C39">
        <w:rPr>
          <w:rFonts w:ascii="Franklin Gothic Book" w:hAnsi="Franklin Gothic Book" w:cs="Times New Roman"/>
          <w:sz w:val="22"/>
          <w:szCs w:val="22"/>
        </w:rPr>
        <w:t xml:space="preserve">. Most notably, the Ambulatory ICA does not address or incorporate the </w:t>
      </w:r>
      <w:r w:rsidR="00BA73E2" w:rsidRPr="009C0C39">
        <w:rPr>
          <w:rFonts w:ascii="Franklin Gothic Book" w:hAnsi="Franklin Gothic Book" w:cs="Times New Roman"/>
          <w:sz w:val="22"/>
          <w:szCs w:val="22"/>
        </w:rPr>
        <w:t xml:space="preserve">information made public in the </w:t>
      </w:r>
      <w:r w:rsidRPr="009C0C39">
        <w:rPr>
          <w:rFonts w:ascii="Franklin Gothic Book" w:hAnsi="Franklin Gothic Book" w:cs="Times New Roman"/>
          <w:sz w:val="22"/>
          <w:szCs w:val="22"/>
        </w:rPr>
        <w:t>MGB Internal Document Disclosures documenting that MGB expects its larger multi-year ambulatory expansion plan, of which the three ambulatory sites are part, to result in significant increases in inpatient hospital market share and covered lives, as well as significant new revenue to its system, including new hospital margin that would outweigh any losses from diverting care to lower</w:t>
      </w:r>
      <w:r w:rsidR="00445C4B">
        <w:rPr>
          <w:rFonts w:ascii="Franklin Gothic Book" w:hAnsi="Franklin Gothic Book" w:cs="Times New Roman"/>
          <w:sz w:val="22"/>
          <w:szCs w:val="22"/>
        </w:rPr>
        <w:t>-</w:t>
      </w:r>
      <w:r w:rsidRPr="009C0C39">
        <w:rPr>
          <w:rFonts w:ascii="Franklin Gothic Book" w:hAnsi="Franklin Gothic Book" w:cs="Times New Roman"/>
          <w:sz w:val="22"/>
          <w:szCs w:val="22"/>
        </w:rPr>
        <w:t>cost ambulatory settings. Nor does that ICA incorporate information on volume projections and staffing projections for the three ambulatory sites that were included in the MGB Internal Document Disclosures.</w:t>
      </w:r>
    </w:p>
    <w:p w14:paraId="73D3C8C0" w14:textId="68A96F37" w:rsidR="0062704A" w:rsidRPr="009C0C39" w:rsidRDefault="0062704A" w:rsidP="009257C1">
      <w:pPr>
        <w:pStyle w:val="ListParagraph"/>
        <w:numPr>
          <w:ilvl w:val="0"/>
          <w:numId w:val="6"/>
        </w:numPr>
        <w:spacing w:before="240"/>
        <w:ind w:left="72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Finally, the ICAs are missing key context about the current state of the health care market in Massachusetts. </w:t>
      </w:r>
      <w:r w:rsidRPr="009C0C39">
        <w:rPr>
          <w:rFonts w:ascii="Franklin Gothic Book" w:hAnsi="Franklin Gothic Book" w:cs="Times New Roman"/>
          <w:sz w:val="22"/>
          <w:szCs w:val="22"/>
        </w:rPr>
        <w:t>This context</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is essential for understanding the impact of the proposed projects on health care spending and market functioning. The ICAs do not address the impact of MGB’s historic position as the largest and generally highest</w:t>
      </w:r>
      <w:r w:rsidR="009B0F15"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priced provider system in Massachusetts, or of its </w:t>
      </w:r>
      <w:r w:rsidR="00BC6F21">
        <w:rPr>
          <w:rFonts w:ascii="Franklin Gothic Book" w:hAnsi="Franklin Gothic Book" w:cs="Times New Roman"/>
          <w:sz w:val="22"/>
          <w:szCs w:val="22"/>
        </w:rPr>
        <w:t>other</w:t>
      </w:r>
      <w:r w:rsidR="00BC6F21"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recent expansions. The ICAs also characterize MGB as a market entrant, particularly in the Ambulatory ICA, despite the fact that MGB already has significant market share in the ambulatory service areas, and contrary to the evidence that the expansions are part of an explicit effort to grow market share by a provider system that already </w:t>
      </w:r>
      <w:r w:rsidR="00A1474B" w:rsidRPr="009C0C39">
        <w:rPr>
          <w:rFonts w:ascii="Franklin Gothic Book" w:hAnsi="Franklin Gothic Book" w:cs="Times New Roman"/>
          <w:sz w:val="22"/>
          <w:szCs w:val="22"/>
        </w:rPr>
        <w:t xml:space="preserve">generally </w:t>
      </w:r>
      <w:r w:rsidRPr="009C0C39">
        <w:rPr>
          <w:rFonts w:ascii="Franklin Gothic Book" w:hAnsi="Franklin Gothic Book" w:cs="Times New Roman"/>
          <w:sz w:val="22"/>
          <w:szCs w:val="22"/>
        </w:rPr>
        <w:t xml:space="preserve">has the highest market share in the state. The ICAs also rely on academic literature to assert that increased capacity will reduce prices, while failing to acknowledge that MGB </w:t>
      </w:r>
      <w:r w:rsidR="00A1474B" w:rsidRPr="009C0C39">
        <w:rPr>
          <w:rFonts w:ascii="Franklin Gothic Book" w:hAnsi="Franklin Gothic Book" w:cs="Times New Roman"/>
          <w:sz w:val="22"/>
          <w:szCs w:val="22"/>
        </w:rPr>
        <w:t xml:space="preserve">prices have continued to increase and remain among the highest in Massachusetts despite increases in </w:t>
      </w:r>
      <w:r w:rsidRPr="009C0C39">
        <w:rPr>
          <w:rFonts w:ascii="Franklin Gothic Book" w:hAnsi="Franklin Gothic Book" w:cs="Times New Roman"/>
          <w:sz w:val="22"/>
          <w:szCs w:val="22"/>
        </w:rPr>
        <w:t xml:space="preserve">capacity </w:t>
      </w:r>
      <w:r w:rsidR="00A1474B" w:rsidRPr="009C0C39">
        <w:rPr>
          <w:rFonts w:ascii="Franklin Gothic Book" w:hAnsi="Franklin Gothic Book" w:cs="Times New Roman"/>
          <w:sz w:val="22"/>
          <w:szCs w:val="22"/>
        </w:rPr>
        <w:t xml:space="preserve">in the MGB system </w:t>
      </w:r>
      <w:r w:rsidRPr="009C0C39">
        <w:rPr>
          <w:rFonts w:ascii="Franklin Gothic Book" w:hAnsi="Franklin Gothic Book" w:cs="Times New Roman"/>
          <w:sz w:val="22"/>
          <w:szCs w:val="22"/>
        </w:rPr>
        <w:t>in recent years.</w:t>
      </w:r>
    </w:p>
    <w:bookmarkEnd w:id="30"/>
    <w:p w14:paraId="1EC95AEC" w14:textId="4FB69C54" w:rsidR="0062704A" w:rsidRPr="009C0C39" w:rsidRDefault="0062704A" w:rsidP="0062704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In addition to these concerns, many of the methodologies used in the ICAs, while facially reasonable, lack the level of detail on assumptions and calculations for the HPC to fully assess their validity. </w:t>
      </w:r>
      <w:r w:rsidR="00E24BF2" w:rsidRPr="009C0C39">
        <w:rPr>
          <w:rFonts w:ascii="Franklin Gothic Book" w:hAnsi="Franklin Gothic Book" w:cs="Times New Roman"/>
          <w:sz w:val="22"/>
          <w:szCs w:val="22"/>
        </w:rPr>
        <w:t xml:space="preserve">A full listing of </w:t>
      </w:r>
      <w:r w:rsidRPr="009C0C39">
        <w:rPr>
          <w:rFonts w:ascii="Franklin Gothic Book" w:hAnsi="Franklin Gothic Book" w:cs="Times New Roman"/>
          <w:sz w:val="22"/>
          <w:szCs w:val="22"/>
        </w:rPr>
        <w:t xml:space="preserve">the HPC’s key methodological questions and concerns is attached as </w:t>
      </w:r>
      <w:hyperlink w:anchor="Appendix_IB" w:history="1">
        <w:r w:rsidRPr="009C0C39">
          <w:rPr>
            <w:rStyle w:val="Hyperlink"/>
            <w:rFonts w:ascii="Franklin Gothic Book" w:hAnsi="Franklin Gothic Book" w:cs="Times New Roman"/>
            <w:sz w:val="22"/>
            <w:szCs w:val="22"/>
          </w:rPr>
          <w:t>Appendix I.B</w:t>
        </w:r>
      </w:hyperlink>
      <w:r w:rsidRPr="009C0C39">
        <w:rPr>
          <w:rFonts w:ascii="Franklin Gothic Book" w:hAnsi="Franklin Gothic Book" w:cs="Times New Roman"/>
          <w:sz w:val="22"/>
          <w:szCs w:val="22"/>
        </w:rPr>
        <w:t xml:space="preserve">. </w:t>
      </w:r>
    </w:p>
    <w:p w14:paraId="1B5AD519" w14:textId="7BF50447" w:rsidR="0062704A" w:rsidRPr="009C0C39" w:rsidRDefault="0062704A" w:rsidP="0062704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The remainder of this comment details the HPC’s findings regarding the three proposed expansions, with comments regarding the relationship between the HPC’s findings and those of the ICAs where applicable.</w:t>
      </w:r>
    </w:p>
    <w:p w14:paraId="6E59F6CB" w14:textId="7600F9C0" w:rsidR="00195D02" w:rsidRPr="009C0C39" w:rsidRDefault="00195D02" w:rsidP="00871984">
      <w:pPr>
        <w:keepNext/>
        <w:rPr>
          <w:rFonts w:ascii="Franklin Gothic Book" w:hAnsi="Franklin Gothic Book" w:cs="Times New Roman"/>
          <w:b/>
          <w:smallCaps/>
        </w:rPr>
      </w:pPr>
    </w:p>
    <w:p w14:paraId="1E7A3B8E" w14:textId="524B735A" w:rsidR="002D50A5" w:rsidRPr="009C0C39" w:rsidRDefault="002D50A5">
      <w:pPr>
        <w:spacing w:after="160" w:line="259" w:lineRule="auto"/>
        <w:rPr>
          <w:rFonts w:ascii="Franklin Gothic Book" w:hAnsi="Franklin Gothic Book" w:cs="Times New Roman"/>
          <w:b/>
          <w:smallCaps/>
        </w:rPr>
      </w:pPr>
      <w:r w:rsidRPr="009C0C39">
        <w:rPr>
          <w:rFonts w:ascii="Franklin Gothic Book" w:hAnsi="Franklin Gothic Book" w:cs="Times New Roman"/>
          <w:b/>
          <w:smallCaps/>
        </w:rPr>
        <w:br w:type="page"/>
      </w:r>
    </w:p>
    <w:p w14:paraId="3BA82518" w14:textId="007FDF17" w:rsidR="00871984" w:rsidRPr="009C0C39" w:rsidRDefault="00DF371D" w:rsidP="00EC1B46">
      <w:pPr>
        <w:pStyle w:val="Heading2"/>
      </w:pPr>
      <w:r w:rsidRPr="009C0C39">
        <w:lastRenderedPageBreak/>
        <w:t>Background: MGB and the Current Provider Landscape in Massachusetts</w:t>
      </w:r>
    </w:p>
    <w:p w14:paraId="1E203E39" w14:textId="22CF1D81" w:rsidR="00135D6F" w:rsidRPr="009C0C39" w:rsidRDefault="00AB5100" w:rsidP="00C97BA5">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To</w:t>
      </w:r>
      <w:r w:rsidR="00FD6060" w:rsidRPr="009C0C39">
        <w:rPr>
          <w:rFonts w:ascii="Franklin Gothic Book" w:hAnsi="Franklin Gothic Book" w:cs="Times New Roman"/>
          <w:sz w:val="22"/>
          <w:szCs w:val="22"/>
        </w:rPr>
        <w:t xml:space="preserve"> fully understand the impact of the three proposed expansions, it is important to consider the current provider landscape in Massachusetts and how Mass General Brigham</w:t>
      </w:r>
      <w:r w:rsidR="00445C4B">
        <w:rPr>
          <w:rFonts w:ascii="Franklin Gothic Book" w:hAnsi="Franklin Gothic Book" w:cs="Times New Roman"/>
          <w:sz w:val="22"/>
          <w:szCs w:val="22"/>
        </w:rPr>
        <w:t xml:space="preserve"> (MGB)</w:t>
      </w:r>
      <w:r w:rsidR="00FD6060" w:rsidRPr="009C0C39">
        <w:rPr>
          <w:rFonts w:ascii="Franklin Gothic Book" w:hAnsi="Franklin Gothic Book" w:cs="Times New Roman"/>
          <w:sz w:val="22"/>
          <w:szCs w:val="22"/>
        </w:rPr>
        <w:t xml:space="preserve"> fits into that landscape</w:t>
      </w:r>
      <w:r w:rsidR="00293B8F" w:rsidRPr="009C0C39">
        <w:rPr>
          <w:rFonts w:ascii="Franklin Gothic Book" w:hAnsi="Franklin Gothic Book" w:cs="Times New Roman"/>
          <w:sz w:val="22"/>
          <w:szCs w:val="22"/>
        </w:rPr>
        <w:t>, specifically</w:t>
      </w:r>
      <w:r w:rsidR="0083705D" w:rsidRPr="009C0C39">
        <w:rPr>
          <w:rFonts w:ascii="Franklin Gothic Book" w:hAnsi="Franklin Gothic Book" w:cs="Times New Roman"/>
          <w:sz w:val="22"/>
          <w:szCs w:val="22"/>
        </w:rPr>
        <w:t>:</w:t>
      </w:r>
    </w:p>
    <w:p w14:paraId="08D8A39D" w14:textId="50DCA98A" w:rsidR="00C30E70" w:rsidRPr="009C0C39" w:rsidRDefault="0083705D" w:rsidP="009257C1">
      <w:pPr>
        <w:pStyle w:val="ListParagraph"/>
        <w:numPr>
          <w:ilvl w:val="0"/>
          <w:numId w:val="8"/>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MGB is </w:t>
      </w:r>
      <w:r w:rsidR="00C910C1" w:rsidRPr="009C0C39">
        <w:rPr>
          <w:rFonts w:ascii="Franklin Gothic Book" w:hAnsi="Franklin Gothic Book" w:cs="Times New Roman"/>
          <w:b/>
          <w:bCs/>
          <w:sz w:val="22"/>
          <w:szCs w:val="22"/>
        </w:rPr>
        <w:t xml:space="preserve">already </w:t>
      </w:r>
      <w:r w:rsidRPr="009C0C39">
        <w:rPr>
          <w:rFonts w:ascii="Franklin Gothic Book" w:hAnsi="Franklin Gothic Book" w:cs="Times New Roman"/>
          <w:b/>
          <w:bCs/>
          <w:sz w:val="22"/>
          <w:szCs w:val="22"/>
        </w:rPr>
        <w:t>the largest provider system in Massachusetts</w:t>
      </w:r>
      <w:r w:rsidR="005F0C2E" w:rsidRPr="009C0C39">
        <w:rPr>
          <w:rFonts w:ascii="Franklin Gothic Book" w:hAnsi="Franklin Gothic Book" w:cs="Times New Roman"/>
          <w:b/>
          <w:bCs/>
          <w:sz w:val="22"/>
          <w:szCs w:val="22"/>
        </w:rPr>
        <w:t xml:space="preserve">, </w:t>
      </w:r>
      <w:r w:rsidR="005F0C2E" w:rsidRPr="009C0C39">
        <w:rPr>
          <w:rFonts w:ascii="Franklin Gothic Book" w:hAnsi="Franklin Gothic Book" w:cs="Times New Roman"/>
          <w:sz w:val="22"/>
          <w:szCs w:val="22"/>
        </w:rPr>
        <w:t>with the</w:t>
      </w:r>
      <w:r w:rsidR="005F0C2E" w:rsidRPr="009C0C39">
        <w:rPr>
          <w:rFonts w:ascii="Franklin Gothic Book" w:hAnsi="Franklin Gothic Book" w:cs="Times New Roman"/>
          <w:b/>
          <w:bCs/>
          <w:sz w:val="22"/>
          <w:szCs w:val="22"/>
        </w:rPr>
        <w:t xml:space="preserve"> </w:t>
      </w:r>
      <w:r w:rsidR="004A7FC8" w:rsidRPr="009C0C39">
        <w:rPr>
          <w:rFonts w:ascii="Franklin Gothic Book" w:hAnsi="Franklin Gothic Book" w:cs="Times New Roman"/>
          <w:sz w:val="22"/>
          <w:szCs w:val="22"/>
        </w:rPr>
        <w:t xml:space="preserve">highest share of revenue for </w:t>
      </w:r>
      <w:r w:rsidR="00FF6702" w:rsidRPr="009C0C39">
        <w:rPr>
          <w:rFonts w:ascii="Franklin Gothic Book" w:hAnsi="Franklin Gothic Book" w:cs="Times New Roman"/>
          <w:sz w:val="22"/>
          <w:szCs w:val="22"/>
        </w:rPr>
        <w:t>inpatient, outpatient</w:t>
      </w:r>
      <w:r w:rsidR="00164F43" w:rsidRPr="009C0C39">
        <w:rPr>
          <w:rFonts w:ascii="Franklin Gothic Book" w:hAnsi="Franklin Gothic Book" w:cs="Times New Roman"/>
          <w:sz w:val="22"/>
          <w:szCs w:val="22"/>
        </w:rPr>
        <w:t>,</w:t>
      </w:r>
      <w:r w:rsidR="00FF6702" w:rsidRPr="009C0C39">
        <w:rPr>
          <w:rFonts w:ascii="Franklin Gothic Book" w:hAnsi="Franklin Gothic Book" w:cs="Times New Roman"/>
          <w:sz w:val="22"/>
          <w:szCs w:val="22"/>
        </w:rPr>
        <w:t xml:space="preserve"> and physician services in the state, and generally the highest share by volume.</w:t>
      </w:r>
      <w:r w:rsidR="00BD3BE7" w:rsidRPr="009C0C39">
        <w:rPr>
          <w:rStyle w:val="FootnoteReference"/>
          <w:rFonts w:ascii="Franklin Gothic Book" w:hAnsi="Franklin Gothic Book" w:cs="Times New Roman"/>
          <w:sz w:val="22"/>
          <w:szCs w:val="22"/>
        </w:rPr>
        <w:footnoteReference w:id="26"/>
      </w:r>
      <w:r w:rsidR="00FF6702" w:rsidRPr="009C0C39">
        <w:rPr>
          <w:rFonts w:ascii="Franklin Gothic Book" w:hAnsi="Franklin Gothic Book" w:cs="Times New Roman"/>
          <w:sz w:val="22"/>
          <w:szCs w:val="22"/>
        </w:rPr>
        <w:t xml:space="preserve"> It also has significant market share in each of the service areas in which it is proposing to expand</w:t>
      </w:r>
      <w:bookmarkStart w:id="32" w:name="_Ref93603711"/>
      <w:r w:rsidR="00DE2A53" w:rsidRPr="009C0C39">
        <w:rPr>
          <w:rStyle w:val="FootnoteReference"/>
          <w:rFonts w:ascii="Franklin Gothic Book" w:hAnsi="Franklin Gothic Book" w:cs="Times New Roman"/>
          <w:sz w:val="22"/>
          <w:szCs w:val="22"/>
        </w:rPr>
        <w:footnoteReference w:id="27"/>
      </w:r>
      <w:bookmarkEnd w:id="32"/>
      <w:r w:rsidR="00FA1334" w:rsidRPr="009C0C39">
        <w:rPr>
          <w:rFonts w:ascii="Franklin Gothic Book" w:hAnsi="Franklin Gothic Book" w:cs="Times New Roman"/>
          <w:sz w:val="22"/>
          <w:szCs w:val="22"/>
        </w:rPr>
        <w:t xml:space="preserve"> </w:t>
      </w:r>
      <w:r w:rsidR="00EC02EE" w:rsidRPr="009C0C39">
        <w:rPr>
          <w:rFonts w:ascii="Franklin Gothic Book" w:hAnsi="Franklin Gothic Book" w:cs="Times New Roman"/>
          <w:sz w:val="22"/>
          <w:szCs w:val="22"/>
        </w:rPr>
        <w:t>and has been expanding more than other provider systems in recent years</w:t>
      </w:r>
      <w:r w:rsidR="00FF6702" w:rsidRPr="009C0C39">
        <w:rPr>
          <w:rFonts w:ascii="Franklin Gothic Book" w:hAnsi="Franklin Gothic Book" w:cs="Times New Roman"/>
          <w:sz w:val="22"/>
          <w:szCs w:val="22"/>
        </w:rPr>
        <w:t>.</w:t>
      </w:r>
      <w:r w:rsidR="00DE2A53" w:rsidRPr="009C0C39">
        <w:rPr>
          <w:rStyle w:val="FootnoteReference"/>
          <w:rFonts w:ascii="Franklin Gothic Book" w:hAnsi="Franklin Gothic Book" w:cs="Times New Roman"/>
          <w:sz w:val="22"/>
          <w:szCs w:val="22"/>
        </w:rPr>
        <w:footnoteReference w:id="28"/>
      </w:r>
      <w:r w:rsidR="00FF6702" w:rsidRPr="009C0C39">
        <w:rPr>
          <w:rFonts w:ascii="Franklin Gothic Book" w:hAnsi="Franklin Gothic Book" w:cs="Times New Roman"/>
          <w:sz w:val="22"/>
          <w:szCs w:val="22"/>
        </w:rPr>
        <w:t xml:space="preserve"> </w:t>
      </w:r>
      <w:r w:rsidR="00460C3D" w:rsidRPr="009C0C39">
        <w:rPr>
          <w:rFonts w:ascii="Franklin Gothic Book" w:hAnsi="Franklin Gothic Book" w:cs="Times New Roman"/>
          <w:sz w:val="22"/>
          <w:szCs w:val="22"/>
        </w:rPr>
        <w:t>Given t</w:t>
      </w:r>
      <w:r w:rsidR="00EC02EE" w:rsidRPr="009C0C39">
        <w:rPr>
          <w:rFonts w:ascii="Franklin Gothic Book" w:hAnsi="Franklin Gothic Book" w:cs="Times New Roman"/>
          <w:sz w:val="22"/>
          <w:szCs w:val="22"/>
        </w:rPr>
        <w:t xml:space="preserve">hese </w:t>
      </w:r>
      <w:r w:rsidR="004A7FC8" w:rsidRPr="009C0C39">
        <w:rPr>
          <w:rFonts w:ascii="Franklin Gothic Book" w:hAnsi="Franklin Gothic Book" w:cs="Times New Roman"/>
          <w:sz w:val="22"/>
          <w:szCs w:val="22"/>
        </w:rPr>
        <w:t>fact</w:t>
      </w:r>
      <w:r w:rsidR="00EC02EE" w:rsidRPr="009C0C39">
        <w:rPr>
          <w:rFonts w:ascii="Franklin Gothic Book" w:hAnsi="Franklin Gothic Book" w:cs="Times New Roman"/>
          <w:sz w:val="22"/>
          <w:szCs w:val="22"/>
        </w:rPr>
        <w:t>s</w:t>
      </w:r>
      <w:r w:rsidR="00460C3D" w:rsidRPr="009C0C39">
        <w:rPr>
          <w:rFonts w:ascii="Franklin Gothic Book" w:hAnsi="Franklin Gothic Book" w:cs="Times New Roman"/>
          <w:sz w:val="22"/>
          <w:szCs w:val="22"/>
        </w:rPr>
        <w:t>,</w:t>
      </w:r>
      <w:r w:rsidR="004A7FC8" w:rsidRPr="009C0C39">
        <w:rPr>
          <w:rFonts w:ascii="Franklin Gothic Book" w:hAnsi="Franklin Gothic Book" w:cs="Times New Roman"/>
          <w:sz w:val="22"/>
          <w:szCs w:val="22"/>
        </w:rPr>
        <w:t xml:space="preserve"> </w:t>
      </w:r>
      <w:r w:rsidR="00460C3D" w:rsidRPr="009C0C39">
        <w:rPr>
          <w:rFonts w:ascii="Franklin Gothic Book" w:hAnsi="Franklin Gothic Book" w:cs="Times New Roman"/>
          <w:sz w:val="22"/>
          <w:szCs w:val="22"/>
        </w:rPr>
        <w:t>n</w:t>
      </w:r>
      <w:r w:rsidR="002D4E84" w:rsidRPr="009C0C39">
        <w:rPr>
          <w:rFonts w:ascii="Franklin Gothic Book" w:hAnsi="Franklin Gothic Book" w:cs="Times New Roman"/>
          <w:sz w:val="22"/>
          <w:szCs w:val="22"/>
        </w:rPr>
        <w:t xml:space="preserve">one of the expansions </w:t>
      </w:r>
      <w:r w:rsidR="004A7FC8" w:rsidRPr="009C0C39">
        <w:rPr>
          <w:rFonts w:ascii="Franklin Gothic Book" w:hAnsi="Franklin Gothic Book" w:cs="Times New Roman"/>
          <w:sz w:val="22"/>
          <w:szCs w:val="22"/>
        </w:rPr>
        <w:t xml:space="preserve">can properly be considered </w:t>
      </w:r>
      <w:r w:rsidR="002D4E84" w:rsidRPr="009C0C39">
        <w:rPr>
          <w:rFonts w:ascii="Franklin Gothic Book" w:hAnsi="Franklin Gothic Book" w:cs="Times New Roman"/>
          <w:sz w:val="22"/>
          <w:szCs w:val="22"/>
        </w:rPr>
        <w:t xml:space="preserve">“entry” by a new provider, but </w:t>
      </w:r>
      <w:r w:rsidR="004A7FC8" w:rsidRPr="009C0C39">
        <w:rPr>
          <w:rFonts w:ascii="Franklin Gothic Book" w:hAnsi="Franklin Gothic Book" w:cs="Times New Roman"/>
          <w:sz w:val="22"/>
          <w:szCs w:val="22"/>
        </w:rPr>
        <w:t xml:space="preserve">rather </w:t>
      </w:r>
      <w:r w:rsidR="002D4E84" w:rsidRPr="009C0C39">
        <w:rPr>
          <w:rFonts w:ascii="Franklin Gothic Book" w:hAnsi="Franklin Gothic Book" w:cs="Times New Roman"/>
          <w:sz w:val="22"/>
          <w:szCs w:val="22"/>
        </w:rPr>
        <w:t xml:space="preserve">expansion of </w:t>
      </w:r>
      <w:r w:rsidR="006E2996" w:rsidRPr="009C0C39">
        <w:rPr>
          <w:rFonts w:ascii="Franklin Gothic Book" w:hAnsi="Franklin Gothic Book" w:cs="Times New Roman"/>
          <w:sz w:val="22"/>
          <w:szCs w:val="22"/>
        </w:rPr>
        <w:t xml:space="preserve">and an expectation of increased market share by </w:t>
      </w:r>
      <w:r w:rsidR="002D4E84" w:rsidRPr="009C0C39">
        <w:rPr>
          <w:rFonts w:ascii="Franklin Gothic Book" w:hAnsi="Franklin Gothic Book" w:cs="Times New Roman"/>
          <w:sz w:val="22"/>
          <w:szCs w:val="22"/>
        </w:rPr>
        <w:t xml:space="preserve">the largest provider system, which </w:t>
      </w:r>
      <w:r w:rsidR="00FA1334" w:rsidRPr="009C0C39">
        <w:rPr>
          <w:rFonts w:ascii="Franklin Gothic Book" w:hAnsi="Franklin Gothic Book" w:cs="Times New Roman"/>
          <w:sz w:val="22"/>
          <w:szCs w:val="22"/>
        </w:rPr>
        <w:t xml:space="preserve">already </w:t>
      </w:r>
      <w:r w:rsidR="002D4E84" w:rsidRPr="009C0C39">
        <w:rPr>
          <w:rFonts w:ascii="Franklin Gothic Book" w:hAnsi="Franklin Gothic Book" w:cs="Times New Roman"/>
          <w:sz w:val="22"/>
          <w:szCs w:val="22"/>
        </w:rPr>
        <w:t>has significant market power</w:t>
      </w:r>
      <w:r w:rsidR="004A7FC8" w:rsidRPr="009C0C39">
        <w:rPr>
          <w:rFonts w:ascii="Franklin Gothic Book" w:hAnsi="Franklin Gothic Book" w:cs="Times New Roman"/>
          <w:sz w:val="22"/>
          <w:szCs w:val="22"/>
        </w:rPr>
        <w:t>.</w:t>
      </w:r>
      <w:r w:rsidR="00DE2A53" w:rsidRPr="009C0C39">
        <w:rPr>
          <w:rStyle w:val="FootnoteReference"/>
          <w:rFonts w:ascii="Franklin Gothic Book" w:hAnsi="Franklin Gothic Book" w:cs="Times New Roman"/>
          <w:sz w:val="22"/>
          <w:szCs w:val="22"/>
        </w:rPr>
        <w:footnoteReference w:id="29"/>
      </w:r>
    </w:p>
    <w:p w14:paraId="64BBCB2F" w14:textId="1B4FA091" w:rsidR="00C30E70" w:rsidRPr="009C0C39" w:rsidRDefault="0083705D" w:rsidP="009257C1">
      <w:pPr>
        <w:pStyle w:val="ListParagraph"/>
        <w:numPr>
          <w:ilvl w:val="0"/>
          <w:numId w:val="8"/>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MGB’s </w:t>
      </w:r>
      <w:r w:rsidR="005B41B5" w:rsidRPr="009C0C39">
        <w:rPr>
          <w:rFonts w:ascii="Franklin Gothic Book" w:hAnsi="Franklin Gothic Book" w:cs="Times New Roman"/>
          <w:b/>
          <w:bCs/>
          <w:sz w:val="22"/>
          <w:szCs w:val="22"/>
        </w:rPr>
        <w:t xml:space="preserve">commercial </w:t>
      </w:r>
      <w:r w:rsidRPr="009C0C39">
        <w:rPr>
          <w:rFonts w:ascii="Franklin Gothic Book" w:hAnsi="Franklin Gothic Book" w:cs="Times New Roman"/>
          <w:b/>
          <w:bCs/>
          <w:sz w:val="22"/>
          <w:szCs w:val="22"/>
        </w:rPr>
        <w:t xml:space="preserve">prices </w:t>
      </w:r>
      <w:r w:rsidR="002D4E84" w:rsidRPr="009C0C39">
        <w:rPr>
          <w:rFonts w:ascii="Franklin Gothic Book" w:hAnsi="Franklin Gothic Book" w:cs="Times New Roman"/>
          <w:b/>
          <w:bCs/>
          <w:sz w:val="22"/>
          <w:szCs w:val="22"/>
        </w:rPr>
        <w:t>are already higher – often significantly – than nearly all other providers in Massachusetts.</w:t>
      </w:r>
      <w:r w:rsidR="002D4E84" w:rsidRPr="009C0C39">
        <w:rPr>
          <w:rFonts w:ascii="Franklin Gothic Book" w:hAnsi="Franklin Gothic Book" w:cs="Times New Roman"/>
          <w:sz w:val="22"/>
          <w:szCs w:val="22"/>
        </w:rPr>
        <w:t xml:space="preserve"> </w:t>
      </w:r>
      <w:r w:rsidR="007E1CD4" w:rsidRPr="009C0C39">
        <w:rPr>
          <w:rFonts w:ascii="Franklin Gothic Book" w:hAnsi="Franklin Gothic Book" w:cs="Times New Roman"/>
          <w:sz w:val="22"/>
          <w:szCs w:val="22"/>
        </w:rPr>
        <w:t>As the HPC and others have reported extensively, MGB has generally had higher commercial prices than most other providers in Massachusetts for many years.</w:t>
      </w:r>
      <w:bookmarkStart w:id="33" w:name="_Ref93003264"/>
      <w:r w:rsidR="007E1CD4" w:rsidRPr="009C0C39">
        <w:rPr>
          <w:rStyle w:val="FootnoteReference"/>
          <w:rFonts w:ascii="Franklin Gothic Book" w:hAnsi="Franklin Gothic Book" w:cs="Times New Roman"/>
          <w:sz w:val="22"/>
          <w:szCs w:val="22"/>
        </w:rPr>
        <w:footnoteReference w:id="30"/>
      </w:r>
      <w:bookmarkEnd w:id="33"/>
      <w:r w:rsidR="007E1CD4" w:rsidRPr="009C0C39">
        <w:rPr>
          <w:rFonts w:ascii="Franklin Gothic Book" w:hAnsi="Franklin Gothic Book" w:cs="Times New Roman"/>
          <w:sz w:val="22"/>
          <w:szCs w:val="22"/>
        </w:rPr>
        <w:t xml:space="preserve"> In the most recent year of data, </w:t>
      </w:r>
      <w:r w:rsidR="00FF6702" w:rsidRPr="009C0C39">
        <w:rPr>
          <w:rFonts w:ascii="Franklin Gothic Book" w:hAnsi="Franklin Gothic Book" w:cs="Times New Roman"/>
          <w:sz w:val="22"/>
          <w:szCs w:val="22"/>
        </w:rPr>
        <w:t xml:space="preserve">MGB’s </w:t>
      </w:r>
      <w:r w:rsidR="005B41B5" w:rsidRPr="009C0C39">
        <w:rPr>
          <w:rFonts w:ascii="Franklin Gothic Book" w:hAnsi="Franklin Gothic Book" w:cs="Times New Roman"/>
          <w:sz w:val="22"/>
          <w:szCs w:val="22"/>
        </w:rPr>
        <w:t xml:space="preserve">commercial </w:t>
      </w:r>
      <w:r w:rsidR="00FF6702" w:rsidRPr="009C0C39">
        <w:rPr>
          <w:rFonts w:ascii="Franklin Gothic Book" w:hAnsi="Franklin Gothic Book" w:cs="Times New Roman"/>
          <w:sz w:val="22"/>
          <w:szCs w:val="22"/>
        </w:rPr>
        <w:t xml:space="preserve">prices </w:t>
      </w:r>
      <w:r w:rsidRPr="009C0C39">
        <w:rPr>
          <w:rFonts w:ascii="Franklin Gothic Book" w:hAnsi="Franklin Gothic Book" w:cs="Times New Roman"/>
          <w:sz w:val="22"/>
          <w:szCs w:val="22"/>
        </w:rPr>
        <w:t xml:space="preserve">for </w:t>
      </w:r>
      <w:r w:rsidR="007E1CD4" w:rsidRPr="009C0C39">
        <w:rPr>
          <w:rFonts w:ascii="Franklin Gothic Book" w:hAnsi="Franklin Gothic Book" w:cs="Times New Roman"/>
          <w:sz w:val="22"/>
          <w:szCs w:val="22"/>
        </w:rPr>
        <w:t xml:space="preserve">hospital </w:t>
      </w:r>
      <w:r w:rsidRPr="009C0C39">
        <w:rPr>
          <w:rFonts w:ascii="Franklin Gothic Book" w:hAnsi="Franklin Gothic Book" w:cs="Times New Roman"/>
          <w:sz w:val="22"/>
          <w:szCs w:val="22"/>
        </w:rPr>
        <w:t xml:space="preserve">inpatient, hospital outpatient, and physician services </w:t>
      </w:r>
      <w:r w:rsidR="007E1CD4" w:rsidRPr="009C0C39">
        <w:rPr>
          <w:rFonts w:ascii="Franklin Gothic Book" w:hAnsi="Franklin Gothic Book" w:cs="Times New Roman"/>
          <w:sz w:val="22"/>
          <w:szCs w:val="22"/>
        </w:rPr>
        <w:t xml:space="preserve">continue to be </w:t>
      </w:r>
      <w:r w:rsidRPr="009C0C39">
        <w:rPr>
          <w:rFonts w:ascii="Franklin Gothic Book" w:hAnsi="Franklin Gothic Book" w:cs="Times New Roman"/>
          <w:sz w:val="22"/>
          <w:szCs w:val="22"/>
        </w:rPr>
        <w:t xml:space="preserve">higher than </w:t>
      </w:r>
      <w:r w:rsidR="00FF6702" w:rsidRPr="009C0C39">
        <w:rPr>
          <w:rFonts w:ascii="Franklin Gothic Book" w:hAnsi="Franklin Gothic Book" w:cs="Times New Roman"/>
          <w:sz w:val="22"/>
          <w:szCs w:val="22"/>
        </w:rPr>
        <w:t xml:space="preserve">nearly all </w:t>
      </w:r>
      <w:r w:rsidRPr="009C0C39">
        <w:rPr>
          <w:rFonts w:ascii="Franklin Gothic Book" w:hAnsi="Franklin Gothic Book" w:cs="Times New Roman"/>
          <w:sz w:val="22"/>
          <w:szCs w:val="22"/>
        </w:rPr>
        <w:t>other hospitals and physician groups in the Commonwealth.</w:t>
      </w:r>
      <w:r w:rsidR="00F94B78" w:rsidRPr="009C0C39">
        <w:rPr>
          <w:rStyle w:val="FootnoteReference"/>
          <w:rFonts w:ascii="Franklin Gothic Book" w:hAnsi="Franklin Gothic Book" w:cs="Times New Roman"/>
          <w:sz w:val="22"/>
          <w:szCs w:val="22"/>
        </w:rPr>
        <w:footnoteReference w:id="31"/>
      </w:r>
      <w:r w:rsidRPr="009C0C39">
        <w:rPr>
          <w:rFonts w:ascii="Franklin Gothic Book" w:hAnsi="Franklin Gothic Book" w:cs="Times New Roman"/>
          <w:sz w:val="22"/>
          <w:szCs w:val="22"/>
        </w:rPr>
        <w:t xml:space="preserve"> </w:t>
      </w:r>
      <w:r w:rsidR="00FF6702" w:rsidRPr="009C0C39">
        <w:rPr>
          <w:rFonts w:ascii="Franklin Gothic Book" w:hAnsi="Franklin Gothic Book" w:cs="Times New Roman"/>
          <w:sz w:val="22"/>
          <w:szCs w:val="22"/>
        </w:rPr>
        <w:t xml:space="preserve">Even the proposed price point for the three </w:t>
      </w:r>
      <w:r w:rsidR="00F77F97" w:rsidRPr="009C0C39">
        <w:rPr>
          <w:rFonts w:ascii="Franklin Gothic Book" w:hAnsi="Franklin Gothic Book" w:cs="Times New Roman"/>
          <w:sz w:val="22"/>
          <w:szCs w:val="22"/>
        </w:rPr>
        <w:t>a</w:t>
      </w:r>
      <w:r w:rsidR="00FF6702" w:rsidRPr="009C0C39">
        <w:rPr>
          <w:rFonts w:ascii="Franklin Gothic Book" w:hAnsi="Franklin Gothic Book" w:cs="Times New Roman"/>
          <w:sz w:val="22"/>
          <w:szCs w:val="22"/>
        </w:rPr>
        <w:t xml:space="preserve">mbulatory </w:t>
      </w:r>
      <w:r w:rsidR="00F77F97" w:rsidRPr="009C0C39">
        <w:rPr>
          <w:rFonts w:ascii="Franklin Gothic Book" w:hAnsi="Franklin Gothic Book" w:cs="Times New Roman"/>
          <w:sz w:val="22"/>
          <w:szCs w:val="22"/>
        </w:rPr>
        <w:t>e</w:t>
      </w:r>
      <w:r w:rsidR="00FF6702" w:rsidRPr="009C0C39">
        <w:rPr>
          <w:rFonts w:ascii="Franklin Gothic Book" w:hAnsi="Franklin Gothic Book" w:cs="Times New Roman"/>
          <w:sz w:val="22"/>
          <w:szCs w:val="22"/>
        </w:rPr>
        <w:t>xpansion site</w:t>
      </w:r>
      <w:r w:rsidR="00EC02EE" w:rsidRPr="009C0C39">
        <w:rPr>
          <w:rFonts w:ascii="Franklin Gothic Book" w:hAnsi="Franklin Gothic Book" w:cs="Times New Roman"/>
          <w:sz w:val="22"/>
          <w:szCs w:val="22"/>
        </w:rPr>
        <w:t>s</w:t>
      </w:r>
      <w:r w:rsidR="00FF6702" w:rsidRPr="009C0C39">
        <w:rPr>
          <w:rFonts w:ascii="Franklin Gothic Book" w:hAnsi="Franklin Gothic Book" w:cs="Times New Roman"/>
          <w:sz w:val="22"/>
          <w:szCs w:val="22"/>
        </w:rPr>
        <w:t xml:space="preserve"> </w:t>
      </w:r>
      <w:r w:rsidR="00FF6702" w:rsidRPr="009C0C39">
        <w:rPr>
          <w:rFonts w:ascii="Franklin Gothic Book" w:hAnsi="Franklin Gothic Book" w:cs="Times New Roman"/>
          <w:sz w:val="22"/>
          <w:szCs w:val="22"/>
        </w:rPr>
        <w:lastRenderedPageBreak/>
        <w:t xml:space="preserve">is higher than many other area </w:t>
      </w:r>
      <w:r w:rsidR="00460C3D" w:rsidRPr="009C0C39">
        <w:rPr>
          <w:rFonts w:ascii="Franklin Gothic Book" w:hAnsi="Franklin Gothic Book" w:cs="Times New Roman"/>
          <w:sz w:val="22"/>
          <w:szCs w:val="22"/>
        </w:rPr>
        <w:t>providers</w:t>
      </w:r>
      <w:r w:rsidR="00FF6702" w:rsidRPr="009C0C39">
        <w:rPr>
          <w:rFonts w:ascii="Franklin Gothic Book" w:hAnsi="Franklin Gothic Book" w:cs="Times New Roman"/>
          <w:sz w:val="22"/>
          <w:szCs w:val="22"/>
        </w:rPr>
        <w:t>.</w:t>
      </w:r>
      <w:r w:rsidR="00F94B78" w:rsidRPr="009C0C39">
        <w:rPr>
          <w:rStyle w:val="FootnoteReference"/>
          <w:rFonts w:ascii="Franklin Gothic Book" w:hAnsi="Franklin Gothic Book" w:cs="Times New Roman"/>
          <w:sz w:val="22"/>
          <w:szCs w:val="22"/>
        </w:rPr>
        <w:footnoteReference w:id="32"/>
      </w:r>
      <w:r w:rsidR="00FF6702" w:rsidRPr="009C0C39">
        <w:rPr>
          <w:rFonts w:ascii="Franklin Gothic Book" w:hAnsi="Franklin Gothic Book" w:cs="Times New Roman"/>
          <w:sz w:val="22"/>
          <w:szCs w:val="22"/>
        </w:rPr>
        <w:t xml:space="preserve"> </w:t>
      </w:r>
      <w:r w:rsidR="00460C3D" w:rsidRPr="009C0C39">
        <w:rPr>
          <w:rFonts w:ascii="Franklin Gothic Book" w:hAnsi="Franklin Gothic Book" w:cs="Times New Roman"/>
          <w:sz w:val="22"/>
          <w:szCs w:val="22"/>
        </w:rPr>
        <w:t xml:space="preserve">Given MGB’s pricing, </w:t>
      </w:r>
      <w:r w:rsidR="00FF6702" w:rsidRPr="009C0C39">
        <w:rPr>
          <w:rFonts w:ascii="Franklin Gothic Book" w:hAnsi="Franklin Gothic Book" w:cs="Times New Roman"/>
          <w:sz w:val="22"/>
          <w:szCs w:val="22"/>
        </w:rPr>
        <w:t xml:space="preserve">shifts to MGB from other providers </w:t>
      </w:r>
      <w:r w:rsidR="0048146B" w:rsidRPr="009C0C39">
        <w:rPr>
          <w:rFonts w:ascii="Franklin Gothic Book" w:hAnsi="Franklin Gothic Book" w:cs="Times New Roman"/>
          <w:sz w:val="22"/>
          <w:szCs w:val="22"/>
        </w:rPr>
        <w:t xml:space="preserve">will </w:t>
      </w:r>
      <w:r w:rsidR="00FF6702" w:rsidRPr="009C0C39">
        <w:rPr>
          <w:rFonts w:ascii="Franklin Gothic Book" w:hAnsi="Franklin Gothic Book" w:cs="Times New Roman"/>
          <w:sz w:val="22"/>
          <w:szCs w:val="22"/>
        </w:rPr>
        <w:t xml:space="preserve">generally </w:t>
      </w:r>
      <w:r w:rsidR="00164F43" w:rsidRPr="009C0C39">
        <w:rPr>
          <w:rFonts w:ascii="Franklin Gothic Book" w:hAnsi="Franklin Gothic Book" w:cs="Times New Roman"/>
          <w:sz w:val="22"/>
          <w:szCs w:val="22"/>
        </w:rPr>
        <w:t xml:space="preserve">increase </w:t>
      </w:r>
      <w:r w:rsidR="00FF6702" w:rsidRPr="009C0C39">
        <w:rPr>
          <w:rFonts w:ascii="Franklin Gothic Book" w:hAnsi="Franklin Gothic Book" w:cs="Times New Roman"/>
          <w:sz w:val="22"/>
          <w:szCs w:val="22"/>
        </w:rPr>
        <w:t xml:space="preserve">spending, regardless of any impact on </w:t>
      </w:r>
      <w:r w:rsidR="0048146B" w:rsidRPr="009C0C39">
        <w:rPr>
          <w:rFonts w:ascii="Franklin Gothic Book" w:hAnsi="Franklin Gothic Book" w:cs="Times New Roman"/>
          <w:sz w:val="22"/>
          <w:szCs w:val="22"/>
        </w:rPr>
        <w:t xml:space="preserve">MGB’s </w:t>
      </w:r>
      <w:r w:rsidR="00FF6702" w:rsidRPr="009C0C39">
        <w:rPr>
          <w:rFonts w:ascii="Franklin Gothic Book" w:hAnsi="Franklin Gothic Book" w:cs="Times New Roman"/>
          <w:sz w:val="22"/>
          <w:szCs w:val="22"/>
        </w:rPr>
        <w:t xml:space="preserve">future bargaining leverage. </w:t>
      </w:r>
    </w:p>
    <w:p w14:paraId="2B9B839A" w14:textId="50E58F70" w:rsidR="00C30E70" w:rsidRPr="009C0C39" w:rsidRDefault="00747B62" w:rsidP="009257C1">
      <w:pPr>
        <w:pStyle w:val="ListParagraph"/>
        <w:numPr>
          <w:ilvl w:val="0"/>
          <w:numId w:val="8"/>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MGB is a high</w:t>
      </w:r>
      <w:r w:rsidR="0060583B" w:rsidRPr="009C0C39">
        <w:rPr>
          <w:rFonts w:ascii="Franklin Gothic Book" w:hAnsi="Franklin Gothic Book" w:cs="Times New Roman"/>
          <w:b/>
          <w:bCs/>
          <w:sz w:val="22"/>
          <w:szCs w:val="22"/>
        </w:rPr>
        <w:t>-</w:t>
      </w:r>
      <w:r w:rsidRPr="009C0C39">
        <w:rPr>
          <w:rFonts w:ascii="Franklin Gothic Book" w:hAnsi="Franklin Gothic Book" w:cs="Times New Roman"/>
          <w:b/>
          <w:bCs/>
          <w:sz w:val="22"/>
          <w:szCs w:val="22"/>
        </w:rPr>
        <w:t>quality provider system</w:t>
      </w:r>
      <w:r w:rsidR="0060583B" w:rsidRPr="009C0C39">
        <w:rPr>
          <w:rFonts w:ascii="Franklin Gothic Book" w:hAnsi="Franklin Gothic Book" w:cs="Times New Roman"/>
          <w:b/>
          <w:bCs/>
          <w:sz w:val="22"/>
          <w:szCs w:val="22"/>
        </w:rPr>
        <w:t>, but</w:t>
      </w:r>
      <w:r w:rsidR="00991062" w:rsidRPr="009C0C39">
        <w:rPr>
          <w:rFonts w:ascii="Franklin Gothic Book" w:hAnsi="Franklin Gothic Book" w:cs="Times New Roman"/>
          <w:b/>
          <w:bCs/>
          <w:sz w:val="22"/>
          <w:szCs w:val="22"/>
        </w:rPr>
        <w:t xml:space="preserve"> </w:t>
      </w:r>
      <w:r w:rsidR="0060583B" w:rsidRPr="009C0C39">
        <w:rPr>
          <w:rFonts w:ascii="Franklin Gothic Book" w:hAnsi="Franklin Gothic Book" w:cs="Times New Roman"/>
          <w:b/>
          <w:bCs/>
          <w:sz w:val="22"/>
          <w:szCs w:val="22"/>
        </w:rPr>
        <w:t>m</w:t>
      </w:r>
      <w:r w:rsidRPr="009C0C39">
        <w:rPr>
          <w:rFonts w:ascii="Franklin Gothic Book" w:hAnsi="Franklin Gothic Book" w:cs="Times New Roman"/>
          <w:b/>
          <w:bCs/>
          <w:sz w:val="22"/>
          <w:szCs w:val="22"/>
        </w:rPr>
        <w:t>uch of the care that MGB provides</w:t>
      </w:r>
      <w:r w:rsidR="00A23021" w:rsidRPr="009C0C39">
        <w:rPr>
          <w:rFonts w:ascii="Franklin Gothic Book" w:hAnsi="Franklin Gothic Book" w:cs="Times New Roman"/>
          <w:b/>
          <w:bCs/>
          <w:sz w:val="22"/>
          <w:szCs w:val="22"/>
        </w:rPr>
        <w:t>—and the</w:t>
      </w:r>
      <w:r w:rsidR="004513DE" w:rsidRPr="009C0C39">
        <w:rPr>
          <w:rFonts w:ascii="Franklin Gothic Book" w:hAnsi="Franklin Gothic Book" w:cs="Times New Roman"/>
          <w:b/>
          <w:bCs/>
          <w:sz w:val="22"/>
          <w:szCs w:val="22"/>
        </w:rPr>
        <w:t xml:space="preserve"> </w:t>
      </w:r>
      <w:r w:rsidR="00A23021" w:rsidRPr="009C0C39">
        <w:rPr>
          <w:rFonts w:ascii="Franklin Gothic Book" w:hAnsi="Franklin Gothic Book" w:cs="Times New Roman"/>
          <w:b/>
          <w:bCs/>
          <w:sz w:val="22"/>
          <w:szCs w:val="22"/>
        </w:rPr>
        <w:t xml:space="preserve">services </w:t>
      </w:r>
      <w:r w:rsidR="004513DE" w:rsidRPr="009C0C39">
        <w:rPr>
          <w:rFonts w:ascii="Franklin Gothic Book" w:hAnsi="Franklin Gothic Book" w:cs="Times New Roman"/>
          <w:b/>
          <w:bCs/>
          <w:sz w:val="22"/>
          <w:szCs w:val="22"/>
        </w:rPr>
        <w:t>it is proposing to expand</w:t>
      </w:r>
      <w:r w:rsidR="00A23021" w:rsidRPr="009C0C39">
        <w:rPr>
          <w:rFonts w:ascii="Franklin Gothic Book" w:hAnsi="Franklin Gothic Book" w:cs="Times New Roman"/>
          <w:b/>
          <w:bCs/>
          <w:sz w:val="22"/>
          <w:szCs w:val="22"/>
        </w:rPr>
        <w:t>—constitute</w:t>
      </w:r>
      <w:r w:rsidR="00164F43" w:rsidRPr="009C0C39">
        <w:rPr>
          <w:rFonts w:ascii="Franklin Gothic Book" w:hAnsi="Franklin Gothic Book" w:cs="Times New Roman"/>
          <w:b/>
          <w:bCs/>
          <w:sz w:val="22"/>
          <w:szCs w:val="22"/>
        </w:rPr>
        <w:t>s</w:t>
      </w:r>
      <w:r w:rsidR="00A23021" w:rsidRPr="009C0C39">
        <w:rPr>
          <w:rFonts w:ascii="Franklin Gothic Book" w:hAnsi="Franklin Gothic Book" w:cs="Times New Roman"/>
          <w:b/>
          <w:bCs/>
          <w:sz w:val="22"/>
          <w:szCs w:val="22"/>
        </w:rPr>
        <w:t xml:space="preserve"> </w:t>
      </w:r>
      <w:r w:rsidRPr="009C0C39">
        <w:rPr>
          <w:rFonts w:ascii="Franklin Gothic Book" w:hAnsi="Franklin Gothic Book" w:cs="Times New Roman"/>
          <w:b/>
          <w:bCs/>
          <w:sz w:val="22"/>
          <w:szCs w:val="22"/>
        </w:rPr>
        <w:t xml:space="preserve">routine care that can be provided </w:t>
      </w:r>
      <w:r w:rsidR="004513DE" w:rsidRPr="009C0C39">
        <w:rPr>
          <w:rFonts w:ascii="Franklin Gothic Book" w:hAnsi="Franklin Gothic Book" w:cs="Times New Roman"/>
          <w:b/>
          <w:bCs/>
          <w:sz w:val="22"/>
          <w:szCs w:val="22"/>
        </w:rPr>
        <w:t xml:space="preserve">by </w:t>
      </w:r>
      <w:r w:rsidRPr="009C0C39">
        <w:rPr>
          <w:rFonts w:ascii="Franklin Gothic Book" w:hAnsi="Franklin Gothic Book" w:cs="Times New Roman"/>
          <w:b/>
          <w:bCs/>
          <w:sz w:val="22"/>
          <w:szCs w:val="22"/>
        </w:rPr>
        <w:t xml:space="preserve">other </w:t>
      </w:r>
      <w:r w:rsidR="00991062" w:rsidRPr="009C0C39">
        <w:rPr>
          <w:rFonts w:ascii="Franklin Gothic Book" w:hAnsi="Franklin Gothic Book" w:cs="Times New Roman"/>
          <w:b/>
          <w:bCs/>
          <w:sz w:val="22"/>
          <w:szCs w:val="22"/>
        </w:rPr>
        <w:t xml:space="preserve">high quality </w:t>
      </w:r>
      <w:r w:rsidRPr="009C0C39">
        <w:rPr>
          <w:rFonts w:ascii="Franklin Gothic Book" w:hAnsi="Franklin Gothic Book" w:cs="Times New Roman"/>
          <w:b/>
          <w:bCs/>
          <w:sz w:val="22"/>
          <w:szCs w:val="22"/>
        </w:rPr>
        <w:t xml:space="preserve">Massachusetts providers. </w:t>
      </w:r>
      <w:r w:rsidR="00A00C2D" w:rsidRPr="009C0C39">
        <w:rPr>
          <w:rFonts w:ascii="Franklin Gothic Book" w:hAnsi="Franklin Gothic Book" w:cs="Times New Roman"/>
          <w:sz w:val="22"/>
          <w:szCs w:val="22"/>
        </w:rPr>
        <w:t>The MGB system includes two renown</w:t>
      </w:r>
      <w:r w:rsidR="00DD13B4" w:rsidRPr="009C0C39">
        <w:rPr>
          <w:rFonts w:ascii="Franklin Gothic Book" w:hAnsi="Franklin Gothic Book" w:cs="Times New Roman"/>
          <w:sz w:val="22"/>
          <w:szCs w:val="22"/>
        </w:rPr>
        <w:t>ed</w:t>
      </w:r>
      <w:r w:rsidR="00A00C2D" w:rsidRPr="009C0C39">
        <w:rPr>
          <w:rFonts w:ascii="Franklin Gothic Book" w:hAnsi="Franklin Gothic Book" w:cs="Times New Roman"/>
          <w:sz w:val="22"/>
          <w:szCs w:val="22"/>
        </w:rPr>
        <w:t xml:space="preserve"> academic medical centers, MGH and Brigham and Women’s Hospital, that provide </w:t>
      </w:r>
      <w:r w:rsidR="00CD4562" w:rsidRPr="009C0C39">
        <w:rPr>
          <w:rFonts w:ascii="Franklin Gothic Book" w:hAnsi="Franklin Gothic Book" w:cs="Times New Roman"/>
          <w:sz w:val="22"/>
          <w:szCs w:val="22"/>
        </w:rPr>
        <w:t>highly specialized tertiary and quaternary services</w:t>
      </w:r>
      <w:r w:rsidR="007614FF" w:rsidRPr="009C0C39">
        <w:rPr>
          <w:rFonts w:ascii="Franklin Gothic Book" w:hAnsi="Franklin Gothic Book" w:cs="Times New Roman"/>
          <w:sz w:val="22"/>
          <w:szCs w:val="22"/>
        </w:rPr>
        <w:t xml:space="preserve">. </w:t>
      </w:r>
      <w:r w:rsidR="00A00C2D" w:rsidRPr="009C0C39">
        <w:rPr>
          <w:rFonts w:ascii="Franklin Gothic Book" w:hAnsi="Franklin Gothic Book" w:cs="Times New Roman"/>
          <w:sz w:val="22"/>
          <w:szCs w:val="22"/>
        </w:rPr>
        <w:t>However, much of the care MGB provides–and many of the services it seeks to expand—are services available at a range of high</w:t>
      </w:r>
      <w:r w:rsidR="00A9502B">
        <w:rPr>
          <w:rFonts w:ascii="Franklin Gothic Book" w:hAnsi="Franklin Gothic Book" w:cs="Times New Roman"/>
          <w:sz w:val="22"/>
          <w:szCs w:val="22"/>
        </w:rPr>
        <w:t>-</w:t>
      </w:r>
      <w:r w:rsidR="00A00C2D" w:rsidRPr="009C0C39">
        <w:rPr>
          <w:rFonts w:ascii="Franklin Gothic Book" w:hAnsi="Franklin Gothic Book" w:cs="Times New Roman"/>
          <w:sz w:val="22"/>
          <w:szCs w:val="22"/>
        </w:rPr>
        <w:t>quality providers in Massachusetts.</w:t>
      </w:r>
      <w:r w:rsidR="00A00C2D" w:rsidRPr="009C0C39">
        <w:rPr>
          <w:rStyle w:val="FootnoteReference"/>
          <w:rFonts w:ascii="Franklin Gothic Book" w:hAnsi="Franklin Gothic Book" w:cs="Times New Roman"/>
          <w:sz w:val="22"/>
          <w:szCs w:val="22"/>
        </w:rPr>
        <w:footnoteReference w:id="33"/>
      </w:r>
      <w:r w:rsidR="00A00C2D" w:rsidRPr="009C0C39">
        <w:rPr>
          <w:rFonts w:ascii="Franklin Gothic Book" w:hAnsi="Franklin Gothic Book" w:cs="Times New Roman"/>
          <w:sz w:val="22"/>
          <w:szCs w:val="22"/>
        </w:rPr>
        <w:t xml:space="preserve"> </w:t>
      </w:r>
      <w:r w:rsidR="00293B8F" w:rsidRPr="009C0C39">
        <w:rPr>
          <w:rFonts w:ascii="Franklin Gothic Book" w:hAnsi="Franklin Gothic Book" w:cs="Times New Roman"/>
          <w:sz w:val="22"/>
          <w:szCs w:val="22"/>
        </w:rPr>
        <w:t>The HPC has examined MGB hospital and physician performance on a range of quality measures in the past and has generally found that MGB providers perform comparably to the statewide average</w:t>
      </w:r>
      <w:r w:rsidR="00164F43" w:rsidRPr="009C0C39">
        <w:rPr>
          <w:rFonts w:ascii="Franklin Gothic Book" w:hAnsi="Franklin Gothic Book" w:cs="Times New Roman"/>
          <w:sz w:val="22"/>
          <w:szCs w:val="22"/>
        </w:rPr>
        <w:t xml:space="preserve"> on process and outcome measures</w:t>
      </w:r>
      <w:r w:rsidR="00293B8F" w:rsidRPr="009C0C39">
        <w:rPr>
          <w:rFonts w:ascii="Franklin Gothic Book" w:hAnsi="Franklin Gothic Book" w:cs="Times New Roman"/>
          <w:sz w:val="22"/>
          <w:szCs w:val="22"/>
        </w:rPr>
        <w:t>.</w:t>
      </w:r>
      <w:r w:rsidR="00293B8F" w:rsidRPr="009C0C39">
        <w:rPr>
          <w:rStyle w:val="FootnoteReference"/>
          <w:rFonts w:ascii="Franklin Gothic Book" w:hAnsi="Franklin Gothic Book" w:cs="Times New Roman"/>
          <w:sz w:val="22"/>
          <w:szCs w:val="22"/>
        </w:rPr>
        <w:footnoteReference w:id="34"/>
      </w:r>
      <w:r w:rsidR="00293B8F" w:rsidRPr="009C0C39">
        <w:rPr>
          <w:rFonts w:ascii="Franklin Gothic Book" w:hAnsi="Franklin Gothic Book" w:cs="Times New Roman"/>
          <w:sz w:val="22"/>
          <w:szCs w:val="22"/>
        </w:rPr>
        <w:t xml:space="preserve"> The most recent available data show a continuation of these trends</w:t>
      </w:r>
      <w:r w:rsidR="00A916B0" w:rsidRPr="009C0C39">
        <w:rPr>
          <w:rFonts w:ascii="Franklin Gothic Book" w:hAnsi="Franklin Gothic Book" w:cs="Times New Roman"/>
          <w:sz w:val="22"/>
          <w:szCs w:val="22"/>
        </w:rPr>
        <w:t>,</w:t>
      </w:r>
      <w:r w:rsidR="00A11E0E" w:rsidRPr="009C0C39">
        <w:rPr>
          <w:rStyle w:val="FootnoteReference"/>
          <w:rFonts w:ascii="Franklin Gothic Book" w:hAnsi="Franklin Gothic Book" w:cs="Times New Roman"/>
          <w:sz w:val="22"/>
          <w:szCs w:val="22"/>
        </w:rPr>
        <w:t xml:space="preserve"> </w:t>
      </w:r>
      <w:r w:rsidR="00092E3F" w:rsidRPr="009C0C39">
        <w:rPr>
          <w:rFonts w:ascii="Franklin Gothic Book" w:hAnsi="Franklin Gothic Book" w:cs="Times New Roman"/>
          <w:sz w:val="22"/>
          <w:szCs w:val="22"/>
        </w:rPr>
        <w:t>al</w:t>
      </w:r>
      <w:r w:rsidR="00A916B0" w:rsidRPr="009C0C39">
        <w:rPr>
          <w:rFonts w:ascii="Franklin Gothic Book" w:hAnsi="Franklin Gothic Book" w:cs="Times New Roman"/>
          <w:sz w:val="22"/>
          <w:szCs w:val="22"/>
        </w:rPr>
        <w:t xml:space="preserve">though </w:t>
      </w:r>
      <w:r w:rsidR="0048146B" w:rsidRPr="009C0C39">
        <w:rPr>
          <w:rFonts w:ascii="Franklin Gothic Book" w:hAnsi="Franklin Gothic Book" w:cs="Times New Roman"/>
          <w:sz w:val="22"/>
          <w:szCs w:val="22"/>
        </w:rPr>
        <w:t xml:space="preserve">most </w:t>
      </w:r>
      <w:r w:rsidR="00A916B0" w:rsidRPr="009C0C39">
        <w:rPr>
          <w:rFonts w:ascii="Franklin Gothic Book" w:hAnsi="Franklin Gothic Book" w:cs="Times New Roman"/>
          <w:sz w:val="22"/>
          <w:szCs w:val="22"/>
        </w:rPr>
        <w:t xml:space="preserve">MGB hospitals score higher than average </w:t>
      </w:r>
      <w:r w:rsidR="00092E3F" w:rsidRPr="009C0C39">
        <w:rPr>
          <w:rFonts w:ascii="Franklin Gothic Book" w:hAnsi="Franklin Gothic Book" w:cs="Times New Roman"/>
          <w:sz w:val="22"/>
          <w:szCs w:val="22"/>
        </w:rPr>
        <w:t xml:space="preserve">on </w:t>
      </w:r>
      <w:r w:rsidR="00A916B0" w:rsidRPr="009C0C39">
        <w:rPr>
          <w:rFonts w:ascii="Franklin Gothic Book" w:hAnsi="Franklin Gothic Book" w:cs="Times New Roman"/>
          <w:sz w:val="22"/>
          <w:szCs w:val="22"/>
        </w:rPr>
        <w:t xml:space="preserve">patient </w:t>
      </w:r>
      <w:r w:rsidR="00164F43" w:rsidRPr="009C0C39">
        <w:rPr>
          <w:rFonts w:ascii="Franklin Gothic Book" w:hAnsi="Franklin Gothic Book" w:cs="Times New Roman"/>
          <w:sz w:val="22"/>
          <w:szCs w:val="22"/>
        </w:rPr>
        <w:t xml:space="preserve">experience </w:t>
      </w:r>
      <w:r w:rsidR="00A916B0" w:rsidRPr="009C0C39">
        <w:rPr>
          <w:rFonts w:ascii="Franklin Gothic Book" w:hAnsi="Franklin Gothic Book" w:cs="Times New Roman"/>
          <w:sz w:val="22"/>
          <w:szCs w:val="22"/>
        </w:rPr>
        <w:t>ratings and “willingness-to-recommend”</w:t>
      </w:r>
      <w:r w:rsidR="00691E1E" w:rsidRPr="009C0C39">
        <w:rPr>
          <w:rFonts w:ascii="Franklin Gothic Book" w:hAnsi="Franklin Gothic Book" w:cs="Times New Roman"/>
          <w:sz w:val="22"/>
          <w:szCs w:val="22"/>
        </w:rPr>
        <w:t xml:space="preserve"> and </w:t>
      </w:r>
      <w:r w:rsidR="00092E3F" w:rsidRPr="009C0C39">
        <w:rPr>
          <w:rFonts w:ascii="Franklin Gothic Book" w:hAnsi="Franklin Gothic Book" w:cs="Times New Roman"/>
          <w:sz w:val="22"/>
          <w:szCs w:val="22"/>
        </w:rPr>
        <w:t xml:space="preserve">MGB practices often perform better than the statewide average </w:t>
      </w:r>
      <w:r w:rsidR="00691E1E" w:rsidRPr="009C0C39">
        <w:rPr>
          <w:rFonts w:ascii="Franklin Gothic Book" w:hAnsi="Franklin Gothic Book" w:cs="Times New Roman"/>
          <w:sz w:val="22"/>
          <w:szCs w:val="22"/>
        </w:rPr>
        <w:t>on adult primary care patient experience measures</w:t>
      </w:r>
      <w:r w:rsidR="00A916B0" w:rsidRPr="009C0C39">
        <w:rPr>
          <w:rFonts w:ascii="Franklin Gothic Book" w:hAnsi="Franklin Gothic Book" w:cs="Times New Roman"/>
          <w:sz w:val="22"/>
          <w:szCs w:val="22"/>
        </w:rPr>
        <w:t>.</w:t>
      </w:r>
      <w:r w:rsidR="00A916B0" w:rsidRPr="009C0C39">
        <w:rPr>
          <w:rStyle w:val="FootnoteReference"/>
          <w:rFonts w:ascii="Franklin Gothic Book" w:hAnsi="Franklin Gothic Book" w:cs="Times New Roman"/>
          <w:sz w:val="22"/>
          <w:szCs w:val="22"/>
        </w:rPr>
        <w:footnoteReference w:id="35"/>
      </w:r>
      <w:r w:rsidR="00733C10" w:rsidRPr="009C0C39">
        <w:rPr>
          <w:rFonts w:ascii="Franklin Gothic Book" w:hAnsi="Franklin Gothic Book" w:cs="Times New Roman"/>
          <w:sz w:val="22"/>
          <w:szCs w:val="22"/>
        </w:rPr>
        <w:t xml:space="preserve"> </w:t>
      </w:r>
      <w:r w:rsidR="00C87B0F" w:rsidRPr="009C0C39">
        <w:rPr>
          <w:rFonts w:ascii="Franklin Gothic Book" w:hAnsi="Franklin Gothic Book" w:cs="Times New Roman"/>
          <w:sz w:val="22"/>
          <w:szCs w:val="22"/>
        </w:rPr>
        <w:t>Prior work by the HPC has also shown that MGB performs comparably to other Massachusetts providers on measures of the frequency of use of low</w:t>
      </w:r>
      <w:r w:rsidR="00DA7551">
        <w:rPr>
          <w:rFonts w:ascii="Franklin Gothic Book" w:hAnsi="Franklin Gothic Book" w:cs="Times New Roman"/>
          <w:sz w:val="22"/>
          <w:szCs w:val="22"/>
        </w:rPr>
        <w:t>-</w:t>
      </w:r>
      <w:r w:rsidR="00C87B0F" w:rsidRPr="009C0C39">
        <w:rPr>
          <w:rFonts w:ascii="Franklin Gothic Book" w:hAnsi="Franklin Gothic Book" w:cs="Times New Roman"/>
          <w:sz w:val="22"/>
          <w:szCs w:val="22"/>
        </w:rPr>
        <w:t>value care in the areas of screening, pre-operative testing, and procedures.</w:t>
      </w:r>
      <w:r w:rsidR="00C87B0F" w:rsidRPr="009C0C39">
        <w:rPr>
          <w:rStyle w:val="FootnoteReference"/>
          <w:rFonts w:ascii="Franklin Gothic Book" w:hAnsi="Franklin Gothic Book" w:cs="Times New Roman"/>
          <w:sz w:val="22"/>
          <w:szCs w:val="22"/>
        </w:rPr>
        <w:footnoteReference w:id="36"/>
      </w:r>
      <w:r w:rsidR="00C87B0F" w:rsidRPr="009C0C39">
        <w:rPr>
          <w:rFonts w:ascii="Franklin Gothic Book" w:hAnsi="Franklin Gothic Book" w:cs="Times New Roman"/>
          <w:sz w:val="22"/>
          <w:szCs w:val="22"/>
        </w:rPr>
        <w:t xml:space="preserve"> </w:t>
      </w:r>
    </w:p>
    <w:p w14:paraId="5E098CFA" w14:textId="7EAF262C" w:rsidR="0083705D" w:rsidRPr="009C0C39" w:rsidRDefault="0083705D" w:rsidP="009257C1">
      <w:pPr>
        <w:pStyle w:val="ListParagraph"/>
        <w:numPr>
          <w:ilvl w:val="0"/>
          <w:numId w:val="8"/>
        </w:numPr>
        <w:spacing w:before="240"/>
        <w:contextualSpacing w:val="0"/>
        <w:rPr>
          <w:rFonts w:ascii="Franklin Gothic Book" w:hAnsi="Franklin Gothic Book" w:cs="Times New Roman"/>
          <w:sz w:val="22"/>
          <w:szCs w:val="22"/>
          <w:u w:val="single"/>
        </w:rPr>
      </w:pPr>
      <w:r w:rsidRPr="009C0C39">
        <w:rPr>
          <w:rFonts w:ascii="Franklin Gothic Book" w:hAnsi="Franklin Gothic Book" w:cs="Times New Roman"/>
          <w:b/>
          <w:bCs/>
          <w:sz w:val="22"/>
          <w:szCs w:val="22"/>
        </w:rPr>
        <w:t>MGB</w:t>
      </w:r>
      <w:r w:rsidR="00694274" w:rsidRPr="009C0C39">
        <w:rPr>
          <w:rFonts w:ascii="Franklin Gothic Book" w:hAnsi="Franklin Gothic Book" w:cs="Times New Roman"/>
          <w:b/>
          <w:bCs/>
          <w:sz w:val="22"/>
          <w:szCs w:val="22"/>
        </w:rPr>
        <w:t>’s primary care patients</w:t>
      </w:r>
      <w:r w:rsidRPr="009C0C39">
        <w:rPr>
          <w:rFonts w:ascii="Franklin Gothic Book" w:hAnsi="Franklin Gothic Book" w:cs="Times New Roman"/>
          <w:b/>
          <w:bCs/>
          <w:sz w:val="22"/>
          <w:szCs w:val="22"/>
        </w:rPr>
        <w:t xml:space="preserve"> </w:t>
      </w:r>
      <w:r w:rsidR="00694274" w:rsidRPr="009C0C39">
        <w:rPr>
          <w:rFonts w:ascii="Franklin Gothic Book" w:hAnsi="Franklin Gothic Book" w:cs="Times New Roman"/>
          <w:b/>
          <w:bCs/>
          <w:sz w:val="22"/>
          <w:szCs w:val="22"/>
        </w:rPr>
        <w:t xml:space="preserve">have </w:t>
      </w:r>
      <w:r w:rsidR="00CD0D12" w:rsidRPr="009C0C39">
        <w:rPr>
          <w:rFonts w:ascii="Franklin Gothic Book" w:hAnsi="Franklin Gothic Book" w:cs="Times New Roman"/>
          <w:b/>
          <w:bCs/>
          <w:sz w:val="22"/>
          <w:szCs w:val="22"/>
        </w:rPr>
        <w:t xml:space="preserve">substantially </w:t>
      </w:r>
      <w:r w:rsidR="00694274" w:rsidRPr="009C0C39">
        <w:rPr>
          <w:rFonts w:ascii="Franklin Gothic Book" w:hAnsi="Franklin Gothic Book" w:cs="Times New Roman"/>
          <w:b/>
          <w:bCs/>
          <w:sz w:val="22"/>
          <w:szCs w:val="22"/>
        </w:rPr>
        <w:t xml:space="preserve">higher health status adjusted </w:t>
      </w:r>
      <w:r w:rsidRPr="009C0C39">
        <w:rPr>
          <w:rFonts w:ascii="Franklin Gothic Book" w:hAnsi="Franklin Gothic Book" w:cs="Times New Roman"/>
          <w:b/>
          <w:bCs/>
          <w:sz w:val="22"/>
          <w:szCs w:val="22"/>
        </w:rPr>
        <w:t xml:space="preserve">spending </w:t>
      </w:r>
      <w:r w:rsidR="00694274" w:rsidRPr="009C0C39">
        <w:rPr>
          <w:rFonts w:ascii="Franklin Gothic Book" w:hAnsi="Franklin Gothic Book" w:cs="Times New Roman"/>
          <w:b/>
          <w:bCs/>
          <w:sz w:val="22"/>
          <w:szCs w:val="22"/>
        </w:rPr>
        <w:t>than primary care patients of other providers</w:t>
      </w:r>
      <w:r w:rsidR="00934C8A" w:rsidRPr="009C0C39">
        <w:rPr>
          <w:rFonts w:ascii="Franklin Gothic Book" w:hAnsi="Franklin Gothic Book" w:cs="Times New Roman"/>
          <w:b/>
          <w:bCs/>
          <w:sz w:val="22"/>
          <w:szCs w:val="22"/>
        </w:rPr>
        <w:t>,</w:t>
      </w:r>
      <w:r w:rsidR="00694274" w:rsidRPr="009C0C39">
        <w:rPr>
          <w:rFonts w:ascii="Franklin Gothic Book" w:hAnsi="Franklin Gothic Book" w:cs="Times New Roman"/>
          <w:b/>
          <w:bCs/>
          <w:sz w:val="22"/>
          <w:szCs w:val="22"/>
        </w:rPr>
        <w:t xml:space="preserve"> and </w:t>
      </w:r>
      <w:r w:rsidR="0057567C" w:rsidRPr="009C0C39">
        <w:rPr>
          <w:rFonts w:ascii="Franklin Gothic Book" w:hAnsi="Franklin Gothic Book" w:cs="Times New Roman"/>
          <w:b/>
          <w:bCs/>
          <w:sz w:val="22"/>
          <w:szCs w:val="22"/>
        </w:rPr>
        <w:t xml:space="preserve">unadjusted </w:t>
      </w:r>
      <w:r w:rsidR="00694274" w:rsidRPr="009C0C39">
        <w:rPr>
          <w:rFonts w:ascii="Franklin Gothic Book" w:hAnsi="Franklin Gothic Book" w:cs="Times New Roman"/>
          <w:b/>
          <w:bCs/>
          <w:sz w:val="22"/>
          <w:szCs w:val="22"/>
        </w:rPr>
        <w:t xml:space="preserve">spending for MGB’s primary care patients is growing </w:t>
      </w:r>
      <w:r w:rsidR="00370BE4" w:rsidRPr="009C0C39">
        <w:rPr>
          <w:rFonts w:ascii="Franklin Gothic Book" w:hAnsi="Franklin Gothic Book" w:cs="Times New Roman"/>
          <w:b/>
          <w:bCs/>
          <w:sz w:val="22"/>
          <w:szCs w:val="22"/>
        </w:rPr>
        <w:t xml:space="preserve">faster than </w:t>
      </w:r>
      <w:r w:rsidR="00694274" w:rsidRPr="009C0C39">
        <w:rPr>
          <w:rFonts w:ascii="Franklin Gothic Book" w:hAnsi="Franklin Gothic Book" w:cs="Times New Roman"/>
          <w:b/>
          <w:bCs/>
          <w:sz w:val="22"/>
          <w:szCs w:val="22"/>
        </w:rPr>
        <w:t>average</w:t>
      </w:r>
      <w:r w:rsidRPr="009C0C39">
        <w:rPr>
          <w:rFonts w:ascii="Franklin Gothic Book" w:hAnsi="Franklin Gothic Book" w:cs="Times New Roman"/>
          <w:sz w:val="22"/>
          <w:szCs w:val="22"/>
        </w:rPr>
        <w:t>.</w:t>
      </w:r>
      <w:r w:rsidR="00A950BB" w:rsidRPr="009C0C39">
        <w:rPr>
          <w:rFonts w:ascii="Franklin Gothic Book" w:hAnsi="Franklin Gothic Book" w:cs="Times New Roman"/>
          <w:sz w:val="22"/>
          <w:szCs w:val="22"/>
        </w:rPr>
        <w:t xml:space="preserve"> </w:t>
      </w:r>
      <w:r w:rsidR="00CD0D12" w:rsidRPr="009C0C39">
        <w:rPr>
          <w:rFonts w:ascii="Franklin Gothic Book" w:hAnsi="Franklin Gothic Book" w:cs="Times New Roman"/>
          <w:sz w:val="22"/>
          <w:szCs w:val="22"/>
        </w:rPr>
        <w:t>T</w:t>
      </w:r>
      <w:r w:rsidR="00D132BD" w:rsidRPr="009C0C39">
        <w:rPr>
          <w:rFonts w:ascii="Franklin Gothic Book" w:hAnsi="Franklin Gothic Book" w:cs="Times New Roman"/>
          <w:sz w:val="22"/>
          <w:szCs w:val="22"/>
        </w:rPr>
        <w:t xml:space="preserve">otal medical expenses (TME) for </w:t>
      </w:r>
      <w:r w:rsidR="00CD0D12" w:rsidRPr="009C0C39">
        <w:rPr>
          <w:rFonts w:ascii="Franklin Gothic Book" w:hAnsi="Franklin Gothic Book" w:cs="Times New Roman"/>
          <w:sz w:val="22"/>
          <w:szCs w:val="22"/>
        </w:rPr>
        <w:t xml:space="preserve">MGB’s </w:t>
      </w:r>
      <w:r w:rsidR="00D132BD" w:rsidRPr="009C0C39">
        <w:rPr>
          <w:rFonts w:ascii="Franklin Gothic Book" w:hAnsi="Franklin Gothic Book" w:cs="Times New Roman"/>
          <w:sz w:val="22"/>
          <w:szCs w:val="22"/>
        </w:rPr>
        <w:t xml:space="preserve">primary care patients, a measure that reflects all </w:t>
      </w:r>
      <w:r w:rsidR="007818A9" w:rsidRPr="009C0C39">
        <w:rPr>
          <w:rFonts w:ascii="Franklin Gothic Book" w:hAnsi="Franklin Gothic Book" w:cs="Times New Roman"/>
          <w:sz w:val="22"/>
          <w:szCs w:val="22"/>
        </w:rPr>
        <w:t xml:space="preserve">medical </w:t>
      </w:r>
      <w:r w:rsidR="00D132BD" w:rsidRPr="009C0C39">
        <w:rPr>
          <w:rFonts w:ascii="Franklin Gothic Book" w:hAnsi="Franklin Gothic Book" w:cs="Times New Roman"/>
          <w:sz w:val="22"/>
          <w:szCs w:val="22"/>
        </w:rPr>
        <w:t>spending</w:t>
      </w:r>
      <w:r w:rsidR="00CD0D12" w:rsidRPr="009C0C39">
        <w:rPr>
          <w:rFonts w:ascii="Franklin Gothic Book" w:hAnsi="Franklin Gothic Book" w:cs="Times New Roman"/>
          <w:sz w:val="22"/>
          <w:szCs w:val="22"/>
        </w:rPr>
        <w:t xml:space="preserve"> by patients </w:t>
      </w:r>
      <w:r w:rsidR="007818A9" w:rsidRPr="009C0C39">
        <w:rPr>
          <w:rFonts w:ascii="Franklin Gothic Book" w:hAnsi="Franklin Gothic Book" w:cs="Times New Roman"/>
          <w:sz w:val="22"/>
          <w:szCs w:val="22"/>
        </w:rPr>
        <w:t>over time</w:t>
      </w:r>
      <w:r w:rsidR="00CD0D12" w:rsidRPr="009C0C39">
        <w:rPr>
          <w:rFonts w:ascii="Franklin Gothic Book" w:hAnsi="Franklin Gothic Book" w:cs="Times New Roman"/>
          <w:sz w:val="22"/>
          <w:szCs w:val="22"/>
        </w:rPr>
        <w:t>,</w:t>
      </w:r>
      <w:r w:rsidR="00955EB9" w:rsidRPr="009C0C39">
        <w:rPr>
          <w:rStyle w:val="FootnoteReference"/>
          <w:rFonts w:ascii="Franklin Gothic Book" w:hAnsi="Franklin Gothic Book" w:cs="Times New Roman"/>
          <w:sz w:val="22"/>
          <w:szCs w:val="22"/>
        </w:rPr>
        <w:footnoteReference w:id="37"/>
      </w:r>
      <w:r w:rsidR="00CD0D12" w:rsidRPr="009C0C39">
        <w:rPr>
          <w:rFonts w:ascii="Franklin Gothic Book" w:hAnsi="Franklin Gothic Book" w:cs="Times New Roman"/>
          <w:sz w:val="22"/>
          <w:szCs w:val="22"/>
        </w:rPr>
        <w:t xml:space="preserve"> </w:t>
      </w:r>
      <w:r w:rsidR="00092E3F" w:rsidRPr="009C0C39">
        <w:rPr>
          <w:rFonts w:ascii="Franklin Gothic Book" w:hAnsi="Franklin Gothic Book" w:cs="Times New Roman"/>
          <w:sz w:val="22"/>
          <w:szCs w:val="22"/>
        </w:rPr>
        <w:t>incorporating</w:t>
      </w:r>
      <w:r w:rsidR="00CD0D12" w:rsidRPr="009C0C39">
        <w:rPr>
          <w:rFonts w:ascii="Franklin Gothic Book" w:hAnsi="Franklin Gothic Book" w:cs="Times New Roman"/>
          <w:sz w:val="22"/>
          <w:szCs w:val="22"/>
        </w:rPr>
        <w:t xml:space="preserve"> both utilization and pricing, shows that MGB primary care patients </w:t>
      </w:r>
      <w:r w:rsidR="002F398B" w:rsidRPr="009C0C39">
        <w:rPr>
          <w:rFonts w:ascii="Franklin Gothic Book" w:hAnsi="Franklin Gothic Book" w:cs="Times New Roman"/>
          <w:sz w:val="22"/>
          <w:szCs w:val="22"/>
        </w:rPr>
        <w:t xml:space="preserve">with commercial insurance </w:t>
      </w:r>
      <w:r w:rsidR="00CD0D12" w:rsidRPr="009C0C39">
        <w:rPr>
          <w:rFonts w:ascii="Franklin Gothic Book" w:hAnsi="Franklin Gothic Book" w:cs="Times New Roman"/>
          <w:sz w:val="22"/>
          <w:szCs w:val="22"/>
        </w:rPr>
        <w:t xml:space="preserve">have substantially higher </w:t>
      </w:r>
      <w:r w:rsidR="009807C9" w:rsidRPr="009C0C39">
        <w:rPr>
          <w:rFonts w:ascii="Franklin Gothic Book" w:hAnsi="Franklin Gothic Book" w:cs="Times New Roman"/>
          <w:sz w:val="22"/>
          <w:szCs w:val="22"/>
        </w:rPr>
        <w:t xml:space="preserve">total </w:t>
      </w:r>
      <w:r w:rsidR="00CD0D12" w:rsidRPr="009C0C39">
        <w:rPr>
          <w:rFonts w:ascii="Franklin Gothic Book" w:hAnsi="Franklin Gothic Book" w:cs="Times New Roman"/>
          <w:sz w:val="22"/>
          <w:szCs w:val="22"/>
        </w:rPr>
        <w:t>health care spending, on both an unadjusted and health status adjusted basis, as compared to primary care patients of other systems</w:t>
      </w:r>
      <w:r w:rsidR="00C97BA5" w:rsidRPr="009C0C39">
        <w:rPr>
          <w:rFonts w:ascii="Franklin Gothic Book" w:hAnsi="Franklin Gothic Book" w:cs="Times New Roman"/>
          <w:sz w:val="22"/>
          <w:szCs w:val="22"/>
        </w:rPr>
        <w:t>, as well as higher than average spending growth.</w:t>
      </w:r>
      <w:r w:rsidR="00293B8F" w:rsidRPr="009C0C39">
        <w:rPr>
          <w:rStyle w:val="FootnoteReference"/>
          <w:rFonts w:ascii="Franklin Gothic Book" w:hAnsi="Franklin Gothic Book" w:cs="Times New Roman"/>
          <w:sz w:val="22"/>
          <w:szCs w:val="22"/>
        </w:rPr>
        <w:footnoteReference w:id="38"/>
      </w:r>
      <w:r w:rsidR="009B7037" w:rsidRPr="009C0C39">
        <w:rPr>
          <w:rFonts w:ascii="Franklin Gothic Book" w:hAnsi="Franklin Gothic Book" w:cs="Times New Roman"/>
          <w:sz w:val="22"/>
          <w:szCs w:val="22"/>
        </w:rPr>
        <w:t xml:space="preserve"> MGB’s primary care patients with Tufts Medicare Advantage also </w:t>
      </w:r>
      <w:r w:rsidR="009B7037" w:rsidRPr="009C0C39">
        <w:rPr>
          <w:rFonts w:ascii="Franklin Gothic Book" w:hAnsi="Franklin Gothic Book" w:cs="Times New Roman"/>
          <w:sz w:val="22"/>
          <w:szCs w:val="22"/>
        </w:rPr>
        <w:lastRenderedPageBreak/>
        <w:t>have higher-than-average health status adjusted spending.</w:t>
      </w:r>
      <w:r w:rsidR="00E57D2C" w:rsidRPr="009C0C39">
        <w:rPr>
          <w:rStyle w:val="FootnoteReference"/>
          <w:rFonts w:ascii="Franklin Gothic Book" w:hAnsi="Franklin Gothic Book" w:cs="Times New Roman"/>
          <w:sz w:val="22"/>
          <w:szCs w:val="22"/>
        </w:rPr>
        <w:footnoteReference w:id="39"/>
      </w:r>
      <w:r w:rsidR="00E57D2C" w:rsidRPr="009C0C39">
        <w:rPr>
          <w:rFonts w:ascii="Franklin Gothic Book" w:hAnsi="Franklin Gothic Book" w:cs="Times New Roman"/>
          <w:sz w:val="22"/>
          <w:szCs w:val="22"/>
        </w:rPr>
        <w:t xml:space="preserve"> </w:t>
      </w:r>
      <w:r w:rsidR="009A6490" w:rsidRPr="009C0C39">
        <w:rPr>
          <w:rFonts w:ascii="Franklin Gothic Book" w:hAnsi="Franklin Gothic Book" w:cs="Times New Roman"/>
          <w:sz w:val="22"/>
          <w:szCs w:val="22"/>
        </w:rPr>
        <w:t>MGB’s high prices and utilization of low</w:t>
      </w:r>
      <w:r w:rsidR="00DA7551">
        <w:rPr>
          <w:rFonts w:ascii="Franklin Gothic Book" w:hAnsi="Franklin Gothic Book" w:cs="Times New Roman"/>
          <w:sz w:val="22"/>
          <w:szCs w:val="22"/>
        </w:rPr>
        <w:t>-</w:t>
      </w:r>
      <w:r w:rsidR="009A6490" w:rsidRPr="009C0C39">
        <w:rPr>
          <w:rFonts w:ascii="Franklin Gothic Book" w:hAnsi="Franklin Gothic Book" w:cs="Times New Roman"/>
          <w:sz w:val="22"/>
          <w:szCs w:val="22"/>
        </w:rPr>
        <w:t xml:space="preserve">value care services noted above have a substantial combined impact on spending. </w:t>
      </w:r>
      <w:r w:rsidR="00FF47DA">
        <w:rPr>
          <w:rFonts w:ascii="Franklin Gothic Book" w:hAnsi="Franklin Gothic Book" w:cs="Times New Roman"/>
          <w:sz w:val="22"/>
          <w:szCs w:val="22"/>
        </w:rPr>
        <w:t>Although</w:t>
      </w:r>
      <w:r w:rsidR="004532DC" w:rsidRPr="009C0C39">
        <w:rPr>
          <w:rFonts w:ascii="Franklin Gothic Book" w:hAnsi="Franklin Gothic Book" w:cs="Times New Roman"/>
          <w:sz w:val="22"/>
          <w:szCs w:val="22"/>
        </w:rPr>
        <w:t xml:space="preserve"> MGB has </w:t>
      </w:r>
      <w:r w:rsidR="009A6490" w:rsidRPr="009C0C39">
        <w:rPr>
          <w:rFonts w:ascii="Franklin Gothic Book" w:hAnsi="Franklin Gothic Book" w:cs="Times New Roman"/>
          <w:sz w:val="22"/>
          <w:szCs w:val="22"/>
        </w:rPr>
        <w:t xml:space="preserve">repeatedly described </w:t>
      </w:r>
      <w:r w:rsidR="004532DC" w:rsidRPr="009C0C39">
        <w:rPr>
          <w:rFonts w:ascii="Franklin Gothic Book" w:hAnsi="Franklin Gothic Book" w:cs="Times New Roman"/>
          <w:sz w:val="22"/>
          <w:szCs w:val="22"/>
        </w:rPr>
        <w:t>its efforts to monitor and control costs</w:t>
      </w:r>
      <w:r w:rsidR="005059A9" w:rsidRPr="009C0C39">
        <w:rPr>
          <w:rStyle w:val="FootnoteReference"/>
          <w:rFonts w:ascii="Franklin Gothic Book" w:hAnsi="Franklin Gothic Book" w:cs="Times New Roman"/>
          <w:sz w:val="22"/>
          <w:szCs w:val="22"/>
        </w:rPr>
        <w:footnoteReference w:id="40"/>
      </w:r>
      <w:r w:rsidR="004532DC" w:rsidRPr="009C0C39">
        <w:rPr>
          <w:rFonts w:ascii="Franklin Gothic Book" w:hAnsi="Franklin Gothic Book" w:cs="Times New Roman"/>
          <w:sz w:val="22"/>
          <w:szCs w:val="22"/>
        </w:rPr>
        <w:t xml:space="preserve"> and highlight</w:t>
      </w:r>
      <w:r w:rsidR="006D39EE" w:rsidRPr="009C0C39">
        <w:rPr>
          <w:rFonts w:ascii="Franklin Gothic Book" w:hAnsi="Franklin Gothic Book" w:cs="Times New Roman"/>
          <w:sz w:val="22"/>
          <w:szCs w:val="22"/>
        </w:rPr>
        <w:t>ed</w:t>
      </w:r>
      <w:r w:rsidR="004532DC" w:rsidRPr="009C0C39">
        <w:rPr>
          <w:rFonts w:ascii="Franklin Gothic Book" w:hAnsi="Franklin Gothic Book" w:cs="Times New Roman"/>
          <w:sz w:val="22"/>
          <w:szCs w:val="22"/>
        </w:rPr>
        <w:t xml:space="preserve"> </w:t>
      </w:r>
      <w:r w:rsidR="005059A9" w:rsidRPr="009C0C39">
        <w:rPr>
          <w:rFonts w:ascii="Franklin Gothic Book" w:hAnsi="Franklin Gothic Book" w:cs="Times New Roman"/>
          <w:sz w:val="22"/>
          <w:szCs w:val="22"/>
        </w:rPr>
        <w:t>in its applications both its population health management efforts generally,</w:t>
      </w:r>
      <w:r w:rsidR="005059A9" w:rsidRPr="009C0C39">
        <w:rPr>
          <w:rStyle w:val="FootnoteReference"/>
          <w:rFonts w:ascii="Franklin Gothic Book" w:hAnsi="Franklin Gothic Book" w:cs="Times New Roman"/>
          <w:sz w:val="22"/>
          <w:szCs w:val="22"/>
        </w:rPr>
        <w:footnoteReference w:id="41"/>
      </w:r>
      <w:r w:rsidR="005059A9" w:rsidRPr="009C0C39">
        <w:rPr>
          <w:rFonts w:ascii="Franklin Gothic Book" w:hAnsi="Franklin Gothic Book" w:cs="Times New Roman"/>
          <w:sz w:val="22"/>
          <w:szCs w:val="22"/>
        </w:rPr>
        <w:t xml:space="preserve"> </w:t>
      </w:r>
      <w:r w:rsidR="007818A9" w:rsidRPr="009C0C39">
        <w:rPr>
          <w:rFonts w:ascii="Franklin Gothic Book" w:hAnsi="Franklin Gothic Book" w:cs="Times New Roman"/>
          <w:sz w:val="22"/>
          <w:szCs w:val="22"/>
        </w:rPr>
        <w:t xml:space="preserve">as well </w:t>
      </w:r>
      <w:r w:rsidR="004532DC" w:rsidRPr="009C0C39">
        <w:rPr>
          <w:rFonts w:ascii="Franklin Gothic Book" w:hAnsi="Franklin Gothic Book" w:cs="Times New Roman"/>
          <w:sz w:val="22"/>
          <w:szCs w:val="22"/>
        </w:rPr>
        <w:t>specific initiatives that it claims will reduce operational costs and the costs of care “thereby reducing TME, and ultimately total healthcare e</w:t>
      </w:r>
      <w:r w:rsidR="005059A9" w:rsidRPr="009C0C39">
        <w:rPr>
          <w:rFonts w:ascii="Franklin Gothic Book" w:hAnsi="Franklin Gothic Book" w:cs="Times New Roman"/>
          <w:sz w:val="22"/>
          <w:szCs w:val="22"/>
        </w:rPr>
        <w:t>xpenditures</w:t>
      </w:r>
      <w:r w:rsidR="006D39EE" w:rsidRPr="009C0C39">
        <w:rPr>
          <w:rFonts w:ascii="Franklin Gothic Book" w:hAnsi="Franklin Gothic Book" w:cs="Times New Roman"/>
          <w:sz w:val="22"/>
          <w:szCs w:val="22"/>
        </w:rPr>
        <w:t>,</w:t>
      </w:r>
      <w:r w:rsidR="005059A9" w:rsidRPr="009C0C39">
        <w:rPr>
          <w:rFonts w:ascii="Franklin Gothic Book" w:hAnsi="Franklin Gothic Book" w:cs="Times New Roman"/>
          <w:sz w:val="22"/>
          <w:szCs w:val="22"/>
        </w:rPr>
        <w:t>”</w:t>
      </w:r>
      <w:r w:rsidR="005059A9" w:rsidRPr="009C0C39">
        <w:rPr>
          <w:rStyle w:val="FootnoteReference"/>
          <w:rFonts w:ascii="Franklin Gothic Book" w:hAnsi="Franklin Gothic Book" w:cs="Times New Roman"/>
          <w:sz w:val="22"/>
          <w:szCs w:val="22"/>
        </w:rPr>
        <w:footnoteReference w:id="42"/>
      </w:r>
      <w:r w:rsidR="00CE55B9" w:rsidRPr="009C0C39">
        <w:rPr>
          <w:rFonts w:ascii="Franklin Gothic Book" w:hAnsi="Franklin Gothic Book" w:cs="Times New Roman"/>
          <w:sz w:val="22"/>
          <w:szCs w:val="22"/>
        </w:rPr>
        <w:t xml:space="preserve"> </w:t>
      </w:r>
      <w:r w:rsidR="00460C3D" w:rsidRPr="009C0C39">
        <w:rPr>
          <w:rFonts w:ascii="Franklin Gothic Book" w:hAnsi="Franklin Gothic Book" w:cs="Times New Roman"/>
          <w:sz w:val="22"/>
          <w:szCs w:val="22"/>
        </w:rPr>
        <w:t>MGB’s</w:t>
      </w:r>
      <w:r w:rsidR="00CE55B9" w:rsidRPr="009C0C39">
        <w:rPr>
          <w:rFonts w:ascii="Franklin Gothic Book" w:hAnsi="Franklin Gothic Book" w:cs="Times New Roman"/>
          <w:sz w:val="22"/>
          <w:szCs w:val="22"/>
        </w:rPr>
        <w:t xml:space="preserve"> primary care patients </w:t>
      </w:r>
      <w:r w:rsidR="00460C3D" w:rsidRPr="009C0C39">
        <w:rPr>
          <w:rFonts w:ascii="Franklin Gothic Book" w:hAnsi="Franklin Gothic Book" w:cs="Times New Roman"/>
          <w:sz w:val="22"/>
          <w:szCs w:val="22"/>
        </w:rPr>
        <w:t xml:space="preserve">have persistently higher </w:t>
      </w:r>
      <w:r w:rsidR="00CE55B9" w:rsidRPr="009C0C39">
        <w:rPr>
          <w:rFonts w:ascii="Franklin Gothic Book" w:hAnsi="Franklin Gothic Book" w:cs="Times New Roman"/>
          <w:sz w:val="22"/>
          <w:szCs w:val="22"/>
        </w:rPr>
        <w:t>spend</w:t>
      </w:r>
      <w:r w:rsidR="00460C3D" w:rsidRPr="009C0C39">
        <w:rPr>
          <w:rFonts w:ascii="Franklin Gothic Book" w:hAnsi="Franklin Gothic Book" w:cs="Times New Roman"/>
          <w:sz w:val="22"/>
          <w:szCs w:val="22"/>
        </w:rPr>
        <w:t>ing</w:t>
      </w:r>
      <w:r w:rsidR="00CE55B9" w:rsidRPr="009C0C39">
        <w:rPr>
          <w:rFonts w:ascii="Franklin Gothic Book" w:hAnsi="Franklin Gothic Book" w:cs="Times New Roman"/>
          <w:sz w:val="22"/>
          <w:szCs w:val="22"/>
        </w:rPr>
        <w:t xml:space="preserve"> than primary care patients of </w:t>
      </w:r>
      <w:r w:rsidR="007818A9" w:rsidRPr="009C0C39">
        <w:rPr>
          <w:rFonts w:ascii="Franklin Gothic Book" w:hAnsi="Franklin Gothic Book" w:cs="Times New Roman"/>
          <w:sz w:val="22"/>
          <w:szCs w:val="22"/>
        </w:rPr>
        <w:t xml:space="preserve">the vast majority of </w:t>
      </w:r>
      <w:r w:rsidR="00CE55B9" w:rsidRPr="009C0C39">
        <w:rPr>
          <w:rFonts w:ascii="Franklin Gothic Book" w:hAnsi="Franklin Gothic Book" w:cs="Times New Roman"/>
          <w:sz w:val="22"/>
          <w:szCs w:val="22"/>
        </w:rPr>
        <w:t>other provider system</w:t>
      </w:r>
      <w:r w:rsidR="007818A9" w:rsidRPr="009C0C39">
        <w:rPr>
          <w:rFonts w:ascii="Franklin Gothic Book" w:hAnsi="Franklin Gothic Book" w:cs="Times New Roman"/>
          <w:sz w:val="22"/>
          <w:szCs w:val="22"/>
        </w:rPr>
        <w:t>s</w:t>
      </w:r>
      <w:r w:rsidR="00CE55B9" w:rsidRPr="009C0C39">
        <w:rPr>
          <w:rFonts w:ascii="Franklin Gothic Book" w:hAnsi="Franklin Gothic Book" w:cs="Times New Roman"/>
          <w:sz w:val="22"/>
          <w:szCs w:val="22"/>
        </w:rPr>
        <w:t xml:space="preserve"> in Massachusetts. </w:t>
      </w:r>
    </w:p>
    <w:p w14:paraId="53F72D3F" w14:textId="4246D747" w:rsidR="00C910C1" w:rsidRPr="009C0C39" w:rsidRDefault="00FA1334" w:rsidP="009257C1">
      <w:pPr>
        <w:pStyle w:val="ListParagraph"/>
        <w:numPr>
          <w:ilvl w:val="0"/>
          <w:numId w:val="8"/>
        </w:numPr>
        <w:spacing w:before="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MGB providers </w:t>
      </w:r>
      <w:r w:rsidR="007818A9" w:rsidRPr="009C0C39">
        <w:rPr>
          <w:rFonts w:ascii="Franklin Gothic Book" w:hAnsi="Franklin Gothic Book" w:cs="Times New Roman"/>
          <w:b/>
          <w:bCs/>
          <w:sz w:val="22"/>
          <w:szCs w:val="22"/>
        </w:rPr>
        <w:t xml:space="preserve">generally </w:t>
      </w:r>
      <w:r w:rsidRPr="009C0C39">
        <w:rPr>
          <w:rFonts w:ascii="Franklin Gothic Book" w:hAnsi="Franklin Gothic Book" w:cs="Times New Roman"/>
          <w:b/>
          <w:bCs/>
          <w:sz w:val="22"/>
          <w:szCs w:val="22"/>
        </w:rPr>
        <w:t>serv</w:t>
      </w:r>
      <w:r w:rsidR="002F398B" w:rsidRPr="009C0C39">
        <w:rPr>
          <w:rFonts w:ascii="Franklin Gothic Book" w:hAnsi="Franklin Gothic Book" w:cs="Times New Roman"/>
          <w:b/>
          <w:bCs/>
          <w:sz w:val="22"/>
          <w:szCs w:val="22"/>
        </w:rPr>
        <w:t>e</w:t>
      </w:r>
      <w:r w:rsidRPr="009C0C39">
        <w:rPr>
          <w:rFonts w:ascii="Franklin Gothic Book" w:hAnsi="Franklin Gothic Book" w:cs="Times New Roman"/>
          <w:b/>
          <w:bCs/>
          <w:sz w:val="22"/>
          <w:szCs w:val="22"/>
        </w:rPr>
        <w:t xml:space="preserve"> </w:t>
      </w:r>
      <w:r w:rsidR="00934C8A" w:rsidRPr="009C0C39">
        <w:rPr>
          <w:rFonts w:ascii="Franklin Gothic Book" w:hAnsi="Franklin Gothic Book" w:cs="Times New Roman"/>
          <w:b/>
          <w:bCs/>
          <w:sz w:val="22"/>
          <w:szCs w:val="22"/>
        </w:rPr>
        <w:t xml:space="preserve">higher proportions of commercially insured </w:t>
      </w:r>
      <w:r w:rsidR="00AE2B1A" w:rsidRPr="009C0C39">
        <w:rPr>
          <w:rFonts w:ascii="Franklin Gothic Book" w:hAnsi="Franklin Gothic Book" w:cs="Times New Roman"/>
          <w:b/>
          <w:bCs/>
          <w:sz w:val="22"/>
          <w:szCs w:val="22"/>
        </w:rPr>
        <w:t>patients</w:t>
      </w:r>
      <w:r w:rsidR="002F398B" w:rsidRPr="009C0C39">
        <w:rPr>
          <w:rFonts w:ascii="Franklin Gothic Book" w:hAnsi="Franklin Gothic Book" w:cs="Times New Roman"/>
          <w:b/>
          <w:bCs/>
          <w:sz w:val="22"/>
          <w:szCs w:val="22"/>
        </w:rPr>
        <w:t xml:space="preserve"> and patients</w:t>
      </w:r>
      <w:r w:rsidR="00AE2B1A" w:rsidRPr="009C0C39">
        <w:rPr>
          <w:rFonts w:ascii="Franklin Gothic Book" w:hAnsi="Franklin Gothic Book" w:cs="Times New Roman"/>
          <w:b/>
          <w:bCs/>
          <w:sz w:val="22"/>
          <w:szCs w:val="22"/>
        </w:rPr>
        <w:t xml:space="preserve"> from </w:t>
      </w:r>
      <w:r w:rsidRPr="009C0C39">
        <w:rPr>
          <w:rFonts w:ascii="Franklin Gothic Book" w:hAnsi="Franklin Gothic Book" w:cs="Times New Roman"/>
          <w:b/>
          <w:bCs/>
          <w:sz w:val="22"/>
          <w:szCs w:val="22"/>
        </w:rPr>
        <w:t xml:space="preserve">wealthier </w:t>
      </w:r>
      <w:r w:rsidR="00AE2B1A" w:rsidRPr="009C0C39">
        <w:rPr>
          <w:rFonts w:ascii="Franklin Gothic Book" w:hAnsi="Franklin Gothic Book" w:cs="Times New Roman"/>
          <w:b/>
          <w:bCs/>
          <w:sz w:val="22"/>
          <w:szCs w:val="22"/>
        </w:rPr>
        <w:t>communities</w:t>
      </w:r>
      <w:r w:rsidR="007818A9" w:rsidRPr="009C0C39">
        <w:rPr>
          <w:rFonts w:ascii="Franklin Gothic Book" w:hAnsi="Franklin Gothic Book" w:cs="Times New Roman"/>
          <w:b/>
          <w:bCs/>
          <w:sz w:val="22"/>
          <w:szCs w:val="22"/>
        </w:rPr>
        <w:t>, on average,</w:t>
      </w:r>
      <w:r w:rsidRPr="009C0C39">
        <w:rPr>
          <w:rFonts w:ascii="Franklin Gothic Book" w:hAnsi="Franklin Gothic Book" w:cs="Times New Roman"/>
          <w:b/>
          <w:bCs/>
          <w:sz w:val="22"/>
          <w:szCs w:val="22"/>
        </w:rPr>
        <w:t xml:space="preserve"> as compared to other provider systems in Massachusetts.</w:t>
      </w:r>
      <w:r w:rsidRPr="009C0C39">
        <w:rPr>
          <w:rFonts w:ascii="Franklin Gothic Book" w:hAnsi="Franklin Gothic Book" w:cs="Times New Roman"/>
          <w:sz w:val="22"/>
          <w:szCs w:val="22"/>
        </w:rPr>
        <w:t xml:space="preserve"> </w:t>
      </w:r>
      <w:r w:rsidR="00C910C1" w:rsidRPr="009C0C39">
        <w:rPr>
          <w:rFonts w:ascii="Franklin Gothic Book" w:hAnsi="Franklin Gothic Book" w:cs="Times New Roman"/>
          <w:sz w:val="22"/>
          <w:szCs w:val="22"/>
        </w:rPr>
        <w:t xml:space="preserve">MGB hospitals </w:t>
      </w:r>
      <w:r w:rsidR="00674949" w:rsidRPr="009C0C39">
        <w:rPr>
          <w:rFonts w:ascii="Franklin Gothic Book" w:hAnsi="Franklin Gothic Book" w:cs="Times New Roman"/>
          <w:sz w:val="22"/>
          <w:szCs w:val="22"/>
        </w:rPr>
        <w:t xml:space="preserve">have </w:t>
      </w:r>
      <w:r w:rsidR="00C910C1" w:rsidRPr="009C0C39">
        <w:rPr>
          <w:rFonts w:ascii="Franklin Gothic Book" w:hAnsi="Franklin Gothic Book" w:cs="Times New Roman"/>
          <w:sz w:val="22"/>
          <w:szCs w:val="22"/>
        </w:rPr>
        <w:t xml:space="preserve">the highest </w:t>
      </w:r>
      <w:r w:rsidR="009A6490" w:rsidRPr="009C0C39">
        <w:rPr>
          <w:rFonts w:ascii="Franklin Gothic Book" w:hAnsi="Franklin Gothic Book" w:cs="Times New Roman"/>
          <w:sz w:val="22"/>
          <w:szCs w:val="22"/>
        </w:rPr>
        <w:t xml:space="preserve">percentage </w:t>
      </w:r>
      <w:r w:rsidR="00C910C1" w:rsidRPr="009C0C39">
        <w:rPr>
          <w:rFonts w:ascii="Franklin Gothic Book" w:hAnsi="Franklin Gothic Book" w:cs="Times New Roman"/>
          <w:sz w:val="22"/>
          <w:szCs w:val="22"/>
        </w:rPr>
        <w:t xml:space="preserve">of commercial </w:t>
      </w:r>
      <w:r w:rsidR="00597032" w:rsidRPr="009C0C39">
        <w:rPr>
          <w:rFonts w:ascii="Franklin Gothic Book" w:hAnsi="Franklin Gothic Book" w:cs="Times New Roman"/>
          <w:sz w:val="22"/>
          <w:szCs w:val="22"/>
        </w:rPr>
        <w:t xml:space="preserve">volume </w:t>
      </w:r>
      <w:r w:rsidR="00A23021" w:rsidRPr="009C0C39">
        <w:rPr>
          <w:rFonts w:ascii="Franklin Gothic Book" w:hAnsi="Franklin Gothic Book" w:cs="Times New Roman"/>
          <w:sz w:val="22"/>
          <w:szCs w:val="22"/>
        </w:rPr>
        <w:t xml:space="preserve">among Massachusetts hospitals, and the lowest </w:t>
      </w:r>
      <w:r w:rsidR="009A6490" w:rsidRPr="009C0C39">
        <w:rPr>
          <w:rFonts w:ascii="Franklin Gothic Book" w:hAnsi="Franklin Gothic Book" w:cs="Times New Roman"/>
          <w:sz w:val="22"/>
          <w:szCs w:val="22"/>
        </w:rPr>
        <w:t xml:space="preserve">percentage </w:t>
      </w:r>
      <w:r w:rsidR="00A23021" w:rsidRPr="009C0C39">
        <w:rPr>
          <w:rFonts w:ascii="Franklin Gothic Book" w:hAnsi="Franklin Gothic Book" w:cs="Times New Roman"/>
          <w:sz w:val="22"/>
          <w:szCs w:val="22"/>
        </w:rPr>
        <w:t xml:space="preserve">of Medicaid </w:t>
      </w:r>
      <w:r w:rsidR="00597032" w:rsidRPr="009C0C39">
        <w:rPr>
          <w:rFonts w:ascii="Franklin Gothic Book" w:hAnsi="Franklin Gothic Book" w:cs="Times New Roman"/>
          <w:sz w:val="22"/>
          <w:szCs w:val="22"/>
        </w:rPr>
        <w:t>volume</w:t>
      </w:r>
      <w:r w:rsidR="00D2396E" w:rsidRPr="009C0C39">
        <w:rPr>
          <w:rFonts w:ascii="Franklin Gothic Book" w:hAnsi="Franklin Gothic Book" w:cs="Times New Roman"/>
          <w:sz w:val="22"/>
          <w:szCs w:val="22"/>
        </w:rPr>
        <w:t>.</w:t>
      </w:r>
      <w:r w:rsidR="001D405D" w:rsidRPr="009C0C39">
        <w:rPr>
          <w:rStyle w:val="FootnoteReference"/>
          <w:rFonts w:ascii="Franklin Gothic Book" w:hAnsi="Franklin Gothic Book" w:cs="Times New Roman"/>
          <w:sz w:val="22"/>
          <w:szCs w:val="22"/>
        </w:rPr>
        <w:footnoteReference w:id="43"/>
      </w:r>
      <w:r w:rsidR="00A23021" w:rsidRPr="009C0C39">
        <w:rPr>
          <w:rFonts w:ascii="Franklin Gothic Book" w:hAnsi="Franklin Gothic Book" w:cs="Times New Roman"/>
          <w:sz w:val="22"/>
          <w:szCs w:val="22"/>
        </w:rPr>
        <w:t xml:space="preserve"> </w:t>
      </w:r>
      <w:r w:rsidR="00674949" w:rsidRPr="009C0C39">
        <w:rPr>
          <w:rFonts w:ascii="Franklin Gothic Book" w:hAnsi="Franklin Gothic Book" w:cs="Times New Roman"/>
          <w:sz w:val="22"/>
          <w:szCs w:val="22"/>
        </w:rPr>
        <w:t xml:space="preserve">MGB </w:t>
      </w:r>
      <w:r w:rsidR="002232BE" w:rsidRPr="009C0C39">
        <w:rPr>
          <w:rFonts w:ascii="Franklin Gothic Book" w:hAnsi="Franklin Gothic Book" w:cs="Times New Roman"/>
          <w:sz w:val="22"/>
          <w:szCs w:val="22"/>
        </w:rPr>
        <w:t xml:space="preserve">primary care providers </w:t>
      </w:r>
      <w:r w:rsidR="00F86CAA" w:rsidRPr="009C0C39">
        <w:rPr>
          <w:rFonts w:ascii="Franklin Gothic Book" w:hAnsi="Franklin Gothic Book" w:cs="Times New Roman"/>
          <w:sz w:val="22"/>
          <w:szCs w:val="22"/>
        </w:rPr>
        <w:t xml:space="preserve">also </w:t>
      </w:r>
      <w:r w:rsidR="00674949" w:rsidRPr="009C0C39">
        <w:rPr>
          <w:rFonts w:ascii="Franklin Gothic Book" w:hAnsi="Franklin Gothic Book" w:cs="Times New Roman"/>
          <w:sz w:val="22"/>
          <w:szCs w:val="22"/>
        </w:rPr>
        <w:t xml:space="preserve">serve patients </w:t>
      </w:r>
      <w:r w:rsidR="00F86CAA" w:rsidRPr="009C0C39">
        <w:rPr>
          <w:rFonts w:ascii="Franklin Gothic Book" w:hAnsi="Franklin Gothic Book" w:cs="Times New Roman"/>
          <w:sz w:val="22"/>
          <w:szCs w:val="22"/>
        </w:rPr>
        <w:t xml:space="preserve">who generally come from </w:t>
      </w:r>
      <w:r w:rsidR="00C910C1" w:rsidRPr="009C0C39">
        <w:rPr>
          <w:rFonts w:ascii="Franklin Gothic Book" w:hAnsi="Franklin Gothic Book" w:cs="Times New Roman"/>
          <w:sz w:val="22"/>
          <w:szCs w:val="22"/>
        </w:rPr>
        <w:t>higher-income communities</w:t>
      </w:r>
      <w:r w:rsidR="001D405D" w:rsidRPr="009C0C39">
        <w:rPr>
          <w:rFonts w:ascii="Franklin Gothic Book" w:hAnsi="Franklin Gothic Book" w:cs="Times New Roman"/>
          <w:sz w:val="22"/>
          <w:szCs w:val="22"/>
        </w:rPr>
        <w:t xml:space="preserve"> with fewer indicia of social need</w:t>
      </w:r>
      <w:r w:rsidR="00F86CAA" w:rsidRPr="009C0C39">
        <w:rPr>
          <w:rFonts w:ascii="Franklin Gothic Book" w:hAnsi="Franklin Gothic Book" w:cs="Times New Roman"/>
          <w:sz w:val="22"/>
          <w:szCs w:val="22"/>
        </w:rPr>
        <w:t xml:space="preserve"> </w:t>
      </w:r>
      <w:r w:rsidR="009870A6" w:rsidRPr="009C0C39">
        <w:rPr>
          <w:rFonts w:ascii="Franklin Gothic Book" w:hAnsi="Franklin Gothic Book" w:cs="Times New Roman"/>
          <w:sz w:val="22"/>
          <w:szCs w:val="22"/>
        </w:rPr>
        <w:t>as compared to</w:t>
      </w:r>
      <w:r w:rsidR="00F86CAA" w:rsidRPr="009C0C39">
        <w:rPr>
          <w:rFonts w:ascii="Franklin Gothic Book" w:hAnsi="Franklin Gothic Book" w:cs="Times New Roman"/>
          <w:sz w:val="22"/>
          <w:szCs w:val="22"/>
        </w:rPr>
        <w:t xml:space="preserve"> other providers</w:t>
      </w:r>
      <w:r w:rsidR="00C910C1" w:rsidRPr="009C0C39">
        <w:rPr>
          <w:rFonts w:ascii="Franklin Gothic Book" w:hAnsi="Franklin Gothic Book" w:cs="Times New Roman"/>
          <w:sz w:val="22"/>
          <w:szCs w:val="22"/>
        </w:rPr>
        <w:t>.</w:t>
      </w:r>
      <w:r w:rsidR="001D405D" w:rsidRPr="009C0C39">
        <w:rPr>
          <w:rStyle w:val="FootnoteReference"/>
          <w:rFonts w:ascii="Franklin Gothic Book" w:hAnsi="Franklin Gothic Book" w:cs="Times New Roman"/>
          <w:sz w:val="22"/>
          <w:szCs w:val="22"/>
        </w:rPr>
        <w:footnoteReference w:id="44"/>
      </w:r>
      <w:r w:rsidR="00C910C1" w:rsidRPr="009C0C39">
        <w:rPr>
          <w:rFonts w:ascii="Franklin Gothic Book" w:hAnsi="Franklin Gothic Book" w:cs="Times New Roman"/>
          <w:sz w:val="22"/>
          <w:szCs w:val="22"/>
        </w:rPr>
        <w:t xml:space="preserve"> MGB</w:t>
      </w:r>
      <w:r w:rsidR="009870A6" w:rsidRPr="009C0C39">
        <w:rPr>
          <w:rFonts w:ascii="Franklin Gothic Book" w:hAnsi="Franklin Gothic Book" w:cs="Times New Roman"/>
          <w:sz w:val="22"/>
          <w:szCs w:val="22"/>
        </w:rPr>
        <w:t>’s general acute care</w:t>
      </w:r>
      <w:r w:rsidR="00C910C1" w:rsidRPr="009C0C39">
        <w:rPr>
          <w:rFonts w:ascii="Franklin Gothic Book" w:hAnsi="Franklin Gothic Book" w:cs="Times New Roman"/>
          <w:sz w:val="22"/>
          <w:szCs w:val="22"/>
        </w:rPr>
        <w:t xml:space="preserve"> hospitals generally serve a lower share of </w:t>
      </w:r>
      <w:r w:rsidR="007818A9" w:rsidRPr="009C0C39">
        <w:rPr>
          <w:rFonts w:ascii="Franklin Gothic Book" w:hAnsi="Franklin Gothic Book" w:cs="Times New Roman"/>
          <w:sz w:val="22"/>
          <w:szCs w:val="22"/>
        </w:rPr>
        <w:t>Black, Indigenous</w:t>
      </w:r>
      <w:r w:rsidR="00F40D84">
        <w:rPr>
          <w:rFonts w:ascii="Franklin Gothic Book" w:hAnsi="Franklin Gothic Book" w:cs="Times New Roman"/>
          <w:sz w:val="22"/>
          <w:szCs w:val="22"/>
        </w:rPr>
        <w:t>,</w:t>
      </w:r>
      <w:r w:rsidR="007818A9" w:rsidRPr="009C0C39">
        <w:rPr>
          <w:rFonts w:ascii="Franklin Gothic Book" w:hAnsi="Franklin Gothic Book" w:cs="Times New Roman"/>
          <w:sz w:val="22"/>
          <w:szCs w:val="22"/>
        </w:rPr>
        <w:t xml:space="preserve"> and </w:t>
      </w:r>
      <w:r w:rsidR="005A4ACB" w:rsidRPr="009C0C39">
        <w:rPr>
          <w:rFonts w:ascii="Franklin Gothic Book" w:hAnsi="Franklin Gothic Book" w:cs="Times New Roman"/>
          <w:sz w:val="22"/>
          <w:szCs w:val="22"/>
        </w:rPr>
        <w:t>p</w:t>
      </w:r>
      <w:r w:rsidR="007818A9" w:rsidRPr="009C0C39">
        <w:rPr>
          <w:rFonts w:ascii="Franklin Gothic Book" w:hAnsi="Franklin Gothic Book" w:cs="Times New Roman"/>
          <w:sz w:val="22"/>
          <w:szCs w:val="22"/>
        </w:rPr>
        <w:t xml:space="preserve">eople of </w:t>
      </w:r>
      <w:r w:rsidR="005A4ACB" w:rsidRPr="009C0C39">
        <w:rPr>
          <w:rFonts w:ascii="Franklin Gothic Book" w:hAnsi="Franklin Gothic Book" w:cs="Times New Roman"/>
          <w:sz w:val="22"/>
          <w:szCs w:val="22"/>
        </w:rPr>
        <w:t>c</w:t>
      </w:r>
      <w:r w:rsidR="007818A9" w:rsidRPr="009C0C39">
        <w:rPr>
          <w:rFonts w:ascii="Franklin Gothic Book" w:hAnsi="Franklin Gothic Book" w:cs="Times New Roman"/>
          <w:sz w:val="22"/>
          <w:szCs w:val="22"/>
        </w:rPr>
        <w:t xml:space="preserve">olor (BIPOC) </w:t>
      </w:r>
      <w:r w:rsidR="00674949" w:rsidRPr="009C0C39">
        <w:rPr>
          <w:rFonts w:ascii="Franklin Gothic Book" w:hAnsi="Franklin Gothic Book" w:cs="Times New Roman"/>
          <w:sz w:val="22"/>
          <w:szCs w:val="22"/>
        </w:rPr>
        <w:t>in</w:t>
      </w:r>
      <w:r w:rsidR="00C910C1" w:rsidRPr="009C0C39">
        <w:rPr>
          <w:rFonts w:ascii="Franklin Gothic Book" w:hAnsi="Franklin Gothic Book" w:cs="Times New Roman"/>
          <w:sz w:val="22"/>
          <w:szCs w:val="22"/>
        </w:rPr>
        <w:t>patients than comparable hospitals and a lower share as compared to those that reside in its hospitals’ service areas.</w:t>
      </w:r>
      <w:r w:rsidR="001D405D" w:rsidRPr="009C0C39">
        <w:rPr>
          <w:rStyle w:val="FootnoteReference"/>
          <w:rFonts w:ascii="Franklin Gothic Book" w:hAnsi="Franklin Gothic Book" w:cs="Times New Roman"/>
          <w:sz w:val="22"/>
          <w:szCs w:val="22"/>
        </w:rPr>
        <w:footnoteReference w:id="45"/>
      </w:r>
      <w:r w:rsidR="00C910C1" w:rsidRPr="009C0C39">
        <w:rPr>
          <w:rFonts w:ascii="Franklin Gothic Book" w:hAnsi="Franklin Gothic Book" w:cs="Times New Roman"/>
          <w:sz w:val="22"/>
          <w:szCs w:val="22"/>
        </w:rPr>
        <w:t xml:space="preserve"> </w:t>
      </w:r>
    </w:p>
    <w:p w14:paraId="62104449" w14:textId="53EA290C" w:rsidR="0083705D" w:rsidRPr="009C0C39" w:rsidRDefault="00C910C1" w:rsidP="009257C1">
      <w:pPr>
        <w:pStyle w:val="ListParagraph"/>
        <w:numPr>
          <w:ilvl w:val="0"/>
          <w:numId w:val="8"/>
        </w:numPr>
        <w:spacing w:before="240"/>
        <w:contextualSpacing w:val="0"/>
        <w:rPr>
          <w:rFonts w:ascii="Franklin Gothic Book" w:hAnsi="Franklin Gothic Book" w:cs="Times New Roman"/>
          <w:sz w:val="22"/>
          <w:szCs w:val="22"/>
          <w:u w:val="single"/>
        </w:rPr>
      </w:pPr>
      <w:r w:rsidRPr="009C0C39">
        <w:rPr>
          <w:rFonts w:ascii="Franklin Gothic Book" w:hAnsi="Franklin Gothic Book" w:cs="Times New Roman"/>
          <w:b/>
          <w:bCs/>
          <w:sz w:val="22"/>
          <w:szCs w:val="22"/>
        </w:rPr>
        <w:t>MGB has substantially more financial resources than other Massachusetts provider systems.</w:t>
      </w:r>
      <w:r w:rsidRPr="009C0C39">
        <w:rPr>
          <w:rFonts w:ascii="Franklin Gothic Book" w:hAnsi="Franklin Gothic Book" w:cs="Times New Roman"/>
          <w:sz w:val="22"/>
          <w:szCs w:val="22"/>
        </w:rPr>
        <w:t xml:space="preserve"> </w:t>
      </w:r>
      <w:r w:rsidR="00A950BB" w:rsidRPr="009C0C39">
        <w:rPr>
          <w:rFonts w:ascii="Franklin Gothic Book" w:hAnsi="Franklin Gothic Book" w:cs="Times New Roman"/>
          <w:sz w:val="22"/>
          <w:szCs w:val="22"/>
        </w:rPr>
        <w:t xml:space="preserve">As a result of many of the dynamics highlighted above, MGB has </w:t>
      </w:r>
      <w:r w:rsidR="00AE2B1A" w:rsidRPr="009C0C39">
        <w:rPr>
          <w:rFonts w:ascii="Franklin Gothic Book" w:hAnsi="Franklin Gothic Book" w:cs="Times New Roman"/>
          <w:sz w:val="22"/>
          <w:szCs w:val="22"/>
        </w:rPr>
        <w:t>been able to</w:t>
      </w:r>
      <w:r w:rsidR="00A950BB" w:rsidRPr="009C0C39">
        <w:rPr>
          <w:rFonts w:ascii="Franklin Gothic Book" w:hAnsi="Franklin Gothic Book" w:cs="Times New Roman"/>
          <w:sz w:val="22"/>
          <w:szCs w:val="22"/>
        </w:rPr>
        <w:t xml:space="preserve"> </w:t>
      </w:r>
      <w:r w:rsidR="00AE2B1A" w:rsidRPr="009C0C39">
        <w:rPr>
          <w:rFonts w:ascii="Franklin Gothic Book" w:hAnsi="Franklin Gothic Book" w:cs="Times New Roman"/>
          <w:sz w:val="22"/>
          <w:szCs w:val="22"/>
        </w:rPr>
        <w:t xml:space="preserve">accumulate greater </w:t>
      </w:r>
      <w:r w:rsidR="00A950BB" w:rsidRPr="009C0C39">
        <w:rPr>
          <w:rFonts w:ascii="Franklin Gothic Book" w:hAnsi="Franklin Gothic Book" w:cs="Times New Roman"/>
          <w:sz w:val="22"/>
          <w:szCs w:val="22"/>
        </w:rPr>
        <w:t xml:space="preserve">resources </w:t>
      </w:r>
      <w:r w:rsidR="00AE2B1A" w:rsidRPr="009C0C39">
        <w:rPr>
          <w:rFonts w:ascii="Franklin Gothic Book" w:hAnsi="Franklin Gothic Book" w:cs="Times New Roman"/>
          <w:sz w:val="22"/>
          <w:szCs w:val="22"/>
        </w:rPr>
        <w:t>than other provider systems</w:t>
      </w:r>
      <w:r w:rsidR="00A950BB" w:rsidRPr="009C0C39">
        <w:rPr>
          <w:rFonts w:ascii="Franklin Gothic Book" w:hAnsi="Franklin Gothic Book" w:cs="Times New Roman"/>
          <w:sz w:val="22"/>
          <w:szCs w:val="22"/>
        </w:rPr>
        <w:t xml:space="preserve">. </w:t>
      </w:r>
      <w:r w:rsidR="00291735" w:rsidRPr="009C0C39">
        <w:rPr>
          <w:rFonts w:ascii="Franklin Gothic Book" w:hAnsi="Franklin Gothic Book" w:cs="Times New Roman"/>
          <w:sz w:val="22"/>
          <w:szCs w:val="22"/>
        </w:rPr>
        <w:t>For example, MGB’s net assets of approximately $10.6 billion in 2020</w:t>
      </w:r>
      <w:r w:rsidR="00132907" w:rsidRPr="009C0C39">
        <w:rPr>
          <w:rFonts w:ascii="Franklin Gothic Book" w:hAnsi="Franklin Gothic Book" w:cs="Times New Roman"/>
          <w:sz w:val="22"/>
          <w:szCs w:val="22"/>
        </w:rPr>
        <w:t xml:space="preserve"> is greater than that of the next four largest systems combined.</w:t>
      </w:r>
      <w:r w:rsidR="00132907" w:rsidRPr="009C0C39">
        <w:rPr>
          <w:rStyle w:val="FootnoteReference"/>
          <w:rFonts w:ascii="Franklin Gothic Book" w:hAnsi="Franklin Gothic Book" w:cs="Times New Roman"/>
          <w:sz w:val="22"/>
          <w:szCs w:val="22"/>
        </w:rPr>
        <w:footnoteReference w:id="46"/>
      </w:r>
      <w:r w:rsidR="00291735" w:rsidRPr="009C0C39">
        <w:rPr>
          <w:rFonts w:ascii="Franklin Gothic Book" w:hAnsi="Franklin Gothic Book" w:cs="Times New Roman"/>
          <w:sz w:val="22"/>
          <w:szCs w:val="22"/>
        </w:rPr>
        <w:t xml:space="preserve"> </w:t>
      </w:r>
      <w:r w:rsidR="00A950BB" w:rsidRPr="009C0C39">
        <w:rPr>
          <w:rFonts w:ascii="Franklin Gothic Book" w:hAnsi="Franklin Gothic Book" w:cs="Times New Roman"/>
          <w:sz w:val="22"/>
          <w:szCs w:val="22"/>
        </w:rPr>
        <w:t xml:space="preserve">These resources allow </w:t>
      </w:r>
      <w:r w:rsidR="00F40D84">
        <w:rPr>
          <w:rFonts w:ascii="Franklin Gothic Book" w:hAnsi="Franklin Gothic Book" w:cs="Times New Roman"/>
          <w:sz w:val="22"/>
          <w:szCs w:val="22"/>
        </w:rPr>
        <w:t>MGB</w:t>
      </w:r>
      <w:r w:rsidR="00F40D84" w:rsidRPr="009C0C39">
        <w:rPr>
          <w:rFonts w:ascii="Franklin Gothic Book" w:hAnsi="Franklin Gothic Book" w:cs="Times New Roman"/>
          <w:sz w:val="22"/>
          <w:szCs w:val="22"/>
        </w:rPr>
        <w:t xml:space="preserve"> </w:t>
      </w:r>
      <w:r w:rsidR="00A950BB" w:rsidRPr="009C0C39">
        <w:rPr>
          <w:rFonts w:ascii="Franklin Gothic Book" w:hAnsi="Franklin Gothic Book" w:cs="Times New Roman"/>
          <w:sz w:val="22"/>
          <w:szCs w:val="22"/>
        </w:rPr>
        <w:t xml:space="preserve">to invest in </w:t>
      </w:r>
      <w:r w:rsidR="00460C3D" w:rsidRPr="009C0C39">
        <w:rPr>
          <w:rFonts w:ascii="Franklin Gothic Book" w:hAnsi="Franklin Gothic Book" w:cs="Times New Roman"/>
          <w:sz w:val="22"/>
          <w:szCs w:val="22"/>
        </w:rPr>
        <w:t xml:space="preserve">patient-attractive </w:t>
      </w:r>
      <w:r w:rsidR="00A950BB" w:rsidRPr="009C0C39">
        <w:rPr>
          <w:rFonts w:ascii="Franklin Gothic Book" w:hAnsi="Franklin Gothic Book" w:cs="Times New Roman"/>
          <w:sz w:val="22"/>
          <w:szCs w:val="22"/>
        </w:rPr>
        <w:t xml:space="preserve">expansions such as those contemplated </w:t>
      </w:r>
      <w:r w:rsidR="00C97BA5" w:rsidRPr="009C0C39">
        <w:rPr>
          <w:rFonts w:ascii="Franklin Gothic Book" w:hAnsi="Franklin Gothic Book" w:cs="Times New Roman"/>
          <w:sz w:val="22"/>
          <w:szCs w:val="22"/>
        </w:rPr>
        <w:t>in the DoN applications</w:t>
      </w:r>
      <w:r w:rsidR="00A950BB" w:rsidRPr="009C0C39">
        <w:rPr>
          <w:rFonts w:ascii="Franklin Gothic Book" w:hAnsi="Franklin Gothic Book" w:cs="Times New Roman"/>
          <w:sz w:val="22"/>
          <w:szCs w:val="22"/>
        </w:rPr>
        <w:t xml:space="preserve">, </w:t>
      </w:r>
      <w:r w:rsidR="00460C3D" w:rsidRPr="009C0C39">
        <w:rPr>
          <w:rFonts w:ascii="Franklin Gothic Book" w:hAnsi="Franklin Gothic Book" w:cs="Times New Roman"/>
          <w:sz w:val="22"/>
          <w:szCs w:val="22"/>
        </w:rPr>
        <w:t xml:space="preserve">and better positions </w:t>
      </w:r>
      <w:r w:rsidR="00F40D84">
        <w:rPr>
          <w:rFonts w:ascii="Franklin Gothic Book" w:hAnsi="Franklin Gothic Book" w:cs="Times New Roman"/>
          <w:sz w:val="22"/>
          <w:szCs w:val="22"/>
        </w:rPr>
        <w:t>MGB</w:t>
      </w:r>
      <w:r w:rsidR="00F40D84" w:rsidRPr="009C0C39">
        <w:rPr>
          <w:rFonts w:ascii="Franklin Gothic Book" w:hAnsi="Franklin Gothic Book" w:cs="Times New Roman"/>
          <w:sz w:val="22"/>
          <w:szCs w:val="22"/>
        </w:rPr>
        <w:t xml:space="preserve"> </w:t>
      </w:r>
      <w:r w:rsidR="00460C3D" w:rsidRPr="009C0C39">
        <w:rPr>
          <w:rFonts w:ascii="Franklin Gothic Book" w:hAnsi="Franklin Gothic Book" w:cs="Times New Roman"/>
          <w:sz w:val="22"/>
          <w:szCs w:val="22"/>
        </w:rPr>
        <w:t>to</w:t>
      </w:r>
      <w:r w:rsidR="00A950BB" w:rsidRPr="009C0C39">
        <w:rPr>
          <w:rFonts w:ascii="Franklin Gothic Book" w:hAnsi="Franklin Gothic Book" w:cs="Times New Roman"/>
          <w:sz w:val="22"/>
          <w:szCs w:val="22"/>
        </w:rPr>
        <w:t xml:space="preserve"> recruit physicians and other staff and </w:t>
      </w:r>
      <w:r w:rsidR="009A6490" w:rsidRPr="009C0C39">
        <w:rPr>
          <w:rFonts w:ascii="Franklin Gothic Book" w:hAnsi="Franklin Gothic Book" w:cs="Times New Roman"/>
          <w:sz w:val="22"/>
          <w:szCs w:val="22"/>
        </w:rPr>
        <w:t xml:space="preserve">draw </w:t>
      </w:r>
      <w:r w:rsidR="00A950BB" w:rsidRPr="009C0C39">
        <w:rPr>
          <w:rFonts w:ascii="Franklin Gothic Book" w:hAnsi="Franklin Gothic Book" w:cs="Times New Roman"/>
          <w:sz w:val="22"/>
          <w:szCs w:val="22"/>
        </w:rPr>
        <w:t>patients to fill new capacity.</w:t>
      </w:r>
      <w:r w:rsidR="00674949" w:rsidRPr="009C0C39">
        <w:rPr>
          <w:rFonts w:ascii="Franklin Gothic Book" w:hAnsi="Franklin Gothic Book" w:cs="Times New Roman"/>
          <w:sz w:val="22"/>
          <w:szCs w:val="22"/>
        </w:rPr>
        <w:t xml:space="preserve"> </w:t>
      </w:r>
    </w:p>
    <w:p w14:paraId="012E7D06" w14:textId="77F879CC" w:rsidR="00EC1B46" w:rsidRPr="002907A7" w:rsidRDefault="00637CF3" w:rsidP="002907A7">
      <w:pPr>
        <w:pStyle w:val="Heading2"/>
        <w:rPr>
          <w:sz w:val="22"/>
          <w:szCs w:val="22"/>
        </w:rPr>
      </w:pPr>
      <w:bookmarkStart w:id="35" w:name="Section_III"/>
      <w:bookmarkEnd w:id="35"/>
      <w:r w:rsidRPr="009C0C39">
        <w:rPr>
          <w:sz w:val="22"/>
          <w:szCs w:val="22"/>
        </w:rPr>
        <w:br w:type="column"/>
      </w:r>
      <w:r w:rsidR="008377B6" w:rsidRPr="009C0C39">
        <w:lastRenderedPageBreak/>
        <w:t>Projected Impacts on Health Care Spending</w:t>
      </w:r>
      <w:r w:rsidR="002907A7">
        <w:br/>
      </w:r>
    </w:p>
    <w:p w14:paraId="05F1D6C5" w14:textId="1B0383BF" w:rsidR="008377B6" w:rsidRPr="009C0C39" w:rsidRDefault="008377B6" w:rsidP="008377B6">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HPC analysis of MGB’s three proposed expansions indicate</w:t>
      </w:r>
      <w:r w:rsidR="006D39EE" w:rsidRPr="009C0C39">
        <w:rPr>
          <w:rFonts w:ascii="Franklin Gothic Book" w:hAnsi="Franklin Gothic Book" w:cs="Times New Roman"/>
          <w:sz w:val="22"/>
          <w:szCs w:val="22"/>
        </w:rPr>
        <w:t>s</w:t>
      </w:r>
      <w:r w:rsidRPr="009C0C39">
        <w:rPr>
          <w:rFonts w:ascii="Franklin Gothic Book" w:hAnsi="Franklin Gothic Book" w:cs="Times New Roman"/>
          <w:sz w:val="22"/>
          <w:szCs w:val="22"/>
        </w:rPr>
        <w:t xml:space="preserve"> that these projects are likely to increase health care spending in the Commonwealth, </w:t>
      </w:r>
      <w:r w:rsidR="00F950A7" w:rsidRPr="009C0C39">
        <w:rPr>
          <w:rFonts w:ascii="Franklin Gothic Book" w:hAnsi="Franklin Gothic Book" w:cs="Times New Roman"/>
          <w:sz w:val="22"/>
          <w:szCs w:val="22"/>
        </w:rPr>
        <w:t xml:space="preserve">and result in increased commercial health insurance premiums, </w:t>
      </w:r>
      <w:r w:rsidRPr="009C0C39">
        <w:rPr>
          <w:rFonts w:ascii="Franklin Gothic Book" w:hAnsi="Franklin Gothic Book" w:cs="Times New Roman"/>
          <w:sz w:val="22"/>
          <w:szCs w:val="22"/>
        </w:rPr>
        <w:t>even based on conservative projections for a subset of potential spending drivers</w:t>
      </w:r>
      <w:r w:rsidR="00F950A7"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Much of this impact would be due to the fact that </w:t>
      </w:r>
      <w:r w:rsidR="00C1629C" w:rsidRPr="009C0C39">
        <w:rPr>
          <w:rFonts w:ascii="Franklin Gothic Book" w:hAnsi="Franklin Gothic Book" w:cs="Times New Roman"/>
          <w:sz w:val="22"/>
          <w:szCs w:val="22"/>
        </w:rPr>
        <w:t xml:space="preserve">the new and expanded capacity created by </w:t>
      </w:r>
      <w:r w:rsidRPr="009C0C39">
        <w:rPr>
          <w:rFonts w:ascii="Franklin Gothic Book" w:hAnsi="Franklin Gothic Book" w:cs="Times New Roman"/>
          <w:sz w:val="22"/>
          <w:szCs w:val="22"/>
        </w:rPr>
        <w:t>all three projects</w:t>
      </w:r>
      <w:r w:rsidR="00DA7A9D" w:rsidRPr="009C0C39">
        <w:rPr>
          <w:rStyle w:val="FootnoteReference"/>
          <w:rFonts w:ascii="Franklin Gothic Book" w:hAnsi="Franklin Gothic Book" w:cs="Times New Roman"/>
          <w:sz w:val="22"/>
          <w:szCs w:val="22"/>
        </w:rPr>
        <w:footnoteReference w:id="47"/>
      </w:r>
      <w:r w:rsidRPr="009C0C39">
        <w:rPr>
          <w:rFonts w:ascii="Franklin Gothic Book" w:hAnsi="Franklin Gothic Book" w:cs="Times New Roman"/>
          <w:sz w:val="22"/>
          <w:szCs w:val="22"/>
        </w:rPr>
        <w:t xml:space="preserve"> </w:t>
      </w:r>
      <w:bookmarkStart w:id="36" w:name="_Hlk93426557"/>
      <w:r w:rsidR="00C1629C" w:rsidRPr="009C0C39">
        <w:rPr>
          <w:rFonts w:ascii="Franklin Gothic Book" w:hAnsi="Franklin Gothic Book" w:cs="Times New Roman"/>
          <w:sz w:val="22"/>
          <w:szCs w:val="22"/>
        </w:rPr>
        <w:t xml:space="preserve">is </w:t>
      </w:r>
      <w:r w:rsidRPr="009C0C39">
        <w:rPr>
          <w:rFonts w:ascii="Franklin Gothic Book" w:hAnsi="Franklin Gothic Book" w:cs="Times New Roman"/>
          <w:sz w:val="22"/>
          <w:szCs w:val="22"/>
        </w:rPr>
        <w:t xml:space="preserve">likely to drive significant </w:t>
      </w:r>
      <w:r w:rsidR="00297250" w:rsidRPr="009C0C39">
        <w:rPr>
          <w:rFonts w:ascii="Franklin Gothic Book" w:hAnsi="Franklin Gothic Book" w:cs="Times New Roman"/>
          <w:sz w:val="22"/>
          <w:szCs w:val="22"/>
        </w:rPr>
        <w:t xml:space="preserve">patient </w:t>
      </w:r>
      <w:r w:rsidRPr="009C0C39">
        <w:rPr>
          <w:rFonts w:ascii="Franklin Gothic Book" w:hAnsi="Franklin Gothic Book" w:cs="Times New Roman"/>
          <w:sz w:val="22"/>
          <w:szCs w:val="22"/>
        </w:rPr>
        <w:t>volume and revenue to the higher-cost MGB system, particularly commercially</w:t>
      </w:r>
      <w:r w:rsidR="002B78DF"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insured volume</w:t>
      </w:r>
      <w:r w:rsidR="00447EC5">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48"/>
      </w:r>
      <w:r w:rsidRPr="009C0C39">
        <w:rPr>
          <w:rFonts w:ascii="Franklin Gothic Book" w:hAnsi="Franklin Gothic Book" w:cs="Times New Roman"/>
          <w:sz w:val="22"/>
          <w:szCs w:val="22"/>
        </w:rPr>
        <w:t xml:space="preserve"> and likely away from other lower-cost provider</w:t>
      </w:r>
      <w:r w:rsidR="000437C5" w:rsidRPr="009C0C39">
        <w:rPr>
          <w:rFonts w:ascii="Franklin Gothic Book" w:hAnsi="Franklin Gothic Book" w:cs="Times New Roman"/>
          <w:sz w:val="22"/>
          <w:szCs w:val="22"/>
        </w:rPr>
        <w:t xml:space="preserve"> system</w:t>
      </w:r>
      <w:r w:rsidRPr="009C0C39">
        <w:rPr>
          <w:rFonts w:ascii="Franklin Gothic Book" w:hAnsi="Franklin Gothic Book" w:cs="Times New Roman"/>
          <w:sz w:val="22"/>
          <w:szCs w:val="22"/>
        </w:rPr>
        <w:t>s. The key mechanisms for these impacts are summarized below.</w:t>
      </w:r>
    </w:p>
    <w:bookmarkEnd w:id="36"/>
    <w:p w14:paraId="29C9050E" w14:textId="77777777" w:rsidR="008377B6" w:rsidRPr="009C0C39" w:rsidRDefault="008377B6" w:rsidP="009257C1">
      <w:pPr>
        <w:pStyle w:val="ListParagraph"/>
        <w:numPr>
          <w:ilvl w:val="0"/>
          <w:numId w:val="13"/>
        </w:numPr>
        <w:spacing w:after="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MGB’s ambulatory expansions would likely impact total health care spending through the following key mechanisms: </w:t>
      </w:r>
    </w:p>
    <w:p w14:paraId="1FD3BA7C" w14:textId="7B6948C6" w:rsidR="008377B6" w:rsidRPr="009C0C39" w:rsidRDefault="008377B6" w:rsidP="009257C1">
      <w:pPr>
        <w:pStyle w:val="ListParagraph"/>
        <w:numPr>
          <w:ilvl w:val="1"/>
          <w:numId w:val="14"/>
        </w:numPr>
        <w:spacing w:after="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New </w:t>
      </w:r>
      <w:r w:rsidR="0028354B" w:rsidRPr="009C0C39">
        <w:rPr>
          <w:rFonts w:ascii="Franklin Gothic Book" w:hAnsi="Franklin Gothic Book" w:cs="Times New Roman"/>
          <w:b/>
          <w:bCs/>
          <w:sz w:val="22"/>
          <w:szCs w:val="22"/>
        </w:rPr>
        <w:t xml:space="preserve">MGB </w:t>
      </w:r>
      <w:r w:rsidRPr="009C0C39">
        <w:rPr>
          <w:rFonts w:ascii="Franklin Gothic Book" w:hAnsi="Franklin Gothic Book" w:cs="Times New Roman"/>
          <w:b/>
          <w:bCs/>
          <w:sz w:val="22"/>
          <w:szCs w:val="22"/>
        </w:rPr>
        <w:t>primary care patients:</w:t>
      </w:r>
      <w:r w:rsidRPr="009C0C39">
        <w:rPr>
          <w:rFonts w:ascii="Franklin Gothic Book" w:hAnsi="Franklin Gothic Book" w:cs="Times New Roman"/>
          <w:sz w:val="22"/>
          <w:szCs w:val="22"/>
        </w:rPr>
        <w:t xml:space="preserve"> </w:t>
      </w:r>
      <w:bookmarkStart w:id="37" w:name="_Hlk93055891"/>
      <w:r w:rsidRPr="009C0C39">
        <w:rPr>
          <w:rFonts w:ascii="Franklin Gothic Book" w:hAnsi="Franklin Gothic Book" w:cs="Times New Roman"/>
          <w:sz w:val="22"/>
          <w:szCs w:val="22"/>
        </w:rPr>
        <w:t xml:space="preserve">Spending would increase as MGB recruits primary care physicians (PCPs) to the ambulatory sites from existing area practices or as patients switch to new MGB PCPs from </w:t>
      </w:r>
      <w:r w:rsidR="00447EC5">
        <w:rPr>
          <w:rFonts w:ascii="Franklin Gothic Book" w:hAnsi="Franklin Gothic Book" w:cs="Times New Roman"/>
          <w:sz w:val="22"/>
          <w:szCs w:val="22"/>
        </w:rPr>
        <w:t xml:space="preserve">other </w:t>
      </w:r>
      <w:r w:rsidRPr="009C0C39">
        <w:rPr>
          <w:rFonts w:ascii="Franklin Gothic Book" w:hAnsi="Franklin Gothic Book" w:cs="Times New Roman"/>
          <w:sz w:val="22"/>
          <w:szCs w:val="22"/>
        </w:rPr>
        <w:t>local providers</w:t>
      </w:r>
      <w:bookmarkEnd w:id="37"/>
      <w:r w:rsidRPr="009C0C39">
        <w:rPr>
          <w:rFonts w:ascii="Franklin Gothic Book" w:hAnsi="Franklin Gothic Book" w:cs="Times New Roman"/>
          <w:sz w:val="22"/>
          <w:szCs w:val="22"/>
        </w:rPr>
        <w:t>, reflecting differences in price, utilization, provider mix</w:t>
      </w:r>
      <w:r w:rsidR="006D39EE"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and service mix between primary care patients managed by MGB </w:t>
      </w:r>
      <w:r w:rsidR="006D39EE" w:rsidRPr="009C0C39">
        <w:rPr>
          <w:rFonts w:ascii="Franklin Gothic Book" w:hAnsi="Franklin Gothic Book" w:cs="Times New Roman"/>
          <w:sz w:val="22"/>
          <w:szCs w:val="22"/>
        </w:rPr>
        <w:t xml:space="preserve">and </w:t>
      </w:r>
      <w:r w:rsidRPr="009C0C39">
        <w:rPr>
          <w:rFonts w:ascii="Franklin Gothic Book" w:hAnsi="Franklin Gothic Book" w:cs="Times New Roman"/>
          <w:sz w:val="22"/>
          <w:szCs w:val="22"/>
        </w:rPr>
        <w:t>those managed by other local providers.</w:t>
      </w:r>
    </w:p>
    <w:p w14:paraId="18A5FD11" w14:textId="546D3885" w:rsidR="008377B6" w:rsidRPr="009C0C39" w:rsidRDefault="008377B6" w:rsidP="009257C1">
      <w:pPr>
        <w:pStyle w:val="ListParagraph"/>
        <w:numPr>
          <w:ilvl w:val="1"/>
          <w:numId w:val="14"/>
        </w:numPr>
        <w:spacing w:after="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Increased utilization of MGB hospitals:</w:t>
      </w:r>
      <w:r w:rsidRPr="009C0C39">
        <w:rPr>
          <w:rFonts w:ascii="Franklin Gothic Book" w:hAnsi="Franklin Gothic Book" w:cs="Times New Roman"/>
          <w:sz w:val="22"/>
          <w:szCs w:val="22"/>
        </w:rPr>
        <w:t xml:space="preserve"> </w:t>
      </w:r>
      <w:bookmarkStart w:id="38" w:name="_Hlk93055906"/>
      <w:r w:rsidRPr="009C0C39">
        <w:rPr>
          <w:rFonts w:ascii="Franklin Gothic Book" w:hAnsi="Franklin Gothic Book" w:cs="Times New Roman"/>
          <w:sz w:val="22"/>
          <w:szCs w:val="22"/>
        </w:rPr>
        <w:t xml:space="preserve">Spending would increase as MGB’s hospitals draw increased inpatient and outpatient volume from areas surrounding the ambulatory sites. </w:t>
      </w:r>
      <w:bookmarkEnd w:id="38"/>
    </w:p>
    <w:p w14:paraId="32EA3CBC" w14:textId="71D05998" w:rsidR="008377B6" w:rsidRPr="009C0C39" w:rsidRDefault="008377B6" w:rsidP="009257C1">
      <w:pPr>
        <w:pStyle w:val="ListParagraph"/>
        <w:numPr>
          <w:ilvl w:val="1"/>
          <w:numId w:val="14"/>
        </w:numPr>
        <w:spacing w:after="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Patients at new ambulatory locations and backfill of outpatient capacity at MGB hospitals: </w:t>
      </w:r>
      <w:bookmarkStart w:id="39" w:name="_Hlk93055924"/>
      <w:r w:rsidRPr="009C0C39">
        <w:rPr>
          <w:rFonts w:ascii="Franklin Gothic Book" w:hAnsi="Franklin Gothic Book" w:cs="Times New Roman"/>
          <w:sz w:val="22"/>
          <w:szCs w:val="22"/>
        </w:rPr>
        <w:t>Commercial prices at the ambulatory sites would be lower than those at some, but not all, local providers. While care shifts to the ambulatory sites may produce some net savings, impacts on total spending would depend on where patients would otherwise have received care.</w:t>
      </w:r>
      <w:r w:rsidRPr="009C0C39">
        <w:rPr>
          <w:rFonts w:ascii="Franklin Gothic Book" w:hAnsi="Franklin Gothic Book"/>
          <w:sz w:val="22"/>
          <w:szCs w:val="22"/>
        </w:rPr>
        <w:t xml:space="preserve"> </w:t>
      </w:r>
      <w:r w:rsidRPr="009C0C39">
        <w:rPr>
          <w:rFonts w:ascii="Franklin Gothic Book" w:hAnsi="Franklin Gothic Book" w:cs="Times New Roman"/>
          <w:sz w:val="22"/>
          <w:szCs w:val="22"/>
        </w:rPr>
        <w:t>However, any care diverted to the ambulatory sites from MGB hospital outpatient departments (HOPDs) is likely to be backfilled, given that MGB is not proposing to reduce any existing HOPD capacity</w:t>
      </w:r>
      <w:r w:rsidR="00370BE4"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w:t>
      </w:r>
      <w:r w:rsidR="00370BE4" w:rsidRPr="009C0C39">
        <w:rPr>
          <w:rFonts w:ascii="Franklin Gothic Book" w:hAnsi="Franklin Gothic Book" w:cs="Times New Roman"/>
          <w:sz w:val="22"/>
          <w:szCs w:val="22"/>
        </w:rPr>
        <w:t xml:space="preserve">This backfill, which the ICAs do not evaluate, would reduce </w:t>
      </w:r>
      <w:r w:rsidRPr="009C0C39">
        <w:rPr>
          <w:rFonts w:ascii="Franklin Gothic Book" w:hAnsi="Franklin Gothic Book" w:cs="Times New Roman"/>
          <w:sz w:val="22"/>
          <w:szCs w:val="22"/>
        </w:rPr>
        <w:t>any savings.</w:t>
      </w:r>
      <w:bookmarkEnd w:id="39"/>
    </w:p>
    <w:p w14:paraId="5F28BDAE" w14:textId="00BB62CC" w:rsidR="008377B6" w:rsidRPr="009C0C39" w:rsidRDefault="008377B6" w:rsidP="009257C1">
      <w:pPr>
        <w:pStyle w:val="ListParagraph"/>
        <w:numPr>
          <w:ilvl w:val="1"/>
          <w:numId w:val="14"/>
        </w:numPr>
        <w:spacing w:after="2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Market leverage:</w:t>
      </w:r>
      <w:r w:rsidRPr="009C0C39">
        <w:rPr>
          <w:rFonts w:ascii="Franklin Gothic Book" w:hAnsi="Franklin Gothic Book" w:cs="Times New Roman"/>
          <w:sz w:val="22"/>
          <w:szCs w:val="22"/>
        </w:rPr>
        <w:t xml:space="preserve"> </w:t>
      </w:r>
      <w:bookmarkStart w:id="40" w:name="_Hlk93055933"/>
      <w:r w:rsidRPr="009C0C39">
        <w:rPr>
          <w:rFonts w:ascii="Franklin Gothic Book" w:hAnsi="Franklin Gothic Book" w:cs="Times New Roman"/>
          <w:sz w:val="22"/>
          <w:szCs w:val="22"/>
        </w:rPr>
        <w:t>Total spending may further increase as care shifts to MGB and MGB gains commercial market share, increasing its leverage to obtain higher price increases in the future.</w:t>
      </w:r>
      <w:bookmarkEnd w:id="40"/>
      <w:r w:rsidRPr="009C0C39">
        <w:rPr>
          <w:rFonts w:ascii="Franklin Gothic Book" w:hAnsi="Franklin Gothic Book" w:cs="Times New Roman"/>
          <w:sz w:val="22"/>
          <w:szCs w:val="22"/>
        </w:rPr>
        <w:t xml:space="preserve"> Loss of </w:t>
      </w:r>
      <w:r w:rsidR="00101708" w:rsidRPr="009C0C39">
        <w:rPr>
          <w:rFonts w:ascii="Franklin Gothic Book" w:hAnsi="Franklin Gothic Book" w:cs="Times New Roman"/>
          <w:sz w:val="22"/>
          <w:szCs w:val="22"/>
        </w:rPr>
        <w:t xml:space="preserve">commercial market share </w:t>
      </w:r>
      <w:r w:rsidRPr="009C0C39">
        <w:rPr>
          <w:rFonts w:ascii="Franklin Gothic Book" w:hAnsi="Franklin Gothic Book" w:cs="Times New Roman"/>
          <w:sz w:val="22"/>
          <w:szCs w:val="22"/>
        </w:rPr>
        <w:t xml:space="preserve">by other providers may </w:t>
      </w:r>
      <w:r w:rsidR="00765942" w:rsidRPr="009C0C39">
        <w:rPr>
          <w:rFonts w:ascii="Franklin Gothic Book" w:hAnsi="Franklin Gothic Book" w:cs="Times New Roman"/>
          <w:sz w:val="22"/>
          <w:szCs w:val="22"/>
        </w:rPr>
        <w:t>further widen the disparity in prices between MGB and other providers</w:t>
      </w:r>
      <w:r w:rsidRPr="009C0C39">
        <w:rPr>
          <w:rFonts w:ascii="Franklin Gothic Book" w:hAnsi="Franklin Gothic Book" w:cs="Times New Roman"/>
          <w:sz w:val="22"/>
          <w:szCs w:val="22"/>
        </w:rPr>
        <w:t>.</w:t>
      </w:r>
    </w:p>
    <w:p w14:paraId="39019DB2" w14:textId="77777777" w:rsidR="008377B6" w:rsidRPr="009C0C39" w:rsidRDefault="008377B6" w:rsidP="009257C1">
      <w:pPr>
        <w:pStyle w:val="ListParagraph"/>
        <w:numPr>
          <w:ilvl w:val="0"/>
          <w:numId w:val="13"/>
        </w:numPr>
        <w:spacing w:after="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Proposed expansions at MGH and Faulkner would likely impact health care spending through the following key mechanisms: </w:t>
      </w:r>
    </w:p>
    <w:p w14:paraId="0E0B7535" w14:textId="1307BE5A" w:rsidR="008377B6" w:rsidRPr="009C0C39" w:rsidRDefault="008377B6" w:rsidP="009257C1">
      <w:pPr>
        <w:pStyle w:val="ListParagraph"/>
        <w:numPr>
          <w:ilvl w:val="0"/>
          <w:numId w:val="15"/>
        </w:numPr>
        <w:spacing w:after="240"/>
        <w:ind w:left="14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Patients filling new inpatient capacity:</w:t>
      </w:r>
      <w:r w:rsidRPr="009C0C39">
        <w:rPr>
          <w:rFonts w:ascii="Franklin Gothic Book" w:hAnsi="Franklin Gothic Book" w:cs="Times New Roman"/>
          <w:sz w:val="22"/>
          <w:szCs w:val="22"/>
        </w:rPr>
        <w:t xml:space="preserve"> </w:t>
      </w:r>
      <w:r w:rsidR="00F85EED" w:rsidRPr="009C0C39">
        <w:rPr>
          <w:rFonts w:ascii="Franklin Gothic Book" w:hAnsi="Franklin Gothic Book" w:cs="Times New Roman"/>
          <w:sz w:val="22"/>
          <w:szCs w:val="22"/>
        </w:rPr>
        <w:t xml:space="preserve">Total spending would likely increase as MGH and Faulkner fill proposed new inpatient capacity. </w:t>
      </w:r>
      <w:r w:rsidRPr="009C0C39">
        <w:rPr>
          <w:rFonts w:ascii="Franklin Gothic Book" w:hAnsi="Franklin Gothic Book" w:cs="Times New Roman"/>
          <w:sz w:val="22"/>
          <w:szCs w:val="22"/>
        </w:rPr>
        <w:t xml:space="preserve">Most patients who receive inpatient care in net new capacity at MGH and Faulkner would otherwise have been seen at non-MGB hospitals, </w:t>
      </w:r>
      <w:r w:rsidR="007B0E8B" w:rsidRPr="009C0C39">
        <w:rPr>
          <w:rFonts w:ascii="Franklin Gothic Book" w:hAnsi="Franklin Gothic Book" w:cs="Times New Roman"/>
          <w:sz w:val="22"/>
          <w:szCs w:val="22"/>
        </w:rPr>
        <w:t xml:space="preserve">often </w:t>
      </w:r>
      <w:r w:rsidR="006D39EE" w:rsidRPr="009C0C39">
        <w:rPr>
          <w:rFonts w:ascii="Franklin Gothic Book" w:hAnsi="Franklin Gothic Book" w:cs="Times New Roman"/>
          <w:sz w:val="22"/>
          <w:szCs w:val="22"/>
        </w:rPr>
        <w:t>at</w:t>
      </w:r>
      <w:r w:rsidR="00370BE4" w:rsidRPr="009C0C39">
        <w:rPr>
          <w:rFonts w:ascii="Franklin Gothic Book" w:hAnsi="Franklin Gothic Book" w:cs="Times New Roman"/>
          <w:sz w:val="22"/>
          <w:szCs w:val="22"/>
        </w:rPr>
        <w:t xml:space="preserve"> lower </w:t>
      </w:r>
      <w:r w:rsidRPr="009C0C39">
        <w:rPr>
          <w:rFonts w:ascii="Franklin Gothic Book" w:hAnsi="Franklin Gothic Book" w:cs="Times New Roman"/>
          <w:sz w:val="22"/>
          <w:szCs w:val="22"/>
        </w:rPr>
        <w:t xml:space="preserve">price points. This includes patients filling net new medical/surgical beds at MGH and Faulkner, new ICU beds at MGH, and new capacity </w:t>
      </w:r>
      <w:r w:rsidR="00262931" w:rsidRPr="009C0C39">
        <w:rPr>
          <w:rFonts w:ascii="Franklin Gothic Book" w:hAnsi="Franklin Gothic Book" w:cs="Times New Roman"/>
          <w:sz w:val="22"/>
          <w:szCs w:val="22"/>
        </w:rPr>
        <w:t xml:space="preserve">at </w:t>
      </w:r>
      <w:r w:rsidRPr="009C0C39">
        <w:rPr>
          <w:rFonts w:ascii="Franklin Gothic Book" w:hAnsi="Franklin Gothic Book" w:cs="Times New Roman"/>
          <w:sz w:val="22"/>
          <w:szCs w:val="22"/>
        </w:rPr>
        <w:t xml:space="preserve">MGH </w:t>
      </w:r>
      <w:r w:rsidR="00262931" w:rsidRPr="009C0C39">
        <w:rPr>
          <w:rFonts w:ascii="Franklin Gothic Book" w:hAnsi="Franklin Gothic Book" w:cs="Times New Roman"/>
          <w:sz w:val="22"/>
          <w:szCs w:val="22"/>
        </w:rPr>
        <w:t xml:space="preserve">as it </w:t>
      </w:r>
      <w:r w:rsidR="000437C5" w:rsidRPr="009C0C39">
        <w:rPr>
          <w:rFonts w:ascii="Franklin Gothic Book" w:hAnsi="Franklin Gothic Book" w:cs="Times New Roman"/>
          <w:sz w:val="22"/>
          <w:szCs w:val="22"/>
        </w:rPr>
        <w:t xml:space="preserve">moves beds from </w:t>
      </w:r>
      <w:r w:rsidRPr="009C0C39">
        <w:rPr>
          <w:rFonts w:ascii="Franklin Gothic Book" w:hAnsi="Franklin Gothic Book" w:cs="Times New Roman"/>
          <w:sz w:val="22"/>
          <w:szCs w:val="22"/>
        </w:rPr>
        <w:t>semi-private to private rooms</w:t>
      </w:r>
      <w:r w:rsidR="00262931" w:rsidRPr="009C0C39">
        <w:rPr>
          <w:rFonts w:ascii="Franklin Gothic Book" w:hAnsi="Franklin Gothic Book" w:cs="Times New Roman"/>
          <w:sz w:val="22"/>
          <w:szCs w:val="22"/>
        </w:rPr>
        <w:t xml:space="preserve"> and potentially brings licensed beds back into operation</w:t>
      </w:r>
      <w:r w:rsidRPr="009C0C39">
        <w:rPr>
          <w:rFonts w:ascii="Franklin Gothic Book" w:hAnsi="Franklin Gothic Book" w:cs="Times New Roman"/>
          <w:sz w:val="22"/>
          <w:szCs w:val="22"/>
        </w:rPr>
        <w:t>.</w:t>
      </w:r>
    </w:p>
    <w:p w14:paraId="689C26ED" w14:textId="6609A657" w:rsidR="008377B6" w:rsidRPr="009C0C39" w:rsidRDefault="008377B6" w:rsidP="009257C1">
      <w:pPr>
        <w:pStyle w:val="ListParagraph"/>
        <w:numPr>
          <w:ilvl w:val="0"/>
          <w:numId w:val="15"/>
        </w:numPr>
        <w:spacing w:after="240"/>
        <w:ind w:left="14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lastRenderedPageBreak/>
        <w:t>Patients filling new outpatient capacity:</w:t>
      </w:r>
      <w:r w:rsidRPr="009C0C39">
        <w:rPr>
          <w:rFonts w:ascii="Franklin Gothic Book" w:hAnsi="Franklin Gothic Book" w:cs="Times New Roman"/>
          <w:sz w:val="22"/>
          <w:szCs w:val="22"/>
        </w:rPr>
        <w:t xml:space="preserve"> Most patients who receive outpatient services in new advanced imaging and </w:t>
      </w:r>
      <w:r w:rsidR="00BC4179" w:rsidRPr="009C0C39">
        <w:rPr>
          <w:rFonts w:ascii="Franklin Gothic Book" w:hAnsi="Franklin Gothic Book" w:cs="Times New Roman"/>
          <w:sz w:val="22"/>
          <w:szCs w:val="22"/>
        </w:rPr>
        <w:t xml:space="preserve">other outpatient </w:t>
      </w:r>
      <w:r w:rsidRPr="009C0C39">
        <w:rPr>
          <w:rFonts w:ascii="Franklin Gothic Book" w:hAnsi="Franklin Gothic Book" w:cs="Times New Roman"/>
          <w:sz w:val="22"/>
          <w:szCs w:val="22"/>
        </w:rPr>
        <w:t xml:space="preserve">capacity MGH and Faulkner would otherwise have been seen at non-MGB hospitals, </w:t>
      </w:r>
      <w:r w:rsidR="00370BE4" w:rsidRPr="009C0C39">
        <w:rPr>
          <w:rFonts w:ascii="Franklin Gothic Book" w:hAnsi="Franklin Gothic Book" w:cs="Times New Roman"/>
          <w:sz w:val="22"/>
          <w:szCs w:val="22"/>
        </w:rPr>
        <w:t xml:space="preserve">often </w:t>
      </w:r>
      <w:r w:rsidR="007B0E8B" w:rsidRPr="009C0C39">
        <w:rPr>
          <w:rFonts w:ascii="Franklin Gothic Book" w:hAnsi="Franklin Gothic Book" w:cs="Times New Roman"/>
          <w:sz w:val="22"/>
          <w:szCs w:val="22"/>
        </w:rPr>
        <w:t xml:space="preserve">at </w:t>
      </w:r>
      <w:r w:rsidR="00370BE4" w:rsidRPr="009C0C39">
        <w:rPr>
          <w:rFonts w:ascii="Franklin Gothic Book" w:hAnsi="Franklin Gothic Book" w:cs="Times New Roman"/>
          <w:sz w:val="22"/>
          <w:szCs w:val="22"/>
        </w:rPr>
        <w:t xml:space="preserve">lower </w:t>
      </w:r>
      <w:r w:rsidRPr="009C0C39">
        <w:rPr>
          <w:rFonts w:ascii="Franklin Gothic Book" w:hAnsi="Franklin Gothic Book" w:cs="Times New Roman"/>
          <w:sz w:val="22"/>
          <w:szCs w:val="22"/>
        </w:rPr>
        <w:t xml:space="preserve">price points. </w:t>
      </w:r>
      <w:r w:rsidR="00F85EED" w:rsidRPr="009C0C39">
        <w:rPr>
          <w:rFonts w:ascii="Franklin Gothic Book" w:hAnsi="Franklin Gothic Book" w:cs="Times New Roman"/>
          <w:sz w:val="22"/>
          <w:szCs w:val="22"/>
        </w:rPr>
        <w:t xml:space="preserve">Commercial spending would likely increase as MGH fills proposed new outpatient capacity, while </w:t>
      </w:r>
      <w:r w:rsidR="00BC4179" w:rsidRPr="009C0C39">
        <w:rPr>
          <w:rFonts w:ascii="Franklin Gothic Book" w:hAnsi="Franklin Gothic Book" w:cs="Times New Roman"/>
          <w:sz w:val="22"/>
          <w:szCs w:val="22"/>
        </w:rPr>
        <w:t xml:space="preserve">the </w:t>
      </w:r>
      <w:r w:rsidR="00F85EED" w:rsidRPr="009C0C39">
        <w:rPr>
          <w:rFonts w:ascii="Franklin Gothic Book" w:hAnsi="Franklin Gothic Book" w:cs="Times New Roman"/>
          <w:sz w:val="22"/>
          <w:szCs w:val="22"/>
        </w:rPr>
        <w:t>spending impacts of adding Faulkner outpatient capacity may be mixed.</w:t>
      </w:r>
    </w:p>
    <w:p w14:paraId="498E4689" w14:textId="14A8FD4C" w:rsidR="008377B6" w:rsidRPr="009C0C39" w:rsidRDefault="008377B6" w:rsidP="009257C1">
      <w:pPr>
        <w:pStyle w:val="ListParagraph"/>
        <w:numPr>
          <w:ilvl w:val="0"/>
          <w:numId w:val="15"/>
        </w:numPr>
        <w:spacing w:after="240"/>
        <w:ind w:left="1440"/>
        <w:contextualSpacing w:val="0"/>
        <w:rPr>
          <w:rFonts w:ascii="Franklin Gothic Book" w:hAnsi="Franklin Gothic Book" w:cs="Times New Roman"/>
          <w:sz w:val="22"/>
          <w:szCs w:val="22"/>
        </w:rPr>
      </w:pPr>
      <w:r w:rsidRPr="009C0C39">
        <w:rPr>
          <w:rFonts w:ascii="Franklin Gothic Book" w:hAnsi="Franklin Gothic Book" w:cs="Times New Roman"/>
          <w:b/>
          <w:bCs/>
          <w:sz w:val="22"/>
          <w:szCs w:val="22"/>
        </w:rPr>
        <w:t xml:space="preserve">Market leverage: </w:t>
      </w:r>
      <w:r w:rsidRPr="009C0C39">
        <w:rPr>
          <w:rFonts w:ascii="Franklin Gothic Book" w:hAnsi="Franklin Gothic Book" w:cs="Times New Roman"/>
          <w:sz w:val="22"/>
          <w:szCs w:val="22"/>
        </w:rPr>
        <w:t xml:space="preserve">Total spending would likely further increase as </w:t>
      </w:r>
      <w:r w:rsidR="0085798E" w:rsidRPr="009C0C39">
        <w:rPr>
          <w:rFonts w:ascii="Franklin Gothic Book" w:hAnsi="Franklin Gothic Book" w:cs="Times New Roman"/>
          <w:sz w:val="22"/>
          <w:szCs w:val="22"/>
        </w:rPr>
        <w:t xml:space="preserve">care shifts to MGH and Faulkner and </w:t>
      </w:r>
      <w:r w:rsidRPr="009C0C39">
        <w:rPr>
          <w:rFonts w:ascii="Franklin Gothic Book" w:hAnsi="Franklin Gothic Book" w:cs="Times New Roman"/>
          <w:sz w:val="22"/>
          <w:szCs w:val="22"/>
        </w:rPr>
        <w:t xml:space="preserve">MGB gains commercial market share, increasing its leverage to obtain higher price increases in the future. Loss of </w:t>
      </w:r>
      <w:r w:rsidR="00101708" w:rsidRPr="009C0C39">
        <w:rPr>
          <w:rFonts w:ascii="Franklin Gothic Book" w:hAnsi="Franklin Gothic Book" w:cs="Times New Roman"/>
          <w:sz w:val="22"/>
          <w:szCs w:val="22"/>
        </w:rPr>
        <w:t xml:space="preserve">commercial market share </w:t>
      </w:r>
      <w:r w:rsidRPr="009C0C39">
        <w:rPr>
          <w:rFonts w:ascii="Franklin Gothic Book" w:hAnsi="Franklin Gothic Book" w:cs="Times New Roman"/>
          <w:sz w:val="22"/>
          <w:szCs w:val="22"/>
        </w:rPr>
        <w:t xml:space="preserve">by other providers may </w:t>
      </w:r>
      <w:r w:rsidR="00EE7CD6" w:rsidRPr="009C0C39">
        <w:rPr>
          <w:rFonts w:ascii="Franklin Gothic Book" w:hAnsi="Franklin Gothic Book" w:cs="Times New Roman"/>
          <w:sz w:val="22"/>
          <w:szCs w:val="22"/>
        </w:rPr>
        <w:t>further widen the disparity in prices between MGB and other providers.</w:t>
      </w:r>
    </w:p>
    <w:p w14:paraId="7234D9F2" w14:textId="41A81F33" w:rsidR="008377B6" w:rsidRPr="009C0C39" w:rsidRDefault="008377B6" w:rsidP="009257C1">
      <w:pPr>
        <w:pStyle w:val="ListParagraph"/>
        <w:numPr>
          <w:ilvl w:val="0"/>
          <w:numId w:val="13"/>
        </w:numPr>
        <w:spacing w:after="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development of the three proposed projects together, described by MGB as a system-wide strategy, </w:t>
      </w:r>
      <w:r w:rsidR="0085798E" w:rsidRPr="009C0C39">
        <w:rPr>
          <w:rFonts w:ascii="Franklin Gothic Book" w:hAnsi="Franklin Gothic Book" w:cs="Times New Roman"/>
          <w:sz w:val="22"/>
          <w:szCs w:val="22"/>
        </w:rPr>
        <w:t xml:space="preserve">may </w:t>
      </w:r>
      <w:r w:rsidRPr="009C0C39">
        <w:rPr>
          <w:rFonts w:ascii="Franklin Gothic Book" w:hAnsi="Franklin Gothic Book" w:cs="Times New Roman"/>
          <w:sz w:val="22"/>
          <w:szCs w:val="22"/>
        </w:rPr>
        <w:t>result in combined impacts greater than those the HPC has modeled for each project individually.</w:t>
      </w:r>
    </w:p>
    <w:p w14:paraId="72215051" w14:textId="2B982B58" w:rsidR="00C053F7" w:rsidRDefault="008377B6" w:rsidP="008377B6">
      <w:pPr>
        <w:ind w:firstLine="720"/>
        <w:rPr>
          <w:rFonts w:ascii="Franklin Gothic Book" w:hAnsi="Franklin Gothic Book" w:cs="Times New Roman"/>
          <w:sz w:val="22"/>
          <w:szCs w:val="22"/>
        </w:rPr>
        <w:sectPr w:rsidR="00C053F7" w:rsidSect="00804A4E">
          <w:type w:val="continuous"/>
          <w:pgSz w:w="12240" w:h="15840"/>
          <w:pgMar w:top="1440" w:right="1440" w:bottom="1008" w:left="1440" w:header="720" w:footer="720" w:gutter="0"/>
          <w:cols w:space="720"/>
          <w:docGrid w:linePitch="360"/>
        </w:sectPr>
      </w:pPr>
      <w:r w:rsidRPr="009C0C39">
        <w:rPr>
          <w:rFonts w:ascii="Franklin Gothic Book" w:hAnsi="Franklin Gothic Book" w:cs="Times New Roman"/>
          <w:sz w:val="22"/>
          <w:szCs w:val="22"/>
        </w:rPr>
        <w:t>The HPC quantified likely impacts on health care spending and on revenue for MGB and other Massachusetts providers for each of the three proposed projects using the best available data, focusing primarily on impacts for commercially insured patients.</w:t>
      </w:r>
      <w:bookmarkStart w:id="41" w:name="_Ref93004588"/>
      <w:r w:rsidRPr="009C0C39">
        <w:rPr>
          <w:rStyle w:val="FootnoteReference"/>
          <w:rFonts w:ascii="Franklin Gothic Book" w:hAnsi="Franklin Gothic Book" w:cs="Times New Roman"/>
          <w:sz w:val="22"/>
          <w:szCs w:val="22"/>
        </w:rPr>
        <w:footnoteReference w:id="49"/>
      </w:r>
      <w:bookmarkEnd w:id="41"/>
      <w:r w:rsidRPr="009C0C39">
        <w:rPr>
          <w:rFonts w:ascii="Franklin Gothic Book" w:hAnsi="Franklin Gothic Book" w:cs="Times New Roman"/>
          <w:sz w:val="22"/>
          <w:szCs w:val="22"/>
        </w:rPr>
        <w:t xml:space="preserve"> </w:t>
      </w:r>
      <w:r w:rsidR="006D39EE" w:rsidRPr="009C0C39">
        <w:rPr>
          <w:rFonts w:ascii="Franklin Gothic Book" w:hAnsi="Franklin Gothic Book" w:cs="Times New Roman"/>
          <w:sz w:val="22"/>
          <w:szCs w:val="22"/>
        </w:rPr>
        <w:t>T</w:t>
      </w:r>
      <w:r w:rsidRPr="009C0C39">
        <w:rPr>
          <w:rFonts w:ascii="Franklin Gothic Book" w:hAnsi="Franklin Gothic Book" w:cs="Times New Roman"/>
          <w:sz w:val="22"/>
          <w:szCs w:val="22"/>
        </w:rPr>
        <w:t>he HPC anticipates additional impacts on spending and revenue that could not be reliably quantified at this time,</w:t>
      </w:r>
      <w:bookmarkStart w:id="42" w:name="_Ref93058130"/>
      <w:r w:rsidRPr="009C0C39">
        <w:rPr>
          <w:rStyle w:val="FootnoteReference"/>
          <w:rFonts w:ascii="Franklin Gothic Book" w:hAnsi="Franklin Gothic Book" w:cs="Times New Roman"/>
          <w:sz w:val="22"/>
          <w:szCs w:val="22"/>
        </w:rPr>
        <w:footnoteReference w:id="50"/>
      </w:r>
      <w:bookmarkEnd w:id="42"/>
      <w:r w:rsidRPr="009C0C39">
        <w:rPr>
          <w:rFonts w:ascii="Franklin Gothic Book" w:hAnsi="Franklin Gothic Book" w:cs="Times New Roman"/>
          <w:sz w:val="22"/>
          <w:szCs w:val="22"/>
        </w:rPr>
        <w:t xml:space="preserve"> due to data limitations and a lack of key details in MGB’s public plans and projections. MGB’s expectations for revenue and market share shifts in connection with its larger multi-year ambulatory expansion plan suggest that additional impacts on spending and revenue could be substantial.</w:t>
      </w:r>
      <w:bookmarkStart w:id="43" w:name="_Ref92966057"/>
      <w:r w:rsidRPr="009C0C39">
        <w:rPr>
          <w:rStyle w:val="FootnoteReference"/>
          <w:rFonts w:ascii="Franklin Gothic Book" w:hAnsi="Franklin Gothic Book" w:cs="Times New Roman"/>
          <w:sz w:val="22"/>
          <w:szCs w:val="22"/>
        </w:rPr>
        <w:footnoteReference w:id="51"/>
      </w:r>
      <w:bookmarkEnd w:id="43"/>
      <w:r w:rsidRPr="009C0C39">
        <w:rPr>
          <w:rFonts w:ascii="Franklin Gothic Book" w:hAnsi="Franklin Gothic Book" w:cs="Times New Roman"/>
          <w:sz w:val="22"/>
          <w:szCs w:val="22"/>
        </w:rPr>
        <w:t xml:space="preserve"> A summary of the </w:t>
      </w:r>
      <w:r w:rsidR="00C77A10" w:rsidRPr="009C0C39">
        <w:rPr>
          <w:rFonts w:ascii="Franklin Gothic Book" w:hAnsi="Franklin Gothic Book" w:cs="Times New Roman"/>
          <w:sz w:val="22"/>
          <w:szCs w:val="22"/>
        </w:rPr>
        <w:t xml:space="preserve">annual commercial </w:t>
      </w:r>
      <w:r w:rsidRPr="009C0C39">
        <w:rPr>
          <w:rFonts w:ascii="Franklin Gothic Book" w:hAnsi="Franklin Gothic Book" w:cs="Times New Roman"/>
          <w:sz w:val="22"/>
          <w:szCs w:val="22"/>
        </w:rPr>
        <w:t xml:space="preserve">spending </w:t>
      </w:r>
      <w:r w:rsidR="00C77A10" w:rsidRPr="009C0C39">
        <w:rPr>
          <w:rFonts w:ascii="Franklin Gothic Book" w:hAnsi="Franklin Gothic Book" w:cs="Times New Roman"/>
          <w:sz w:val="22"/>
          <w:szCs w:val="22"/>
        </w:rPr>
        <w:t xml:space="preserve">impact the </w:t>
      </w:r>
      <w:r w:rsidRPr="009C0C39">
        <w:rPr>
          <w:rFonts w:ascii="Franklin Gothic Book" w:hAnsi="Franklin Gothic Book" w:cs="Times New Roman"/>
          <w:sz w:val="22"/>
          <w:szCs w:val="22"/>
        </w:rPr>
        <w:t>HPC was able to quantify is below</w:t>
      </w:r>
      <w:r w:rsidR="00C77A10" w:rsidRPr="009C0C39">
        <w:rPr>
          <w:rFonts w:ascii="Franklin Gothic Book" w:hAnsi="Franklin Gothic Book" w:cs="Times New Roman"/>
          <w:sz w:val="22"/>
          <w:szCs w:val="22"/>
        </w:rPr>
        <w:t xml:space="preserve"> in the column “Annual Commercial Spending Impact.” The impact of commercial revenue shifts in the two columns on the right is discussed in </w:t>
      </w:r>
      <w:hyperlink w:anchor="_Additional_Impacts_on" w:history="1">
        <w:r w:rsidR="00C77A10" w:rsidRPr="006C27AC">
          <w:rPr>
            <w:rStyle w:val="Hyperlink"/>
            <w:rFonts w:ascii="Franklin Gothic Book" w:hAnsi="Franklin Gothic Book" w:cs="Times New Roman"/>
            <w:sz w:val="22"/>
            <w:szCs w:val="22"/>
          </w:rPr>
          <w:t>Section IV</w:t>
        </w:r>
      </w:hyperlink>
      <w:r w:rsidRPr="009C0C39">
        <w:rPr>
          <w:rFonts w:ascii="Franklin Gothic Book" w:hAnsi="Franklin Gothic Book" w:cs="Times New Roman"/>
          <w:sz w:val="22"/>
          <w:szCs w:val="22"/>
        </w:rPr>
        <w:t xml:space="preserve">. </w:t>
      </w:r>
    </w:p>
    <w:p w14:paraId="46A24AC5" w14:textId="5B1B552F" w:rsidR="00561064" w:rsidRPr="009C0C39" w:rsidRDefault="008377B6" w:rsidP="00C053F7">
      <w:pPr>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Summary of Projected Impacts of the Expansions on Annual Commercial Health Care Spending and Provider Revenue</w:t>
      </w:r>
    </w:p>
    <w:tbl>
      <w:tblPr>
        <w:tblStyle w:val="GridTable4-Accent1"/>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Caption w:val="Summary of Projected Impacts of the Expansions on Annual Commercial Health Care Spending and Provider Revenue"/>
        <w:tblDescription w:val="Summary of Projected Impacts of the Expansions on Annual Commercial Health Care Spending and Provider Revenue"/>
      </w:tblPr>
      <w:tblGrid>
        <w:gridCol w:w="445"/>
        <w:gridCol w:w="1913"/>
        <w:gridCol w:w="967"/>
        <w:gridCol w:w="2430"/>
        <w:gridCol w:w="2430"/>
        <w:gridCol w:w="2430"/>
      </w:tblGrid>
      <w:tr w:rsidR="00E7023A" w:rsidRPr="009C0C39" w14:paraId="27E97F60" w14:textId="77777777" w:rsidTr="006B6365">
        <w:trPr>
          <w:cnfStyle w:val="100000000000" w:firstRow="1" w:lastRow="0" w:firstColumn="0" w:lastColumn="0" w:oddVBand="0" w:evenVBand="0" w:oddHBand="0" w:evenHBand="0" w:firstRowFirstColumn="0" w:firstRowLastColumn="0" w:lastRowFirstColumn="0" w:lastRowLastColumn="0"/>
          <w:trHeight w:val="457"/>
          <w:tblHeader/>
        </w:trPr>
        <w:tc>
          <w:tcPr>
            <w:tcW w:w="445" w:type="dxa"/>
          </w:tcPr>
          <w:p w14:paraId="5C955177" w14:textId="77777777" w:rsidR="000527C7" w:rsidRPr="009C0C39" w:rsidRDefault="000527C7" w:rsidP="00887CD2">
            <w:pPr>
              <w:rPr>
                <w:rFonts w:ascii="Franklin Gothic Book" w:hAnsi="Franklin Gothic Book" w:cs="Times New Roman"/>
                <w:b w:val="0"/>
                <w:bCs w:val="0"/>
                <w:sz w:val="18"/>
                <w:szCs w:val="18"/>
              </w:rPr>
            </w:pPr>
          </w:p>
        </w:tc>
        <w:tc>
          <w:tcPr>
            <w:tcW w:w="2880" w:type="dxa"/>
            <w:gridSpan w:val="2"/>
            <w:tcBorders>
              <w:right w:val="single" w:sz="4" w:space="0" w:color="F2682A" w:themeColor="accent2"/>
            </w:tcBorders>
            <w:hideMark/>
          </w:tcPr>
          <w:p w14:paraId="67631938" w14:textId="77777777" w:rsidR="000527C7" w:rsidRPr="00C053F7" w:rsidRDefault="000527C7" w:rsidP="00887CD2">
            <w:pPr>
              <w:jc w:val="center"/>
              <w:rPr>
                <w:rFonts w:ascii="Franklin Gothic Demi Cond" w:hAnsi="Franklin Gothic Demi Cond" w:cs="Times New Roman"/>
                <w:b w:val="0"/>
                <w:bCs w:val="0"/>
                <w:sz w:val="20"/>
                <w:szCs w:val="20"/>
              </w:rPr>
            </w:pPr>
            <w:r w:rsidRPr="00C053F7">
              <w:rPr>
                <w:rFonts w:ascii="Franklin Gothic Demi Cond" w:hAnsi="Franklin Gothic Demi Cond" w:cs="Times New Roman"/>
                <w:b w:val="0"/>
                <w:bCs w:val="0"/>
                <w:sz w:val="20"/>
                <w:szCs w:val="20"/>
              </w:rPr>
              <w:t>Spending Dynamic</w:t>
            </w:r>
          </w:p>
        </w:tc>
        <w:tc>
          <w:tcPr>
            <w:tcW w:w="2430" w:type="dxa"/>
            <w:tcBorders>
              <w:top w:val="single" w:sz="4" w:space="0" w:color="F2682A" w:themeColor="accent2"/>
              <w:left w:val="single" w:sz="4" w:space="0" w:color="F2682A" w:themeColor="accent2"/>
              <w:right w:val="single" w:sz="4" w:space="0" w:color="F2682A" w:themeColor="accent2"/>
            </w:tcBorders>
            <w:hideMark/>
          </w:tcPr>
          <w:p w14:paraId="5FCB7520" w14:textId="77777777" w:rsidR="000527C7" w:rsidRPr="00C053F7" w:rsidRDefault="000527C7" w:rsidP="00887CD2">
            <w:pPr>
              <w:jc w:val="center"/>
              <w:rPr>
                <w:rFonts w:ascii="Franklin Gothic Demi Cond" w:hAnsi="Franklin Gothic Demi Cond" w:cs="Times New Roman"/>
                <w:b w:val="0"/>
                <w:bCs w:val="0"/>
                <w:sz w:val="20"/>
                <w:szCs w:val="20"/>
              </w:rPr>
            </w:pPr>
            <w:r w:rsidRPr="00C053F7">
              <w:rPr>
                <w:rFonts w:ascii="Franklin Gothic Demi Cond" w:hAnsi="Franklin Gothic Demi Cond" w:cs="Times New Roman"/>
                <w:b w:val="0"/>
                <w:bCs w:val="0"/>
                <w:sz w:val="20"/>
                <w:szCs w:val="20"/>
              </w:rPr>
              <w:t>Annual Commercial Spending Impact</w:t>
            </w:r>
          </w:p>
        </w:tc>
        <w:tc>
          <w:tcPr>
            <w:tcW w:w="2430" w:type="dxa"/>
            <w:tcBorders>
              <w:left w:val="single" w:sz="4" w:space="0" w:color="F2682A" w:themeColor="accent2"/>
            </w:tcBorders>
            <w:hideMark/>
          </w:tcPr>
          <w:p w14:paraId="1B59292A" w14:textId="77777777" w:rsidR="000527C7" w:rsidRPr="00C053F7" w:rsidRDefault="000527C7" w:rsidP="00887CD2">
            <w:pPr>
              <w:jc w:val="center"/>
              <w:rPr>
                <w:rFonts w:ascii="Franklin Gothic Demi Cond" w:hAnsi="Franklin Gothic Demi Cond" w:cs="Times New Roman"/>
                <w:b w:val="0"/>
                <w:bCs w:val="0"/>
                <w:sz w:val="20"/>
                <w:szCs w:val="20"/>
              </w:rPr>
            </w:pPr>
            <w:r w:rsidRPr="00C053F7">
              <w:rPr>
                <w:rFonts w:ascii="Franklin Gothic Demi Cond" w:hAnsi="Franklin Gothic Demi Cond" w:cs="Times New Roman"/>
                <w:b w:val="0"/>
                <w:bCs w:val="0"/>
                <w:sz w:val="20"/>
                <w:szCs w:val="20"/>
              </w:rPr>
              <w:t>Annual Commercial Revenue Gain by MGB</w:t>
            </w:r>
          </w:p>
        </w:tc>
        <w:tc>
          <w:tcPr>
            <w:tcW w:w="2430" w:type="dxa"/>
            <w:hideMark/>
          </w:tcPr>
          <w:p w14:paraId="468CF03F" w14:textId="77777777" w:rsidR="000527C7" w:rsidRPr="00C053F7" w:rsidRDefault="000527C7" w:rsidP="00887CD2">
            <w:pPr>
              <w:jc w:val="center"/>
              <w:rPr>
                <w:rFonts w:ascii="Franklin Gothic Demi Cond" w:hAnsi="Franklin Gothic Demi Cond" w:cs="Times New Roman"/>
                <w:b w:val="0"/>
                <w:bCs w:val="0"/>
                <w:sz w:val="20"/>
                <w:szCs w:val="20"/>
              </w:rPr>
            </w:pPr>
            <w:r w:rsidRPr="00C053F7">
              <w:rPr>
                <w:rFonts w:ascii="Franklin Gothic Demi Cond" w:hAnsi="Franklin Gothic Demi Cond" w:cs="Times New Roman"/>
                <w:b w:val="0"/>
                <w:bCs w:val="0"/>
                <w:sz w:val="20"/>
                <w:szCs w:val="20"/>
              </w:rPr>
              <w:t>Annual Commercial Revenue Loss by Other Providers</w:t>
            </w:r>
          </w:p>
        </w:tc>
      </w:tr>
      <w:tr w:rsidR="000527C7" w:rsidRPr="009C0C39" w14:paraId="6B8C81C4" w14:textId="77777777" w:rsidTr="00962C56">
        <w:trPr>
          <w:trHeight w:val="1025"/>
        </w:trPr>
        <w:tc>
          <w:tcPr>
            <w:tcW w:w="445" w:type="dxa"/>
            <w:vMerge w:val="restart"/>
            <w:shd w:val="clear" w:color="auto" w:fill="auto"/>
            <w:textDirection w:val="btLr"/>
          </w:tcPr>
          <w:p w14:paraId="43C83B39" w14:textId="77777777" w:rsidR="000527C7" w:rsidRPr="009C0C39" w:rsidRDefault="000527C7" w:rsidP="00561064">
            <w:pPr>
              <w:pStyle w:val="ListParagraph"/>
              <w:numPr>
                <w:ilvl w:val="0"/>
                <w:numId w:val="38"/>
              </w:numPr>
              <w:ind w:right="113"/>
              <w:jc w:val="center"/>
              <w:rPr>
                <w:rFonts w:ascii="Franklin Gothic Book" w:hAnsi="Franklin Gothic Book" w:cs="Times New Roman"/>
                <w:sz w:val="18"/>
                <w:szCs w:val="18"/>
              </w:rPr>
            </w:pPr>
            <w:r w:rsidRPr="009C0C39">
              <w:rPr>
                <w:rFonts w:ascii="Franklin Gothic Book" w:hAnsi="Franklin Gothic Book" w:cs="Times New Roman"/>
                <w:sz w:val="18"/>
                <w:szCs w:val="18"/>
              </w:rPr>
              <w:t>Ambulatory Expansion</w:t>
            </w:r>
          </w:p>
        </w:tc>
        <w:tc>
          <w:tcPr>
            <w:tcW w:w="2880" w:type="dxa"/>
            <w:gridSpan w:val="2"/>
            <w:tcBorders>
              <w:right w:val="single" w:sz="4" w:space="0" w:color="F2682A" w:themeColor="accent2"/>
            </w:tcBorders>
            <w:shd w:val="clear" w:color="auto" w:fill="auto"/>
            <w:hideMark/>
          </w:tcPr>
          <w:p w14:paraId="7394E022" w14:textId="77777777" w:rsidR="000527C7" w:rsidRPr="009C0C39" w:rsidRDefault="000527C7" w:rsidP="00561064">
            <w:pPr>
              <w:pStyle w:val="ListParagraph"/>
              <w:numPr>
                <w:ilvl w:val="0"/>
                <w:numId w:val="37"/>
              </w:numPr>
              <w:ind w:left="231" w:hanging="274"/>
              <w:rPr>
                <w:rFonts w:ascii="Franklin Gothic Book" w:hAnsi="Franklin Gothic Book" w:cs="Times New Roman"/>
                <w:sz w:val="18"/>
                <w:szCs w:val="18"/>
              </w:rPr>
            </w:pPr>
            <w:r w:rsidRPr="009C0C39">
              <w:rPr>
                <w:rFonts w:ascii="Franklin Gothic Book" w:hAnsi="Franklin Gothic Book" w:cs="Times New Roman"/>
                <w:sz w:val="18"/>
                <w:szCs w:val="18"/>
              </w:rPr>
              <w:t>New MGB primary care patients</w:t>
            </w:r>
          </w:p>
        </w:tc>
        <w:tc>
          <w:tcPr>
            <w:tcW w:w="2430" w:type="dxa"/>
            <w:tcBorders>
              <w:left w:val="single" w:sz="4" w:space="0" w:color="F2682A" w:themeColor="accent2"/>
              <w:right w:val="single" w:sz="4" w:space="0" w:color="F2682A" w:themeColor="accent2"/>
            </w:tcBorders>
            <w:shd w:val="clear" w:color="auto" w:fill="auto"/>
          </w:tcPr>
          <w:p w14:paraId="31675DCE"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$9.5M to $15.4M</w:t>
            </w:r>
          </w:p>
        </w:tc>
        <w:tc>
          <w:tcPr>
            <w:tcW w:w="2430" w:type="dxa"/>
            <w:tcBorders>
              <w:left w:val="single" w:sz="4" w:space="0" w:color="F2682A" w:themeColor="accent2"/>
            </w:tcBorders>
            <w:shd w:val="clear" w:color="auto" w:fill="D9D9D9" w:themeFill="background1" w:themeFillShade="D9"/>
          </w:tcPr>
          <w:p w14:paraId="65867F93"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 but likely to increase revenue.</w:t>
            </w:r>
          </w:p>
        </w:tc>
        <w:tc>
          <w:tcPr>
            <w:tcW w:w="2430" w:type="dxa"/>
            <w:shd w:val="clear" w:color="auto" w:fill="D9D9D9" w:themeFill="background1" w:themeFillShade="D9"/>
          </w:tcPr>
          <w:p w14:paraId="73D91F23"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 but likely to decrease revenue.</w:t>
            </w:r>
          </w:p>
        </w:tc>
      </w:tr>
      <w:tr w:rsidR="000527C7" w:rsidRPr="009C0C39" w14:paraId="4E6A03E6" w14:textId="77777777" w:rsidTr="00962C56">
        <w:trPr>
          <w:trHeight w:val="790"/>
        </w:trPr>
        <w:tc>
          <w:tcPr>
            <w:tcW w:w="445" w:type="dxa"/>
            <w:vMerge/>
            <w:shd w:val="clear" w:color="auto" w:fill="auto"/>
          </w:tcPr>
          <w:p w14:paraId="085B2661" w14:textId="77777777" w:rsidR="000527C7" w:rsidRPr="009C0C39" w:rsidRDefault="000527C7" w:rsidP="00887CD2">
            <w:pPr>
              <w:jc w:val="center"/>
              <w:rPr>
                <w:rFonts w:ascii="Franklin Gothic Book" w:hAnsi="Franklin Gothic Book" w:cs="Times New Roman"/>
                <w:sz w:val="18"/>
                <w:szCs w:val="18"/>
              </w:rPr>
            </w:pPr>
          </w:p>
        </w:tc>
        <w:tc>
          <w:tcPr>
            <w:tcW w:w="2880" w:type="dxa"/>
            <w:gridSpan w:val="2"/>
            <w:tcBorders>
              <w:right w:val="single" w:sz="4" w:space="0" w:color="F2682A" w:themeColor="accent2"/>
            </w:tcBorders>
            <w:shd w:val="clear" w:color="auto" w:fill="EDEDED" w:themeFill="text2" w:themeFillTint="33"/>
            <w:hideMark/>
          </w:tcPr>
          <w:p w14:paraId="2BDC198D" w14:textId="77777777" w:rsidR="000527C7" w:rsidRPr="009C0C39" w:rsidRDefault="000527C7" w:rsidP="00561064">
            <w:pPr>
              <w:pStyle w:val="ListParagraph"/>
              <w:numPr>
                <w:ilvl w:val="0"/>
                <w:numId w:val="37"/>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 xml:space="preserve">Increased utilization of MGB hospitals </w:t>
            </w:r>
          </w:p>
        </w:tc>
        <w:tc>
          <w:tcPr>
            <w:tcW w:w="2430" w:type="dxa"/>
            <w:tcBorders>
              <w:left w:val="single" w:sz="4" w:space="0" w:color="F2682A" w:themeColor="accent2"/>
              <w:right w:val="single" w:sz="4" w:space="0" w:color="F2682A" w:themeColor="accent2"/>
            </w:tcBorders>
            <w:shd w:val="clear" w:color="auto" w:fill="EDEDED" w:themeFill="text2" w:themeFillTint="33"/>
            <w:hideMark/>
          </w:tcPr>
          <w:p w14:paraId="35CD068C"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 xml:space="preserve">Likely significant. If the three proposed sites allow MGB to achieve half of its market share expectations for the larger multiyear ambulatory expansion, $4.5M to $17.9M for inpatient care. Outpatient would further increase spending. </w:t>
            </w:r>
          </w:p>
        </w:tc>
        <w:tc>
          <w:tcPr>
            <w:tcW w:w="2430" w:type="dxa"/>
            <w:tcBorders>
              <w:left w:val="single" w:sz="4" w:space="0" w:color="F2682A" w:themeColor="accent2"/>
            </w:tcBorders>
            <w:shd w:val="clear" w:color="auto" w:fill="D9D9D9" w:themeFill="background1" w:themeFillShade="D9"/>
            <w:hideMark/>
          </w:tcPr>
          <w:p w14:paraId="1580F7E9"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Likely significant. If the three proposed sites allow MGB to achieve half of its market share expectations for the larger multiyear ambulatory expansion, $19.1M to $76.5M for inpatient care. Outpatient would further increase revenue.</w:t>
            </w:r>
          </w:p>
        </w:tc>
        <w:tc>
          <w:tcPr>
            <w:tcW w:w="2430" w:type="dxa"/>
            <w:shd w:val="clear" w:color="auto" w:fill="D9D9D9" w:themeFill="background1" w:themeFillShade="D9"/>
            <w:hideMark/>
          </w:tcPr>
          <w:p w14:paraId="0FB37153"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 xml:space="preserve">Likely significant. </w:t>
            </w:r>
          </w:p>
          <w:p w14:paraId="720F4229"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If the three proposed sites allow MGB to achieve half of its market share expectations for the larger multiyear ambulatory expansion,</w:t>
            </w:r>
            <w:r w:rsidRPr="009C0C39">
              <w:rPr>
                <w:rFonts w:ascii="Franklin Gothic Book" w:hAnsi="Franklin Gothic Book" w:cs="Times New Roman"/>
                <w:color w:val="FF0000"/>
                <w:sz w:val="18"/>
                <w:szCs w:val="18"/>
              </w:rPr>
              <w:t xml:space="preserve"> -$14.6M</w:t>
            </w:r>
            <w:r w:rsidRPr="009C0C39">
              <w:rPr>
                <w:rFonts w:ascii="Franklin Gothic Book" w:hAnsi="Franklin Gothic Book" w:cs="Times New Roman"/>
                <w:sz w:val="18"/>
                <w:szCs w:val="18"/>
              </w:rPr>
              <w:t xml:space="preserve"> to </w:t>
            </w:r>
            <w:r w:rsidRPr="009C0C39">
              <w:rPr>
                <w:rFonts w:ascii="Franklin Gothic Book" w:hAnsi="Franklin Gothic Book" w:cs="Times New Roman"/>
                <w:color w:val="FF0000"/>
                <w:sz w:val="18"/>
                <w:szCs w:val="18"/>
              </w:rPr>
              <w:t>-$58.6M</w:t>
            </w:r>
            <w:r w:rsidRPr="009C0C39">
              <w:rPr>
                <w:rFonts w:ascii="Franklin Gothic Book" w:hAnsi="Franklin Gothic Book" w:cs="Times New Roman"/>
                <w:sz w:val="18"/>
                <w:szCs w:val="18"/>
              </w:rPr>
              <w:t xml:space="preserve"> for inpatient care. Outpatient would further reduce revenue.</w:t>
            </w:r>
          </w:p>
        </w:tc>
      </w:tr>
      <w:tr w:rsidR="000527C7" w:rsidRPr="009C0C39" w14:paraId="1B04E99F" w14:textId="77777777" w:rsidTr="00962C56">
        <w:trPr>
          <w:trHeight w:val="700"/>
        </w:trPr>
        <w:tc>
          <w:tcPr>
            <w:tcW w:w="445" w:type="dxa"/>
            <w:vMerge/>
            <w:shd w:val="clear" w:color="auto" w:fill="auto"/>
          </w:tcPr>
          <w:p w14:paraId="542462B3" w14:textId="77777777" w:rsidR="000527C7" w:rsidRPr="009C0C39" w:rsidRDefault="000527C7" w:rsidP="00887CD2">
            <w:pPr>
              <w:jc w:val="center"/>
              <w:rPr>
                <w:rFonts w:ascii="Franklin Gothic Book" w:hAnsi="Franklin Gothic Book" w:cs="Times New Roman"/>
                <w:sz w:val="18"/>
                <w:szCs w:val="18"/>
              </w:rPr>
            </w:pPr>
          </w:p>
        </w:tc>
        <w:tc>
          <w:tcPr>
            <w:tcW w:w="2880" w:type="dxa"/>
            <w:gridSpan w:val="2"/>
            <w:tcBorders>
              <w:right w:val="single" w:sz="4" w:space="0" w:color="F2682A" w:themeColor="accent2"/>
            </w:tcBorders>
            <w:shd w:val="clear" w:color="auto" w:fill="auto"/>
            <w:hideMark/>
          </w:tcPr>
          <w:p w14:paraId="12EB4632" w14:textId="77777777" w:rsidR="000527C7" w:rsidRPr="009C0C39" w:rsidRDefault="000527C7" w:rsidP="00561064">
            <w:pPr>
              <w:pStyle w:val="ListParagraph"/>
              <w:numPr>
                <w:ilvl w:val="0"/>
                <w:numId w:val="37"/>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 xml:space="preserve">Patients at new ambulatory locations and backfill of outpatient capacity at MGB hospitals </w:t>
            </w:r>
          </w:p>
        </w:tc>
        <w:tc>
          <w:tcPr>
            <w:tcW w:w="2430" w:type="dxa"/>
            <w:tcBorders>
              <w:left w:val="single" w:sz="4" w:space="0" w:color="F2682A" w:themeColor="accent2"/>
              <w:right w:val="single" w:sz="4" w:space="0" w:color="F2682A" w:themeColor="accent2"/>
            </w:tcBorders>
            <w:shd w:val="clear" w:color="auto" w:fill="auto"/>
            <w:hideMark/>
          </w:tcPr>
          <w:p w14:paraId="66F0A57B"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-$3.4M</w:t>
            </w:r>
            <w:r w:rsidRPr="009C0C39">
              <w:rPr>
                <w:rFonts w:ascii="Franklin Gothic Book" w:hAnsi="Franklin Gothic Book" w:cs="Times New Roman"/>
                <w:sz w:val="18"/>
                <w:szCs w:val="18"/>
              </w:rPr>
              <w:t xml:space="preserve"> for ambulatory surgery, CT and MRI. Other services could further impact spending.</w:t>
            </w:r>
          </w:p>
        </w:tc>
        <w:tc>
          <w:tcPr>
            <w:tcW w:w="2430" w:type="dxa"/>
            <w:tcBorders>
              <w:left w:val="single" w:sz="4" w:space="0" w:color="F2682A" w:themeColor="accent2"/>
            </w:tcBorders>
            <w:shd w:val="clear" w:color="auto" w:fill="D9D9D9" w:themeFill="background1" w:themeFillShade="D9"/>
            <w:hideMark/>
          </w:tcPr>
          <w:p w14:paraId="39095E2A"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$24.2M to $28.2M for ambulatory surgery, CT and MRI. Other services would further increase revenue.</w:t>
            </w:r>
          </w:p>
        </w:tc>
        <w:tc>
          <w:tcPr>
            <w:tcW w:w="2430" w:type="dxa"/>
            <w:shd w:val="clear" w:color="auto" w:fill="D9D9D9" w:themeFill="background1" w:themeFillShade="D9"/>
            <w:hideMark/>
          </w:tcPr>
          <w:p w14:paraId="376E3C1D"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-$27.6M</w:t>
            </w:r>
            <w:r w:rsidRPr="009C0C39">
              <w:rPr>
                <w:rFonts w:ascii="Franklin Gothic Book" w:hAnsi="Franklin Gothic Book" w:cs="Times New Roman"/>
                <w:sz w:val="18"/>
                <w:szCs w:val="18"/>
              </w:rPr>
              <w:t xml:space="preserve"> to </w:t>
            </w:r>
            <w:r w:rsidRPr="009C0C39">
              <w:rPr>
                <w:rFonts w:ascii="Franklin Gothic Book" w:hAnsi="Franklin Gothic Book" w:cs="Times New Roman"/>
                <w:color w:val="FF0000"/>
                <w:sz w:val="18"/>
                <w:szCs w:val="18"/>
              </w:rPr>
              <w:t>-$31.6M</w:t>
            </w:r>
            <w:r w:rsidRPr="009C0C39">
              <w:rPr>
                <w:rFonts w:ascii="Franklin Gothic Book" w:hAnsi="Franklin Gothic Book" w:cs="Times New Roman"/>
                <w:sz w:val="18"/>
                <w:szCs w:val="18"/>
              </w:rPr>
              <w:t xml:space="preserve"> for ambulatory surgery, CT and MRI. Other services would further reduce revenue</w:t>
            </w:r>
          </w:p>
        </w:tc>
      </w:tr>
      <w:tr w:rsidR="000527C7" w:rsidRPr="009C0C39" w14:paraId="5869F4D6" w14:textId="77777777" w:rsidTr="00962C56">
        <w:trPr>
          <w:trHeight w:val="214"/>
        </w:trPr>
        <w:tc>
          <w:tcPr>
            <w:tcW w:w="445" w:type="dxa"/>
            <w:vMerge/>
            <w:shd w:val="clear" w:color="auto" w:fill="auto"/>
          </w:tcPr>
          <w:p w14:paraId="26833E5F" w14:textId="77777777" w:rsidR="000527C7" w:rsidRPr="009C0C39" w:rsidRDefault="000527C7" w:rsidP="00887CD2">
            <w:pPr>
              <w:jc w:val="center"/>
              <w:rPr>
                <w:rFonts w:ascii="Franklin Gothic Book" w:hAnsi="Franklin Gothic Book" w:cs="Times New Roman"/>
                <w:sz w:val="18"/>
                <w:szCs w:val="18"/>
              </w:rPr>
            </w:pPr>
          </w:p>
        </w:tc>
        <w:tc>
          <w:tcPr>
            <w:tcW w:w="2880" w:type="dxa"/>
            <w:gridSpan w:val="2"/>
            <w:tcBorders>
              <w:right w:val="single" w:sz="4" w:space="0" w:color="F2682A" w:themeColor="accent2"/>
            </w:tcBorders>
            <w:shd w:val="clear" w:color="auto" w:fill="EDEDED" w:themeFill="text2" w:themeFillTint="33"/>
          </w:tcPr>
          <w:p w14:paraId="13FC928A" w14:textId="77777777" w:rsidR="000527C7" w:rsidRPr="009C0C39" w:rsidRDefault="000527C7" w:rsidP="00561064">
            <w:pPr>
              <w:pStyle w:val="ListParagraph"/>
              <w:numPr>
                <w:ilvl w:val="0"/>
                <w:numId w:val="37"/>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Increased MGB prices as market concentration and MGB’s commercial market shares increase</w:t>
            </w:r>
          </w:p>
        </w:tc>
        <w:tc>
          <w:tcPr>
            <w:tcW w:w="2430" w:type="dxa"/>
            <w:tcBorders>
              <w:left w:val="single" w:sz="4" w:space="0" w:color="F2682A" w:themeColor="accent2"/>
              <w:right w:val="single" w:sz="4" w:space="0" w:color="F2682A" w:themeColor="accent2"/>
            </w:tcBorders>
            <w:shd w:val="clear" w:color="auto" w:fill="EDEDED" w:themeFill="text2" w:themeFillTint="33"/>
          </w:tcPr>
          <w:p w14:paraId="5B8E6B4F"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c>
          <w:tcPr>
            <w:tcW w:w="2430" w:type="dxa"/>
            <w:tcBorders>
              <w:left w:val="single" w:sz="4" w:space="0" w:color="F2682A" w:themeColor="accent2"/>
            </w:tcBorders>
            <w:shd w:val="clear" w:color="auto" w:fill="D9D9D9" w:themeFill="background1" w:themeFillShade="D9"/>
          </w:tcPr>
          <w:p w14:paraId="01B791DD"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c>
          <w:tcPr>
            <w:tcW w:w="2430" w:type="dxa"/>
            <w:shd w:val="clear" w:color="auto" w:fill="D9D9D9" w:themeFill="background1" w:themeFillShade="D9"/>
          </w:tcPr>
          <w:p w14:paraId="7A638ECB"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r>
      <w:tr w:rsidR="000527C7" w:rsidRPr="009C0C39" w14:paraId="15736D8A" w14:textId="77777777" w:rsidTr="00962C56">
        <w:trPr>
          <w:trHeight w:val="523"/>
        </w:trPr>
        <w:tc>
          <w:tcPr>
            <w:tcW w:w="445" w:type="dxa"/>
            <w:vMerge/>
            <w:shd w:val="clear" w:color="auto" w:fill="auto"/>
            <w:textDirection w:val="btLr"/>
          </w:tcPr>
          <w:p w14:paraId="73E2A6A8" w14:textId="77777777" w:rsidR="000527C7" w:rsidRPr="009C0C39" w:rsidRDefault="000527C7" w:rsidP="00887CD2">
            <w:pPr>
              <w:ind w:left="113" w:right="113"/>
              <w:rPr>
                <w:rFonts w:ascii="Franklin Gothic Book" w:hAnsi="Franklin Gothic Book" w:cs="Times New Roman"/>
                <w:sz w:val="18"/>
                <w:szCs w:val="18"/>
              </w:rPr>
            </w:pPr>
          </w:p>
        </w:tc>
        <w:tc>
          <w:tcPr>
            <w:tcW w:w="2880" w:type="dxa"/>
            <w:gridSpan w:val="2"/>
            <w:tcBorders>
              <w:right w:val="single" w:sz="4" w:space="0" w:color="F2682A" w:themeColor="accent2"/>
            </w:tcBorders>
            <w:shd w:val="clear" w:color="auto" w:fill="E2E8F1" w:themeFill="background2" w:themeFillTint="33"/>
          </w:tcPr>
          <w:p w14:paraId="592070F8" w14:textId="77777777" w:rsidR="000527C7" w:rsidRPr="009C0C39" w:rsidRDefault="000527C7" w:rsidP="00887CD2">
            <w:pPr>
              <w:rPr>
                <w:rFonts w:ascii="Franklin Gothic Book" w:hAnsi="Franklin Gothic Book" w:cs="Times New Roman"/>
                <w:b/>
                <w:bCs/>
                <w:sz w:val="18"/>
                <w:szCs w:val="18"/>
              </w:rPr>
            </w:pPr>
            <w:r w:rsidRPr="009C0C39">
              <w:rPr>
                <w:rFonts w:ascii="Franklin Gothic Book" w:hAnsi="Franklin Gothic Book" w:cs="Times New Roman"/>
                <w:b/>
                <w:bCs/>
                <w:sz w:val="18"/>
                <w:szCs w:val="18"/>
              </w:rPr>
              <w:t xml:space="preserve">Total </w:t>
            </w:r>
            <w:r w:rsidRPr="009C0C39">
              <w:rPr>
                <w:rFonts w:ascii="Franklin Gothic Book" w:hAnsi="Franklin Gothic Book" w:cs="Times New Roman"/>
                <w:b/>
                <w:bCs/>
                <w:i/>
                <w:iCs/>
                <w:sz w:val="18"/>
                <w:szCs w:val="18"/>
              </w:rPr>
              <w:t>yearly</w:t>
            </w:r>
            <w:r w:rsidRPr="009C0C39">
              <w:rPr>
                <w:rFonts w:ascii="Franklin Gothic Book" w:hAnsi="Franklin Gothic Book" w:cs="Times New Roman"/>
                <w:b/>
                <w:bCs/>
                <w:sz w:val="18"/>
                <w:szCs w:val="18"/>
              </w:rPr>
              <w:t xml:space="preserve"> commercial impact for modeled services and spending dynamics</w:t>
            </w:r>
          </w:p>
        </w:tc>
        <w:tc>
          <w:tcPr>
            <w:tcW w:w="2430" w:type="dxa"/>
            <w:tcBorders>
              <w:left w:val="single" w:sz="4" w:space="0" w:color="F2682A" w:themeColor="accent2"/>
              <w:right w:val="single" w:sz="4" w:space="0" w:color="F2682A" w:themeColor="accent2"/>
            </w:tcBorders>
            <w:shd w:val="clear" w:color="auto" w:fill="E2E8F1" w:themeFill="background2" w:themeFillTint="33"/>
          </w:tcPr>
          <w:p w14:paraId="4C9AB056"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$9.3M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$27.9M</w:t>
            </w:r>
          </w:p>
        </w:tc>
        <w:tc>
          <w:tcPr>
            <w:tcW w:w="2430" w:type="dxa"/>
            <w:tcBorders>
              <w:left w:val="single" w:sz="4" w:space="0" w:color="F2682A" w:themeColor="accent2"/>
            </w:tcBorders>
            <w:shd w:val="clear" w:color="auto" w:fill="D9D9D9" w:themeFill="background1" w:themeFillShade="D9"/>
          </w:tcPr>
          <w:p w14:paraId="656BAFB4"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$43.3M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$104.6M</w:t>
            </w:r>
          </w:p>
        </w:tc>
        <w:tc>
          <w:tcPr>
            <w:tcW w:w="2430" w:type="dxa"/>
            <w:shd w:val="clear" w:color="auto" w:fill="D9D9D9" w:themeFill="background1" w:themeFillShade="D9"/>
          </w:tcPr>
          <w:p w14:paraId="6F406BC6" w14:textId="77777777" w:rsidR="000527C7" w:rsidRPr="009C0C39" w:rsidRDefault="000527C7"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b/>
                <w:bCs/>
                <w:color w:val="FF0000"/>
                <w:sz w:val="18"/>
                <w:szCs w:val="18"/>
              </w:rPr>
              <w:t>-$42.2M</w:t>
            </w:r>
            <w:r w:rsidRPr="009C0C39">
              <w:rPr>
                <w:rFonts w:ascii="Franklin Gothic Book" w:hAnsi="Franklin Gothic Book" w:cs="Times New Roman"/>
                <w:color w:val="FF0000"/>
                <w:sz w:val="18"/>
                <w:szCs w:val="18"/>
              </w:rPr>
              <w:t xml:space="preserve"> </w:t>
            </w:r>
            <w:r w:rsidRPr="009C0C39">
              <w:rPr>
                <w:rFonts w:ascii="Franklin Gothic Book" w:hAnsi="Franklin Gothic Book" w:cs="Times New Roman"/>
                <w:sz w:val="18"/>
                <w:szCs w:val="18"/>
              </w:rPr>
              <w:t xml:space="preserve">to </w:t>
            </w:r>
            <w:r w:rsidRPr="009C0C39">
              <w:rPr>
                <w:rFonts w:ascii="Franklin Gothic Book" w:hAnsi="Franklin Gothic Book" w:cs="Times New Roman"/>
                <w:b/>
                <w:bCs/>
                <w:color w:val="FF0000"/>
                <w:sz w:val="18"/>
                <w:szCs w:val="18"/>
              </w:rPr>
              <w:t>-$90.2M</w:t>
            </w:r>
          </w:p>
        </w:tc>
      </w:tr>
      <w:tr w:rsidR="000527C7" w:rsidRPr="009C0C39" w14:paraId="762A4491" w14:textId="77777777" w:rsidTr="00962C56">
        <w:trPr>
          <w:trHeight w:val="523"/>
        </w:trPr>
        <w:tc>
          <w:tcPr>
            <w:tcW w:w="445" w:type="dxa"/>
            <w:vMerge w:val="restart"/>
            <w:shd w:val="clear" w:color="auto" w:fill="auto"/>
            <w:textDirection w:val="btLr"/>
          </w:tcPr>
          <w:p w14:paraId="083DFC1C" w14:textId="77777777" w:rsidR="000527C7" w:rsidRPr="009C0C39" w:rsidRDefault="000527C7" w:rsidP="00561064">
            <w:pPr>
              <w:pStyle w:val="ListParagraph"/>
              <w:numPr>
                <w:ilvl w:val="0"/>
                <w:numId w:val="38"/>
              </w:numPr>
              <w:ind w:right="113"/>
              <w:jc w:val="center"/>
              <w:rPr>
                <w:rFonts w:ascii="Franklin Gothic Book" w:hAnsi="Franklin Gothic Book" w:cs="Times New Roman"/>
                <w:sz w:val="18"/>
                <w:szCs w:val="18"/>
              </w:rPr>
            </w:pPr>
            <w:r w:rsidRPr="009C0C39">
              <w:rPr>
                <w:rFonts w:ascii="Franklin Gothic Book" w:hAnsi="Franklin Gothic Book" w:cs="Times New Roman"/>
                <w:sz w:val="18"/>
                <w:szCs w:val="18"/>
              </w:rPr>
              <w:t>MGH and Faulkner Expansions</w:t>
            </w:r>
          </w:p>
        </w:tc>
        <w:tc>
          <w:tcPr>
            <w:tcW w:w="1913" w:type="dxa"/>
            <w:vMerge w:val="restart"/>
            <w:shd w:val="clear" w:color="auto" w:fill="auto"/>
          </w:tcPr>
          <w:p w14:paraId="4CFD81C2" w14:textId="77777777" w:rsidR="000527C7" w:rsidRPr="009C0C39" w:rsidRDefault="000527C7" w:rsidP="00892E44">
            <w:pPr>
              <w:pStyle w:val="ListParagraph"/>
              <w:numPr>
                <w:ilvl w:val="0"/>
                <w:numId w:val="39"/>
              </w:numPr>
              <w:ind w:left="231" w:hanging="274"/>
              <w:rPr>
                <w:rFonts w:ascii="Franklin Gothic Book" w:hAnsi="Franklin Gothic Book" w:cs="Times New Roman"/>
                <w:sz w:val="18"/>
                <w:szCs w:val="18"/>
              </w:rPr>
            </w:pPr>
            <w:r w:rsidRPr="009C0C39">
              <w:rPr>
                <w:rFonts w:ascii="Franklin Gothic Book" w:hAnsi="Franklin Gothic Book" w:cs="Times New Roman"/>
                <w:sz w:val="18"/>
                <w:szCs w:val="18"/>
              </w:rPr>
              <w:t>Patients filling new inpatient capacity</w:t>
            </w:r>
          </w:p>
        </w:tc>
        <w:tc>
          <w:tcPr>
            <w:tcW w:w="967" w:type="dxa"/>
            <w:tcBorders>
              <w:right w:val="single" w:sz="4" w:space="0" w:color="F2682A" w:themeColor="accent2"/>
            </w:tcBorders>
            <w:shd w:val="clear" w:color="auto" w:fill="auto"/>
          </w:tcPr>
          <w:p w14:paraId="3467C32C"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MGH</w:t>
            </w:r>
          </w:p>
        </w:tc>
        <w:tc>
          <w:tcPr>
            <w:tcW w:w="2430" w:type="dxa"/>
            <w:tcBorders>
              <w:left w:val="single" w:sz="4" w:space="0" w:color="F2682A" w:themeColor="accent2"/>
              <w:right w:val="single" w:sz="4" w:space="0" w:color="F2682A" w:themeColor="accent2"/>
            </w:tcBorders>
            <w:shd w:val="clear" w:color="auto" w:fill="auto"/>
          </w:tcPr>
          <w:p w14:paraId="0BB744B5"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$23.7M to $40.6M</w:t>
            </w:r>
          </w:p>
        </w:tc>
        <w:tc>
          <w:tcPr>
            <w:tcW w:w="2430" w:type="dxa"/>
            <w:tcBorders>
              <w:left w:val="single" w:sz="4" w:space="0" w:color="F2682A" w:themeColor="accent2"/>
            </w:tcBorders>
            <w:shd w:val="clear" w:color="auto" w:fill="D9D9D9" w:themeFill="background1" w:themeFillShade="D9"/>
          </w:tcPr>
          <w:p w14:paraId="10D37F71"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$91.3M to $156.3M</w:t>
            </w:r>
          </w:p>
        </w:tc>
        <w:tc>
          <w:tcPr>
            <w:tcW w:w="2430" w:type="dxa"/>
            <w:shd w:val="clear" w:color="auto" w:fill="D9D9D9" w:themeFill="background1" w:themeFillShade="D9"/>
          </w:tcPr>
          <w:p w14:paraId="1CCCC18F"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 xml:space="preserve">-$67.6M </w:t>
            </w:r>
            <w:r w:rsidRPr="009C0C39">
              <w:rPr>
                <w:rFonts w:ascii="Franklin Gothic Book" w:hAnsi="Franklin Gothic Book" w:cs="Times New Roman"/>
                <w:sz w:val="18"/>
                <w:szCs w:val="18"/>
              </w:rPr>
              <w:t xml:space="preserve">to </w:t>
            </w:r>
            <w:r w:rsidRPr="009C0C39">
              <w:rPr>
                <w:rFonts w:ascii="Franklin Gothic Book" w:hAnsi="Franklin Gothic Book" w:cs="Times New Roman"/>
                <w:color w:val="FF0000"/>
                <w:sz w:val="18"/>
                <w:szCs w:val="18"/>
              </w:rPr>
              <w:t>-$115.7M</w:t>
            </w:r>
          </w:p>
        </w:tc>
      </w:tr>
      <w:tr w:rsidR="000527C7" w:rsidRPr="009C0C39" w14:paraId="4B30530B" w14:textId="77777777" w:rsidTr="00962C56">
        <w:trPr>
          <w:trHeight w:val="523"/>
        </w:trPr>
        <w:tc>
          <w:tcPr>
            <w:tcW w:w="445" w:type="dxa"/>
            <w:vMerge/>
            <w:shd w:val="clear" w:color="auto" w:fill="auto"/>
            <w:textDirection w:val="btLr"/>
          </w:tcPr>
          <w:p w14:paraId="4E9562AA" w14:textId="77777777" w:rsidR="000527C7" w:rsidRPr="009C0C39" w:rsidRDefault="000527C7" w:rsidP="00887CD2">
            <w:pPr>
              <w:ind w:left="113" w:right="113"/>
              <w:jc w:val="center"/>
              <w:rPr>
                <w:rFonts w:ascii="Franklin Gothic Book" w:hAnsi="Franklin Gothic Book" w:cs="Times New Roman"/>
                <w:sz w:val="18"/>
                <w:szCs w:val="18"/>
              </w:rPr>
            </w:pPr>
          </w:p>
        </w:tc>
        <w:tc>
          <w:tcPr>
            <w:tcW w:w="1913" w:type="dxa"/>
            <w:vMerge/>
            <w:shd w:val="clear" w:color="auto" w:fill="auto"/>
            <w:hideMark/>
          </w:tcPr>
          <w:p w14:paraId="53F6F47D" w14:textId="77777777" w:rsidR="000527C7" w:rsidRPr="009C0C39" w:rsidRDefault="000527C7" w:rsidP="00887CD2">
            <w:pPr>
              <w:jc w:val="center"/>
              <w:rPr>
                <w:rFonts w:ascii="Franklin Gothic Book" w:hAnsi="Franklin Gothic Book" w:cs="Times New Roman"/>
                <w:sz w:val="18"/>
                <w:szCs w:val="18"/>
              </w:rPr>
            </w:pPr>
          </w:p>
        </w:tc>
        <w:tc>
          <w:tcPr>
            <w:tcW w:w="967" w:type="dxa"/>
            <w:tcBorders>
              <w:right w:val="single" w:sz="4" w:space="0" w:color="F2682A" w:themeColor="accent2"/>
            </w:tcBorders>
            <w:shd w:val="clear" w:color="auto" w:fill="auto"/>
          </w:tcPr>
          <w:p w14:paraId="440E4C5B"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30" w:type="dxa"/>
            <w:tcBorders>
              <w:left w:val="single" w:sz="4" w:space="0" w:color="F2682A" w:themeColor="accent2"/>
              <w:right w:val="single" w:sz="4" w:space="0" w:color="F2682A" w:themeColor="accent2"/>
            </w:tcBorders>
            <w:shd w:val="clear" w:color="auto" w:fill="auto"/>
          </w:tcPr>
          <w:p w14:paraId="73941CF1"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$2.9M to $3.8M</w:t>
            </w:r>
          </w:p>
        </w:tc>
        <w:tc>
          <w:tcPr>
            <w:tcW w:w="2430" w:type="dxa"/>
            <w:tcBorders>
              <w:left w:val="single" w:sz="4" w:space="0" w:color="F2682A" w:themeColor="accent2"/>
            </w:tcBorders>
            <w:shd w:val="clear" w:color="auto" w:fill="D9D9D9" w:themeFill="background1" w:themeFillShade="D9"/>
          </w:tcPr>
          <w:p w14:paraId="14273A3F"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$41.8M to $54.9M</w:t>
            </w:r>
          </w:p>
        </w:tc>
        <w:tc>
          <w:tcPr>
            <w:tcW w:w="2430" w:type="dxa"/>
            <w:shd w:val="clear" w:color="auto" w:fill="D9D9D9" w:themeFill="background1" w:themeFillShade="D9"/>
          </w:tcPr>
          <w:p w14:paraId="3FF23D8E"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-$39.0M</w:t>
            </w:r>
            <w:r w:rsidRPr="009C0C39">
              <w:rPr>
                <w:rFonts w:ascii="Franklin Gothic Book" w:hAnsi="Franklin Gothic Book" w:cs="Times New Roman"/>
                <w:sz w:val="18"/>
                <w:szCs w:val="18"/>
              </w:rPr>
              <w:t xml:space="preserve"> to </w:t>
            </w:r>
            <w:r w:rsidRPr="009C0C39">
              <w:rPr>
                <w:rFonts w:ascii="Franklin Gothic Book" w:hAnsi="Franklin Gothic Book" w:cs="Times New Roman"/>
                <w:color w:val="FF0000"/>
                <w:sz w:val="18"/>
                <w:szCs w:val="18"/>
              </w:rPr>
              <w:t>-$51.1M</w:t>
            </w:r>
          </w:p>
        </w:tc>
      </w:tr>
      <w:tr w:rsidR="000527C7" w:rsidRPr="009C0C39" w14:paraId="2BF56D49" w14:textId="77777777" w:rsidTr="00962C56">
        <w:trPr>
          <w:trHeight w:val="673"/>
        </w:trPr>
        <w:tc>
          <w:tcPr>
            <w:tcW w:w="445" w:type="dxa"/>
            <w:vMerge/>
            <w:shd w:val="clear" w:color="auto" w:fill="auto"/>
          </w:tcPr>
          <w:p w14:paraId="17EE9A66" w14:textId="77777777" w:rsidR="000527C7" w:rsidRPr="009C0C39" w:rsidRDefault="000527C7" w:rsidP="00887CD2">
            <w:pPr>
              <w:rPr>
                <w:rFonts w:ascii="Franklin Gothic Book" w:hAnsi="Franklin Gothic Book" w:cs="Times New Roman"/>
                <w:sz w:val="18"/>
                <w:szCs w:val="18"/>
              </w:rPr>
            </w:pPr>
          </w:p>
        </w:tc>
        <w:tc>
          <w:tcPr>
            <w:tcW w:w="1913" w:type="dxa"/>
            <w:vMerge w:val="restart"/>
            <w:shd w:val="clear" w:color="auto" w:fill="EDEDED" w:themeFill="text2" w:themeFillTint="33"/>
          </w:tcPr>
          <w:p w14:paraId="37A606E2" w14:textId="77777777" w:rsidR="000527C7" w:rsidRPr="009C0C39" w:rsidRDefault="000527C7" w:rsidP="00892E44">
            <w:pPr>
              <w:pStyle w:val="ListParagraph"/>
              <w:numPr>
                <w:ilvl w:val="0"/>
                <w:numId w:val="39"/>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Patients filling new outpatient capacity</w:t>
            </w:r>
          </w:p>
        </w:tc>
        <w:tc>
          <w:tcPr>
            <w:tcW w:w="967" w:type="dxa"/>
            <w:tcBorders>
              <w:right w:val="single" w:sz="4" w:space="0" w:color="F2682A" w:themeColor="accent2"/>
            </w:tcBorders>
            <w:shd w:val="clear" w:color="auto" w:fill="EDEDED" w:themeFill="text2" w:themeFillTint="33"/>
          </w:tcPr>
          <w:p w14:paraId="7762DF0B"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MGH</w:t>
            </w:r>
          </w:p>
        </w:tc>
        <w:tc>
          <w:tcPr>
            <w:tcW w:w="2430" w:type="dxa"/>
            <w:tcBorders>
              <w:left w:val="single" w:sz="4" w:space="0" w:color="F2682A" w:themeColor="accent2"/>
              <w:right w:val="single" w:sz="4" w:space="0" w:color="F2682A" w:themeColor="accent2"/>
            </w:tcBorders>
            <w:shd w:val="clear" w:color="auto" w:fill="EDEDED" w:themeFill="text2" w:themeFillTint="33"/>
          </w:tcPr>
          <w:p w14:paraId="2713AC1F"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$573K for CT and MRI imaging only. Other services would further increase spending</w:t>
            </w:r>
          </w:p>
        </w:tc>
        <w:tc>
          <w:tcPr>
            <w:tcW w:w="2430" w:type="dxa"/>
            <w:tcBorders>
              <w:left w:val="single" w:sz="4" w:space="0" w:color="F2682A" w:themeColor="accent2"/>
            </w:tcBorders>
            <w:shd w:val="clear" w:color="auto" w:fill="D9D9D9" w:themeFill="background1" w:themeFillShade="D9"/>
          </w:tcPr>
          <w:p w14:paraId="38BEF64E"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$3.8M for CT and MRI imaging only. Other services would further increase revenue</w:t>
            </w:r>
          </w:p>
        </w:tc>
        <w:tc>
          <w:tcPr>
            <w:tcW w:w="2430" w:type="dxa"/>
            <w:shd w:val="clear" w:color="auto" w:fill="D9D9D9" w:themeFill="background1" w:themeFillShade="D9"/>
          </w:tcPr>
          <w:p w14:paraId="10FBEE66" w14:textId="77777777" w:rsidR="000527C7" w:rsidRPr="009C0C39" w:rsidRDefault="000527C7"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color w:val="FF0000"/>
                <w:sz w:val="18"/>
                <w:szCs w:val="18"/>
              </w:rPr>
              <w:t>-$3.3M</w:t>
            </w:r>
            <w:r w:rsidRPr="009C0C39">
              <w:rPr>
                <w:rFonts w:ascii="Franklin Gothic Book" w:hAnsi="Franklin Gothic Book" w:cs="Times New Roman"/>
                <w:sz w:val="18"/>
                <w:szCs w:val="18"/>
              </w:rPr>
              <w:t xml:space="preserve"> for CT and MRI imaging only. Other services would further reduce revenue</w:t>
            </w:r>
          </w:p>
        </w:tc>
      </w:tr>
      <w:tr w:rsidR="000527C7" w:rsidRPr="009C0C39" w14:paraId="6C159194" w14:textId="77777777" w:rsidTr="00962C56">
        <w:trPr>
          <w:trHeight w:val="664"/>
        </w:trPr>
        <w:tc>
          <w:tcPr>
            <w:tcW w:w="445" w:type="dxa"/>
            <w:vMerge/>
            <w:shd w:val="clear" w:color="auto" w:fill="auto"/>
          </w:tcPr>
          <w:p w14:paraId="016E6623" w14:textId="77777777" w:rsidR="000527C7" w:rsidRPr="009C0C39" w:rsidRDefault="000527C7" w:rsidP="00887CD2">
            <w:pPr>
              <w:rPr>
                <w:rFonts w:ascii="Franklin Gothic Book" w:hAnsi="Franklin Gothic Book" w:cs="Times New Roman"/>
                <w:sz w:val="18"/>
                <w:szCs w:val="18"/>
              </w:rPr>
            </w:pPr>
          </w:p>
        </w:tc>
        <w:tc>
          <w:tcPr>
            <w:tcW w:w="1913" w:type="dxa"/>
            <w:vMerge/>
            <w:shd w:val="clear" w:color="auto" w:fill="EDEDED" w:themeFill="text2" w:themeFillTint="33"/>
            <w:hideMark/>
          </w:tcPr>
          <w:p w14:paraId="0350ED50" w14:textId="77777777" w:rsidR="000527C7" w:rsidRPr="009C0C39" w:rsidRDefault="000527C7" w:rsidP="00887CD2">
            <w:pPr>
              <w:jc w:val="center"/>
              <w:rPr>
                <w:rFonts w:ascii="Franklin Gothic Book" w:hAnsi="Franklin Gothic Book" w:cs="Times New Roman"/>
                <w:sz w:val="18"/>
                <w:szCs w:val="18"/>
              </w:rPr>
            </w:pPr>
          </w:p>
        </w:tc>
        <w:tc>
          <w:tcPr>
            <w:tcW w:w="967" w:type="dxa"/>
            <w:tcBorders>
              <w:right w:val="single" w:sz="4" w:space="0" w:color="F2682A" w:themeColor="accent2"/>
            </w:tcBorders>
            <w:shd w:val="clear" w:color="auto" w:fill="EDEDED" w:themeFill="text2" w:themeFillTint="33"/>
          </w:tcPr>
          <w:p w14:paraId="52ACCA10"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30" w:type="dxa"/>
            <w:tcBorders>
              <w:left w:val="single" w:sz="4" w:space="0" w:color="F2682A" w:themeColor="accent2"/>
              <w:right w:val="single" w:sz="4" w:space="0" w:color="F2682A" w:themeColor="accent2"/>
            </w:tcBorders>
            <w:shd w:val="clear" w:color="auto" w:fill="EDEDED" w:themeFill="text2" w:themeFillTint="33"/>
            <w:hideMark/>
          </w:tcPr>
          <w:p w14:paraId="49D0AF66"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-$91K</w:t>
            </w:r>
            <w:r w:rsidRPr="009C0C39">
              <w:rPr>
                <w:rFonts w:ascii="Franklin Gothic Book" w:hAnsi="Franklin Gothic Book" w:cs="Times New Roman"/>
                <w:sz w:val="18"/>
                <w:szCs w:val="18"/>
              </w:rPr>
              <w:t xml:space="preserve"> for MRI imaging only. Other services could further impact spending. </w:t>
            </w:r>
          </w:p>
        </w:tc>
        <w:tc>
          <w:tcPr>
            <w:tcW w:w="2430" w:type="dxa"/>
            <w:tcBorders>
              <w:left w:val="single" w:sz="4" w:space="0" w:color="F2682A" w:themeColor="accent2"/>
            </w:tcBorders>
            <w:shd w:val="clear" w:color="auto" w:fill="D9D9D9" w:themeFill="background1" w:themeFillShade="D9"/>
            <w:hideMark/>
          </w:tcPr>
          <w:p w14:paraId="65E5B6A4"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$788K for MRI imaging only. Other services would further increase revenue</w:t>
            </w:r>
          </w:p>
        </w:tc>
        <w:tc>
          <w:tcPr>
            <w:tcW w:w="2430" w:type="dxa"/>
            <w:shd w:val="clear" w:color="auto" w:fill="D9D9D9" w:themeFill="background1" w:themeFillShade="D9"/>
            <w:hideMark/>
          </w:tcPr>
          <w:p w14:paraId="389CA292"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-$879K</w:t>
            </w:r>
            <w:r w:rsidRPr="009C0C39">
              <w:rPr>
                <w:rFonts w:ascii="Franklin Gothic Book" w:hAnsi="Franklin Gothic Book" w:cs="Times New Roman"/>
                <w:sz w:val="18"/>
                <w:szCs w:val="18"/>
              </w:rPr>
              <w:t xml:space="preserve"> for MRI imaging only. Other services would further reduce revenue</w:t>
            </w:r>
          </w:p>
        </w:tc>
      </w:tr>
      <w:tr w:rsidR="000527C7" w:rsidRPr="009C0C39" w14:paraId="728809F2" w14:textId="77777777" w:rsidTr="00962C56">
        <w:trPr>
          <w:trHeight w:val="803"/>
        </w:trPr>
        <w:tc>
          <w:tcPr>
            <w:tcW w:w="445" w:type="dxa"/>
            <w:vMerge/>
            <w:shd w:val="clear" w:color="auto" w:fill="auto"/>
          </w:tcPr>
          <w:p w14:paraId="127ED31B" w14:textId="77777777" w:rsidR="000527C7" w:rsidRPr="009C0C39" w:rsidRDefault="000527C7" w:rsidP="00887CD2">
            <w:pPr>
              <w:rPr>
                <w:rFonts w:ascii="Franklin Gothic Book" w:hAnsi="Franklin Gothic Book" w:cs="Times New Roman"/>
                <w:sz w:val="18"/>
                <w:szCs w:val="18"/>
              </w:rPr>
            </w:pPr>
          </w:p>
        </w:tc>
        <w:tc>
          <w:tcPr>
            <w:tcW w:w="1913" w:type="dxa"/>
            <w:vMerge w:val="restart"/>
            <w:shd w:val="clear" w:color="auto" w:fill="auto"/>
          </w:tcPr>
          <w:p w14:paraId="26755B7F" w14:textId="77777777" w:rsidR="000527C7" w:rsidRPr="009C0C39" w:rsidRDefault="000527C7" w:rsidP="00892E44">
            <w:pPr>
              <w:pStyle w:val="ListParagraph"/>
              <w:numPr>
                <w:ilvl w:val="0"/>
                <w:numId w:val="39"/>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Increased MGB prices as market concentration and MGB’s commercial market shares increase</w:t>
            </w:r>
          </w:p>
        </w:tc>
        <w:tc>
          <w:tcPr>
            <w:tcW w:w="967" w:type="dxa"/>
            <w:tcBorders>
              <w:right w:val="single" w:sz="4" w:space="0" w:color="F2682A" w:themeColor="accent2"/>
            </w:tcBorders>
            <w:shd w:val="clear" w:color="auto" w:fill="auto"/>
          </w:tcPr>
          <w:p w14:paraId="7F43E2D0"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 xml:space="preserve">MGH </w:t>
            </w:r>
          </w:p>
        </w:tc>
        <w:tc>
          <w:tcPr>
            <w:tcW w:w="2430" w:type="dxa"/>
            <w:tcBorders>
              <w:left w:val="single" w:sz="4" w:space="0" w:color="F2682A" w:themeColor="accent2"/>
              <w:right w:val="single" w:sz="4" w:space="0" w:color="F2682A" w:themeColor="accent2"/>
            </w:tcBorders>
            <w:shd w:val="clear" w:color="auto" w:fill="auto"/>
          </w:tcPr>
          <w:p w14:paraId="6A6130EF" w14:textId="77777777" w:rsidR="000527C7" w:rsidRPr="009C0C39" w:rsidRDefault="000527C7"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sz w:val="18"/>
                <w:szCs w:val="18"/>
              </w:rPr>
              <w:t>$6.0M to $13.2M due to inpatient volume increases. Outpatient market share increases are likely to drive further price increases.</w:t>
            </w:r>
          </w:p>
        </w:tc>
        <w:tc>
          <w:tcPr>
            <w:tcW w:w="2430" w:type="dxa"/>
            <w:tcBorders>
              <w:left w:val="single" w:sz="4" w:space="0" w:color="F2682A" w:themeColor="accent2"/>
            </w:tcBorders>
            <w:shd w:val="clear" w:color="auto" w:fill="D9D9D9" w:themeFill="background1" w:themeFillShade="D9"/>
          </w:tcPr>
          <w:p w14:paraId="2D9F25E7"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$6.0M to 13.2M due to inpatient volume increases. Outpatient market share increases are likely to drive further revenue increases.</w:t>
            </w:r>
          </w:p>
        </w:tc>
        <w:tc>
          <w:tcPr>
            <w:tcW w:w="2430" w:type="dxa"/>
            <w:shd w:val="clear" w:color="auto" w:fill="D9D9D9" w:themeFill="background1" w:themeFillShade="D9"/>
          </w:tcPr>
          <w:p w14:paraId="4D7DEA08" w14:textId="77777777" w:rsidR="000527C7" w:rsidRPr="009C0C39" w:rsidRDefault="000527C7"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sz w:val="18"/>
                <w:szCs w:val="18"/>
              </w:rPr>
              <w:t>Not Modeled</w:t>
            </w:r>
          </w:p>
        </w:tc>
      </w:tr>
      <w:tr w:rsidR="000527C7" w:rsidRPr="009C0C39" w14:paraId="7F079ECE" w14:textId="77777777" w:rsidTr="00962C56">
        <w:trPr>
          <w:trHeight w:val="802"/>
        </w:trPr>
        <w:tc>
          <w:tcPr>
            <w:tcW w:w="445" w:type="dxa"/>
            <w:vMerge/>
            <w:shd w:val="clear" w:color="auto" w:fill="auto"/>
          </w:tcPr>
          <w:p w14:paraId="67F28F55" w14:textId="77777777" w:rsidR="000527C7" w:rsidRPr="009C0C39" w:rsidRDefault="000527C7" w:rsidP="00887CD2">
            <w:pPr>
              <w:rPr>
                <w:rFonts w:ascii="Franklin Gothic Book" w:hAnsi="Franklin Gothic Book" w:cs="Times New Roman"/>
                <w:sz w:val="18"/>
                <w:szCs w:val="18"/>
              </w:rPr>
            </w:pPr>
          </w:p>
        </w:tc>
        <w:tc>
          <w:tcPr>
            <w:tcW w:w="1913" w:type="dxa"/>
            <w:vMerge/>
            <w:shd w:val="clear" w:color="auto" w:fill="auto"/>
          </w:tcPr>
          <w:p w14:paraId="5F71AAFC" w14:textId="77777777" w:rsidR="000527C7" w:rsidRPr="009C0C39" w:rsidRDefault="000527C7" w:rsidP="00892E44">
            <w:pPr>
              <w:pStyle w:val="ListParagraph"/>
              <w:numPr>
                <w:ilvl w:val="0"/>
                <w:numId w:val="39"/>
              </w:numPr>
              <w:ind w:left="225" w:hanging="270"/>
              <w:rPr>
                <w:rFonts w:ascii="Franklin Gothic Book" w:hAnsi="Franklin Gothic Book" w:cs="Times New Roman"/>
                <w:sz w:val="18"/>
                <w:szCs w:val="18"/>
              </w:rPr>
            </w:pPr>
          </w:p>
        </w:tc>
        <w:tc>
          <w:tcPr>
            <w:tcW w:w="967" w:type="dxa"/>
            <w:tcBorders>
              <w:right w:val="single" w:sz="4" w:space="0" w:color="F2682A" w:themeColor="accent2"/>
            </w:tcBorders>
            <w:shd w:val="clear" w:color="auto" w:fill="auto"/>
          </w:tcPr>
          <w:p w14:paraId="26B97019"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30" w:type="dxa"/>
            <w:tcBorders>
              <w:left w:val="single" w:sz="4" w:space="0" w:color="F2682A" w:themeColor="accent2"/>
              <w:right w:val="single" w:sz="4" w:space="0" w:color="F2682A" w:themeColor="accent2"/>
            </w:tcBorders>
            <w:shd w:val="clear" w:color="auto" w:fill="auto"/>
          </w:tcPr>
          <w:p w14:paraId="330E2DCC"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$3.6M to $4.1M due to inpatient volume increases. Outpatient market share increases are likely to drive further price increases.</w:t>
            </w:r>
          </w:p>
        </w:tc>
        <w:tc>
          <w:tcPr>
            <w:tcW w:w="2430" w:type="dxa"/>
            <w:tcBorders>
              <w:left w:val="single" w:sz="4" w:space="0" w:color="F2682A" w:themeColor="accent2"/>
            </w:tcBorders>
            <w:shd w:val="clear" w:color="auto" w:fill="D9D9D9" w:themeFill="background1" w:themeFillShade="D9"/>
          </w:tcPr>
          <w:p w14:paraId="41FFC639"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$3.6M to $4.1M due to inpatient volume increases. Outpatient market share increases are likely to drive further revenue increases.</w:t>
            </w:r>
          </w:p>
        </w:tc>
        <w:tc>
          <w:tcPr>
            <w:tcW w:w="2430" w:type="dxa"/>
            <w:shd w:val="clear" w:color="auto" w:fill="D9D9D9" w:themeFill="background1" w:themeFillShade="D9"/>
          </w:tcPr>
          <w:p w14:paraId="0C644DC1"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r>
      <w:tr w:rsidR="000527C7" w:rsidRPr="009C0C39" w14:paraId="36A75E0F" w14:textId="77777777" w:rsidTr="00962C56">
        <w:trPr>
          <w:trHeight w:val="620"/>
        </w:trPr>
        <w:tc>
          <w:tcPr>
            <w:tcW w:w="445" w:type="dxa"/>
            <w:vMerge/>
            <w:shd w:val="clear" w:color="auto" w:fill="auto"/>
          </w:tcPr>
          <w:p w14:paraId="62643FCB" w14:textId="77777777" w:rsidR="000527C7" w:rsidRPr="009C0C39" w:rsidRDefault="000527C7" w:rsidP="00887CD2">
            <w:pPr>
              <w:rPr>
                <w:rFonts w:ascii="Franklin Gothic Book" w:hAnsi="Franklin Gothic Book" w:cs="Times New Roman"/>
                <w:sz w:val="18"/>
                <w:szCs w:val="18"/>
              </w:rPr>
            </w:pPr>
          </w:p>
        </w:tc>
        <w:tc>
          <w:tcPr>
            <w:tcW w:w="1913" w:type="dxa"/>
            <w:vMerge w:val="restart"/>
            <w:shd w:val="clear" w:color="auto" w:fill="E2E8F1" w:themeFill="background2" w:themeFillTint="33"/>
          </w:tcPr>
          <w:p w14:paraId="3AF02B6F" w14:textId="77777777" w:rsidR="000527C7" w:rsidRPr="009C0C39" w:rsidRDefault="000527C7" w:rsidP="00887CD2">
            <w:pPr>
              <w:rPr>
                <w:rFonts w:ascii="Franklin Gothic Book" w:hAnsi="Franklin Gothic Book" w:cs="Times New Roman"/>
                <w:sz w:val="18"/>
                <w:szCs w:val="18"/>
              </w:rPr>
            </w:pPr>
            <w:r w:rsidRPr="009C0C39">
              <w:rPr>
                <w:rFonts w:ascii="Franklin Gothic Book" w:hAnsi="Franklin Gothic Book" w:cs="Times New Roman"/>
                <w:b/>
                <w:bCs/>
                <w:sz w:val="18"/>
                <w:szCs w:val="18"/>
              </w:rPr>
              <w:t xml:space="preserve">Total </w:t>
            </w:r>
            <w:r w:rsidRPr="009C0C39">
              <w:rPr>
                <w:rFonts w:ascii="Franklin Gothic Book" w:hAnsi="Franklin Gothic Book" w:cs="Times New Roman"/>
                <w:b/>
                <w:bCs/>
                <w:i/>
                <w:iCs/>
                <w:sz w:val="18"/>
                <w:szCs w:val="18"/>
              </w:rPr>
              <w:t>yearly</w:t>
            </w:r>
            <w:r w:rsidRPr="009C0C39">
              <w:rPr>
                <w:rFonts w:ascii="Franklin Gothic Book" w:hAnsi="Franklin Gothic Book" w:cs="Times New Roman"/>
                <w:b/>
                <w:bCs/>
                <w:sz w:val="18"/>
                <w:szCs w:val="18"/>
              </w:rPr>
              <w:t xml:space="preserve"> commercial impact for modeled services and spending dynamics</w:t>
            </w:r>
          </w:p>
        </w:tc>
        <w:tc>
          <w:tcPr>
            <w:tcW w:w="967" w:type="dxa"/>
            <w:tcBorders>
              <w:right w:val="single" w:sz="4" w:space="0" w:color="F2682A" w:themeColor="accent2"/>
            </w:tcBorders>
            <w:shd w:val="clear" w:color="auto" w:fill="E2E8F1" w:themeFill="background2" w:themeFillTint="33"/>
          </w:tcPr>
          <w:p w14:paraId="2ABF0F40"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MGH</w:t>
            </w:r>
          </w:p>
        </w:tc>
        <w:tc>
          <w:tcPr>
            <w:tcW w:w="2430" w:type="dxa"/>
            <w:tcBorders>
              <w:left w:val="single" w:sz="4" w:space="0" w:color="F2682A" w:themeColor="accent2"/>
              <w:right w:val="single" w:sz="4" w:space="0" w:color="F2682A" w:themeColor="accent2"/>
            </w:tcBorders>
            <w:shd w:val="clear" w:color="auto" w:fill="E2E8F1" w:themeFill="background2" w:themeFillTint="33"/>
          </w:tcPr>
          <w:p w14:paraId="7EB8E07D"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$30.3M</w:t>
            </w:r>
            <w:r w:rsidRPr="009C0C39">
              <w:rPr>
                <w:rFonts w:ascii="Franklin Gothic Book" w:hAnsi="Franklin Gothic Book" w:cs="Times New Roman"/>
                <w:sz w:val="18"/>
                <w:szCs w:val="18"/>
              </w:rPr>
              <w:t xml:space="preserve"> to</w:t>
            </w:r>
            <w:r w:rsidRPr="009C0C39">
              <w:rPr>
                <w:rFonts w:ascii="Franklin Gothic Book" w:hAnsi="Franklin Gothic Book" w:cs="Times New Roman"/>
                <w:b/>
                <w:bCs/>
                <w:sz w:val="18"/>
                <w:szCs w:val="18"/>
              </w:rPr>
              <w:t xml:space="preserve"> $54.4M</w:t>
            </w:r>
          </w:p>
        </w:tc>
        <w:tc>
          <w:tcPr>
            <w:tcW w:w="2430" w:type="dxa"/>
            <w:tcBorders>
              <w:left w:val="single" w:sz="4" w:space="0" w:color="F2682A" w:themeColor="accent2"/>
            </w:tcBorders>
            <w:shd w:val="clear" w:color="auto" w:fill="D9D9D9" w:themeFill="background1" w:themeFillShade="D9"/>
          </w:tcPr>
          <w:p w14:paraId="15891E3D"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$101.2M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$173.3M</w:t>
            </w:r>
          </w:p>
        </w:tc>
        <w:tc>
          <w:tcPr>
            <w:tcW w:w="2430" w:type="dxa"/>
            <w:shd w:val="clear" w:color="auto" w:fill="D9D9D9" w:themeFill="background1" w:themeFillShade="D9"/>
          </w:tcPr>
          <w:p w14:paraId="4859C355"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color w:val="FF0000"/>
                <w:sz w:val="18"/>
                <w:szCs w:val="18"/>
              </w:rPr>
              <w:t>-$70.1M</w:t>
            </w:r>
            <w:r w:rsidRPr="009C0C39">
              <w:rPr>
                <w:rFonts w:ascii="Franklin Gothic Book" w:hAnsi="Franklin Gothic Book" w:cs="Times New Roman"/>
                <w:color w:val="FF0000"/>
                <w:sz w:val="18"/>
                <w:szCs w:val="18"/>
              </w:rPr>
              <w:t xml:space="preserve"> </w:t>
            </w:r>
            <w:r w:rsidRPr="009C0C39">
              <w:rPr>
                <w:rFonts w:ascii="Franklin Gothic Book" w:hAnsi="Franklin Gothic Book" w:cs="Times New Roman"/>
                <w:sz w:val="18"/>
                <w:szCs w:val="18"/>
              </w:rPr>
              <w:t>to -</w:t>
            </w:r>
            <w:r w:rsidRPr="009C0C39">
              <w:rPr>
                <w:rFonts w:ascii="Franklin Gothic Book" w:hAnsi="Franklin Gothic Book" w:cs="Times New Roman"/>
                <w:b/>
                <w:bCs/>
                <w:color w:val="FF0000"/>
                <w:sz w:val="18"/>
                <w:szCs w:val="18"/>
              </w:rPr>
              <w:t>$119.0M</w:t>
            </w:r>
          </w:p>
        </w:tc>
      </w:tr>
      <w:tr w:rsidR="000527C7" w:rsidRPr="009C0C39" w14:paraId="0CBBC893" w14:textId="77777777" w:rsidTr="00962C56">
        <w:trPr>
          <w:trHeight w:val="71"/>
        </w:trPr>
        <w:tc>
          <w:tcPr>
            <w:tcW w:w="445" w:type="dxa"/>
            <w:vMerge/>
            <w:shd w:val="clear" w:color="auto" w:fill="auto"/>
          </w:tcPr>
          <w:p w14:paraId="4DD0388B" w14:textId="77777777" w:rsidR="000527C7" w:rsidRPr="009C0C39" w:rsidRDefault="000527C7" w:rsidP="00887CD2">
            <w:pPr>
              <w:rPr>
                <w:rFonts w:ascii="Franklin Gothic Book" w:hAnsi="Franklin Gothic Book" w:cs="Times New Roman"/>
                <w:sz w:val="18"/>
                <w:szCs w:val="18"/>
              </w:rPr>
            </w:pPr>
          </w:p>
        </w:tc>
        <w:tc>
          <w:tcPr>
            <w:tcW w:w="1913" w:type="dxa"/>
            <w:vMerge/>
            <w:shd w:val="clear" w:color="auto" w:fill="E2E8F1" w:themeFill="background2" w:themeFillTint="33"/>
          </w:tcPr>
          <w:p w14:paraId="48161732" w14:textId="77777777" w:rsidR="000527C7" w:rsidRPr="009C0C39" w:rsidRDefault="000527C7" w:rsidP="00892E44">
            <w:pPr>
              <w:pStyle w:val="ListParagraph"/>
              <w:numPr>
                <w:ilvl w:val="0"/>
                <w:numId w:val="39"/>
              </w:numPr>
              <w:ind w:left="225" w:hanging="270"/>
              <w:rPr>
                <w:rFonts w:ascii="Franklin Gothic Book" w:hAnsi="Franklin Gothic Book" w:cs="Times New Roman"/>
                <w:sz w:val="18"/>
                <w:szCs w:val="18"/>
              </w:rPr>
            </w:pPr>
          </w:p>
        </w:tc>
        <w:tc>
          <w:tcPr>
            <w:tcW w:w="967" w:type="dxa"/>
            <w:tcBorders>
              <w:right w:val="single" w:sz="4" w:space="0" w:color="F2682A" w:themeColor="accent2"/>
            </w:tcBorders>
            <w:shd w:val="clear" w:color="auto" w:fill="E2E8F1" w:themeFill="background2" w:themeFillTint="33"/>
          </w:tcPr>
          <w:p w14:paraId="1284A5D2"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30" w:type="dxa"/>
            <w:tcBorders>
              <w:left w:val="single" w:sz="4" w:space="0" w:color="F2682A" w:themeColor="accent2"/>
              <w:right w:val="single" w:sz="4" w:space="0" w:color="F2682A" w:themeColor="accent2"/>
            </w:tcBorders>
            <w:shd w:val="clear" w:color="auto" w:fill="E2E8F1" w:themeFill="background2" w:themeFillTint="33"/>
          </w:tcPr>
          <w:p w14:paraId="05DA15CD"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$6.4M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$7.9M</w:t>
            </w:r>
          </w:p>
        </w:tc>
        <w:tc>
          <w:tcPr>
            <w:tcW w:w="2430" w:type="dxa"/>
            <w:tcBorders>
              <w:left w:val="single" w:sz="4" w:space="0" w:color="F2682A" w:themeColor="accent2"/>
            </w:tcBorders>
            <w:shd w:val="clear" w:color="auto" w:fill="D9D9D9" w:themeFill="background1" w:themeFillShade="D9"/>
          </w:tcPr>
          <w:p w14:paraId="1A8308E8"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$46.3M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$59.8M</w:t>
            </w:r>
          </w:p>
        </w:tc>
        <w:tc>
          <w:tcPr>
            <w:tcW w:w="2430" w:type="dxa"/>
            <w:shd w:val="clear" w:color="auto" w:fill="D9D9D9" w:themeFill="background1" w:themeFillShade="D9"/>
          </w:tcPr>
          <w:p w14:paraId="2FF95EEF" w14:textId="77777777" w:rsidR="000527C7" w:rsidRPr="009C0C39" w:rsidRDefault="000527C7" w:rsidP="00887CD2">
            <w:pPr>
              <w:jc w:val="center"/>
              <w:rPr>
                <w:rFonts w:ascii="Franklin Gothic Book" w:hAnsi="Franklin Gothic Book" w:cs="Times New Roman"/>
                <w:sz w:val="18"/>
                <w:szCs w:val="18"/>
              </w:rPr>
            </w:pPr>
            <w:r w:rsidRPr="009C0C39">
              <w:rPr>
                <w:rFonts w:ascii="Franklin Gothic Book" w:hAnsi="Franklin Gothic Book" w:cs="Times New Roman"/>
                <w:b/>
                <w:bCs/>
                <w:color w:val="FF0000"/>
                <w:sz w:val="18"/>
                <w:szCs w:val="18"/>
              </w:rPr>
              <w:t>-$39.8M</w:t>
            </w:r>
            <w:r w:rsidRPr="009C0C39">
              <w:rPr>
                <w:rFonts w:ascii="Franklin Gothic Book" w:hAnsi="Franklin Gothic Book" w:cs="Times New Roman"/>
                <w:color w:val="FF0000"/>
                <w:sz w:val="18"/>
                <w:szCs w:val="18"/>
              </w:rPr>
              <w:t xml:space="preserve"> </w:t>
            </w:r>
            <w:r w:rsidRPr="009C0C39">
              <w:rPr>
                <w:rFonts w:ascii="Franklin Gothic Book" w:hAnsi="Franklin Gothic Book" w:cs="Times New Roman"/>
                <w:sz w:val="18"/>
                <w:szCs w:val="18"/>
              </w:rPr>
              <w:t xml:space="preserve">to </w:t>
            </w:r>
            <w:r w:rsidRPr="009C0C39">
              <w:rPr>
                <w:rFonts w:ascii="Franklin Gothic Book" w:hAnsi="Franklin Gothic Book" w:cs="Times New Roman"/>
                <w:b/>
                <w:bCs/>
                <w:color w:val="FF0000"/>
                <w:sz w:val="18"/>
                <w:szCs w:val="18"/>
              </w:rPr>
              <w:t>-$52.0M</w:t>
            </w:r>
          </w:p>
        </w:tc>
      </w:tr>
      <w:tr w:rsidR="000527C7" w:rsidRPr="009C0C39" w14:paraId="7745782A" w14:textId="77777777" w:rsidTr="00962C56">
        <w:trPr>
          <w:trHeight w:val="71"/>
        </w:trPr>
        <w:tc>
          <w:tcPr>
            <w:tcW w:w="3325" w:type="dxa"/>
            <w:gridSpan w:val="3"/>
            <w:tcBorders>
              <w:right w:val="single" w:sz="4" w:space="0" w:color="F2682A" w:themeColor="accent2"/>
            </w:tcBorders>
            <w:shd w:val="clear" w:color="auto" w:fill="FAA721" w:themeFill="accent3"/>
          </w:tcPr>
          <w:p w14:paraId="1B0A6966" w14:textId="77777777" w:rsidR="000527C7" w:rsidRPr="00E7023A" w:rsidRDefault="000527C7" w:rsidP="00887CD2">
            <w:pPr>
              <w:rPr>
                <w:rFonts w:ascii="Franklin Gothic Book" w:hAnsi="Franklin Gothic Book" w:cs="Times New Roman"/>
                <w:color w:val="000000" w:themeColor="text1"/>
                <w:sz w:val="18"/>
                <w:szCs w:val="18"/>
              </w:rPr>
            </w:pPr>
            <w:r w:rsidRPr="00E7023A">
              <w:rPr>
                <w:rFonts w:ascii="Franklin Gothic Book" w:hAnsi="Franklin Gothic Book" w:cs="Times New Roman"/>
                <w:b/>
                <w:bCs/>
                <w:color w:val="000000" w:themeColor="text1"/>
                <w:sz w:val="18"/>
                <w:szCs w:val="18"/>
              </w:rPr>
              <w:t>Total yearly commercial impact for modeled services and spending dynamics - all projects combined</w:t>
            </w:r>
          </w:p>
        </w:tc>
        <w:tc>
          <w:tcPr>
            <w:tcW w:w="2430" w:type="dxa"/>
            <w:tcBorders>
              <w:left w:val="single" w:sz="4" w:space="0" w:color="F2682A" w:themeColor="accent2"/>
              <w:bottom w:val="single" w:sz="4" w:space="0" w:color="F2682A" w:themeColor="accent2"/>
              <w:right w:val="single" w:sz="4" w:space="0" w:color="F2682A" w:themeColor="accent2"/>
            </w:tcBorders>
            <w:shd w:val="clear" w:color="auto" w:fill="FAA721" w:themeFill="accent3"/>
          </w:tcPr>
          <w:p w14:paraId="797A3828" w14:textId="77777777" w:rsidR="000527C7" w:rsidRPr="00E7023A" w:rsidRDefault="000527C7" w:rsidP="00887CD2">
            <w:pPr>
              <w:jc w:val="center"/>
              <w:rPr>
                <w:rFonts w:ascii="Franklin Gothic Book" w:hAnsi="Franklin Gothic Book" w:cs="Times New Roman"/>
                <w:b/>
                <w:bCs/>
                <w:color w:val="000000" w:themeColor="text1"/>
                <w:sz w:val="18"/>
                <w:szCs w:val="18"/>
              </w:rPr>
            </w:pPr>
            <w:r w:rsidRPr="00E7023A">
              <w:rPr>
                <w:rFonts w:ascii="Franklin Gothic Book" w:hAnsi="Franklin Gothic Book" w:cs="Times New Roman"/>
                <w:b/>
                <w:bCs/>
                <w:color w:val="000000" w:themeColor="text1"/>
                <w:sz w:val="18"/>
                <w:szCs w:val="18"/>
              </w:rPr>
              <w:t>$46.0M to $90.1M</w:t>
            </w:r>
          </w:p>
        </w:tc>
        <w:tc>
          <w:tcPr>
            <w:tcW w:w="2430" w:type="dxa"/>
            <w:tcBorders>
              <w:left w:val="single" w:sz="4" w:space="0" w:color="F2682A" w:themeColor="accent2"/>
            </w:tcBorders>
            <w:shd w:val="clear" w:color="auto" w:fill="D9D9D9" w:themeFill="background1" w:themeFillShade="D9"/>
          </w:tcPr>
          <w:p w14:paraId="60C94905" w14:textId="77777777" w:rsidR="000527C7" w:rsidRPr="00C26731" w:rsidRDefault="000527C7" w:rsidP="00887CD2">
            <w:pPr>
              <w:jc w:val="center"/>
              <w:rPr>
                <w:rFonts w:ascii="Franklin Gothic Book" w:hAnsi="Franklin Gothic Book" w:cs="Times New Roman"/>
                <w:b/>
                <w:bCs/>
                <w:color w:val="000000" w:themeColor="text1"/>
                <w:sz w:val="18"/>
                <w:szCs w:val="18"/>
              </w:rPr>
            </w:pPr>
            <w:r w:rsidRPr="00C26731">
              <w:rPr>
                <w:rFonts w:ascii="Franklin Gothic Book" w:hAnsi="Franklin Gothic Book" w:cs="Times New Roman"/>
                <w:b/>
                <w:bCs/>
                <w:color w:val="000000" w:themeColor="text1"/>
                <w:sz w:val="18"/>
                <w:szCs w:val="18"/>
              </w:rPr>
              <w:t>$190.7M to $337.8M</w:t>
            </w:r>
          </w:p>
        </w:tc>
        <w:tc>
          <w:tcPr>
            <w:tcW w:w="2430" w:type="dxa"/>
            <w:shd w:val="clear" w:color="auto" w:fill="D9D9D9" w:themeFill="background1" w:themeFillShade="D9"/>
          </w:tcPr>
          <w:p w14:paraId="250333A3" w14:textId="77777777" w:rsidR="000527C7" w:rsidRPr="009C0C39" w:rsidRDefault="000527C7" w:rsidP="00887CD2">
            <w:pPr>
              <w:jc w:val="center"/>
              <w:rPr>
                <w:rFonts w:ascii="Franklin Gothic Book" w:hAnsi="Franklin Gothic Book" w:cs="Times New Roman"/>
                <w:b/>
                <w:bCs/>
                <w:color w:val="FF0000"/>
                <w:sz w:val="18"/>
                <w:szCs w:val="18"/>
              </w:rPr>
            </w:pPr>
            <w:r w:rsidRPr="009C0C39">
              <w:rPr>
                <w:rFonts w:ascii="Franklin Gothic Book" w:hAnsi="Franklin Gothic Book" w:cs="Times New Roman"/>
                <w:b/>
                <w:bCs/>
                <w:color w:val="FF0000"/>
                <w:sz w:val="18"/>
                <w:szCs w:val="18"/>
              </w:rPr>
              <w:t xml:space="preserve">-$152.9M to </w:t>
            </w:r>
          </w:p>
          <w:p w14:paraId="06E0C07F" w14:textId="77777777" w:rsidR="000527C7" w:rsidRPr="009C0C39" w:rsidRDefault="000527C7" w:rsidP="00887CD2">
            <w:pPr>
              <w:jc w:val="center"/>
              <w:rPr>
                <w:rFonts w:ascii="Franklin Gothic Book" w:hAnsi="Franklin Gothic Book" w:cs="Times New Roman"/>
                <w:b/>
                <w:bCs/>
                <w:color w:val="FFFFFF" w:themeColor="background1"/>
                <w:sz w:val="18"/>
                <w:szCs w:val="18"/>
              </w:rPr>
            </w:pPr>
            <w:r w:rsidRPr="009C0C39">
              <w:rPr>
                <w:rFonts w:ascii="Franklin Gothic Book" w:hAnsi="Franklin Gothic Book" w:cs="Times New Roman"/>
                <w:b/>
                <w:bCs/>
                <w:color w:val="FF0000"/>
                <w:sz w:val="18"/>
                <w:szCs w:val="18"/>
              </w:rPr>
              <w:t>-$261.1M</w:t>
            </w:r>
          </w:p>
        </w:tc>
      </w:tr>
    </w:tbl>
    <w:p w14:paraId="1C78806E" w14:textId="7319B974" w:rsidR="00C053F7" w:rsidRDefault="008377B6" w:rsidP="008377B6">
      <w:pPr>
        <w:pStyle w:val="FootnoteText"/>
        <w:rPr>
          <w:rFonts w:ascii="Franklin Gothic Book" w:hAnsi="Franklin Gothic Book" w:cs="Times New Roman"/>
          <w:sz w:val="18"/>
          <w:szCs w:val="18"/>
        </w:rPr>
        <w:sectPr w:rsidR="00C053F7" w:rsidSect="00C053F7">
          <w:pgSz w:w="12240" w:h="15840"/>
          <w:pgMar w:top="720" w:right="720" w:bottom="1008" w:left="720" w:header="720" w:footer="720" w:gutter="0"/>
          <w:cols w:space="720"/>
          <w:docGrid w:linePitch="360"/>
        </w:sectPr>
      </w:pPr>
      <w:r w:rsidRPr="009C0C39">
        <w:rPr>
          <w:rFonts w:ascii="Franklin Gothic Book" w:hAnsi="Franklin Gothic Book" w:cs="Times New Roman"/>
          <w:sz w:val="18"/>
          <w:szCs w:val="18"/>
        </w:rPr>
        <w:t xml:space="preserve">Notes: </w:t>
      </w:r>
      <w:r w:rsidR="00CA21A3" w:rsidRPr="009C0C39">
        <w:rPr>
          <w:rFonts w:ascii="Franklin Gothic Book" w:hAnsi="Franklin Gothic Book" w:cs="Times New Roman"/>
          <w:sz w:val="18"/>
          <w:szCs w:val="18"/>
        </w:rPr>
        <w:t xml:space="preserve">When totaling spending impacts, the HPC discounts the spending impact in row 1 by the portion of TME for MGB’s primary care patients that represents spending on inpatient care received at MGB hospitals. </w:t>
      </w:r>
      <w:r w:rsidRPr="009C0C39">
        <w:rPr>
          <w:rFonts w:ascii="Franklin Gothic Book" w:hAnsi="Franklin Gothic Book" w:cs="Times New Roman"/>
          <w:sz w:val="18"/>
          <w:szCs w:val="18"/>
        </w:rPr>
        <w:t xml:space="preserve">Other dynamics could further increase spending, including net new utilization for supply-sensitive care (i.e. supply-induced demand and practice pattern shifts) and </w:t>
      </w:r>
      <w:r w:rsidR="002F3780" w:rsidRPr="009C0C39">
        <w:rPr>
          <w:rFonts w:ascii="Franklin Gothic Book" w:hAnsi="Franklin Gothic Book" w:cs="Times New Roman"/>
          <w:sz w:val="18"/>
          <w:szCs w:val="18"/>
        </w:rPr>
        <w:t xml:space="preserve">additional </w:t>
      </w:r>
      <w:r w:rsidRPr="009C0C39">
        <w:rPr>
          <w:rFonts w:ascii="Franklin Gothic Book" w:hAnsi="Franklin Gothic Book" w:cs="Times New Roman"/>
          <w:sz w:val="18"/>
          <w:szCs w:val="18"/>
        </w:rPr>
        <w:t xml:space="preserve">shifts of patients to higher-priced providers if projected revenue losses disrupt the operations of lower-priced providers. Additional spending and revenue impacts are also likely for other payer categories, particularly for Medicare </w:t>
      </w:r>
      <w:r w:rsidR="00370BE4" w:rsidRPr="009C0C39">
        <w:rPr>
          <w:rFonts w:ascii="Franklin Gothic Book" w:hAnsi="Franklin Gothic Book" w:cs="Times New Roman"/>
          <w:sz w:val="18"/>
          <w:szCs w:val="18"/>
        </w:rPr>
        <w:t xml:space="preserve">Advantage </w:t>
      </w:r>
      <w:r w:rsidRPr="009C0C39">
        <w:rPr>
          <w:rFonts w:ascii="Franklin Gothic Book" w:hAnsi="Franklin Gothic Book" w:cs="Times New Roman"/>
          <w:sz w:val="18"/>
          <w:szCs w:val="18"/>
        </w:rPr>
        <w:t>plans and MassHealth Managed Care Organizations</w:t>
      </w:r>
      <w:r w:rsidR="002773E6" w:rsidRPr="009C0C39">
        <w:rPr>
          <w:rFonts w:ascii="Franklin Gothic Book" w:hAnsi="Franklin Gothic Book" w:cs="Times New Roman"/>
          <w:sz w:val="18"/>
          <w:szCs w:val="18"/>
        </w:rPr>
        <w:t>,</w:t>
      </w:r>
      <w:r w:rsidRPr="009C0C39">
        <w:rPr>
          <w:rFonts w:ascii="Franklin Gothic Book" w:hAnsi="Franklin Gothic Book" w:cs="Times New Roman"/>
          <w:sz w:val="18"/>
          <w:szCs w:val="18"/>
        </w:rPr>
        <w:t xml:space="preserve"> which do not operate with standardized fee schedule</w:t>
      </w:r>
      <w:r w:rsidR="00CB5A79">
        <w:rPr>
          <w:rFonts w:ascii="Franklin Gothic Book" w:hAnsi="Franklin Gothic Book" w:cs="Times New Roman"/>
          <w:sz w:val="18"/>
          <w:szCs w:val="18"/>
        </w:rPr>
        <w:t>s</w:t>
      </w:r>
      <w:r w:rsidRPr="009C0C39">
        <w:rPr>
          <w:rFonts w:ascii="Franklin Gothic Book" w:hAnsi="Franklin Gothic Book" w:cs="Times New Roman"/>
          <w:sz w:val="18"/>
          <w:szCs w:val="18"/>
        </w:rPr>
        <w:t xml:space="preserve">. The HPC’s calculations are also likely to be conservative as described in </w:t>
      </w:r>
      <w:r w:rsidR="005B1FDC" w:rsidRPr="009C0C39">
        <w:rPr>
          <w:rFonts w:ascii="Franklin Gothic Book" w:hAnsi="Franklin Gothic Book" w:cs="Times New Roman"/>
          <w:sz w:val="18"/>
          <w:szCs w:val="18"/>
        </w:rPr>
        <w:t>note</w:t>
      </w:r>
      <w:r w:rsidR="006C27AC">
        <w:rPr>
          <w:rFonts w:ascii="Franklin Gothic Book" w:hAnsi="Franklin Gothic Book" w:cs="Times New Roman"/>
          <w:sz w:val="18"/>
          <w:szCs w:val="18"/>
        </w:rPr>
        <w:t xml:space="preserve"> </w:t>
      </w:r>
      <w:r w:rsidR="006C27AC">
        <w:rPr>
          <w:rFonts w:ascii="Franklin Gothic Book" w:hAnsi="Franklin Gothic Book" w:cs="Times New Roman"/>
          <w:sz w:val="18"/>
          <w:szCs w:val="18"/>
        </w:rPr>
        <w:fldChar w:fldCharType="begin"/>
      </w:r>
      <w:r w:rsidR="006C27AC">
        <w:rPr>
          <w:rFonts w:ascii="Franklin Gothic Book" w:hAnsi="Franklin Gothic Book" w:cs="Times New Roman"/>
          <w:sz w:val="18"/>
          <w:szCs w:val="18"/>
        </w:rPr>
        <w:instrText xml:space="preserve"> NOTEREF _Ref93058130 \h </w:instrText>
      </w:r>
      <w:r w:rsidR="006C27AC">
        <w:rPr>
          <w:rFonts w:ascii="Franklin Gothic Book" w:hAnsi="Franklin Gothic Book" w:cs="Times New Roman"/>
          <w:sz w:val="18"/>
          <w:szCs w:val="18"/>
        </w:rPr>
      </w:r>
      <w:r w:rsidR="006C27AC">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49</w:t>
      </w:r>
      <w:r w:rsidR="006C27AC">
        <w:rPr>
          <w:rFonts w:ascii="Franklin Gothic Book" w:hAnsi="Franklin Gothic Book" w:cs="Times New Roman"/>
          <w:sz w:val="18"/>
          <w:szCs w:val="18"/>
        </w:rPr>
        <w:fldChar w:fldCharType="end"/>
      </w:r>
      <w:r w:rsidR="005B1FDC" w:rsidRPr="009C0C39">
        <w:rPr>
          <w:rFonts w:ascii="Franklin Gothic Book" w:hAnsi="Franklin Gothic Book" w:cs="Times New Roman"/>
          <w:sz w:val="18"/>
          <w:szCs w:val="18"/>
        </w:rPr>
        <w:t>.</w:t>
      </w:r>
    </w:p>
    <w:p w14:paraId="7BD8EDE2" w14:textId="5EBF4E8A" w:rsidR="008377B6" w:rsidRPr="009C0C39" w:rsidRDefault="008377B6" w:rsidP="002C3619">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 xml:space="preserve">A number of the analyses </w:t>
      </w:r>
      <w:r w:rsidR="00370BE4" w:rsidRPr="009C0C39">
        <w:rPr>
          <w:rFonts w:ascii="Franklin Gothic Book" w:hAnsi="Franklin Gothic Book" w:cs="Times New Roman"/>
          <w:sz w:val="22"/>
          <w:szCs w:val="22"/>
        </w:rPr>
        <w:t xml:space="preserve">in the ICAs that </w:t>
      </w:r>
      <w:r w:rsidRPr="009C0C39">
        <w:rPr>
          <w:rFonts w:ascii="Franklin Gothic Book" w:hAnsi="Franklin Gothic Book" w:cs="Times New Roman"/>
          <w:sz w:val="22"/>
          <w:szCs w:val="22"/>
        </w:rPr>
        <w:t xml:space="preserve">quantify spending and market shifts are directionally consistent with the HPC’s findings, although the HPC and </w:t>
      </w:r>
      <w:r w:rsidR="00C77A10" w:rsidRPr="009C0C39">
        <w:rPr>
          <w:rFonts w:ascii="Franklin Gothic Book" w:hAnsi="Franklin Gothic Book" w:cs="Times New Roman"/>
          <w:sz w:val="22"/>
          <w:szCs w:val="22"/>
        </w:rPr>
        <w:t>the ICAs</w:t>
      </w:r>
      <w:r w:rsidRPr="009C0C39">
        <w:rPr>
          <w:rFonts w:ascii="Franklin Gothic Book" w:hAnsi="Franklin Gothic Book" w:cs="Times New Roman"/>
          <w:sz w:val="22"/>
          <w:szCs w:val="22"/>
        </w:rPr>
        <w:t xml:space="preserve"> employ some different methodologies and assumptions. However, the HPC’s conclusions differ from those in the ICAs </w:t>
      </w:r>
      <w:r w:rsidR="0033649C" w:rsidRPr="009C0C39">
        <w:rPr>
          <w:rFonts w:ascii="Franklin Gothic Book" w:hAnsi="Franklin Gothic Book" w:cs="Times New Roman"/>
          <w:sz w:val="22"/>
          <w:szCs w:val="22"/>
        </w:rPr>
        <w:t xml:space="preserve">because </w:t>
      </w:r>
      <w:r w:rsidRPr="009C0C39">
        <w:rPr>
          <w:rFonts w:ascii="Franklin Gothic Book" w:hAnsi="Franklin Gothic Book" w:cs="Times New Roman"/>
          <w:sz w:val="22"/>
          <w:szCs w:val="22"/>
        </w:rPr>
        <w:t xml:space="preserve">the HPC considered </w:t>
      </w:r>
      <w:r w:rsidR="00C2185A" w:rsidRPr="009C0C39">
        <w:rPr>
          <w:rFonts w:ascii="Franklin Gothic Book" w:hAnsi="Franklin Gothic Book" w:cs="Times New Roman"/>
          <w:sz w:val="22"/>
          <w:szCs w:val="22"/>
        </w:rPr>
        <w:t xml:space="preserve">important features of </w:t>
      </w:r>
      <w:r w:rsidRPr="009C0C39">
        <w:rPr>
          <w:rFonts w:ascii="Franklin Gothic Book" w:hAnsi="Franklin Gothic Book" w:cs="Times New Roman"/>
          <w:sz w:val="22"/>
          <w:szCs w:val="22"/>
        </w:rPr>
        <w:t>the current provider landscape as described in Section II and analyzed multiple spending drivers not examined in the ICAs</w:t>
      </w:r>
      <w:r w:rsidR="00E85DF7" w:rsidRPr="009C0C39">
        <w:rPr>
          <w:rFonts w:ascii="Franklin Gothic Book" w:hAnsi="Franklin Gothic Book" w:cs="Times New Roman"/>
          <w:sz w:val="22"/>
          <w:szCs w:val="22"/>
        </w:rPr>
        <w:t xml:space="preserve"> as discussed in </w:t>
      </w:r>
      <w:r w:rsidR="00E85DF7" w:rsidRPr="009C0C39">
        <w:rPr>
          <w:rFonts w:ascii="Franklin Gothic Book" w:hAnsi="Franklin Gothic Book" w:cs="Times New Roman"/>
          <w:color w:val="0000FF"/>
          <w:sz w:val="22"/>
          <w:szCs w:val="22"/>
          <w:u w:val="single"/>
        </w:rPr>
        <w:fldChar w:fldCharType="begin"/>
      </w:r>
      <w:r w:rsidR="00E85DF7" w:rsidRPr="009C0C39">
        <w:rPr>
          <w:rFonts w:ascii="Franklin Gothic Book" w:hAnsi="Franklin Gothic Book" w:cs="Times New Roman"/>
          <w:color w:val="0000FF"/>
          <w:sz w:val="22"/>
          <w:szCs w:val="22"/>
          <w:u w:val="single"/>
        </w:rPr>
        <w:instrText xml:space="preserve"> REF Appendix_IB \h  \* MERGEFORMAT </w:instrText>
      </w:r>
      <w:r w:rsidR="00E85DF7" w:rsidRPr="009C0C39">
        <w:rPr>
          <w:rFonts w:ascii="Franklin Gothic Book" w:hAnsi="Franklin Gothic Book" w:cs="Times New Roman"/>
          <w:color w:val="0000FF"/>
          <w:sz w:val="22"/>
          <w:szCs w:val="22"/>
          <w:u w:val="single"/>
        </w:rPr>
      </w:r>
      <w:r w:rsidR="00E85DF7" w:rsidRPr="009C0C39">
        <w:rPr>
          <w:rFonts w:ascii="Franklin Gothic Book" w:hAnsi="Franklin Gothic Book" w:cs="Times New Roman"/>
          <w:color w:val="0000FF"/>
          <w:sz w:val="22"/>
          <w:szCs w:val="22"/>
          <w:u w:val="single"/>
        </w:rPr>
        <w:fldChar w:fldCharType="separate"/>
      </w:r>
      <w:r w:rsidR="002907A7" w:rsidRPr="002907A7">
        <w:rPr>
          <w:rFonts w:ascii="Franklin Gothic Book" w:hAnsi="Franklin Gothic Book" w:cs="Times New Roman"/>
          <w:color w:val="0000FF"/>
          <w:sz w:val="22"/>
          <w:szCs w:val="22"/>
          <w:u w:val="single"/>
        </w:rPr>
        <w:t>Appendix I.B</w:t>
      </w:r>
      <w:r w:rsidR="00E85DF7" w:rsidRPr="009C0C39">
        <w:rPr>
          <w:rFonts w:ascii="Franklin Gothic Book" w:hAnsi="Franklin Gothic Book" w:cs="Times New Roman"/>
          <w:color w:val="0000FF"/>
          <w:sz w:val="22"/>
          <w:szCs w:val="22"/>
          <w:u w:val="single"/>
        </w:rPr>
        <w:fldChar w:fldCharType="end"/>
      </w:r>
      <w:r w:rsidRPr="009C0C39">
        <w:rPr>
          <w:rFonts w:ascii="Franklin Gothic Book" w:hAnsi="Franklin Gothic Book" w:cs="Times New Roman"/>
          <w:sz w:val="22"/>
          <w:szCs w:val="22"/>
        </w:rPr>
        <w:t xml:space="preserve">. </w:t>
      </w:r>
    </w:p>
    <w:p w14:paraId="4C2AFEE9" w14:textId="77777777" w:rsidR="008377B6" w:rsidRPr="009C0C39" w:rsidRDefault="008377B6" w:rsidP="00F323C1">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remainder of this section discusses HPC’s analyses in greater depth.</w:t>
      </w:r>
    </w:p>
    <w:p w14:paraId="2881FFFF" w14:textId="10FC0644" w:rsidR="008377B6" w:rsidRPr="009C0C39" w:rsidRDefault="008377B6" w:rsidP="009257C1">
      <w:pPr>
        <w:pStyle w:val="ListParagraph"/>
        <w:numPr>
          <w:ilvl w:val="0"/>
          <w:numId w:val="9"/>
        </w:numPr>
        <w:spacing w:after="240"/>
        <w:contextualSpacing w:val="0"/>
        <w:rPr>
          <w:rFonts w:ascii="Franklin Gothic Book" w:hAnsi="Franklin Gothic Book" w:cs="Times New Roman"/>
          <w:b/>
          <w:bCs/>
          <w:sz w:val="22"/>
          <w:szCs w:val="22"/>
        </w:rPr>
      </w:pPr>
      <w:bookmarkStart w:id="44" w:name="_Hlk91060598"/>
      <w:r w:rsidRPr="009C0C39">
        <w:rPr>
          <w:rFonts w:ascii="Franklin Gothic Book" w:hAnsi="Franklin Gothic Book" w:cs="Times New Roman"/>
          <w:b/>
          <w:bCs/>
          <w:sz w:val="22"/>
          <w:szCs w:val="22"/>
        </w:rPr>
        <w:t xml:space="preserve">MGB’s ambulatory expansions would likely impact total health care spending through several mechanisms, resulting in increased total spending. </w:t>
      </w:r>
    </w:p>
    <w:bookmarkEnd w:id="44"/>
    <w:p w14:paraId="1E469AD4" w14:textId="676CFA72" w:rsidR="008377B6" w:rsidRPr="009C0C39" w:rsidRDefault="008377B6" w:rsidP="00F323C1">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MGB’s </w:t>
      </w:r>
      <w:r w:rsidR="0033649C" w:rsidRPr="009C0C39">
        <w:rPr>
          <w:rFonts w:ascii="Franklin Gothic Book" w:hAnsi="Franklin Gothic Book" w:cs="Times New Roman"/>
          <w:sz w:val="22"/>
          <w:szCs w:val="22"/>
        </w:rPr>
        <w:t xml:space="preserve">Ambulatory </w:t>
      </w:r>
      <w:r w:rsidRPr="009C0C39">
        <w:rPr>
          <w:rFonts w:ascii="Franklin Gothic Book" w:hAnsi="Franklin Gothic Book" w:cs="Times New Roman"/>
          <w:sz w:val="22"/>
          <w:szCs w:val="22"/>
        </w:rPr>
        <w:t xml:space="preserve">DoN </w:t>
      </w:r>
      <w:r w:rsidR="0033649C" w:rsidRPr="009C0C39">
        <w:rPr>
          <w:rFonts w:ascii="Franklin Gothic Book" w:hAnsi="Franklin Gothic Book" w:cs="Times New Roman"/>
          <w:sz w:val="22"/>
          <w:szCs w:val="22"/>
        </w:rPr>
        <w:t>A</w:t>
      </w:r>
      <w:r w:rsidRPr="009C0C39">
        <w:rPr>
          <w:rFonts w:ascii="Franklin Gothic Book" w:hAnsi="Franklin Gothic Book" w:cs="Times New Roman"/>
          <w:sz w:val="22"/>
          <w:szCs w:val="22"/>
        </w:rPr>
        <w:t>pplication states that the project will allow it to “make substantial progress in achieving its strategic priorities of improving patient access and outcomes while also lowering the total cost of health care for its patients and other residents of The Commonwealth.”</w:t>
      </w:r>
      <w:bookmarkStart w:id="45" w:name="_Ref93071503"/>
      <w:r w:rsidRPr="009C0C39">
        <w:rPr>
          <w:rStyle w:val="FootnoteReference"/>
          <w:rFonts w:ascii="Franklin Gothic Book" w:hAnsi="Franklin Gothic Book" w:cs="Times New Roman"/>
          <w:sz w:val="22"/>
          <w:szCs w:val="22"/>
        </w:rPr>
        <w:footnoteReference w:id="52"/>
      </w:r>
      <w:bookmarkEnd w:id="45"/>
      <w:r w:rsidRPr="009C0C39">
        <w:rPr>
          <w:rFonts w:ascii="Franklin Gothic Book" w:hAnsi="Franklin Gothic Book" w:cs="Times New Roman"/>
          <w:sz w:val="22"/>
          <w:szCs w:val="22"/>
        </w:rPr>
        <w:t xml:space="preserve"> However, MGB statements in other settings and internal analyses indicate that it expects the ambulatory expansions to grow commercial referral volume </w:t>
      </w:r>
      <w:r w:rsidR="0033649C" w:rsidRPr="009C0C39">
        <w:rPr>
          <w:rFonts w:ascii="Franklin Gothic Book" w:hAnsi="Franklin Gothic Book" w:cs="Times New Roman"/>
          <w:sz w:val="22"/>
          <w:szCs w:val="22"/>
        </w:rPr>
        <w:t xml:space="preserve">at </w:t>
      </w:r>
      <w:r w:rsidRPr="009C0C39">
        <w:rPr>
          <w:rFonts w:ascii="Franklin Gothic Book" w:hAnsi="Franklin Gothic Book" w:cs="Times New Roman"/>
          <w:sz w:val="22"/>
          <w:szCs w:val="22"/>
        </w:rPr>
        <w:t>its hospitals and increase its market shares of inpatient care and covered lives,</w:t>
      </w:r>
      <w:r w:rsidRPr="009C0C39">
        <w:rPr>
          <w:rStyle w:val="FootnoteReference"/>
          <w:rFonts w:ascii="Franklin Gothic Book" w:hAnsi="Franklin Gothic Book" w:cs="Times New Roman"/>
          <w:sz w:val="22"/>
          <w:szCs w:val="22"/>
        </w:rPr>
        <w:footnoteReference w:id="53"/>
      </w:r>
      <w:r w:rsidRPr="009C0C39">
        <w:rPr>
          <w:rFonts w:ascii="Franklin Gothic Book" w:hAnsi="Franklin Gothic Book" w:cs="Times New Roman"/>
          <w:sz w:val="22"/>
          <w:szCs w:val="22"/>
        </w:rPr>
        <w:t xml:space="preserve"> suggesting that MGB may </w:t>
      </w:r>
      <w:r w:rsidR="001E5576" w:rsidRPr="009C0C39">
        <w:rPr>
          <w:rFonts w:ascii="Franklin Gothic Book" w:hAnsi="Franklin Gothic Book" w:cs="Times New Roman"/>
          <w:sz w:val="22"/>
          <w:szCs w:val="22"/>
        </w:rPr>
        <w:t xml:space="preserve">also </w:t>
      </w:r>
      <w:r w:rsidRPr="009C0C39">
        <w:rPr>
          <w:rFonts w:ascii="Franklin Gothic Book" w:hAnsi="Franklin Gothic Book" w:cs="Times New Roman"/>
          <w:sz w:val="22"/>
          <w:szCs w:val="22"/>
        </w:rPr>
        <w:t>be focused on increasing volume, particularly of commercial patients, at its system. As described below, the resulting increase in MGB hospital and patient panel volume is likely to increase total commercial health care spending as patients shift to MGB’s higher-priced network, outweighing any potential commercial savings as a result of care shifting to the new ambulatory sites from higher-priced settings such as hospitals.</w:t>
      </w:r>
      <w:r w:rsidRPr="009C0C39">
        <w:rPr>
          <w:rStyle w:val="FootnoteReference"/>
          <w:rFonts w:ascii="Franklin Gothic Book" w:hAnsi="Franklin Gothic Book" w:cs="Times New Roman"/>
          <w:sz w:val="22"/>
          <w:szCs w:val="22"/>
        </w:rPr>
        <w:footnoteReference w:id="54"/>
      </w:r>
    </w:p>
    <w:p w14:paraId="15AE6B8B" w14:textId="77777777" w:rsidR="008377B6" w:rsidRPr="009C0C39" w:rsidRDefault="008377B6" w:rsidP="009257C1">
      <w:pPr>
        <w:pStyle w:val="ListParagraph"/>
        <w:numPr>
          <w:ilvl w:val="1"/>
          <w:numId w:val="10"/>
        </w:numPr>
        <w:spacing w:after="240"/>
        <w:contextualSpacing w:val="0"/>
        <w:rPr>
          <w:rFonts w:ascii="Franklin Gothic Book" w:hAnsi="Franklin Gothic Book" w:cs="Times New Roman"/>
          <w:i/>
          <w:iCs/>
          <w:sz w:val="22"/>
          <w:szCs w:val="22"/>
        </w:rPr>
      </w:pPr>
      <w:bookmarkStart w:id="46" w:name="Section_IIIA1"/>
      <w:bookmarkEnd w:id="46"/>
      <w:r w:rsidRPr="009C0C39">
        <w:rPr>
          <w:rFonts w:ascii="Franklin Gothic Book" w:hAnsi="Franklin Gothic Book" w:cs="Times New Roman"/>
          <w:i/>
          <w:iCs/>
          <w:sz w:val="22"/>
          <w:szCs w:val="22"/>
        </w:rPr>
        <w:t>Total spending would likely increase as MGB adds primary care physicians at the ambulatory sites.</w:t>
      </w:r>
    </w:p>
    <w:p w14:paraId="5F6073A2" w14:textId="3AE09A93" w:rsidR="008377B6" w:rsidRPr="009C0C39" w:rsidRDefault="008377B6" w:rsidP="00F323C1">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MGB’s </w:t>
      </w:r>
      <w:r w:rsidR="0033649C" w:rsidRPr="009C0C39">
        <w:rPr>
          <w:rFonts w:ascii="Franklin Gothic Book" w:hAnsi="Franklin Gothic Book" w:cs="Times New Roman"/>
          <w:sz w:val="22"/>
          <w:szCs w:val="22"/>
        </w:rPr>
        <w:t xml:space="preserve">Ambulatory </w:t>
      </w:r>
      <w:r w:rsidRPr="009C0C39">
        <w:rPr>
          <w:rFonts w:ascii="Franklin Gothic Book" w:hAnsi="Franklin Gothic Book" w:cs="Times New Roman"/>
          <w:sz w:val="22"/>
          <w:szCs w:val="22"/>
        </w:rPr>
        <w:t xml:space="preserve">DoN </w:t>
      </w:r>
      <w:r w:rsidR="0033649C" w:rsidRPr="009C0C39">
        <w:rPr>
          <w:rFonts w:ascii="Franklin Gothic Book" w:hAnsi="Franklin Gothic Book" w:cs="Times New Roman"/>
          <w:sz w:val="22"/>
          <w:szCs w:val="22"/>
        </w:rPr>
        <w:t>A</w:t>
      </w:r>
      <w:r w:rsidRPr="009C0C39">
        <w:rPr>
          <w:rFonts w:ascii="Franklin Gothic Book" w:hAnsi="Franklin Gothic Book" w:cs="Times New Roman"/>
          <w:sz w:val="22"/>
          <w:szCs w:val="22"/>
        </w:rPr>
        <w:t xml:space="preserve">pplication identifies primary care as one component of physician services that </w:t>
      </w:r>
      <w:r w:rsidR="00BC6F21">
        <w:rPr>
          <w:rFonts w:ascii="Franklin Gothic Book" w:hAnsi="Franklin Gothic Book" w:cs="Times New Roman"/>
          <w:sz w:val="22"/>
          <w:szCs w:val="22"/>
        </w:rPr>
        <w:t>would</w:t>
      </w:r>
      <w:r w:rsidR="00BC6F21"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be provided at each site.</w:t>
      </w:r>
      <w:r w:rsidRPr="009C0C39">
        <w:rPr>
          <w:rStyle w:val="FootnoteReference"/>
          <w:rFonts w:ascii="Franklin Gothic Book" w:hAnsi="Franklin Gothic Book" w:cs="Times New Roman"/>
          <w:sz w:val="22"/>
          <w:szCs w:val="22"/>
        </w:rPr>
        <w:footnoteReference w:id="55"/>
      </w:r>
      <w:r w:rsidRPr="009C0C39">
        <w:rPr>
          <w:rFonts w:ascii="Franklin Gothic Book" w:hAnsi="Franklin Gothic Book" w:cs="Times New Roman"/>
          <w:sz w:val="22"/>
          <w:szCs w:val="22"/>
        </w:rPr>
        <w:t xml:space="preserve"> MGB provide</w:t>
      </w:r>
      <w:r w:rsidR="00BC6F21">
        <w:rPr>
          <w:rFonts w:ascii="Franklin Gothic Book" w:hAnsi="Franklin Gothic Book" w:cs="Times New Roman"/>
          <w:sz w:val="22"/>
          <w:szCs w:val="22"/>
        </w:rPr>
        <w:t>s</w:t>
      </w:r>
      <w:r w:rsidRPr="009C0C39">
        <w:rPr>
          <w:rFonts w:ascii="Franklin Gothic Book" w:hAnsi="Franklin Gothic Book" w:cs="Times New Roman"/>
          <w:sz w:val="22"/>
          <w:szCs w:val="22"/>
        </w:rPr>
        <w:t xml:space="preserve"> no details in its application on the number of physicians to be staffed at the sites. The Ambulatory ICA states that MGB provided current staffing estimates to </w:t>
      </w:r>
      <w:r w:rsidR="00C77A10" w:rsidRPr="009C0C39">
        <w:rPr>
          <w:rFonts w:ascii="Franklin Gothic Book" w:hAnsi="Franklin Gothic Book" w:cs="Times New Roman"/>
          <w:sz w:val="22"/>
          <w:szCs w:val="22"/>
        </w:rPr>
        <w:t>the firm conducting the ICAs</w:t>
      </w:r>
      <w:r w:rsidRPr="009C0C39">
        <w:rPr>
          <w:rFonts w:ascii="Franklin Gothic Book" w:hAnsi="Franklin Gothic Book" w:cs="Times New Roman"/>
          <w:sz w:val="22"/>
          <w:szCs w:val="22"/>
        </w:rPr>
        <w:t xml:space="preserve">, indicating that 14 net new primary care physicians (PCPs) would be staffed across two of the proposed sites, while the </w:t>
      </w:r>
      <w:r w:rsidR="00C77A10" w:rsidRPr="009C0C39">
        <w:rPr>
          <w:rFonts w:ascii="Franklin Gothic Book" w:hAnsi="Franklin Gothic Book" w:cs="Times New Roman"/>
          <w:sz w:val="22"/>
          <w:szCs w:val="22"/>
        </w:rPr>
        <w:t>MGB Internal Document Disclosures indicate</w:t>
      </w:r>
      <w:r w:rsidRPr="009C0C39">
        <w:rPr>
          <w:rFonts w:ascii="Franklin Gothic Book" w:hAnsi="Franklin Gothic Book" w:cs="Times New Roman"/>
          <w:sz w:val="22"/>
          <w:szCs w:val="22"/>
        </w:rPr>
        <w:t xml:space="preserve"> that MGB planned to staff 22 net new PCPs across the three proposed sites.</w:t>
      </w:r>
      <w:r w:rsidRPr="009C0C39">
        <w:rPr>
          <w:rStyle w:val="FootnoteReference"/>
          <w:rFonts w:ascii="Franklin Gothic Book" w:hAnsi="Franklin Gothic Book" w:cs="Times New Roman"/>
          <w:sz w:val="22"/>
          <w:szCs w:val="22"/>
        </w:rPr>
        <w:footnoteReference w:id="56"/>
      </w:r>
      <w:r w:rsidRPr="009C0C39">
        <w:rPr>
          <w:rFonts w:ascii="Franklin Gothic Book" w:hAnsi="Franklin Gothic Book" w:cs="Times New Roman"/>
          <w:sz w:val="22"/>
          <w:szCs w:val="22"/>
        </w:rPr>
        <w:t xml:space="preserve"> Many of these PCPs are likely to be recruited from existing local practices, as MGB states it has done in order to staff its primary care offices in Westwood and Woburn in recent years.</w:t>
      </w:r>
      <w:bookmarkStart w:id="47" w:name="_Ref93736523"/>
      <w:r w:rsidRPr="009C0C39">
        <w:rPr>
          <w:rStyle w:val="FootnoteReference"/>
          <w:rFonts w:ascii="Franklin Gothic Book" w:hAnsi="Franklin Gothic Book" w:cs="Times New Roman"/>
          <w:sz w:val="22"/>
          <w:szCs w:val="22"/>
        </w:rPr>
        <w:footnoteReference w:id="57"/>
      </w:r>
      <w:bookmarkEnd w:id="47"/>
      <w:r w:rsidRPr="009C0C39">
        <w:rPr>
          <w:rFonts w:ascii="Franklin Gothic Book" w:hAnsi="Franklin Gothic Book" w:cs="Times New Roman"/>
          <w:sz w:val="22"/>
          <w:szCs w:val="22"/>
        </w:rPr>
        <w:t xml:space="preserve"> Some may be </w:t>
      </w:r>
      <w:r w:rsidRPr="009C0C39">
        <w:rPr>
          <w:rFonts w:ascii="Franklin Gothic Book" w:hAnsi="Franklin Gothic Book" w:cs="Times New Roman"/>
          <w:sz w:val="22"/>
          <w:szCs w:val="22"/>
        </w:rPr>
        <w:lastRenderedPageBreak/>
        <w:t xml:space="preserve">new to the </w:t>
      </w:r>
      <w:r w:rsidR="000F34B4" w:rsidRPr="009C0C39">
        <w:rPr>
          <w:rFonts w:ascii="Franklin Gothic Book" w:hAnsi="Franklin Gothic Book" w:cs="Times New Roman"/>
          <w:sz w:val="22"/>
          <w:szCs w:val="22"/>
        </w:rPr>
        <w:t xml:space="preserve">Massachusetts </w:t>
      </w:r>
      <w:r w:rsidRPr="009C0C39">
        <w:rPr>
          <w:rFonts w:ascii="Franklin Gothic Book" w:hAnsi="Franklin Gothic Book" w:cs="Times New Roman"/>
          <w:sz w:val="22"/>
          <w:szCs w:val="22"/>
        </w:rPr>
        <w:t xml:space="preserve">physician workforce, although the patients filling their panels would likely have been seen by other local providers. </w:t>
      </w:r>
    </w:p>
    <w:p w14:paraId="61CE22E6" w14:textId="6316662A" w:rsidR="008377B6" w:rsidRPr="009C0C39" w:rsidRDefault="008377B6" w:rsidP="00A96D58">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compared total annual health status adjusted spending per commercially insured patient for patients of MGB PCPs to spending for patients of PCPs affiliated with other physician groups practicing in the proposed ambulator</w:t>
      </w:r>
      <w:r w:rsidR="00370BE4" w:rsidRPr="009C0C39">
        <w:rPr>
          <w:rFonts w:ascii="Franklin Gothic Book" w:hAnsi="Franklin Gothic Book" w:cs="Times New Roman"/>
          <w:sz w:val="22"/>
          <w:szCs w:val="22"/>
        </w:rPr>
        <w:t>y</w:t>
      </w:r>
      <w:r w:rsidRPr="009C0C39">
        <w:rPr>
          <w:rFonts w:ascii="Franklin Gothic Book" w:hAnsi="Franklin Gothic Book" w:cs="Times New Roman"/>
          <w:sz w:val="22"/>
          <w:szCs w:val="22"/>
        </w:rPr>
        <w:t xml:space="preserve"> service areas. We found that commercial patients with an MGB PCP have health status adjusted annual total medical spending approximately 11% </w:t>
      </w:r>
      <w:r w:rsidR="0055213C" w:rsidRPr="009C0C39">
        <w:rPr>
          <w:rFonts w:ascii="Franklin Gothic Book" w:hAnsi="Franklin Gothic Book" w:cs="Times New Roman"/>
          <w:sz w:val="22"/>
          <w:szCs w:val="22"/>
        </w:rPr>
        <w:t>to</w:t>
      </w:r>
      <w:r w:rsidRPr="009C0C39">
        <w:rPr>
          <w:rFonts w:ascii="Franklin Gothic Book" w:hAnsi="Franklin Gothic Book" w:cs="Times New Roman"/>
          <w:sz w:val="22"/>
          <w:szCs w:val="22"/>
        </w:rPr>
        <w:t xml:space="preserve"> 12% higher than patients of other local PCPs, which could reflect differences in the prices of the providers used by MGB primary care patients, as well as differences in provider practice patterns, or other dynamics.</w:t>
      </w:r>
      <w:bookmarkStart w:id="49" w:name="_Ref92489214"/>
      <w:r w:rsidRPr="009C0C39">
        <w:rPr>
          <w:rStyle w:val="FootnoteReference"/>
          <w:rFonts w:ascii="Franklin Gothic Book" w:hAnsi="Franklin Gothic Book" w:cs="Times New Roman"/>
          <w:sz w:val="22"/>
          <w:szCs w:val="22"/>
        </w:rPr>
        <w:footnoteReference w:id="58"/>
      </w:r>
      <w:bookmarkEnd w:id="49"/>
      <w:r w:rsidRPr="009C0C39">
        <w:rPr>
          <w:rFonts w:ascii="Franklin Gothic Book" w:hAnsi="Franklin Gothic Book" w:cs="Times New Roman"/>
          <w:sz w:val="22"/>
          <w:szCs w:val="22"/>
        </w:rPr>
        <w:t xml:space="preserve"> As patients switch from other local providers to the proposed net new MGB PCPs, we would therefore expect commercial spending to increase by 11</w:t>
      </w:r>
      <w:r w:rsidR="00BC6F21">
        <w:rPr>
          <w:rFonts w:ascii="Franklin Gothic Book" w:hAnsi="Franklin Gothic Book" w:cs="Times New Roman"/>
          <w:sz w:val="22"/>
          <w:szCs w:val="22"/>
        </w:rPr>
        <w:t>%</w:t>
      </w:r>
      <w:r w:rsidR="00370BE4" w:rsidRPr="009C0C39">
        <w:rPr>
          <w:rFonts w:ascii="Franklin Gothic Book" w:hAnsi="Franklin Gothic Book" w:cs="Times New Roman"/>
          <w:sz w:val="22"/>
          <w:szCs w:val="22"/>
        </w:rPr>
        <w:t xml:space="preserve"> </w:t>
      </w:r>
      <w:r w:rsidR="0055213C" w:rsidRPr="009C0C39">
        <w:rPr>
          <w:rFonts w:ascii="Franklin Gothic Book" w:hAnsi="Franklin Gothic Book" w:cs="Times New Roman"/>
          <w:sz w:val="22"/>
          <w:szCs w:val="22"/>
        </w:rPr>
        <w:t>to</w:t>
      </w:r>
      <w:r w:rsidR="00370BE4"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12%, on average, for those patients.</w:t>
      </w:r>
      <w:r w:rsidR="00A96D58" w:rsidRPr="009C0C39">
        <w:rPr>
          <w:rFonts w:ascii="Franklin Gothic Book" w:hAnsi="Franklin Gothic Book" w:cs="Times New Roman"/>
          <w:sz w:val="22"/>
          <w:szCs w:val="22"/>
        </w:rPr>
        <w:t xml:space="preserve"> This would translate to an increase of approximately $9.5 million to $15.4 million per year b</w:t>
      </w:r>
      <w:r w:rsidRPr="009C0C39">
        <w:rPr>
          <w:rFonts w:ascii="Franklin Gothic Book" w:hAnsi="Franklin Gothic Book" w:cs="Times New Roman"/>
          <w:sz w:val="22"/>
          <w:szCs w:val="22"/>
        </w:rPr>
        <w:t>ased on estimated patient panel sizes and payer mix,</w:t>
      </w:r>
      <w:bookmarkStart w:id="50" w:name="_Ref92983330"/>
      <w:r w:rsidRPr="009C0C39">
        <w:rPr>
          <w:rStyle w:val="FootnoteReference"/>
          <w:rFonts w:ascii="Franklin Gothic Book" w:hAnsi="Franklin Gothic Book" w:cs="Times New Roman"/>
          <w:sz w:val="22"/>
          <w:szCs w:val="22"/>
        </w:rPr>
        <w:footnoteReference w:id="59"/>
      </w:r>
      <w:bookmarkEnd w:id="50"/>
      <w:r w:rsidRPr="009C0C39">
        <w:rPr>
          <w:rFonts w:ascii="Franklin Gothic Book" w:hAnsi="Franklin Gothic Book" w:cs="Times New Roman"/>
          <w:sz w:val="22"/>
          <w:szCs w:val="22"/>
        </w:rPr>
        <w:t xml:space="preserve"> </w:t>
      </w:r>
      <w:r w:rsidR="00A96D58" w:rsidRPr="009C0C39">
        <w:rPr>
          <w:rFonts w:ascii="Franklin Gothic Book" w:hAnsi="Franklin Gothic Book" w:cs="Times New Roman"/>
          <w:sz w:val="22"/>
          <w:szCs w:val="22"/>
        </w:rPr>
        <w:t xml:space="preserve">depending on whether MGB were to </w:t>
      </w:r>
      <w:r w:rsidRPr="009C0C39">
        <w:rPr>
          <w:rFonts w:ascii="Franklin Gothic Book" w:hAnsi="Franklin Gothic Book" w:cs="Times New Roman"/>
          <w:sz w:val="22"/>
          <w:szCs w:val="22"/>
        </w:rPr>
        <w:t xml:space="preserve">add 14 </w:t>
      </w:r>
      <w:r w:rsidR="00A96D58" w:rsidRPr="009C0C39">
        <w:rPr>
          <w:rFonts w:ascii="Franklin Gothic Book" w:hAnsi="Franklin Gothic Book" w:cs="Times New Roman"/>
          <w:sz w:val="22"/>
          <w:szCs w:val="22"/>
        </w:rPr>
        <w:t xml:space="preserve">or </w:t>
      </w:r>
      <w:r w:rsidRPr="009C0C39">
        <w:rPr>
          <w:rFonts w:ascii="Franklin Gothic Book" w:hAnsi="Franklin Gothic Book" w:cs="Times New Roman"/>
          <w:sz w:val="22"/>
          <w:szCs w:val="22"/>
        </w:rPr>
        <w:t xml:space="preserve">22 </w:t>
      </w:r>
      <w:r w:rsidR="00A96D58" w:rsidRPr="009C0C39">
        <w:rPr>
          <w:rFonts w:ascii="Franklin Gothic Book" w:hAnsi="Franklin Gothic Book" w:cs="Times New Roman"/>
          <w:sz w:val="22"/>
          <w:szCs w:val="22"/>
        </w:rPr>
        <w:t xml:space="preserve">new </w:t>
      </w:r>
      <w:r w:rsidRPr="009C0C39">
        <w:rPr>
          <w:rFonts w:ascii="Franklin Gothic Book" w:hAnsi="Franklin Gothic Book" w:cs="Times New Roman"/>
          <w:sz w:val="22"/>
          <w:szCs w:val="22"/>
        </w:rPr>
        <w:t>PCPs at the ambulatory sites.</w:t>
      </w:r>
      <w:r w:rsidR="0028354B" w:rsidRPr="009C0C39">
        <w:rPr>
          <w:rStyle w:val="FootnoteReference"/>
          <w:rFonts w:ascii="Franklin Gothic Book" w:hAnsi="Franklin Gothic Book" w:cs="Times New Roman"/>
          <w:sz w:val="22"/>
          <w:szCs w:val="22"/>
        </w:rPr>
        <w:footnoteReference w:id="60"/>
      </w:r>
      <w:r w:rsidRPr="009C0C39">
        <w:rPr>
          <w:rFonts w:ascii="Franklin Gothic Book" w:hAnsi="Franklin Gothic Book" w:cs="Times New Roman"/>
          <w:sz w:val="22"/>
          <w:szCs w:val="22"/>
        </w:rPr>
        <w:t xml:space="preserve"> Spending may also change for patients with other types of insurance coverage (e.g., managed and </w:t>
      </w:r>
      <w:r w:rsidR="00F865F0" w:rsidRPr="009C0C39">
        <w:rPr>
          <w:rFonts w:ascii="Franklin Gothic Book" w:hAnsi="Franklin Gothic Book" w:cs="Times New Roman"/>
          <w:sz w:val="22"/>
          <w:szCs w:val="22"/>
        </w:rPr>
        <w:t>O</w:t>
      </w:r>
      <w:r w:rsidR="00C20044" w:rsidRPr="009C0C39">
        <w:rPr>
          <w:rFonts w:ascii="Franklin Gothic Book" w:hAnsi="Franklin Gothic Book" w:cs="Times New Roman"/>
          <w:sz w:val="22"/>
          <w:szCs w:val="22"/>
        </w:rPr>
        <w:t xml:space="preserve">riginal </w:t>
      </w:r>
      <w:r w:rsidRPr="009C0C39">
        <w:rPr>
          <w:rFonts w:ascii="Franklin Gothic Book" w:hAnsi="Franklin Gothic Book" w:cs="Times New Roman"/>
          <w:sz w:val="22"/>
          <w:szCs w:val="22"/>
        </w:rPr>
        <w:t>Medicare and MassHealth) as they join MGB patient panels.</w:t>
      </w:r>
      <w:r w:rsidRPr="009C0C39">
        <w:rPr>
          <w:rStyle w:val="FootnoteReference"/>
          <w:rFonts w:ascii="Franklin Gothic Book" w:hAnsi="Franklin Gothic Book" w:cs="Times New Roman"/>
          <w:sz w:val="22"/>
          <w:szCs w:val="22"/>
        </w:rPr>
        <w:footnoteReference w:id="61"/>
      </w:r>
    </w:p>
    <w:p w14:paraId="5B44BC58" w14:textId="63923574" w:rsidR="008377B6" w:rsidRPr="009C0C39" w:rsidRDefault="008377B6" w:rsidP="009257C1">
      <w:pPr>
        <w:pStyle w:val="ListParagraph"/>
        <w:numPr>
          <w:ilvl w:val="1"/>
          <w:numId w:val="10"/>
        </w:numPr>
        <w:spacing w:after="240"/>
        <w:contextualSpacing w:val="0"/>
        <w:rPr>
          <w:rFonts w:ascii="Franklin Gothic Book" w:hAnsi="Franklin Gothic Book" w:cs="Times New Roman"/>
          <w:i/>
          <w:iCs/>
          <w:sz w:val="22"/>
          <w:szCs w:val="22"/>
        </w:rPr>
      </w:pPr>
      <w:bookmarkStart w:id="52" w:name="Section_IIIA2"/>
      <w:bookmarkEnd w:id="52"/>
      <w:r w:rsidRPr="009C0C39">
        <w:rPr>
          <w:rFonts w:ascii="Franklin Gothic Book" w:hAnsi="Franklin Gothic Book" w:cs="Times New Roman"/>
          <w:i/>
          <w:iCs/>
          <w:sz w:val="22"/>
          <w:szCs w:val="22"/>
        </w:rPr>
        <w:t xml:space="preserve">MGB hospitals would likely receive increased volume from the ambulatory service areas, increasing health care spending. </w:t>
      </w:r>
    </w:p>
    <w:p w14:paraId="7BF740A9" w14:textId="569F582F" w:rsidR="008377B6" w:rsidRPr="009C0C39" w:rsidRDefault="008377B6" w:rsidP="008D41EC">
      <w:pPr>
        <w:widowControl w:val="0"/>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used an econometric model based on historic</w:t>
      </w:r>
      <w:r w:rsidR="007A091F" w:rsidRPr="009C0C39">
        <w:rPr>
          <w:rFonts w:ascii="Franklin Gothic Book" w:hAnsi="Franklin Gothic Book" w:cs="Times New Roman"/>
          <w:sz w:val="22"/>
          <w:szCs w:val="22"/>
        </w:rPr>
        <w:t>al</w:t>
      </w:r>
      <w:r w:rsidRPr="009C0C39">
        <w:rPr>
          <w:rFonts w:ascii="Franklin Gothic Book" w:hAnsi="Franklin Gothic Book" w:cs="Times New Roman"/>
          <w:sz w:val="22"/>
          <w:szCs w:val="22"/>
        </w:rPr>
        <w:t xml:space="preserve"> Massachusetts discharge and claims data to confirm that commercial patients living in areas where a hospital system has higher primary care or specialist physician market share</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are significantly more likely to use the affiliated system’s hospitals</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for inpatient care even when those patients do not live near a system hospital.</w:t>
      </w:r>
      <w:r w:rsidRPr="009C0C39">
        <w:rPr>
          <w:rStyle w:val="FootnoteReference"/>
          <w:rFonts w:ascii="Franklin Gothic Book" w:hAnsi="Franklin Gothic Book" w:cs="Times New Roman"/>
          <w:sz w:val="22"/>
          <w:szCs w:val="22"/>
        </w:rPr>
        <w:footnoteReference w:id="62"/>
      </w:r>
      <w:r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lastRenderedPageBreak/>
        <w:t>Increases in MGB’s commercial physician market shares in the proposed service areas would likely increase commercial discharges at MGB’s hospitals and</w:t>
      </w:r>
      <w:r w:rsidR="007A091F" w:rsidRPr="009C0C39">
        <w:rPr>
          <w:rFonts w:ascii="Franklin Gothic Book" w:hAnsi="Franklin Gothic Book" w:cs="Times New Roman"/>
          <w:sz w:val="22"/>
          <w:szCs w:val="22"/>
        </w:rPr>
        <w:t>, consequently</w:t>
      </w:r>
      <w:r w:rsidR="002617EC"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commercial spending for patients </w:t>
      </w:r>
      <w:r w:rsidR="007A091F" w:rsidRPr="009C0C39">
        <w:rPr>
          <w:rFonts w:ascii="Franklin Gothic Book" w:hAnsi="Franklin Gothic Book" w:cs="Times New Roman"/>
          <w:sz w:val="22"/>
          <w:szCs w:val="22"/>
        </w:rPr>
        <w:t xml:space="preserve">from </w:t>
      </w:r>
      <w:r w:rsidRPr="009C0C39">
        <w:rPr>
          <w:rFonts w:ascii="Franklin Gothic Book" w:hAnsi="Franklin Gothic Book" w:cs="Times New Roman"/>
          <w:sz w:val="22"/>
          <w:szCs w:val="22"/>
        </w:rPr>
        <w:t>the</w:t>
      </w:r>
      <w:r w:rsidR="0055213C" w:rsidRPr="009C0C39">
        <w:rPr>
          <w:rFonts w:ascii="Franklin Gothic Book" w:hAnsi="Franklin Gothic Book" w:cs="Times New Roman"/>
          <w:sz w:val="22"/>
          <w:szCs w:val="22"/>
        </w:rPr>
        <w:t>se</w:t>
      </w:r>
      <w:r w:rsidRPr="009C0C39">
        <w:rPr>
          <w:rFonts w:ascii="Franklin Gothic Book" w:hAnsi="Franklin Gothic Book" w:cs="Times New Roman"/>
          <w:sz w:val="22"/>
          <w:szCs w:val="22"/>
        </w:rPr>
        <w:t xml:space="preserve"> service areas. However, the scope of increase the HPC was able to quantify likely understates the potential impact of the ambulatory expansions on hospital volume, particularly given the scope of MGB’s expectations for increased hospital referrals.</w:t>
      </w:r>
      <w:r w:rsidRPr="009C0C39">
        <w:rPr>
          <w:rStyle w:val="FootnoteReference"/>
          <w:rFonts w:ascii="Franklin Gothic Book" w:hAnsi="Franklin Gothic Book" w:cs="Times New Roman"/>
          <w:sz w:val="22"/>
          <w:szCs w:val="22"/>
        </w:rPr>
        <w:footnoteReference w:id="63"/>
      </w:r>
      <w:r w:rsidRPr="009C0C39">
        <w:rPr>
          <w:rFonts w:ascii="Franklin Gothic Book" w:hAnsi="Franklin Gothic Book" w:cs="Times New Roman"/>
          <w:sz w:val="22"/>
          <w:szCs w:val="22"/>
        </w:rPr>
        <w:t xml:space="preserve"> </w:t>
      </w:r>
    </w:p>
    <w:p w14:paraId="497812AC" w14:textId="6393FD00" w:rsidR="008377B6" w:rsidRPr="009C0C39" w:rsidRDefault="008377B6" w:rsidP="008D41EC">
      <w:pPr>
        <w:widowControl w:val="0"/>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MGB’s planning materials as described in the MGB Internal Document Disclosures estimate an increase in inpatient market shares of 1</w:t>
      </w:r>
      <w:r w:rsidR="0055213C"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to 2% for secondary admissions and 3</w:t>
      </w:r>
      <w:r w:rsidR="0055213C"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to 4% for tertiary admissions in Eastern Massachusetts as a result of MGB’s larger planned multi-year </w:t>
      </w:r>
      <w:r w:rsidR="00473E38" w:rsidRPr="009C0C39">
        <w:rPr>
          <w:rFonts w:ascii="Franklin Gothic Book" w:hAnsi="Franklin Gothic Book" w:cs="Times New Roman"/>
          <w:sz w:val="22"/>
          <w:szCs w:val="22"/>
        </w:rPr>
        <w:t xml:space="preserve">ambulatory </w:t>
      </w:r>
      <w:r w:rsidRPr="009C0C39">
        <w:rPr>
          <w:rFonts w:ascii="Franklin Gothic Book" w:hAnsi="Franklin Gothic Book" w:cs="Times New Roman"/>
          <w:sz w:val="22"/>
          <w:szCs w:val="22"/>
        </w:rPr>
        <w:t>expansion.</w:t>
      </w:r>
      <w:r w:rsidRPr="009C0C39">
        <w:rPr>
          <w:rStyle w:val="FootnoteReference"/>
          <w:rFonts w:ascii="Franklin Gothic Book" w:hAnsi="Franklin Gothic Book" w:cs="Times New Roman"/>
          <w:sz w:val="22"/>
          <w:szCs w:val="22"/>
        </w:rPr>
        <w:footnoteReference w:id="64"/>
      </w:r>
      <w:r w:rsidRPr="009C0C39">
        <w:rPr>
          <w:rFonts w:ascii="Franklin Gothic Book" w:hAnsi="Franklin Gothic Book" w:cs="Times New Roman"/>
          <w:sz w:val="22"/>
          <w:szCs w:val="22"/>
        </w:rPr>
        <w:t xml:space="preserve"> </w:t>
      </w:r>
      <w:r w:rsidR="00DA0FF1" w:rsidRPr="009C0C39">
        <w:rPr>
          <w:rFonts w:ascii="Franklin Gothic Book" w:hAnsi="Franklin Gothic Book" w:cs="Times New Roman"/>
          <w:sz w:val="22"/>
          <w:szCs w:val="22"/>
        </w:rPr>
        <w:t>I</w:t>
      </w:r>
      <w:r w:rsidRPr="009C0C39">
        <w:rPr>
          <w:rFonts w:ascii="Franklin Gothic Book" w:hAnsi="Franklin Gothic Book" w:cs="Times New Roman"/>
          <w:sz w:val="22"/>
          <w:szCs w:val="22"/>
        </w:rPr>
        <w:t xml:space="preserve">t is unclear what proportion of this expected increase would be driven by the three ambulatory sites proposed in MGB’s </w:t>
      </w:r>
      <w:r w:rsidR="0033649C" w:rsidRPr="009C0C39">
        <w:rPr>
          <w:rFonts w:ascii="Franklin Gothic Book" w:hAnsi="Franklin Gothic Book" w:cs="Times New Roman"/>
          <w:sz w:val="22"/>
          <w:szCs w:val="22"/>
        </w:rPr>
        <w:t xml:space="preserve">Ambulatory </w:t>
      </w:r>
      <w:r w:rsidRPr="009C0C39">
        <w:rPr>
          <w:rFonts w:ascii="Franklin Gothic Book" w:hAnsi="Franklin Gothic Book" w:cs="Times New Roman"/>
          <w:sz w:val="22"/>
          <w:szCs w:val="22"/>
        </w:rPr>
        <w:t xml:space="preserve">DoN </w:t>
      </w:r>
      <w:r w:rsidR="0033649C" w:rsidRPr="009C0C39">
        <w:rPr>
          <w:rFonts w:ascii="Franklin Gothic Book" w:hAnsi="Franklin Gothic Book" w:cs="Times New Roman"/>
          <w:sz w:val="22"/>
          <w:szCs w:val="22"/>
        </w:rPr>
        <w:t>A</w:t>
      </w:r>
      <w:r w:rsidRPr="009C0C39">
        <w:rPr>
          <w:rFonts w:ascii="Franklin Gothic Book" w:hAnsi="Franklin Gothic Book" w:cs="Times New Roman"/>
          <w:sz w:val="22"/>
          <w:szCs w:val="22"/>
        </w:rPr>
        <w:t>pplication</w:t>
      </w:r>
      <w:r w:rsidR="00DA0FF1" w:rsidRPr="009C0C39">
        <w:rPr>
          <w:rFonts w:ascii="Franklin Gothic Book" w:hAnsi="Franklin Gothic Book" w:cs="Times New Roman"/>
          <w:sz w:val="22"/>
          <w:szCs w:val="22"/>
        </w:rPr>
        <w:t xml:space="preserve">; for the purpose of modeling, the HPC </w:t>
      </w:r>
      <w:r w:rsidR="00A3633C" w:rsidRPr="009C0C39">
        <w:rPr>
          <w:rFonts w:ascii="Franklin Gothic Book" w:hAnsi="Franklin Gothic Book" w:cs="Times New Roman"/>
          <w:sz w:val="22"/>
          <w:szCs w:val="22"/>
        </w:rPr>
        <w:t xml:space="preserve">has </w:t>
      </w:r>
      <w:r w:rsidR="00DA0FF1" w:rsidRPr="009C0C39">
        <w:rPr>
          <w:rFonts w:ascii="Franklin Gothic Book" w:hAnsi="Franklin Gothic Book" w:cs="Times New Roman"/>
          <w:sz w:val="22"/>
          <w:szCs w:val="22"/>
        </w:rPr>
        <w:t>assume</w:t>
      </w:r>
      <w:r w:rsidR="00A3633C" w:rsidRPr="009C0C39">
        <w:rPr>
          <w:rFonts w:ascii="Franklin Gothic Book" w:hAnsi="Franklin Gothic Book" w:cs="Times New Roman"/>
          <w:sz w:val="22"/>
          <w:szCs w:val="22"/>
        </w:rPr>
        <w:t>d</w:t>
      </w:r>
      <w:r w:rsidR="00DA0FF1" w:rsidRPr="009C0C39">
        <w:rPr>
          <w:rFonts w:ascii="Franklin Gothic Book" w:hAnsi="Franklin Gothic Book" w:cs="Times New Roman"/>
          <w:sz w:val="22"/>
          <w:szCs w:val="22"/>
        </w:rPr>
        <w:t xml:space="preserve"> the ambulatory expansion currently under review may represent half of the multi-year project. I</w:t>
      </w:r>
      <w:r w:rsidRPr="009C0C39">
        <w:rPr>
          <w:rFonts w:ascii="Franklin Gothic Book" w:hAnsi="Franklin Gothic Book" w:cs="Times New Roman"/>
          <w:sz w:val="22"/>
          <w:szCs w:val="22"/>
        </w:rPr>
        <w:t xml:space="preserve">f MGB were to achieve </w:t>
      </w:r>
      <w:r w:rsidR="00DA0FF1" w:rsidRPr="009C0C39">
        <w:rPr>
          <w:rFonts w:ascii="Franklin Gothic Book" w:hAnsi="Franklin Gothic Book" w:cs="Times New Roman"/>
          <w:sz w:val="22"/>
          <w:szCs w:val="22"/>
        </w:rPr>
        <w:t xml:space="preserve">half of </w:t>
      </w:r>
      <w:r w:rsidR="00A3633C" w:rsidRPr="009C0C39">
        <w:rPr>
          <w:rFonts w:ascii="Franklin Gothic Book" w:hAnsi="Franklin Gothic Book" w:cs="Times New Roman"/>
          <w:sz w:val="22"/>
          <w:szCs w:val="22"/>
        </w:rPr>
        <w:t xml:space="preserve">this </w:t>
      </w:r>
      <w:r w:rsidR="00DA0FF1" w:rsidRPr="009C0C39">
        <w:rPr>
          <w:rFonts w:ascii="Franklin Gothic Book" w:hAnsi="Franklin Gothic Book" w:cs="Times New Roman"/>
          <w:sz w:val="22"/>
          <w:szCs w:val="22"/>
        </w:rPr>
        <w:t xml:space="preserve">projected </w:t>
      </w:r>
      <w:r w:rsidRPr="009C0C39">
        <w:rPr>
          <w:rFonts w:ascii="Franklin Gothic Book" w:hAnsi="Franklin Gothic Book" w:cs="Times New Roman"/>
          <w:sz w:val="22"/>
          <w:szCs w:val="22"/>
        </w:rPr>
        <w:t xml:space="preserve">increase in Eastern Massachusetts commercial inpatient market share across its hospitals, </w:t>
      </w:r>
      <w:r w:rsidR="00C2185A" w:rsidRPr="009C0C39">
        <w:rPr>
          <w:rFonts w:ascii="Franklin Gothic Book" w:hAnsi="Franklin Gothic Book" w:cs="Times New Roman"/>
          <w:sz w:val="22"/>
          <w:szCs w:val="22"/>
        </w:rPr>
        <w:t>this</w:t>
      </w:r>
      <w:r w:rsidRPr="009C0C39">
        <w:rPr>
          <w:rFonts w:ascii="Franklin Gothic Book" w:hAnsi="Franklin Gothic Book" w:cs="Times New Roman"/>
          <w:sz w:val="22"/>
          <w:szCs w:val="22"/>
        </w:rPr>
        <w:t xml:space="preserve"> would translate to approximately </w:t>
      </w:r>
      <w:r w:rsidR="00DA0FF1" w:rsidRPr="009C0C39">
        <w:rPr>
          <w:rFonts w:ascii="Franklin Gothic Book" w:hAnsi="Franklin Gothic Book" w:cs="Times New Roman"/>
          <w:sz w:val="22"/>
          <w:szCs w:val="22"/>
        </w:rPr>
        <w:t>712</w:t>
      </w:r>
      <w:r w:rsidRPr="009C0C39">
        <w:rPr>
          <w:rFonts w:ascii="Franklin Gothic Book" w:hAnsi="Franklin Gothic Book" w:cs="Times New Roman"/>
          <w:sz w:val="22"/>
          <w:szCs w:val="22"/>
        </w:rPr>
        <w:t xml:space="preserve"> to </w:t>
      </w:r>
      <w:r w:rsidR="00DA0FF1" w:rsidRPr="009C0C39">
        <w:rPr>
          <w:rFonts w:ascii="Franklin Gothic Book" w:hAnsi="Franklin Gothic Book" w:cs="Times New Roman"/>
          <w:sz w:val="22"/>
          <w:szCs w:val="22"/>
        </w:rPr>
        <w:t>2,849</w:t>
      </w:r>
      <w:r w:rsidRPr="009C0C39">
        <w:rPr>
          <w:rFonts w:ascii="Franklin Gothic Book" w:hAnsi="Franklin Gothic Book" w:cs="Times New Roman"/>
          <w:sz w:val="22"/>
          <w:szCs w:val="22"/>
        </w:rPr>
        <w:t xml:space="preserve"> additional commercial discharges per year at its hospitals.</w:t>
      </w:r>
      <w:bookmarkStart w:id="54" w:name="_Ref93661797"/>
      <w:r w:rsidRPr="009C0C39">
        <w:rPr>
          <w:rStyle w:val="FootnoteReference"/>
          <w:rFonts w:ascii="Franklin Gothic Book" w:hAnsi="Franklin Gothic Book" w:cs="Times New Roman"/>
          <w:sz w:val="22"/>
          <w:szCs w:val="22"/>
        </w:rPr>
        <w:footnoteReference w:id="65"/>
      </w:r>
      <w:bookmarkEnd w:id="54"/>
      <w:r w:rsidRPr="009C0C39">
        <w:rPr>
          <w:rFonts w:ascii="Franklin Gothic Book" w:hAnsi="Franklin Gothic Book" w:cs="Times New Roman"/>
          <w:sz w:val="22"/>
          <w:szCs w:val="22"/>
        </w:rPr>
        <w:t xml:space="preserve"> Because MGB hospitals </w:t>
      </w:r>
      <w:r w:rsidR="0050691F" w:rsidRPr="009C0C39">
        <w:rPr>
          <w:rFonts w:ascii="Franklin Gothic Book" w:hAnsi="Franklin Gothic Book" w:cs="Times New Roman"/>
          <w:sz w:val="22"/>
          <w:szCs w:val="22"/>
        </w:rPr>
        <w:t xml:space="preserve">and physicians </w:t>
      </w:r>
      <w:r w:rsidRPr="009C0C39">
        <w:rPr>
          <w:rFonts w:ascii="Franklin Gothic Book" w:hAnsi="Franklin Gothic Book" w:cs="Times New Roman"/>
          <w:sz w:val="22"/>
          <w:szCs w:val="22"/>
        </w:rPr>
        <w:t xml:space="preserve">generally have higher commercial inpatient prices than </w:t>
      </w:r>
      <w:r w:rsidR="0050691F" w:rsidRPr="009C0C39">
        <w:rPr>
          <w:rFonts w:ascii="Franklin Gothic Book" w:hAnsi="Franklin Gothic Book" w:cs="Times New Roman"/>
          <w:sz w:val="22"/>
          <w:szCs w:val="22"/>
        </w:rPr>
        <w:t xml:space="preserve">those of </w:t>
      </w:r>
      <w:r w:rsidRPr="009C0C39">
        <w:rPr>
          <w:rFonts w:ascii="Franklin Gothic Book" w:hAnsi="Franklin Gothic Book" w:cs="Times New Roman"/>
          <w:sz w:val="22"/>
          <w:szCs w:val="22"/>
        </w:rPr>
        <w:t xml:space="preserve">other </w:t>
      </w:r>
      <w:r w:rsidR="0050691F" w:rsidRPr="009C0C39">
        <w:rPr>
          <w:rFonts w:ascii="Franklin Gothic Book" w:hAnsi="Franklin Gothic Book" w:cs="Times New Roman"/>
          <w:sz w:val="22"/>
          <w:szCs w:val="22"/>
        </w:rPr>
        <w:t>systems</w:t>
      </w:r>
      <w:r w:rsidRPr="009C0C39">
        <w:rPr>
          <w:rFonts w:ascii="Franklin Gothic Book" w:hAnsi="Franklin Gothic Book" w:cs="Times New Roman"/>
          <w:sz w:val="22"/>
          <w:szCs w:val="22"/>
        </w:rPr>
        <w:t xml:space="preserve">, as discussed in </w:t>
      </w:r>
      <w:r w:rsidR="00CD47F6" w:rsidRPr="009C0C39">
        <w:rPr>
          <w:rFonts w:ascii="Franklin Gothic Book" w:hAnsi="Franklin Gothic Book" w:cs="Times New Roman"/>
          <w:sz w:val="22"/>
          <w:szCs w:val="22"/>
        </w:rPr>
        <w:t>S</w:t>
      </w:r>
      <w:r w:rsidRPr="009C0C39">
        <w:rPr>
          <w:rFonts w:ascii="Franklin Gothic Book" w:hAnsi="Franklin Gothic Book" w:cs="Times New Roman"/>
          <w:sz w:val="22"/>
          <w:szCs w:val="22"/>
        </w:rPr>
        <w:t xml:space="preserve">ection </w:t>
      </w:r>
      <w:r w:rsidR="00CD47F6" w:rsidRPr="009C0C39">
        <w:rPr>
          <w:rFonts w:ascii="Franklin Gothic Book" w:hAnsi="Franklin Gothic Book" w:cs="Times New Roman"/>
          <w:sz w:val="22"/>
          <w:szCs w:val="22"/>
        </w:rPr>
        <w:t>II</w:t>
      </w:r>
      <w:r w:rsidRPr="009C0C39">
        <w:rPr>
          <w:rFonts w:ascii="Franklin Gothic Book" w:hAnsi="Franklin Gothic Book" w:cs="Times New Roman"/>
          <w:sz w:val="22"/>
          <w:szCs w:val="22"/>
        </w:rPr>
        <w:t>, this shift would increase annual commercial spending by approximately $</w:t>
      </w:r>
      <w:r w:rsidR="00DA0FF1" w:rsidRPr="009C0C39">
        <w:rPr>
          <w:rFonts w:ascii="Franklin Gothic Book" w:hAnsi="Franklin Gothic Book" w:cs="Times New Roman"/>
          <w:sz w:val="22"/>
          <w:szCs w:val="22"/>
        </w:rPr>
        <w:t>4.5</w:t>
      </w:r>
      <w:r w:rsidRPr="009C0C39">
        <w:rPr>
          <w:rFonts w:ascii="Franklin Gothic Book" w:hAnsi="Franklin Gothic Book" w:cs="Times New Roman"/>
          <w:sz w:val="22"/>
          <w:szCs w:val="22"/>
        </w:rPr>
        <w:t xml:space="preserve"> million to $</w:t>
      </w:r>
      <w:r w:rsidR="004D1558" w:rsidRPr="009C0C39">
        <w:rPr>
          <w:rFonts w:ascii="Franklin Gothic Book" w:hAnsi="Franklin Gothic Book" w:cs="Times New Roman"/>
          <w:sz w:val="22"/>
          <w:szCs w:val="22"/>
        </w:rPr>
        <w:t>17.9</w:t>
      </w:r>
      <w:r w:rsidRPr="009C0C39">
        <w:rPr>
          <w:rFonts w:ascii="Franklin Gothic Book" w:hAnsi="Franklin Gothic Book" w:cs="Times New Roman"/>
          <w:sz w:val="22"/>
          <w:szCs w:val="22"/>
        </w:rPr>
        <w:t xml:space="preserve"> million as these admissions are seen at MGB hospitals rather </w:t>
      </w:r>
      <w:r w:rsidRPr="009C0C39">
        <w:rPr>
          <w:rFonts w:ascii="Franklin Gothic Book" w:hAnsi="Franklin Gothic Book" w:cs="Times New Roman"/>
          <w:sz w:val="22"/>
          <w:szCs w:val="22"/>
        </w:rPr>
        <w:lastRenderedPageBreak/>
        <w:t>than at hospitals of other systems.</w:t>
      </w:r>
      <w:r w:rsidR="0055211D" w:rsidRPr="009C0C39">
        <w:rPr>
          <w:rStyle w:val="FootnoteReference"/>
          <w:rFonts w:ascii="Franklin Gothic Book" w:hAnsi="Franklin Gothic Book" w:cs="Times New Roman"/>
          <w:sz w:val="22"/>
          <w:szCs w:val="22"/>
        </w:rPr>
        <w:footnoteReference w:id="66"/>
      </w:r>
      <w:r w:rsidR="0055211D" w:rsidRPr="009C0C39">
        <w:rPr>
          <w:rFonts w:ascii="Franklin Gothic Book" w:hAnsi="Franklin Gothic Book" w:cs="Times New Roman"/>
          <w:sz w:val="22"/>
          <w:szCs w:val="22"/>
          <w:vertAlign w:val="superscript"/>
        </w:rPr>
        <w:t xml:space="preserve">, </w:t>
      </w:r>
      <w:bookmarkStart w:id="56" w:name="_Ref93433148"/>
      <w:r w:rsidRPr="009C0C39">
        <w:rPr>
          <w:rStyle w:val="FootnoteReference"/>
          <w:rFonts w:ascii="Franklin Gothic Book" w:hAnsi="Franklin Gothic Book" w:cs="Times New Roman"/>
          <w:sz w:val="22"/>
          <w:szCs w:val="22"/>
        </w:rPr>
        <w:footnoteReference w:id="67"/>
      </w:r>
      <w:bookmarkEnd w:id="56"/>
      <w:r w:rsidRPr="009C0C39">
        <w:rPr>
          <w:rFonts w:ascii="Franklin Gothic Book" w:hAnsi="Franklin Gothic Book" w:cs="Times New Roman"/>
          <w:sz w:val="22"/>
          <w:szCs w:val="22"/>
        </w:rPr>
        <w:t xml:space="preserve"> </w:t>
      </w:r>
    </w:p>
    <w:p w14:paraId="7588AE4C" w14:textId="39335A71" w:rsidR="008377B6" w:rsidRPr="009C0C39" w:rsidRDefault="008377B6" w:rsidP="008D41EC">
      <w:pPr>
        <w:widowControl w:val="0"/>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estimates above reflect potential increases in commercial inpatient spending. </w:t>
      </w:r>
      <w:r w:rsidR="00945453" w:rsidRPr="009C0C39">
        <w:rPr>
          <w:rFonts w:ascii="Franklin Gothic Book" w:hAnsi="Franklin Gothic Book" w:cs="Times New Roman"/>
          <w:sz w:val="22"/>
          <w:szCs w:val="22"/>
        </w:rPr>
        <w:t>S</w:t>
      </w:r>
      <w:r w:rsidRPr="009C0C39">
        <w:rPr>
          <w:rFonts w:ascii="Franklin Gothic Book" w:hAnsi="Franklin Gothic Book" w:cs="Times New Roman"/>
          <w:sz w:val="22"/>
          <w:szCs w:val="22"/>
        </w:rPr>
        <w:t xml:space="preserve">pending would likely </w:t>
      </w:r>
      <w:r w:rsidR="00945453" w:rsidRPr="009C0C39">
        <w:rPr>
          <w:rFonts w:ascii="Franklin Gothic Book" w:hAnsi="Franklin Gothic Book" w:cs="Times New Roman"/>
          <w:sz w:val="22"/>
          <w:szCs w:val="22"/>
        </w:rPr>
        <w:t xml:space="preserve">further increase due to </w:t>
      </w:r>
      <w:r w:rsidRPr="009C0C39">
        <w:rPr>
          <w:rFonts w:ascii="Franklin Gothic Book" w:hAnsi="Franklin Gothic Book" w:cs="Times New Roman"/>
          <w:sz w:val="22"/>
          <w:szCs w:val="22"/>
        </w:rPr>
        <w:t>increased utilization of MGB HOPDs by patients from the ambulatory service areas, especially for outpatient specialties or advanced procedures not provided at the proposed ambulatory sites</w:t>
      </w:r>
      <w:r w:rsidR="00945453"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and shifts of patients covered by non-commercial payers, based on spending impacts modeled in the MGH and Faulkner ICAs.</w:t>
      </w:r>
      <w:r w:rsidRPr="009C0C39">
        <w:rPr>
          <w:rStyle w:val="FootnoteReference"/>
          <w:rFonts w:ascii="Franklin Gothic Book" w:hAnsi="Franklin Gothic Book" w:cs="Times New Roman"/>
          <w:sz w:val="22"/>
          <w:szCs w:val="22"/>
        </w:rPr>
        <w:footnoteReference w:id="68"/>
      </w:r>
      <w:r w:rsidRPr="009C0C39">
        <w:rPr>
          <w:rFonts w:ascii="Franklin Gothic Book" w:hAnsi="Franklin Gothic Book" w:cs="Times New Roman"/>
          <w:sz w:val="22"/>
          <w:szCs w:val="22"/>
        </w:rPr>
        <w:t xml:space="preserve"> </w:t>
      </w:r>
    </w:p>
    <w:p w14:paraId="12B786CD" w14:textId="1605070A" w:rsidR="008377B6" w:rsidRPr="009C0C39" w:rsidRDefault="008377B6" w:rsidP="00D54B95">
      <w:pPr>
        <w:pStyle w:val="ListParagraph"/>
        <w:widowControl w:val="0"/>
        <w:numPr>
          <w:ilvl w:val="1"/>
          <w:numId w:val="10"/>
        </w:numPr>
        <w:spacing w:after="240"/>
        <w:contextualSpacing w:val="0"/>
        <w:rPr>
          <w:rFonts w:ascii="Franklin Gothic Book" w:hAnsi="Franklin Gothic Book" w:cs="Times New Roman"/>
          <w:i/>
          <w:iCs/>
          <w:sz w:val="22"/>
          <w:szCs w:val="22"/>
        </w:rPr>
      </w:pPr>
      <w:bookmarkStart w:id="57" w:name="Section_IIIA3"/>
      <w:bookmarkStart w:id="58" w:name="_Hlk91060784"/>
      <w:bookmarkEnd w:id="57"/>
      <w:r w:rsidRPr="009C0C39">
        <w:rPr>
          <w:rFonts w:ascii="Franklin Gothic Book" w:hAnsi="Franklin Gothic Book" w:cs="Times New Roman"/>
          <w:i/>
          <w:iCs/>
          <w:sz w:val="22"/>
          <w:szCs w:val="22"/>
        </w:rPr>
        <w:t>Commercial prices at the ambulatory sites would likely be lower than those at some, but not all, local providers. Impacts on total spending would depend on where patients would otherwise have received care.</w:t>
      </w:r>
      <w:r w:rsidRPr="009C0C39">
        <w:rPr>
          <w:rFonts w:ascii="Franklin Gothic Book" w:hAnsi="Franklin Gothic Book"/>
          <w:sz w:val="22"/>
          <w:szCs w:val="22"/>
        </w:rPr>
        <w:t xml:space="preserve"> </w:t>
      </w:r>
      <w:r w:rsidRPr="009C0C39">
        <w:rPr>
          <w:rFonts w:ascii="Franklin Gothic Book" w:hAnsi="Franklin Gothic Book" w:cs="Times New Roman"/>
          <w:i/>
          <w:iCs/>
          <w:sz w:val="22"/>
          <w:szCs w:val="22"/>
        </w:rPr>
        <w:t>Any care diverted to the ambulatory sites from MGB HOPDs is likely to be backfilled, reducing any savings.</w:t>
      </w:r>
      <w:bookmarkEnd w:id="58"/>
    </w:p>
    <w:p w14:paraId="25BB1C93" w14:textId="3CD208ED" w:rsidR="008377B6" w:rsidRPr="009C0C39" w:rsidRDefault="008377B6" w:rsidP="00D54B95">
      <w:pPr>
        <w:widowControl w:val="0"/>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MGB states that the sites “will have a positive impact on TME as these patients [in the ambulatory service areas] will no longer need to be seen in higher cost settings,” estimating that it will be “25% less costly to receive the Ambulatory Surgery Services at a Project Site, as compared to one of [MGB’s] community hospitals… based on the average rates from [MGB’s] top three payers.”</w:t>
      </w:r>
      <w:bookmarkStart w:id="59" w:name="_Ref90406353"/>
      <w:r w:rsidRPr="009C0C39">
        <w:rPr>
          <w:rStyle w:val="FootnoteReference"/>
          <w:rFonts w:ascii="Franklin Gothic Book" w:hAnsi="Franklin Gothic Book" w:cs="Times New Roman"/>
          <w:sz w:val="22"/>
          <w:szCs w:val="22"/>
        </w:rPr>
        <w:footnoteReference w:id="69"/>
      </w:r>
      <w:bookmarkEnd w:id="59"/>
      <w:r w:rsidR="00DD7402" w:rsidRPr="009C0C39">
        <w:rPr>
          <w:rStyle w:val="FootnoteReference"/>
          <w:rFonts w:ascii="Franklin Gothic Book" w:hAnsi="Franklin Gothic Book" w:cs="Times New Roman"/>
          <w:sz w:val="22"/>
          <w:szCs w:val="22"/>
        </w:rPr>
        <w:t>,</w:t>
      </w:r>
      <w:r w:rsidR="00864C4A" w:rsidRPr="009C0C39">
        <w:rPr>
          <w:rFonts w:ascii="Franklin Gothic Book" w:hAnsi="Franklin Gothic Book" w:cs="Times New Roman"/>
          <w:sz w:val="22"/>
          <w:szCs w:val="22"/>
        </w:rPr>
        <w:t xml:space="preserve"> </w:t>
      </w:r>
      <w:r w:rsidR="00DD7402" w:rsidRPr="009C0C39">
        <w:rPr>
          <w:rStyle w:val="FootnoteReference"/>
          <w:rFonts w:ascii="Franklin Gothic Book" w:hAnsi="Franklin Gothic Book" w:cs="Times New Roman"/>
          <w:sz w:val="22"/>
          <w:szCs w:val="22"/>
        </w:rPr>
        <w:footnoteReference w:id="70"/>
      </w:r>
      <w:r w:rsidRPr="009C0C39">
        <w:rPr>
          <w:rFonts w:ascii="Franklin Gothic Book" w:hAnsi="Franklin Gothic Book" w:cs="Times New Roman"/>
          <w:sz w:val="22"/>
          <w:szCs w:val="22"/>
        </w:rPr>
        <w:t xml:space="preserve"> The HPC calculated differences in commercial prices</w:t>
      </w:r>
      <w:bookmarkStart w:id="62" w:name="_Ref92566449"/>
      <w:r w:rsidRPr="009C0C39">
        <w:rPr>
          <w:rStyle w:val="FootnoteReference"/>
          <w:rFonts w:ascii="Franklin Gothic Book" w:hAnsi="Franklin Gothic Book" w:cs="Times New Roman"/>
          <w:sz w:val="22"/>
          <w:szCs w:val="22"/>
        </w:rPr>
        <w:footnoteReference w:id="71"/>
      </w:r>
      <w:bookmarkEnd w:id="62"/>
      <w:r w:rsidRPr="009C0C39">
        <w:rPr>
          <w:rFonts w:ascii="Franklin Gothic Book" w:hAnsi="Franklin Gothic Book" w:cs="Times New Roman"/>
          <w:sz w:val="22"/>
          <w:szCs w:val="22"/>
        </w:rPr>
        <w:t xml:space="preserve"> between providers currently serving the </w:t>
      </w:r>
      <w:r w:rsidRPr="009C0C39">
        <w:rPr>
          <w:rFonts w:ascii="Franklin Gothic Book" w:hAnsi="Franklin Gothic Book" w:cs="Times New Roman"/>
          <w:sz w:val="22"/>
          <w:szCs w:val="22"/>
        </w:rPr>
        <w:lastRenderedPageBreak/>
        <w:t>proposed ambulatory service areas and estimated prices for the ambulatory sites</w:t>
      </w:r>
      <w:r w:rsidR="00FA2FDB"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for relevant services.</w:t>
      </w:r>
      <w:bookmarkStart w:id="65" w:name="_Ref90411205"/>
      <w:r w:rsidRPr="009C0C39">
        <w:rPr>
          <w:rStyle w:val="FootnoteReference"/>
          <w:rFonts w:ascii="Franklin Gothic Book" w:hAnsi="Franklin Gothic Book" w:cs="Times New Roman"/>
          <w:sz w:val="22"/>
          <w:szCs w:val="22"/>
        </w:rPr>
        <w:footnoteReference w:id="72"/>
      </w:r>
      <w:bookmarkEnd w:id="65"/>
      <w:r w:rsidRPr="009C0C39">
        <w:rPr>
          <w:rFonts w:ascii="Franklin Gothic Book" w:hAnsi="Franklin Gothic Book" w:cs="Times New Roman"/>
          <w:sz w:val="22"/>
          <w:szCs w:val="22"/>
        </w:rPr>
        <w:t xml:space="preserve"> As shown in the example below for MRI scans, assuming MGB’s estimated price point represents a commitment regarding ambulatory site pricing, commercial prices at the proposed sites would likely be lower than those at some, but not all, other local providers. In particular, smaller providers and non-hospital providers tend to have </w:t>
      </w:r>
      <w:r w:rsidRPr="009C0C39">
        <w:rPr>
          <w:rFonts w:ascii="Franklin Gothic Book" w:hAnsi="Franklin Gothic Book" w:cs="Times New Roman"/>
          <w:i/>
          <w:iCs/>
          <w:sz w:val="22"/>
          <w:szCs w:val="22"/>
        </w:rPr>
        <w:t>lower</w:t>
      </w:r>
      <w:r w:rsidRPr="009C0C39">
        <w:rPr>
          <w:rFonts w:ascii="Franklin Gothic Book" w:hAnsi="Franklin Gothic Book" w:cs="Times New Roman"/>
          <w:sz w:val="22"/>
          <w:szCs w:val="22"/>
        </w:rPr>
        <w:t xml:space="preserve"> price points than the proposed MGB ambulatory sites, meaning that any care diverted from those providers to MGB sites would </w:t>
      </w:r>
      <w:r w:rsidR="00C34842" w:rsidRPr="009C0C39">
        <w:rPr>
          <w:rFonts w:ascii="Franklin Gothic Book" w:hAnsi="Franklin Gothic Book" w:cs="Times New Roman"/>
          <w:sz w:val="22"/>
          <w:szCs w:val="22"/>
        </w:rPr>
        <w:t>increase, not decrease, spending</w:t>
      </w:r>
      <w:r w:rsidRPr="009C0C39">
        <w:rPr>
          <w:rFonts w:ascii="Franklin Gothic Book" w:hAnsi="Franklin Gothic Book" w:cs="Times New Roman"/>
          <w:sz w:val="22"/>
          <w:szCs w:val="22"/>
        </w:rPr>
        <w:t>.</w:t>
      </w:r>
    </w:p>
    <w:p w14:paraId="1643EC6D" w14:textId="1655ACA1" w:rsidR="008377B6" w:rsidRPr="008B645F" w:rsidRDefault="008377B6" w:rsidP="006C24FB">
      <w:pPr>
        <w:keepLines/>
        <w:jc w:val="center"/>
        <w:rPr>
          <w:rFonts w:ascii="Franklin Gothic Book" w:hAnsi="Franklin Gothic Book" w:cs="Times New Roman"/>
          <w:b/>
          <w:bCs/>
          <w:color w:val="000000" w:themeColor="text1"/>
          <w:sz w:val="22"/>
          <w:szCs w:val="22"/>
        </w:rPr>
      </w:pPr>
      <w:r w:rsidRPr="008B645F">
        <w:rPr>
          <w:rFonts w:ascii="Franklin Gothic Book" w:hAnsi="Franklin Gothic Book" w:cs="Times New Roman"/>
          <w:b/>
          <w:bCs/>
          <w:color w:val="000000" w:themeColor="text1"/>
          <w:sz w:val="22"/>
          <w:szCs w:val="22"/>
        </w:rPr>
        <w:t>Commercial MRI Prices for Proposed Ambulatory Service Areas and Estimated MGB Ambulatory Prices (HPHC, 2018)</w:t>
      </w:r>
    </w:p>
    <w:p w14:paraId="6FCC4A44" w14:textId="554683B9" w:rsidR="00162C2D" w:rsidRPr="009C0C39" w:rsidRDefault="00162C2D" w:rsidP="006C24FB">
      <w:pPr>
        <w:keepLines/>
        <w:jc w:val="center"/>
        <w:rPr>
          <w:rFonts w:ascii="Franklin Gothic Book" w:hAnsi="Franklin Gothic Book" w:cs="Times New Roman"/>
          <w:b/>
          <w:bCs/>
          <w:sz w:val="18"/>
          <w:szCs w:val="18"/>
        </w:rPr>
      </w:pPr>
      <w:r w:rsidRPr="009C0C39">
        <w:rPr>
          <w:rFonts w:ascii="Franklin Gothic Book" w:hAnsi="Franklin Gothic Book" w:cs="Times New Roman"/>
          <w:b/>
          <w:bCs/>
          <w:noProof/>
          <w:sz w:val="18"/>
          <w:szCs w:val="18"/>
        </w:rPr>
        <w:drawing>
          <wp:inline distT="0" distB="0" distL="0" distR="0" wp14:anchorId="4A694D2B" wp14:editId="2EB7BAE6">
            <wp:extent cx="5107585" cy="274320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rotWithShape="1">
                    <a:blip r:embed="rId11">
                      <a:extLst>
                        <a:ext uri="{28A0092B-C50C-407E-A947-70E740481C1C}">
                          <a14:useLocalDpi xmlns:a14="http://schemas.microsoft.com/office/drawing/2010/main" val="0"/>
                        </a:ext>
                      </a:extLst>
                    </a:blip>
                    <a:srcRect t="12784"/>
                    <a:stretch/>
                  </pic:blipFill>
                  <pic:spPr bwMode="auto">
                    <a:xfrm>
                      <a:off x="0" y="0"/>
                      <a:ext cx="5199596" cy="2792618"/>
                    </a:xfrm>
                    <a:prstGeom prst="rect">
                      <a:avLst/>
                    </a:prstGeom>
                    <a:ln>
                      <a:noFill/>
                    </a:ln>
                    <a:extLst>
                      <a:ext uri="{53640926-AAD7-44D8-BBD7-CCE9431645EC}">
                        <a14:shadowObscured xmlns:a14="http://schemas.microsoft.com/office/drawing/2010/main"/>
                      </a:ext>
                    </a:extLst>
                  </pic:spPr>
                </pic:pic>
              </a:graphicData>
            </a:graphic>
          </wp:inline>
        </w:drawing>
      </w:r>
    </w:p>
    <w:p w14:paraId="46D1CDD7" w14:textId="7F425ABF" w:rsidR="008377B6" w:rsidRPr="009C0C39" w:rsidRDefault="008377B6" w:rsidP="006C24FB">
      <w:pPr>
        <w:keepLines/>
        <w:jc w:val="center"/>
        <w:rPr>
          <w:rFonts w:ascii="Franklin Gothic Book" w:hAnsi="Franklin Gothic Book" w:cs="Times New Roman"/>
          <w:sz w:val="22"/>
          <w:szCs w:val="22"/>
        </w:rPr>
      </w:pPr>
    </w:p>
    <w:p w14:paraId="79D28C71" w14:textId="77777777" w:rsidR="008377B6" w:rsidRPr="009C0C39" w:rsidRDefault="008377B6" w:rsidP="006C24FB">
      <w:pPr>
        <w:keepLines/>
        <w:rPr>
          <w:rFonts w:ascii="Franklin Gothic Book" w:hAnsi="Franklin Gothic Book" w:cs="Times New Roman"/>
          <w:sz w:val="18"/>
          <w:szCs w:val="18"/>
        </w:rPr>
      </w:pPr>
      <w:r w:rsidRPr="009C0C39">
        <w:rPr>
          <w:rFonts w:ascii="Franklin Gothic Book" w:hAnsi="Franklin Gothic Book" w:cs="Times New Roman"/>
          <w:sz w:val="18"/>
          <w:szCs w:val="18"/>
        </w:rPr>
        <w:t>Source: HPC analysis of CHIA All-Payer Claims Database, HPHC 2018.</w:t>
      </w:r>
    </w:p>
    <w:p w14:paraId="1D62B500" w14:textId="75C7C5EB" w:rsidR="008377B6" w:rsidRPr="009C0C39" w:rsidRDefault="008377B6" w:rsidP="006C24FB">
      <w:pPr>
        <w:keepLines/>
        <w:rPr>
          <w:rFonts w:ascii="Franklin Gothic Book" w:hAnsi="Franklin Gothic Book" w:cs="Times New Roman"/>
          <w:sz w:val="18"/>
          <w:szCs w:val="18"/>
        </w:rPr>
      </w:pPr>
      <w:r w:rsidRPr="009C0C39">
        <w:rPr>
          <w:rFonts w:ascii="Franklin Gothic Book" w:hAnsi="Franklin Gothic Book" w:cs="Times New Roman"/>
          <w:sz w:val="18"/>
          <w:szCs w:val="18"/>
        </w:rPr>
        <w:t xml:space="preserve">Note: </w:t>
      </w:r>
      <w:bookmarkStart w:id="67" w:name="_Hlk93008368"/>
      <w:r w:rsidR="00882DC5" w:rsidRPr="009C0C39">
        <w:rPr>
          <w:rFonts w:ascii="Franklin Gothic Book" w:hAnsi="Franklin Gothic Book" w:cs="Times New Roman"/>
          <w:sz w:val="18"/>
          <w:szCs w:val="18"/>
        </w:rPr>
        <w:t xml:space="preserve">See </w:t>
      </w:r>
      <w:hyperlink w:anchor="Appendix_IA" w:history="1">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fldChar w:fldCharType="begin"/>
        </w:r>
        <w:r w:rsidR="00882DC5" w:rsidRPr="009C0C39">
          <w:rPr>
            <w:rStyle w:val="Hyperlink"/>
            <w:rFonts w:ascii="Franklin Gothic Book" w:hAnsi="Franklin Gothic Book" w:cs="Times New Roman"/>
            <w:sz w:val="18"/>
            <w:szCs w:val="18"/>
          </w:rPr>
          <w:instrText xml:space="preserve"> REF Appendix_IA \h </w:instrText>
        </w:r>
        <w:r w:rsidR="00804A4E" w:rsidRPr="009C0C39">
          <w:rPr>
            <w:rStyle w:val="Hyperlink"/>
            <w:rFonts w:ascii="Franklin Gothic Book" w:hAnsi="Franklin Gothic Book" w:cs="Times New Roman"/>
            <w:sz w:val="18"/>
            <w:szCs w:val="18"/>
          </w:rPr>
          <w:instrText xml:space="preserve"> \* MERGEFORMAT </w:instrText>
        </w:r>
        <w:r w:rsidR="00882DC5" w:rsidRPr="009C0C39">
          <w:rPr>
            <w:rStyle w:val="Hyperlink"/>
            <w:rFonts w:ascii="Franklin Gothic Book" w:hAnsi="Franklin Gothic Book" w:cs="Times New Roman"/>
            <w:sz w:val="18"/>
            <w:szCs w:val="18"/>
          </w:rPr>
        </w:r>
        <w:r w:rsidR="00882DC5" w:rsidRPr="009C0C39">
          <w:rPr>
            <w:rStyle w:val="Hyperlink"/>
            <w:rFonts w:ascii="Franklin Gothic Book" w:hAnsi="Franklin Gothic Book" w:cs="Times New Roman"/>
            <w:sz w:val="18"/>
            <w:szCs w:val="18"/>
          </w:rPr>
          <w:fldChar w:fldCharType="end"/>
        </w:r>
        <w:r w:rsidR="00882DC5" w:rsidRPr="009C0C39">
          <w:rPr>
            <w:rStyle w:val="Hyperlink"/>
            <w:rFonts w:ascii="Franklin Gothic Book" w:hAnsi="Franklin Gothic Book" w:cs="Times New Roman"/>
            <w:sz w:val="18"/>
            <w:szCs w:val="18"/>
          </w:rPr>
          <w:t>Appendix I.A</w:t>
        </w:r>
      </w:hyperlink>
      <w:r w:rsidR="00882DC5" w:rsidRPr="009C0C39">
        <w:rPr>
          <w:rFonts w:ascii="Franklin Gothic Book" w:hAnsi="Franklin Gothic Book" w:cs="Times New Roman"/>
          <w:sz w:val="18"/>
          <w:szCs w:val="18"/>
        </w:rPr>
        <w:t xml:space="preserve"> for description of the HPC’s methodology.</w:t>
      </w:r>
      <w:r w:rsidR="00052C0E" w:rsidRPr="009C0C39">
        <w:rPr>
          <w:rFonts w:ascii="Franklin Gothic Book" w:hAnsi="Franklin Gothic Book" w:cs="Times New Roman"/>
          <w:sz w:val="18"/>
          <w:szCs w:val="18"/>
        </w:rPr>
        <w:t xml:space="preserve"> </w:t>
      </w:r>
      <w:bookmarkEnd w:id="67"/>
      <w:r w:rsidRPr="009C0C39">
        <w:rPr>
          <w:rFonts w:ascii="Franklin Gothic Book" w:hAnsi="Franklin Gothic Book" w:cs="Times New Roman"/>
          <w:sz w:val="18"/>
          <w:szCs w:val="18"/>
        </w:rPr>
        <w:t>CPT codes shown represent the highest volume outpatient diagnostic MRI codes for Massachusetts commercial patients.</w:t>
      </w:r>
    </w:p>
    <w:p w14:paraId="1AE75A61" w14:textId="77777777" w:rsidR="00FA1DCD" w:rsidRPr="009C0C39" w:rsidRDefault="00FA1DCD" w:rsidP="006C24FB">
      <w:pPr>
        <w:keepLines/>
        <w:rPr>
          <w:rFonts w:ascii="Franklin Gothic Book" w:hAnsi="Franklin Gothic Book" w:cs="Times New Roman"/>
          <w:sz w:val="22"/>
          <w:szCs w:val="22"/>
        </w:rPr>
      </w:pPr>
    </w:p>
    <w:p w14:paraId="6EC694D8" w14:textId="47A3B3A4" w:rsidR="008377B6" w:rsidRPr="009C0C39" w:rsidRDefault="008377B6" w:rsidP="00FA1DCD">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spending impacts of patients seeking care at the proposed ambulatory sites </w:t>
      </w:r>
      <w:r w:rsidR="00220E93" w:rsidRPr="009C0C39">
        <w:rPr>
          <w:rFonts w:ascii="Franklin Gothic Book" w:hAnsi="Franklin Gothic Book" w:cs="Times New Roman"/>
          <w:sz w:val="22"/>
          <w:szCs w:val="22"/>
        </w:rPr>
        <w:t xml:space="preserve">would </w:t>
      </w:r>
      <w:r w:rsidRPr="009C0C39">
        <w:rPr>
          <w:rFonts w:ascii="Franklin Gothic Book" w:hAnsi="Franklin Gothic Book" w:cs="Times New Roman"/>
          <w:sz w:val="22"/>
          <w:szCs w:val="22"/>
        </w:rPr>
        <w:t xml:space="preserve">depend on the mix of existing providers that would have otherwise provided that care. MGB’s application suggests that virtually all of the proposed ambulatory service capacity would be filled by patients who would otherwise have received care at </w:t>
      </w:r>
      <w:r w:rsidR="00C34842" w:rsidRPr="009C0C39">
        <w:rPr>
          <w:rFonts w:ascii="Franklin Gothic Book" w:hAnsi="Franklin Gothic Book" w:cs="Times New Roman"/>
          <w:sz w:val="22"/>
          <w:szCs w:val="22"/>
        </w:rPr>
        <w:t xml:space="preserve">an MGB </w:t>
      </w:r>
      <w:r w:rsidRPr="009C0C39">
        <w:rPr>
          <w:rFonts w:ascii="Franklin Gothic Book" w:hAnsi="Franklin Gothic Book" w:cs="Times New Roman"/>
          <w:sz w:val="22"/>
          <w:szCs w:val="22"/>
        </w:rPr>
        <w:t>hospital,</w:t>
      </w:r>
      <w:r w:rsidRPr="009C0C39">
        <w:rPr>
          <w:rStyle w:val="FootnoteReference"/>
          <w:rFonts w:ascii="Franklin Gothic Book" w:hAnsi="Franklin Gothic Book" w:cs="Times New Roman"/>
          <w:sz w:val="22"/>
          <w:szCs w:val="22"/>
        </w:rPr>
        <w:footnoteReference w:id="73"/>
      </w:r>
      <w:r w:rsidRPr="009C0C39">
        <w:rPr>
          <w:rFonts w:ascii="Franklin Gothic Book" w:hAnsi="Franklin Gothic Book" w:cs="Times New Roman"/>
          <w:sz w:val="22"/>
          <w:szCs w:val="22"/>
        </w:rPr>
        <w:t xml:space="preserve"> estimating commercial savings of $7.9 million for every thousand ambulatory surgery patients and $1.75 million for every thousand CT and MRI scans provided at the proposed ambulatory sites instead of one of its other facilities.</w:t>
      </w:r>
      <w:r w:rsidRPr="009C0C39">
        <w:rPr>
          <w:rStyle w:val="FootnoteReference"/>
          <w:rFonts w:ascii="Franklin Gothic Book" w:hAnsi="Franklin Gothic Book" w:cs="Times New Roman"/>
          <w:sz w:val="22"/>
          <w:szCs w:val="22"/>
        </w:rPr>
        <w:footnoteReference w:id="74"/>
      </w:r>
      <w:r w:rsidRPr="009C0C39">
        <w:rPr>
          <w:rFonts w:ascii="Franklin Gothic Book" w:hAnsi="Franklin Gothic Book" w:cs="Times New Roman"/>
          <w:sz w:val="22"/>
          <w:szCs w:val="22"/>
        </w:rPr>
        <w:t xml:space="preserve"> MGB refers to consumer research informing its projections, but does not reference </w:t>
      </w:r>
      <w:r w:rsidRPr="009C0C39">
        <w:rPr>
          <w:rFonts w:ascii="Franklin Gothic Book" w:hAnsi="Franklin Gothic Book" w:cs="Times New Roman"/>
          <w:sz w:val="22"/>
          <w:szCs w:val="22"/>
        </w:rPr>
        <w:lastRenderedPageBreak/>
        <w:t>assessments of actual site of care choices by patients living near MGB’s many existing ambulatory sites.</w:t>
      </w:r>
      <w:bookmarkStart w:id="68" w:name="_Ref90844473"/>
      <w:r w:rsidRPr="009C0C39">
        <w:rPr>
          <w:rStyle w:val="FootnoteReference"/>
          <w:rFonts w:ascii="Franklin Gothic Book" w:hAnsi="Franklin Gothic Book" w:cs="Times New Roman"/>
          <w:sz w:val="22"/>
          <w:szCs w:val="22"/>
        </w:rPr>
        <w:footnoteReference w:id="75"/>
      </w:r>
      <w:bookmarkEnd w:id="68"/>
    </w:p>
    <w:p w14:paraId="5349061F" w14:textId="334A7AB5" w:rsidR="008377B6" w:rsidRPr="009C0C39" w:rsidRDefault="008377B6" w:rsidP="00FA1DCD">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To assess the likelihood that the patients at the new ambulatory sites would </w:t>
      </w:r>
      <w:r w:rsidR="00DF427E" w:rsidRPr="009C0C39">
        <w:rPr>
          <w:rFonts w:ascii="Franklin Gothic Book" w:hAnsi="Franklin Gothic Book" w:cs="Times New Roman"/>
          <w:sz w:val="22"/>
          <w:szCs w:val="22"/>
        </w:rPr>
        <w:t xml:space="preserve">only </w:t>
      </w:r>
      <w:r w:rsidRPr="009C0C39">
        <w:rPr>
          <w:rFonts w:ascii="Franklin Gothic Book" w:hAnsi="Franklin Gothic Book" w:cs="Times New Roman"/>
          <w:sz w:val="22"/>
          <w:szCs w:val="22"/>
        </w:rPr>
        <w:t xml:space="preserve">have otherwise used MGB’s </w:t>
      </w:r>
      <w:r w:rsidR="00C34842" w:rsidRPr="009C0C39">
        <w:rPr>
          <w:rFonts w:ascii="Franklin Gothic Book" w:hAnsi="Franklin Gothic Book" w:cs="Times New Roman"/>
          <w:sz w:val="22"/>
          <w:szCs w:val="22"/>
        </w:rPr>
        <w:t xml:space="preserve">more expensive </w:t>
      </w:r>
      <w:r w:rsidRPr="009C0C39">
        <w:rPr>
          <w:rFonts w:ascii="Franklin Gothic Book" w:hAnsi="Franklin Gothic Book" w:cs="Times New Roman"/>
          <w:sz w:val="22"/>
          <w:szCs w:val="22"/>
        </w:rPr>
        <w:t>HOPDs, the HPC analyzed utilization patterns of patients with MGB PCPs living within 10 minutes of MGB’s existing clinic-licensed CT and MRI service in Waltham. When those patients used an MGB provider for outpatient CT and MR imaging, they used the clinic site only 27% of the time, with most of the rest of their advanced imaging provided at MGB hospitals.</w:t>
      </w:r>
      <w:bookmarkStart w:id="70" w:name="_Ref92636402"/>
      <w:r w:rsidRPr="009C0C39">
        <w:rPr>
          <w:rStyle w:val="FootnoteReference"/>
          <w:rFonts w:ascii="Franklin Gothic Book" w:hAnsi="Franklin Gothic Book" w:cs="Times New Roman"/>
          <w:sz w:val="22"/>
          <w:szCs w:val="22"/>
        </w:rPr>
        <w:footnoteReference w:id="76"/>
      </w:r>
      <w:bookmarkEnd w:id="70"/>
      <w:r w:rsidRPr="009C0C39">
        <w:rPr>
          <w:rFonts w:ascii="Franklin Gothic Book" w:hAnsi="Franklin Gothic Book" w:cs="Times New Roman"/>
          <w:sz w:val="22"/>
          <w:szCs w:val="22"/>
        </w:rPr>
        <w:t xml:space="preserve"> In the four years of data the HPC examined, there was no decrease in the volume of scans provided at any MGB hospital for </w:t>
      </w:r>
      <w:r w:rsidR="00853AF7">
        <w:rPr>
          <w:rFonts w:ascii="Franklin Gothic Book" w:hAnsi="Franklin Gothic Book" w:cs="Times New Roman"/>
          <w:sz w:val="22"/>
          <w:szCs w:val="22"/>
        </w:rPr>
        <w:t xml:space="preserve">commercial </w:t>
      </w:r>
      <w:r w:rsidRPr="009C0C39">
        <w:rPr>
          <w:rFonts w:ascii="Franklin Gothic Book" w:hAnsi="Franklin Gothic Book" w:cs="Times New Roman"/>
          <w:sz w:val="22"/>
          <w:szCs w:val="22"/>
        </w:rPr>
        <w:t>patients from the area around the Waltham clinic. Given this historic experience, as well as the number of other providers serving substantial shares of patients in the proposed service areas, the HPC considers it unlikely that the proposed capacity at MGB’s outpatient sites would be filled by volume shifting only from MGB’s hospitals. It is more likely that capacity at the new ambulatory sites would be filled by volume shifting from other area providers, including MGB sites.</w:t>
      </w:r>
      <w:r w:rsidRPr="009C0C39">
        <w:rPr>
          <w:rStyle w:val="FootnoteReference"/>
          <w:rFonts w:ascii="Franklin Gothic Book" w:hAnsi="Franklin Gothic Book" w:cs="Times New Roman"/>
          <w:sz w:val="22"/>
          <w:szCs w:val="22"/>
        </w:rPr>
        <w:footnoteReference w:id="77"/>
      </w:r>
      <w:r w:rsidRPr="009C0C39">
        <w:rPr>
          <w:rFonts w:ascii="Franklin Gothic Book" w:hAnsi="Franklin Gothic Book" w:cs="Times New Roman"/>
          <w:sz w:val="22"/>
          <w:szCs w:val="22"/>
        </w:rPr>
        <w:t xml:space="preserve"> The HPC modeled potential impacts on commercial spending per case shifted to the proposed ambulatory sites under four scenarios based on different assumptions about where care would </w:t>
      </w:r>
      <w:r w:rsidR="0055213C" w:rsidRPr="009C0C39">
        <w:rPr>
          <w:rFonts w:ascii="Franklin Gothic Book" w:hAnsi="Franklin Gothic Book" w:cs="Times New Roman"/>
          <w:sz w:val="22"/>
          <w:szCs w:val="22"/>
        </w:rPr>
        <w:t xml:space="preserve">otherwise </w:t>
      </w:r>
      <w:r w:rsidRPr="009C0C39">
        <w:rPr>
          <w:rFonts w:ascii="Franklin Gothic Book" w:hAnsi="Franklin Gothic Book" w:cs="Times New Roman"/>
          <w:sz w:val="22"/>
          <w:szCs w:val="22"/>
        </w:rPr>
        <w:t>have been provided, as shown below.</w:t>
      </w:r>
      <w:bookmarkStart w:id="72" w:name="_Ref92573529"/>
      <w:r w:rsidRPr="009C0C39">
        <w:rPr>
          <w:rStyle w:val="FootnoteReference"/>
          <w:rFonts w:ascii="Franklin Gothic Book" w:hAnsi="Franklin Gothic Book" w:cs="Times New Roman"/>
          <w:sz w:val="22"/>
          <w:szCs w:val="22"/>
        </w:rPr>
        <w:footnoteReference w:id="78"/>
      </w:r>
      <w:bookmarkEnd w:id="72"/>
      <w:r w:rsidRPr="009C0C39">
        <w:rPr>
          <w:rFonts w:ascii="Franklin Gothic Book" w:hAnsi="Franklin Gothic Book" w:cs="Times New Roman"/>
          <w:sz w:val="22"/>
          <w:szCs w:val="22"/>
        </w:rPr>
        <w:t xml:space="preserve"> In no scenario, including care coming solely from MGB HOPDs, can the HPC identify potential savings per case as great as </w:t>
      </w:r>
      <w:r w:rsidR="0055213C" w:rsidRPr="009C0C39">
        <w:rPr>
          <w:rFonts w:ascii="Franklin Gothic Book" w:hAnsi="Franklin Gothic Book" w:cs="Times New Roman"/>
          <w:sz w:val="22"/>
          <w:szCs w:val="22"/>
        </w:rPr>
        <w:t xml:space="preserve">that </w:t>
      </w:r>
      <w:r w:rsidRPr="009C0C39">
        <w:rPr>
          <w:rFonts w:ascii="Franklin Gothic Book" w:hAnsi="Franklin Gothic Book" w:cs="Times New Roman"/>
          <w:sz w:val="22"/>
          <w:szCs w:val="22"/>
        </w:rPr>
        <w:t>suggested in MGB’s application.</w:t>
      </w:r>
      <w:r w:rsidRPr="009C0C39">
        <w:rPr>
          <w:rStyle w:val="FootnoteReference"/>
          <w:rFonts w:ascii="Franklin Gothic Book" w:hAnsi="Franklin Gothic Book" w:cs="Times New Roman"/>
          <w:sz w:val="22"/>
          <w:szCs w:val="22"/>
        </w:rPr>
        <w:footnoteReference w:id="79"/>
      </w:r>
      <w:r w:rsidRPr="009C0C39">
        <w:rPr>
          <w:rFonts w:ascii="Franklin Gothic Book" w:hAnsi="Franklin Gothic Book" w:cs="Times New Roman"/>
          <w:sz w:val="22"/>
          <w:szCs w:val="22"/>
        </w:rPr>
        <w:t xml:space="preserve"> The estimated percent savings per case under the HPC’s proportional model generally aligns with the percent savings per case for commercial patients predicted by the market-based diversion model used in the Ambulatory ICA.</w:t>
      </w:r>
      <w:r w:rsidRPr="009C0C39">
        <w:rPr>
          <w:rStyle w:val="FootnoteReference"/>
          <w:rFonts w:ascii="Franklin Gothic Book" w:hAnsi="Franklin Gothic Book" w:cs="Times New Roman"/>
          <w:sz w:val="22"/>
          <w:szCs w:val="22"/>
        </w:rPr>
        <w:footnoteReference w:id="80"/>
      </w:r>
      <w:r w:rsidRPr="009C0C39">
        <w:rPr>
          <w:rFonts w:ascii="Franklin Gothic Book" w:hAnsi="Franklin Gothic Book" w:cs="Times New Roman"/>
          <w:sz w:val="22"/>
          <w:szCs w:val="22"/>
        </w:rPr>
        <w:t xml:space="preserve"> </w:t>
      </w:r>
    </w:p>
    <w:p w14:paraId="5467E952" w14:textId="12D9ABDF" w:rsidR="008377B6" w:rsidRPr="009C0C39" w:rsidRDefault="008377B6" w:rsidP="002C3619">
      <w:pPr>
        <w:spacing w:after="160" w:line="259" w:lineRule="auto"/>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Commercial Spending Impacts per Case at Proposed Ambulatory Sites</w:t>
      </w:r>
    </w:p>
    <w:tbl>
      <w:tblPr>
        <w:tblW w:w="5000" w:type="pct"/>
        <w:tblCellMar>
          <w:top w:w="29" w:type="dxa"/>
          <w:left w:w="72" w:type="dxa"/>
          <w:bottom w:w="29" w:type="dxa"/>
          <w:right w:w="72" w:type="dxa"/>
        </w:tblCellMar>
        <w:tblLook w:val="0420" w:firstRow="1" w:lastRow="0" w:firstColumn="0" w:lastColumn="0" w:noHBand="0" w:noVBand="1"/>
      </w:tblPr>
      <w:tblGrid>
        <w:gridCol w:w="1006"/>
        <w:gridCol w:w="4564"/>
        <w:gridCol w:w="1351"/>
        <w:gridCol w:w="1182"/>
        <w:gridCol w:w="1237"/>
      </w:tblGrid>
      <w:tr w:rsidR="00C26731" w:rsidRPr="009C0C39" w14:paraId="3BABD7AF" w14:textId="77777777" w:rsidTr="00D62328">
        <w:trPr>
          <w:trHeight w:val="525"/>
        </w:trPr>
        <w:tc>
          <w:tcPr>
            <w:tcW w:w="539" w:type="pct"/>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316EBF7D" w14:textId="77777777" w:rsidR="008377B6" w:rsidRPr="00333D38" w:rsidRDefault="008377B6" w:rsidP="00DC20B0">
            <w:pPr>
              <w:rPr>
                <w:rFonts w:ascii="Franklin Gothic Demi Cond" w:eastAsia="Times New Roman" w:hAnsi="Franklin Gothic Demi Cond" w:cs="Times New Roman"/>
                <w:sz w:val="22"/>
                <w:szCs w:val="22"/>
              </w:rPr>
            </w:pPr>
          </w:p>
        </w:tc>
        <w:tc>
          <w:tcPr>
            <w:tcW w:w="2443" w:type="pct"/>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00B4E9F1" w14:textId="77777777" w:rsidR="008377B6" w:rsidRPr="00333D38" w:rsidRDefault="008377B6" w:rsidP="00DC20B0">
            <w:pPr>
              <w:rPr>
                <w:rFonts w:ascii="Franklin Gothic Demi Cond" w:eastAsia="Times New Roman" w:hAnsi="Franklin Gothic Demi Cond" w:cs="Times New Roman"/>
                <w:sz w:val="22"/>
                <w:szCs w:val="22"/>
              </w:rPr>
            </w:pPr>
            <w:r w:rsidRPr="00333D38">
              <w:rPr>
                <w:rFonts w:ascii="Franklin Gothic Demi Cond" w:eastAsia="Times New Roman" w:hAnsi="Franklin Gothic Demi Cond" w:cs="Times New Roman"/>
                <w:sz w:val="22"/>
                <w:szCs w:val="22"/>
              </w:rPr>
              <w:t>Patient Origin Scenario</w:t>
            </w:r>
          </w:p>
        </w:tc>
        <w:tc>
          <w:tcPr>
            <w:tcW w:w="723" w:type="pct"/>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hideMark/>
          </w:tcPr>
          <w:p w14:paraId="377F79A0" w14:textId="77777777" w:rsidR="008377B6" w:rsidRPr="00333D38" w:rsidRDefault="008377B6" w:rsidP="00DC20B0">
            <w:pPr>
              <w:jc w:val="center"/>
              <w:rPr>
                <w:rFonts w:ascii="Franklin Gothic Demi Cond" w:eastAsia="Times New Roman" w:hAnsi="Franklin Gothic Demi Cond" w:cs="Times New Roman"/>
                <w:sz w:val="22"/>
                <w:szCs w:val="22"/>
              </w:rPr>
            </w:pPr>
            <w:r w:rsidRPr="00333D38">
              <w:rPr>
                <w:rFonts w:ascii="Franklin Gothic Demi Cond" w:eastAsia="Times New Roman" w:hAnsi="Franklin Gothic Demi Cond" w:cs="Times New Roman"/>
                <w:color w:val="FFFFFF" w:themeColor="light1"/>
                <w:kern w:val="24"/>
                <w:sz w:val="22"/>
                <w:szCs w:val="22"/>
              </w:rPr>
              <w:t>CT scans</w:t>
            </w:r>
          </w:p>
        </w:tc>
        <w:tc>
          <w:tcPr>
            <w:tcW w:w="633" w:type="pct"/>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hideMark/>
          </w:tcPr>
          <w:p w14:paraId="3069B602" w14:textId="77777777" w:rsidR="008377B6" w:rsidRPr="00333D38" w:rsidRDefault="008377B6" w:rsidP="00DC20B0">
            <w:pPr>
              <w:jc w:val="center"/>
              <w:rPr>
                <w:rFonts w:ascii="Franklin Gothic Demi Cond" w:eastAsia="Times New Roman" w:hAnsi="Franklin Gothic Demi Cond" w:cs="Times New Roman"/>
                <w:sz w:val="22"/>
                <w:szCs w:val="22"/>
              </w:rPr>
            </w:pPr>
            <w:r w:rsidRPr="00333D38">
              <w:rPr>
                <w:rFonts w:ascii="Franklin Gothic Demi Cond" w:eastAsia="Times New Roman" w:hAnsi="Franklin Gothic Demi Cond" w:cs="Times New Roman"/>
                <w:color w:val="FFFFFF" w:themeColor="light1"/>
                <w:kern w:val="24"/>
                <w:sz w:val="22"/>
                <w:szCs w:val="22"/>
              </w:rPr>
              <w:t>MRI scans</w:t>
            </w:r>
          </w:p>
        </w:tc>
        <w:tc>
          <w:tcPr>
            <w:tcW w:w="662" w:type="pct"/>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hideMark/>
          </w:tcPr>
          <w:p w14:paraId="62784996" w14:textId="77777777" w:rsidR="008377B6" w:rsidRPr="00333D38" w:rsidRDefault="008377B6" w:rsidP="00DC20B0">
            <w:pPr>
              <w:jc w:val="center"/>
              <w:rPr>
                <w:rFonts w:ascii="Franklin Gothic Demi Cond" w:eastAsia="Times New Roman" w:hAnsi="Franklin Gothic Demi Cond" w:cs="Times New Roman"/>
                <w:sz w:val="22"/>
                <w:szCs w:val="22"/>
              </w:rPr>
            </w:pPr>
            <w:r w:rsidRPr="00333D38">
              <w:rPr>
                <w:rFonts w:ascii="Franklin Gothic Demi Cond" w:eastAsia="Times New Roman" w:hAnsi="Franklin Gothic Demi Cond" w:cs="Times New Roman"/>
                <w:color w:val="FFFFFF" w:themeColor="light1"/>
                <w:kern w:val="24"/>
                <w:sz w:val="22"/>
                <w:szCs w:val="22"/>
              </w:rPr>
              <w:t>Ambulatory surgeries</w:t>
            </w:r>
          </w:p>
        </w:tc>
      </w:tr>
      <w:tr w:rsidR="008377B6" w:rsidRPr="009C0C39" w14:paraId="375F6DFA" w14:textId="77777777" w:rsidTr="00D62328">
        <w:trPr>
          <w:trHeight w:val="183"/>
        </w:trPr>
        <w:tc>
          <w:tcPr>
            <w:tcW w:w="2982" w:type="pct"/>
            <w:gridSpan w:val="2"/>
            <w:tcBorders>
              <w:top w:val="single" w:sz="24" w:space="0" w:color="FFFFFF"/>
              <w:left w:val="single" w:sz="8" w:space="0" w:color="FFFFFF"/>
              <w:bottom w:val="single" w:sz="8" w:space="0" w:color="FFFFFF"/>
              <w:right w:val="single" w:sz="8" w:space="0" w:color="FFFFFF"/>
            </w:tcBorders>
            <w:shd w:val="clear" w:color="auto" w:fill="FCE0D4" w:themeFill="accent2" w:themeFillTint="33"/>
            <w:tcMar>
              <w:top w:w="72" w:type="dxa"/>
              <w:left w:w="144" w:type="dxa"/>
              <w:bottom w:w="72" w:type="dxa"/>
              <w:right w:w="144" w:type="dxa"/>
            </w:tcMar>
            <w:vAlign w:val="center"/>
          </w:tcPr>
          <w:p w14:paraId="4A7E2665" w14:textId="77777777" w:rsidR="008377B6" w:rsidRPr="009C0C39" w:rsidRDefault="008377B6" w:rsidP="00DC20B0">
            <w:pPr>
              <w:rPr>
                <w:rFonts w:ascii="Franklin Gothic Book" w:eastAsia="Times New Roman" w:hAnsi="Franklin Gothic Book" w:cs="Times New Roman"/>
                <w:color w:val="000000" w:themeColor="dark1"/>
                <w:kern w:val="24"/>
                <w:sz w:val="22"/>
                <w:szCs w:val="22"/>
              </w:rPr>
            </w:pPr>
            <w:r w:rsidRPr="009C0C39">
              <w:rPr>
                <w:rFonts w:ascii="Franklin Gothic Book" w:eastAsia="Times New Roman" w:hAnsi="Franklin Gothic Book" w:cs="Times New Roman"/>
                <w:color w:val="000000" w:themeColor="dark1"/>
                <w:kern w:val="24"/>
                <w:sz w:val="22"/>
                <w:szCs w:val="22"/>
              </w:rPr>
              <w:t>MGB claimed savings per case</w:t>
            </w:r>
            <w:r w:rsidRPr="009C0C39">
              <w:rPr>
                <w:rFonts w:ascii="Franklin Gothic Book" w:eastAsia="Times New Roman" w:hAnsi="Franklin Gothic Book" w:cs="Times New Roman"/>
                <w:b/>
                <w:bCs/>
                <w:color w:val="000000" w:themeColor="dark1"/>
                <w:kern w:val="24"/>
                <w:sz w:val="22"/>
                <w:szCs w:val="22"/>
              </w:rPr>
              <w:t xml:space="preserve"> </w:t>
            </w:r>
            <w:r w:rsidRPr="009C0C39">
              <w:rPr>
                <w:rFonts w:ascii="Franklin Gothic Book" w:eastAsia="Times New Roman" w:hAnsi="Franklin Gothic Book" w:cs="Times New Roman"/>
                <w:color w:val="000000" w:themeColor="dark1"/>
                <w:kern w:val="24"/>
                <w:sz w:val="22"/>
                <w:szCs w:val="22"/>
              </w:rPr>
              <w:t>(DoN application)</w:t>
            </w:r>
          </w:p>
        </w:tc>
        <w:tc>
          <w:tcPr>
            <w:tcW w:w="1356" w:type="pct"/>
            <w:gridSpan w:val="2"/>
            <w:tcBorders>
              <w:top w:val="single" w:sz="8" w:space="0" w:color="FFFFFF"/>
              <w:left w:val="single" w:sz="8" w:space="0" w:color="FFFFFF"/>
              <w:bottom w:val="single" w:sz="24" w:space="0" w:color="FFFFFF"/>
              <w:right w:val="single" w:sz="8" w:space="0" w:color="FFFFFF"/>
            </w:tcBorders>
            <w:shd w:val="clear" w:color="auto" w:fill="FCE0D4" w:themeFill="accent2" w:themeFillTint="33"/>
            <w:tcMar>
              <w:top w:w="72" w:type="dxa"/>
              <w:left w:w="144" w:type="dxa"/>
              <w:bottom w:w="72" w:type="dxa"/>
              <w:right w:w="144" w:type="dxa"/>
            </w:tcMar>
            <w:vAlign w:val="center"/>
          </w:tcPr>
          <w:p w14:paraId="6493D804" w14:textId="77777777" w:rsidR="008377B6" w:rsidRPr="009C0C39" w:rsidRDefault="008377B6" w:rsidP="00DC20B0">
            <w:pPr>
              <w:jc w:val="center"/>
              <w:rPr>
                <w:rFonts w:ascii="Franklin Gothic Book" w:eastAsia="Times New Roman" w:hAnsi="Franklin Gothic Book" w:cs="Times New Roman"/>
                <w:color w:val="FF0000"/>
                <w:kern w:val="24"/>
                <w:sz w:val="22"/>
                <w:szCs w:val="22"/>
              </w:rPr>
            </w:pPr>
            <w:r w:rsidRPr="009C0C39">
              <w:rPr>
                <w:rFonts w:ascii="Franklin Gothic Book" w:hAnsi="Franklin Gothic Book" w:cs="Times New Roman"/>
                <w:color w:val="FF0000"/>
                <w:kern w:val="24"/>
                <w:sz w:val="22"/>
                <w:szCs w:val="22"/>
              </w:rPr>
              <w:t>-$1,750</w:t>
            </w:r>
          </w:p>
        </w:tc>
        <w:tc>
          <w:tcPr>
            <w:tcW w:w="662" w:type="pct"/>
            <w:tcBorders>
              <w:top w:val="single" w:sz="8" w:space="0" w:color="FFFFFF"/>
              <w:left w:val="single" w:sz="8" w:space="0" w:color="FFFFFF"/>
              <w:bottom w:val="single" w:sz="24" w:space="0" w:color="FFFFFF"/>
              <w:right w:val="single" w:sz="8" w:space="0" w:color="FFFFFF"/>
            </w:tcBorders>
            <w:shd w:val="clear" w:color="auto" w:fill="FCE0D4" w:themeFill="accent2" w:themeFillTint="33"/>
            <w:tcMar>
              <w:top w:w="72" w:type="dxa"/>
              <w:left w:w="144" w:type="dxa"/>
              <w:bottom w:w="72" w:type="dxa"/>
              <w:right w:w="144" w:type="dxa"/>
            </w:tcMar>
            <w:vAlign w:val="center"/>
          </w:tcPr>
          <w:p w14:paraId="16D2FDCD" w14:textId="77777777" w:rsidR="008377B6" w:rsidRPr="009C0C39" w:rsidRDefault="008377B6" w:rsidP="00DC20B0">
            <w:pPr>
              <w:jc w:val="center"/>
              <w:rPr>
                <w:rFonts w:ascii="Franklin Gothic Book" w:eastAsia="Times New Roman" w:hAnsi="Franklin Gothic Book" w:cs="Times New Roman"/>
                <w:color w:val="FF0000"/>
                <w:kern w:val="24"/>
                <w:sz w:val="22"/>
                <w:szCs w:val="22"/>
              </w:rPr>
            </w:pPr>
            <w:r w:rsidRPr="009C0C39">
              <w:rPr>
                <w:rFonts w:ascii="Franklin Gothic Book" w:hAnsi="Franklin Gothic Book" w:cs="Times New Roman"/>
                <w:color w:val="FF0000"/>
                <w:kern w:val="24"/>
                <w:sz w:val="22"/>
                <w:szCs w:val="22"/>
              </w:rPr>
              <w:t>-$7,900</w:t>
            </w:r>
          </w:p>
        </w:tc>
      </w:tr>
      <w:tr w:rsidR="00C26731" w:rsidRPr="009C0C39" w14:paraId="64797790" w14:textId="77777777" w:rsidTr="00D62328">
        <w:trPr>
          <w:trHeight w:val="588"/>
        </w:trPr>
        <w:tc>
          <w:tcPr>
            <w:tcW w:w="539" w:type="pct"/>
            <w:vMerge w:val="restart"/>
            <w:tcBorders>
              <w:top w:val="single" w:sz="24" w:space="0" w:color="FFFFFF"/>
              <w:left w:val="single" w:sz="8" w:space="0" w:color="FFFFFF"/>
              <w:right w:val="single" w:sz="8" w:space="0" w:color="FFFFFF"/>
            </w:tcBorders>
            <w:shd w:val="clear" w:color="auto" w:fill="04243A" w:themeFill="accent1" w:themeFillShade="80"/>
            <w:tcMar>
              <w:top w:w="72" w:type="dxa"/>
              <w:left w:w="144" w:type="dxa"/>
              <w:bottom w:w="72" w:type="dxa"/>
              <w:right w:w="144" w:type="dxa"/>
            </w:tcMar>
            <w:textDirection w:val="btLr"/>
            <w:vAlign w:val="center"/>
            <w:hideMark/>
          </w:tcPr>
          <w:p w14:paraId="630AD4C1" w14:textId="77777777" w:rsidR="008377B6" w:rsidRPr="00333D38" w:rsidRDefault="008377B6" w:rsidP="00DC20B0">
            <w:pPr>
              <w:jc w:val="center"/>
              <w:rPr>
                <w:rFonts w:ascii="Franklin Gothic Demi Cond" w:eastAsia="Times New Roman" w:hAnsi="Franklin Gothic Demi Cond" w:cs="Times New Roman"/>
                <w:sz w:val="22"/>
                <w:szCs w:val="22"/>
              </w:rPr>
            </w:pPr>
            <w:r w:rsidRPr="00333D38">
              <w:rPr>
                <w:rFonts w:ascii="Franklin Gothic Demi Cond" w:eastAsia="Times New Roman" w:hAnsi="Franklin Gothic Demi Cond" w:cs="Times New Roman"/>
                <w:color w:val="FFFFFF" w:themeColor="background1"/>
                <w:kern w:val="24"/>
                <w:sz w:val="22"/>
                <w:szCs w:val="22"/>
              </w:rPr>
              <w:lastRenderedPageBreak/>
              <w:t>HPC modeling</w:t>
            </w:r>
          </w:p>
        </w:tc>
        <w:tc>
          <w:tcPr>
            <w:tcW w:w="2443" w:type="pct"/>
            <w:tcBorders>
              <w:top w:val="single" w:sz="24" w:space="0" w:color="FFFFFF"/>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3190CE26"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themeColor="dark1"/>
                <w:kern w:val="24"/>
                <w:sz w:val="22"/>
                <w:szCs w:val="22"/>
              </w:rPr>
              <w:t>All care diverted from MGB hospitals, not accounting for backfilled cases (MGB claim)</w:t>
            </w:r>
          </w:p>
        </w:tc>
        <w:tc>
          <w:tcPr>
            <w:tcW w:w="723" w:type="pct"/>
            <w:tcBorders>
              <w:top w:val="single" w:sz="24" w:space="0" w:color="FFFFFF"/>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1B416013"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-$221</w:t>
            </w:r>
          </w:p>
        </w:tc>
        <w:tc>
          <w:tcPr>
            <w:tcW w:w="633" w:type="pct"/>
            <w:tcBorders>
              <w:top w:val="single" w:sz="24" w:space="0" w:color="FFFFFF"/>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360F6B54"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-$402</w:t>
            </w:r>
          </w:p>
        </w:tc>
        <w:tc>
          <w:tcPr>
            <w:tcW w:w="662" w:type="pct"/>
            <w:tcBorders>
              <w:top w:val="single" w:sz="24" w:space="0" w:color="FFFFFF"/>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089558B9"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-$691</w:t>
            </w:r>
          </w:p>
        </w:tc>
      </w:tr>
      <w:tr w:rsidR="00C26731" w:rsidRPr="009C0C39" w14:paraId="08D43443" w14:textId="77777777" w:rsidTr="00D62328">
        <w:trPr>
          <w:trHeight w:val="20"/>
        </w:trPr>
        <w:tc>
          <w:tcPr>
            <w:tcW w:w="539" w:type="pct"/>
            <w:vMerge/>
            <w:tcBorders>
              <w:left w:val="single" w:sz="8" w:space="0" w:color="FFFFFF"/>
              <w:right w:val="single" w:sz="8" w:space="0" w:color="FFFFFF"/>
            </w:tcBorders>
            <w:shd w:val="clear" w:color="auto" w:fill="04243A" w:themeFill="accent1" w:themeFillShade="80"/>
            <w:vAlign w:val="center"/>
            <w:hideMark/>
          </w:tcPr>
          <w:p w14:paraId="22ECBEA8" w14:textId="77777777" w:rsidR="008377B6" w:rsidRPr="009C0C39" w:rsidRDefault="008377B6" w:rsidP="00DC20B0">
            <w:pPr>
              <w:rPr>
                <w:rFonts w:ascii="Franklin Gothic Book" w:eastAsia="Times New Roman" w:hAnsi="Franklin Gothic Book" w:cs="Times New Roman"/>
                <w:sz w:val="22"/>
                <w:szCs w:val="22"/>
              </w:rPr>
            </w:pPr>
          </w:p>
        </w:tc>
        <w:tc>
          <w:tcPr>
            <w:tcW w:w="2443" w:type="pct"/>
            <w:tcBorders>
              <w:top w:val="single" w:sz="4" w:space="0" w:color="F2682A" w:themeColor="accent2"/>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6F5B09B9"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themeColor="dark1"/>
                <w:kern w:val="24"/>
                <w:sz w:val="22"/>
                <w:szCs w:val="22"/>
              </w:rPr>
              <w:t>Care diverted proportionally from MGB and other current area providers</w:t>
            </w:r>
          </w:p>
        </w:tc>
        <w:tc>
          <w:tcPr>
            <w:tcW w:w="723" w:type="pct"/>
            <w:tcBorders>
              <w:top w:val="single" w:sz="4" w:space="0" w:color="F2682A" w:themeColor="accent2"/>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1290DE1E"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-$152</w:t>
            </w:r>
          </w:p>
        </w:tc>
        <w:tc>
          <w:tcPr>
            <w:tcW w:w="633" w:type="pct"/>
            <w:tcBorders>
              <w:top w:val="single" w:sz="4" w:space="0" w:color="F2682A" w:themeColor="accent2"/>
              <w:left w:val="single" w:sz="8" w:space="0" w:color="FFFFFF"/>
              <w:bottom w:val="single" w:sz="4" w:space="0" w:color="F2682A" w:themeColor="accent2"/>
              <w:right w:val="single" w:sz="8" w:space="0" w:color="FFFFFF"/>
            </w:tcBorders>
            <w:shd w:val="clear" w:color="auto" w:fill="B7DEF9" w:themeFill="accent1" w:themeFillTint="33"/>
            <w:tcMar>
              <w:top w:w="72" w:type="dxa"/>
              <w:left w:w="144" w:type="dxa"/>
              <w:bottom w:w="72" w:type="dxa"/>
              <w:right w:w="144" w:type="dxa"/>
            </w:tcMar>
            <w:vAlign w:val="center"/>
            <w:hideMark/>
          </w:tcPr>
          <w:p w14:paraId="5AA5EB8E"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-$309</w:t>
            </w:r>
          </w:p>
        </w:tc>
        <w:tc>
          <w:tcPr>
            <w:tcW w:w="662" w:type="pct"/>
            <w:tcBorders>
              <w:top w:val="single" w:sz="4" w:space="0" w:color="F2682A" w:themeColor="accent2"/>
              <w:left w:val="single" w:sz="8" w:space="0" w:color="FFFFFF"/>
              <w:bottom w:val="single" w:sz="4" w:space="0" w:color="F2682A" w:themeColor="accent2"/>
              <w:right w:val="single" w:sz="4" w:space="0" w:color="F2682A" w:themeColor="accent2"/>
            </w:tcBorders>
            <w:shd w:val="clear" w:color="auto" w:fill="B7DEF9" w:themeFill="accent1" w:themeFillTint="33"/>
            <w:tcMar>
              <w:top w:w="72" w:type="dxa"/>
              <w:left w:w="144" w:type="dxa"/>
              <w:bottom w:w="72" w:type="dxa"/>
              <w:right w:w="144" w:type="dxa"/>
            </w:tcMar>
            <w:vAlign w:val="center"/>
            <w:hideMark/>
          </w:tcPr>
          <w:p w14:paraId="2A4A8B71"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-$52</w:t>
            </w:r>
          </w:p>
        </w:tc>
      </w:tr>
      <w:tr w:rsidR="00C26731" w:rsidRPr="009C0C39" w14:paraId="153184EB" w14:textId="77777777" w:rsidTr="00D62328">
        <w:trPr>
          <w:trHeight w:val="260"/>
        </w:trPr>
        <w:tc>
          <w:tcPr>
            <w:tcW w:w="539" w:type="pct"/>
            <w:vMerge/>
            <w:tcBorders>
              <w:left w:val="single" w:sz="8" w:space="0" w:color="FFFFFF"/>
              <w:right w:val="single" w:sz="8" w:space="0" w:color="FFFFFF"/>
            </w:tcBorders>
            <w:shd w:val="clear" w:color="auto" w:fill="04243A" w:themeFill="accent1" w:themeFillShade="80"/>
            <w:vAlign w:val="center"/>
            <w:hideMark/>
          </w:tcPr>
          <w:p w14:paraId="4FE5A962" w14:textId="77777777" w:rsidR="008377B6" w:rsidRPr="009C0C39" w:rsidRDefault="008377B6" w:rsidP="00DC20B0">
            <w:pPr>
              <w:rPr>
                <w:rFonts w:ascii="Franklin Gothic Book" w:eastAsia="Times New Roman" w:hAnsi="Franklin Gothic Book" w:cs="Times New Roman"/>
                <w:sz w:val="22"/>
                <w:szCs w:val="22"/>
              </w:rPr>
            </w:pPr>
          </w:p>
        </w:tc>
        <w:tc>
          <w:tcPr>
            <w:tcW w:w="2443" w:type="pct"/>
            <w:tcBorders>
              <w:top w:val="single" w:sz="4" w:space="0" w:color="F2682A" w:themeColor="accent2"/>
              <w:left w:val="single" w:sz="8" w:space="0" w:color="FFFFFF"/>
              <w:bottom w:val="single" w:sz="8" w:space="0" w:color="FFFFFF"/>
              <w:right w:val="single" w:sz="8" w:space="0" w:color="FFFFFF"/>
            </w:tcBorders>
            <w:shd w:val="clear" w:color="auto" w:fill="B7DEF9" w:themeFill="accent1" w:themeFillTint="33"/>
            <w:tcMar>
              <w:top w:w="72" w:type="dxa"/>
              <w:left w:w="144" w:type="dxa"/>
              <w:bottom w:w="72" w:type="dxa"/>
              <w:right w:w="144" w:type="dxa"/>
            </w:tcMar>
            <w:vAlign w:val="center"/>
            <w:hideMark/>
          </w:tcPr>
          <w:p w14:paraId="389FF389"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hAnsi="Franklin Gothic Book" w:cs="Times New Roman"/>
                <w:color w:val="000000" w:themeColor="dark1"/>
                <w:kern w:val="24"/>
                <w:sz w:val="22"/>
                <w:szCs w:val="22"/>
              </w:rPr>
              <w:t>All care diverted from existing area providers except from MGB</w:t>
            </w:r>
          </w:p>
        </w:tc>
        <w:tc>
          <w:tcPr>
            <w:tcW w:w="723" w:type="pct"/>
            <w:tcBorders>
              <w:top w:val="single" w:sz="4" w:space="0" w:color="F2682A" w:themeColor="accent2"/>
              <w:left w:val="single" w:sz="8" w:space="0" w:color="FFFFFF"/>
              <w:bottom w:val="single" w:sz="8" w:space="0" w:color="FFFFFF"/>
              <w:right w:val="single" w:sz="8" w:space="0" w:color="FFFFFF"/>
            </w:tcBorders>
            <w:shd w:val="clear" w:color="auto" w:fill="B7DEF9" w:themeFill="accent1" w:themeFillTint="33"/>
            <w:tcMar>
              <w:top w:w="72" w:type="dxa"/>
              <w:left w:w="144" w:type="dxa"/>
              <w:bottom w:w="72" w:type="dxa"/>
              <w:right w:w="144" w:type="dxa"/>
            </w:tcMar>
            <w:vAlign w:val="center"/>
            <w:hideMark/>
          </w:tcPr>
          <w:p w14:paraId="6B4EADED"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-$128</w:t>
            </w:r>
          </w:p>
        </w:tc>
        <w:tc>
          <w:tcPr>
            <w:tcW w:w="633" w:type="pct"/>
            <w:tcBorders>
              <w:top w:val="single" w:sz="4" w:space="0" w:color="F2682A" w:themeColor="accent2"/>
              <w:left w:val="single" w:sz="8" w:space="0" w:color="FFFFFF"/>
              <w:bottom w:val="single" w:sz="8" w:space="0" w:color="FFFFFF"/>
              <w:right w:val="single" w:sz="8" w:space="0" w:color="FFFFFF"/>
            </w:tcBorders>
            <w:shd w:val="clear" w:color="auto" w:fill="B7DEF9" w:themeFill="accent1" w:themeFillTint="33"/>
            <w:tcMar>
              <w:top w:w="72" w:type="dxa"/>
              <w:left w:w="144" w:type="dxa"/>
              <w:bottom w:w="72" w:type="dxa"/>
              <w:right w:w="144" w:type="dxa"/>
            </w:tcMar>
            <w:vAlign w:val="center"/>
            <w:hideMark/>
          </w:tcPr>
          <w:p w14:paraId="44735129"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-$285</w:t>
            </w:r>
          </w:p>
        </w:tc>
        <w:tc>
          <w:tcPr>
            <w:tcW w:w="662" w:type="pct"/>
            <w:tcBorders>
              <w:top w:val="single" w:sz="4" w:space="0" w:color="F2682A" w:themeColor="accent2"/>
              <w:left w:val="single" w:sz="8" w:space="0" w:color="FFFFFF"/>
              <w:bottom w:val="single" w:sz="8" w:space="0" w:color="FFFFFF"/>
              <w:right w:val="single" w:sz="8" w:space="0" w:color="FFFFFF"/>
            </w:tcBorders>
            <w:shd w:val="clear" w:color="auto" w:fill="B7DEF9" w:themeFill="accent1" w:themeFillTint="33"/>
            <w:tcMar>
              <w:top w:w="72" w:type="dxa"/>
              <w:left w:w="144" w:type="dxa"/>
              <w:bottom w:w="72" w:type="dxa"/>
              <w:right w:w="144" w:type="dxa"/>
            </w:tcMar>
            <w:vAlign w:val="center"/>
            <w:hideMark/>
          </w:tcPr>
          <w:p w14:paraId="16FD79AC"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themeColor="dark1"/>
                <w:kern w:val="24"/>
                <w:sz w:val="22"/>
                <w:szCs w:val="22"/>
              </w:rPr>
              <w:t>+$463</w:t>
            </w:r>
          </w:p>
        </w:tc>
      </w:tr>
      <w:tr w:rsidR="00C26731" w:rsidRPr="009C0C39" w14:paraId="745CAB86" w14:textId="77777777" w:rsidTr="00D62328">
        <w:trPr>
          <w:trHeight w:val="865"/>
        </w:trPr>
        <w:tc>
          <w:tcPr>
            <w:tcW w:w="539" w:type="pct"/>
            <w:vMerge/>
            <w:tcBorders>
              <w:left w:val="single" w:sz="8" w:space="0" w:color="FFFFFF"/>
              <w:right w:val="single" w:sz="8" w:space="0" w:color="FFFFFF"/>
            </w:tcBorders>
            <w:shd w:val="clear" w:color="auto" w:fill="04243A" w:themeFill="accent1" w:themeFillShade="80"/>
            <w:vAlign w:val="center"/>
            <w:hideMark/>
          </w:tcPr>
          <w:p w14:paraId="27C4DF26" w14:textId="77777777" w:rsidR="008377B6" w:rsidRPr="009C0C39" w:rsidRDefault="008377B6" w:rsidP="00DC20B0">
            <w:pPr>
              <w:rPr>
                <w:rFonts w:ascii="Franklin Gothic Book" w:eastAsia="Times New Roman" w:hAnsi="Franklin Gothic Book" w:cs="Times New Roman"/>
                <w:sz w:val="22"/>
                <w:szCs w:val="22"/>
              </w:rPr>
            </w:pPr>
          </w:p>
        </w:tc>
        <w:tc>
          <w:tcPr>
            <w:tcW w:w="2443" w:type="pct"/>
            <w:tcBorders>
              <w:top w:val="single" w:sz="8" w:space="0" w:color="FFFFFF"/>
              <w:left w:val="single" w:sz="8" w:space="0" w:color="FFFFFF"/>
              <w:bottom w:val="single" w:sz="8" w:space="0" w:color="FFFFFF"/>
              <w:right w:val="single" w:sz="8" w:space="0" w:color="FFFFFF"/>
            </w:tcBorders>
            <w:shd w:val="clear" w:color="auto" w:fill="B7DEF9" w:themeFill="accent1" w:themeFillTint="33"/>
            <w:tcMar>
              <w:top w:w="15" w:type="dxa"/>
              <w:left w:w="144" w:type="dxa"/>
              <w:bottom w:w="0" w:type="dxa"/>
              <w:right w:w="144" w:type="dxa"/>
            </w:tcMar>
            <w:vAlign w:val="center"/>
            <w:hideMark/>
          </w:tcPr>
          <w:p w14:paraId="46B17BFD" w14:textId="2BC34620" w:rsidR="008377B6" w:rsidRPr="009C0C39" w:rsidRDefault="008377B6" w:rsidP="00DC20B0">
            <w:pPr>
              <w:textAlignment w:val="center"/>
              <w:rPr>
                <w:rFonts w:ascii="Franklin Gothic Book" w:eastAsia="Times New Roman" w:hAnsi="Franklin Gothic Book" w:cs="Times New Roman"/>
                <w:sz w:val="22"/>
                <w:szCs w:val="22"/>
              </w:rPr>
            </w:pPr>
            <w:r w:rsidRPr="009C0C39">
              <w:rPr>
                <w:rFonts w:ascii="Franklin Gothic Book" w:hAnsi="Franklin Gothic Book" w:cs="Times New Roman"/>
                <w:color w:val="000000" w:themeColor="dark1"/>
                <w:kern w:val="24"/>
                <w:sz w:val="22"/>
                <w:szCs w:val="22"/>
              </w:rPr>
              <w:t xml:space="preserve">Each </w:t>
            </w:r>
            <w:r w:rsidR="00C66E73" w:rsidRPr="009C0C39">
              <w:rPr>
                <w:rFonts w:ascii="Franklin Gothic Book" w:hAnsi="Franklin Gothic Book" w:cs="Times New Roman"/>
                <w:color w:val="000000" w:themeColor="dark1"/>
                <w:kern w:val="24"/>
                <w:sz w:val="22"/>
                <w:szCs w:val="22"/>
              </w:rPr>
              <w:t xml:space="preserve">net new </w:t>
            </w:r>
            <w:r w:rsidRPr="009C0C39">
              <w:rPr>
                <w:rFonts w:ascii="Franklin Gothic Book" w:hAnsi="Franklin Gothic Book" w:cs="Times New Roman"/>
                <w:color w:val="000000" w:themeColor="dark1"/>
                <w:kern w:val="24"/>
                <w:sz w:val="22"/>
                <w:szCs w:val="22"/>
              </w:rPr>
              <w:t xml:space="preserve">case at ambulatory sites </w:t>
            </w:r>
            <w:r w:rsidR="00C66E73" w:rsidRPr="009C0C39">
              <w:rPr>
                <w:rFonts w:ascii="Franklin Gothic Book" w:hAnsi="Franklin Gothic Book" w:cs="Times New Roman"/>
                <w:color w:val="000000" w:themeColor="dark1"/>
                <w:kern w:val="24"/>
                <w:sz w:val="22"/>
                <w:szCs w:val="22"/>
              </w:rPr>
              <w:t xml:space="preserve">(service </w:t>
            </w:r>
            <w:r w:rsidRPr="009C0C39">
              <w:rPr>
                <w:rFonts w:ascii="Franklin Gothic Book" w:hAnsi="Franklin Gothic Book" w:cs="Times New Roman"/>
                <w:color w:val="000000" w:themeColor="dark1"/>
                <w:kern w:val="24"/>
                <w:sz w:val="22"/>
                <w:szCs w:val="22"/>
              </w:rPr>
              <w:t>would not otherwise have been provided</w:t>
            </w:r>
            <w:r w:rsidR="00C66E73" w:rsidRPr="009C0C39">
              <w:rPr>
                <w:rFonts w:ascii="Franklin Gothic Book" w:hAnsi="Franklin Gothic Book" w:cs="Times New Roman"/>
                <w:color w:val="000000" w:themeColor="dark1"/>
                <w:kern w:val="24"/>
                <w:sz w:val="22"/>
                <w:szCs w:val="22"/>
              </w:rPr>
              <w:t>)</w:t>
            </w:r>
          </w:p>
        </w:tc>
        <w:tc>
          <w:tcPr>
            <w:tcW w:w="723" w:type="pct"/>
            <w:tcBorders>
              <w:top w:val="single" w:sz="8" w:space="0" w:color="FFFFFF"/>
              <w:left w:val="single" w:sz="8" w:space="0" w:color="FFFFFF"/>
              <w:bottom w:val="single" w:sz="8" w:space="0" w:color="FFFFFF"/>
              <w:right w:val="single" w:sz="8" w:space="0" w:color="FFFFFF"/>
            </w:tcBorders>
            <w:shd w:val="clear" w:color="auto" w:fill="B7DEF9" w:themeFill="accent1" w:themeFillTint="33"/>
            <w:tcMar>
              <w:top w:w="15" w:type="dxa"/>
              <w:left w:w="144" w:type="dxa"/>
              <w:bottom w:w="0" w:type="dxa"/>
              <w:right w:w="144" w:type="dxa"/>
            </w:tcMar>
            <w:vAlign w:val="center"/>
            <w:hideMark/>
          </w:tcPr>
          <w:p w14:paraId="21EE61D1" w14:textId="77777777" w:rsidR="008377B6" w:rsidRPr="009C0C39" w:rsidRDefault="008377B6" w:rsidP="00DC20B0">
            <w:pPr>
              <w:jc w:val="center"/>
              <w:textAlignment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+$530</w:t>
            </w:r>
          </w:p>
        </w:tc>
        <w:tc>
          <w:tcPr>
            <w:tcW w:w="633" w:type="pct"/>
            <w:tcBorders>
              <w:top w:val="single" w:sz="8" w:space="0" w:color="FFFFFF"/>
              <w:left w:val="single" w:sz="8" w:space="0" w:color="FFFFFF"/>
              <w:bottom w:val="single" w:sz="8" w:space="0" w:color="FFFFFF"/>
              <w:right w:val="single" w:sz="8" w:space="0" w:color="FFFFFF"/>
            </w:tcBorders>
            <w:shd w:val="clear" w:color="auto" w:fill="B7DEF9" w:themeFill="accent1" w:themeFillTint="33"/>
            <w:tcMar>
              <w:top w:w="15" w:type="dxa"/>
              <w:left w:w="144" w:type="dxa"/>
              <w:bottom w:w="0" w:type="dxa"/>
              <w:right w:w="144" w:type="dxa"/>
            </w:tcMar>
            <w:vAlign w:val="center"/>
            <w:hideMark/>
          </w:tcPr>
          <w:p w14:paraId="512B5EA6" w14:textId="77777777" w:rsidR="008377B6" w:rsidRPr="009C0C39" w:rsidRDefault="008377B6" w:rsidP="00DC20B0">
            <w:pPr>
              <w:jc w:val="center"/>
              <w:textAlignment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+$771</w:t>
            </w:r>
          </w:p>
        </w:tc>
        <w:tc>
          <w:tcPr>
            <w:tcW w:w="662" w:type="pct"/>
            <w:tcBorders>
              <w:top w:val="single" w:sz="8" w:space="0" w:color="FFFFFF"/>
              <w:left w:val="single" w:sz="8" w:space="0" w:color="FFFFFF"/>
              <w:bottom w:val="single" w:sz="8" w:space="0" w:color="FFFFFF"/>
              <w:right w:val="single" w:sz="8" w:space="0" w:color="FFFFFF"/>
            </w:tcBorders>
            <w:shd w:val="clear" w:color="auto" w:fill="B7DEF9" w:themeFill="accent1" w:themeFillTint="33"/>
            <w:tcMar>
              <w:top w:w="15" w:type="dxa"/>
              <w:left w:w="144" w:type="dxa"/>
              <w:bottom w:w="0" w:type="dxa"/>
              <w:right w:w="144" w:type="dxa"/>
            </w:tcMar>
            <w:vAlign w:val="center"/>
            <w:hideMark/>
          </w:tcPr>
          <w:p w14:paraId="07DAEA56" w14:textId="77777777" w:rsidR="008377B6" w:rsidRPr="009C0C39" w:rsidRDefault="008377B6" w:rsidP="00DC20B0">
            <w:pPr>
              <w:jc w:val="center"/>
              <w:textAlignment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+$3,187</w:t>
            </w:r>
          </w:p>
        </w:tc>
      </w:tr>
    </w:tbl>
    <w:p w14:paraId="222D1C0F" w14:textId="1BC752B5"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Sources: HPC analysis of CHIA All-Payer Claims Database, 2018; Ambulatory Narrative,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C546D0" w:rsidRPr="009C0C39">
        <w:rPr>
          <w:rFonts w:ascii="Franklin Gothic Book" w:hAnsi="Franklin Gothic Book" w:cs="Times New Roman"/>
          <w:sz w:val="18"/>
          <w:szCs w:val="18"/>
        </w:rPr>
        <w:fldChar w:fldCharType="begin"/>
      </w:r>
      <w:r w:rsidR="00C546D0" w:rsidRPr="009C0C39">
        <w:rPr>
          <w:rFonts w:ascii="Franklin Gothic Book" w:hAnsi="Franklin Gothic Book" w:cs="Times New Roman"/>
          <w:sz w:val="18"/>
          <w:szCs w:val="18"/>
        </w:rPr>
        <w:instrText xml:space="preserve"> NOTEREF _Ref93655328 \h </w:instrText>
      </w:r>
      <w:r w:rsidR="00804A4E" w:rsidRPr="009C0C39">
        <w:rPr>
          <w:rFonts w:ascii="Franklin Gothic Book" w:hAnsi="Franklin Gothic Book" w:cs="Times New Roman"/>
          <w:sz w:val="18"/>
          <w:szCs w:val="18"/>
        </w:rPr>
        <w:instrText xml:space="preserve"> \* MERGEFORMAT </w:instrText>
      </w:r>
      <w:r w:rsidR="00C546D0" w:rsidRPr="009C0C39">
        <w:rPr>
          <w:rFonts w:ascii="Franklin Gothic Book" w:hAnsi="Franklin Gothic Book" w:cs="Times New Roman"/>
          <w:sz w:val="18"/>
          <w:szCs w:val="18"/>
        </w:rPr>
      </w:r>
      <w:r w:rsidR="00C546D0"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11</w:t>
      </w:r>
      <w:r w:rsidR="00C546D0" w:rsidRPr="009C0C39">
        <w:rPr>
          <w:rFonts w:ascii="Franklin Gothic Book" w:hAnsi="Franklin Gothic Book" w:cs="Times New Roman"/>
          <w:sz w:val="18"/>
          <w:szCs w:val="18"/>
        </w:rPr>
        <w:fldChar w:fldCharType="end"/>
      </w:r>
      <w:r w:rsidR="00C546D0" w:rsidRPr="009C0C39">
        <w:rPr>
          <w:rFonts w:ascii="Franklin Gothic Book" w:hAnsi="Franklin Gothic Book" w:cs="Times New Roman"/>
          <w:sz w:val="18"/>
          <w:szCs w:val="18"/>
        </w:rPr>
        <w:t xml:space="preserve"> </w:t>
      </w:r>
      <w:r w:rsidRPr="009C0C39">
        <w:rPr>
          <w:rFonts w:ascii="Franklin Gothic Book" w:hAnsi="Franklin Gothic Book" w:cs="Times New Roman"/>
          <w:sz w:val="18"/>
          <w:szCs w:val="18"/>
        </w:rPr>
        <w:t>at 16.</w:t>
      </w:r>
    </w:p>
    <w:p w14:paraId="379A1FFA" w14:textId="2FAEA929"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Ambulatory surgery price differentials calculated based on current mix of </w:t>
      </w:r>
      <w:r w:rsidR="00A81EC8" w:rsidRPr="009C0C39">
        <w:rPr>
          <w:rFonts w:ascii="Franklin Gothic Book" w:hAnsi="Franklin Gothic Book" w:cs="Times New Roman"/>
          <w:sz w:val="18"/>
          <w:szCs w:val="18"/>
        </w:rPr>
        <w:t xml:space="preserve">commercial </w:t>
      </w:r>
      <w:r w:rsidRPr="009C0C39">
        <w:rPr>
          <w:rFonts w:ascii="Franklin Gothic Book" w:hAnsi="Franklin Gothic Book" w:cs="Times New Roman"/>
          <w:sz w:val="18"/>
          <w:szCs w:val="18"/>
        </w:rPr>
        <w:t>orthopedic, ophthalmology, otolaryngology, and general surgery cases in the proposed ambulatory service areas. Scenario 4 rates assume new volume would reflect a service mix similar to the current service mix across all providers in the proposed ambulatory service areas.</w:t>
      </w:r>
    </w:p>
    <w:p w14:paraId="2EC979F6" w14:textId="77777777" w:rsidR="008377B6" w:rsidRPr="009C0C39" w:rsidRDefault="008377B6" w:rsidP="008377B6">
      <w:pPr>
        <w:rPr>
          <w:rFonts w:ascii="Franklin Gothic Book" w:hAnsi="Franklin Gothic Book" w:cs="Times New Roman"/>
          <w:sz w:val="22"/>
          <w:szCs w:val="22"/>
        </w:rPr>
      </w:pPr>
    </w:p>
    <w:p w14:paraId="0258986E" w14:textId="2F0B3951" w:rsidR="008377B6" w:rsidRPr="009C0C39" w:rsidRDefault="008377B6" w:rsidP="008377B6">
      <w:pPr>
        <w:rPr>
          <w:rFonts w:ascii="Franklin Gothic Book" w:hAnsi="Franklin Gothic Book" w:cs="Times New Roman"/>
          <w:sz w:val="22"/>
          <w:szCs w:val="22"/>
        </w:rPr>
      </w:pPr>
      <w:r w:rsidRPr="009C0C39">
        <w:rPr>
          <w:rFonts w:ascii="Franklin Gothic Book" w:hAnsi="Franklin Gothic Book" w:cs="Times New Roman"/>
          <w:sz w:val="22"/>
          <w:szCs w:val="22"/>
        </w:rPr>
        <w:t xml:space="preserve">In addition, MGB does not identify any expected reduction in volume or capacity at any of its HOPDs </w:t>
      </w:r>
      <w:r w:rsidR="00FF47DA">
        <w:rPr>
          <w:rFonts w:ascii="Franklin Gothic Book" w:hAnsi="Franklin Gothic Book" w:cs="Times New Roman"/>
          <w:sz w:val="22"/>
          <w:szCs w:val="22"/>
        </w:rPr>
        <w:t>resulting from diversion of</w:t>
      </w:r>
      <w:r w:rsidRPr="009C0C39">
        <w:rPr>
          <w:rFonts w:ascii="Franklin Gothic Book" w:hAnsi="Franklin Gothic Book" w:cs="Times New Roman"/>
          <w:sz w:val="22"/>
          <w:szCs w:val="22"/>
        </w:rPr>
        <w:t xml:space="preserve"> care to the proposed ambulatory sites. Thus, to the extent </w:t>
      </w:r>
      <w:r w:rsidR="0055213C" w:rsidRPr="009C0C39">
        <w:rPr>
          <w:rFonts w:ascii="Franklin Gothic Book" w:hAnsi="Franklin Gothic Book" w:cs="Times New Roman"/>
          <w:sz w:val="22"/>
          <w:szCs w:val="22"/>
        </w:rPr>
        <w:t xml:space="preserve">that </w:t>
      </w:r>
      <w:r w:rsidRPr="009C0C39">
        <w:rPr>
          <w:rFonts w:ascii="Franklin Gothic Book" w:hAnsi="Franklin Gothic Book" w:cs="Times New Roman"/>
          <w:sz w:val="22"/>
          <w:szCs w:val="22"/>
        </w:rPr>
        <w:t>care shifts from MGB HOPDs to the ambulatory sites, the HPC expects that MGB would backfill the newly available HOPD capacity,</w:t>
      </w:r>
      <w:r w:rsidRPr="009C0C39">
        <w:rPr>
          <w:rStyle w:val="FootnoteReference"/>
          <w:rFonts w:ascii="Franklin Gothic Book" w:hAnsi="Franklin Gothic Book" w:cs="Times New Roman"/>
          <w:sz w:val="22"/>
          <w:szCs w:val="22"/>
        </w:rPr>
        <w:footnoteReference w:id="81"/>
      </w:r>
      <w:r w:rsidRPr="009C0C39">
        <w:rPr>
          <w:rFonts w:ascii="Franklin Gothic Book" w:hAnsi="Franklin Gothic Book" w:cs="Times New Roman"/>
          <w:sz w:val="22"/>
          <w:szCs w:val="22"/>
        </w:rPr>
        <w:t xml:space="preserve"> likely reducing any commercial savings from shifting outpatient care from its hospitals to the ambulatory sites, as shown below.</w:t>
      </w:r>
      <w:r w:rsidRPr="009C0C39">
        <w:rPr>
          <w:rStyle w:val="FootnoteReference"/>
          <w:rFonts w:ascii="Franklin Gothic Book" w:hAnsi="Franklin Gothic Book" w:cs="Times New Roman"/>
          <w:sz w:val="22"/>
          <w:szCs w:val="22"/>
        </w:rPr>
        <w:footnoteReference w:id="82"/>
      </w:r>
      <w:r w:rsidR="00591973" w:rsidRPr="009C0C39">
        <w:rPr>
          <w:rStyle w:val="FootnoteReference"/>
          <w:rFonts w:ascii="Franklin Gothic Book" w:hAnsi="Franklin Gothic Book"/>
          <w:sz w:val="22"/>
          <w:szCs w:val="22"/>
        </w:rPr>
        <w:t>,</w:t>
      </w:r>
      <w:r w:rsidR="00591973" w:rsidRPr="009C0C39">
        <w:rPr>
          <w:rStyle w:val="FootnoteReference"/>
          <w:rFonts w:ascii="Franklin Gothic Book" w:hAnsi="Franklin Gothic Book" w:cs="Times New Roman"/>
          <w:sz w:val="22"/>
          <w:szCs w:val="22"/>
        </w:rPr>
        <w:footnoteReference w:id="83"/>
      </w:r>
    </w:p>
    <w:p w14:paraId="1BDC6112" w14:textId="77777777" w:rsidR="008377B6" w:rsidRPr="009C0C39" w:rsidRDefault="008377B6" w:rsidP="008377B6">
      <w:pPr>
        <w:rPr>
          <w:rFonts w:ascii="Franklin Gothic Book" w:hAnsi="Franklin Gothic Book" w:cs="Times New Roman"/>
          <w:sz w:val="22"/>
          <w:szCs w:val="22"/>
        </w:rPr>
      </w:pPr>
    </w:p>
    <w:p w14:paraId="2D6E621C" w14:textId="364BF143" w:rsidR="008377B6" w:rsidRPr="00B17B2A" w:rsidRDefault="008377B6" w:rsidP="00B17B2A">
      <w:pPr>
        <w:jc w:val="center"/>
        <w:rPr>
          <w:rFonts w:ascii="Franklin Gothic Book" w:hAnsi="Franklin Gothic Book" w:cs="Times New Roman"/>
          <w:b/>
          <w:bCs/>
          <w:sz w:val="22"/>
          <w:szCs w:val="22"/>
        </w:rPr>
      </w:pPr>
      <w:r w:rsidRPr="009C0C39">
        <w:rPr>
          <w:rFonts w:ascii="Franklin Gothic Book" w:hAnsi="Franklin Gothic Book" w:cs="Times New Roman"/>
          <w:b/>
          <w:bCs/>
          <w:color w:val="000000" w:themeColor="dark1"/>
          <w:kern w:val="24"/>
          <w:sz w:val="22"/>
          <w:szCs w:val="22"/>
        </w:rPr>
        <w:t xml:space="preserve">Weighted </w:t>
      </w:r>
      <w:r w:rsidR="00D84A54" w:rsidRPr="009C0C39">
        <w:rPr>
          <w:rFonts w:ascii="Franklin Gothic Book" w:hAnsi="Franklin Gothic Book" w:cs="Times New Roman"/>
          <w:b/>
          <w:bCs/>
          <w:color w:val="000000" w:themeColor="dark1"/>
          <w:kern w:val="24"/>
          <w:sz w:val="22"/>
          <w:szCs w:val="22"/>
        </w:rPr>
        <w:t>A</w:t>
      </w:r>
      <w:r w:rsidRPr="009C0C39">
        <w:rPr>
          <w:rFonts w:ascii="Franklin Gothic Book" w:hAnsi="Franklin Gothic Book" w:cs="Times New Roman"/>
          <w:b/>
          <w:bCs/>
          <w:color w:val="000000" w:themeColor="dark1"/>
          <w:kern w:val="24"/>
          <w:sz w:val="22"/>
          <w:szCs w:val="22"/>
        </w:rPr>
        <w:t xml:space="preserve">verage </w:t>
      </w:r>
      <w:r w:rsidR="00D84A54" w:rsidRPr="009C0C39">
        <w:rPr>
          <w:rFonts w:ascii="Franklin Gothic Book" w:hAnsi="Franklin Gothic Book" w:cs="Times New Roman"/>
          <w:b/>
          <w:bCs/>
          <w:color w:val="000000" w:themeColor="dark1"/>
          <w:kern w:val="24"/>
          <w:sz w:val="22"/>
          <w:szCs w:val="22"/>
        </w:rPr>
        <w:t>C</w:t>
      </w:r>
      <w:r w:rsidRPr="009C0C39">
        <w:rPr>
          <w:rFonts w:ascii="Franklin Gothic Book" w:hAnsi="Franklin Gothic Book" w:cs="Times New Roman"/>
          <w:b/>
          <w:bCs/>
          <w:color w:val="000000" w:themeColor="dark1"/>
          <w:kern w:val="24"/>
          <w:sz w:val="22"/>
          <w:szCs w:val="22"/>
        </w:rPr>
        <w:t xml:space="preserve">ommercial </w:t>
      </w:r>
      <w:r w:rsidR="00D84A54" w:rsidRPr="009C0C39">
        <w:rPr>
          <w:rFonts w:ascii="Franklin Gothic Book" w:hAnsi="Franklin Gothic Book" w:cs="Times New Roman"/>
          <w:b/>
          <w:bCs/>
          <w:color w:val="000000" w:themeColor="dark1"/>
          <w:kern w:val="24"/>
          <w:sz w:val="22"/>
          <w:szCs w:val="22"/>
        </w:rPr>
        <w:t>S</w:t>
      </w:r>
      <w:r w:rsidRPr="009C0C39">
        <w:rPr>
          <w:rFonts w:ascii="Franklin Gothic Book" w:hAnsi="Franklin Gothic Book" w:cs="Times New Roman"/>
          <w:b/>
          <w:bCs/>
          <w:color w:val="000000" w:themeColor="dark1"/>
          <w:kern w:val="24"/>
          <w:sz w:val="22"/>
          <w:szCs w:val="22"/>
        </w:rPr>
        <w:t xml:space="preserve">pending </w:t>
      </w:r>
      <w:r w:rsidR="00D84A54" w:rsidRPr="009C0C39">
        <w:rPr>
          <w:rFonts w:ascii="Franklin Gothic Book" w:hAnsi="Franklin Gothic Book" w:cs="Times New Roman"/>
          <w:b/>
          <w:bCs/>
          <w:color w:val="000000" w:themeColor="dark1"/>
          <w:kern w:val="24"/>
          <w:sz w:val="22"/>
          <w:szCs w:val="22"/>
        </w:rPr>
        <w:t>I</w:t>
      </w:r>
      <w:r w:rsidRPr="009C0C39">
        <w:rPr>
          <w:rFonts w:ascii="Franklin Gothic Book" w:hAnsi="Franklin Gothic Book" w:cs="Times New Roman"/>
          <w:b/>
          <w:bCs/>
          <w:color w:val="000000" w:themeColor="dark1"/>
          <w:kern w:val="24"/>
          <w:sz w:val="22"/>
          <w:szCs w:val="22"/>
        </w:rPr>
        <w:t xml:space="preserve">mpact </w:t>
      </w:r>
      <w:r w:rsidR="00D84A54" w:rsidRPr="009C0C39">
        <w:rPr>
          <w:rFonts w:ascii="Franklin Gothic Book" w:hAnsi="Franklin Gothic Book" w:cs="Times New Roman"/>
          <w:b/>
          <w:bCs/>
          <w:color w:val="000000" w:themeColor="dark1"/>
          <w:kern w:val="24"/>
          <w:sz w:val="22"/>
          <w:szCs w:val="22"/>
        </w:rPr>
        <w:t>per Case B</w:t>
      </w:r>
      <w:r w:rsidRPr="009C0C39">
        <w:rPr>
          <w:rFonts w:ascii="Franklin Gothic Book" w:hAnsi="Franklin Gothic Book" w:cs="Times New Roman"/>
          <w:b/>
          <w:bCs/>
          <w:color w:val="000000" w:themeColor="dark1"/>
          <w:kern w:val="24"/>
          <w:sz w:val="22"/>
          <w:szCs w:val="22"/>
        </w:rPr>
        <w:t>ackfill</w:t>
      </w:r>
      <w:r w:rsidR="00D84A54" w:rsidRPr="009C0C39">
        <w:rPr>
          <w:rFonts w:ascii="Franklin Gothic Book" w:hAnsi="Franklin Gothic Book" w:cs="Times New Roman"/>
          <w:b/>
          <w:bCs/>
          <w:color w:val="000000" w:themeColor="dark1"/>
          <w:kern w:val="24"/>
          <w:sz w:val="22"/>
          <w:szCs w:val="22"/>
        </w:rPr>
        <w:t>ed</w:t>
      </w:r>
      <w:r w:rsidRPr="009C0C39">
        <w:rPr>
          <w:rFonts w:ascii="Franklin Gothic Book" w:hAnsi="Franklin Gothic Book" w:cs="Times New Roman"/>
          <w:b/>
          <w:bCs/>
          <w:color w:val="000000" w:themeColor="dark1"/>
          <w:kern w:val="24"/>
          <w:sz w:val="22"/>
          <w:szCs w:val="22"/>
        </w:rPr>
        <w:t xml:space="preserve"> at MGB HOPDs</w:t>
      </w:r>
    </w:p>
    <w:tbl>
      <w:tblPr>
        <w:tblW w:w="2983" w:type="pct"/>
        <w:tblInd w:w="20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CellMar>
          <w:left w:w="0" w:type="dxa"/>
          <w:right w:w="0" w:type="dxa"/>
        </w:tblCellMar>
        <w:tblLook w:val="0420" w:firstRow="1" w:lastRow="0" w:firstColumn="0" w:lastColumn="0" w:noHBand="0" w:noVBand="1"/>
      </w:tblPr>
      <w:tblGrid>
        <w:gridCol w:w="1216"/>
        <w:gridCol w:w="1622"/>
        <w:gridCol w:w="2740"/>
      </w:tblGrid>
      <w:tr w:rsidR="008377B6" w:rsidRPr="009C0C39" w14:paraId="0DE4AB49" w14:textId="77777777" w:rsidTr="00B17B2A">
        <w:trPr>
          <w:trHeight w:val="370"/>
        </w:trPr>
        <w:tc>
          <w:tcPr>
            <w:tcW w:w="1090" w:type="pct"/>
            <w:shd w:val="clear" w:color="auto" w:fill="094975" w:themeFill="accent1"/>
            <w:tcMar>
              <w:top w:w="15" w:type="dxa"/>
              <w:left w:w="144" w:type="dxa"/>
              <w:bottom w:w="0" w:type="dxa"/>
              <w:right w:w="144" w:type="dxa"/>
            </w:tcMar>
          </w:tcPr>
          <w:p w14:paraId="7EB697EC" w14:textId="77777777" w:rsidR="008377B6" w:rsidRPr="00B17B2A" w:rsidRDefault="008377B6" w:rsidP="00DC20B0">
            <w:pPr>
              <w:jc w:val="center"/>
              <w:textAlignment w:val="center"/>
              <w:rPr>
                <w:rFonts w:ascii="Franklin Gothic Demi Cond" w:hAnsi="Franklin Gothic Demi Cond" w:cs="Times New Roman"/>
                <w:kern w:val="24"/>
                <w:sz w:val="22"/>
                <w:szCs w:val="22"/>
              </w:rPr>
            </w:pPr>
            <w:r w:rsidRPr="00B17B2A">
              <w:rPr>
                <w:rFonts w:ascii="Franklin Gothic Demi Cond" w:eastAsia="Times New Roman" w:hAnsi="Franklin Gothic Demi Cond" w:cs="Times New Roman"/>
                <w:kern w:val="24"/>
                <w:sz w:val="22"/>
                <w:szCs w:val="22"/>
              </w:rPr>
              <w:t>CT scan</w:t>
            </w:r>
          </w:p>
        </w:tc>
        <w:tc>
          <w:tcPr>
            <w:tcW w:w="1454" w:type="pct"/>
            <w:shd w:val="clear" w:color="auto" w:fill="094975" w:themeFill="accent1"/>
            <w:tcMar>
              <w:top w:w="15" w:type="dxa"/>
              <w:left w:w="144" w:type="dxa"/>
              <w:bottom w:w="0" w:type="dxa"/>
              <w:right w:w="144" w:type="dxa"/>
            </w:tcMar>
          </w:tcPr>
          <w:p w14:paraId="3DEF2B13" w14:textId="77777777" w:rsidR="008377B6" w:rsidRPr="00B17B2A" w:rsidRDefault="008377B6" w:rsidP="00DC20B0">
            <w:pPr>
              <w:jc w:val="center"/>
              <w:textAlignment w:val="center"/>
              <w:rPr>
                <w:rFonts w:ascii="Franklin Gothic Demi Cond" w:hAnsi="Franklin Gothic Demi Cond" w:cs="Times New Roman"/>
                <w:kern w:val="24"/>
                <w:sz w:val="22"/>
                <w:szCs w:val="22"/>
              </w:rPr>
            </w:pPr>
            <w:r w:rsidRPr="00B17B2A">
              <w:rPr>
                <w:rFonts w:ascii="Franklin Gothic Demi Cond" w:eastAsia="Times New Roman" w:hAnsi="Franklin Gothic Demi Cond" w:cs="Times New Roman"/>
                <w:kern w:val="24"/>
                <w:sz w:val="22"/>
                <w:szCs w:val="22"/>
              </w:rPr>
              <w:t>MRI scan</w:t>
            </w:r>
          </w:p>
        </w:tc>
        <w:tc>
          <w:tcPr>
            <w:tcW w:w="2456" w:type="pct"/>
            <w:shd w:val="clear" w:color="auto" w:fill="094975" w:themeFill="accent1"/>
            <w:tcMar>
              <w:top w:w="15" w:type="dxa"/>
              <w:left w:w="144" w:type="dxa"/>
              <w:bottom w:w="0" w:type="dxa"/>
              <w:right w:w="144" w:type="dxa"/>
            </w:tcMar>
          </w:tcPr>
          <w:p w14:paraId="1B5458F0" w14:textId="77777777" w:rsidR="008377B6" w:rsidRPr="00B17B2A" w:rsidRDefault="008377B6" w:rsidP="00DC20B0">
            <w:pPr>
              <w:jc w:val="center"/>
              <w:textAlignment w:val="center"/>
              <w:rPr>
                <w:rFonts w:ascii="Franklin Gothic Demi Cond" w:hAnsi="Franklin Gothic Demi Cond" w:cs="Times New Roman"/>
                <w:kern w:val="24"/>
                <w:sz w:val="22"/>
                <w:szCs w:val="22"/>
              </w:rPr>
            </w:pPr>
            <w:r w:rsidRPr="00B17B2A">
              <w:rPr>
                <w:rFonts w:ascii="Franklin Gothic Demi Cond" w:eastAsia="Times New Roman" w:hAnsi="Franklin Gothic Demi Cond" w:cs="Times New Roman"/>
                <w:kern w:val="24"/>
                <w:sz w:val="22"/>
                <w:szCs w:val="22"/>
              </w:rPr>
              <w:t>Generic outpatient visit</w:t>
            </w:r>
          </w:p>
        </w:tc>
      </w:tr>
      <w:tr w:rsidR="008377B6" w:rsidRPr="009C0C39" w14:paraId="09F040ED" w14:textId="77777777" w:rsidTr="00B17B2A">
        <w:trPr>
          <w:trHeight w:val="343"/>
        </w:trPr>
        <w:tc>
          <w:tcPr>
            <w:tcW w:w="1090" w:type="pct"/>
            <w:shd w:val="clear" w:color="auto" w:fill="FFFFFF" w:themeFill="background1"/>
            <w:tcMar>
              <w:top w:w="15" w:type="dxa"/>
              <w:left w:w="144" w:type="dxa"/>
              <w:bottom w:w="0" w:type="dxa"/>
              <w:right w:w="144" w:type="dxa"/>
            </w:tcMar>
            <w:vAlign w:val="center"/>
          </w:tcPr>
          <w:p w14:paraId="188BB68F" w14:textId="77777777" w:rsidR="008377B6" w:rsidRPr="009C0C39" w:rsidRDefault="008377B6" w:rsidP="00DC20B0">
            <w:pPr>
              <w:jc w:val="center"/>
              <w:textAlignment w:val="center"/>
              <w:rPr>
                <w:rFonts w:ascii="Franklin Gothic Book" w:eastAsia="Times New Roman" w:hAnsi="Franklin Gothic Book" w:cs="Times New Roman"/>
                <w:kern w:val="24"/>
                <w:sz w:val="22"/>
                <w:szCs w:val="22"/>
              </w:rPr>
            </w:pPr>
            <w:r w:rsidRPr="009C0C39">
              <w:rPr>
                <w:rFonts w:ascii="Franklin Gothic Book" w:hAnsi="Franklin Gothic Book" w:cs="Times New Roman"/>
                <w:kern w:val="24"/>
                <w:sz w:val="22"/>
                <w:szCs w:val="22"/>
              </w:rPr>
              <w:t>+$64</w:t>
            </w:r>
          </w:p>
        </w:tc>
        <w:tc>
          <w:tcPr>
            <w:tcW w:w="1454" w:type="pct"/>
            <w:shd w:val="clear" w:color="auto" w:fill="FFFFFF" w:themeFill="background1"/>
            <w:tcMar>
              <w:top w:w="15" w:type="dxa"/>
              <w:left w:w="144" w:type="dxa"/>
              <w:bottom w:w="0" w:type="dxa"/>
              <w:right w:w="144" w:type="dxa"/>
            </w:tcMar>
            <w:vAlign w:val="center"/>
          </w:tcPr>
          <w:p w14:paraId="42E757C7" w14:textId="77777777" w:rsidR="008377B6" w:rsidRPr="009C0C39" w:rsidRDefault="008377B6" w:rsidP="00DC20B0">
            <w:pPr>
              <w:jc w:val="center"/>
              <w:textAlignment w:val="center"/>
              <w:rPr>
                <w:rFonts w:ascii="Franklin Gothic Book" w:eastAsia="Times New Roman" w:hAnsi="Franklin Gothic Book" w:cs="Times New Roman"/>
                <w:kern w:val="24"/>
                <w:sz w:val="22"/>
                <w:szCs w:val="22"/>
              </w:rPr>
            </w:pPr>
            <w:r w:rsidRPr="009C0C39">
              <w:rPr>
                <w:rFonts w:ascii="Franklin Gothic Book" w:hAnsi="Franklin Gothic Book" w:cs="Times New Roman"/>
                <w:kern w:val="24"/>
                <w:sz w:val="22"/>
                <w:szCs w:val="22"/>
              </w:rPr>
              <w:t>+$58</w:t>
            </w:r>
          </w:p>
        </w:tc>
        <w:tc>
          <w:tcPr>
            <w:tcW w:w="2456" w:type="pct"/>
            <w:shd w:val="clear" w:color="auto" w:fill="FFFFFF" w:themeFill="background1"/>
            <w:tcMar>
              <w:top w:w="15" w:type="dxa"/>
              <w:left w:w="144" w:type="dxa"/>
              <w:bottom w:w="0" w:type="dxa"/>
              <w:right w:w="144" w:type="dxa"/>
            </w:tcMar>
            <w:vAlign w:val="center"/>
          </w:tcPr>
          <w:p w14:paraId="401F403D" w14:textId="77777777" w:rsidR="008377B6" w:rsidRPr="009C0C39" w:rsidRDefault="008377B6" w:rsidP="00DC20B0">
            <w:pPr>
              <w:jc w:val="center"/>
              <w:textAlignment w:val="center"/>
              <w:rPr>
                <w:rFonts w:ascii="Franklin Gothic Book" w:eastAsia="Times New Roman" w:hAnsi="Franklin Gothic Book" w:cs="Times New Roman"/>
                <w:kern w:val="24"/>
                <w:sz w:val="22"/>
                <w:szCs w:val="22"/>
              </w:rPr>
            </w:pPr>
            <w:r w:rsidRPr="009C0C39">
              <w:rPr>
                <w:rFonts w:ascii="Franklin Gothic Book" w:hAnsi="Franklin Gothic Book" w:cs="Times New Roman"/>
                <w:kern w:val="24"/>
                <w:sz w:val="22"/>
                <w:szCs w:val="22"/>
              </w:rPr>
              <w:t>+$150</w:t>
            </w:r>
          </w:p>
        </w:tc>
      </w:tr>
    </w:tbl>
    <w:p w14:paraId="7BCFEF12" w14:textId="77777777" w:rsidR="00FF47DA" w:rsidRDefault="00FF47DA" w:rsidP="008377B6">
      <w:pPr>
        <w:rPr>
          <w:rFonts w:ascii="Franklin Gothic Book" w:hAnsi="Franklin Gothic Book" w:cs="Times New Roman"/>
          <w:sz w:val="18"/>
          <w:szCs w:val="18"/>
        </w:rPr>
      </w:pPr>
    </w:p>
    <w:p w14:paraId="60F772A0" w14:textId="73360E4F"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Sources: HPC analysis of CHIA All-Payer Claims Database, 2018; CHIA hospital outpatient relative price data, 2019</w:t>
      </w:r>
      <w:r w:rsidR="00C50EB8" w:rsidRPr="009C0C39">
        <w:rPr>
          <w:rFonts w:ascii="Franklin Gothic Book" w:hAnsi="Franklin Gothic Book" w:cs="Times New Roman"/>
          <w:sz w:val="18"/>
          <w:szCs w:val="18"/>
        </w:rPr>
        <w:t>;</w:t>
      </w:r>
      <w:r w:rsidRPr="009C0C39">
        <w:rPr>
          <w:rFonts w:ascii="Franklin Gothic Book" w:hAnsi="Franklin Gothic Book" w:cs="Times New Roman"/>
          <w:sz w:val="18"/>
          <w:szCs w:val="18"/>
        </w:rPr>
        <w:t xml:space="preserve"> and CHIA physician relative price data, 2018.</w:t>
      </w:r>
    </w:p>
    <w:p w14:paraId="0FF55C9D" w14:textId="77777777" w:rsidR="008377B6" w:rsidRPr="009C0C39" w:rsidRDefault="008377B6" w:rsidP="008377B6">
      <w:pPr>
        <w:rPr>
          <w:rFonts w:ascii="Franklin Gothic Book" w:hAnsi="Franklin Gothic Book" w:cs="Times New Roman"/>
          <w:sz w:val="22"/>
          <w:szCs w:val="22"/>
        </w:rPr>
      </w:pPr>
    </w:p>
    <w:p w14:paraId="52EEA982" w14:textId="5CA2926B" w:rsidR="008377B6" w:rsidRPr="009C0C39" w:rsidRDefault="008377B6" w:rsidP="008377B6">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Assuming that cases at the ambulatory sites would otherwise have been provided </w:t>
      </w:r>
      <w:r w:rsidR="00FF47DA">
        <w:rPr>
          <w:rFonts w:ascii="Franklin Gothic Book" w:hAnsi="Franklin Gothic Book" w:cs="Times New Roman"/>
          <w:sz w:val="22"/>
          <w:szCs w:val="22"/>
        </w:rPr>
        <w:t>by</w:t>
      </w:r>
      <w:r w:rsidR="00FF47DA"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the current mix of providers serving the areas, annual commercial spending for the service lines </w:t>
      </w:r>
      <w:r w:rsidRPr="009C0C39">
        <w:rPr>
          <w:rFonts w:ascii="Franklin Gothic Book" w:hAnsi="Franklin Gothic Book" w:cs="Times New Roman"/>
          <w:sz w:val="22"/>
          <w:szCs w:val="22"/>
        </w:rPr>
        <w:lastRenderedPageBreak/>
        <w:t xml:space="preserve">examined above would likely decrease by approximately </w:t>
      </w:r>
      <w:bookmarkStart w:id="75" w:name="_Hlk92711675"/>
      <w:r w:rsidRPr="009C0C39">
        <w:rPr>
          <w:rFonts w:ascii="Franklin Gothic Book" w:hAnsi="Franklin Gothic Book" w:cs="Times New Roman"/>
          <w:sz w:val="22"/>
          <w:szCs w:val="22"/>
        </w:rPr>
        <w:t>$3.</w:t>
      </w:r>
      <w:r w:rsidR="00AC57C3" w:rsidRPr="009C0C39">
        <w:rPr>
          <w:rFonts w:ascii="Franklin Gothic Book" w:hAnsi="Franklin Gothic Book" w:cs="Times New Roman"/>
          <w:sz w:val="22"/>
          <w:szCs w:val="22"/>
        </w:rPr>
        <w:t>4</w:t>
      </w:r>
      <w:r w:rsidRPr="009C0C39">
        <w:rPr>
          <w:rFonts w:ascii="Franklin Gothic Book" w:hAnsi="Franklin Gothic Book" w:cs="Times New Roman"/>
          <w:sz w:val="22"/>
          <w:szCs w:val="22"/>
        </w:rPr>
        <w:t xml:space="preserve"> million.</w:t>
      </w:r>
      <w:r w:rsidRPr="009C0C39">
        <w:rPr>
          <w:rStyle w:val="FootnoteReference"/>
          <w:rFonts w:ascii="Franklin Gothic Book" w:hAnsi="Franklin Gothic Book" w:cs="Times New Roman"/>
          <w:sz w:val="22"/>
          <w:szCs w:val="22"/>
        </w:rPr>
        <w:footnoteReference w:id="84"/>
      </w:r>
      <w:r w:rsidR="0055211D" w:rsidRPr="009C0C39">
        <w:rPr>
          <w:rFonts w:ascii="Franklin Gothic Book" w:hAnsi="Franklin Gothic Book" w:cs="Times New Roman"/>
          <w:sz w:val="22"/>
          <w:szCs w:val="22"/>
          <w:vertAlign w:val="superscript"/>
        </w:rPr>
        <w:t xml:space="preserve">, </w:t>
      </w:r>
      <w:r w:rsidR="0055211D" w:rsidRPr="009C0C39">
        <w:rPr>
          <w:rStyle w:val="FootnoteReference"/>
          <w:rFonts w:ascii="Franklin Gothic Book" w:hAnsi="Franklin Gothic Book" w:cs="Times New Roman"/>
          <w:sz w:val="22"/>
          <w:szCs w:val="22"/>
        </w:rPr>
        <w:footnoteReference w:id="85"/>
      </w:r>
      <w:r w:rsidRPr="009C0C39">
        <w:rPr>
          <w:rFonts w:ascii="Franklin Gothic Book" w:hAnsi="Franklin Gothic Book" w:cs="Times New Roman"/>
          <w:sz w:val="22"/>
          <w:szCs w:val="22"/>
        </w:rPr>
        <w:t xml:space="preserve"> </w:t>
      </w:r>
      <w:bookmarkEnd w:id="75"/>
      <w:r w:rsidRPr="009C0C39">
        <w:rPr>
          <w:rFonts w:ascii="Franklin Gothic Book" w:hAnsi="Franklin Gothic Book" w:cs="Times New Roman"/>
          <w:sz w:val="22"/>
          <w:szCs w:val="22"/>
        </w:rPr>
        <w:t xml:space="preserve">Public payers would likely also see savings as care shifts to the ambulatory sites; these savings would impact total healthcare spending in the Commonwealth, but would not </w:t>
      </w:r>
      <w:r w:rsidR="004D3198" w:rsidRPr="009C0C39">
        <w:rPr>
          <w:rFonts w:ascii="Franklin Gothic Book" w:hAnsi="Franklin Gothic Book" w:cs="Times New Roman"/>
          <w:sz w:val="22"/>
          <w:szCs w:val="22"/>
        </w:rPr>
        <w:t>impact commercial health insurance premiums</w:t>
      </w:r>
      <w:r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86"/>
      </w:r>
      <w:r w:rsidRPr="009C0C39">
        <w:rPr>
          <w:rFonts w:ascii="Franklin Gothic Book" w:hAnsi="Franklin Gothic Book" w:cs="Times New Roman"/>
          <w:sz w:val="22"/>
          <w:szCs w:val="22"/>
        </w:rPr>
        <w:t xml:space="preserve"> These estimates do not incorporate several factors that would tend to increase rather than reduce spending that the HPC could not quantify due to data limitations and lack of information in MGB’s submissions to the DoN program, including the impact of specialist physician visits at the ambulatory sites not directly related to ambulatory surgery or advanced imaging.</w:t>
      </w:r>
      <w:r w:rsidRPr="009C0C39">
        <w:rPr>
          <w:rStyle w:val="FootnoteReference"/>
          <w:rFonts w:ascii="Franklin Gothic Book" w:hAnsi="Franklin Gothic Book" w:cs="Times New Roman"/>
          <w:sz w:val="22"/>
          <w:szCs w:val="22"/>
        </w:rPr>
        <w:footnoteReference w:id="87"/>
      </w:r>
      <w:r w:rsidRPr="009C0C39">
        <w:rPr>
          <w:rFonts w:ascii="Franklin Gothic Book" w:hAnsi="Franklin Gothic Book" w:cs="Times New Roman"/>
          <w:sz w:val="22"/>
          <w:szCs w:val="22"/>
        </w:rPr>
        <w:t xml:space="preserve"> </w:t>
      </w:r>
      <w:r w:rsidR="009E59F3" w:rsidRPr="009C0C39">
        <w:rPr>
          <w:rFonts w:ascii="Franklin Gothic Book" w:hAnsi="Franklin Gothic Book" w:cs="Times New Roman"/>
          <w:sz w:val="22"/>
          <w:szCs w:val="22"/>
        </w:rPr>
        <w:t>The fact that MGB physician relative prices tend to be higher than those of other groups</w:t>
      </w:r>
      <w:r w:rsidR="009E59F3" w:rsidRPr="009C0C39">
        <w:rPr>
          <w:rStyle w:val="FootnoteReference"/>
          <w:rFonts w:ascii="Franklin Gothic Book" w:hAnsi="Franklin Gothic Book" w:cs="Times New Roman"/>
          <w:sz w:val="22"/>
          <w:szCs w:val="22"/>
        </w:rPr>
        <w:footnoteReference w:id="88"/>
      </w:r>
      <w:r w:rsidR="009E59F3" w:rsidRPr="009C0C39">
        <w:rPr>
          <w:rFonts w:ascii="Franklin Gothic Book" w:hAnsi="Franklin Gothic Book" w:cs="Times New Roman"/>
          <w:sz w:val="22"/>
          <w:szCs w:val="22"/>
        </w:rPr>
        <w:t xml:space="preserve"> suggests that a shift of physician visits to the ambulatory sites may increase spending.</w:t>
      </w:r>
    </w:p>
    <w:p w14:paraId="28E9BC17" w14:textId="77777777" w:rsidR="008377B6" w:rsidRPr="009C0C39" w:rsidRDefault="008377B6" w:rsidP="008377B6">
      <w:pPr>
        <w:pStyle w:val="ListParagraph"/>
        <w:ind w:left="1440"/>
        <w:rPr>
          <w:rFonts w:ascii="Franklin Gothic Book" w:hAnsi="Franklin Gothic Book" w:cs="Times New Roman"/>
          <w:sz w:val="22"/>
          <w:szCs w:val="22"/>
        </w:rPr>
      </w:pPr>
    </w:p>
    <w:p w14:paraId="29E18C5C" w14:textId="18F467BC" w:rsidR="008377B6" w:rsidRPr="009C0C39" w:rsidRDefault="008377B6" w:rsidP="009257C1">
      <w:pPr>
        <w:pStyle w:val="ListParagraph"/>
        <w:numPr>
          <w:ilvl w:val="1"/>
          <w:numId w:val="10"/>
        </w:numPr>
        <w:spacing w:after="160"/>
        <w:rPr>
          <w:rFonts w:ascii="Franklin Gothic Book" w:hAnsi="Franklin Gothic Book" w:cs="Times New Roman"/>
          <w:i/>
          <w:iCs/>
          <w:sz w:val="22"/>
          <w:szCs w:val="22"/>
        </w:rPr>
      </w:pPr>
      <w:bookmarkStart w:id="76" w:name="_Hlk91060876"/>
      <w:r w:rsidRPr="009C0C39">
        <w:rPr>
          <w:rFonts w:ascii="Franklin Gothic Book" w:hAnsi="Franklin Gothic Book" w:cs="Times New Roman"/>
          <w:i/>
          <w:iCs/>
          <w:sz w:val="22"/>
          <w:szCs w:val="22"/>
        </w:rPr>
        <w:t xml:space="preserve">Total spending may further increase as MGB gains commercial market share, </w:t>
      </w:r>
      <w:bookmarkStart w:id="77" w:name="_Hlk92480789"/>
      <w:r w:rsidRPr="009C0C39">
        <w:rPr>
          <w:rFonts w:ascii="Franklin Gothic Book" w:hAnsi="Franklin Gothic Book" w:cs="Times New Roman"/>
          <w:i/>
          <w:iCs/>
          <w:sz w:val="22"/>
          <w:szCs w:val="22"/>
        </w:rPr>
        <w:t>increasing its leverage to obtain higher price increases in the future</w:t>
      </w:r>
      <w:bookmarkEnd w:id="77"/>
      <w:r w:rsidRPr="009C0C39">
        <w:rPr>
          <w:rFonts w:ascii="Franklin Gothic Book" w:hAnsi="Franklin Gothic Book" w:cs="Times New Roman"/>
          <w:i/>
          <w:iCs/>
          <w:sz w:val="22"/>
          <w:szCs w:val="22"/>
        </w:rPr>
        <w:t>.</w:t>
      </w:r>
      <w:bookmarkEnd w:id="76"/>
    </w:p>
    <w:p w14:paraId="4CD25C45" w14:textId="7104ECBB" w:rsidR="008377B6" w:rsidRPr="009C0C39" w:rsidRDefault="008377B6" w:rsidP="00FA1DCD">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As discussed in prior sections, MGB expects its mu</w:t>
      </w:r>
      <w:r w:rsidR="006E6D7B" w:rsidRPr="009C0C39">
        <w:rPr>
          <w:rFonts w:ascii="Franklin Gothic Book" w:hAnsi="Franklin Gothic Book" w:cs="Times New Roman"/>
          <w:sz w:val="22"/>
          <w:szCs w:val="22"/>
        </w:rPr>
        <w:t>l</w:t>
      </w:r>
      <w:r w:rsidRPr="009C0C39">
        <w:rPr>
          <w:rFonts w:ascii="Franklin Gothic Book" w:hAnsi="Franklin Gothic Book" w:cs="Times New Roman"/>
          <w:sz w:val="22"/>
          <w:szCs w:val="22"/>
        </w:rPr>
        <w:t>ti-year ambulatory expansion project to increase its market share for physician and hospital services. The Ambulatory ICA also models increases in MGB shares of outpatient services if patients come to the ambulatory sites from all providers.</w:t>
      </w:r>
      <w:r w:rsidRPr="009C0C39">
        <w:rPr>
          <w:rStyle w:val="FootnoteReference"/>
          <w:rFonts w:ascii="Franklin Gothic Book" w:hAnsi="Franklin Gothic Book" w:cs="Times New Roman"/>
          <w:sz w:val="22"/>
          <w:szCs w:val="22"/>
        </w:rPr>
        <w:footnoteReference w:id="89"/>
      </w:r>
      <w:r w:rsidRPr="009C0C39">
        <w:rPr>
          <w:rFonts w:ascii="Franklin Gothic Book" w:hAnsi="Franklin Gothic Book" w:cs="Times New Roman"/>
          <w:sz w:val="22"/>
          <w:szCs w:val="22"/>
        </w:rPr>
        <w:t xml:space="preserve"> HPC analyses indicate that MGB is likely to gain commercial outpatient volume, and that the scope of the shift is likely to be substantial. For example, filling new capacity at the proposed ambulatory sites from both MGB and other providers currently serving the area </w:t>
      </w:r>
      <w:r w:rsidR="00FF47DA">
        <w:rPr>
          <w:rFonts w:ascii="Franklin Gothic Book" w:hAnsi="Franklin Gothic Book" w:cs="Times New Roman"/>
          <w:sz w:val="22"/>
          <w:szCs w:val="22"/>
        </w:rPr>
        <w:t xml:space="preserve">at </w:t>
      </w:r>
      <w:r w:rsidRPr="009C0C39">
        <w:rPr>
          <w:rFonts w:ascii="Franklin Gothic Book" w:hAnsi="Franklin Gothic Book" w:cs="Times New Roman"/>
          <w:sz w:val="22"/>
          <w:szCs w:val="22"/>
        </w:rPr>
        <w:t xml:space="preserve">roughly </w:t>
      </w:r>
      <w:r w:rsidR="00FF47DA">
        <w:rPr>
          <w:rFonts w:ascii="Franklin Gothic Book" w:hAnsi="Franklin Gothic Book" w:cs="Times New Roman"/>
          <w:sz w:val="22"/>
          <w:szCs w:val="22"/>
        </w:rPr>
        <w:t xml:space="preserve">the same </w:t>
      </w:r>
      <w:r w:rsidRPr="009C0C39">
        <w:rPr>
          <w:rFonts w:ascii="Franklin Gothic Book" w:hAnsi="Franklin Gothic Book" w:cs="Times New Roman"/>
          <w:sz w:val="22"/>
          <w:szCs w:val="22"/>
        </w:rPr>
        <w:t xml:space="preserve">proportion </w:t>
      </w:r>
      <w:r w:rsidR="00FF47DA">
        <w:rPr>
          <w:rFonts w:ascii="Franklin Gothic Book" w:hAnsi="Franklin Gothic Book" w:cs="Times New Roman"/>
          <w:sz w:val="22"/>
          <w:szCs w:val="22"/>
        </w:rPr>
        <w:t xml:space="preserve">as </w:t>
      </w:r>
      <w:r w:rsidRPr="009C0C39">
        <w:rPr>
          <w:rFonts w:ascii="Franklin Gothic Book" w:hAnsi="Franklin Gothic Book" w:cs="Times New Roman"/>
          <w:sz w:val="22"/>
          <w:szCs w:val="22"/>
        </w:rPr>
        <w:t xml:space="preserve">their current market shares, which the HPC considers more </w:t>
      </w:r>
      <w:r w:rsidR="006E6D7B" w:rsidRPr="009C0C39">
        <w:rPr>
          <w:rFonts w:ascii="Franklin Gothic Book" w:hAnsi="Franklin Gothic Book" w:cs="Times New Roman"/>
          <w:sz w:val="22"/>
          <w:szCs w:val="22"/>
        </w:rPr>
        <w:t xml:space="preserve">plausible </w:t>
      </w:r>
      <w:r w:rsidRPr="009C0C39">
        <w:rPr>
          <w:rFonts w:ascii="Franklin Gothic Book" w:hAnsi="Franklin Gothic Book" w:cs="Times New Roman"/>
          <w:sz w:val="22"/>
          <w:szCs w:val="22"/>
        </w:rPr>
        <w:t>than all care diverting from MGB hospitals, would increase MGB’s shares of commercial visits in the service areas by 26% for MRI, 40% for CT, and 31% for ambulatory surgery.</w:t>
      </w:r>
      <w:r w:rsidRPr="009C0C39">
        <w:rPr>
          <w:rStyle w:val="FootnoteReference"/>
          <w:rFonts w:ascii="Franklin Gothic Book" w:hAnsi="Franklin Gothic Book" w:cs="Times New Roman"/>
          <w:sz w:val="22"/>
          <w:szCs w:val="22"/>
        </w:rPr>
        <w:footnoteReference w:id="90"/>
      </w:r>
    </w:p>
    <w:p w14:paraId="3D2A9B68" w14:textId="4049084C" w:rsidR="008377B6" w:rsidRPr="009C0C39" w:rsidRDefault="008377B6" w:rsidP="00FA1DCD">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As discussed in prior work by the HPC and others, </w:t>
      </w:r>
      <w:r w:rsidR="004D3198" w:rsidRPr="009C0C39">
        <w:rPr>
          <w:rFonts w:ascii="Franklin Gothic Book" w:hAnsi="Franklin Gothic Book" w:cs="Times New Roman"/>
          <w:sz w:val="22"/>
          <w:szCs w:val="22"/>
        </w:rPr>
        <w:t>increases in</w:t>
      </w:r>
      <w:r w:rsidRPr="009C0C39">
        <w:rPr>
          <w:rFonts w:ascii="Franklin Gothic Book" w:hAnsi="Franklin Gothic Book" w:cs="Times New Roman"/>
          <w:sz w:val="22"/>
          <w:szCs w:val="22"/>
        </w:rPr>
        <w:t xml:space="preserve"> commercial market share</w:t>
      </w:r>
      <w:r w:rsidR="004D3198" w:rsidRPr="009C0C39">
        <w:rPr>
          <w:rFonts w:ascii="Franklin Gothic Book" w:hAnsi="Franklin Gothic Book" w:cs="Times New Roman"/>
          <w:sz w:val="22"/>
          <w:szCs w:val="22"/>
        </w:rPr>
        <w:t xml:space="preserve">, particularly in a highly concentrated market, are </w:t>
      </w:r>
      <w:r w:rsidRPr="009C0C39">
        <w:rPr>
          <w:rFonts w:ascii="Franklin Gothic Book" w:hAnsi="Franklin Gothic Book" w:cs="Times New Roman"/>
          <w:sz w:val="22"/>
          <w:szCs w:val="22"/>
        </w:rPr>
        <w:t>generally associated with greater leverage for a provider organization to negotiate higher prices with commercial payers.</w:t>
      </w:r>
      <w:bookmarkStart w:id="78" w:name="_Ref92641860"/>
      <w:r w:rsidRPr="009C0C39">
        <w:rPr>
          <w:rStyle w:val="FootnoteReference"/>
          <w:rFonts w:ascii="Franklin Gothic Book" w:hAnsi="Franklin Gothic Book" w:cs="Times New Roman"/>
          <w:sz w:val="22"/>
          <w:szCs w:val="22"/>
        </w:rPr>
        <w:footnoteReference w:id="91"/>
      </w:r>
      <w:bookmarkEnd w:id="78"/>
      <w:r w:rsidR="00B25162"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Likewise, the HPC has </w:t>
      </w:r>
      <w:r w:rsidRPr="009C0C39">
        <w:rPr>
          <w:rFonts w:ascii="Franklin Gothic Book" w:hAnsi="Franklin Gothic Book" w:cs="Times New Roman"/>
          <w:sz w:val="22"/>
          <w:szCs w:val="22"/>
        </w:rPr>
        <w:lastRenderedPageBreak/>
        <w:t>found that a higher mix of public payer patients is associated with lower commercial relative prices.</w:t>
      </w:r>
      <w:r w:rsidRPr="009C0C39">
        <w:rPr>
          <w:rStyle w:val="FootnoteReference"/>
          <w:rFonts w:ascii="Franklin Gothic Book" w:hAnsi="Franklin Gothic Book" w:cs="Times New Roman"/>
          <w:sz w:val="22"/>
          <w:szCs w:val="22"/>
        </w:rPr>
        <w:footnoteReference w:id="92"/>
      </w:r>
      <w:r w:rsidRPr="009C0C39">
        <w:rPr>
          <w:rFonts w:ascii="Franklin Gothic Book" w:hAnsi="Franklin Gothic Book" w:cs="Times New Roman"/>
          <w:sz w:val="22"/>
          <w:szCs w:val="22"/>
        </w:rPr>
        <w:t xml:space="preserve"> If MGB gains market share</w:t>
      </w:r>
      <w:r w:rsidR="009C66AB" w:rsidRPr="009C0C39">
        <w:rPr>
          <w:rFonts w:ascii="Franklin Gothic Book" w:hAnsi="Franklin Gothic Book" w:cs="Times New Roman"/>
          <w:sz w:val="22"/>
          <w:szCs w:val="22"/>
        </w:rPr>
        <w:t xml:space="preserve"> </w:t>
      </w:r>
      <w:r w:rsidR="002633E3" w:rsidRPr="009C0C39">
        <w:rPr>
          <w:rFonts w:ascii="Franklin Gothic Book" w:hAnsi="Franklin Gothic Book" w:cs="Times New Roman"/>
          <w:sz w:val="22"/>
          <w:szCs w:val="22"/>
        </w:rPr>
        <w:t xml:space="preserve">as a result of the </w:t>
      </w:r>
      <w:r w:rsidR="00233D8E" w:rsidRPr="009C0C39">
        <w:rPr>
          <w:rFonts w:ascii="Franklin Gothic Book" w:hAnsi="Franklin Gothic Book" w:cs="Times New Roman"/>
          <w:sz w:val="22"/>
          <w:szCs w:val="22"/>
        </w:rPr>
        <w:t>a</w:t>
      </w:r>
      <w:r w:rsidR="002633E3" w:rsidRPr="009C0C39">
        <w:rPr>
          <w:rFonts w:ascii="Franklin Gothic Book" w:hAnsi="Franklin Gothic Book" w:cs="Times New Roman"/>
          <w:sz w:val="22"/>
          <w:szCs w:val="22"/>
        </w:rPr>
        <w:t xml:space="preserve">mbulatory </w:t>
      </w:r>
      <w:r w:rsidR="00B65555" w:rsidRPr="009C0C39">
        <w:rPr>
          <w:rFonts w:ascii="Franklin Gothic Book" w:hAnsi="Franklin Gothic Book" w:cs="Times New Roman"/>
          <w:sz w:val="22"/>
          <w:szCs w:val="22"/>
        </w:rPr>
        <w:t>e</w:t>
      </w:r>
      <w:r w:rsidR="002633E3" w:rsidRPr="009C0C39">
        <w:rPr>
          <w:rFonts w:ascii="Franklin Gothic Book" w:hAnsi="Franklin Gothic Book" w:cs="Times New Roman"/>
          <w:sz w:val="22"/>
          <w:szCs w:val="22"/>
        </w:rPr>
        <w:t>xpansion</w:t>
      </w:r>
      <w:r w:rsidRPr="009C0C39">
        <w:rPr>
          <w:rFonts w:ascii="Franklin Gothic Book" w:hAnsi="Franklin Gothic Book" w:cs="Times New Roman"/>
          <w:sz w:val="22"/>
          <w:szCs w:val="22"/>
        </w:rPr>
        <w:t>, and is particularly growing its commercial market share, other area providers will likely be left both with lower volume and with larger proportions of public payer patients. Additional commercial volume at MGB would likely allow MGB to obtain higher commercial rate increases,</w:t>
      </w:r>
      <w:r w:rsidRPr="009C0C39">
        <w:rPr>
          <w:rStyle w:val="FootnoteReference"/>
          <w:rFonts w:ascii="Franklin Gothic Book" w:hAnsi="Franklin Gothic Book" w:cs="Times New Roman"/>
          <w:sz w:val="22"/>
          <w:szCs w:val="22"/>
        </w:rPr>
        <w:footnoteReference w:id="93"/>
      </w:r>
      <w:r w:rsidRPr="009C0C39">
        <w:rPr>
          <w:rFonts w:ascii="Franklin Gothic Book" w:hAnsi="Franklin Gothic Book" w:cs="Times New Roman"/>
          <w:sz w:val="22"/>
          <w:szCs w:val="22"/>
        </w:rPr>
        <w:t xml:space="preserve"> while decreased commercial volume at other provider organizations means that those providers are likely to receive lower rate increases. </w:t>
      </w:r>
      <w:r w:rsidR="00180499" w:rsidRPr="009C0C39">
        <w:rPr>
          <w:rFonts w:ascii="Franklin Gothic Book" w:hAnsi="Franklin Gothic Book" w:cs="Times New Roman"/>
          <w:sz w:val="22"/>
          <w:szCs w:val="22"/>
        </w:rPr>
        <w:t xml:space="preserve">These changes would </w:t>
      </w:r>
      <w:r w:rsidR="009C66AB" w:rsidRPr="009C0C39">
        <w:rPr>
          <w:rFonts w:ascii="Franklin Gothic Book" w:hAnsi="Franklin Gothic Book" w:cs="Times New Roman"/>
          <w:sz w:val="22"/>
          <w:szCs w:val="22"/>
        </w:rPr>
        <w:t xml:space="preserve">be </w:t>
      </w:r>
      <w:r w:rsidR="00180499" w:rsidRPr="009C0C39">
        <w:rPr>
          <w:rFonts w:ascii="Franklin Gothic Book" w:hAnsi="Franklin Gothic Book" w:cs="Times New Roman"/>
          <w:sz w:val="22"/>
          <w:szCs w:val="22"/>
        </w:rPr>
        <w:t xml:space="preserve">magnified if revenue losses destabilize other local provider organizations, leading to </w:t>
      </w:r>
      <w:r w:rsidR="009C66AB" w:rsidRPr="009C0C39">
        <w:rPr>
          <w:rFonts w:ascii="Franklin Gothic Book" w:hAnsi="Franklin Gothic Book" w:cs="Times New Roman"/>
          <w:sz w:val="22"/>
          <w:szCs w:val="22"/>
        </w:rPr>
        <w:t xml:space="preserve">further </w:t>
      </w:r>
      <w:r w:rsidR="00180499" w:rsidRPr="009C0C39">
        <w:rPr>
          <w:rFonts w:ascii="Franklin Gothic Book" w:hAnsi="Franklin Gothic Book" w:cs="Times New Roman"/>
          <w:sz w:val="22"/>
          <w:szCs w:val="22"/>
        </w:rPr>
        <w:t>market consolidation and more patients shifting to higher-priced systems.</w:t>
      </w:r>
      <w:r w:rsidR="00180499" w:rsidRPr="009C0C39">
        <w:rPr>
          <w:rStyle w:val="FootnoteReference"/>
          <w:rFonts w:ascii="Franklin Gothic Book" w:hAnsi="Franklin Gothic Book" w:cs="Times New Roman"/>
          <w:sz w:val="22"/>
          <w:szCs w:val="22"/>
        </w:rPr>
        <w:footnoteReference w:id="94"/>
      </w:r>
      <w:r w:rsidR="00180499"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Any price increases at MGB relative to other providers would reduce any potential savings modeled in Section </w:t>
      </w:r>
      <w:r w:rsidR="00660E63" w:rsidRPr="009C0C39">
        <w:rPr>
          <w:rFonts w:ascii="Franklin Gothic Book" w:hAnsi="Franklin Gothic Book" w:cs="Times New Roman"/>
          <w:sz w:val="22"/>
          <w:szCs w:val="22"/>
        </w:rPr>
        <w:t>III</w:t>
      </w:r>
      <w:r w:rsidRPr="009C0C39">
        <w:rPr>
          <w:rFonts w:ascii="Franklin Gothic Book" w:hAnsi="Franklin Gothic Book" w:cs="Times New Roman"/>
          <w:sz w:val="22"/>
          <w:szCs w:val="22"/>
        </w:rPr>
        <w:t>.</w:t>
      </w:r>
      <w:r w:rsidR="00660E63" w:rsidRPr="009C0C39">
        <w:rPr>
          <w:rFonts w:ascii="Franklin Gothic Book" w:hAnsi="Franklin Gothic Book" w:cs="Times New Roman"/>
          <w:sz w:val="22"/>
          <w:szCs w:val="22"/>
        </w:rPr>
        <w:t>A.3</w:t>
      </w:r>
      <w:r w:rsidRPr="009C0C39">
        <w:rPr>
          <w:rFonts w:ascii="Franklin Gothic Book" w:hAnsi="Franklin Gothic Book" w:cs="Times New Roman"/>
          <w:sz w:val="22"/>
          <w:szCs w:val="22"/>
        </w:rPr>
        <w:t xml:space="preserve"> from care shifting from higher-priced non-MGB providers to the ambulatory sites and would further increase spending as patients backfill capacity at MGB HOPDs.</w:t>
      </w:r>
    </w:p>
    <w:p w14:paraId="4DB8C137" w14:textId="77777777" w:rsidR="008377B6" w:rsidRPr="009C0C39" w:rsidRDefault="008377B6" w:rsidP="009257C1">
      <w:pPr>
        <w:pStyle w:val="ListParagraph"/>
        <w:numPr>
          <w:ilvl w:val="0"/>
          <w:numId w:val="9"/>
        </w:numPr>
        <w:spacing w:after="240"/>
        <w:contextualSpacing w:val="0"/>
        <w:rPr>
          <w:rFonts w:ascii="Franklin Gothic Book" w:hAnsi="Franklin Gothic Book" w:cs="Times New Roman"/>
          <w:b/>
          <w:bCs/>
          <w:sz w:val="22"/>
          <w:szCs w:val="22"/>
        </w:rPr>
      </w:pPr>
      <w:r w:rsidRPr="009C0C39">
        <w:rPr>
          <w:rFonts w:ascii="Franklin Gothic Book" w:hAnsi="Franklin Gothic Book" w:cs="Times New Roman"/>
          <w:b/>
          <w:bCs/>
          <w:sz w:val="22"/>
          <w:szCs w:val="22"/>
        </w:rPr>
        <w:t xml:space="preserve">Proposed expansions at MGH and Faulkner would likely increase health care spending. </w:t>
      </w:r>
    </w:p>
    <w:p w14:paraId="43D94813" w14:textId="77777777" w:rsidR="008377B6" w:rsidRPr="009C0C39" w:rsidRDefault="008377B6" w:rsidP="009257C1">
      <w:pPr>
        <w:pStyle w:val="ListParagraph"/>
        <w:numPr>
          <w:ilvl w:val="1"/>
          <w:numId w:val="9"/>
        </w:numPr>
        <w:spacing w:after="240"/>
        <w:contextualSpacing w:val="0"/>
        <w:rPr>
          <w:rFonts w:ascii="Franklin Gothic Book" w:hAnsi="Franklin Gothic Book" w:cs="Times New Roman"/>
          <w:i/>
          <w:iCs/>
          <w:sz w:val="22"/>
          <w:szCs w:val="22"/>
        </w:rPr>
      </w:pPr>
      <w:bookmarkStart w:id="79" w:name="Section_IIIB1"/>
      <w:bookmarkStart w:id="80" w:name="_Hlk93056002"/>
      <w:bookmarkEnd w:id="79"/>
      <w:r w:rsidRPr="009C0C39">
        <w:rPr>
          <w:rFonts w:ascii="Franklin Gothic Book" w:hAnsi="Franklin Gothic Book" w:cs="Times New Roman"/>
          <w:i/>
          <w:iCs/>
          <w:sz w:val="22"/>
          <w:szCs w:val="22"/>
        </w:rPr>
        <w:t>Total spending would likely increase as MGH and Faulkner fill proposed new inpatient capacity.</w:t>
      </w:r>
    </w:p>
    <w:bookmarkEnd w:id="80"/>
    <w:p w14:paraId="01AEECBA" w14:textId="1E4F60BB" w:rsidR="008377B6" w:rsidRPr="009C0C39" w:rsidRDefault="008377B6" w:rsidP="00FA1DCD">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MGH application proposes the addition of 54 net new medical/surgical beds and 40 net new ICU beds, while the Faulkner application proposes the addition of 78 new medical/surgical beds.</w:t>
      </w:r>
      <w:r w:rsidRPr="009C0C39">
        <w:rPr>
          <w:rStyle w:val="FootnoteReference"/>
          <w:rFonts w:ascii="Franklin Gothic Book" w:hAnsi="Franklin Gothic Book" w:cs="Times New Roman"/>
          <w:sz w:val="22"/>
          <w:szCs w:val="22"/>
        </w:rPr>
        <w:footnoteReference w:id="95"/>
      </w:r>
      <w:r w:rsidRPr="009C0C39">
        <w:rPr>
          <w:rFonts w:ascii="Franklin Gothic Book" w:hAnsi="Franklin Gothic Book" w:cs="Times New Roman"/>
          <w:sz w:val="22"/>
          <w:szCs w:val="22"/>
        </w:rPr>
        <w:t xml:space="preserve"> </w:t>
      </w:r>
      <w:bookmarkStart w:id="81" w:name="_Hlk93582466"/>
      <w:r w:rsidRPr="009C0C39">
        <w:rPr>
          <w:rFonts w:ascii="Franklin Gothic Book" w:hAnsi="Franklin Gothic Book" w:cs="Times New Roman"/>
          <w:sz w:val="22"/>
          <w:szCs w:val="22"/>
        </w:rPr>
        <w:t>The MGH expansion would also make 30 to 50 additional beds available that are currently routinely blocked due to patient incompatibility in semi-private rooms, as those beds would be relocated to single rooms as part of the project.</w:t>
      </w:r>
      <w:r w:rsidRPr="009C0C39">
        <w:rPr>
          <w:rStyle w:val="FootnoteReference"/>
          <w:rFonts w:ascii="Franklin Gothic Book" w:hAnsi="Franklin Gothic Book" w:cs="Times New Roman"/>
          <w:sz w:val="22"/>
          <w:szCs w:val="22"/>
        </w:rPr>
        <w:footnoteReference w:id="96"/>
      </w:r>
      <w:r w:rsidRPr="009C0C39">
        <w:rPr>
          <w:rFonts w:ascii="Franklin Gothic Book" w:hAnsi="Franklin Gothic Book" w:cs="Times New Roman"/>
          <w:sz w:val="22"/>
          <w:szCs w:val="22"/>
        </w:rPr>
        <w:t xml:space="preserve"> </w:t>
      </w:r>
      <w:bookmarkEnd w:id="81"/>
      <w:r w:rsidRPr="009C0C39">
        <w:rPr>
          <w:rFonts w:ascii="Franklin Gothic Book" w:hAnsi="Franklin Gothic Book" w:cs="Times New Roman"/>
          <w:sz w:val="22"/>
          <w:szCs w:val="22"/>
        </w:rPr>
        <w:t xml:space="preserve">The MGH expansion may also allow MGH to staff 24 additional medical/surgical beds currently licensed but out of service, but MGH has provided </w:t>
      </w:r>
      <w:r w:rsidR="00FC476E" w:rsidRPr="009C0C39">
        <w:rPr>
          <w:rFonts w:ascii="Franklin Gothic Book" w:hAnsi="Franklin Gothic Book" w:cs="Times New Roman"/>
          <w:sz w:val="22"/>
          <w:szCs w:val="22"/>
        </w:rPr>
        <w:t xml:space="preserve">insufficient </w:t>
      </w:r>
      <w:r w:rsidRPr="009C0C39">
        <w:rPr>
          <w:rFonts w:ascii="Franklin Gothic Book" w:hAnsi="Franklin Gothic Book" w:cs="Times New Roman"/>
          <w:sz w:val="22"/>
          <w:szCs w:val="22"/>
        </w:rPr>
        <w:t>public information regarding this potential additional capacity increase.</w:t>
      </w:r>
      <w:bookmarkStart w:id="82" w:name="_Ref93738224"/>
      <w:r w:rsidRPr="009C0C39">
        <w:rPr>
          <w:rStyle w:val="FootnoteReference"/>
          <w:rFonts w:ascii="Franklin Gothic Book" w:hAnsi="Franklin Gothic Book" w:cs="Times New Roman"/>
          <w:sz w:val="22"/>
          <w:szCs w:val="22"/>
        </w:rPr>
        <w:footnoteReference w:id="97"/>
      </w:r>
      <w:bookmarkEnd w:id="82"/>
      <w:r w:rsidRPr="009C0C39">
        <w:rPr>
          <w:rFonts w:ascii="Franklin Gothic Book" w:hAnsi="Franklin Gothic Book" w:cs="Times New Roman"/>
          <w:sz w:val="22"/>
          <w:szCs w:val="22"/>
        </w:rPr>
        <w:t xml:space="preserve"> In total, this would represent a net increase in medical/surgical bed capacity of 16.6% to 18.9% at MGH (depending on whether the 24 additional beds are included) and 45.6% at Faulkner.</w:t>
      </w:r>
      <w:r w:rsidRPr="009C0C39">
        <w:rPr>
          <w:rStyle w:val="FootnoteReference"/>
          <w:rFonts w:ascii="Franklin Gothic Book" w:hAnsi="Franklin Gothic Book" w:cs="Times New Roman"/>
          <w:sz w:val="22"/>
          <w:szCs w:val="22"/>
        </w:rPr>
        <w:footnoteReference w:id="98"/>
      </w:r>
    </w:p>
    <w:p w14:paraId="50F9989A" w14:textId="4106B773" w:rsidR="008377B6" w:rsidRPr="009C0C39" w:rsidRDefault="008377B6" w:rsidP="002C3619">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MGB expects that it will fill all newly available inpatient capacity.</w:t>
      </w:r>
      <w:r w:rsidRPr="009C0C39">
        <w:rPr>
          <w:rStyle w:val="FootnoteReference"/>
          <w:rFonts w:ascii="Franklin Gothic Book" w:hAnsi="Franklin Gothic Book" w:cs="Times New Roman"/>
          <w:sz w:val="22"/>
          <w:szCs w:val="22"/>
        </w:rPr>
        <w:footnoteReference w:id="99"/>
      </w:r>
      <w:r w:rsidRPr="009C0C39">
        <w:rPr>
          <w:rFonts w:ascii="Franklin Gothic Book" w:hAnsi="Franklin Gothic Book" w:cs="Times New Roman"/>
          <w:sz w:val="22"/>
          <w:szCs w:val="22"/>
        </w:rPr>
        <w:t xml:space="preserve"> Although MGH and Faulkner provide some highly specialized care,</w:t>
      </w:r>
      <w:r w:rsidRPr="009C0C39">
        <w:rPr>
          <w:rStyle w:val="FootnoteReference"/>
          <w:rFonts w:ascii="Franklin Gothic Book" w:hAnsi="Franklin Gothic Book" w:cs="Times New Roman"/>
          <w:sz w:val="22"/>
          <w:szCs w:val="22"/>
        </w:rPr>
        <w:footnoteReference w:id="100"/>
      </w:r>
      <w:r w:rsidRPr="009C0C39">
        <w:rPr>
          <w:rFonts w:ascii="Franklin Gothic Book" w:hAnsi="Franklin Gothic Book" w:cs="Times New Roman"/>
          <w:sz w:val="22"/>
          <w:szCs w:val="22"/>
        </w:rPr>
        <w:t xml:space="preserve"> most patients who would receive inpatient care in </w:t>
      </w:r>
      <w:r w:rsidRPr="009C0C39">
        <w:rPr>
          <w:rFonts w:ascii="Franklin Gothic Book" w:hAnsi="Franklin Gothic Book" w:cs="Times New Roman"/>
          <w:sz w:val="22"/>
          <w:szCs w:val="22"/>
        </w:rPr>
        <w:lastRenderedPageBreak/>
        <w:t>net new capacity at MGH and Faulkner would otherwise receive care at non-MGB hospitals.</w:t>
      </w:r>
      <w:bookmarkStart w:id="84" w:name="_Ref92630210"/>
      <w:r w:rsidRPr="009C0C39">
        <w:rPr>
          <w:rStyle w:val="FootnoteReference"/>
          <w:rFonts w:ascii="Franklin Gothic Book" w:hAnsi="Franklin Gothic Book" w:cs="Times New Roman"/>
          <w:sz w:val="22"/>
          <w:szCs w:val="22"/>
        </w:rPr>
        <w:footnoteReference w:id="101"/>
      </w:r>
      <w:bookmarkEnd w:id="84"/>
      <w:r w:rsidRPr="009C0C39">
        <w:rPr>
          <w:rFonts w:ascii="Franklin Gothic Book" w:hAnsi="Franklin Gothic Book" w:cs="Times New Roman"/>
          <w:sz w:val="22"/>
          <w:szCs w:val="22"/>
        </w:rPr>
        <w:t xml:space="preserve"> Regardless </w:t>
      </w:r>
      <w:r w:rsidR="0015152D" w:rsidRPr="009C0C39">
        <w:rPr>
          <w:rFonts w:ascii="Franklin Gothic Book" w:hAnsi="Franklin Gothic Book" w:cs="Times New Roman"/>
          <w:sz w:val="22"/>
          <w:szCs w:val="22"/>
        </w:rPr>
        <w:t xml:space="preserve">of </w:t>
      </w:r>
      <w:r w:rsidRPr="009C0C39">
        <w:rPr>
          <w:rFonts w:ascii="Franklin Gothic Book" w:hAnsi="Franklin Gothic Book" w:cs="Times New Roman"/>
          <w:sz w:val="22"/>
          <w:szCs w:val="22"/>
        </w:rPr>
        <w:t xml:space="preserve">whether proposed new capacity serves </w:t>
      </w:r>
      <w:r w:rsidR="00D218EA" w:rsidRPr="009C0C39">
        <w:rPr>
          <w:rFonts w:ascii="Franklin Gothic Book" w:hAnsi="Franklin Gothic Book" w:cs="Times New Roman"/>
          <w:sz w:val="22"/>
          <w:szCs w:val="22"/>
        </w:rPr>
        <w:t xml:space="preserve">new or </w:t>
      </w:r>
      <w:r w:rsidRPr="009C0C39">
        <w:rPr>
          <w:rFonts w:ascii="Franklin Gothic Book" w:hAnsi="Franklin Gothic Book" w:cs="Times New Roman"/>
          <w:sz w:val="22"/>
          <w:szCs w:val="22"/>
        </w:rPr>
        <w:t>existing patients,</w:t>
      </w:r>
      <w:r w:rsidRPr="009C0C39">
        <w:rPr>
          <w:rStyle w:val="FootnoteReference"/>
          <w:rFonts w:ascii="Franklin Gothic Book" w:hAnsi="Franklin Gothic Book" w:cs="Times New Roman"/>
          <w:sz w:val="22"/>
          <w:szCs w:val="22"/>
        </w:rPr>
        <w:footnoteReference w:id="102"/>
      </w:r>
      <w:r w:rsidRPr="009C0C39">
        <w:rPr>
          <w:rFonts w:ascii="Franklin Gothic Book" w:hAnsi="Franklin Gothic Book" w:cs="Times New Roman"/>
          <w:sz w:val="22"/>
          <w:szCs w:val="22"/>
        </w:rPr>
        <w:t xml:space="preserve"> differences in price between these other hospitals and MGH and Faulkner would increase health care spending as patients fill the proposed new inpatient capacity.</w:t>
      </w:r>
      <w:bookmarkStart w:id="85" w:name="_Ref92629268"/>
      <w:r w:rsidRPr="009C0C39">
        <w:rPr>
          <w:rStyle w:val="FootnoteReference"/>
          <w:rFonts w:ascii="Franklin Gothic Book" w:hAnsi="Franklin Gothic Book" w:cs="Times New Roman"/>
          <w:sz w:val="22"/>
          <w:szCs w:val="22"/>
        </w:rPr>
        <w:footnoteReference w:id="103"/>
      </w:r>
      <w:bookmarkEnd w:id="85"/>
      <w:r w:rsidRPr="009C0C39">
        <w:rPr>
          <w:rFonts w:ascii="Franklin Gothic Book" w:hAnsi="Franklin Gothic Book" w:cs="Times New Roman"/>
          <w:sz w:val="22"/>
          <w:szCs w:val="22"/>
        </w:rPr>
        <w:t xml:space="preserve"> Using econometric modeling and hospital relative price data,</w:t>
      </w:r>
      <w:bookmarkStart w:id="86" w:name="_Ref90814000"/>
      <w:r w:rsidRPr="009C0C39">
        <w:rPr>
          <w:rStyle w:val="FootnoteReference"/>
          <w:rFonts w:ascii="Franklin Gothic Book" w:hAnsi="Franklin Gothic Book" w:cs="Times New Roman"/>
          <w:sz w:val="22"/>
          <w:szCs w:val="22"/>
        </w:rPr>
        <w:footnoteReference w:id="104"/>
      </w:r>
      <w:bookmarkEnd w:id="86"/>
      <w:r w:rsidRPr="009C0C39">
        <w:rPr>
          <w:rFonts w:ascii="Franklin Gothic Book" w:hAnsi="Franklin Gothic Book" w:cs="Times New Roman"/>
          <w:sz w:val="22"/>
          <w:szCs w:val="22"/>
        </w:rPr>
        <w:t xml:space="preserve"> the HPC estimates that the expected shift of approximately 3,825 to 5,363 commercial discharges each year would increase commercial spending on inpatient care by $</w:t>
      </w:r>
      <w:r w:rsidR="00A54A61" w:rsidRPr="009C0C39">
        <w:rPr>
          <w:rFonts w:ascii="Franklin Gothic Book" w:hAnsi="Franklin Gothic Book" w:cs="Times New Roman"/>
          <w:sz w:val="22"/>
          <w:szCs w:val="22"/>
        </w:rPr>
        <w:t>26.6</w:t>
      </w:r>
      <w:r w:rsidRPr="009C0C39">
        <w:rPr>
          <w:rFonts w:ascii="Franklin Gothic Book" w:hAnsi="Franklin Gothic Book" w:cs="Times New Roman"/>
          <w:sz w:val="22"/>
          <w:szCs w:val="22"/>
        </w:rPr>
        <w:t xml:space="preserve"> million to $</w:t>
      </w:r>
      <w:r w:rsidR="00A54A61" w:rsidRPr="009C0C39">
        <w:rPr>
          <w:rFonts w:ascii="Franklin Gothic Book" w:hAnsi="Franklin Gothic Book" w:cs="Times New Roman"/>
          <w:sz w:val="22"/>
          <w:szCs w:val="22"/>
        </w:rPr>
        <w:t>38.7</w:t>
      </w:r>
      <w:r w:rsidRPr="009C0C39">
        <w:rPr>
          <w:rFonts w:ascii="Franklin Gothic Book" w:hAnsi="Franklin Gothic Book" w:cs="Times New Roman"/>
          <w:sz w:val="22"/>
          <w:szCs w:val="22"/>
        </w:rPr>
        <w:t xml:space="preserve"> million annually, adjusting for patient acuity. These figures would increase by approximately 17% to 19% (an additional 418 to 530 discharges and $</w:t>
      </w:r>
      <w:r w:rsidR="00A54A61" w:rsidRPr="009C0C39">
        <w:rPr>
          <w:rFonts w:ascii="Franklin Gothic Book" w:hAnsi="Franklin Gothic Book" w:cs="Times New Roman"/>
          <w:sz w:val="22"/>
          <w:szCs w:val="22"/>
        </w:rPr>
        <w:t>4.6</w:t>
      </w:r>
      <w:r w:rsidRPr="009C0C39">
        <w:rPr>
          <w:rFonts w:ascii="Franklin Gothic Book" w:hAnsi="Franklin Gothic Book" w:cs="Times New Roman"/>
          <w:sz w:val="22"/>
          <w:szCs w:val="22"/>
        </w:rPr>
        <w:t xml:space="preserve"> million to $</w:t>
      </w:r>
      <w:r w:rsidR="00A54A61" w:rsidRPr="009C0C39">
        <w:rPr>
          <w:rFonts w:ascii="Franklin Gothic Book" w:hAnsi="Franklin Gothic Book" w:cs="Times New Roman"/>
          <w:sz w:val="22"/>
          <w:szCs w:val="22"/>
        </w:rPr>
        <w:t>5.8</w:t>
      </w:r>
      <w:r w:rsidRPr="009C0C39">
        <w:rPr>
          <w:rFonts w:ascii="Franklin Gothic Book" w:hAnsi="Franklin Gothic Book" w:cs="Times New Roman"/>
          <w:sz w:val="22"/>
          <w:szCs w:val="22"/>
        </w:rPr>
        <w:t xml:space="preserve"> million) if the MGH project allows MGH to bring 24 additional licensed beds into operation.</w:t>
      </w:r>
      <w:r w:rsidR="00400316" w:rsidRPr="009C0C39">
        <w:rPr>
          <w:rStyle w:val="FootnoteReference"/>
          <w:rFonts w:ascii="Franklin Gothic Book" w:hAnsi="Franklin Gothic Book" w:cs="Times New Roman"/>
          <w:sz w:val="22"/>
          <w:szCs w:val="22"/>
        </w:rPr>
        <w:footnoteReference w:id="105"/>
      </w:r>
      <w:r w:rsidRPr="009C0C39">
        <w:rPr>
          <w:rFonts w:ascii="Franklin Gothic Book" w:hAnsi="Franklin Gothic Book" w:cs="Times New Roman"/>
          <w:sz w:val="22"/>
          <w:szCs w:val="22"/>
        </w:rPr>
        <w:t xml:space="preserve"> </w:t>
      </w:r>
    </w:p>
    <w:tbl>
      <w:tblPr>
        <w:tblW w:w="9440" w:type="dxa"/>
        <w:tblCellMar>
          <w:left w:w="0" w:type="dxa"/>
          <w:right w:w="0" w:type="dxa"/>
        </w:tblCellMar>
        <w:tblLook w:val="0420" w:firstRow="1" w:lastRow="0" w:firstColumn="0" w:lastColumn="0" w:noHBand="0" w:noVBand="1"/>
      </w:tblPr>
      <w:tblGrid>
        <w:gridCol w:w="3007"/>
        <w:gridCol w:w="38"/>
        <w:gridCol w:w="3001"/>
        <w:gridCol w:w="3394"/>
      </w:tblGrid>
      <w:tr w:rsidR="008377B6" w:rsidRPr="009C0C39" w14:paraId="43A138FA" w14:textId="77777777" w:rsidTr="002C3619">
        <w:trPr>
          <w:trHeight w:val="538"/>
        </w:trPr>
        <w:tc>
          <w:tcPr>
            <w:tcW w:w="9440" w:type="dxa"/>
            <w:gridSpan w:val="4"/>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0B61D7D2" w14:textId="77777777" w:rsidR="008377B6" w:rsidRPr="0083053F" w:rsidRDefault="008377B6" w:rsidP="00DC20B0">
            <w:pPr>
              <w:jc w:val="center"/>
              <w:rPr>
                <w:rFonts w:ascii="Franklin Gothic Demi Cond" w:eastAsia="Times New Roman" w:hAnsi="Franklin Gothic Demi Cond" w:cs="Times New Roman"/>
              </w:rPr>
            </w:pPr>
            <w:r w:rsidRPr="0083053F">
              <w:rPr>
                <w:rFonts w:ascii="Franklin Gothic Demi Cond" w:eastAsia="Times New Roman" w:hAnsi="Franklin Gothic Demi Cond" w:cs="Times New Roman"/>
                <w:color w:val="FFFFFF"/>
                <w:kern w:val="24"/>
              </w:rPr>
              <w:t>Commercial Discharge Shifts to Fill New MGB Inpatient Capacity</w:t>
            </w:r>
          </w:p>
        </w:tc>
      </w:tr>
      <w:tr w:rsidR="008377B6" w:rsidRPr="009C0C39" w14:paraId="115D24D2" w14:textId="77777777" w:rsidTr="002C3619">
        <w:trPr>
          <w:trHeight w:val="372"/>
        </w:trPr>
        <w:tc>
          <w:tcPr>
            <w:tcW w:w="3007" w:type="dxa"/>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1B13B6AC" w14:textId="77777777" w:rsidR="008377B6" w:rsidRPr="009C0C39" w:rsidRDefault="008377B6" w:rsidP="00DC20B0">
            <w:pPr>
              <w:rPr>
                <w:rFonts w:ascii="Franklin Gothic Book" w:eastAsia="Times New Roman" w:hAnsi="Franklin Gothic Book" w:cs="Times New Roman"/>
                <w:sz w:val="22"/>
                <w:szCs w:val="22"/>
              </w:rPr>
            </w:pPr>
          </w:p>
        </w:tc>
        <w:tc>
          <w:tcPr>
            <w:tcW w:w="3039" w:type="dxa"/>
            <w:gridSpan w:val="2"/>
            <w:tcBorders>
              <w:top w:val="single" w:sz="24" w:space="0" w:color="FFFFFF"/>
              <w:left w:val="single" w:sz="8" w:space="0" w:color="FFFFFF"/>
              <w:bottom w:val="single" w:sz="8" w:space="0" w:color="FFFFFF"/>
              <w:right w:val="single" w:sz="8" w:space="0" w:color="FFFFFF"/>
            </w:tcBorders>
            <w:shd w:val="clear" w:color="auto" w:fill="CCCFD6"/>
            <w:tcMar>
              <w:top w:w="15" w:type="dxa"/>
              <w:left w:w="15" w:type="dxa"/>
              <w:bottom w:w="0" w:type="dxa"/>
              <w:right w:w="15" w:type="dxa"/>
            </w:tcMar>
            <w:vAlign w:val="center"/>
            <w:hideMark/>
          </w:tcPr>
          <w:p w14:paraId="5E53B4E2" w14:textId="77777777" w:rsidR="008377B6" w:rsidRPr="009C0C39" w:rsidRDefault="008377B6" w:rsidP="00DC20B0">
            <w:pPr>
              <w:jc w:val="cente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Lower volume assumptions</w:t>
            </w:r>
          </w:p>
        </w:tc>
        <w:tc>
          <w:tcPr>
            <w:tcW w:w="3394" w:type="dxa"/>
            <w:tcBorders>
              <w:top w:val="single" w:sz="24" w:space="0" w:color="FFFFFF"/>
              <w:left w:val="single" w:sz="8" w:space="0" w:color="FFFFFF"/>
              <w:bottom w:val="single" w:sz="8" w:space="0" w:color="FFFFFF"/>
              <w:right w:val="single" w:sz="8" w:space="0" w:color="FFFFFF"/>
            </w:tcBorders>
            <w:shd w:val="clear" w:color="auto" w:fill="CCCFD6"/>
            <w:tcMar>
              <w:top w:w="15" w:type="dxa"/>
              <w:left w:w="15" w:type="dxa"/>
              <w:bottom w:w="0" w:type="dxa"/>
              <w:right w:w="15" w:type="dxa"/>
            </w:tcMar>
            <w:vAlign w:val="center"/>
            <w:hideMark/>
          </w:tcPr>
          <w:p w14:paraId="4C4F181E" w14:textId="77777777" w:rsidR="008377B6" w:rsidRPr="009C0C39" w:rsidRDefault="008377B6" w:rsidP="00DC20B0">
            <w:pPr>
              <w:jc w:val="cente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Higher volume assumptions</w:t>
            </w:r>
          </w:p>
        </w:tc>
      </w:tr>
      <w:tr w:rsidR="008377B6" w:rsidRPr="009C0C39" w14:paraId="5D8C7AE3" w14:textId="77777777" w:rsidTr="002C3619">
        <w:trPr>
          <w:trHeight w:val="414"/>
        </w:trPr>
        <w:tc>
          <w:tcPr>
            <w:tcW w:w="3007" w:type="dxa"/>
            <w:tcBorders>
              <w:top w:val="single" w:sz="8" w:space="0" w:color="FFFFFF"/>
              <w:left w:val="single" w:sz="8" w:space="0" w:color="FFFFFF"/>
              <w:bottom w:val="single" w:sz="8" w:space="0" w:color="FFFFFF"/>
              <w:right w:val="single" w:sz="8" w:space="0" w:color="FFFFFF"/>
            </w:tcBorders>
            <w:shd w:val="clear" w:color="auto" w:fill="E7E9EC"/>
            <w:tcMar>
              <w:top w:w="15" w:type="dxa"/>
              <w:left w:w="15" w:type="dxa"/>
              <w:bottom w:w="0" w:type="dxa"/>
              <w:right w:w="15" w:type="dxa"/>
            </w:tcMar>
            <w:vAlign w:val="center"/>
            <w:hideMark/>
          </w:tcPr>
          <w:p w14:paraId="3D5A51AC" w14:textId="77777777" w:rsidR="008377B6" w:rsidRPr="009C0C39" w:rsidRDefault="008377B6" w:rsidP="00DC20B0">
            <w:pP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MGH</w:t>
            </w:r>
          </w:p>
        </w:tc>
        <w:tc>
          <w:tcPr>
            <w:tcW w:w="3039" w:type="dxa"/>
            <w:gridSpan w:val="2"/>
            <w:tcBorders>
              <w:top w:val="single" w:sz="8" w:space="0" w:color="FFFFFF"/>
              <w:left w:val="single" w:sz="8" w:space="0" w:color="FFFFFF"/>
              <w:bottom w:val="single" w:sz="8" w:space="0" w:color="FFFFFF"/>
              <w:right w:val="single" w:sz="8" w:space="0" w:color="FFFFFF"/>
            </w:tcBorders>
            <w:shd w:val="clear" w:color="auto" w:fill="E7E9EC"/>
            <w:tcMar>
              <w:top w:w="15" w:type="dxa"/>
              <w:left w:w="15" w:type="dxa"/>
              <w:bottom w:w="0" w:type="dxa"/>
              <w:right w:w="15" w:type="dxa"/>
            </w:tcMar>
            <w:vAlign w:val="center"/>
            <w:hideMark/>
          </w:tcPr>
          <w:p w14:paraId="4CFC14F7" w14:textId="77777777" w:rsidR="008377B6" w:rsidRPr="009C0C39" w:rsidRDefault="008377B6" w:rsidP="00DC20B0">
            <w:pPr>
              <w:jc w:val="cente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2,161 to 2,579</w:t>
            </w:r>
          </w:p>
        </w:tc>
        <w:tc>
          <w:tcPr>
            <w:tcW w:w="3394" w:type="dxa"/>
            <w:tcBorders>
              <w:top w:val="single" w:sz="8" w:space="0" w:color="FFFFFF"/>
              <w:left w:val="single" w:sz="8" w:space="0" w:color="FFFFFF"/>
              <w:bottom w:val="single" w:sz="8" w:space="0" w:color="FFFFFF"/>
              <w:right w:val="single" w:sz="8" w:space="0" w:color="FFFFFF"/>
            </w:tcBorders>
            <w:shd w:val="clear" w:color="auto" w:fill="E7E9EC"/>
            <w:tcMar>
              <w:top w:w="15" w:type="dxa"/>
              <w:left w:w="15" w:type="dxa"/>
              <w:bottom w:w="0" w:type="dxa"/>
              <w:right w:w="15" w:type="dxa"/>
            </w:tcMar>
            <w:vAlign w:val="center"/>
            <w:hideMark/>
          </w:tcPr>
          <w:p w14:paraId="7DBD2DA1" w14:textId="77777777" w:rsidR="008377B6" w:rsidRPr="009C0C39" w:rsidRDefault="008377B6" w:rsidP="00DC20B0">
            <w:pPr>
              <w:jc w:val="cente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3,182 to 3,712</w:t>
            </w:r>
          </w:p>
        </w:tc>
      </w:tr>
      <w:tr w:rsidR="008377B6" w:rsidRPr="009C0C39" w14:paraId="18F9650D" w14:textId="77777777" w:rsidTr="002C3619">
        <w:trPr>
          <w:trHeight w:val="577"/>
        </w:trPr>
        <w:tc>
          <w:tcPr>
            <w:tcW w:w="3007" w:type="dxa"/>
            <w:tcBorders>
              <w:top w:val="single" w:sz="8" w:space="0" w:color="FFFFFF"/>
              <w:left w:val="single" w:sz="8" w:space="0" w:color="FFFFFF"/>
              <w:bottom w:val="single" w:sz="8" w:space="0" w:color="FFFFFF"/>
              <w:right w:val="single" w:sz="8" w:space="0" w:color="FFFFFF"/>
            </w:tcBorders>
            <w:shd w:val="clear" w:color="auto" w:fill="CCCFD6"/>
            <w:tcMar>
              <w:top w:w="15" w:type="dxa"/>
              <w:left w:w="15" w:type="dxa"/>
              <w:bottom w:w="0" w:type="dxa"/>
              <w:right w:w="15" w:type="dxa"/>
            </w:tcMar>
            <w:vAlign w:val="center"/>
            <w:hideMark/>
          </w:tcPr>
          <w:p w14:paraId="71534AFA" w14:textId="77777777" w:rsidR="008377B6" w:rsidRPr="009C0C39" w:rsidRDefault="008377B6" w:rsidP="00DC20B0">
            <w:pP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Faulkner</w:t>
            </w:r>
          </w:p>
        </w:tc>
        <w:tc>
          <w:tcPr>
            <w:tcW w:w="3039" w:type="dxa"/>
            <w:gridSpan w:val="2"/>
            <w:tcBorders>
              <w:top w:val="single" w:sz="8" w:space="0" w:color="FFFFFF"/>
              <w:left w:val="single" w:sz="8" w:space="0" w:color="FFFFFF"/>
              <w:bottom w:val="single" w:sz="8" w:space="0" w:color="FFFFFF"/>
              <w:right w:val="single" w:sz="8" w:space="0" w:color="FFFFFF"/>
            </w:tcBorders>
            <w:shd w:val="clear" w:color="auto" w:fill="CCCFD6"/>
            <w:tcMar>
              <w:top w:w="15" w:type="dxa"/>
              <w:left w:w="15" w:type="dxa"/>
              <w:bottom w:w="0" w:type="dxa"/>
              <w:right w:w="15" w:type="dxa"/>
            </w:tcMar>
            <w:vAlign w:val="center"/>
            <w:hideMark/>
          </w:tcPr>
          <w:p w14:paraId="237043F8" w14:textId="77777777" w:rsidR="008377B6" w:rsidRPr="009C0C39" w:rsidRDefault="008377B6" w:rsidP="00DC20B0">
            <w:pPr>
              <w:jc w:val="cente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1,664</w:t>
            </w:r>
          </w:p>
        </w:tc>
        <w:tc>
          <w:tcPr>
            <w:tcW w:w="3394" w:type="dxa"/>
            <w:tcBorders>
              <w:top w:val="single" w:sz="8" w:space="0" w:color="FFFFFF"/>
              <w:left w:val="single" w:sz="8" w:space="0" w:color="FFFFFF"/>
              <w:bottom w:val="single" w:sz="8" w:space="0" w:color="FFFFFF"/>
              <w:right w:val="single" w:sz="8" w:space="0" w:color="FFFFFF"/>
            </w:tcBorders>
            <w:shd w:val="clear" w:color="auto" w:fill="CCCFD6"/>
            <w:tcMar>
              <w:top w:w="15" w:type="dxa"/>
              <w:left w:w="15" w:type="dxa"/>
              <w:bottom w:w="0" w:type="dxa"/>
              <w:right w:w="15" w:type="dxa"/>
            </w:tcMar>
            <w:vAlign w:val="center"/>
            <w:hideMark/>
          </w:tcPr>
          <w:p w14:paraId="24EC5158" w14:textId="77777777" w:rsidR="008377B6" w:rsidRPr="009C0C39" w:rsidRDefault="008377B6" w:rsidP="00DC20B0">
            <w:pPr>
              <w:jc w:val="center"/>
              <w:textAlignment w:val="bottom"/>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2,181</w:t>
            </w:r>
          </w:p>
        </w:tc>
      </w:tr>
      <w:tr w:rsidR="008377B6" w:rsidRPr="009C0C39" w14:paraId="36AAA051" w14:textId="77777777" w:rsidTr="002C3619">
        <w:trPr>
          <w:trHeight w:val="480"/>
        </w:trPr>
        <w:tc>
          <w:tcPr>
            <w:tcW w:w="9440" w:type="dxa"/>
            <w:gridSpan w:val="4"/>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32A67386" w14:textId="77777777" w:rsidR="008377B6" w:rsidRPr="0083053F" w:rsidRDefault="008377B6" w:rsidP="00DC20B0">
            <w:pPr>
              <w:jc w:val="center"/>
              <w:rPr>
                <w:rFonts w:ascii="Franklin Gothic Demi Cond" w:eastAsia="Times New Roman" w:hAnsi="Franklin Gothic Demi Cond" w:cs="Times New Roman"/>
              </w:rPr>
            </w:pPr>
            <w:bookmarkStart w:id="87" w:name="_Hlk92712552"/>
            <w:r w:rsidRPr="0083053F">
              <w:rPr>
                <w:rFonts w:ascii="Franklin Gothic Demi Cond" w:eastAsia="Times New Roman" w:hAnsi="Franklin Gothic Demi Cond" w:cs="Times New Roman"/>
                <w:color w:val="FFFFFF"/>
                <w:kern w:val="24"/>
              </w:rPr>
              <w:t>Impact on Commercial Hospital Spending</w:t>
            </w:r>
          </w:p>
        </w:tc>
      </w:tr>
      <w:tr w:rsidR="008377B6" w:rsidRPr="009C0C39" w14:paraId="080CEDDC" w14:textId="77777777" w:rsidTr="002C3619">
        <w:trPr>
          <w:trHeight w:val="309"/>
        </w:trPr>
        <w:tc>
          <w:tcPr>
            <w:tcW w:w="3045" w:type="dxa"/>
            <w:gridSpan w:val="2"/>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hideMark/>
          </w:tcPr>
          <w:p w14:paraId="4AD50596" w14:textId="77777777" w:rsidR="008377B6" w:rsidRPr="009C0C39" w:rsidRDefault="008377B6" w:rsidP="00DC20B0">
            <w:pPr>
              <w:rPr>
                <w:rFonts w:ascii="Franklin Gothic Book" w:eastAsia="Times New Roman" w:hAnsi="Franklin Gothic Book" w:cs="Times New Roman"/>
                <w:sz w:val="22"/>
                <w:szCs w:val="22"/>
              </w:rPr>
            </w:pPr>
          </w:p>
        </w:tc>
        <w:tc>
          <w:tcPr>
            <w:tcW w:w="3001" w:type="dxa"/>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hideMark/>
          </w:tcPr>
          <w:p w14:paraId="6944343D"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Lower volume assumptions</w:t>
            </w:r>
          </w:p>
        </w:tc>
        <w:tc>
          <w:tcPr>
            <w:tcW w:w="3394" w:type="dxa"/>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hideMark/>
          </w:tcPr>
          <w:p w14:paraId="789505D0"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Higher volume assumptions</w:t>
            </w:r>
          </w:p>
        </w:tc>
      </w:tr>
      <w:tr w:rsidR="008377B6" w:rsidRPr="009C0C39" w14:paraId="201FDC1A" w14:textId="77777777" w:rsidTr="002C3619">
        <w:trPr>
          <w:trHeight w:val="79"/>
        </w:trPr>
        <w:tc>
          <w:tcPr>
            <w:tcW w:w="3045" w:type="dxa"/>
            <w:gridSpan w:val="2"/>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730DB69C"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MGH</w:t>
            </w:r>
          </w:p>
        </w:tc>
        <w:tc>
          <w:tcPr>
            <w:tcW w:w="3001"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70236685" w14:textId="6869645E"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w:t>
            </w:r>
            <w:r w:rsidR="00A54A61" w:rsidRPr="009C0C39">
              <w:rPr>
                <w:rFonts w:ascii="Franklin Gothic Book" w:eastAsia="Times New Roman" w:hAnsi="Franklin Gothic Book" w:cs="Times New Roman"/>
                <w:color w:val="000000"/>
                <w:kern w:val="24"/>
                <w:sz w:val="22"/>
                <w:szCs w:val="22"/>
              </w:rPr>
              <w:t>23.7</w:t>
            </w:r>
            <w:r w:rsidRPr="009C0C39">
              <w:rPr>
                <w:rFonts w:ascii="Franklin Gothic Book" w:eastAsia="Times New Roman" w:hAnsi="Franklin Gothic Book" w:cs="Times New Roman"/>
                <w:color w:val="000000"/>
                <w:kern w:val="24"/>
                <w:sz w:val="22"/>
                <w:szCs w:val="22"/>
              </w:rPr>
              <w:t>M to $</w:t>
            </w:r>
            <w:r w:rsidR="00A54A61" w:rsidRPr="009C0C39">
              <w:rPr>
                <w:rFonts w:ascii="Franklin Gothic Book" w:eastAsia="Times New Roman" w:hAnsi="Franklin Gothic Book" w:cs="Times New Roman"/>
                <w:color w:val="000000"/>
                <w:kern w:val="24"/>
                <w:sz w:val="22"/>
                <w:szCs w:val="22"/>
              </w:rPr>
              <w:t>28.3M</w:t>
            </w:r>
          </w:p>
        </w:tc>
        <w:tc>
          <w:tcPr>
            <w:tcW w:w="3394"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1920F33B" w14:textId="657965CC"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w:t>
            </w:r>
            <w:r w:rsidR="00A54A61" w:rsidRPr="009C0C39">
              <w:rPr>
                <w:rFonts w:ascii="Franklin Gothic Book" w:eastAsia="Times New Roman" w:hAnsi="Franklin Gothic Book" w:cs="Times New Roman"/>
                <w:color w:val="000000"/>
                <w:kern w:val="24"/>
                <w:sz w:val="22"/>
                <w:szCs w:val="22"/>
              </w:rPr>
              <w:t>34.8</w:t>
            </w:r>
            <w:r w:rsidRPr="009C0C39">
              <w:rPr>
                <w:rFonts w:ascii="Franklin Gothic Book" w:eastAsia="Times New Roman" w:hAnsi="Franklin Gothic Book" w:cs="Times New Roman"/>
                <w:color w:val="000000"/>
                <w:kern w:val="24"/>
                <w:sz w:val="22"/>
                <w:szCs w:val="22"/>
              </w:rPr>
              <w:t>M to $</w:t>
            </w:r>
            <w:r w:rsidR="00A54A61" w:rsidRPr="009C0C39">
              <w:rPr>
                <w:rFonts w:ascii="Franklin Gothic Book" w:eastAsia="Times New Roman" w:hAnsi="Franklin Gothic Book" w:cs="Times New Roman"/>
                <w:color w:val="000000"/>
                <w:kern w:val="24"/>
                <w:sz w:val="22"/>
                <w:szCs w:val="22"/>
              </w:rPr>
              <w:t>40.6</w:t>
            </w:r>
            <w:r w:rsidRPr="009C0C39">
              <w:rPr>
                <w:rFonts w:ascii="Franklin Gothic Book" w:eastAsia="Times New Roman" w:hAnsi="Franklin Gothic Book" w:cs="Times New Roman"/>
                <w:color w:val="000000"/>
                <w:kern w:val="24"/>
                <w:sz w:val="22"/>
                <w:szCs w:val="22"/>
              </w:rPr>
              <w:t>M</w:t>
            </w:r>
          </w:p>
        </w:tc>
      </w:tr>
      <w:tr w:rsidR="008377B6" w:rsidRPr="009C0C39" w14:paraId="36D5E292" w14:textId="77777777" w:rsidTr="002C3619">
        <w:trPr>
          <w:trHeight w:val="160"/>
        </w:trPr>
        <w:tc>
          <w:tcPr>
            <w:tcW w:w="3045" w:type="dxa"/>
            <w:gridSpan w:val="2"/>
            <w:tcBorders>
              <w:top w:val="single" w:sz="8"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014B97BB"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Faulkner</w:t>
            </w:r>
          </w:p>
        </w:tc>
        <w:tc>
          <w:tcPr>
            <w:tcW w:w="3001" w:type="dxa"/>
            <w:tcBorders>
              <w:top w:val="single" w:sz="8"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4C08A2F2" w14:textId="255E06F8"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w:t>
            </w:r>
            <w:r w:rsidR="00A54A61" w:rsidRPr="009C0C39">
              <w:rPr>
                <w:rFonts w:ascii="Franklin Gothic Book" w:eastAsia="Times New Roman" w:hAnsi="Franklin Gothic Book" w:cs="Times New Roman"/>
                <w:color w:val="000000"/>
                <w:kern w:val="24"/>
                <w:sz w:val="22"/>
                <w:szCs w:val="22"/>
              </w:rPr>
              <w:t>2.9</w:t>
            </w:r>
            <w:r w:rsidRPr="009C0C39">
              <w:rPr>
                <w:rFonts w:ascii="Franklin Gothic Book" w:eastAsia="Times New Roman" w:hAnsi="Franklin Gothic Book" w:cs="Times New Roman"/>
                <w:color w:val="000000"/>
                <w:kern w:val="24"/>
                <w:sz w:val="22"/>
                <w:szCs w:val="22"/>
              </w:rPr>
              <w:t>M</w:t>
            </w:r>
          </w:p>
        </w:tc>
        <w:tc>
          <w:tcPr>
            <w:tcW w:w="3394" w:type="dxa"/>
            <w:tcBorders>
              <w:top w:val="single" w:sz="8"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025FF8BB" w14:textId="2CE06914"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w:t>
            </w:r>
            <w:r w:rsidR="00A54A61" w:rsidRPr="009C0C39">
              <w:rPr>
                <w:rFonts w:ascii="Franklin Gothic Book" w:eastAsia="Times New Roman" w:hAnsi="Franklin Gothic Book" w:cs="Times New Roman"/>
                <w:color w:val="000000"/>
                <w:kern w:val="24"/>
                <w:sz w:val="22"/>
                <w:szCs w:val="22"/>
              </w:rPr>
              <w:t>3.8</w:t>
            </w:r>
            <w:r w:rsidRPr="009C0C39">
              <w:rPr>
                <w:rFonts w:ascii="Franklin Gothic Book" w:eastAsia="Times New Roman" w:hAnsi="Franklin Gothic Book" w:cs="Times New Roman"/>
                <w:color w:val="000000"/>
                <w:kern w:val="24"/>
                <w:sz w:val="22"/>
                <w:szCs w:val="22"/>
              </w:rPr>
              <w:t>M</w:t>
            </w:r>
          </w:p>
        </w:tc>
      </w:tr>
      <w:tr w:rsidR="008377B6" w:rsidRPr="009C0C39" w14:paraId="5217285A" w14:textId="77777777" w:rsidTr="002C3619">
        <w:trPr>
          <w:trHeight w:val="430"/>
        </w:trPr>
        <w:tc>
          <w:tcPr>
            <w:tcW w:w="3045" w:type="dxa"/>
            <w:gridSpan w:val="2"/>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4661BD34"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b/>
                <w:bCs/>
                <w:color w:val="000000"/>
                <w:kern w:val="24"/>
                <w:sz w:val="22"/>
                <w:szCs w:val="22"/>
              </w:rPr>
              <w:t>Total annual</w:t>
            </w:r>
          </w:p>
        </w:tc>
        <w:tc>
          <w:tcPr>
            <w:tcW w:w="3001"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2EA44D48" w14:textId="4BFBD00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b/>
                <w:bCs/>
                <w:color w:val="000000"/>
                <w:kern w:val="24"/>
                <w:sz w:val="22"/>
                <w:szCs w:val="22"/>
              </w:rPr>
              <w:t>$</w:t>
            </w:r>
            <w:r w:rsidR="00A54A61" w:rsidRPr="009C0C39">
              <w:rPr>
                <w:rFonts w:ascii="Franklin Gothic Book" w:eastAsia="Times New Roman" w:hAnsi="Franklin Gothic Book" w:cs="Times New Roman"/>
                <w:b/>
                <w:bCs/>
                <w:color w:val="000000"/>
                <w:kern w:val="24"/>
                <w:sz w:val="22"/>
                <w:szCs w:val="22"/>
              </w:rPr>
              <w:t>26.6</w:t>
            </w:r>
            <w:r w:rsidRPr="009C0C39">
              <w:rPr>
                <w:rFonts w:ascii="Franklin Gothic Book" w:eastAsia="Times New Roman" w:hAnsi="Franklin Gothic Book" w:cs="Times New Roman"/>
                <w:b/>
                <w:bCs/>
                <w:color w:val="000000"/>
                <w:kern w:val="24"/>
                <w:sz w:val="22"/>
                <w:szCs w:val="22"/>
              </w:rPr>
              <w:t>M to $</w:t>
            </w:r>
            <w:r w:rsidR="00A54A61" w:rsidRPr="009C0C39">
              <w:rPr>
                <w:rFonts w:ascii="Franklin Gothic Book" w:eastAsia="Times New Roman" w:hAnsi="Franklin Gothic Book" w:cs="Times New Roman"/>
                <w:b/>
                <w:bCs/>
                <w:color w:val="000000"/>
                <w:kern w:val="24"/>
                <w:sz w:val="22"/>
                <w:szCs w:val="22"/>
              </w:rPr>
              <w:t>31.2</w:t>
            </w:r>
            <w:r w:rsidRPr="009C0C39">
              <w:rPr>
                <w:rFonts w:ascii="Franklin Gothic Book" w:eastAsia="Times New Roman" w:hAnsi="Franklin Gothic Book" w:cs="Times New Roman"/>
                <w:b/>
                <w:bCs/>
                <w:color w:val="000000"/>
                <w:kern w:val="24"/>
                <w:sz w:val="22"/>
                <w:szCs w:val="22"/>
              </w:rPr>
              <w:t>M</w:t>
            </w:r>
          </w:p>
        </w:tc>
        <w:tc>
          <w:tcPr>
            <w:tcW w:w="3394"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70359161" w14:textId="69878A4E"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b/>
                <w:bCs/>
                <w:color w:val="000000"/>
                <w:kern w:val="24"/>
                <w:sz w:val="22"/>
                <w:szCs w:val="22"/>
              </w:rPr>
              <w:t>$</w:t>
            </w:r>
            <w:r w:rsidR="00A54A61" w:rsidRPr="009C0C39">
              <w:rPr>
                <w:rFonts w:ascii="Franklin Gothic Book" w:eastAsia="Times New Roman" w:hAnsi="Franklin Gothic Book" w:cs="Times New Roman"/>
                <w:b/>
                <w:bCs/>
                <w:color w:val="000000"/>
                <w:kern w:val="24"/>
                <w:sz w:val="22"/>
                <w:szCs w:val="22"/>
              </w:rPr>
              <w:t>38.7</w:t>
            </w:r>
            <w:r w:rsidRPr="009C0C39">
              <w:rPr>
                <w:rFonts w:ascii="Franklin Gothic Book" w:eastAsia="Times New Roman" w:hAnsi="Franklin Gothic Book" w:cs="Times New Roman"/>
                <w:b/>
                <w:bCs/>
                <w:color w:val="000000"/>
                <w:kern w:val="24"/>
                <w:sz w:val="22"/>
                <w:szCs w:val="22"/>
              </w:rPr>
              <w:t>M to $</w:t>
            </w:r>
            <w:r w:rsidR="00A54A61" w:rsidRPr="009C0C39">
              <w:rPr>
                <w:rFonts w:ascii="Franklin Gothic Book" w:eastAsia="Times New Roman" w:hAnsi="Franklin Gothic Book" w:cs="Times New Roman"/>
                <w:b/>
                <w:bCs/>
                <w:color w:val="000000"/>
                <w:kern w:val="24"/>
                <w:sz w:val="22"/>
                <w:szCs w:val="22"/>
              </w:rPr>
              <w:t>44.5</w:t>
            </w:r>
            <w:r w:rsidRPr="009C0C39">
              <w:rPr>
                <w:rFonts w:ascii="Franklin Gothic Book" w:eastAsia="Times New Roman" w:hAnsi="Franklin Gothic Book" w:cs="Times New Roman"/>
                <w:b/>
                <w:bCs/>
                <w:color w:val="000000"/>
                <w:kern w:val="24"/>
                <w:sz w:val="22"/>
                <w:szCs w:val="22"/>
              </w:rPr>
              <w:t>M</w:t>
            </w:r>
          </w:p>
        </w:tc>
      </w:tr>
    </w:tbl>
    <w:bookmarkEnd w:id="87"/>
    <w:p w14:paraId="5D73F71C" w14:textId="3E3940B3"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Sources: HPC analysis of 2009-2019 CHIA hospital discharge data, 2019 CHIA hospital relative price data, and MGH and Faulkner DoN </w:t>
      </w:r>
      <w:r w:rsidR="0033649C" w:rsidRPr="009C0C39">
        <w:rPr>
          <w:rFonts w:ascii="Franklin Gothic Book" w:hAnsi="Franklin Gothic Book" w:cs="Times New Roman"/>
          <w:sz w:val="18"/>
          <w:szCs w:val="18"/>
        </w:rPr>
        <w:t>A</w:t>
      </w:r>
      <w:r w:rsidRPr="009C0C39">
        <w:rPr>
          <w:rFonts w:ascii="Franklin Gothic Book" w:hAnsi="Franklin Gothic Book" w:cs="Times New Roman"/>
          <w:sz w:val="18"/>
          <w:szCs w:val="18"/>
        </w:rPr>
        <w:t>pplication narratives and change in service forms.</w:t>
      </w:r>
    </w:p>
    <w:p w14:paraId="44DBD506" w14:textId="00290952"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w:t>
      </w:r>
      <w:r w:rsidRPr="009C0C39">
        <w:rPr>
          <w:rFonts w:ascii="Franklin Gothic Book" w:hAnsi="Franklin Gothic Book" w:cs="Times New Roman"/>
          <w:i/>
          <w:iCs/>
          <w:sz w:val="18"/>
          <w:szCs w:val="18"/>
        </w:rPr>
        <w:t xml:space="preserve">See </w:t>
      </w:r>
      <w:hyperlink w:anchor="Appendix_IA" w:history="1">
        <w:r w:rsidR="00BA72D7" w:rsidRPr="009C0C39">
          <w:rPr>
            <w:rStyle w:val="Hyperlink"/>
            <w:rFonts w:ascii="Franklin Gothic Book" w:hAnsi="Franklin Gothic Book" w:cs="Times New Roman"/>
            <w:sz w:val="18"/>
            <w:szCs w:val="18"/>
          </w:rPr>
          <w:t>Appendix I.A</w:t>
        </w:r>
      </w:hyperlink>
      <w:r w:rsidR="00BA72D7" w:rsidRPr="009C0C39">
        <w:rPr>
          <w:rFonts w:ascii="Franklin Gothic Book" w:hAnsi="Franklin Gothic Book" w:cs="Times New Roman"/>
          <w:sz w:val="18"/>
          <w:szCs w:val="18"/>
        </w:rPr>
        <w:t xml:space="preserve"> and </w:t>
      </w:r>
      <w:r w:rsidRPr="009C0C39">
        <w:rPr>
          <w:rFonts w:ascii="Franklin Gothic Book" w:hAnsi="Franklin Gothic Book" w:cs="Times New Roman"/>
          <w:sz w:val="18"/>
          <w:szCs w:val="18"/>
        </w:rPr>
        <w:t xml:space="preserve">note </w:t>
      </w:r>
      <w:r w:rsidRPr="009C0C39">
        <w:rPr>
          <w:rFonts w:ascii="Franklin Gothic Book" w:hAnsi="Franklin Gothic Book" w:cs="Times New Roman"/>
          <w:sz w:val="18"/>
          <w:szCs w:val="18"/>
        </w:rPr>
        <w:fldChar w:fldCharType="begin"/>
      </w:r>
      <w:r w:rsidRPr="009C0C39">
        <w:rPr>
          <w:rFonts w:ascii="Franklin Gothic Book" w:hAnsi="Franklin Gothic Book" w:cs="Times New Roman"/>
          <w:sz w:val="18"/>
          <w:szCs w:val="18"/>
        </w:rPr>
        <w:instrText xml:space="preserve"> NOTEREF _Ref90814000 \h  \* MERGEFORMAT </w:instrText>
      </w:r>
      <w:r w:rsidRPr="009C0C39">
        <w:rPr>
          <w:rFonts w:ascii="Franklin Gothic Book" w:hAnsi="Franklin Gothic Book" w:cs="Times New Roman"/>
          <w:sz w:val="18"/>
          <w:szCs w:val="18"/>
        </w:rPr>
      </w:r>
      <w:r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103</w:t>
      </w:r>
      <w:r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for methodology description. Estimates assume new capacity will not divert patients from other MGB hospitals, or that those hospitals will backfill any volume that shifts. Range of impacts shown for MGH reflects the omission or addition of 24 beds licensed but out of service. </w:t>
      </w:r>
    </w:p>
    <w:p w14:paraId="40881794" w14:textId="77777777" w:rsidR="008377B6" w:rsidRPr="009C0C39" w:rsidRDefault="008377B6" w:rsidP="008377B6">
      <w:pPr>
        <w:rPr>
          <w:rFonts w:ascii="Franklin Gothic Book" w:hAnsi="Franklin Gothic Book" w:cs="Times New Roman"/>
          <w:sz w:val="22"/>
          <w:szCs w:val="22"/>
        </w:rPr>
      </w:pPr>
    </w:p>
    <w:p w14:paraId="3FFD5EC9" w14:textId="4AD97703" w:rsidR="008377B6" w:rsidRPr="009C0C39" w:rsidRDefault="008377B6" w:rsidP="008377B6">
      <w:pPr>
        <w:rPr>
          <w:rFonts w:ascii="Franklin Gothic Book" w:hAnsi="Franklin Gothic Book" w:cs="Times New Roman"/>
          <w:sz w:val="22"/>
          <w:szCs w:val="22"/>
        </w:rPr>
      </w:pPr>
      <w:r w:rsidRPr="009C0C39">
        <w:rPr>
          <w:rFonts w:ascii="Franklin Gothic Book" w:hAnsi="Franklin Gothic Book" w:cs="Times New Roman"/>
          <w:sz w:val="22"/>
          <w:szCs w:val="22"/>
        </w:rPr>
        <w:t>Although the HPC did not estimate spending impacts for non-commercial payers, the ICAs find that the MGH expansion would increase inpatient spending for managed and non-managed Medicare and MassHealth care, while the Faulkner expansion would reduce spending for managed and non-managed Medicare and managed MassHealth care and increase spending for non-managed MassHealth care.</w:t>
      </w:r>
      <w:r w:rsidRPr="009C0C39">
        <w:rPr>
          <w:rStyle w:val="FootnoteReference"/>
          <w:rFonts w:ascii="Franklin Gothic Book" w:hAnsi="Franklin Gothic Book" w:cs="Times New Roman"/>
          <w:sz w:val="22"/>
          <w:szCs w:val="22"/>
        </w:rPr>
        <w:footnoteReference w:id="106"/>
      </w:r>
      <w:r w:rsidRPr="009C0C39">
        <w:rPr>
          <w:rFonts w:ascii="Franklin Gothic Book" w:hAnsi="Franklin Gothic Book" w:cs="Times New Roman"/>
          <w:sz w:val="22"/>
          <w:szCs w:val="22"/>
        </w:rPr>
        <w:t xml:space="preserve"> </w:t>
      </w:r>
    </w:p>
    <w:p w14:paraId="762A0C93" w14:textId="77777777" w:rsidR="008377B6" w:rsidRPr="009C0C39" w:rsidRDefault="008377B6" w:rsidP="008377B6">
      <w:pPr>
        <w:rPr>
          <w:rFonts w:ascii="Franklin Gothic Book" w:hAnsi="Franklin Gothic Book" w:cs="Times New Roman"/>
          <w:sz w:val="22"/>
          <w:szCs w:val="22"/>
        </w:rPr>
      </w:pPr>
    </w:p>
    <w:p w14:paraId="46314F26" w14:textId="77777777" w:rsidR="008377B6" w:rsidRPr="009C0C39" w:rsidRDefault="008377B6" w:rsidP="009257C1">
      <w:pPr>
        <w:pStyle w:val="ListParagraph"/>
        <w:numPr>
          <w:ilvl w:val="1"/>
          <w:numId w:val="9"/>
        </w:numPr>
        <w:rPr>
          <w:rFonts w:ascii="Franklin Gothic Book" w:hAnsi="Franklin Gothic Book" w:cs="Times New Roman"/>
          <w:i/>
          <w:iCs/>
          <w:sz w:val="22"/>
          <w:szCs w:val="22"/>
        </w:rPr>
      </w:pPr>
      <w:bookmarkStart w:id="89" w:name="_Hlk93056013"/>
      <w:r w:rsidRPr="009C0C39">
        <w:rPr>
          <w:rFonts w:ascii="Franklin Gothic Book" w:hAnsi="Franklin Gothic Book" w:cs="Times New Roman"/>
          <w:i/>
          <w:iCs/>
          <w:sz w:val="22"/>
          <w:szCs w:val="22"/>
        </w:rPr>
        <w:t>Commercial spending would likely increase as MGH fills proposed new outpatient capacity, while spending impacts of adding Faulkner outpatient capacity may be mixed.</w:t>
      </w:r>
    </w:p>
    <w:bookmarkEnd w:id="89"/>
    <w:p w14:paraId="6CB6466F" w14:textId="77777777" w:rsidR="008377B6" w:rsidRPr="009C0C39" w:rsidRDefault="008377B6" w:rsidP="00FA1DCD">
      <w:pPr>
        <w:pStyle w:val="ListParagraph"/>
        <w:ind w:left="1440"/>
        <w:rPr>
          <w:rFonts w:ascii="Franklin Gothic Book" w:hAnsi="Franklin Gothic Book" w:cs="Times New Roman"/>
          <w:sz w:val="22"/>
          <w:szCs w:val="22"/>
        </w:rPr>
      </w:pPr>
    </w:p>
    <w:p w14:paraId="6D232726" w14:textId="6E167A55" w:rsidR="004632C0" w:rsidRPr="009C0C39" w:rsidRDefault="008377B6" w:rsidP="004632C0">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proposed hospital expansions would also add capacity for outpatient care across several service lines, including new advanced imaging units at both hospitals, endoscopy procedure capacity and observation beds at Faulkner, and cardiac and cardiovascular procedure rooms, oncology infusion bays, and non-procedural outpatient cardiovascular and oncology care at MGH.</w:t>
      </w:r>
      <w:r w:rsidRPr="009C0C39">
        <w:rPr>
          <w:rStyle w:val="FootnoteReference"/>
          <w:rFonts w:ascii="Franklin Gothic Book" w:hAnsi="Franklin Gothic Book" w:cs="Times New Roman"/>
          <w:sz w:val="22"/>
          <w:szCs w:val="22"/>
        </w:rPr>
        <w:footnoteReference w:id="107"/>
      </w:r>
      <w:r w:rsidRPr="009C0C39">
        <w:rPr>
          <w:rFonts w:ascii="Franklin Gothic Book" w:hAnsi="Franklin Gothic Book" w:cs="Times New Roman"/>
          <w:sz w:val="22"/>
          <w:szCs w:val="22"/>
        </w:rPr>
        <w:t xml:space="preserve"> Most patients filling this new capacity would likely otherwise receive care at other providers, either other area HOPDs or non-HOPD (ASC or clinic-licensed) locations.</w:t>
      </w:r>
      <w:r w:rsidRPr="009C0C39">
        <w:rPr>
          <w:rStyle w:val="FootnoteReference"/>
          <w:rFonts w:ascii="Franklin Gothic Book" w:hAnsi="Franklin Gothic Book" w:cs="Times New Roman"/>
          <w:sz w:val="22"/>
          <w:szCs w:val="22"/>
        </w:rPr>
        <w:footnoteReference w:id="108"/>
      </w:r>
      <w:r w:rsidRPr="009C0C39">
        <w:rPr>
          <w:rFonts w:ascii="Franklin Gothic Book" w:hAnsi="Franklin Gothic Book" w:cs="Times New Roman"/>
          <w:sz w:val="22"/>
          <w:szCs w:val="22"/>
        </w:rPr>
        <w:t xml:space="preserve"> Differences in price between these other providers and MGH and Faulkner would impact health care spending as patients fill the proposed new outpatient capacity. </w:t>
      </w:r>
    </w:p>
    <w:p w14:paraId="7FE19233" w14:textId="77777777" w:rsidR="008377B6" w:rsidRPr="009C0C39" w:rsidRDefault="008377B6" w:rsidP="004632C0">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Because of MGH’s high commercial prices for outpatient care relative to other providers, outpatient care filling new capacity at MGH is likely to increase commercial spending. Because Faulkner competes for outpatient care with some higher-priced providers, including AMCs, commercial spending may decrease for some services, like MRI.</w:t>
      </w:r>
      <w:r w:rsidRPr="009C0C39">
        <w:rPr>
          <w:rStyle w:val="FootnoteReference"/>
          <w:rFonts w:ascii="Franklin Gothic Book" w:hAnsi="Franklin Gothic Book" w:cs="Times New Roman"/>
          <w:sz w:val="22"/>
          <w:szCs w:val="22"/>
        </w:rPr>
        <w:footnoteReference w:id="109"/>
      </w:r>
      <w:r w:rsidRPr="009C0C39">
        <w:rPr>
          <w:rFonts w:ascii="Franklin Gothic Book" w:hAnsi="Franklin Gothic Book" w:cs="Times New Roman"/>
          <w:sz w:val="22"/>
          <w:szCs w:val="22"/>
        </w:rPr>
        <w:t xml:space="preserve"> However, this may not be true across all service lines; for example, Faulkner commercial prices for some outpatient endoscopy </w:t>
      </w:r>
      <w:r w:rsidRPr="009C0C39">
        <w:rPr>
          <w:rFonts w:ascii="Franklin Gothic Book" w:hAnsi="Franklin Gothic Book" w:cs="Times New Roman"/>
          <w:sz w:val="22"/>
          <w:szCs w:val="22"/>
        </w:rPr>
        <w:lastRenderedPageBreak/>
        <w:t>procedures are relatively high.</w:t>
      </w:r>
      <w:r w:rsidRPr="009C0C39">
        <w:rPr>
          <w:rStyle w:val="FootnoteReference"/>
          <w:rFonts w:ascii="Franklin Gothic Book" w:hAnsi="Franklin Gothic Book" w:cs="Times New Roman"/>
          <w:sz w:val="22"/>
          <w:szCs w:val="22"/>
        </w:rPr>
        <w:footnoteReference w:id="110"/>
      </w:r>
      <w:r w:rsidRPr="009C0C39">
        <w:rPr>
          <w:rFonts w:ascii="Franklin Gothic Book" w:hAnsi="Franklin Gothic Book" w:cs="Times New Roman"/>
          <w:sz w:val="22"/>
          <w:szCs w:val="22"/>
        </w:rPr>
        <w:t xml:space="preserve"> The HPC quantified potential spending impacts for outpatient imaging as shown below.</w:t>
      </w:r>
    </w:p>
    <w:p w14:paraId="0BB2B1A8" w14:textId="77777777" w:rsidR="008377B6" w:rsidRPr="009C0C39" w:rsidRDefault="008377B6" w:rsidP="004632C0">
      <w:pPr>
        <w:spacing w:after="240"/>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Commercial Spending Impacts per New MR or CT Scan at MGH and Faulkner</w:t>
      </w:r>
    </w:p>
    <w:tbl>
      <w:tblPr>
        <w:tblW w:w="9797" w:type="dxa"/>
        <w:tblCellMar>
          <w:left w:w="0" w:type="dxa"/>
          <w:right w:w="0" w:type="dxa"/>
        </w:tblCellMar>
        <w:tblLook w:val="0420" w:firstRow="1" w:lastRow="0" w:firstColumn="0" w:lastColumn="0" w:noHBand="0" w:noVBand="1"/>
      </w:tblPr>
      <w:tblGrid>
        <w:gridCol w:w="3680"/>
        <w:gridCol w:w="3150"/>
        <w:gridCol w:w="2967"/>
      </w:tblGrid>
      <w:tr w:rsidR="008377B6" w:rsidRPr="009C0C39" w14:paraId="577BA229" w14:textId="77777777" w:rsidTr="0083053F">
        <w:trPr>
          <w:trHeight w:val="387"/>
        </w:trPr>
        <w:tc>
          <w:tcPr>
            <w:tcW w:w="3680" w:type="dxa"/>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615628B6" w14:textId="77777777" w:rsidR="008377B6" w:rsidRPr="0083053F" w:rsidRDefault="008377B6" w:rsidP="008B645F">
            <w:pPr>
              <w:jc w:val="center"/>
              <w:rPr>
                <w:rFonts w:ascii="Franklin Gothic Demi Cond" w:eastAsia="Times New Roman" w:hAnsi="Franklin Gothic Demi Cond" w:cs="Times New Roman"/>
              </w:rPr>
            </w:pPr>
            <w:r w:rsidRPr="0083053F">
              <w:rPr>
                <w:rFonts w:ascii="Franklin Gothic Demi Cond" w:eastAsia="Times New Roman" w:hAnsi="Franklin Gothic Demi Cond" w:cs="Times New Roman"/>
                <w:color w:val="FFFFFF"/>
                <w:kern w:val="24"/>
              </w:rPr>
              <w:t>Average spending impact per case</w:t>
            </w:r>
          </w:p>
        </w:tc>
        <w:tc>
          <w:tcPr>
            <w:tcW w:w="3150" w:type="dxa"/>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4164AE2D" w14:textId="77777777" w:rsidR="008377B6" w:rsidRPr="0083053F" w:rsidRDefault="008377B6" w:rsidP="008B645F">
            <w:pPr>
              <w:jc w:val="center"/>
              <w:rPr>
                <w:rFonts w:ascii="Franklin Gothic Demi Cond" w:eastAsia="Times New Roman" w:hAnsi="Franklin Gothic Demi Cond" w:cs="Times New Roman"/>
              </w:rPr>
            </w:pPr>
            <w:r w:rsidRPr="0083053F">
              <w:rPr>
                <w:rFonts w:ascii="Franklin Gothic Demi Cond" w:eastAsia="Times New Roman" w:hAnsi="Franklin Gothic Demi Cond" w:cs="Times New Roman"/>
                <w:color w:val="FFFFFF"/>
                <w:kern w:val="24"/>
              </w:rPr>
              <w:t>MRI scans</w:t>
            </w:r>
          </w:p>
        </w:tc>
        <w:tc>
          <w:tcPr>
            <w:tcW w:w="2967" w:type="dxa"/>
            <w:tcBorders>
              <w:top w:val="single" w:sz="8" w:space="0" w:color="FFFFFF"/>
              <w:left w:val="single" w:sz="8" w:space="0" w:color="FFFFFF"/>
              <w:bottom w:val="single" w:sz="24" w:space="0" w:color="FFFFFF"/>
              <w:right w:val="single" w:sz="8" w:space="0" w:color="FFFFFF"/>
            </w:tcBorders>
            <w:shd w:val="clear" w:color="auto" w:fill="094975"/>
            <w:tcMar>
              <w:top w:w="72" w:type="dxa"/>
              <w:left w:w="144" w:type="dxa"/>
              <w:bottom w:w="72" w:type="dxa"/>
              <w:right w:w="144" w:type="dxa"/>
            </w:tcMar>
            <w:vAlign w:val="center"/>
            <w:hideMark/>
          </w:tcPr>
          <w:p w14:paraId="4E7AC8F1" w14:textId="77777777" w:rsidR="008377B6" w:rsidRPr="0083053F" w:rsidRDefault="008377B6" w:rsidP="008B645F">
            <w:pPr>
              <w:jc w:val="center"/>
              <w:rPr>
                <w:rFonts w:ascii="Franklin Gothic Demi Cond" w:eastAsia="Times New Roman" w:hAnsi="Franklin Gothic Demi Cond" w:cs="Times New Roman"/>
              </w:rPr>
            </w:pPr>
            <w:r w:rsidRPr="0083053F">
              <w:rPr>
                <w:rFonts w:ascii="Franklin Gothic Demi Cond" w:eastAsia="Times New Roman" w:hAnsi="Franklin Gothic Demi Cond" w:cs="Times New Roman"/>
                <w:color w:val="FFFFFF"/>
                <w:kern w:val="24"/>
              </w:rPr>
              <w:t>CT scans</w:t>
            </w:r>
          </w:p>
        </w:tc>
      </w:tr>
      <w:tr w:rsidR="008377B6" w:rsidRPr="009C0C39" w14:paraId="3D21CBFE" w14:textId="77777777" w:rsidTr="0083053F">
        <w:trPr>
          <w:trHeight w:val="326"/>
        </w:trPr>
        <w:tc>
          <w:tcPr>
            <w:tcW w:w="3680" w:type="dxa"/>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3D08EC37"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MGH</w:t>
            </w:r>
          </w:p>
        </w:tc>
        <w:tc>
          <w:tcPr>
            <w:tcW w:w="3150" w:type="dxa"/>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1A5AD459"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$176</w:t>
            </w:r>
          </w:p>
        </w:tc>
        <w:tc>
          <w:tcPr>
            <w:tcW w:w="2967" w:type="dxa"/>
            <w:tcBorders>
              <w:top w:val="single" w:sz="24" w:space="0" w:color="FFFFFF"/>
              <w:left w:val="single" w:sz="8" w:space="0" w:color="FFFFFF"/>
              <w:bottom w:val="single" w:sz="8" w:space="0" w:color="FFFFFF"/>
              <w:right w:val="single" w:sz="8" w:space="0" w:color="FFFFFF"/>
            </w:tcBorders>
            <w:shd w:val="clear" w:color="auto" w:fill="CCCFD6"/>
            <w:tcMar>
              <w:top w:w="72" w:type="dxa"/>
              <w:left w:w="144" w:type="dxa"/>
              <w:bottom w:w="72" w:type="dxa"/>
              <w:right w:w="144" w:type="dxa"/>
            </w:tcMar>
            <w:vAlign w:val="center"/>
            <w:hideMark/>
          </w:tcPr>
          <w:p w14:paraId="2991100F"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$126</w:t>
            </w:r>
          </w:p>
        </w:tc>
      </w:tr>
      <w:tr w:rsidR="008377B6" w:rsidRPr="009C0C39" w14:paraId="4C7798E9" w14:textId="77777777" w:rsidTr="0083053F">
        <w:trPr>
          <w:trHeight w:val="326"/>
        </w:trPr>
        <w:tc>
          <w:tcPr>
            <w:tcW w:w="3680"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549BA01F" w14:textId="77777777" w:rsidR="008377B6" w:rsidRPr="009C0C39" w:rsidRDefault="008377B6" w:rsidP="00DC20B0">
            <w:pP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Faulkner</w:t>
            </w:r>
          </w:p>
        </w:tc>
        <w:tc>
          <w:tcPr>
            <w:tcW w:w="3150"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715A9EB9"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FF0000"/>
                <w:kern w:val="24"/>
                <w:sz w:val="22"/>
                <w:szCs w:val="22"/>
              </w:rPr>
              <w:t>-$113</w:t>
            </w:r>
          </w:p>
        </w:tc>
        <w:tc>
          <w:tcPr>
            <w:tcW w:w="2967" w:type="dxa"/>
            <w:tcBorders>
              <w:top w:val="single" w:sz="8" w:space="0" w:color="FFFFFF"/>
              <w:left w:val="single" w:sz="8" w:space="0" w:color="FFFFFF"/>
              <w:bottom w:val="single" w:sz="8" w:space="0" w:color="FFFFFF"/>
              <w:right w:val="single" w:sz="8" w:space="0" w:color="FFFFFF"/>
            </w:tcBorders>
            <w:shd w:val="clear" w:color="auto" w:fill="E7E9EC"/>
            <w:tcMar>
              <w:top w:w="72" w:type="dxa"/>
              <w:left w:w="144" w:type="dxa"/>
              <w:bottom w:w="72" w:type="dxa"/>
              <w:right w:w="144" w:type="dxa"/>
            </w:tcMar>
            <w:vAlign w:val="center"/>
            <w:hideMark/>
          </w:tcPr>
          <w:p w14:paraId="3C881AC4" w14:textId="77777777" w:rsidR="008377B6" w:rsidRPr="009C0C39" w:rsidRDefault="008377B6" w:rsidP="00DC20B0">
            <w:pPr>
              <w:jc w:val="center"/>
              <w:rPr>
                <w:rFonts w:ascii="Franklin Gothic Book" w:eastAsia="Times New Roman" w:hAnsi="Franklin Gothic Book" w:cs="Times New Roman"/>
                <w:sz w:val="22"/>
                <w:szCs w:val="22"/>
              </w:rPr>
            </w:pPr>
            <w:r w:rsidRPr="009C0C39">
              <w:rPr>
                <w:rFonts w:ascii="Franklin Gothic Book" w:eastAsia="Times New Roman" w:hAnsi="Franklin Gothic Book" w:cs="Times New Roman"/>
                <w:color w:val="000000"/>
                <w:kern w:val="24"/>
                <w:sz w:val="22"/>
                <w:szCs w:val="22"/>
              </w:rPr>
              <w:t>N/A</w:t>
            </w:r>
          </w:p>
        </w:tc>
      </w:tr>
    </w:tbl>
    <w:p w14:paraId="2331F5F8" w14:textId="5578A190"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Sources: HPC analysis of 2018 CHIA APCD, MGH </w:t>
      </w:r>
      <w:r w:rsidR="001464F7" w:rsidRPr="009C0C39">
        <w:rPr>
          <w:rFonts w:ascii="Franklin Gothic Book" w:hAnsi="Franklin Gothic Book" w:cs="Times New Roman"/>
          <w:sz w:val="18"/>
          <w:szCs w:val="18"/>
        </w:rPr>
        <w:t>DoN Application</w:t>
      </w:r>
      <w:r w:rsidRPr="009C0C39">
        <w:rPr>
          <w:rFonts w:ascii="Franklin Gothic Book" w:hAnsi="Franklin Gothic Book" w:cs="Times New Roman"/>
          <w:sz w:val="18"/>
          <w:szCs w:val="18"/>
        </w:rPr>
        <w:t xml:space="preserve">,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EE0F00" w:rsidRPr="009C0C39">
        <w:rPr>
          <w:rFonts w:ascii="Franklin Gothic Book" w:hAnsi="Franklin Gothic Book" w:cs="Times New Roman"/>
          <w:sz w:val="18"/>
          <w:szCs w:val="18"/>
        </w:rPr>
        <w:fldChar w:fldCharType="begin"/>
      </w:r>
      <w:r w:rsidR="00EE0F00" w:rsidRPr="009C0C39">
        <w:rPr>
          <w:rFonts w:ascii="Franklin Gothic Book" w:hAnsi="Franklin Gothic Book" w:cs="Times New Roman"/>
          <w:sz w:val="18"/>
          <w:szCs w:val="18"/>
        </w:rPr>
        <w:instrText xml:space="preserve"> NOTEREF _Ref93624434 \h  \* MERGEFORMAT </w:instrText>
      </w:r>
      <w:r w:rsidR="00EE0F00" w:rsidRPr="009C0C39">
        <w:rPr>
          <w:rFonts w:ascii="Franklin Gothic Book" w:hAnsi="Franklin Gothic Book" w:cs="Times New Roman"/>
          <w:sz w:val="18"/>
          <w:szCs w:val="18"/>
        </w:rPr>
      </w:r>
      <w:r w:rsidR="00EE0F00"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8</w:t>
      </w:r>
      <w:r w:rsidR="00EE0F00"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Faulkner DoN </w:t>
      </w:r>
      <w:r w:rsidR="001464F7" w:rsidRPr="009C0C39">
        <w:rPr>
          <w:rFonts w:ascii="Franklin Gothic Book" w:hAnsi="Franklin Gothic Book" w:cs="Times New Roman"/>
          <w:sz w:val="18"/>
          <w:szCs w:val="18"/>
        </w:rPr>
        <w:t>Application</w:t>
      </w:r>
      <w:r w:rsidRPr="009C0C39">
        <w:rPr>
          <w:rFonts w:ascii="Franklin Gothic Book" w:hAnsi="Franklin Gothic Book" w:cs="Times New Roman"/>
          <w:sz w:val="18"/>
          <w:szCs w:val="18"/>
        </w:rPr>
        <w:t xml:space="preserve">,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EE0F00" w:rsidRPr="009C0C39">
        <w:rPr>
          <w:rFonts w:ascii="Franklin Gothic Book" w:hAnsi="Franklin Gothic Book" w:cs="Times New Roman"/>
          <w:sz w:val="18"/>
          <w:szCs w:val="18"/>
        </w:rPr>
        <w:fldChar w:fldCharType="begin"/>
      </w:r>
      <w:r w:rsidR="00EE0F00" w:rsidRPr="009C0C39">
        <w:rPr>
          <w:rFonts w:ascii="Franklin Gothic Book" w:hAnsi="Franklin Gothic Book" w:cs="Times New Roman"/>
          <w:sz w:val="18"/>
          <w:szCs w:val="18"/>
        </w:rPr>
        <w:instrText xml:space="preserve"> NOTEREF _Ref93654856 \h  \* MERGEFORMAT </w:instrText>
      </w:r>
      <w:r w:rsidR="00EE0F00" w:rsidRPr="009C0C39">
        <w:rPr>
          <w:rFonts w:ascii="Franklin Gothic Book" w:hAnsi="Franklin Gothic Book" w:cs="Times New Roman"/>
          <w:sz w:val="18"/>
          <w:szCs w:val="18"/>
        </w:rPr>
      </w:r>
      <w:r w:rsidR="00EE0F00"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10</w:t>
      </w:r>
      <w:r w:rsidR="00EE0F00"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w:t>
      </w:r>
    </w:p>
    <w:p w14:paraId="4EB5DDF8" w14:textId="5DDF1B70" w:rsidR="008377B6" w:rsidRPr="009C0C39" w:rsidRDefault="008377B6" w:rsidP="008377B6">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Spending impacts based on </w:t>
      </w:r>
      <w:r w:rsidR="00DE5843" w:rsidRPr="009C0C39">
        <w:rPr>
          <w:rFonts w:ascii="Franklin Gothic Book" w:hAnsi="Franklin Gothic Book" w:cs="Times New Roman"/>
          <w:sz w:val="18"/>
          <w:szCs w:val="18"/>
        </w:rPr>
        <w:t xml:space="preserve">prices as described in </w:t>
      </w:r>
      <w:hyperlink w:anchor="Appendix_IA" w:history="1">
        <w:r w:rsidR="00DE5843" w:rsidRPr="009C0C39">
          <w:rPr>
            <w:rStyle w:val="Hyperlink"/>
            <w:rFonts w:ascii="Franklin Gothic Book" w:hAnsi="Franklin Gothic Book" w:cs="Times New Roman"/>
            <w:sz w:val="18"/>
            <w:szCs w:val="18"/>
          </w:rPr>
          <w:t>Appendix I.A</w:t>
        </w:r>
      </w:hyperlink>
      <w:r w:rsidRPr="009C0C39">
        <w:rPr>
          <w:rFonts w:ascii="Franklin Gothic Book" w:hAnsi="Franklin Gothic Book" w:cs="Times New Roman"/>
          <w:sz w:val="18"/>
          <w:szCs w:val="18"/>
        </w:rPr>
        <w:t xml:space="preserve">. The HPC calculated the percent difference in price between average prices MGH and </w:t>
      </w:r>
      <w:r w:rsidR="00853AF7">
        <w:rPr>
          <w:rFonts w:ascii="Franklin Gothic Book" w:hAnsi="Franklin Gothic Book" w:cs="Times New Roman"/>
          <w:sz w:val="18"/>
          <w:szCs w:val="18"/>
        </w:rPr>
        <w:t>Faulkner</w:t>
      </w:r>
      <w:r w:rsidR="00853AF7" w:rsidRPr="009C0C39">
        <w:rPr>
          <w:rFonts w:ascii="Franklin Gothic Book" w:hAnsi="Franklin Gothic Book" w:cs="Times New Roman"/>
          <w:sz w:val="18"/>
          <w:szCs w:val="18"/>
        </w:rPr>
        <w:t xml:space="preserve"> </w:t>
      </w:r>
      <w:r w:rsidRPr="009C0C39">
        <w:rPr>
          <w:rFonts w:ascii="Franklin Gothic Book" w:hAnsi="Franklin Gothic Book" w:cs="Times New Roman"/>
          <w:sz w:val="18"/>
          <w:szCs w:val="18"/>
        </w:rPr>
        <w:t xml:space="preserve">and other providers in each hospital’s outpatient service area, weighted by service area visits, for the top five CPTs by volume in each clinical cluster. We then applied this differential to the weighted average price for the entire cluster. See notes </w:t>
      </w:r>
      <w:r w:rsidRPr="009C0C39">
        <w:rPr>
          <w:rFonts w:ascii="Franklin Gothic Book" w:hAnsi="Franklin Gothic Book" w:cs="Times New Roman"/>
          <w:sz w:val="18"/>
          <w:szCs w:val="18"/>
        </w:rPr>
        <w:fldChar w:fldCharType="begin"/>
      </w:r>
      <w:r w:rsidRPr="009C0C39">
        <w:rPr>
          <w:rFonts w:ascii="Franklin Gothic Book" w:hAnsi="Franklin Gothic Book" w:cs="Times New Roman"/>
          <w:sz w:val="18"/>
          <w:szCs w:val="18"/>
        </w:rPr>
        <w:instrText xml:space="preserve"> NOTEREF _Ref92566449 \h  \* MERGEFORMAT </w:instrText>
      </w:r>
      <w:r w:rsidRPr="009C0C39">
        <w:rPr>
          <w:rFonts w:ascii="Franklin Gothic Book" w:hAnsi="Franklin Gothic Book" w:cs="Times New Roman"/>
          <w:sz w:val="18"/>
          <w:szCs w:val="18"/>
        </w:rPr>
      </w:r>
      <w:r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70</w:t>
      </w:r>
      <w:r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and </w:t>
      </w:r>
      <w:r w:rsidRPr="009C0C39">
        <w:rPr>
          <w:rFonts w:ascii="Franklin Gothic Book" w:hAnsi="Franklin Gothic Book" w:cs="Times New Roman"/>
          <w:sz w:val="18"/>
          <w:szCs w:val="18"/>
        </w:rPr>
        <w:fldChar w:fldCharType="begin"/>
      </w:r>
      <w:r w:rsidRPr="009C0C39">
        <w:rPr>
          <w:rFonts w:ascii="Franklin Gothic Book" w:hAnsi="Franklin Gothic Book" w:cs="Times New Roman"/>
          <w:sz w:val="18"/>
          <w:szCs w:val="18"/>
        </w:rPr>
        <w:instrText xml:space="preserve"> NOTEREF _Ref92636402 \h  \* MERGEFORMAT </w:instrText>
      </w:r>
      <w:r w:rsidRPr="009C0C39">
        <w:rPr>
          <w:rFonts w:ascii="Franklin Gothic Book" w:hAnsi="Franklin Gothic Book" w:cs="Times New Roman"/>
          <w:sz w:val="18"/>
          <w:szCs w:val="18"/>
        </w:rPr>
      </w:r>
      <w:r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75</w:t>
      </w:r>
      <w:r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for additional detail on this methodology. </w:t>
      </w:r>
    </w:p>
    <w:p w14:paraId="321159BF" w14:textId="77777777" w:rsidR="008377B6" w:rsidRPr="009C0C39" w:rsidRDefault="008377B6" w:rsidP="008377B6">
      <w:pPr>
        <w:rPr>
          <w:rFonts w:ascii="Franklin Gothic Book" w:hAnsi="Franklin Gothic Book" w:cs="Times New Roman"/>
          <w:sz w:val="22"/>
          <w:szCs w:val="22"/>
        </w:rPr>
      </w:pPr>
    </w:p>
    <w:p w14:paraId="5EACC861" w14:textId="79155E31" w:rsidR="008377B6" w:rsidRPr="009C0C39" w:rsidRDefault="008377B6" w:rsidP="00FA1DCD">
      <w:pPr>
        <w:spacing w:after="240"/>
        <w:rPr>
          <w:rFonts w:ascii="Franklin Gothic Book" w:hAnsi="Franklin Gothic Book" w:cs="Times New Roman"/>
          <w:sz w:val="22"/>
          <w:szCs w:val="22"/>
        </w:rPr>
      </w:pPr>
      <w:r w:rsidRPr="009C0C39">
        <w:rPr>
          <w:rFonts w:ascii="Franklin Gothic Book" w:hAnsi="Franklin Gothic Book" w:cs="Times New Roman"/>
          <w:sz w:val="22"/>
          <w:szCs w:val="22"/>
        </w:rPr>
        <w:t>The HPC estimates that annual commercial spending on advanced imaging would increase at MGH by approximately $</w:t>
      </w:r>
      <w:r w:rsidR="005B1FDC" w:rsidRPr="009C0C39">
        <w:rPr>
          <w:rFonts w:ascii="Franklin Gothic Book" w:hAnsi="Franklin Gothic Book" w:cs="Times New Roman"/>
          <w:sz w:val="22"/>
          <w:szCs w:val="22"/>
        </w:rPr>
        <w:t>573</w:t>
      </w:r>
      <w:r w:rsidRPr="009C0C39">
        <w:rPr>
          <w:rFonts w:ascii="Franklin Gothic Book" w:hAnsi="Franklin Gothic Book" w:cs="Times New Roman"/>
          <w:sz w:val="22"/>
          <w:szCs w:val="22"/>
        </w:rPr>
        <w:t xml:space="preserve">,000 and decline at Faulkner </w:t>
      </w:r>
      <w:r w:rsidR="0015152D" w:rsidRPr="009C0C39">
        <w:rPr>
          <w:rFonts w:ascii="Franklin Gothic Book" w:hAnsi="Franklin Gothic Book" w:cs="Times New Roman"/>
          <w:sz w:val="22"/>
          <w:szCs w:val="22"/>
        </w:rPr>
        <w:t xml:space="preserve">by </w:t>
      </w:r>
      <w:r w:rsidRPr="009C0C39">
        <w:rPr>
          <w:rFonts w:ascii="Franklin Gothic Book" w:hAnsi="Franklin Gothic Book" w:cs="Times New Roman"/>
          <w:sz w:val="22"/>
          <w:szCs w:val="22"/>
        </w:rPr>
        <w:t>approximately $</w:t>
      </w:r>
      <w:r w:rsidR="005B1FDC" w:rsidRPr="009C0C39">
        <w:rPr>
          <w:rFonts w:ascii="Franklin Gothic Book" w:hAnsi="Franklin Gothic Book" w:cs="Times New Roman"/>
          <w:sz w:val="22"/>
          <w:szCs w:val="22"/>
        </w:rPr>
        <w:t>9</w:t>
      </w:r>
      <w:r w:rsidRPr="009C0C39">
        <w:rPr>
          <w:rFonts w:ascii="Franklin Gothic Book" w:hAnsi="Franklin Gothic Book" w:cs="Times New Roman"/>
          <w:sz w:val="22"/>
          <w:szCs w:val="22"/>
        </w:rPr>
        <w:t>1,000 based on available volume and payer mix information.</w:t>
      </w:r>
      <w:r w:rsidRPr="009C0C39">
        <w:rPr>
          <w:rStyle w:val="FootnoteReference"/>
          <w:rFonts w:ascii="Franklin Gothic Book" w:hAnsi="Franklin Gothic Book" w:cs="Times New Roman"/>
          <w:sz w:val="22"/>
          <w:szCs w:val="22"/>
        </w:rPr>
        <w:footnoteReference w:id="111"/>
      </w:r>
      <w:r w:rsidR="001601DC" w:rsidRPr="009C0C39">
        <w:rPr>
          <w:rFonts w:ascii="Franklin Gothic Book" w:hAnsi="Franklin Gothic Book" w:cs="Times New Roman"/>
          <w:sz w:val="22"/>
          <w:szCs w:val="22"/>
          <w:vertAlign w:val="superscript"/>
        </w:rPr>
        <w:t xml:space="preserve">, </w:t>
      </w:r>
      <w:r w:rsidR="001601DC" w:rsidRPr="009C0C39">
        <w:rPr>
          <w:rStyle w:val="FootnoteReference"/>
          <w:rFonts w:ascii="Franklin Gothic Book" w:hAnsi="Franklin Gothic Book" w:cs="Times New Roman"/>
          <w:sz w:val="22"/>
          <w:szCs w:val="22"/>
        </w:rPr>
        <w:footnoteReference w:id="112"/>
      </w:r>
      <w:r w:rsidRPr="009C0C39">
        <w:rPr>
          <w:rFonts w:ascii="Franklin Gothic Book" w:hAnsi="Franklin Gothic Book" w:cs="Times New Roman"/>
          <w:sz w:val="22"/>
          <w:szCs w:val="22"/>
        </w:rPr>
        <w:t xml:space="preserve"> The HPC did not quantify spending impacts for the expansion of other outpatient service lines at the hospitals, but we note that the ICAs predict spending increases for both commercial and public payer care for every outpatient service line being expanded at both MGH (CT, MR, PET/CT, cardiovascular procedures, and oncology visits) and Faulkner (MR).</w:t>
      </w:r>
      <w:r w:rsidRPr="009C0C39">
        <w:rPr>
          <w:rStyle w:val="FootnoteReference"/>
          <w:rFonts w:ascii="Franklin Gothic Book" w:hAnsi="Franklin Gothic Book" w:cs="Times New Roman"/>
          <w:sz w:val="22"/>
          <w:szCs w:val="22"/>
        </w:rPr>
        <w:footnoteReference w:id="113"/>
      </w:r>
      <w:r w:rsidRPr="009C0C39">
        <w:rPr>
          <w:rFonts w:ascii="Franklin Gothic Book" w:hAnsi="Franklin Gothic Book" w:cs="Times New Roman"/>
          <w:sz w:val="22"/>
          <w:szCs w:val="22"/>
        </w:rPr>
        <w:t xml:space="preserve"> While the potential spending increase for any one of these service lines would likely be small compared to the inpatient spending increases discussed above, they would all increase total health care spending.</w:t>
      </w:r>
    </w:p>
    <w:p w14:paraId="259022D5" w14:textId="015083AE" w:rsidR="008377B6" w:rsidRPr="009C0C39" w:rsidRDefault="008377B6" w:rsidP="009257C1">
      <w:pPr>
        <w:pStyle w:val="ListParagraph"/>
        <w:numPr>
          <w:ilvl w:val="1"/>
          <w:numId w:val="9"/>
        </w:numPr>
        <w:spacing w:after="240"/>
        <w:contextualSpacing w:val="0"/>
        <w:rPr>
          <w:rFonts w:ascii="Franklin Gothic Book" w:hAnsi="Franklin Gothic Book" w:cs="Times New Roman"/>
          <w:i/>
          <w:iCs/>
          <w:sz w:val="22"/>
          <w:szCs w:val="22"/>
        </w:rPr>
      </w:pPr>
      <w:bookmarkStart w:id="90" w:name="_Hlk93056082"/>
      <w:r w:rsidRPr="009C0C39">
        <w:rPr>
          <w:rFonts w:ascii="Franklin Gothic Book" w:hAnsi="Franklin Gothic Book" w:cs="Times New Roman"/>
          <w:i/>
          <w:iCs/>
          <w:sz w:val="22"/>
          <w:szCs w:val="22"/>
        </w:rPr>
        <w:t xml:space="preserve">Total spending would likely further increase as </w:t>
      </w:r>
      <w:r w:rsidR="00F85EED" w:rsidRPr="009C0C39">
        <w:rPr>
          <w:rFonts w:ascii="Franklin Gothic Book" w:hAnsi="Franklin Gothic Book" w:cs="Times New Roman"/>
          <w:i/>
          <w:iCs/>
          <w:sz w:val="22"/>
          <w:szCs w:val="22"/>
        </w:rPr>
        <w:t>care shifts to MGH and Faulkner and MGB gains commercial market share, increasing its leverage to obtain higher price increases in the future</w:t>
      </w:r>
      <w:bookmarkEnd w:id="90"/>
      <w:r w:rsidRPr="009C0C39">
        <w:rPr>
          <w:rFonts w:ascii="Franklin Gothic Book" w:hAnsi="Franklin Gothic Book" w:cs="Times New Roman"/>
          <w:i/>
          <w:iCs/>
          <w:sz w:val="22"/>
          <w:szCs w:val="22"/>
        </w:rPr>
        <w:t>.</w:t>
      </w:r>
    </w:p>
    <w:p w14:paraId="613822EA" w14:textId="005BA878" w:rsidR="008377B6" w:rsidRPr="009C0C39" w:rsidRDefault="008377B6" w:rsidP="00FA1DCD">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MGB’s commercial market share would likely substantially increase as it fills </w:t>
      </w:r>
      <w:r w:rsidR="0015152D"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new capacity proposed in its hospital expansion projects. The new beds would represent a 7.1% to 7.9% increase in bed capacity for the MGB system,</w:t>
      </w:r>
      <w:r w:rsidRPr="009C0C39">
        <w:rPr>
          <w:rStyle w:val="FootnoteReference"/>
          <w:rFonts w:ascii="Franklin Gothic Book" w:hAnsi="Franklin Gothic Book" w:cs="Times New Roman"/>
          <w:sz w:val="22"/>
          <w:szCs w:val="22"/>
        </w:rPr>
        <w:footnoteReference w:id="114"/>
      </w:r>
      <w:r w:rsidRPr="009C0C39">
        <w:rPr>
          <w:rFonts w:ascii="Franklin Gothic Book" w:hAnsi="Franklin Gothic Book" w:cs="Times New Roman"/>
          <w:sz w:val="22"/>
          <w:szCs w:val="22"/>
        </w:rPr>
        <w:t xml:space="preserve"> and MGB’s inpatient commercial market share in Eastern Massachusetts would likely increase by 2.7% to 3.8% as those beds are filled, based on the HPC’s inpatient diversion models. This would also </w:t>
      </w:r>
      <w:r w:rsidR="00FF47DA">
        <w:rPr>
          <w:rFonts w:ascii="Franklin Gothic Book" w:hAnsi="Franklin Gothic Book" w:cs="Times New Roman"/>
          <w:sz w:val="22"/>
          <w:szCs w:val="22"/>
        </w:rPr>
        <w:t>increase</w:t>
      </w:r>
      <w:r w:rsidR="00FF47DA"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market concentration for inpatient services in already highly concentrated markets. As discussed in Section </w:t>
      </w:r>
      <w:r w:rsidR="00233D8E" w:rsidRPr="009C0C39">
        <w:rPr>
          <w:rFonts w:ascii="Franklin Gothic Book" w:hAnsi="Franklin Gothic Book" w:cs="Times New Roman"/>
          <w:sz w:val="22"/>
          <w:szCs w:val="22"/>
        </w:rPr>
        <w:t>III</w:t>
      </w:r>
      <w:r w:rsidRPr="009C0C39">
        <w:rPr>
          <w:rFonts w:ascii="Franklin Gothic Book" w:hAnsi="Franklin Gothic Book" w:cs="Times New Roman"/>
          <w:sz w:val="22"/>
          <w:szCs w:val="22"/>
        </w:rPr>
        <w:t xml:space="preserve">.A.5, these increases in market shares and consolidation would tend to enhance MGB’s ability to obtain higher commercial </w:t>
      </w:r>
      <w:r w:rsidRPr="009C0C39">
        <w:rPr>
          <w:rFonts w:ascii="Franklin Gothic Book" w:hAnsi="Franklin Gothic Book" w:cs="Times New Roman"/>
          <w:sz w:val="22"/>
          <w:szCs w:val="22"/>
        </w:rPr>
        <w:lastRenderedPageBreak/>
        <w:t>rate increases, while other provider organizations may receive lower rate increases</w:t>
      </w:r>
      <w:r w:rsidR="002633E3" w:rsidRPr="009C0C39">
        <w:rPr>
          <w:rFonts w:ascii="Franklin Gothic Book" w:hAnsi="Franklin Gothic Book" w:cs="Times New Roman"/>
          <w:sz w:val="22"/>
          <w:szCs w:val="22"/>
        </w:rPr>
        <w:t xml:space="preserve"> as they lose commercial market share</w:t>
      </w:r>
      <w:r w:rsidRPr="009C0C39">
        <w:rPr>
          <w:rFonts w:ascii="Franklin Gothic Book" w:hAnsi="Franklin Gothic Book" w:cs="Times New Roman"/>
          <w:sz w:val="22"/>
          <w:szCs w:val="22"/>
        </w:rPr>
        <w:t xml:space="preserve">. </w:t>
      </w:r>
      <w:r w:rsidR="00E00786" w:rsidRPr="009C0C39">
        <w:rPr>
          <w:rFonts w:ascii="Franklin Gothic Book" w:hAnsi="Franklin Gothic Book" w:cs="Times New Roman"/>
          <w:sz w:val="22"/>
          <w:szCs w:val="22"/>
        </w:rPr>
        <w:t xml:space="preserve">A </w:t>
      </w:r>
      <w:r w:rsidR="00233D8E" w:rsidRPr="009C0C39">
        <w:rPr>
          <w:rFonts w:ascii="Franklin Gothic Book" w:hAnsi="Franklin Gothic Book" w:cs="Times New Roman"/>
          <w:sz w:val="22"/>
          <w:szCs w:val="22"/>
        </w:rPr>
        <w:t xml:space="preserve">multivariate regression model similar to that utilized in prior HPC provider price analyses suggests that the proposed hospital expansions </w:t>
      </w:r>
      <w:r w:rsidR="00D218EA" w:rsidRPr="009C0C39">
        <w:rPr>
          <w:rFonts w:ascii="Franklin Gothic Book" w:hAnsi="Franklin Gothic Book" w:cs="Times New Roman"/>
          <w:sz w:val="22"/>
          <w:szCs w:val="22"/>
        </w:rPr>
        <w:t>would be expected to result in</w:t>
      </w:r>
      <w:r w:rsidR="00233D8E" w:rsidRPr="009C0C39">
        <w:rPr>
          <w:rFonts w:ascii="Franklin Gothic Book" w:hAnsi="Franklin Gothic Book" w:cs="Times New Roman"/>
          <w:sz w:val="22"/>
          <w:szCs w:val="22"/>
        </w:rPr>
        <w:t xml:space="preserve"> system-wide inpatient prices </w:t>
      </w:r>
      <w:r w:rsidR="00D218EA" w:rsidRPr="009C0C39">
        <w:rPr>
          <w:rFonts w:ascii="Franklin Gothic Book" w:hAnsi="Franklin Gothic Book" w:cs="Times New Roman"/>
          <w:sz w:val="22"/>
          <w:szCs w:val="22"/>
        </w:rPr>
        <w:t xml:space="preserve">at MGB that are </w:t>
      </w:r>
      <w:r w:rsidR="00B50D4C" w:rsidRPr="009C0C39">
        <w:rPr>
          <w:rFonts w:ascii="Franklin Gothic Book" w:hAnsi="Franklin Gothic Book" w:cs="Times New Roman"/>
          <w:sz w:val="22"/>
          <w:szCs w:val="22"/>
        </w:rPr>
        <w:t xml:space="preserve">approximately </w:t>
      </w:r>
      <w:r w:rsidR="00233D8E" w:rsidRPr="009C0C39">
        <w:rPr>
          <w:rFonts w:ascii="Franklin Gothic Book" w:hAnsi="Franklin Gothic Book" w:cs="Times New Roman"/>
          <w:sz w:val="22"/>
          <w:szCs w:val="22"/>
        </w:rPr>
        <w:t xml:space="preserve">0.9% to 1.7% </w:t>
      </w:r>
      <w:r w:rsidR="00D218EA" w:rsidRPr="009C0C39">
        <w:rPr>
          <w:rFonts w:ascii="Franklin Gothic Book" w:hAnsi="Franklin Gothic Book" w:cs="Times New Roman"/>
          <w:sz w:val="22"/>
          <w:szCs w:val="22"/>
        </w:rPr>
        <w:t>higher than current pricing</w:t>
      </w:r>
      <w:r w:rsidR="00B50D4C" w:rsidRPr="009C0C39">
        <w:rPr>
          <w:rFonts w:ascii="Franklin Gothic Book" w:hAnsi="Franklin Gothic Book" w:cs="Times New Roman"/>
          <w:sz w:val="22"/>
          <w:szCs w:val="22"/>
        </w:rPr>
        <w:t>, with approximately 0.59% to 1.29% attributable to the MGH expansion and 0.36% to 0.4% attributable to the Faulkner expansion</w:t>
      </w:r>
      <w:r w:rsidR="00233D8E" w:rsidRPr="009C0C39">
        <w:rPr>
          <w:rFonts w:ascii="Franklin Gothic Book" w:hAnsi="Franklin Gothic Book" w:cs="Times New Roman"/>
          <w:sz w:val="22"/>
          <w:szCs w:val="22"/>
        </w:rPr>
        <w:t>.</w:t>
      </w:r>
      <w:bookmarkStart w:id="91" w:name="_Ref93744894"/>
      <w:r w:rsidR="00233D8E" w:rsidRPr="009C0C39">
        <w:rPr>
          <w:rStyle w:val="FootnoteReference"/>
          <w:rFonts w:ascii="Franklin Gothic Book" w:hAnsi="Franklin Gothic Book" w:cs="Times New Roman"/>
          <w:sz w:val="22"/>
          <w:szCs w:val="22"/>
        </w:rPr>
        <w:footnoteReference w:id="115"/>
      </w:r>
      <w:bookmarkEnd w:id="91"/>
      <w:r w:rsidR="00233D8E" w:rsidRPr="009C0C39">
        <w:rPr>
          <w:rFonts w:ascii="Franklin Gothic Book" w:hAnsi="Franklin Gothic Book" w:cs="Times New Roman"/>
          <w:sz w:val="22"/>
          <w:szCs w:val="22"/>
        </w:rPr>
        <w:t xml:space="preserve"> This would translate to an annual increase in commercial spending of $9.7 million to $17.3 million</w:t>
      </w:r>
      <w:r w:rsidR="00B50D4C" w:rsidRPr="009C0C39">
        <w:rPr>
          <w:rFonts w:ascii="Franklin Gothic Book" w:hAnsi="Franklin Gothic Book" w:cs="Times New Roman"/>
          <w:sz w:val="22"/>
          <w:szCs w:val="22"/>
        </w:rPr>
        <w:t xml:space="preserve"> ($6 million to $13.2 million for MGH, $3.6 million to $4.1 million for Faulkner)</w:t>
      </w:r>
      <w:r w:rsidR="00233D8E" w:rsidRPr="009C0C39">
        <w:rPr>
          <w:rFonts w:ascii="Franklin Gothic Book" w:hAnsi="Franklin Gothic Book" w:cs="Times New Roman"/>
          <w:sz w:val="22"/>
          <w:szCs w:val="22"/>
        </w:rPr>
        <w:t>.</w:t>
      </w:r>
      <w:r w:rsidR="00233D8E" w:rsidRPr="009C0C39">
        <w:rPr>
          <w:rStyle w:val="FootnoteReference"/>
          <w:rFonts w:ascii="Franklin Gothic Book" w:hAnsi="Franklin Gothic Book" w:cs="Times New Roman"/>
          <w:sz w:val="22"/>
          <w:szCs w:val="22"/>
        </w:rPr>
        <w:footnoteReference w:id="116"/>
      </w:r>
      <w:r w:rsidR="00233D8E"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This could exacerbate the existing, extensive variation in provider prices for similar services and increase spending impacts above the figures modeled in this section. </w:t>
      </w:r>
      <w:r w:rsidR="001601DC" w:rsidRPr="009C0C39">
        <w:rPr>
          <w:rFonts w:ascii="Franklin Gothic Book" w:hAnsi="Franklin Gothic Book" w:cs="Times New Roman"/>
          <w:sz w:val="22"/>
          <w:szCs w:val="22"/>
        </w:rPr>
        <w:t xml:space="preserve">These changes would </w:t>
      </w:r>
      <w:r w:rsidR="004632C0" w:rsidRPr="009C0C39">
        <w:rPr>
          <w:rFonts w:ascii="Franklin Gothic Book" w:hAnsi="Franklin Gothic Book" w:cs="Times New Roman"/>
          <w:sz w:val="22"/>
          <w:szCs w:val="22"/>
        </w:rPr>
        <w:t xml:space="preserve">be </w:t>
      </w:r>
      <w:r w:rsidR="001601DC" w:rsidRPr="009C0C39">
        <w:rPr>
          <w:rFonts w:ascii="Franklin Gothic Book" w:hAnsi="Franklin Gothic Book" w:cs="Times New Roman"/>
          <w:sz w:val="22"/>
          <w:szCs w:val="22"/>
        </w:rPr>
        <w:t xml:space="preserve">magnified if revenue losses destabilize other local provider organizations, leading to </w:t>
      </w:r>
      <w:r w:rsidR="004632C0" w:rsidRPr="009C0C39">
        <w:rPr>
          <w:rFonts w:ascii="Franklin Gothic Book" w:hAnsi="Franklin Gothic Book" w:cs="Times New Roman"/>
          <w:sz w:val="22"/>
          <w:szCs w:val="22"/>
        </w:rPr>
        <w:t xml:space="preserve">further </w:t>
      </w:r>
      <w:r w:rsidR="001601DC" w:rsidRPr="009C0C39">
        <w:rPr>
          <w:rFonts w:ascii="Franklin Gothic Book" w:hAnsi="Franklin Gothic Book" w:cs="Times New Roman"/>
          <w:sz w:val="22"/>
          <w:szCs w:val="22"/>
        </w:rPr>
        <w:t>market consolidation and more patients shifting to higher-priced systems.</w:t>
      </w:r>
      <w:r w:rsidR="001601DC" w:rsidRPr="009C0C39">
        <w:rPr>
          <w:rStyle w:val="FootnoteReference"/>
          <w:rFonts w:ascii="Franklin Gothic Book" w:hAnsi="Franklin Gothic Book" w:cs="Times New Roman"/>
          <w:sz w:val="22"/>
          <w:szCs w:val="22"/>
        </w:rPr>
        <w:footnoteReference w:id="117"/>
      </w:r>
    </w:p>
    <w:p w14:paraId="41A06345" w14:textId="4F889C46" w:rsidR="008377B6" w:rsidRPr="009C0C39" w:rsidRDefault="008377B6" w:rsidP="009257C1">
      <w:pPr>
        <w:pStyle w:val="ListParagraph"/>
        <w:numPr>
          <w:ilvl w:val="0"/>
          <w:numId w:val="9"/>
        </w:numPr>
        <w:spacing w:after="240"/>
        <w:contextualSpacing w:val="0"/>
        <w:rPr>
          <w:rFonts w:ascii="Franklin Gothic Book" w:hAnsi="Franklin Gothic Book" w:cs="Times New Roman"/>
          <w:b/>
          <w:bCs/>
          <w:sz w:val="22"/>
          <w:szCs w:val="22"/>
        </w:rPr>
      </w:pPr>
      <w:bookmarkStart w:id="92" w:name="_Hlk93056072"/>
      <w:r w:rsidRPr="009C0C39">
        <w:rPr>
          <w:rFonts w:ascii="Franklin Gothic Book" w:hAnsi="Franklin Gothic Book" w:cs="Times New Roman"/>
          <w:b/>
          <w:bCs/>
          <w:sz w:val="22"/>
          <w:szCs w:val="22"/>
        </w:rPr>
        <w:t xml:space="preserve">The development of the three proposed projects together, described by MGB as a system-wide strategy, </w:t>
      </w:r>
      <w:r w:rsidR="00DE1C61" w:rsidRPr="009C0C39">
        <w:rPr>
          <w:rFonts w:ascii="Franklin Gothic Book" w:hAnsi="Franklin Gothic Book" w:cs="Times New Roman"/>
          <w:b/>
          <w:bCs/>
          <w:sz w:val="22"/>
          <w:szCs w:val="22"/>
        </w:rPr>
        <w:t xml:space="preserve">undermines MGB’s claims that the </w:t>
      </w:r>
      <w:r w:rsidR="00B65555" w:rsidRPr="009C0C39">
        <w:rPr>
          <w:rFonts w:ascii="Franklin Gothic Book" w:hAnsi="Franklin Gothic Book" w:cs="Times New Roman"/>
          <w:b/>
          <w:bCs/>
          <w:sz w:val="22"/>
          <w:szCs w:val="22"/>
        </w:rPr>
        <w:t>a</w:t>
      </w:r>
      <w:r w:rsidR="00DE1C61" w:rsidRPr="009C0C39">
        <w:rPr>
          <w:rFonts w:ascii="Franklin Gothic Book" w:hAnsi="Franklin Gothic Book" w:cs="Times New Roman"/>
          <w:b/>
          <w:bCs/>
          <w:sz w:val="22"/>
          <w:szCs w:val="22"/>
        </w:rPr>
        <w:t xml:space="preserve">mbulatory </w:t>
      </w:r>
      <w:r w:rsidR="00B65555" w:rsidRPr="009C0C39">
        <w:rPr>
          <w:rFonts w:ascii="Franklin Gothic Book" w:hAnsi="Franklin Gothic Book" w:cs="Times New Roman"/>
          <w:b/>
          <w:bCs/>
          <w:sz w:val="22"/>
          <w:szCs w:val="22"/>
        </w:rPr>
        <w:t>e</w:t>
      </w:r>
      <w:r w:rsidR="00DE1C61" w:rsidRPr="009C0C39">
        <w:rPr>
          <w:rFonts w:ascii="Franklin Gothic Book" w:hAnsi="Franklin Gothic Book" w:cs="Times New Roman"/>
          <w:b/>
          <w:bCs/>
          <w:sz w:val="22"/>
          <w:szCs w:val="22"/>
        </w:rPr>
        <w:t xml:space="preserve">xpansion </w:t>
      </w:r>
      <w:r w:rsidR="00B50D4C" w:rsidRPr="009C0C39">
        <w:rPr>
          <w:rFonts w:ascii="Franklin Gothic Book" w:hAnsi="Franklin Gothic Book" w:cs="Times New Roman"/>
          <w:b/>
          <w:bCs/>
          <w:sz w:val="22"/>
          <w:szCs w:val="22"/>
        </w:rPr>
        <w:t xml:space="preserve">would </w:t>
      </w:r>
      <w:r w:rsidR="00DE1C61" w:rsidRPr="009C0C39">
        <w:rPr>
          <w:rFonts w:ascii="Franklin Gothic Book" w:hAnsi="Franklin Gothic Book" w:cs="Times New Roman"/>
          <w:b/>
          <w:bCs/>
          <w:sz w:val="22"/>
          <w:szCs w:val="22"/>
        </w:rPr>
        <w:t xml:space="preserve">reduce health care spending, and </w:t>
      </w:r>
      <w:r w:rsidR="00F041DF" w:rsidRPr="009C0C39">
        <w:rPr>
          <w:rFonts w:ascii="Franklin Gothic Book" w:hAnsi="Franklin Gothic Book" w:cs="Times New Roman"/>
          <w:b/>
          <w:bCs/>
          <w:sz w:val="22"/>
          <w:szCs w:val="22"/>
        </w:rPr>
        <w:t>may</w:t>
      </w:r>
      <w:r w:rsidRPr="009C0C39">
        <w:rPr>
          <w:rFonts w:ascii="Franklin Gothic Book" w:hAnsi="Franklin Gothic Book" w:cs="Times New Roman"/>
          <w:b/>
          <w:bCs/>
          <w:sz w:val="22"/>
          <w:szCs w:val="22"/>
        </w:rPr>
        <w:t xml:space="preserve"> result in total impacts greater than those the HPC has modeled for each project individually.</w:t>
      </w:r>
    </w:p>
    <w:bookmarkEnd w:id="92"/>
    <w:p w14:paraId="7B275371" w14:textId="6E38572F" w:rsidR="00DE1C61" w:rsidRPr="009C0C39" w:rsidRDefault="00DE1C61" w:rsidP="003C3793">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MGB has stated that the ambulatory and hospital projects are part of a system-wide strategy to achieve its strategic goals.</w:t>
      </w:r>
      <w:r w:rsidRPr="009C0C39">
        <w:rPr>
          <w:rStyle w:val="FootnoteReference"/>
          <w:rFonts w:ascii="Franklin Gothic Book" w:hAnsi="Franklin Gothic Book" w:cs="Times New Roman"/>
          <w:sz w:val="22"/>
          <w:szCs w:val="22"/>
        </w:rPr>
        <w:footnoteReference w:id="118"/>
      </w:r>
      <w:r w:rsidRPr="009C0C39">
        <w:rPr>
          <w:rFonts w:ascii="Franklin Gothic Book" w:hAnsi="Franklin Gothic Book" w:cs="Times New Roman"/>
          <w:sz w:val="22"/>
          <w:szCs w:val="22"/>
        </w:rPr>
        <w:t xml:space="preserve"> However, the proposed hospital projects conflict with MGB’s claim that the ambulatory project will reduce health care spending. As discussed in Section III.A.3, shifting outpatient care out of hospitals and into ambulatory sites could result in savings, but the </w:t>
      </w:r>
      <w:r w:rsidR="00FF47DA">
        <w:rPr>
          <w:rFonts w:ascii="Franklin Gothic Book" w:hAnsi="Franklin Gothic Book" w:cs="Times New Roman"/>
          <w:sz w:val="22"/>
          <w:szCs w:val="22"/>
        </w:rPr>
        <w:t>amount</w:t>
      </w:r>
      <w:r w:rsidR="00FF47DA"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of any savings depends, in large part, on which hospitals would have</w:t>
      </w:r>
      <w:r w:rsidR="00B6177E" w:rsidRPr="009C0C39">
        <w:rPr>
          <w:rFonts w:ascii="Franklin Gothic Book" w:hAnsi="Franklin Gothic Book" w:cs="Times New Roman"/>
          <w:sz w:val="22"/>
          <w:szCs w:val="22"/>
        </w:rPr>
        <w:t xml:space="preserve"> otherwise</w:t>
      </w:r>
      <w:r w:rsidRPr="009C0C39">
        <w:rPr>
          <w:rFonts w:ascii="Franklin Gothic Book" w:hAnsi="Franklin Gothic Book" w:cs="Times New Roman"/>
          <w:sz w:val="22"/>
          <w:szCs w:val="22"/>
        </w:rPr>
        <w:t xml:space="preserve"> provided that care and whether the hospitals subsequently backfill newly available HOPD capacity. MGB proposes to substantially expand hospital inpatient and outpatient services in the MGH and Faulkner expansions and has not suggested that total volume or capacity would decline at any of its facilities due to the ambulatory expansion, which is why HPC analyses include the impact of MGB hospitals backfilling any capacity that becomes available. Thus, while MGB </w:t>
      </w:r>
      <w:r w:rsidR="007E3F2E" w:rsidRPr="009C0C39">
        <w:rPr>
          <w:rFonts w:ascii="Franklin Gothic Book" w:hAnsi="Franklin Gothic Book" w:cs="Times New Roman"/>
          <w:sz w:val="22"/>
          <w:szCs w:val="22"/>
        </w:rPr>
        <w:t xml:space="preserve">states </w:t>
      </w:r>
      <w:r w:rsidRPr="009C0C39">
        <w:rPr>
          <w:rFonts w:ascii="Franklin Gothic Book" w:hAnsi="Franklin Gothic Book" w:cs="Times New Roman"/>
          <w:sz w:val="22"/>
          <w:szCs w:val="22"/>
        </w:rPr>
        <w:t>a goal of these projects is to shift care out of higher-priced settings, they are likely to increase the volume of care both at MGB’s relatively high-priced hospitals and at the new ambulatory sites.</w:t>
      </w:r>
    </w:p>
    <w:p w14:paraId="0DD9AA77" w14:textId="5EF5FFE3" w:rsidR="00DE1C61" w:rsidRPr="009C0C39" w:rsidRDefault="00DE1C61" w:rsidP="00DE1C61">
      <w:pPr>
        <w:ind w:firstLine="720"/>
        <w:rPr>
          <w:rFonts w:ascii="Franklin Gothic Book" w:hAnsi="Franklin Gothic Book"/>
          <w:sz w:val="22"/>
          <w:szCs w:val="22"/>
        </w:rPr>
      </w:pPr>
      <w:r w:rsidRPr="009C0C39">
        <w:rPr>
          <w:rFonts w:ascii="Franklin Gothic Book" w:hAnsi="Franklin Gothic Book" w:cs="Times New Roman"/>
          <w:sz w:val="22"/>
          <w:szCs w:val="22"/>
        </w:rPr>
        <w:t xml:space="preserve">The expansion of inpatient capacity at MGH and Faulkner, concurrent with the expectation of additional hospital volume from the ambulatory expansions, may also </w:t>
      </w:r>
      <w:r w:rsidR="00FF47DA">
        <w:rPr>
          <w:rFonts w:ascii="Franklin Gothic Book" w:hAnsi="Franklin Gothic Book" w:cs="Times New Roman"/>
          <w:sz w:val="22"/>
          <w:szCs w:val="22"/>
        </w:rPr>
        <w:t>affect</w:t>
      </w:r>
      <w:r w:rsidR="00FF47DA"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where MGH and Faulkner are expected to draw </w:t>
      </w:r>
      <w:r w:rsidR="00A24BD2" w:rsidRPr="009C0C39">
        <w:rPr>
          <w:rFonts w:ascii="Franklin Gothic Book" w:hAnsi="Franklin Gothic Book" w:cs="Times New Roman"/>
          <w:sz w:val="22"/>
          <w:szCs w:val="22"/>
        </w:rPr>
        <w:t xml:space="preserve">patient </w:t>
      </w:r>
      <w:r w:rsidRPr="009C0C39">
        <w:rPr>
          <w:rFonts w:ascii="Franklin Gothic Book" w:hAnsi="Franklin Gothic Book" w:cs="Times New Roman"/>
          <w:sz w:val="22"/>
          <w:szCs w:val="22"/>
        </w:rPr>
        <w:t>volume. If the ambulatory sites increase utilization of MGB hospitals by residents of the ambulatory service areas, more of the care filling new MGH and Faulkner beds may be diverted from hospitals outside of the Boston metro area. These hospitals tend to be lower-priced than Boston hospitals, meaning that care shifting to MGB hospitals from these hospitals</w:t>
      </w:r>
      <w:r w:rsidR="00B6177E" w:rsidRPr="009C0C39">
        <w:rPr>
          <w:rFonts w:ascii="Franklin Gothic Book" w:hAnsi="Franklin Gothic Book" w:cs="Times New Roman"/>
          <w:sz w:val="22"/>
          <w:szCs w:val="22"/>
        </w:rPr>
        <w:t xml:space="preserve"> outside Boston</w:t>
      </w:r>
      <w:r w:rsidRPr="009C0C39">
        <w:rPr>
          <w:rFonts w:ascii="Franklin Gothic Book" w:hAnsi="Franklin Gothic Book" w:cs="Times New Roman"/>
          <w:sz w:val="22"/>
          <w:szCs w:val="22"/>
        </w:rPr>
        <w:t xml:space="preserve"> is likely to have a somewhat higher spending impact than the figures </w:t>
      </w:r>
      <w:r w:rsidR="00A03537" w:rsidRPr="009C0C39">
        <w:rPr>
          <w:rFonts w:ascii="Franklin Gothic Book" w:hAnsi="Franklin Gothic Book" w:cs="Times New Roman"/>
          <w:sz w:val="22"/>
          <w:szCs w:val="22"/>
        </w:rPr>
        <w:t>provided in Section III.B.1</w:t>
      </w:r>
      <w:r w:rsidRPr="009C0C39">
        <w:rPr>
          <w:rFonts w:ascii="Franklin Gothic Book" w:hAnsi="Franklin Gothic Book" w:cs="Times New Roman"/>
          <w:sz w:val="22"/>
          <w:szCs w:val="22"/>
        </w:rPr>
        <w:t xml:space="preserve">. Finally, as detailed </w:t>
      </w:r>
      <w:r w:rsidR="00B6177E" w:rsidRPr="009C0C39">
        <w:rPr>
          <w:rFonts w:ascii="Franklin Gothic Book" w:hAnsi="Franklin Gothic Book" w:cs="Times New Roman"/>
          <w:sz w:val="22"/>
          <w:szCs w:val="22"/>
        </w:rPr>
        <w:t xml:space="preserve">in </w:t>
      </w:r>
      <w:r w:rsidRPr="009C0C39">
        <w:rPr>
          <w:rFonts w:ascii="Franklin Gothic Book" w:hAnsi="Franklin Gothic Book" w:cs="Times New Roman"/>
          <w:sz w:val="22"/>
          <w:szCs w:val="22"/>
        </w:rPr>
        <w:t xml:space="preserve">Section IV, the potential for these projects to destabilize lower-priced providers is greater if all three projects proceed, </w:t>
      </w:r>
      <w:r w:rsidR="00B6177E" w:rsidRPr="009C0C39">
        <w:rPr>
          <w:rFonts w:ascii="Franklin Gothic Book" w:hAnsi="Franklin Gothic Book" w:cs="Times New Roman"/>
          <w:sz w:val="22"/>
          <w:szCs w:val="22"/>
        </w:rPr>
        <w:t>given that</w:t>
      </w:r>
      <w:r w:rsidRPr="009C0C39">
        <w:rPr>
          <w:rFonts w:ascii="Franklin Gothic Book" w:hAnsi="Franklin Gothic Book" w:cs="Times New Roman"/>
          <w:sz w:val="22"/>
          <w:szCs w:val="22"/>
        </w:rPr>
        <w:t xml:space="preserve"> the projected </w:t>
      </w:r>
      <w:r w:rsidRPr="009C0C39">
        <w:rPr>
          <w:rFonts w:ascii="Franklin Gothic Book" w:hAnsi="Franklin Gothic Book" w:cs="Times New Roman"/>
          <w:sz w:val="22"/>
          <w:szCs w:val="22"/>
        </w:rPr>
        <w:lastRenderedPageBreak/>
        <w:t xml:space="preserve">revenue losses (particularly commercial revenue and traditionally higher-margin services) </w:t>
      </w:r>
      <w:r w:rsidR="00A03537" w:rsidRPr="009C0C39">
        <w:rPr>
          <w:rFonts w:ascii="Franklin Gothic Book" w:hAnsi="Franklin Gothic Book" w:cs="Times New Roman"/>
          <w:sz w:val="22"/>
          <w:szCs w:val="22"/>
        </w:rPr>
        <w:t xml:space="preserve">would be </w:t>
      </w:r>
      <w:r w:rsidRPr="009C0C39">
        <w:rPr>
          <w:rFonts w:ascii="Franklin Gothic Book" w:hAnsi="Franklin Gothic Book" w:cs="Times New Roman"/>
          <w:sz w:val="22"/>
          <w:szCs w:val="22"/>
        </w:rPr>
        <w:t>far higher if MGB significantly expands capacity across multiple projects at the same time.</w:t>
      </w:r>
    </w:p>
    <w:p w14:paraId="129562AC" w14:textId="6E10DE48" w:rsidR="008377B6" w:rsidRPr="009C0C39" w:rsidRDefault="008377B6" w:rsidP="00FA1DCD">
      <w:pPr>
        <w:spacing w:after="240"/>
        <w:ind w:firstLine="720"/>
        <w:rPr>
          <w:rFonts w:ascii="Franklin Gothic Book" w:hAnsi="Franklin Gothic Book" w:cs="Times New Roman"/>
          <w:sz w:val="22"/>
          <w:szCs w:val="22"/>
        </w:rPr>
      </w:pPr>
    </w:p>
    <w:p w14:paraId="43072EBC" w14:textId="607E3351" w:rsidR="00032053" w:rsidRPr="00032053" w:rsidRDefault="004359A0" w:rsidP="00032053">
      <w:pPr>
        <w:pStyle w:val="Heading2"/>
      </w:pPr>
      <w:bookmarkStart w:id="93" w:name="_Additional_Impacts_on"/>
      <w:bookmarkEnd w:id="93"/>
      <w:r w:rsidRPr="004359A0">
        <w:rPr>
          <w:b/>
          <w:bCs/>
        </w:rPr>
        <w:t>Additional Impacts on Market Functioning, including Health Care Access and Equity</w:t>
      </w:r>
      <w:r w:rsidR="00032053">
        <w:br/>
      </w:r>
    </w:p>
    <w:p w14:paraId="6D0AE3B2" w14:textId="3312D1C3" w:rsidR="003C3793" w:rsidRPr="009C0C39" w:rsidRDefault="003C3793" w:rsidP="001C1977">
      <w:pPr>
        <w:spacing w:after="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Improving access</w:t>
      </w:r>
      <w:r w:rsidR="006A4EA6">
        <w:rPr>
          <w:rFonts w:ascii="Franklin Gothic Book" w:hAnsi="Franklin Gothic Book" w:cs="Times New Roman"/>
          <w:sz w:val="22"/>
          <w:szCs w:val="22"/>
        </w:rPr>
        <w:t>, equity, and</w:t>
      </w:r>
      <w:r w:rsidRPr="009C0C39">
        <w:rPr>
          <w:rFonts w:ascii="Franklin Gothic Book" w:hAnsi="Franklin Gothic Book" w:cs="Times New Roman"/>
          <w:sz w:val="22"/>
          <w:szCs w:val="22"/>
        </w:rPr>
        <w:t xml:space="preserve"> market functioning are also core components of the HPC’s cost containment goals and a key part of HPC’s reviews of provider market changes</w:t>
      </w:r>
      <w:r w:rsidR="001C1977"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119"/>
      </w:r>
      <w:r w:rsidR="001C1977"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HPC’s key findings regarding the impact of the proposed expansions on health care </w:t>
      </w:r>
      <w:r w:rsidR="006A4EA6">
        <w:rPr>
          <w:rFonts w:ascii="Franklin Gothic Book" w:hAnsi="Franklin Gothic Book" w:cs="Times New Roman"/>
          <w:sz w:val="22"/>
          <w:szCs w:val="22"/>
        </w:rPr>
        <w:t xml:space="preserve">market functioning, including access and equity </w:t>
      </w:r>
      <w:r w:rsidRPr="009C0C39">
        <w:rPr>
          <w:rFonts w:ascii="Franklin Gothic Book" w:hAnsi="Franklin Gothic Book" w:cs="Times New Roman"/>
          <w:sz w:val="22"/>
          <w:szCs w:val="22"/>
        </w:rPr>
        <w:t xml:space="preserve">are summarized below. </w:t>
      </w:r>
    </w:p>
    <w:p w14:paraId="55CE2643" w14:textId="7405E53A" w:rsidR="003C3793" w:rsidRPr="009C0C39" w:rsidRDefault="003C3793" w:rsidP="009257C1">
      <w:pPr>
        <w:pStyle w:val="ListParagraph"/>
        <w:numPr>
          <w:ilvl w:val="0"/>
          <w:numId w:val="12"/>
        </w:numPr>
        <w:spacing w:after="240"/>
        <w:contextualSpacing w:val="0"/>
        <w:rPr>
          <w:rFonts w:ascii="Franklin Gothic Book" w:hAnsi="Franklin Gothic Book" w:cs="Times New Roman"/>
          <w:sz w:val="22"/>
          <w:szCs w:val="22"/>
        </w:rPr>
      </w:pPr>
      <w:bookmarkStart w:id="94" w:name="Section_IVA"/>
      <w:bookmarkStart w:id="95" w:name="_Hlk92721086"/>
      <w:bookmarkEnd w:id="94"/>
      <w:r w:rsidRPr="009C0C39">
        <w:rPr>
          <w:rFonts w:ascii="Franklin Gothic Book" w:hAnsi="Franklin Gothic Book" w:cs="Times New Roman"/>
          <w:sz w:val="22"/>
          <w:szCs w:val="22"/>
        </w:rPr>
        <w:t xml:space="preserve">Projected shifts in care as MGB fills new capacity would result in the loss of substantial revenue, especially commercial revenue, for other provider systems that serve greater shares of public payer patients and </w:t>
      </w:r>
      <w:r w:rsidR="00ED2074" w:rsidRPr="009C0C39">
        <w:rPr>
          <w:rFonts w:ascii="Franklin Gothic Book" w:hAnsi="Franklin Gothic Book" w:cs="Times New Roman"/>
          <w:sz w:val="22"/>
          <w:szCs w:val="22"/>
        </w:rPr>
        <w:t>communities</w:t>
      </w:r>
      <w:r w:rsidRPr="009C0C39">
        <w:rPr>
          <w:rFonts w:ascii="Franklin Gothic Book" w:hAnsi="Franklin Gothic Book" w:cs="Times New Roman"/>
          <w:sz w:val="22"/>
          <w:szCs w:val="22"/>
        </w:rPr>
        <w:t xml:space="preserve"> with greater indicia of social need, leaving those providers with fewer resources to serve those populations</w:t>
      </w:r>
      <w:bookmarkEnd w:id="95"/>
      <w:r w:rsidRPr="009C0C39">
        <w:rPr>
          <w:rFonts w:ascii="Franklin Gothic Book" w:hAnsi="Franklin Gothic Book" w:cs="Times New Roman"/>
          <w:sz w:val="22"/>
          <w:szCs w:val="22"/>
        </w:rPr>
        <w:t>;</w:t>
      </w:r>
    </w:p>
    <w:p w14:paraId="609EC941" w14:textId="4E054260" w:rsidR="003C3793" w:rsidRPr="009C0C39" w:rsidRDefault="003C3793" w:rsidP="009257C1">
      <w:pPr>
        <w:pStyle w:val="ListParagraph"/>
        <w:numPr>
          <w:ilvl w:val="0"/>
          <w:numId w:val="12"/>
        </w:numPr>
        <w:spacing w:after="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services </w:t>
      </w:r>
      <w:r w:rsidR="002203F6">
        <w:rPr>
          <w:rFonts w:ascii="Franklin Gothic Book" w:hAnsi="Franklin Gothic Book" w:cs="Times New Roman"/>
          <w:sz w:val="22"/>
          <w:szCs w:val="22"/>
        </w:rPr>
        <w:t>for</w:t>
      </w:r>
      <w:r w:rsidR="002203F6"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which MGB has provided the most detail</w:t>
      </w:r>
      <w:r w:rsidR="00000916">
        <w:rPr>
          <w:rFonts w:ascii="Franklin Gothic Book" w:hAnsi="Franklin Gothic Book" w:cs="Times New Roman"/>
          <w:sz w:val="22"/>
          <w:szCs w:val="22"/>
        </w:rPr>
        <w:t>,</w:t>
      </w:r>
      <w:r w:rsidRPr="009C0C39">
        <w:rPr>
          <w:rFonts w:ascii="Franklin Gothic Book" w:hAnsi="Franklin Gothic Book" w:cs="Times New Roman"/>
          <w:sz w:val="22"/>
          <w:szCs w:val="22"/>
        </w:rPr>
        <w:t xml:space="preserve"> </w:t>
      </w:r>
      <w:r w:rsidR="00000916">
        <w:rPr>
          <w:rFonts w:ascii="Franklin Gothic Book" w:hAnsi="Franklin Gothic Book" w:cs="Times New Roman"/>
          <w:sz w:val="22"/>
          <w:szCs w:val="22"/>
        </w:rPr>
        <w:t xml:space="preserve">particularly in </w:t>
      </w:r>
      <w:r w:rsidRPr="009C0C39">
        <w:rPr>
          <w:rFonts w:ascii="Franklin Gothic Book" w:hAnsi="Franklin Gothic Book" w:cs="Times New Roman"/>
          <w:sz w:val="22"/>
          <w:szCs w:val="22"/>
        </w:rPr>
        <w:t>its ambulatory expansion plans</w:t>
      </w:r>
      <w:r w:rsidR="00000916">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are ones likely to generate substantial financial margin and drive additional volume to its system;</w:t>
      </w:r>
    </w:p>
    <w:p w14:paraId="469BB88D" w14:textId="3C0C5C7C" w:rsidR="003C3793" w:rsidRPr="009C0C39" w:rsidRDefault="003C3793" w:rsidP="009257C1">
      <w:pPr>
        <w:pStyle w:val="ListParagraph"/>
        <w:numPr>
          <w:ilvl w:val="0"/>
          <w:numId w:val="12"/>
        </w:numPr>
        <w:spacing w:after="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MGB’s projections of future utilization at its facilities do not indicate that the projects are necessary to meet unmet need.</w:t>
      </w:r>
      <w:r w:rsidRPr="009C0C39" w:rsidDel="00983B01">
        <w:rPr>
          <w:rFonts w:ascii="Franklin Gothic Book" w:hAnsi="Franklin Gothic Book" w:cs="Times New Roman"/>
          <w:sz w:val="22"/>
          <w:szCs w:val="22"/>
        </w:rPr>
        <w:t xml:space="preserve"> </w:t>
      </w:r>
      <w:r w:rsidR="00ED2074" w:rsidRPr="009C0C39">
        <w:rPr>
          <w:rFonts w:ascii="Franklin Gothic Book" w:hAnsi="Franklin Gothic Book" w:cs="Times New Roman"/>
          <w:sz w:val="22"/>
          <w:szCs w:val="22"/>
        </w:rPr>
        <w:t xml:space="preserve"> The proposed ambulatory expansions </w:t>
      </w:r>
      <w:r w:rsidR="007E3F2E" w:rsidRPr="009C0C39">
        <w:rPr>
          <w:rFonts w:ascii="Franklin Gothic Book" w:hAnsi="Franklin Gothic Book" w:cs="Times New Roman"/>
          <w:sz w:val="22"/>
          <w:szCs w:val="22"/>
        </w:rPr>
        <w:t xml:space="preserve">would </w:t>
      </w:r>
      <w:r w:rsidR="00ED2074" w:rsidRPr="009C0C39">
        <w:rPr>
          <w:rFonts w:ascii="Franklin Gothic Book" w:hAnsi="Franklin Gothic Book" w:cs="Times New Roman"/>
          <w:sz w:val="22"/>
          <w:szCs w:val="22"/>
        </w:rPr>
        <w:t xml:space="preserve">also </w:t>
      </w:r>
      <w:r w:rsidR="007E3F2E" w:rsidRPr="009C0C39">
        <w:rPr>
          <w:rFonts w:ascii="Franklin Gothic Book" w:hAnsi="Franklin Gothic Book" w:cs="Times New Roman"/>
          <w:sz w:val="22"/>
          <w:szCs w:val="22"/>
        </w:rPr>
        <w:t xml:space="preserve">be </w:t>
      </w:r>
      <w:r w:rsidR="00ED2074" w:rsidRPr="009C0C39">
        <w:rPr>
          <w:rFonts w:ascii="Franklin Gothic Book" w:hAnsi="Franklin Gothic Book" w:cs="Times New Roman"/>
          <w:sz w:val="22"/>
          <w:szCs w:val="22"/>
        </w:rPr>
        <w:t>located in areas that report already having good access to health care services</w:t>
      </w:r>
      <w:r w:rsidR="00B6177E" w:rsidRPr="009C0C39">
        <w:rPr>
          <w:rFonts w:ascii="Franklin Gothic Book" w:hAnsi="Franklin Gothic Book" w:cs="Times New Roman"/>
          <w:sz w:val="22"/>
          <w:szCs w:val="22"/>
        </w:rPr>
        <w:t>;</w:t>
      </w:r>
    </w:p>
    <w:p w14:paraId="5F03CF50" w14:textId="4D875668" w:rsidR="003C3793" w:rsidRPr="009C0C39" w:rsidRDefault="003C3793" w:rsidP="009257C1">
      <w:pPr>
        <w:pStyle w:val="ListParagraph"/>
        <w:numPr>
          <w:ilvl w:val="0"/>
          <w:numId w:val="12"/>
        </w:numPr>
        <w:spacing w:after="240"/>
        <w:contextualSpacing w:val="0"/>
        <w:rPr>
          <w:rFonts w:ascii="Franklin Gothic Book" w:hAnsi="Franklin Gothic Book" w:cs="Times New Roman"/>
          <w:sz w:val="22"/>
          <w:szCs w:val="22"/>
        </w:rPr>
      </w:pPr>
      <w:bookmarkStart w:id="96" w:name="_Hlk92754521"/>
      <w:r w:rsidRPr="009C0C39">
        <w:rPr>
          <w:rFonts w:ascii="Franklin Gothic Book" w:hAnsi="Franklin Gothic Book" w:cs="Times New Roman"/>
          <w:sz w:val="22"/>
          <w:szCs w:val="22"/>
        </w:rPr>
        <w:t xml:space="preserve">The proposed ambulatory expansions </w:t>
      </w:r>
      <w:r w:rsidR="007E3F2E" w:rsidRPr="009C0C39">
        <w:rPr>
          <w:rFonts w:ascii="Franklin Gothic Book" w:hAnsi="Franklin Gothic Book" w:cs="Times New Roman"/>
          <w:sz w:val="22"/>
          <w:szCs w:val="22"/>
        </w:rPr>
        <w:t xml:space="preserve">would be </w:t>
      </w:r>
      <w:r w:rsidR="00297250" w:rsidRPr="009C0C39">
        <w:rPr>
          <w:rFonts w:ascii="Franklin Gothic Book" w:hAnsi="Franklin Gothic Book" w:cs="Times New Roman"/>
          <w:sz w:val="22"/>
          <w:szCs w:val="22"/>
        </w:rPr>
        <w:t xml:space="preserve">located </w:t>
      </w:r>
      <w:r w:rsidR="007E3F2E" w:rsidRPr="009C0C39">
        <w:rPr>
          <w:rFonts w:ascii="Franklin Gothic Book" w:hAnsi="Franklin Gothic Book" w:cs="Times New Roman"/>
          <w:sz w:val="22"/>
          <w:szCs w:val="22"/>
        </w:rPr>
        <w:t xml:space="preserve">in </w:t>
      </w:r>
      <w:r w:rsidRPr="009C0C39">
        <w:rPr>
          <w:rFonts w:ascii="Franklin Gothic Book" w:hAnsi="Franklin Gothic Book" w:cs="Times New Roman"/>
          <w:sz w:val="22"/>
          <w:szCs w:val="22"/>
        </w:rPr>
        <w:t xml:space="preserve">relatively affluent areas with </w:t>
      </w:r>
      <w:r w:rsidR="00297250" w:rsidRPr="009C0C39">
        <w:rPr>
          <w:rFonts w:ascii="Franklin Gothic Book" w:hAnsi="Franklin Gothic Book" w:cs="Times New Roman"/>
          <w:sz w:val="22"/>
          <w:szCs w:val="22"/>
        </w:rPr>
        <w:t xml:space="preserve">low MassHealth payer mix </w:t>
      </w:r>
      <w:r w:rsidRPr="009C0C39">
        <w:rPr>
          <w:rFonts w:ascii="Franklin Gothic Book" w:hAnsi="Franklin Gothic Book" w:cs="Times New Roman"/>
          <w:sz w:val="22"/>
          <w:szCs w:val="22"/>
        </w:rPr>
        <w:t>where residents report already having good access to health care services. These features, in concert with MGB’s stated goals of increasing network lives and commercial referrals, are likely to reinforce MGB’s already small share of MassHealth patients</w:t>
      </w:r>
      <w:r w:rsidRPr="009C0C39">
        <w:rPr>
          <w:rFonts w:ascii="Franklin Gothic Book" w:hAnsi="Franklin Gothic Book" w:cs="Times New Roman"/>
          <w:b/>
          <w:bCs/>
          <w:sz w:val="22"/>
          <w:szCs w:val="22"/>
        </w:rPr>
        <w:t xml:space="preserve"> </w:t>
      </w:r>
      <w:r w:rsidRPr="009C0C39">
        <w:rPr>
          <w:rFonts w:ascii="Franklin Gothic Book" w:hAnsi="Franklin Gothic Book" w:cs="Times New Roman"/>
          <w:sz w:val="22"/>
          <w:szCs w:val="22"/>
        </w:rPr>
        <w:t>relative to other systems</w:t>
      </w:r>
      <w:bookmarkEnd w:id="96"/>
      <w:r w:rsidRPr="009C0C39">
        <w:rPr>
          <w:rFonts w:ascii="Franklin Gothic Book" w:hAnsi="Franklin Gothic Book" w:cs="Times New Roman"/>
          <w:sz w:val="22"/>
          <w:szCs w:val="22"/>
        </w:rPr>
        <w:t>; and</w:t>
      </w:r>
    </w:p>
    <w:p w14:paraId="303524F4" w14:textId="77777777" w:rsidR="003C3793" w:rsidRPr="009C0C39" w:rsidRDefault="003C3793" w:rsidP="009257C1">
      <w:pPr>
        <w:pStyle w:val="ListParagraph"/>
        <w:numPr>
          <w:ilvl w:val="0"/>
          <w:numId w:val="12"/>
        </w:numPr>
        <w:spacing w:after="240"/>
        <w:contextualSpacing w:val="0"/>
        <w:rPr>
          <w:rFonts w:ascii="Franklin Gothic Book" w:hAnsi="Franklin Gothic Book" w:cs="Times New Roman"/>
          <w:sz w:val="22"/>
          <w:szCs w:val="22"/>
        </w:rPr>
      </w:pPr>
      <w:r w:rsidRPr="009C0C39">
        <w:rPr>
          <w:rFonts w:ascii="Franklin Gothic Book" w:hAnsi="Franklin Gothic Book" w:cs="Times New Roman"/>
          <w:sz w:val="22"/>
          <w:szCs w:val="22"/>
        </w:rPr>
        <w:t>MGB will need substantial new staff for the proposed capacity, which could result both in increased staffing costs for some providers and staff being recruited away from others, particularly those providers with more limited financial resources.</w:t>
      </w:r>
    </w:p>
    <w:p w14:paraId="01D765E8" w14:textId="77777777" w:rsidR="003C3793" w:rsidRPr="009C0C39" w:rsidRDefault="003C3793" w:rsidP="005448AB">
      <w:p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The remainder of this section discusses these findings in greater depth.</w:t>
      </w:r>
    </w:p>
    <w:p w14:paraId="3F6D30C6" w14:textId="77777777" w:rsidR="003C3793" w:rsidRPr="009C0C39" w:rsidRDefault="003C3793" w:rsidP="009257C1">
      <w:pPr>
        <w:pStyle w:val="ListParagraph"/>
        <w:numPr>
          <w:ilvl w:val="0"/>
          <w:numId w:val="11"/>
        </w:numPr>
        <w:spacing w:before="240"/>
        <w:rPr>
          <w:rFonts w:ascii="Franklin Gothic Book" w:hAnsi="Franklin Gothic Book" w:cs="Times New Roman"/>
          <w:b/>
          <w:bCs/>
          <w:sz w:val="22"/>
          <w:szCs w:val="22"/>
        </w:rPr>
      </w:pPr>
      <w:bookmarkStart w:id="97" w:name="_Hlk90645915"/>
      <w:bookmarkStart w:id="98" w:name="_Hlk90645935"/>
      <w:r w:rsidRPr="009C0C39">
        <w:rPr>
          <w:rFonts w:ascii="Franklin Gothic Book" w:hAnsi="Franklin Gothic Book" w:cs="Times New Roman"/>
          <w:b/>
          <w:bCs/>
          <w:sz w:val="22"/>
          <w:szCs w:val="22"/>
        </w:rPr>
        <w:t>Projected shifts in care as MGB fills new capacity would result in the loss of substantial revenue, especially commercial revenue, for other provider systems that serve greater shares of public payer patients and patients with greater indicia of social need, leaving those providers with fewer resources to serve those populations</w:t>
      </w:r>
      <w:bookmarkEnd w:id="97"/>
      <w:r w:rsidRPr="009C0C39">
        <w:rPr>
          <w:rFonts w:ascii="Franklin Gothic Book" w:hAnsi="Franklin Gothic Book" w:cs="Times New Roman"/>
          <w:b/>
          <w:bCs/>
          <w:sz w:val="22"/>
          <w:szCs w:val="22"/>
        </w:rPr>
        <w:t xml:space="preserve">. </w:t>
      </w:r>
    </w:p>
    <w:bookmarkEnd w:id="98"/>
    <w:p w14:paraId="7CD49882" w14:textId="532C6EC1" w:rsidR="00ED2074" w:rsidRPr="009C0C39" w:rsidRDefault="00ED2074" w:rsidP="00ED2074">
      <w:pPr>
        <w:spacing w:before="240" w:after="240"/>
        <w:rPr>
          <w:rFonts w:ascii="Franklin Gothic Book" w:hAnsi="Franklin Gothic Book" w:cs="Times New Roman"/>
          <w:sz w:val="22"/>
          <w:szCs w:val="22"/>
        </w:rPr>
      </w:pPr>
      <w:r w:rsidRPr="009C0C39">
        <w:rPr>
          <w:rFonts w:ascii="Franklin Gothic Book" w:hAnsi="Franklin Gothic Book" w:cs="Times New Roman"/>
          <w:sz w:val="22"/>
          <w:szCs w:val="22"/>
        </w:rPr>
        <w:t xml:space="preserve">Each of the commercial spending </w:t>
      </w:r>
      <w:r w:rsidR="00A44395" w:rsidRPr="009C0C39">
        <w:rPr>
          <w:rFonts w:ascii="Franklin Gothic Book" w:hAnsi="Franklin Gothic Book" w:cs="Times New Roman"/>
          <w:sz w:val="22"/>
          <w:szCs w:val="22"/>
        </w:rPr>
        <w:t xml:space="preserve">changes </w:t>
      </w:r>
      <w:r w:rsidRPr="009C0C39">
        <w:rPr>
          <w:rFonts w:ascii="Franklin Gothic Book" w:hAnsi="Franklin Gothic Book" w:cs="Times New Roman"/>
          <w:sz w:val="22"/>
          <w:szCs w:val="22"/>
        </w:rPr>
        <w:t xml:space="preserve">detailed in </w:t>
      </w:r>
      <w:hyperlink w:anchor="Section_III" w:history="1">
        <w:r w:rsidRPr="009C0C39">
          <w:rPr>
            <w:rStyle w:val="Hyperlink"/>
            <w:rFonts w:ascii="Franklin Gothic Book" w:hAnsi="Franklin Gothic Book" w:cs="Times New Roman"/>
            <w:sz w:val="22"/>
            <w:szCs w:val="22"/>
          </w:rPr>
          <w:t>Section III</w:t>
        </w:r>
      </w:hyperlink>
      <w:r w:rsidRPr="009C0C39">
        <w:rPr>
          <w:rFonts w:ascii="Franklin Gothic Book" w:hAnsi="Franklin Gothic Book" w:cs="Times New Roman"/>
          <w:sz w:val="22"/>
          <w:szCs w:val="22"/>
        </w:rPr>
        <w:t xml:space="preserve"> reflect even greater </w:t>
      </w:r>
      <w:r w:rsidR="00A44395" w:rsidRPr="009C0C39">
        <w:rPr>
          <w:rFonts w:ascii="Franklin Gothic Book" w:hAnsi="Franklin Gothic Book" w:cs="Times New Roman"/>
          <w:sz w:val="22"/>
          <w:szCs w:val="22"/>
        </w:rPr>
        <w:t xml:space="preserve">changes in </w:t>
      </w:r>
      <w:r w:rsidRPr="009C0C39">
        <w:rPr>
          <w:rFonts w:ascii="Franklin Gothic Book" w:hAnsi="Franklin Gothic Book" w:cs="Times New Roman"/>
          <w:sz w:val="22"/>
          <w:szCs w:val="22"/>
        </w:rPr>
        <w:t>commercial revenue</w:t>
      </w:r>
      <w:r w:rsidR="00E604CE" w:rsidRPr="009C0C39">
        <w:rPr>
          <w:rFonts w:ascii="Franklin Gothic Book" w:hAnsi="Franklin Gothic Book" w:cs="Times New Roman"/>
          <w:sz w:val="22"/>
          <w:szCs w:val="22"/>
        </w:rPr>
        <w:t xml:space="preserve"> at different provider systems</w:t>
      </w:r>
      <w:r w:rsidR="00A44395" w:rsidRPr="009C0C39">
        <w:rPr>
          <w:rFonts w:ascii="Franklin Gothic Book" w:hAnsi="Franklin Gothic Book" w:cs="Times New Roman"/>
          <w:sz w:val="22"/>
          <w:szCs w:val="22"/>
        </w:rPr>
        <w:t>, reflecting expected shifts in commercial revenue</w:t>
      </w:r>
      <w:r w:rsidRPr="009C0C39">
        <w:rPr>
          <w:rFonts w:ascii="Franklin Gothic Book" w:hAnsi="Franklin Gothic Book" w:cs="Times New Roman"/>
          <w:sz w:val="22"/>
          <w:szCs w:val="22"/>
        </w:rPr>
        <w:t xml:space="preserve"> to the MGB system and away from other providers as shown below.</w:t>
      </w:r>
      <w:r w:rsidR="00E604CE" w:rsidRPr="009C0C39">
        <w:rPr>
          <w:rFonts w:ascii="Franklin Gothic Book" w:hAnsi="Franklin Gothic Book" w:cs="Times New Roman"/>
          <w:sz w:val="22"/>
          <w:szCs w:val="22"/>
        </w:rPr>
        <w:t xml:space="preserve"> In total, the HPC estimates that other provider organizations would lose $</w:t>
      </w:r>
      <w:r w:rsidR="003B5B72" w:rsidRPr="009C0C39">
        <w:rPr>
          <w:rFonts w:ascii="Franklin Gothic Book" w:hAnsi="Franklin Gothic Book" w:cs="Times New Roman"/>
          <w:sz w:val="22"/>
          <w:szCs w:val="22"/>
        </w:rPr>
        <w:t>152.9</w:t>
      </w:r>
      <w:r w:rsidR="00E604CE" w:rsidRPr="009C0C39">
        <w:rPr>
          <w:rFonts w:ascii="Franklin Gothic Book" w:hAnsi="Franklin Gothic Book" w:cs="Times New Roman"/>
          <w:sz w:val="22"/>
          <w:szCs w:val="22"/>
        </w:rPr>
        <w:t xml:space="preserve"> million to $</w:t>
      </w:r>
      <w:r w:rsidR="003B5B72" w:rsidRPr="009C0C39">
        <w:rPr>
          <w:rFonts w:ascii="Franklin Gothic Book" w:hAnsi="Franklin Gothic Book" w:cs="Times New Roman"/>
          <w:sz w:val="22"/>
          <w:szCs w:val="22"/>
        </w:rPr>
        <w:t>261.1</w:t>
      </w:r>
      <w:r w:rsidR="00E604CE" w:rsidRPr="009C0C39">
        <w:rPr>
          <w:rFonts w:ascii="Franklin Gothic Book" w:hAnsi="Franklin Gothic Book" w:cs="Times New Roman"/>
          <w:sz w:val="22"/>
          <w:szCs w:val="22"/>
        </w:rPr>
        <w:t xml:space="preserve"> million of annual commercial revenue, just from those aspects of the proposals that the HPC was able to analyze, as a result of shifts in care due to MGB’s proposed expansions.</w:t>
      </w:r>
      <w:r w:rsidR="00E604CE" w:rsidRPr="009C0C39">
        <w:rPr>
          <w:rStyle w:val="FootnoteReference"/>
          <w:rFonts w:ascii="Franklin Gothic Book" w:hAnsi="Franklin Gothic Book" w:cs="Times New Roman"/>
          <w:sz w:val="22"/>
          <w:szCs w:val="22"/>
        </w:rPr>
        <w:footnoteReference w:id="120"/>
      </w:r>
    </w:p>
    <w:p w14:paraId="04329260" w14:textId="77777777" w:rsidR="006523AB" w:rsidRDefault="006523AB">
      <w:pPr>
        <w:spacing w:after="160" w:line="259" w:lineRule="auto"/>
        <w:rPr>
          <w:rFonts w:ascii="Franklin Gothic Book" w:hAnsi="Franklin Gothic Book" w:cs="Times New Roman"/>
          <w:b/>
          <w:bCs/>
          <w:sz w:val="22"/>
          <w:szCs w:val="22"/>
        </w:rPr>
      </w:pPr>
      <w:r>
        <w:rPr>
          <w:rFonts w:ascii="Franklin Gothic Book" w:hAnsi="Franklin Gothic Book" w:cs="Times New Roman"/>
          <w:b/>
          <w:bCs/>
          <w:sz w:val="22"/>
          <w:szCs w:val="22"/>
        </w:rPr>
        <w:lastRenderedPageBreak/>
        <w:br w:type="page"/>
      </w:r>
    </w:p>
    <w:p w14:paraId="23262E5D" w14:textId="77777777" w:rsidR="006523AB" w:rsidRDefault="006523AB" w:rsidP="00ED2074">
      <w:pPr>
        <w:jc w:val="center"/>
        <w:rPr>
          <w:rFonts w:ascii="Franklin Gothic Book" w:hAnsi="Franklin Gothic Book" w:cs="Times New Roman"/>
          <w:b/>
          <w:bCs/>
          <w:sz w:val="22"/>
          <w:szCs w:val="22"/>
        </w:rPr>
        <w:sectPr w:rsidR="006523AB" w:rsidSect="00C053F7">
          <w:type w:val="continuous"/>
          <w:pgSz w:w="12240" w:h="15840"/>
          <w:pgMar w:top="1440" w:right="1440" w:bottom="1008" w:left="1440" w:header="720" w:footer="720" w:gutter="0"/>
          <w:cols w:space="720"/>
          <w:docGrid w:linePitch="360"/>
        </w:sectPr>
      </w:pPr>
    </w:p>
    <w:p w14:paraId="02EBA74B" w14:textId="216D967A" w:rsidR="00ED2074" w:rsidRPr="009C0C39" w:rsidRDefault="00ED2074" w:rsidP="00ED2074">
      <w:pPr>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Summary of Projected Impacts of the Expansions on Annual Commercial Health Care Spending and Provider Revenue</w:t>
      </w:r>
    </w:p>
    <w:p w14:paraId="257DA9A9" w14:textId="77777777" w:rsidR="00ED2074" w:rsidRPr="009C0C39" w:rsidRDefault="00ED2074" w:rsidP="00ED2074">
      <w:pPr>
        <w:jc w:val="center"/>
        <w:rPr>
          <w:rFonts w:ascii="Franklin Gothic Book" w:hAnsi="Franklin Gothic Book" w:cs="Times New Roman"/>
          <w:b/>
          <w:bCs/>
          <w:sz w:val="22"/>
          <w:szCs w:val="22"/>
        </w:rPr>
      </w:pPr>
    </w:p>
    <w:tbl>
      <w:tblPr>
        <w:tblStyle w:val="GridTable4-Accent1"/>
        <w:tblW w:w="1070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620" w:firstRow="1" w:lastRow="0" w:firstColumn="0" w:lastColumn="0" w:noHBand="1" w:noVBand="1"/>
        <w:tblCaption w:val="Summary of Projected Impacts of the Expansions on Annual Commercial Health Care Spending and Provider Revenue"/>
        <w:tblDescription w:val="Summary of Projected Impacts of the Expansions on Annual Commercial Health Care Spending and Provider Revenue"/>
      </w:tblPr>
      <w:tblGrid>
        <w:gridCol w:w="445"/>
        <w:gridCol w:w="1913"/>
        <w:gridCol w:w="967"/>
        <w:gridCol w:w="2460"/>
        <w:gridCol w:w="2460"/>
        <w:gridCol w:w="2460"/>
      </w:tblGrid>
      <w:tr w:rsidR="006523AB" w:rsidRPr="009C0C39" w14:paraId="21853366" w14:textId="77777777" w:rsidTr="006B6365">
        <w:trPr>
          <w:cnfStyle w:val="100000000000" w:firstRow="1" w:lastRow="0" w:firstColumn="0" w:lastColumn="0" w:oddVBand="0" w:evenVBand="0" w:oddHBand="0" w:evenHBand="0" w:firstRowFirstColumn="0" w:firstRowLastColumn="0" w:lastRowFirstColumn="0" w:lastRowLastColumn="0"/>
          <w:trHeight w:val="457"/>
          <w:tblHeader/>
        </w:trPr>
        <w:tc>
          <w:tcPr>
            <w:tcW w:w="445" w:type="dxa"/>
          </w:tcPr>
          <w:p w14:paraId="0A434FE7" w14:textId="77777777" w:rsidR="00892E44" w:rsidRPr="006523AB" w:rsidRDefault="00892E44" w:rsidP="00887CD2">
            <w:pPr>
              <w:rPr>
                <w:rFonts w:ascii="Franklin Gothic Demi Cond" w:hAnsi="Franklin Gothic Demi Cond" w:cs="Times New Roman"/>
                <w:b w:val="0"/>
                <w:bCs w:val="0"/>
                <w:sz w:val="20"/>
                <w:szCs w:val="20"/>
              </w:rPr>
            </w:pPr>
          </w:p>
        </w:tc>
        <w:tc>
          <w:tcPr>
            <w:tcW w:w="2880" w:type="dxa"/>
            <w:gridSpan w:val="2"/>
            <w:hideMark/>
          </w:tcPr>
          <w:p w14:paraId="535D0F68" w14:textId="77777777" w:rsidR="00892E44" w:rsidRPr="006523AB" w:rsidRDefault="00892E44" w:rsidP="00887CD2">
            <w:pPr>
              <w:jc w:val="center"/>
              <w:rPr>
                <w:rFonts w:ascii="Franklin Gothic Demi Cond" w:hAnsi="Franklin Gothic Demi Cond" w:cs="Times New Roman"/>
                <w:b w:val="0"/>
                <w:bCs w:val="0"/>
                <w:sz w:val="20"/>
                <w:szCs w:val="20"/>
              </w:rPr>
            </w:pPr>
            <w:r w:rsidRPr="006523AB">
              <w:rPr>
                <w:rFonts w:ascii="Franklin Gothic Demi Cond" w:hAnsi="Franklin Gothic Demi Cond" w:cs="Times New Roman"/>
                <w:b w:val="0"/>
                <w:bCs w:val="0"/>
                <w:sz w:val="20"/>
                <w:szCs w:val="20"/>
              </w:rPr>
              <w:t>Spending Dynamic</w:t>
            </w:r>
          </w:p>
        </w:tc>
        <w:tc>
          <w:tcPr>
            <w:tcW w:w="2460" w:type="dxa"/>
            <w:tcBorders>
              <w:right w:val="single" w:sz="4" w:space="0" w:color="F2682A" w:themeColor="accent2"/>
            </w:tcBorders>
            <w:hideMark/>
          </w:tcPr>
          <w:p w14:paraId="3424F55A" w14:textId="77777777" w:rsidR="00892E44" w:rsidRPr="006523AB" w:rsidRDefault="00892E44" w:rsidP="00887CD2">
            <w:pPr>
              <w:jc w:val="center"/>
              <w:rPr>
                <w:rFonts w:ascii="Franklin Gothic Demi Cond" w:hAnsi="Franklin Gothic Demi Cond" w:cs="Times New Roman"/>
                <w:b w:val="0"/>
                <w:bCs w:val="0"/>
                <w:sz w:val="20"/>
                <w:szCs w:val="20"/>
              </w:rPr>
            </w:pPr>
            <w:r w:rsidRPr="006523AB">
              <w:rPr>
                <w:rFonts w:ascii="Franklin Gothic Demi Cond" w:hAnsi="Franklin Gothic Demi Cond" w:cs="Times New Roman"/>
                <w:b w:val="0"/>
                <w:bCs w:val="0"/>
                <w:sz w:val="20"/>
                <w:szCs w:val="20"/>
              </w:rPr>
              <w:t>Annual Commercial Spending Impact</w:t>
            </w:r>
          </w:p>
        </w:tc>
        <w:tc>
          <w:tcPr>
            <w:tcW w:w="2460" w:type="dxa"/>
            <w:tcBorders>
              <w:top w:val="single" w:sz="4" w:space="0" w:color="F2682A" w:themeColor="accent2"/>
              <w:left w:val="single" w:sz="4" w:space="0" w:color="F2682A" w:themeColor="accent2"/>
            </w:tcBorders>
            <w:hideMark/>
          </w:tcPr>
          <w:p w14:paraId="08E55F1B" w14:textId="77777777" w:rsidR="00892E44" w:rsidRPr="006523AB" w:rsidRDefault="00892E44" w:rsidP="00887CD2">
            <w:pPr>
              <w:jc w:val="center"/>
              <w:rPr>
                <w:rFonts w:ascii="Franklin Gothic Demi Cond" w:hAnsi="Franklin Gothic Demi Cond" w:cs="Times New Roman"/>
                <w:b w:val="0"/>
                <w:bCs w:val="0"/>
                <w:sz w:val="20"/>
                <w:szCs w:val="20"/>
              </w:rPr>
            </w:pPr>
            <w:r w:rsidRPr="006523AB">
              <w:rPr>
                <w:rFonts w:ascii="Franklin Gothic Demi Cond" w:hAnsi="Franklin Gothic Demi Cond" w:cs="Times New Roman"/>
                <w:b w:val="0"/>
                <w:bCs w:val="0"/>
                <w:sz w:val="20"/>
                <w:szCs w:val="20"/>
              </w:rPr>
              <w:t>Annual Commercial Revenue Gain by MGB</w:t>
            </w:r>
          </w:p>
        </w:tc>
        <w:tc>
          <w:tcPr>
            <w:tcW w:w="2460" w:type="dxa"/>
            <w:tcBorders>
              <w:top w:val="single" w:sz="4" w:space="0" w:color="F2682A" w:themeColor="accent2"/>
              <w:right w:val="single" w:sz="4" w:space="0" w:color="F2682A" w:themeColor="accent2"/>
            </w:tcBorders>
            <w:hideMark/>
          </w:tcPr>
          <w:p w14:paraId="627E4761" w14:textId="77777777" w:rsidR="00892E44" w:rsidRPr="006523AB" w:rsidRDefault="00892E44" w:rsidP="00887CD2">
            <w:pPr>
              <w:jc w:val="center"/>
              <w:rPr>
                <w:rFonts w:ascii="Franklin Gothic Demi Cond" w:hAnsi="Franklin Gothic Demi Cond" w:cs="Times New Roman"/>
                <w:b w:val="0"/>
                <w:bCs w:val="0"/>
                <w:sz w:val="20"/>
                <w:szCs w:val="20"/>
              </w:rPr>
            </w:pPr>
            <w:r w:rsidRPr="006523AB">
              <w:rPr>
                <w:rFonts w:ascii="Franklin Gothic Demi Cond" w:hAnsi="Franklin Gothic Demi Cond" w:cs="Times New Roman"/>
                <w:b w:val="0"/>
                <w:bCs w:val="0"/>
                <w:sz w:val="20"/>
                <w:szCs w:val="20"/>
              </w:rPr>
              <w:t>Annual Commercial Revenue Loss by Other Providers</w:t>
            </w:r>
          </w:p>
        </w:tc>
      </w:tr>
      <w:tr w:rsidR="00892E44" w:rsidRPr="009C0C39" w14:paraId="2A6A132B" w14:textId="77777777" w:rsidTr="00BD4CCD">
        <w:trPr>
          <w:trHeight w:val="1025"/>
        </w:trPr>
        <w:tc>
          <w:tcPr>
            <w:tcW w:w="445" w:type="dxa"/>
            <w:vMerge w:val="restart"/>
            <w:shd w:val="clear" w:color="auto" w:fill="auto"/>
            <w:textDirection w:val="btLr"/>
          </w:tcPr>
          <w:p w14:paraId="0E119DC2" w14:textId="77777777" w:rsidR="00892E44" w:rsidRPr="009C0C39" w:rsidRDefault="00892E44" w:rsidP="00892E44">
            <w:pPr>
              <w:pStyle w:val="ListParagraph"/>
              <w:numPr>
                <w:ilvl w:val="0"/>
                <w:numId w:val="40"/>
              </w:numPr>
              <w:ind w:right="113"/>
              <w:jc w:val="center"/>
              <w:rPr>
                <w:rFonts w:ascii="Franklin Gothic Book" w:hAnsi="Franklin Gothic Book" w:cs="Times New Roman"/>
                <w:sz w:val="18"/>
                <w:szCs w:val="18"/>
              </w:rPr>
            </w:pPr>
            <w:r w:rsidRPr="009C0C39">
              <w:rPr>
                <w:rFonts w:ascii="Franklin Gothic Book" w:hAnsi="Franklin Gothic Book" w:cs="Times New Roman"/>
                <w:sz w:val="18"/>
                <w:szCs w:val="18"/>
              </w:rPr>
              <w:t>Ambulatory Expansion</w:t>
            </w:r>
          </w:p>
        </w:tc>
        <w:tc>
          <w:tcPr>
            <w:tcW w:w="2880" w:type="dxa"/>
            <w:gridSpan w:val="2"/>
            <w:shd w:val="clear" w:color="auto" w:fill="auto"/>
            <w:hideMark/>
          </w:tcPr>
          <w:p w14:paraId="54DDDCD0" w14:textId="77777777" w:rsidR="00892E44" w:rsidRPr="009C0C39" w:rsidRDefault="00892E44" w:rsidP="00892E44">
            <w:pPr>
              <w:pStyle w:val="ListParagraph"/>
              <w:numPr>
                <w:ilvl w:val="0"/>
                <w:numId w:val="41"/>
              </w:numPr>
              <w:ind w:left="231" w:hanging="274"/>
              <w:rPr>
                <w:rFonts w:ascii="Franklin Gothic Book" w:hAnsi="Franklin Gothic Book" w:cs="Times New Roman"/>
                <w:sz w:val="18"/>
                <w:szCs w:val="18"/>
              </w:rPr>
            </w:pPr>
            <w:r w:rsidRPr="009C0C39">
              <w:rPr>
                <w:rFonts w:ascii="Franklin Gothic Book" w:hAnsi="Franklin Gothic Book" w:cs="Times New Roman"/>
                <w:sz w:val="18"/>
                <w:szCs w:val="18"/>
              </w:rPr>
              <w:t>New MGB primary care patients</w:t>
            </w:r>
          </w:p>
        </w:tc>
        <w:tc>
          <w:tcPr>
            <w:tcW w:w="2460" w:type="dxa"/>
            <w:tcBorders>
              <w:right w:val="single" w:sz="4" w:space="0" w:color="F2682A" w:themeColor="accent2"/>
            </w:tcBorders>
            <w:shd w:val="clear" w:color="auto" w:fill="D9D9D9" w:themeFill="background1" w:themeFillShade="D9"/>
          </w:tcPr>
          <w:p w14:paraId="5E6D0063"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$9.5M to $15.4M</w:t>
            </w:r>
          </w:p>
        </w:tc>
        <w:tc>
          <w:tcPr>
            <w:tcW w:w="2460" w:type="dxa"/>
            <w:tcBorders>
              <w:left w:val="single" w:sz="4" w:space="0" w:color="F2682A" w:themeColor="accent2"/>
            </w:tcBorders>
            <w:shd w:val="clear" w:color="auto" w:fill="auto"/>
          </w:tcPr>
          <w:p w14:paraId="16B4B43A"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 but likely to increase revenue.</w:t>
            </w:r>
          </w:p>
        </w:tc>
        <w:tc>
          <w:tcPr>
            <w:tcW w:w="2460" w:type="dxa"/>
            <w:tcBorders>
              <w:right w:val="single" w:sz="4" w:space="0" w:color="F2682A" w:themeColor="accent2"/>
            </w:tcBorders>
            <w:shd w:val="clear" w:color="auto" w:fill="auto"/>
          </w:tcPr>
          <w:p w14:paraId="2D72DBE1"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 but likely to decrease revenue.</w:t>
            </w:r>
          </w:p>
        </w:tc>
      </w:tr>
      <w:tr w:rsidR="00892E44" w:rsidRPr="009C0C39" w14:paraId="16BC9C50" w14:textId="77777777" w:rsidTr="00BD4CCD">
        <w:trPr>
          <w:trHeight w:val="790"/>
        </w:trPr>
        <w:tc>
          <w:tcPr>
            <w:tcW w:w="445" w:type="dxa"/>
            <w:vMerge/>
            <w:shd w:val="clear" w:color="auto" w:fill="auto"/>
          </w:tcPr>
          <w:p w14:paraId="426E1696" w14:textId="77777777" w:rsidR="00892E44" w:rsidRPr="009C0C39" w:rsidRDefault="00892E44" w:rsidP="00887CD2">
            <w:pPr>
              <w:jc w:val="center"/>
              <w:rPr>
                <w:rFonts w:ascii="Franklin Gothic Book" w:hAnsi="Franklin Gothic Book" w:cs="Times New Roman"/>
                <w:sz w:val="18"/>
                <w:szCs w:val="18"/>
              </w:rPr>
            </w:pPr>
          </w:p>
        </w:tc>
        <w:tc>
          <w:tcPr>
            <w:tcW w:w="2880" w:type="dxa"/>
            <w:gridSpan w:val="2"/>
            <w:shd w:val="clear" w:color="auto" w:fill="EDEDED" w:themeFill="text2" w:themeFillTint="33"/>
            <w:hideMark/>
          </w:tcPr>
          <w:p w14:paraId="14655AA7" w14:textId="77777777" w:rsidR="00892E44" w:rsidRPr="009C0C39" w:rsidRDefault="00892E44" w:rsidP="00892E44">
            <w:pPr>
              <w:pStyle w:val="ListParagraph"/>
              <w:numPr>
                <w:ilvl w:val="0"/>
                <w:numId w:val="41"/>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 xml:space="preserve">Increased utilization of MGB hospitals </w:t>
            </w:r>
          </w:p>
        </w:tc>
        <w:tc>
          <w:tcPr>
            <w:tcW w:w="2460" w:type="dxa"/>
            <w:tcBorders>
              <w:right w:val="single" w:sz="4" w:space="0" w:color="F2682A" w:themeColor="accent2"/>
            </w:tcBorders>
            <w:shd w:val="clear" w:color="auto" w:fill="D9D9D9" w:themeFill="background1" w:themeFillShade="D9"/>
            <w:hideMark/>
          </w:tcPr>
          <w:p w14:paraId="0F536A33"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 xml:space="preserve">Likely significant. If the three proposed sites allow MGB to achieve half of its market share expectations for the larger multiyear ambulatory expansion, $4.5M to $17.9M for inpatient care. Outpatient would further increase spending. </w:t>
            </w:r>
          </w:p>
        </w:tc>
        <w:tc>
          <w:tcPr>
            <w:tcW w:w="2460" w:type="dxa"/>
            <w:tcBorders>
              <w:left w:val="single" w:sz="4" w:space="0" w:color="F2682A" w:themeColor="accent2"/>
            </w:tcBorders>
            <w:shd w:val="clear" w:color="auto" w:fill="EDEDED" w:themeFill="text2" w:themeFillTint="33"/>
            <w:hideMark/>
          </w:tcPr>
          <w:p w14:paraId="0E1DDC7B"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Likely significant. If the three proposed sites allow MGB to achieve half of its market share expectations for the larger multiyear ambulatory expansion, $19.1M to $76.5M for inpatient care. Outpatient would further increase revenue.</w:t>
            </w:r>
          </w:p>
        </w:tc>
        <w:tc>
          <w:tcPr>
            <w:tcW w:w="2460" w:type="dxa"/>
            <w:tcBorders>
              <w:right w:val="single" w:sz="4" w:space="0" w:color="F2682A" w:themeColor="accent2"/>
            </w:tcBorders>
            <w:shd w:val="clear" w:color="auto" w:fill="EDEDED" w:themeFill="text2" w:themeFillTint="33"/>
            <w:hideMark/>
          </w:tcPr>
          <w:p w14:paraId="2AA005C5"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 xml:space="preserve">Likely significant. </w:t>
            </w:r>
          </w:p>
          <w:p w14:paraId="580A1B0D"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If the three proposed sites allow MGB to achieve half of its market share expectations for the larger multiyear ambulatory expansion,</w:t>
            </w:r>
            <w:r w:rsidRPr="009C0C39">
              <w:rPr>
                <w:rFonts w:ascii="Franklin Gothic Book" w:hAnsi="Franklin Gothic Book" w:cs="Times New Roman"/>
                <w:color w:val="FF0000"/>
                <w:sz w:val="18"/>
                <w:szCs w:val="18"/>
              </w:rPr>
              <w:t xml:space="preserve"> -$14.6M</w:t>
            </w:r>
            <w:r w:rsidRPr="009C0C39">
              <w:rPr>
                <w:rFonts w:ascii="Franklin Gothic Book" w:hAnsi="Franklin Gothic Book" w:cs="Times New Roman"/>
                <w:sz w:val="18"/>
                <w:szCs w:val="18"/>
              </w:rPr>
              <w:t xml:space="preserve"> to </w:t>
            </w:r>
            <w:r w:rsidRPr="009C0C39">
              <w:rPr>
                <w:rFonts w:ascii="Franklin Gothic Book" w:hAnsi="Franklin Gothic Book" w:cs="Times New Roman"/>
                <w:color w:val="FF0000"/>
                <w:sz w:val="18"/>
                <w:szCs w:val="18"/>
              </w:rPr>
              <w:t>-$58.6M</w:t>
            </w:r>
            <w:r w:rsidRPr="009C0C39">
              <w:rPr>
                <w:rFonts w:ascii="Franklin Gothic Book" w:hAnsi="Franklin Gothic Book" w:cs="Times New Roman"/>
                <w:sz w:val="18"/>
                <w:szCs w:val="18"/>
              </w:rPr>
              <w:t xml:space="preserve"> for inpatient care. Outpatient would further reduce revenue.</w:t>
            </w:r>
          </w:p>
        </w:tc>
      </w:tr>
      <w:tr w:rsidR="00892E44" w:rsidRPr="009C0C39" w14:paraId="0342BADB" w14:textId="77777777" w:rsidTr="00BD4CCD">
        <w:trPr>
          <w:trHeight w:val="700"/>
        </w:trPr>
        <w:tc>
          <w:tcPr>
            <w:tcW w:w="445" w:type="dxa"/>
            <w:vMerge/>
            <w:shd w:val="clear" w:color="auto" w:fill="auto"/>
          </w:tcPr>
          <w:p w14:paraId="5CC573B1" w14:textId="77777777" w:rsidR="00892E44" w:rsidRPr="009C0C39" w:rsidRDefault="00892E44" w:rsidP="00887CD2">
            <w:pPr>
              <w:jc w:val="center"/>
              <w:rPr>
                <w:rFonts w:ascii="Franklin Gothic Book" w:hAnsi="Franklin Gothic Book" w:cs="Times New Roman"/>
                <w:sz w:val="18"/>
                <w:szCs w:val="18"/>
              </w:rPr>
            </w:pPr>
          </w:p>
        </w:tc>
        <w:tc>
          <w:tcPr>
            <w:tcW w:w="2880" w:type="dxa"/>
            <w:gridSpan w:val="2"/>
            <w:shd w:val="clear" w:color="auto" w:fill="auto"/>
            <w:hideMark/>
          </w:tcPr>
          <w:p w14:paraId="1DF423D8" w14:textId="77777777" w:rsidR="00892E44" w:rsidRPr="009C0C39" w:rsidRDefault="00892E44" w:rsidP="00892E44">
            <w:pPr>
              <w:pStyle w:val="ListParagraph"/>
              <w:numPr>
                <w:ilvl w:val="0"/>
                <w:numId w:val="41"/>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 xml:space="preserve">Patients at new ambulatory locations and backfill of outpatient capacity at MGB hospitals </w:t>
            </w:r>
          </w:p>
        </w:tc>
        <w:tc>
          <w:tcPr>
            <w:tcW w:w="2460" w:type="dxa"/>
            <w:tcBorders>
              <w:right w:val="single" w:sz="4" w:space="0" w:color="F2682A" w:themeColor="accent2"/>
            </w:tcBorders>
            <w:shd w:val="clear" w:color="auto" w:fill="D9D9D9" w:themeFill="background1" w:themeFillShade="D9"/>
            <w:hideMark/>
          </w:tcPr>
          <w:p w14:paraId="3A0FE771"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-$3.4M</w:t>
            </w:r>
            <w:r w:rsidRPr="009C0C39">
              <w:rPr>
                <w:rFonts w:ascii="Franklin Gothic Book" w:hAnsi="Franklin Gothic Book" w:cs="Times New Roman"/>
                <w:sz w:val="18"/>
                <w:szCs w:val="18"/>
              </w:rPr>
              <w:t xml:space="preserve"> for ambulatory surgery, CT and MRI. Other services could further impact spending.</w:t>
            </w:r>
          </w:p>
        </w:tc>
        <w:tc>
          <w:tcPr>
            <w:tcW w:w="2460" w:type="dxa"/>
            <w:tcBorders>
              <w:left w:val="single" w:sz="4" w:space="0" w:color="F2682A" w:themeColor="accent2"/>
            </w:tcBorders>
            <w:shd w:val="clear" w:color="auto" w:fill="auto"/>
            <w:hideMark/>
          </w:tcPr>
          <w:p w14:paraId="0F2EA8F4"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$24.2M to $28.2M for ambulatory surgery, CT and MRI. Other services would further increase revenue.</w:t>
            </w:r>
          </w:p>
        </w:tc>
        <w:tc>
          <w:tcPr>
            <w:tcW w:w="2460" w:type="dxa"/>
            <w:tcBorders>
              <w:right w:val="single" w:sz="4" w:space="0" w:color="F2682A" w:themeColor="accent2"/>
            </w:tcBorders>
            <w:shd w:val="clear" w:color="auto" w:fill="auto"/>
            <w:hideMark/>
          </w:tcPr>
          <w:p w14:paraId="0C145663"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-$27.6M</w:t>
            </w:r>
            <w:r w:rsidRPr="009C0C39">
              <w:rPr>
                <w:rFonts w:ascii="Franklin Gothic Book" w:hAnsi="Franklin Gothic Book" w:cs="Times New Roman"/>
                <w:sz w:val="18"/>
                <w:szCs w:val="18"/>
              </w:rPr>
              <w:t xml:space="preserve"> to </w:t>
            </w:r>
            <w:r w:rsidRPr="009C0C39">
              <w:rPr>
                <w:rFonts w:ascii="Franklin Gothic Book" w:hAnsi="Franklin Gothic Book" w:cs="Times New Roman"/>
                <w:color w:val="FF0000"/>
                <w:sz w:val="18"/>
                <w:szCs w:val="18"/>
              </w:rPr>
              <w:t>-$31.6M</w:t>
            </w:r>
            <w:r w:rsidRPr="009C0C39">
              <w:rPr>
                <w:rFonts w:ascii="Franklin Gothic Book" w:hAnsi="Franklin Gothic Book" w:cs="Times New Roman"/>
                <w:sz w:val="18"/>
                <w:szCs w:val="18"/>
              </w:rPr>
              <w:t xml:space="preserve"> for ambulatory surgery, CT and MRI. Other services would further reduce revenue</w:t>
            </w:r>
          </w:p>
        </w:tc>
      </w:tr>
      <w:tr w:rsidR="00892E44" w:rsidRPr="009C0C39" w14:paraId="17FF6696" w14:textId="77777777" w:rsidTr="00BD4CCD">
        <w:trPr>
          <w:trHeight w:val="214"/>
        </w:trPr>
        <w:tc>
          <w:tcPr>
            <w:tcW w:w="445" w:type="dxa"/>
            <w:vMerge/>
            <w:shd w:val="clear" w:color="auto" w:fill="auto"/>
          </w:tcPr>
          <w:p w14:paraId="32072173" w14:textId="77777777" w:rsidR="00892E44" w:rsidRPr="009C0C39" w:rsidRDefault="00892E44" w:rsidP="00887CD2">
            <w:pPr>
              <w:jc w:val="center"/>
              <w:rPr>
                <w:rFonts w:ascii="Franklin Gothic Book" w:hAnsi="Franklin Gothic Book" w:cs="Times New Roman"/>
                <w:sz w:val="18"/>
                <w:szCs w:val="18"/>
              </w:rPr>
            </w:pPr>
          </w:p>
        </w:tc>
        <w:tc>
          <w:tcPr>
            <w:tcW w:w="2880" w:type="dxa"/>
            <w:gridSpan w:val="2"/>
            <w:shd w:val="clear" w:color="auto" w:fill="EDEDED" w:themeFill="text2" w:themeFillTint="33"/>
          </w:tcPr>
          <w:p w14:paraId="569B13F7" w14:textId="77777777" w:rsidR="00892E44" w:rsidRPr="009C0C39" w:rsidRDefault="00892E44" w:rsidP="00892E44">
            <w:pPr>
              <w:pStyle w:val="ListParagraph"/>
              <w:numPr>
                <w:ilvl w:val="0"/>
                <w:numId w:val="41"/>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Increased MGB prices as market concentration and MGB’s commercial market shares increase</w:t>
            </w:r>
          </w:p>
        </w:tc>
        <w:tc>
          <w:tcPr>
            <w:tcW w:w="2460" w:type="dxa"/>
            <w:tcBorders>
              <w:right w:val="single" w:sz="4" w:space="0" w:color="F2682A" w:themeColor="accent2"/>
            </w:tcBorders>
            <w:shd w:val="clear" w:color="auto" w:fill="D9D9D9" w:themeFill="background1" w:themeFillShade="D9"/>
          </w:tcPr>
          <w:p w14:paraId="1659DDC0"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c>
          <w:tcPr>
            <w:tcW w:w="2460" w:type="dxa"/>
            <w:tcBorders>
              <w:left w:val="single" w:sz="4" w:space="0" w:color="F2682A" w:themeColor="accent2"/>
            </w:tcBorders>
            <w:shd w:val="clear" w:color="auto" w:fill="EDEDED" w:themeFill="text2" w:themeFillTint="33"/>
          </w:tcPr>
          <w:p w14:paraId="109CBB43"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c>
          <w:tcPr>
            <w:tcW w:w="2460" w:type="dxa"/>
            <w:tcBorders>
              <w:right w:val="single" w:sz="4" w:space="0" w:color="F2682A" w:themeColor="accent2"/>
            </w:tcBorders>
            <w:shd w:val="clear" w:color="auto" w:fill="EDEDED" w:themeFill="text2" w:themeFillTint="33"/>
          </w:tcPr>
          <w:p w14:paraId="67C8A8C4"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r>
      <w:tr w:rsidR="00892E44" w:rsidRPr="009C0C39" w14:paraId="56EC5FB4" w14:textId="77777777" w:rsidTr="00BD4CCD">
        <w:trPr>
          <w:trHeight w:val="523"/>
        </w:trPr>
        <w:tc>
          <w:tcPr>
            <w:tcW w:w="445" w:type="dxa"/>
            <w:vMerge/>
            <w:shd w:val="clear" w:color="auto" w:fill="auto"/>
            <w:textDirection w:val="btLr"/>
          </w:tcPr>
          <w:p w14:paraId="3C0F33E0" w14:textId="77777777" w:rsidR="00892E44" w:rsidRPr="009C0C39" w:rsidRDefault="00892E44" w:rsidP="00887CD2">
            <w:pPr>
              <w:ind w:left="113" w:right="113"/>
              <w:rPr>
                <w:rFonts w:ascii="Franklin Gothic Book" w:hAnsi="Franklin Gothic Book" w:cs="Times New Roman"/>
                <w:sz w:val="18"/>
                <w:szCs w:val="18"/>
              </w:rPr>
            </w:pPr>
          </w:p>
        </w:tc>
        <w:tc>
          <w:tcPr>
            <w:tcW w:w="2880" w:type="dxa"/>
            <w:gridSpan w:val="2"/>
            <w:shd w:val="clear" w:color="auto" w:fill="E2E8F1" w:themeFill="background2" w:themeFillTint="33"/>
          </w:tcPr>
          <w:p w14:paraId="2E45F8BC" w14:textId="77777777" w:rsidR="00892E44" w:rsidRPr="009C0C39" w:rsidRDefault="00892E44" w:rsidP="00887CD2">
            <w:pPr>
              <w:rPr>
                <w:rFonts w:ascii="Franklin Gothic Book" w:hAnsi="Franklin Gothic Book" w:cs="Times New Roman"/>
                <w:b/>
                <w:bCs/>
                <w:sz w:val="18"/>
                <w:szCs w:val="18"/>
              </w:rPr>
            </w:pPr>
            <w:r w:rsidRPr="009C0C39">
              <w:rPr>
                <w:rFonts w:ascii="Franklin Gothic Book" w:hAnsi="Franklin Gothic Book" w:cs="Times New Roman"/>
                <w:b/>
                <w:bCs/>
                <w:sz w:val="18"/>
                <w:szCs w:val="18"/>
              </w:rPr>
              <w:t xml:space="preserve">Total </w:t>
            </w:r>
            <w:r w:rsidRPr="009C0C39">
              <w:rPr>
                <w:rFonts w:ascii="Franklin Gothic Book" w:hAnsi="Franklin Gothic Book" w:cs="Times New Roman"/>
                <w:b/>
                <w:bCs/>
                <w:i/>
                <w:iCs/>
                <w:sz w:val="18"/>
                <w:szCs w:val="18"/>
              </w:rPr>
              <w:t>yearly</w:t>
            </w:r>
            <w:r w:rsidRPr="009C0C39">
              <w:rPr>
                <w:rFonts w:ascii="Franklin Gothic Book" w:hAnsi="Franklin Gothic Book" w:cs="Times New Roman"/>
                <w:b/>
                <w:bCs/>
                <w:sz w:val="18"/>
                <w:szCs w:val="18"/>
              </w:rPr>
              <w:t xml:space="preserve"> commercial impact for modeled services and spending dynamics</w:t>
            </w:r>
          </w:p>
        </w:tc>
        <w:tc>
          <w:tcPr>
            <w:tcW w:w="2460" w:type="dxa"/>
            <w:tcBorders>
              <w:right w:val="single" w:sz="4" w:space="0" w:color="F2682A" w:themeColor="accent2"/>
            </w:tcBorders>
            <w:shd w:val="clear" w:color="auto" w:fill="D9D9D9" w:themeFill="background1" w:themeFillShade="D9"/>
          </w:tcPr>
          <w:p w14:paraId="4D640E67"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$9.3M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$27.9M</w:t>
            </w:r>
          </w:p>
        </w:tc>
        <w:tc>
          <w:tcPr>
            <w:tcW w:w="2460" w:type="dxa"/>
            <w:tcBorders>
              <w:left w:val="single" w:sz="4" w:space="0" w:color="F2682A" w:themeColor="accent2"/>
            </w:tcBorders>
            <w:shd w:val="clear" w:color="auto" w:fill="E2E8F1" w:themeFill="background2" w:themeFillTint="33"/>
          </w:tcPr>
          <w:p w14:paraId="1289518C"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$43.3M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$104.6M</w:t>
            </w:r>
          </w:p>
        </w:tc>
        <w:tc>
          <w:tcPr>
            <w:tcW w:w="2460" w:type="dxa"/>
            <w:tcBorders>
              <w:right w:val="single" w:sz="4" w:space="0" w:color="F2682A" w:themeColor="accent2"/>
            </w:tcBorders>
            <w:shd w:val="clear" w:color="auto" w:fill="E2E8F1" w:themeFill="background2" w:themeFillTint="33"/>
          </w:tcPr>
          <w:p w14:paraId="390A3051" w14:textId="77777777" w:rsidR="00892E44" w:rsidRPr="009C0C39" w:rsidRDefault="00892E44"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b/>
                <w:bCs/>
                <w:color w:val="FF0000"/>
                <w:sz w:val="18"/>
                <w:szCs w:val="18"/>
              </w:rPr>
              <w:t>-$42.2M</w:t>
            </w:r>
            <w:r w:rsidRPr="009C0C39">
              <w:rPr>
                <w:rFonts w:ascii="Franklin Gothic Book" w:hAnsi="Franklin Gothic Book" w:cs="Times New Roman"/>
                <w:color w:val="FF0000"/>
                <w:sz w:val="18"/>
                <w:szCs w:val="18"/>
              </w:rPr>
              <w:t xml:space="preserve"> </w:t>
            </w:r>
            <w:r w:rsidRPr="009C0C39">
              <w:rPr>
                <w:rFonts w:ascii="Franklin Gothic Book" w:hAnsi="Franklin Gothic Book" w:cs="Times New Roman"/>
                <w:sz w:val="18"/>
                <w:szCs w:val="18"/>
              </w:rPr>
              <w:t xml:space="preserve">to </w:t>
            </w:r>
            <w:r w:rsidRPr="009C0C39">
              <w:rPr>
                <w:rFonts w:ascii="Franklin Gothic Book" w:hAnsi="Franklin Gothic Book" w:cs="Times New Roman"/>
                <w:b/>
                <w:bCs/>
                <w:color w:val="FF0000"/>
                <w:sz w:val="18"/>
                <w:szCs w:val="18"/>
              </w:rPr>
              <w:t>-$90.2M</w:t>
            </w:r>
          </w:p>
        </w:tc>
      </w:tr>
      <w:tr w:rsidR="00892E44" w:rsidRPr="009C0C39" w14:paraId="64F7DCE6" w14:textId="77777777" w:rsidTr="00BD4CCD">
        <w:trPr>
          <w:trHeight w:val="523"/>
        </w:trPr>
        <w:tc>
          <w:tcPr>
            <w:tcW w:w="445" w:type="dxa"/>
            <w:vMerge w:val="restart"/>
            <w:shd w:val="clear" w:color="auto" w:fill="auto"/>
            <w:textDirection w:val="btLr"/>
          </w:tcPr>
          <w:p w14:paraId="452052C8" w14:textId="77777777" w:rsidR="00892E44" w:rsidRPr="009C0C39" w:rsidRDefault="00892E44" w:rsidP="00892E44">
            <w:pPr>
              <w:pStyle w:val="ListParagraph"/>
              <w:numPr>
                <w:ilvl w:val="0"/>
                <w:numId w:val="40"/>
              </w:numPr>
              <w:ind w:right="113"/>
              <w:jc w:val="center"/>
              <w:rPr>
                <w:rFonts w:ascii="Franklin Gothic Book" w:hAnsi="Franklin Gothic Book" w:cs="Times New Roman"/>
                <w:sz w:val="18"/>
                <w:szCs w:val="18"/>
              </w:rPr>
            </w:pPr>
            <w:r w:rsidRPr="009C0C39">
              <w:rPr>
                <w:rFonts w:ascii="Franklin Gothic Book" w:hAnsi="Franklin Gothic Book" w:cs="Times New Roman"/>
                <w:sz w:val="18"/>
                <w:szCs w:val="18"/>
              </w:rPr>
              <w:t>MGH and Faulkner Expansions</w:t>
            </w:r>
          </w:p>
        </w:tc>
        <w:tc>
          <w:tcPr>
            <w:tcW w:w="1913" w:type="dxa"/>
            <w:vMerge w:val="restart"/>
            <w:shd w:val="clear" w:color="auto" w:fill="auto"/>
          </w:tcPr>
          <w:p w14:paraId="0414AD0F" w14:textId="77777777" w:rsidR="00892E44" w:rsidRPr="009C0C39" w:rsidRDefault="00892E44" w:rsidP="00892E44">
            <w:pPr>
              <w:pStyle w:val="ListParagraph"/>
              <w:numPr>
                <w:ilvl w:val="0"/>
                <w:numId w:val="42"/>
              </w:numPr>
              <w:ind w:left="231" w:hanging="274"/>
              <w:rPr>
                <w:rFonts w:ascii="Franklin Gothic Book" w:hAnsi="Franklin Gothic Book" w:cs="Times New Roman"/>
                <w:sz w:val="18"/>
                <w:szCs w:val="18"/>
              </w:rPr>
            </w:pPr>
            <w:r w:rsidRPr="009C0C39">
              <w:rPr>
                <w:rFonts w:ascii="Franklin Gothic Book" w:hAnsi="Franklin Gothic Book" w:cs="Times New Roman"/>
                <w:sz w:val="18"/>
                <w:szCs w:val="18"/>
              </w:rPr>
              <w:t>Patients filling new inpatient capacity</w:t>
            </w:r>
          </w:p>
        </w:tc>
        <w:tc>
          <w:tcPr>
            <w:tcW w:w="967" w:type="dxa"/>
            <w:shd w:val="clear" w:color="auto" w:fill="auto"/>
          </w:tcPr>
          <w:p w14:paraId="283FC93B"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MGH</w:t>
            </w:r>
          </w:p>
        </w:tc>
        <w:tc>
          <w:tcPr>
            <w:tcW w:w="2460" w:type="dxa"/>
            <w:tcBorders>
              <w:right w:val="single" w:sz="4" w:space="0" w:color="F2682A" w:themeColor="accent2"/>
            </w:tcBorders>
            <w:shd w:val="clear" w:color="auto" w:fill="D9D9D9" w:themeFill="background1" w:themeFillShade="D9"/>
          </w:tcPr>
          <w:p w14:paraId="3217996D"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$23.7M to $40.6M</w:t>
            </w:r>
          </w:p>
        </w:tc>
        <w:tc>
          <w:tcPr>
            <w:tcW w:w="2460" w:type="dxa"/>
            <w:tcBorders>
              <w:left w:val="single" w:sz="4" w:space="0" w:color="F2682A" w:themeColor="accent2"/>
            </w:tcBorders>
            <w:shd w:val="clear" w:color="auto" w:fill="auto"/>
          </w:tcPr>
          <w:p w14:paraId="4E65BEE4"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$91.3M to $156.3M</w:t>
            </w:r>
          </w:p>
        </w:tc>
        <w:tc>
          <w:tcPr>
            <w:tcW w:w="2460" w:type="dxa"/>
            <w:tcBorders>
              <w:right w:val="single" w:sz="4" w:space="0" w:color="F2682A" w:themeColor="accent2"/>
            </w:tcBorders>
            <w:shd w:val="clear" w:color="auto" w:fill="auto"/>
          </w:tcPr>
          <w:p w14:paraId="305917EE"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 xml:space="preserve">-$67.6M </w:t>
            </w:r>
            <w:r w:rsidRPr="009C0C39">
              <w:rPr>
                <w:rFonts w:ascii="Franklin Gothic Book" w:hAnsi="Franklin Gothic Book" w:cs="Times New Roman"/>
                <w:sz w:val="18"/>
                <w:szCs w:val="18"/>
              </w:rPr>
              <w:t xml:space="preserve">to </w:t>
            </w:r>
            <w:r w:rsidRPr="009C0C39">
              <w:rPr>
                <w:rFonts w:ascii="Franklin Gothic Book" w:hAnsi="Franklin Gothic Book" w:cs="Times New Roman"/>
                <w:color w:val="FF0000"/>
                <w:sz w:val="18"/>
                <w:szCs w:val="18"/>
              </w:rPr>
              <w:t>-$115.7M</w:t>
            </w:r>
          </w:p>
        </w:tc>
      </w:tr>
      <w:tr w:rsidR="00892E44" w:rsidRPr="009C0C39" w14:paraId="39B8A42F" w14:textId="77777777" w:rsidTr="00BD4CCD">
        <w:trPr>
          <w:trHeight w:val="523"/>
        </w:trPr>
        <w:tc>
          <w:tcPr>
            <w:tcW w:w="445" w:type="dxa"/>
            <w:vMerge/>
            <w:shd w:val="clear" w:color="auto" w:fill="auto"/>
            <w:textDirection w:val="btLr"/>
          </w:tcPr>
          <w:p w14:paraId="13E262C9" w14:textId="77777777" w:rsidR="00892E44" w:rsidRPr="009C0C39" w:rsidRDefault="00892E44" w:rsidP="00887CD2">
            <w:pPr>
              <w:ind w:left="113" w:right="113"/>
              <w:jc w:val="center"/>
              <w:rPr>
                <w:rFonts w:ascii="Franklin Gothic Book" w:hAnsi="Franklin Gothic Book" w:cs="Times New Roman"/>
                <w:sz w:val="18"/>
                <w:szCs w:val="18"/>
              </w:rPr>
            </w:pPr>
          </w:p>
        </w:tc>
        <w:tc>
          <w:tcPr>
            <w:tcW w:w="1913" w:type="dxa"/>
            <w:vMerge/>
            <w:shd w:val="clear" w:color="auto" w:fill="auto"/>
            <w:hideMark/>
          </w:tcPr>
          <w:p w14:paraId="6EF47CD4" w14:textId="77777777" w:rsidR="00892E44" w:rsidRPr="009C0C39" w:rsidRDefault="00892E44" w:rsidP="00887CD2">
            <w:pPr>
              <w:jc w:val="center"/>
              <w:rPr>
                <w:rFonts w:ascii="Franklin Gothic Book" w:hAnsi="Franklin Gothic Book" w:cs="Times New Roman"/>
                <w:sz w:val="18"/>
                <w:szCs w:val="18"/>
              </w:rPr>
            </w:pPr>
          </w:p>
        </w:tc>
        <w:tc>
          <w:tcPr>
            <w:tcW w:w="967" w:type="dxa"/>
            <w:shd w:val="clear" w:color="auto" w:fill="auto"/>
          </w:tcPr>
          <w:p w14:paraId="3465B99E"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60" w:type="dxa"/>
            <w:tcBorders>
              <w:right w:val="single" w:sz="4" w:space="0" w:color="F2682A" w:themeColor="accent2"/>
            </w:tcBorders>
            <w:shd w:val="clear" w:color="auto" w:fill="D9D9D9" w:themeFill="background1" w:themeFillShade="D9"/>
          </w:tcPr>
          <w:p w14:paraId="3D8EABC1"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$2.9M to $3.8M</w:t>
            </w:r>
          </w:p>
        </w:tc>
        <w:tc>
          <w:tcPr>
            <w:tcW w:w="2460" w:type="dxa"/>
            <w:tcBorders>
              <w:left w:val="single" w:sz="4" w:space="0" w:color="F2682A" w:themeColor="accent2"/>
            </w:tcBorders>
            <w:shd w:val="clear" w:color="auto" w:fill="auto"/>
          </w:tcPr>
          <w:p w14:paraId="255FDE49"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$41.8M to $54.9M</w:t>
            </w:r>
          </w:p>
        </w:tc>
        <w:tc>
          <w:tcPr>
            <w:tcW w:w="2460" w:type="dxa"/>
            <w:tcBorders>
              <w:right w:val="single" w:sz="4" w:space="0" w:color="F2682A" w:themeColor="accent2"/>
            </w:tcBorders>
            <w:shd w:val="clear" w:color="auto" w:fill="auto"/>
          </w:tcPr>
          <w:p w14:paraId="69DF61D2"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-$39.0M</w:t>
            </w:r>
            <w:r w:rsidRPr="009C0C39">
              <w:rPr>
                <w:rFonts w:ascii="Franklin Gothic Book" w:hAnsi="Franklin Gothic Book" w:cs="Times New Roman"/>
                <w:sz w:val="18"/>
                <w:szCs w:val="18"/>
              </w:rPr>
              <w:t xml:space="preserve"> to </w:t>
            </w:r>
            <w:r w:rsidRPr="009C0C39">
              <w:rPr>
                <w:rFonts w:ascii="Franklin Gothic Book" w:hAnsi="Franklin Gothic Book" w:cs="Times New Roman"/>
                <w:color w:val="FF0000"/>
                <w:sz w:val="18"/>
                <w:szCs w:val="18"/>
              </w:rPr>
              <w:t>-$51.1M</w:t>
            </w:r>
          </w:p>
        </w:tc>
      </w:tr>
      <w:tr w:rsidR="00892E44" w:rsidRPr="009C0C39" w14:paraId="5535983E" w14:textId="77777777" w:rsidTr="00BD4CCD">
        <w:trPr>
          <w:trHeight w:val="673"/>
        </w:trPr>
        <w:tc>
          <w:tcPr>
            <w:tcW w:w="445" w:type="dxa"/>
            <w:vMerge/>
            <w:shd w:val="clear" w:color="auto" w:fill="auto"/>
          </w:tcPr>
          <w:p w14:paraId="7B7F7251" w14:textId="77777777" w:rsidR="00892E44" w:rsidRPr="009C0C39" w:rsidRDefault="00892E44" w:rsidP="00887CD2">
            <w:pPr>
              <w:rPr>
                <w:rFonts w:ascii="Franklin Gothic Book" w:hAnsi="Franklin Gothic Book" w:cs="Times New Roman"/>
                <w:sz w:val="18"/>
                <w:szCs w:val="18"/>
              </w:rPr>
            </w:pPr>
          </w:p>
        </w:tc>
        <w:tc>
          <w:tcPr>
            <w:tcW w:w="1913" w:type="dxa"/>
            <w:vMerge w:val="restart"/>
            <w:shd w:val="clear" w:color="auto" w:fill="EDEDED" w:themeFill="text2" w:themeFillTint="33"/>
          </w:tcPr>
          <w:p w14:paraId="6351860F" w14:textId="77777777" w:rsidR="00892E44" w:rsidRPr="009C0C39" w:rsidRDefault="00892E44" w:rsidP="00892E44">
            <w:pPr>
              <w:pStyle w:val="ListParagraph"/>
              <w:numPr>
                <w:ilvl w:val="0"/>
                <w:numId w:val="42"/>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Patients filling new outpatient capacity</w:t>
            </w:r>
          </w:p>
        </w:tc>
        <w:tc>
          <w:tcPr>
            <w:tcW w:w="967" w:type="dxa"/>
            <w:shd w:val="clear" w:color="auto" w:fill="EDEDED" w:themeFill="text2" w:themeFillTint="33"/>
          </w:tcPr>
          <w:p w14:paraId="4990D85F"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MGH</w:t>
            </w:r>
          </w:p>
        </w:tc>
        <w:tc>
          <w:tcPr>
            <w:tcW w:w="2460" w:type="dxa"/>
            <w:tcBorders>
              <w:right w:val="single" w:sz="4" w:space="0" w:color="F2682A" w:themeColor="accent2"/>
            </w:tcBorders>
            <w:shd w:val="clear" w:color="auto" w:fill="D9D9D9" w:themeFill="background1" w:themeFillShade="D9"/>
          </w:tcPr>
          <w:p w14:paraId="54C99611"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$573K for CT and MRI imaging only. Other services would further increase spending</w:t>
            </w:r>
          </w:p>
        </w:tc>
        <w:tc>
          <w:tcPr>
            <w:tcW w:w="2460" w:type="dxa"/>
            <w:tcBorders>
              <w:left w:val="single" w:sz="4" w:space="0" w:color="F2682A" w:themeColor="accent2"/>
            </w:tcBorders>
            <w:shd w:val="clear" w:color="auto" w:fill="EDEDED" w:themeFill="text2" w:themeFillTint="33"/>
          </w:tcPr>
          <w:p w14:paraId="548EF70C"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$3.8M for CT and MRI imaging only. Other services would further increase revenue</w:t>
            </w:r>
          </w:p>
        </w:tc>
        <w:tc>
          <w:tcPr>
            <w:tcW w:w="2460" w:type="dxa"/>
            <w:tcBorders>
              <w:right w:val="single" w:sz="4" w:space="0" w:color="F2682A" w:themeColor="accent2"/>
            </w:tcBorders>
            <w:shd w:val="clear" w:color="auto" w:fill="EDEDED" w:themeFill="text2" w:themeFillTint="33"/>
          </w:tcPr>
          <w:p w14:paraId="0BA85E48" w14:textId="77777777" w:rsidR="00892E44" w:rsidRPr="009C0C39" w:rsidRDefault="00892E44"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color w:val="FF0000"/>
                <w:sz w:val="18"/>
                <w:szCs w:val="18"/>
              </w:rPr>
              <w:t>-$3.3M</w:t>
            </w:r>
            <w:r w:rsidRPr="009C0C39">
              <w:rPr>
                <w:rFonts w:ascii="Franklin Gothic Book" w:hAnsi="Franklin Gothic Book" w:cs="Times New Roman"/>
                <w:sz w:val="18"/>
                <w:szCs w:val="18"/>
              </w:rPr>
              <w:t xml:space="preserve"> for CT and MRI imaging only. Other services would further reduce revenue</w:t>
            </w:r>
          </w:p>
        </w:tc>
      </w:tr>
      <w:tr w:rsidR="00892E44" w:rsidRPr="009C0C39" w14:paraId="1686EB63" w14:textId="77777777" w:rsidTr="00BD4CCD">
        <w:trPr>
          <w:trHeight w:val="664"/>
        </w:trPr>
        <w:tc>
          <w:tcPr>
            <w:tcW w:w="445" w:type="dxa"/>
            <w:vMerge/>
            <w:shd w:val="clear" w:color="auto" w:fill="auto"/>
          </w:tcPr>
          <w:p w14:paraId="041E632F" w14:textId="77777777" w:rsidR="00892E44" w:rsidRPr="009C0C39" w:rsidRDefault="00892E44" w:rsidP="00887CD2">
            <w:pPr>
              <w:rPr>
                <w:rFonts w:ascii="Franklin Gothic Book" w:hAnsi="Franklin Gothic Book" w:cs="Times New Roman"/>
                <w:sz w:val="18"/>
                <w:szCs w:val="18"/>
              </w:rPr>
            </w:pPr>
          </w:p>
        </w:tc>
        <w:tc>
          <w:tcPr>
            <w:tcW w:w="1913" w:type="dxa"/>
            <w:vMerge/>
            <w:shd w:val="clear" w:color="auto" w:fill="EDEDED" w:themeFill="text2" w:themeFillTint="33"/>
            <w:hideMark/>
          </w:tcPr>
          <w:p w14:paraId="1CCFC1B1" w14:textId="77777777" w:rsidR="00892E44" w:rsidRPr="009C0C39" w:rsidRDefault="00892E44" w:rsidP="00887CD2">
            <w:pPr>
              <w:jc w:val="center"/>
              <w:rPr>
                <w:rFonts w:ascii="Franklin Gothic Book" w:hAnsi="Franklin Gothic Book" w:cs="Times New Roman"/>
                <w:sz w:val="18"/>
                <w:szCs w:val="18"/>
              </w:rPr>
            </w:pPr>
          </w:p>
        </w:tc>
        <w:tc>
          <w:tcPr>
            <w:tcW w:w="967" w:type="dxa"/>
            <w:shd w:val="clear" w:color="auto" w:fill="EDEDED" w:themeFill="text2" w:themeFillTint="33"/>
          </w:tcPr>
          <w:p w14:paraId="69465EF1"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60" w:type="dxa"/>
            <w:tcBorders>
              <w:right w:val="single" w:sz="4" w:space="0" w:color="F2682A" w:themeColor="accent2"/>
            </w:tcBorders>
            <w:shd w:val="clear" w:color="auto" w:fill="D9D9D9" w:themeFill="background1" w:themeFillShade="D9"/>
            <w:hideMark/>
          </w:tcPr>
          <w:p w14:paraId="4BB533DE"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-$91K</w:t>
            </w:r>
            <w:r w:rsidRPr="009C0C39">
              <w:rPr>
                <w:rFonts w:ascii="Franklin Gothic Book" w:hAnsi="Franklin Gothic Book" w:cs="Times New Roman"/>
                <w:sz w:val="18"/>
                <w:szCs w:val="18"/>
              </w:rPr>
              <w:t xml:space="preserve"> for MRI imaging only. Other services could further impact spending. </w:t>
            </w:r>
          </w:p>
        </w:tc>
        <w:tc>
          <w:tcPr>
            <w:tcW w:w="2460" w:type="dxa"/>
            <w:tcBorders>
              <w:left w:val="single" w:sz="4" w:space="0" w:color="F2682A" w:themeColor="accent2"/>
            </w:tcBorders>
            <w:shd w:val="clear" w:color="auto" w:fill="EDEDED" w:themeFill="text2" w:themeFillTint="33"/>
            <w:hideMark/>
          </w:tcPr>
          <w:p w14:paraId="0193B035"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$788K for MRI imaging only. Other services would further increase revenue</w:t>
            </w:r>
          </w:p>
        </w:tc>
        <w:tc>
          <w:tcPr>
            <w:tcW w:w="2460" w:type="dxa"/>
            <w:tcBorders>
              <w:right w:val="single" w:sz="4" w:space="0" w:color="F2682A" w:themeColor="accent2"/>
            </w:tcBorders>
            <w:shd w:val="clear" w:color="auto" w:fill="EDEDED" w:themeFill="text2" w:themeFillTint="33"/>
            <w:hideMark/>
          </w:tcPr>
          <w:p w14:paraId="19DB8B97"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color w:val="FF0000"/>
                <w:sz w:val="18"/>
                <w:szCs w:val="18"/>
              </w:rPr>
              <w:t>-$879K</w:t>
            </w:r>
            <w:r w:rsidRPr="009C0C39">
              <w:rPr>
                <w:rFonts w:ascii="Franklin Gothic Book" w:hAnsi="Franklin Gothic Book" w:cs="Times New Roman"/>
                <w:sz w:val="18"/>
                <w:szCs w:val="18"/>
              </w:rPr>
              <w:t xml:space="preserve"> for MRI imaging only. Other services would further reduce revenue</w:t>
            </w:r>
          </w:p>
        </w:tc>
      </w:tr>
      <w:tr w:rsidR="00892E44" w:rsidRPr="009C0C39" w14:paraId="7DFF5ECA" w14:textId="77777777" w:rsidTr="00BD4CCD">
        <w:trPr>
          <w:trHeight w:val="803"/>
        </w:trPr>
        <w:tc>
          <w:tcPr>
            <w:tcW w:w="445" w:type="dxa"/>
            <w:vMerge/>
            <w:shd w:val="clear" w:color="auto" w:fill="auto"/>
          </w:tcPr>
          <w:p w14:paraId="5100F78A" w14:textId="77777777" w:rsidR="00892E44" w:rsidRPr="009C0C39" w:rsidRDefault="00892E44" w:rsidP="00887CD2">
            <w:pPr>
              <w:rPr>
                <w:rFonts w:ascii="Franklin Gothic Book" w:hAnsi="Franklin Gothic Book" w:cs="Times New Roman"/>
                <w:sz w:val="18"/>
                <w:szCs w:val="18"/>
              </w:rPr>
            </w:pPr>
          </w:p>
        </w:tc>
        <w:tc>
          <w:tcPr>
            <w:tcW w:w="1913" w:type="dxa"/>
            <w:vMerge w:val="restart"/>
            <w:shd w:val="clear" w:color="auto" w:fill="auto"/>
          </w:tcPr>
          <w:p w14:paraId="2D253EAA" w14:textId="77777777" w:rsidR="00892E44" w:rsidRPr="009C0C39" w:rsidRDefault="00892E44" w:rsidP="00892E44">
            <w:pPr>
              <w:pStyle w:val="ListParagraph"/>
              <w:numPr>
                <w:ilvl w:val="0"/>
                <w:numId w:val="42"/>
              </w:numPr>
              <w:ind w:left="225" w:hanging="270"/>
              <w:rPr>
                <w:rFonts w:ascii="Franklin Gothic Book" w:hAnsi="Franklin Gothic Book" w:cs="Times New Roman"/>
                <w:sz w:val="18"/>
                <w:szCs w:val="18"/>
              </w:rPr>
            </w:pPr>
            <w:r w:rsidRPr="009C0C39">
              <w:rPr>
                <w:rFonts w:ascii="Franklin Gothic Book" w:hAnsi="Franklin Gothic Book" w:cs="Times New Roman"/>
                <w:sz w:val="18"/>
                <w:szCs w:val="18"/>
              </w:rPr>
              <w:t>Increased MGB prices as market concentration and MGB’s commercial market shares increase</w:t>
            </w:r>
          </w:p>
        </w:tc>
        <w:tc>
          <w:tcPr>
            <w:tcW w:w="967" w:type="dxa"/>
            <w:shd w:val="clear" w:color="auto" w:fill="auto"/>
          </w:tcPr>
          <w:p w14:paraId="08E1D388"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 xml:space="preserve">MGH </w:t>
            </w:r>
          </w:p>
        </w:tc>
        <w:tc>
          <w:tcPr>
            <w:tcW w:w="2460" w:type="dxa"/>
            <w:tcBorders>
              <w:right w:val="single" w:sz="4" w:space="0" w:color="F2682A" w:themeColor="accent2"/>
            </w:tcBorders>
            <w:shd w:val="clear" w:color="auto" w:fill="D9D9D9" w:themeFill="background1" w:themeFillShade="D9"/>
          </w:tcPr>
          <w:p w14:paraId="5A7CBEBA" w14:textId="77777777" w:rsidR="00892E44" w:rsidRPr="009C0C39" w:rsidRDefault="00892E44"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sz w:val="18"/>
                <w:szCs w:val="18"/>
              </w:rPr>
              <w:t>$6.0M to $13.2M due to inpatient volume increases. Outpatient market share increases are likely to drive further price increases.</w:t>
            </w:r>
          </w:p>
        </w:tc>
        <w:tc>
          <w:tcPr>
            <w:tcW w:w="2460" w:type="dxa"/>
            <w:tcBorders>
              <w:left w:val="single" w:sz="4" w:space="0" w:color="F2682A" w:themeColor="accent2"/>
            </w:tcBorders>
            <w:shd w:val="clear" w:color="auto" w:fill="auto"/>
          </w:tcPr>
          <w:p w14:paraId="7EADD9DB"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$6.0M to 13.2M due to inpatient volume increases. Outpatient market share increases are likely to drive further revenue increases.</w:t>
            </w:r>
          </w:p>
        </w:tc>
        <w:tc>
          <w:tcPr>
            <w:tcW w:w="2460" w:type="dxa"/>
            <w:tcBorders>
              <w:right w:val="single" w:sz="4" w:space="0" w:color="F2682A" w:themeColor="accent2"/>
            </w:tcBorders>
            <w:shd w:val="clear" w:color="auto" w:fill="auto"/>
          </w:tcPr>
          <w:p w14:paraId="6E8BA329" w14:textId="77777777" w:rsidR="00892E44" w:rsidRPr="009C0C39" w:rsidRDefault="00892E44" w:rsidP="00887CD2">
            <w:pPr>
              <w:jc w:val="center"/>
              <w:rPr>
                <w:rFonts w:ascii="Franklin Gothic Book" w:hAnsi="Franklin Gothic Book" w:cs="Times New Roman"/>
                <w:color w:val="FF0000"/>
                <w:sz w:val="18"/>
                <w:szCs w:val="18"/>
              </w:rPr>
            </w:pPr>
            <w:r w:rsidRPr="009C0C39">
              <w:rPr>
                <w:rFonts w:ascii="Franklin Gothic Book" w:hAnsi="Franklin Gothic Book" w:cs="Times New Roman"/>
                <w:sz w:val="18"/>
                <w:szCs w:val="18"/>
              </w:rPr>
              <w:t>Not Modeled</w:t>
            </w:r>
          </w:p>
        </w:tc>
      </w:tr>
      <w:tr w:rsidR="00892E44" w:rsidRPr="009C0C39" w14:paraId="63166727" w14:textId="77777777" w:rsidTr="00BD4CCD">
        <w:trPr>
          <w:trHeight w:val="802"/>
        </w:trPr>
        <w:tc>
          <w:tcPr>
            <w:tcW w:w="445" w:type="dxa"/>
            <w:vMerge/>
            <w:shd w:val="clear" w:color="auto" w:fill="auto"/>
          </w:tcPr>
          <w:p w14:paraId="48E4782C" w14:textId="77777777" w:rsidR="00892E44" w:rsidRPr="009C0C39" w:rsidRDefault="00892E44" w:rsidP="00887CD2">
            <w:pPr>
              <w:rPr>
                <w:rFonts w:ascii="Franklin Gothic Book" w:hAnsi="Franklin Gothic Book" w:cs="Times New Roman"/>
                <w:sz w:val="18"/>
                <w:szCs w:val="18"/>
              </w:rPr>
            </w:pPr>
          </w:p>
        </w:tc>
        <w:tc>
          <w:tcPr>
            <w:tcW w:w="1913" w:type="dxa"/>
            <w:vMerge/>
            <w:shd w:val="clear" w:color="auto" w:fill="auto"/>
          </w:tcPr>
          <w:p w14:paraId="7FE31582" w14:textId="77777777" w:rsidR="00892E44" w:rsidRPr="009C0C39" w:rsidRDefault="00892E44" w:rsidP="00892E44">
            <w:pPr>
              <w:pStyle w:val="ListParagraph"/>
              <w:numPr>
                <w:ilvl w:val="0"/>
                <w:numId w:val="42"/>
              </w:numPr>
              <w:ind w:left="225" w:hanging="270"/>
              <w:rPr>
                <w:rFonts w:ascii="Franklin Gothic Book" w:hAnsi="Franklin Gothic Book" w:cs="Times New Roman"/>
                <w:sz w:val="18"/>
                <w:szCs w:val="18"/>
              </w:rPr>
            </w:pPr>
          </w:p>
        </w:tc>
        <w:tc>
          <w:tcPr>
            <w:tcW w:w="967" w:type="dxa"/>
            <w:shd w:val="clear" w:color="auto" w:fill="auto"/>
          </w:tcPr>
          <w:p w14:paraId="45BD2126"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60" w:type="dxa"/>
            <w:tcBorders>
              <w:right w:val="single" w:sz="4" w:space="0" w:color="F2682A" w:themeColor="accent2"/>
            </w:tcBorders>
            <w:shd w:val="clear" w:color="auto" w:fill="D9D9D9" w:themeFill="background1" w:themeFillShade="D9"/>
          </w:tcPr>
          <w:p w14:paraId="03AD91A4"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$3.6M to $4.1M due to inpatient volume increases. Outpatient market share increases are likely to drive further price increases.</w:t>
            </w:r>
          </w:p>
        </w:tc>
        <w:tc>
          <w:tcPr>
            <w:tcW w:w="2460" w:type="dxa"/>
            <w:tcBorders>
              <w:left w:val="single" w:sz="4" w:space="0" w:color="F2682A" w:themeColor="accent2"/>
            </w:tcBorders>
            <w:shd w:val="clear" w:color="auto" w:fill="auto"/>
          </w:tcPr>
          <w:p w14:paraId="34B8E418"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$3.6M to $4.1M due to inpatient volume increases. Outpatient market share increases are likely to drive further revenue increases.</w:t>
            </w:r>
          </w:p>
        </w:tc>
        <w:tc>
          <w:tcPr>
            <w:tcW w:w="2460" w:type="dxa"/>
            <w:tcBorders>
              <w:right w:val="single" w:sz="4" w:space="0" w:color="F2682A" w:themeColor="accent2"/>
            </w:tcBorders>
            <w:shd w:val="clear" w:color="auto" w:fill="auto"/>
          </w:tcPr>
          <w:p w14:paraId="34134A4E"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Not Modeled</w:t>
            </w:r>
          </w:p>
        </w:tc>
      </w:tr>
      <w:tr w:rsidR="00892E44" w:rsidRPr="009C0C39" w14:paraId="19D05CFD" w14:textId="77777777" w:rsidTr="00BD4CCD">
        <w:trPr>
          <w:trHeight w:val="620"/>
        </w:trPr>
        <w:tc>
          <w:tcPr>
            <w:tcW w:w="445" w:type="dxa"/>
            <w:vMerge/>
            <w:shd w:val="clear" w:color="auto" w:fill="auto"/>
          </w:tcPr>
          <w:p w14:paraId="6D8034AF" w14:textId="77777777" w:rsidR="00892E44" w:rsidRPr="009C0C39" w:rsidRDefault="00892E44" w:rsidP="00887CD2">
            <w:pPr>
              <w:rPr>
                <w:rFonts w:ascii="Franklin Gothic Book" w:hAnsi="Franklin Gothic Book" w:cs="Times New Roman"/>
                <w:sz w:val="18"/>
                <w:szCs w:val="18"/>
              </w:rPr>
            </w:pPr>
          </w:p>
        </w:tc>
        <w:tc>
          <w:tcPr>
            <w:tcW w:w="1913" w:type="dxa"/>
            <w:vMerge w:val="restart"/>
            <w:shd w:val="clear" w:color="auto" w:fill="E2E8F1" w:themeFill="background2" w:themeFillTint="33"/>
          </w:tcPr>
          <w:p w14:paraId="6A71FE87" w14:textId="77777777" w:rsidR="00892E44" w:rsidRPr="009C0C39" w:rsidRDefault="00892E44" w:rsidP="00887CD2">
            <w:pPr>
              <w:rPr>
                <w:rFonts w:ascii="Franklin Gothic Book" w:hAnsi="Franklin Gothic Book" w:cs="Times New Roman"/>
                <w:sz w:val="18"/>
                <w:szCs w:val="18"/>
              </w:rPr>
            </w:pPr>
            <w:r w:rsidRPr="009C0C39">
              <w:rPr>
                <w:rFonts w:ascii="Franklin Gothic Book" w:hAnsi="Franklin Gothic Book" w:cs="Times New Roman"/>
                <w:b/>
                <w:bCs/>
                <w:sz w:val="18"/>
                <w:szCs w:val="18"/>
              </w:rPr>
              <w:t xml:space="preserve">Total </w:t>
            </w:r>
            <w:r w:rsidRPr="009C0C39">
              <w:rPr>
                <w:rFonts w:ascii="Franklin Gothic Book" w:hAnsi="Franklin Gothic Book" w:cs="Times New Roman"/>
                <w:b/>
                <w:bCs/>
                <w:i/>
                <w:iCs/>
                <w:sz w:val="18"/>
                <w:szCs w:val="18"/>
              </w:rPr>
              <w:t>yearly</w:t>
            </w:r>
            <w:r w:rsidRPr="009C0C39">
              <w:rPr>
                <w:rFonts w:ascii="Franklin Gothic Book" w:hAnsi="Franklin Gothic Book" w:cs="Times New Roman"/>
                <w:b/>
                <w:bCs/>
                <w:sz w:val="18"/>
                <w:szCs w:val="18"/>
              </w:rPr>
              <w:t xml:space="preserve"> commercial impact for modeled services and spending dynamics</w:t>
            </w:r>
          </w:p>
        </w:tc>
        <w:tc>
          <w:tcPr>
            <w:tcW w:w="967" w:type="dxa"/>
            <w:shd w:val="clear" w:color="auto" w:fill="E2E8F1" w:themeFill="background2" w:themeFillTint="33"/>
          </w:tcPr>
          <w:p w14:paraId="323E830B"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MGH</w:t>
            </w:r>
          </w:p>
        </w:tc>
        <w:tc>
          <w:tcPr>
            <w:tcW w:w="2460" w:type="dxa"/>
            <w:tcBorders>
              <w:right w:val="single" w:sz="4" w:space="0" w:color="F2682A" w:themeColor="accent2"/>
            </w:tcBorders>
            <w:shd w:val="clear" w:color="auto" w:fill="D9D9D9" w:themeFill="background1" w:themeFillShade="D9"/>
          </w:tcPr>
          <w:p w14:paraId="23361C75"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$30.3M</w:t>
            </w:r>
            <w:r w:rsidRPr="009C0C39">
              <w:rPr>
                <w:rFonts w:ascii="Franklin Gothic Book" w:hAnsi="Franklin Gothic Book" w:cs="Times New Roman"/>
                <w:sz w:val="18"/>
                <w:szCs w:val="18"/>
              </w:rPr>
              <w:t xml:space="preserve"> to</w:t>
            </w:r>
            <w:r w:rsidRPr="009C0C39">
              <w:rPr>
                <w:rFonts w:ascii="Franklin Gothic Book" w:hAnsi="Franklin Gothic Book" w:cs="Times New Roman"/>
                <w:b/>
                <w:bCs/>
                <w:sz w:val="18"/>
                <w:szCs w:val="18"/>
              </w:rPr>
              <w:t xml:space="preserve"> $54.4M</w:t>
            </w:r>
          </w:p>
        </w:tc>
        <w:tc>
          <w:tcPr>
            <w:tcW w:w="2460" w:type="dxa"/>
            <w:tcBorders>
              <w:left w:val="single" w:sz="4" w:space="0" w:color="F2682A" w:themeColor="accent2"/>
            </w:tcBorders>
            <w:shd w:val="clear" w:color="auto" w:fill="E2E8F1" w:themeFill="background2" w:themeFillTint="33"/>
          </w:tcPr>
          <w:p w14:paraId="6DEE77B6"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$101.2M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$173.3M</w:t>
            </w:r>
          </w:p>
        </w:tc>
        <w:tc>
          <w:tcPr>
            <w:tcW w:w="2460" w:type="dxa"/>
            <w:tcBorders>
              <w:right w:val="single" w:sz="4" w:space="0" w:color="F2682A" w:themeColor="accent2"/>
            </w:tcBorders>
            <w:shd w:val="clear" w:color="auto" w:fill="E2E8F1" w:themeFill="background2" w:themeFillTint="33"/>
          </w:tcPr>
          <w:p w14:paraId="70737EB2"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color w:val="FF0000"/>
                <w:sz w:val="18"/>
                <w:szCs w:val="18"/>
              </w:rPr>
              <w:t>-$70.1M</w:t>
            </w:r>
            <w:r w:rsidRPr="009C0C39">
              <w:rPr>
                <w:rFonts w:ascii="Franklin Gothic Book" w:hAnsi="Franklin Gothic Book" w:cs="Times New Roman"/>
                <w:color w:val="FF0000"/>
                <w:sz w:val="18"/>
                <w:szCs w:val="18"/>
              </w:rPr>
              <w:t xml:space="preserve"> </w:t>
            </w:r>
            <w:r w:rsidRPr="009C0C39">
              <w:rPr>
                <w:rFonts w:ascii="Franklin Gothic Book" w:hAnsi="Franklin Gothic Book" w:cs="Times New Roman"/>
                <w:sz w:val="18"/>
                <w:szCs w:val="18"/>
              </w:rPr>
              <w:t>to -</w:t>
            </w:r>
            <w:r w:rsidRPr="009C0C39">
              <w:rPr>
                <w:rFonts w:ascii="Franklin Gothic Book" w:hAnsi="Franklin Gothic Book" w:cs="Times New Roman"/>
                <w:b/>
                <w:bCs/>
                <w:color w:val="FF0000"/>
                <w:sz w:val="18"/>
                <w:szCs w:val="18"/>
              </w:rPr>
              <w:t>$119.0M</w:t>
            </w:r>
          </w:p>
        </w:tc>
      </w:tr>
      <w:tr w:rsidR="00892E44" w:rsidRPr="009C0C39" w14:paraId="25AF9E3A" w14:textId="77777777" w:rsidTr="00BD4CCD">
        <w:trPr>
          <w:trHeight w:val="71"/>
        </w:trPr>
        <w:tc>
          <w:tcPr>
            <w:tcW w:w="445" w:type="dxa"/>
            <w:vMerge/>
            <w:shd w:val="clear" w:color="auto" w:fill="auto"/>
          </w:tcPr>
          <w:p w14:paraId="698C2628" w14:textId="77777777" w:rsidR="00892E44" w:rsidRPr="009C0C39" w:rsidRDefault="00892E44" w:rsidP="00887CD2">
            <w:pPr>
              <w:rPr>
                <w:rFonts w:ascii="Franklin Gothic Book" w:hAnsi="Franklin Gothic Book" w:cs="Times New Roman"/>
                <w:sz w:val="18"/>
                <w:szCs w:val="18"/>
              </w:rPr>
            </w:pPr>
          </w:p>
        </w:tc>
        <w:tc>
          <w:tcPr>
            <w:tcW w:w="1913" w:type="dxa"/>
            <w:vMerge/>
            <w:shd w:val="clear" w:color="auto" w:fill="E2E8F1" w:themeFill="background2" w:themeFillTint="33"/>
          </w:tcPr>
          <w:p w14:paraId="40A0BAFA" w14:textId="77777777" w:rsidR="00892E44" w:rsidRPr="009C0C39" w:rsidRDefault="00892E44" w:rsidP="00892E44">
            <w:pPr>
              <w:pStyle w:val="ListParagraph"/>
              <w:numPr>
                <w:ilvl w:val="0"/>
                <w:numId w:val="42"/>
              </w:numPr>
              <w:ind w:left="225" w:hanging="270"/>
              <w:rPr>
                <w:rFonts w:ascii="Franklin Gothic Book" w:hAnsi="Franklin Gothic Book" w:cs="Times New Roman"/>
                <w:sz w:val="18"/>
                <w:szCs w:val="18"/>
              </w:rPr>
            </w:pPr>
          </w:p>
        </w:tc>
        <w:tc>
          <w:tcPr>
            <w:tcW w:w="967" w:type="dxa"/>
            <w:shd w:val="clear" w:color="auto" w:fill="E2E8F1" w:themeFill="background2" w:themeFillTint="33"/>
          </w:tcPr>
          <w:p w14:paraId="7131D89E"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sz w:val="18"/>
                <w:szCs w:val="18"/>
              </w:rPr>
              <w:t>Faulkner</w:t>
            </w:r>
          </w:p>
        </w:tc>
        <w:tc>
          <w:tcPr>
            <w:tcW w:w="2460" w:type="dxa"/>
            <w:tcBorders>
              <w:right w:val="single" w:sz="4" w:space="0" w:color="F2682A" w:themeColor="accent2"/>
            </w:tcBorders>
            <w:shd w:val="clear" w:color="auto" w:fill="D9D9D9" w:themeFill="background1" w:themeFillShade="D9"/>
          </w:tcPr>
          <w:p w14:paraId="20501066"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$6.4M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$7.9M</w:t>
            </w:r>
          </w:p>
        </w:tc>
        <w:tc>
          <w:tcPr>
            <w:tcW w:w="2460" w:type="dxa"/>
            <w:tcBorders>
              <w:left w:val="single" w:sz="4" w:space="0" w:color="F2682A" w:themeColor="accent2"/>
            </w:tcBorders>
            <w:shd w:val="clear" w:color="auto" w:fill="E2E8F1" w:themeFill="background2" w:themeFillTint="33"/>
          </w:tcPr>
          <w:p w14:paraId="3A91DB38"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sz w:val="18"/>
                <w:szCs w:val="18"/>
              </w:rPr>
              <w:t>$46.3M</w:t>
            </w:r>
            <w:r w:rsidRPr="009C0C39">
              <w:rPr>
                <w:rFonts w:ascii="Franklin Gothic Book" w:hAnsi="Franklin Gothic Book" w:cs="Times New Roman"/>
                <w:sz w:val="18"/>
                <w:szCs w:val="18"/>
              </w:rPr>
              <w:t xml:space="preserve"> to </w:t>
            </w:r>
            <w:r w:rsidRPr="009C0C39">
              <w:rPr>
                <w:rFonts w:ascii="Franklin Gothic Book" w:hAnsi="Franklin Gothic Book" w:cs="Times New Roman"/>
                <w:b/>
                <w:bCs/>
                <w:sz w:val="18"/>
                <w:szCs w:val="18"/>
              </w:rPr>
              <w:t>$59.8M</w:t>
            </w:r>
          </w:p>
        </w:tc>
        <w:tc>
          <w:tcPr>
            <w:tcW w:w="2460" w:type="dxa"/>
            <w:tcBorders>
              <w:right w:val="single" w:sz="4" w:space="0" w:color="F2682A" w:themeColor="accent2"/>
            </w:tcBorders>
            <w:shd w:val="clear" w:color="auto" w:fill="E2E8F1" w:themeFill="background2" w:themeFillTint="33"/>
          </w:tcPr>
          <w:p w14:paraId="0893B5BC" w14:textId="77777777" w:rsidR="00892E44" w:rsidRPr="009C0C39" w:rsidRDefault="00892E44" w:rsidP="00887CD2">
            <w:pPr>
              <w:jc w:val="center"/>
              <w:rPr>
                <w:rFonts w:ascii="Franklin Gothic Book" w:hAnsi="Franklin Gothic Book" w:cs="Times New Roman"/>
                <w:sz w:val="18"/>
                <w:szCs w:val="18"/>
              </w:rPr>
            </w:pPr>
            <w:r w:rsidRPr="009C0C39">
              <w:rPr>
                <w:rFonts w:ascii="Franklin Gothic Book" w:hAnsi="Franklin Gothic Book" w:cs="Times New Roman"/>
                <w:b/>
                <w:bCs/>
                <w:color w:val="FF0000"/>
                <w:sz w:val="18"/>
                <w:szCs w:val="18"/>
              </w:rPr>
              <w:t>-$39.8M</w:t>
            </w:r>
            <w:r w:rsidRPr="009C0C39">
              <w:rPr>
                <w:rFonts w:ascii="Franklin Gothic Book" w:hAnsi="Franklin Gothic Book" w:cs="Times New Roman"/>
                <w:color w:val="FF0000"/>
                <w:sz w:val="18"/>
                <w:szCs w:val="18"/>
              </w:rPr>
              <w:t xml:space="preserve"> </w:t>
            </w:r>
            <w:r w:rsidRPr="009C0C39">
              <w:rPr>
                <w:rFonts w:ascii="Franklin Gothic Book" w:hAnsi="Franklin Gothic Book" w:cs="Times New Roman"/>
                <w:sz w:val="18"/>
                <w:szCs w:val="18"/>
              </w:rPr>
              <w:t xml:space="preserve">to </w:t>
            </w:r>
            <w:r w:rsidRPr="009C0C39">
              <w:rPr>
                <w:rFonts w:ascii="Franklin Gothic Book" w:hAnsi="Franklin Gothic Book" w:cs="Times New Roman"/>
                <w:b/>
                <w:bCs/>
                <w:color w:val="FF0000"/>
                <w:sz w:val="18"/>
                <w:szCs w:val="18"/>
              </w:rPr>
              <w:t>-$52.0M</w:t>
            </w:r>
          </w:p>
        </w:tc>
      </w:tr>
      <w:tr w:rsidR="00892E44" w:rsidRPr="009C0C39" w14:paraId="02B71656" w14:textId="77777777" w:rsidTr="00BD4CCD">
        <w:trPr>
          <w:trHeight w:val="71"/>
        </w:trPr>
        <w:tc>
          <w:tcPr>
            <w:tcW w:w="3325" w:type="dxa"/>
            <w:gridSpan w:val="3"/>
            <w:shd w:val="clear" w:color="auto" w:fill="FAA721" w:themeFill="accent3"/>
          </w:tcPr>
          <w:p w14:paraId="5D55E1FF" w14:textId="77777777" w:rsidR="00892E44" w:rsidRPr="00DB4B35" w:rsidRDefault="00892E44" w:rsidP="00887CD2">
            <w:pPr>
              <w:rPr>
                <w:rFonts w:ascii="Franklin Gothic Book" w:hAnsi="Franklin Gothic Book" w:cs="Times New Roman"/>
                <w:color w:val="000000" w:themeColor="text1"/>
                <w:sz w:val="18"/>
                <w:szCs w:val="18"/>
              </w:rPr>
            </w:pPr>
            <w:r w:rsidRPr="00DB4B35">
              <w:rPr>
                <w:rFonts w:ascii="Franklin Gothic Book" w:hAnsi="Franklin Gothic Book" w:cs="Times New Roman"/>
                <w:b/>
                <w:bCs/>
                <w:color w:val="000000" w:themeColor="text1"/>
                <w:sz w:val="18"/>
                <w:szCs w:val="18"/>
              </w:rPr>
              <w:t>Total yearly commercial impact for modeled services and spending dynamics - all projects combined</w:t>
            </w:r>
          </w:p>
        </w:tc>
        <w:tc>
          <w:tcPr>
            <w:tcW w:w="2460" w:type="dxa"/>
            <w:tcBorders>
              <w:right w:val="single" w:sz="4" w:space="0" w:color="F2682A" w:themeColor="accent2"/>
            </w:tcBorders>
            <w:shd w:val="clear" w:color="auto" w:fill="FAA721" w:themeFill="accent3"/>
          </w:tcPr>
          <w:p w14:paraId="42CBE60D" w14:textId="77777777" w:rsidR="00892E44" w:rsidRPr="00DB4B35" w:rsidRDefault="00892E44" w:rsidP="00887CD2">
            <w:pPr>
              <w:jc w:val="center"/>
              <w:rPr>
                <w:rFonts w:ascii="Franklin Gothic Book" w:hAnsi="Franklin Gothic Book" w:cs="Times New Roman"/>
                <w:b/>
                <w:bCs/>
                <w:color w:val="000000" w:themeColor="text1"/>
                <w:sz w:val="18"/>
                <w:szCs w:val="18"/>
              </w:rPr>
            </w:pPr>
            <w:r w:rsidRPr="00DB4B35">
              <w:rPr>
                <w:rFonts w:ascii="Franklin Gothic Book" w:hAnsi="Franklin Gothic Book" w:cs="Times New Roman"/>
                <w:b/>
                <w:bCs/>
                <w:color w:val="000000" w:themeColor="text1"/>
                <w:sz w:val="18"/>
                <w:szCs w:val="18"/>
              </w:rPr>
              <w:t>$46.0M to $90.1M</w:t>
            </w:r>
          </w:p>
        </w:tc>
        <w:tc>
          <w:tcPr>
            <w:tcW w:w="2460" w:type="dxa"/>
            <w:tcBorders>
              <w:left w:val="single" w:sz="4" w:space="0" w:color="F2682A" w:themeColor="accent2"/>
              <w:bottom w:val="single" w:sz="4" w:space="0" w:color="F2682A" w:themeColor="accent2"/>
            </w:tcBorders>
            <w:shd w:val="clear" w:color="auto" w:fill="FAA721" w:themeFill="accent3"/>
          </w:tcPr>
          <w:p w14:paraId="23456893" w14:textId="77777777" w:rsidR="00892E44" w:rsidRPr="00DB4B35" w:rsidRDefault="00892E44" w:rsidP="00887CD2">
            <w:pPr>
              <w:jc w:val="center"/>
              <w:rPr>
                <w:rFonts w:ascii="Franklin Gothic Book" w:hAnsi="Franklin Gothic Book" w:cs="Times New Roman"/>
                <w:b/>
                <w:bCs/>
                <w:color w:val="000000" w:themeColor="text1"/>
                <w:sz w:val="18"/>
                <w:szCs w:val="18"/>
              </w:rPr>
            </w:pPr>
            <w:r w:rsidRPr="00DB4B35">
              <w:rPr>
                <w:rFonts w:ascii="Franklin Gothic Book" w:hAnsi="Franklin Gothic Book" w:cs="Times New Roman"/>
                <w:b/>
                <w:bCs/>
                <w:color w:val="000000" w:themeColor="text1"/>
                <w:sz w:val="18"/>
                <w:szCs w:val="18"/>
              </w:rPr>
              <w:t>$190.7M to $337.8M</w:t>
            </w:r>
          </w:p>
        </w:tc>
        <w:tc>
          <w:tcPr>
            <w:tcW w:w="2460" w:type="dxa"/>
            <w:tcBorders>
              <w:bottom w:val="single" w:sz="4" w:space="0" w:color="F2682A" w:themeColor="accent2"/>
              <w:right w:val="single" w:sz="4" w:space="0" w:color="F2682A" w:themeColor="accent2"/>
            </w:tcBorders>
            <w:shd w:val="clear" w:color="auto" w:fill="FAA721" w:themeFill="accent3"/>
          </w:tcPr>
          <w:p w14:paraId="38C99FCD" w14:textId="77777777" w:rsidR="00892E44" w:rsidRPr="009C0C39" w:rsidRDefault="00892E44" w:rsidP="00887CD2">
            <w:pPr>
              <w:jc w:val="center"/>
              <w:rPr>
                <w:rFonts w:ascii="Franklin Gothic Book" w:hAnsi="Franklin Gothic Book" w:cs="Times New Roman"/>
                <w:b/>
                <w:bCs/>
                <w:color w:val="FF0000"/>
                <w:sz w:val="18"/>
                <w:szCs w:val="18"/>
              </w:rPr>
            </w:pPr>
            <w:r w:rsidRPr="009C0C39">
              <w:rPr>
                <w:rFonts w:ascii="Franklin Gothic Book" w:hAnsi="Franklin Gothic Book" w:cs="Times New Roman"/>
                <w:b/>
                <w:bCs/>
                <w:color w:val="FF0000"/>
                <w:sz w:val="18"/>
                <w:szCs w:val="18"/>
              </w:rPr>
              <w:t xml:space="preserve">-$152.9M to </w:t>
            </w:r>
          </w:p>
          <w:p w14:paraId="2A04517E" w14:textId="77777777" w:rsidR="00892E44" w:rsidRPr="009C0C39" w:rsidRDefault="00892E44" w:rsidP="00887CD2">
            <w:pPr>
              <w:jc w:val="center"/>
              <w:rPr>
                <w:rFonts w:ascii="Franklin Gothic Book" w:hAnsi="Franklin Gothic Book" w:cs="Times New Roman"/>
                <w:b/>
                <w:bCs/>
                <w:color w:val="FFFFFF" w:themeColor="background1"/>
                <w:sz w:val="18"/>
                <w:szCs w:val="18"/>
              </w:rPr>
            </w:pPr>
            <w:r w:rsidRPr="009C0C39">
              <w:rPr>
                <w:rFonts w:ascii="Franklin Gothic Book" w:hAnsi="Franklin Gothic Book" w:cs="Times New Roman"/>
                <w:b/>
                <w:bCs/>
                <w:color w:val="FF0000"/>
                <w:sz w:val="18"/>
                <w:szCs w:val="18"/>
              </w:rPr>
              <w:t>-$261.1M</w:t>
            </w:r>
          </w:p>
        </w:tc>
      </w:tr>
    </w:tbl>
    <w:p w14:paraId="72172432" w14:textId="5A160CEA" w:rsidR="00ED2074" w:rsidRPr="009C0C39" w:rsidRDefault="00ED2074" w:rsidP="00ED2074">
      <w:pPr>
        <w:pStyle w:val="FootnoteText"/>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w:t>
      </w:r>
      <w:r w:rsidR="00CA21A3" w:rsidRPr="009C0C39">
        <w:rPr>
          <w:rFonts w:ascii="Franklin Gothic Book" w:hAnsi="Franklin Gothic Book" w:cs="Times New Roman"/>
          <w:sz w:val="18"/>
          <w:szCs w:val="18"/>
        </w:rPr>
        <w:t>When totaling spending impacts, the HPC discounts the spending impact in row 1 by the portion of TME for MGB’s primary care patients that represents spending on inpatient care received at MGB hospitals.</w:t>
      </w:r>
      <w:r w:rsidR="00D50B0C" w:rsidRPr="009C0C39">
        <w:rPr>
          <w:rFonts w:ascii="Franklin Gothic Book" w:hAnsi="Franklin Gothic Book" w:cs="Times New Roman"/>
          <w:sz w:val="18"/>
          <w:szCs w:val="18"/>
        </w:rPr>
        <w:t xml:space="preserve"> </w:t>
      </w:r>
      <w:r w:rsidRPr="009C0C39">
        <w:rPr>
          <w:rFonts w:ascii="Franklin Gothic Book" w:hAnsi="Franklin Gothic Book" w:cs="Times New Roman"/>
          <w:sz w:val="18"/>
          <w:szCs w:val="18"/>
        </w:rPr>
        <w:t>Additional shifts of patients and revenue to higher-priced providers would be expected if projected revenue losses disrupt the operations of lower-priced providers. Additional spending and revenue impacts are also likely for other payer categories, particularly for Medicare Advantage plans and MassHealth Managed Care Organizations</w:t>
      </w:r>
      <w:r w:rsidR="002773E6" w:rsidRPr="009C0C39">
        <w:rPr>
          <w:rFonts w:ascii="Franklin Gothic Book" w:hAnsi="Franklin Gothic Book" w:cs="Times New Roman"/>
          <w:sz w:val="18"/>
          <w:szCs w:val="18"/>
        </w:rPr>
        <w:t>,</w:t>
      </w:r>
      <w:r w:rsidRPr="009C0C39">
        <w:rPr>
          <w:rFonts w:ascii="Franklin Gothic Book" w:hAnsi="Franklin Gothic Book" w:cs="Times New Roman"/>
          <w:sz w:val="18"/>
          <w:szCs w:val="18"/>
        </w:rPr>
        <w:t xml:space="preserve"> which do not operate with standardized fee schedule</w:t>
      </w:r>
      <w:r w:rsidR="00CB5A79">
        <w:rPr>
          <w:rFonts w:ascii="Franklin Gothic Book" w:hAnsi="Franklin Gothic Book" w:cs="Times New Roman"/>
          <w:sz w:val="18"/>
          <w:szCs w:val="18"/>
        </w:rPr>
        <w:t>s</w:t>
      </w:r>
      <w:r w:rsidRPr="009C0C39">
        <w:rPr>
          <w:rFonts w:ascii="Franklin Gothic Book" w:hAnsi="Franklin Gothic Book" w:cs="Times New Roman"/>
          <w:sz w:val="18"/>
          <w:szCs w:val="18"/>
        </w:rPr>
        <w:t xml:space="preserve">. The HPC’s calculations are likely to be conservative as described in </w:t>
      </w:r>
      <w:r w:rsidR="00A44395" w:rsidRPr="009C0C39">
        <w:rPr>
          <w:rFonts w:ascii="Franklin Gothic Book" w:hAnsi="Franklin Gothic Book" w:cs="Times New Roman"/>
          <w:sz w:val="18"/>
          <w:szCs w:val="18"/>
        </w:rPr>
        <w:t xml:space="preserve">note </w:t>
      </w:r>
      <w:r w:rsidR="00947FD1" w:rsidRPr="009C0C39">
        <w:rPr>
          <w:rFonts w:ascii="Franklin Gothic Book" w:hAnsi="Franklin Gothic Book" w:cs="Times New Roman"/>
          <w:sz w:val="18"/>
          <w:szCs w:val="18"/>
        </w:rPr>
        <w:fldChar w:fldCharType="begin"/>
      </w:r>
      <w:r w:rsidR="00947FD1" w:rsidRPr="009C0C39">
        <w:rPr>
          <w:rFonts w:ascii="Franklin Gothic Book" w:hAnsi="Franklin Gothic Book" w:cs="Times New Roman"/>
          <w:sz w:val="18"/>
          <w:szCs w:val="18"/>
        </w:rPr>
        <w:instrText xml:space="preserve"> NOTEREF _Ref93058130 \h </w:instrText>
      </w:r>
      <w:r w:rsidR="00C54521" w:rsidRPr="009C0C39">
        <w:rPr>
          <w:rFonts w:ascii="Franklin Gothic Book" w:hAnsi="Franklin Gothic Book" w:cs="Times New Roman"/>
          <w:sz w:val="18"/>
          <w:szCs w:val="18"/>
        </w:rPr>
        <w:instrText xml:space="preserve"> \* MERGEFORMAT </w:instrText>
      </w:r>
      <w:r w:rsidR="00947FD1" w:rsidRPr="009C0C39">
        <w:rPr>
          <w:rFonts w:ascii="Franklin Gothic Book" w:hAnsi="Franklin Gothic Book" w:cs="Times New Roman"/>
          <w:sz w:val="18"/>
          <w:szCs w:val="18"/>
        </w:rPr>
      </w:r>
      <w:r w:rsidR="00947FD1"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49</w:t>
      </w:r>
      <w:r w:rsidR="00947FD1" w:rsidRPr="009C0C39">
        <w:rPr>
          <w:rFonts w:ascii="Franklin Gothic Book" w:hAnsi="Franklin Gothic Book" w:cs="Times New Roman"/>
          <w:sz w:val="18"/>
          <w:szCs w:val="18"/>
        </w:rPr>
        <w:fldChar w:fldCharType="end"/>
      </w:r>
      <w:r w:rsidR="00A44395" w:rsidRPr="009C0C39">
        <w:rPr>
          <w:rFonts w:ascii="Franklin Gothic Book" w:hAnsi="Franklin Gothic Book" w:cs="Times New Roman"/>
          <w:sz w:val="18"/>
          <w:szCs w:val="18"/>
        </w:rPr>
        <w:t xml:space="preserve">. </w:t>
      </w:r>
    </w:p>
    <w:p w14:paraId="0ACD7630" w14:textId="77777777" w:rsidR="006523AB" w:rsidRDefault="006523AB" w:rsidP="005448AB">
      <w:pPr>
        <w:spacing w:before="240"/>
        <w:rPr>
          <w:rFonts w:ascii="Franklin Gothic Book" w:hAnsi="Franklin Gothic Book" w:cs="Times New Roman"/>
          <w:sz w:val="22"/>
          <w:szCs w:val="22"/>
        </w:rPr>
        <w:sectPr w:rsidR="006523AB" w:rsidSect="006523AB">
          <w:type w:val="continuous"/>
          <w:pgSz w:w="12240" w:h="15840"/>
          <w:pgMar w:top="720" w:right="720" w:bottom="1008" w:left="720" w:header="720" w:footer="720" w:gutter="0"/>
          <w:cols w:space="720"/>
          <w:docGrid w:linePitch="360"/>
        </w:sectPr>
      </w:pPr>
    </w:p>
    <w:p w14:paraId="5AF4FE50" w14:textId="20C64B92" w:rsidR="003C3793" w:rsidRPr="009C0C39" w:rsidRDefault="003C3793" w:rsidP="005448AB">
      <w:pPr>
        <w:spacing w:before="24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 xml:space="preserve">Much of </w:t>
      </w:r>
      <w:r w:rsidR="00E604CE"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 xml:space="preserve">shift </w:t>
      </w:r>
      <w:r w:rsidR="00E604CE" w:rsidRPr="009C0C39">
        <w:rPr>
          <w:rFonts w:ascii="Franklin Gothic Book" w:hAnsi="Franklin Gothic Book" w:cs="Times New Roman"/>
          <w:sz w:val="22"/>
          <w:szCs w:val="22"/>
        </w:rPr>
        <w:t xml:space="preserve">in commercial revenue detailed above </w:t>
      </w:r>
      <w:r w:rsidRPr="009C0C39">
        <w:rPr>
          <w:rFonts w:ascii="Franklin Gothic Book" w:hAnsi="Franklin Gothic Book" w:cs="Times New Roman"/>
          <w:sz w:val="22"/>
          <w:szCs w:val="22"/>
        </w:rPr>
        <w:t>is in relatively high-margin service lines like ambulatory surgery and imaging, which providers rely on to balance the cost of more resource-intensive and lower reimbursement care.</w:t>
      </w:r>
      <w:bookmarkStart w:id="99" w:name="_Ref93738084"/>
      <w:r w:rsidRPr="009C0C39">
        <w:rPr>
          <w:rStyle w:val="FootnoteReference"/>
          <w:rFonts w:ascii="Franklin Gothic Book" w:hAnsi="Franklin Gothic Book" w:cs="Times New Roman"/>
          <w:sz w:val="22"/>
          <w:szCs w:val="22"/>
        </w:rPr>
        <w:footnoteReference w:id="121"/>
      </w:r>
      <w:bookmarkEnd w:id="99"/>
      <w:r w:rsidRPr="009C0C39">
        <w:rPr>
          <w:rFonts w:ascii="Franklin Gothic Book" w:hAnsi="Franklin Gothic Book" w:cs="Times New Roman"/>
          <w:sz w:val="22"/>
          <w:szCs w:val="22"/>
        </w:rPr>
        <w:t xml:space="preserve"> The </w:t>
      </w:r>
      <w:r w:rsidR="002773E6" w:rsidRPr="009C0C39">
        <w:rPr>
          <w:rFonts w:ascii="Franklin Gothic Book" w:hAnsi="Franklin Gothic Book" w:cs="Times New Roman"/>
          <w:sz w:val="22"/>
          <w:szCs w:val="22"/>
        </w:rPr>
        <w:t xml:space="preserve">shift </w:t>
      </w:r>
      <w:r w:rsidRPr="009C0C39">
        <w:rPr>
          <w:rFonts w:ascii="Franklin Gothic Book" w:hAnsi="Franklin Gothic Book" w:cs="Times New Roman"/>
          <w:sz w:val="22"/>
          <w:szCs w:val="22"/>
        </w:rPr>
        <w:t>of commercial volume to MGB may also reduce the bargaining leverage of other providers and lead to lower future commercial price increases for those providers, which would also exacerbate the disparity in prices between MGB and other providers and further depress revenues for non-MGB providers.</w:t>
      </w:r>
      <w:r w:rsidR="003719A8" w:rsidRPr="009C0C39">
        <w:rPr>
          <w:rStyle w:val="FootnoteReference"/>
          <w:rFonts w:ascii="Franklin Gothic Book" w:hAnsi="Franklin Gothic Book" w:cs="Times New Roman"/>
          <w:sz w:val="22"/>
          <w:szCs w:val="22"/>
        </w:rPr>
        <w:footnoteReference w:id="122"/>
      </w:r>
      <w:r w:rsidRPr="009C0C39">
        <w:rPr>
          <w:rFonts w:ascii="Franklin Gothic Book" w:hAnsi="Franklin Gothic Book" w:cs="Times New Roman"/>
          <w:sz w:val="22"/>
          <w:szCs w:val="22"/>
        </w:rPr>
        <w:t xml:space="preserve"> Shifts in public payer patients </w:t>
      </w:r>
      <w:r w:rsidR="002773E6" w:rsidRPr="009C0C39">
        <w:rPr>
          <w:rFonts w:ascii="Franklin Gothic Book" w:hAnsi="Franklin Gothic Book" w:cs="Times New Roman"/>
          <w:sz w:val="22"/>
          <w:szCs w:val="22"/>
        </w:rPr>
        <w:t xml:space="preserve">to MGB </w:t>
      </w:r>
      <w:r w:rsidRPr="009C0C39">
        <w:rPr>
          <w:rFonts w:ascii="Franklin Gothic Book" w:hAnsi="Franklin Gothic Book" w:cs="Times New Roman"/>
          <w:sz w:val="22"/>
          <w:szCs w:val="22"/>
        </w:rPr>
        <w:t>would also further reduce revenue for other provider organizations, regardless of whether those shifts would increase or decrease total spending.</w:t>
      </w:r>
    </w:p>
    <w:p w14:paraId="03CD2081" w14:textId="489E3B4A" w:rsidR="003C3793" w:rsidRPr="009C0C39" w:rsidRDefault="003C3793" w:rsidP="005448AB">
      <w:p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ab/>
        <w:t>While revenue losses are likely to be spread across many area provider organizations as MGB diverts patients to its system, these losses would almost universally represent a flow of health care dollars away from providers serving higher proportions of traditionally underserved patients than MGB. Most other hospital systems serve higher proportions of MassHealth patients compared to MGB,</w:t>
      </w:r>
      <w:r w:rsidRPr="009C0C39">
        <w:rPr>
          <w:rStyle w:val="FootnoteReference"/>
          <w:rFonts w:ascii="Franklin Gothic Book" w:hAnsi="Franklin Gothic Book" w:cs="Times New Roman"/>
          <w:sz w:val="22"/>
          <w:szCs w:val="22"/>
        </w:rPr>
        <w:footnoteReference w:id="123"/>
      </w:r>
      <w:r w:rsidRPr="009C0C39">
        <w:rPr>
          <w:rFonts w:ascii="Franklin Gothic Book" w:hAnsi="Franklin Gothic Book" w:cs="Times New Roman"/>
          <w:sz w:val="22"/>
          <w:szCs w:val="22"/>
        </w:rPr>
        <w:t xml:space="preserve"> MGB patients generally live in communities with higher median incomes and lower indicia of social need than patients of other provider systems,</w:t>
      </w:r>
      <w:r w:rsidRPr="009C0C39">
        <w:rPr>
          <w:rStyle w:val="FootnoteReference"/>
          <w:rFonts w:ascii="Franklin Gothic Book" w:hAnsi="Franklin Gothic Book" w:cs="Times New Roman"/>
          <w:sz w:val="22"/>
          <w:szCs w:val="22"/>
        </w:rPr>
        <w:footnoteReference w:id="124"/>
      </w:r>
      <w:r w:rsidRPr="009C0C39">
        <w:rPr>
          <w:rFonts w:ascii="Franklin Gothic Book" w:hAnsi="Franklin Gothic Book" w:cs="Times New Roman"/>
          <w:sz w:val="22"/>
          <w:szCs w:val="22"/>
        </w:rPr>
        <w:t xml:space="preserve"> and other hospital systems generally serve higher proportions of BIPOC inpatients compared to MGB hospitals.</w:t>
      </w:r>
      <w:r w:rsidRPr="009C0C39">
        <w:rPr>
          <w:rStyle w:val="FootnoteReference"/>
          <w:rFonts w:ascii="Franklin Gothic Book" w:hAnsi="Franklin Gothic Book" w:cs="Times New Roman"/>
          <w:sz w:val="22"/>
          <w:szCs w:val="22"/>
        </w:rPr>
        <w:footnoteReference w:id="125"/>
      </w:r>
      <w:r w:rsidRPr="009C0C39">
        <w:rPr>
          <w:rFonts w:ascii="Franklin Gothic Book" w:hAnsi="Franklin Gothic Book" w:cs="Times New Roman"/>
          <w:sz w:val="22"/>
          <w:szCs w:val="22"/>
        </w:rPr>
        <w:t xml:space="preserve"> If decreased revenue destabilizes other providers or diminishes their ability to invest in or </w:t>
      </w:r>
      <w:r w:rsidR="00231422" w:rsidRPr="00231422">
        <w:rPr>
          <w:rFonts w:ascii="Franklin Gothic Book" w:hAnsi="Franklin Gothic Book" w:cs="Times New Roman"/>
          <w:sz w:val="22"/>
          <w:szCs w:val="22"/>
        </w:rPr>
        <w:t>maintain facilities and staff, that impact is likely to increase health disparities.</w:t>
      </w:r>
    </w:p>
    <w:p w14:paraId="6F649561" w14:textId="612E0F49" w:rsidR="003C3793" w:rsidRPr="009C0C39" w:rsidRDefault="003C3793" w:rsidP="005448AB">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Many of these hospitals have already seen substantial declines in commercial volume relative to public payer volume (e.g., </w:t>
      </w:r>
      <w:r w:rsidR="007B0E8B" w:rsidRPr="009C0C39">
        <w:rPr>
          <w:rFonts w:ascii="Franklin Gothic Book" w:hAnsi="Franklin Gothic Book" w:cs="Times New Roman"/>
          <w:sz w:val="22"/>
          <w:szCs w:val="22"/>
        </w:rPr>
        <w:t xml:space="preserve">71% </w:t>
      </w:r>
      <w:r w:rsidRPr="009C0C39">
        <w:rPr>
          <w:rFonts w:ascii="Franklin Gothic Book" w:hAnsi="Franklin Gothic Book" w:cs="Times New Roman"/>
          <w:sz w:val="22"/>
          <w:szCs w:val="22"/>
        </w:rPr>
        <w:t>of community hospitals in Massachusetts were considered “high public payer” hospitals by CHIA in 201</w:t>
      </w:r>
      <w:r w:rsidR="007B0E8B" w:rsidRPr="009C0C39">
        <w:rPr>
          <w:rFonts w:ascii="Franklin Gothic Book" w:hAnsi="Franklin Gothic Book" w:cs="Times New Roman"/>
          <w:sz w:val="22"/>
          <w:szCs w:val="22"/>
        </w:rPr>
        <w:t>9</w:t>
      </w:r>
      <w:r w:rsidRPr="009C0C39">
        <w:rPr>
          <w:rFonts w:ascii="Franklin Gothic Book" w:hAnsi="Franklin Gothic Book" w:cs="Times New Roman"/>
          <w:sz w:val="22"/>
          <w:szCs w:val="22"/>
        </w:rPr>
        <w:t xml:space="preserve"> compared to </w:t>
      </w:r>
      <w:r w:rsidR="007B0E8B" w:rsidRPr="009C0C39">
        <w:rPr>
          <w:rFonts w:ascii="Franklin Gothic Book" w:hAnsi="Franklin Gothic Book" w:cs="Times New Roman"/>
          <w:sz w:val="22"/>
          <w:szCs w:val="22"/>
        </w:rPr>
        <w:t xml:space="preserve">39% </w:t>
      </w:r>
      <w:r w:rsidRPr="009C0C39">
        <w:rPr>
          <w:rFonts w:ascii="Franklin Gothic Book" w:hAnsi="Franklin Gothic Book" w:cs="Times New Roman"/>
          <w:sz w:val="22"/>
          <w:szCs w:val="22"/>
        </w:rPr>
        <w:t>in 201</w:t>
      </w:r>
      <w:r w:rsidR="007B0E8B" w:rsidRPr="009C0C39">
        <w:rPr>
          <w:rFonts w:ascii="Franklin Gothic Book" w:hAnsi="Franklin Gothic Book" w:cs="Times New Roman"/>
          <w:sz w:val="22"/>
          <w:szCs w:val="22"/>
        </w:rPr>
        <w:t>0</w:t>
      </w:r>
      <w:r w:rsidRPr="009C0C39">
        <w:rPr>
          <w:rFonts w:ascii="Franklin Gothic Book" w:hAnsi="Franklin Gothic Book" w:cs="Times New Roman"/>
          <w:sz w:val="22"/>
          <w:szCs w:val="22"/>
        </w:rPr>
        <w:t>),</w:t>
      </w:r>
      <w:r w:rsidRPr="009C0C39">
        <w:rPr>
          <w:rFonts w:ascii="Franklin Gothic Book" w:hAnsi="Franklin Gothic Book" w:cs="Times New Roman"/>
          <w:sz w:val="22"/>
          <w:szCs w:val="22"/>
          <w:vertAlign w:val="superscript"/>
        </w:rPr>
        <w:footnoteReference w:id="126"/>
      </w:r>
      <w:r w:rsidRPr="009C0C39">
        <w:rPr>
          <w:rFonts w:ascii="Franklin Gothic Book" w:hAnsi="Franklin Gothic Book" w:cs="Times New Roman"/>
          <w:sz w:val="22"/>
          <w:szCs w:val="22"/>
        </w:rPr>
        <w:t xml:space="preserve"> shrinking their </w:t>
      </w:r>
      <w:r w:rsidRPr="009C0C39">
        <w:rPr>
          <w:rFonts w:ascii="Franklin Gothic Book" w:hAnsi="Franklin Gothic Book" w:cs="Times New Roman"/>
          <w:sz w:val="22"/>
          <w:szCs w:val="22"/>
        </w:rPr>
        <w:lastRenderedPageBreak/>
        <w:t>commercial revenue. Community hospitals</w:t>
      </w:r>
      <w:r w:rsidR="00231422">
        <w:rPr>
          <w:rFonts w:ascii="Franklin Gothic Book" w:hAnsi="Franklin Gothic Book" w:cs="Times New Roman"/>
          <w:sz w:val="22"/>
          <w:szCs w:val="22"/>
        </w:rPr>
        <w:t>,</w:t>
      </w:r>
      <w:r w:rsidRPr="009C0C39">
        <w:rPr>
          <w:rFonts w:ascii="Franklin Gothic Book" w:hAnsi="Franklin Gothic Book" w:cs="Times New Roman"/>
          <w:sz w:val="22"/>
          <w:szCs w:val="22"/>
        </w:rPr>
        <w:t xml:space="preserve"> in particular</w:t>
      </w:r>
      <w:r w:rsidR="00231422">
        <w:rPr>
          <w:rFonts w:ascii="Franklin Gothic Book" w:hAnsi="Franklin Gothic Book" w:cs="Times New Roman"/>
          <w:sz w:val="22"/>
          <w:szCs w:val="22"/>
        </w:rPr>
        <w:t>,</w:t>
      </w:r>
      <w:r w:rsidRPr="009C0C39">
        <w:rPr>
          <w:rFonts w:ascii="Franklin Gothic Book" w:hAnsi="Franklin Gothic Book" w:cs="Times New Roman"/>
          <w:sz w:val="22"/>
          <w:szCs w:val="22"/>
        </w:rPr>
        <w:t xml:space="preserve"> often state that they depend on commercial rates to offset the cost of caring for public payer patients.</w:t>
      </w:r>
      <w:r w:rsidRPr="009C0C39">
        <w:rPr>
          <w:rFonts w:ascii="Franklin Gothic Book" w:hAnsi="Franklin Gothic Book" w:cs="Times New Roman"/>
          <w:sz w:val="22"/>
          <w:szCs w:val="22"/>
          <w:vertAlign w:val="superscript"/>
        </w:rPr>
        <w:footnoteReference w:id="127"/>
      </w:r>
    </w:p>
    <w:p w14:paraId="00C3A400" w14:textId="7338FB9B" w:rsidR="003C3793" w:rsidRPr="009C0C39" w:rsidRDefault="003C3793" w:rsidP="009257C1">
      <w:pPr>
        <w:pStyle w:val="ListParagraph"/>
        <w:numPr>
          <w:ilvl w:val="0"/>
          <w:numId w:val="11"/>
        </w:numPr>
        <w:spacing w:before="240"/>
        <w:contextualSpacing w:val="0"/>
        <w:rPr>
          <w:rFonts w:ascii="Franklin Gothic Book" w:hAnsi="Franklin Gothic Book" w:cs="Times New Roman"/>
          <w:b/>
          <w:bCs/>
          <w:sz w:val="22"/>
          <w:szCs w:val="22"/>
        </w:rPr>
      </w:pPr>
      <w:bookmarkStart w:id="100" w:name="_Hlk90657158"/>
      <w:bookmarkStart w:id="101" w:name="_Hlk92749822"/>
      <w:r w:rsidRPr="009C0C39">
        <w:rPr>
          <w:rFonts w:ascii="Franklin Gothic Book" w:hAnsi="Franklin Gothic Book" w:cs="Times New Roman"/>
          <w:b/>
          <w:bCs/>
          <w:sz w:val="22"/>
          <w:szCs w:val="22"/>
        </w:rPr>
        <w:t xml:space="preserve">The services </w:t>
      </w:r>
      <w:r w:rsidR="002203F6">
        <w:rPr>
          <w:rFonts w:ascii="Franklin Gothic Book" w:hAnsi="Franklin Gothic Book" w:cs="Times New Roman"/>
          <w:b/>
          <w:bCs/>
          <w:sz w:val="22"/>
          <w:szCs w:val="22"/>
        </w:rPr>
        <w:t>for</w:t>
      </w:r>
      <w:r w:rsidR="002203F6" w:rsidRPr="009C0C39">
        <w:rPr>
          <w:rFonts w:ascii="Franklin Gothic Book" w:hAnsi="Franklin Gothic Book" w:cs="Times New Roman"/>
          <w:b/>
          <w:bCs/>
          <w:sz w:val="22"/>
          <w:szCs w:val="22"/>
        </w:rPr>
        <w:t xml:space="preserve"> </w:t>
      </w:r>
      <w:r w:rsidRPr="009C0C39">
        <w:rPr>
          <w:rFonts w:ascii="Franklin Gothic Book" w:hAnsi="Franklin Gothic Book" w:cs="Times New Roman"/>
          <w:b/>
          <w:bCs/>
          <w:sz w:val="22"/>
          <w:szCs w:val="22"/>
        </w:rPr>
        <w:t>which MGB has provided the most detail</w:t>
      </w:r>
      <w:r w:rsidR="00231422">
        <w:rPr>
          <w:rFonts w:ascii="Franklin Gothic Book" w:hAnsi="Franklin Gothic Book" w:cs="Times New Roman"/>
          <w:b/>
          <w:bCs/>
          <w:sz w:val="22"/>
          <w:szCs w:val="22"/>
        </w:rPr>
        <w:t>, particularly</w:t>
      </w:r>
      <w:r w:rsidRPr="009C0C39">
        <w:rPr>
          <w:rFonts w:ascii="Franklin Gothic Book" w:hAnsi="Franklin Gothic Book" w:cs="Times New Roman"/>
          <w:b/>
          <w:bCs/>
          <w:sz w:val="22"/>
          <w:szCs w:val="22"/>
        </w:rPr>
        <w:t xml:space="preserve"> in its ambulatory expansion plans</w:t>
      </w:r>
      <w:r w:rsidR="00231422">
        <w:rPr>
          <w:rFonts w:ascii="Franklin Gothic Book" w:hAnsi="Franklin Gothic Book" w:cs="Times New Roman"/>
          <w:b/>
          <w:bCs/>
          <w:sz w:val="22"/>
          <w:szCs w:val="22"/>
        </w:rPr>
        <w:t>,</w:t>
      </w:r>
      <w:r w:rsidRPr="009C0C39">
        <w:rPr>
          <w:rFonts w:ascii="Franklin Gothic Book" w:hAnsi="Franklin Gothic Book" w:cs="Times New Roman"/>
          <w:b/>
          <w:bCs/>
          <w:sz w:val="22"/>
          <w:szCs w:val="22"/>
        </w:rPr>
        <w:t xml:space="preserve"> are ones likely to generate substantial financial margin and drive additional volume to its system</w:t>
      </w:r>
      <w:bookmarkEnd w:id="100"/>
      <w:r w:rsidRPr="009C0C39">
        <w:rPr>
          <w:rFonts w:ascii="Franklin Gothic Book" w:hAnsi="Franklin Gothic Book" w:cs="Times New Roman"/>
          <w:b/>
          <w:bCs/>
          <w:sz w:val="22"/>
          <w:szCs w:val="22"/>
        </w:rPr>
        <w:t>.</w:t>
      </w:r>
    </w:p>
    <w:bookmarkEnd w:id="101"/>
    <w:p w14:paraId="6C774DEB" w14:textId="1C06E987" w:rsidR="003C3793" w:rsidRPr="009C0C39" w:rsidRDefault="003C3793" w:rsidP="005448AB">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MGB’s Ambulatory </w:t>
      </w:r>
      <w:r w:rsidR="00B65555" w:rsidRPr="009C0C39">
        <w:rPr>
          <w:rFonts w:ascii="Franklin Gothic Book" w:hAnsi="Franklin Gothic Book" w:cs="Times New Roman"/>
          <w:sz w:val="22"/>
          <w:szCs w:val="22"/>
        </w:rPr>
        <w:t>DoN Application</w:t>
      </w:r>
      <w:r w:rsidRPr="009C0C39">
        <w:rPr>
          <w:rFonts w:ascii="Franklin Gothic Book" w:hAnsi="Franklin Gothic Book" w:cs="Times New Roman"/>
          <w:sz w:val="22"/>
          <w:szCs w:val="22"/>
        </w:rPr>
        <w:t xml:space="preserve"> and supplemental filings</w:t>
      </w:r>
      <w:bookmarkStart w:id="102" w:name="_Ref93748363"/>
      <w:r w:rsidR="00231422" w:rsidRPr="009C0C39">
        <w:rPr>
          <w:rStyle w:val="FootnoteReference"/>
          <w:rFonts w:ascii="Franklin Gothic Book" w:hAnsi="Franklin Gothic Book" w:cs="Times New Roman"/>
          <w:sz w:val="22"/>
          <w:szCs w:val="22"/>
        </w:rPr>
        <w:footnoteReference w:id="128"/>
      </w:r>
      <w:bookmarkEnd w:id="102"/>
      <w:r w:rsidRPr="009C0C39">
        <w:rPr>
          <w:rFonts w:ascii="Franklin Gothic Book" w:hAnsi="Franklin Gothic Book" w:cs="Times New Roman"/>
          <w:sz w:val="22"/>
          <w:szCs w:val="22"/>
        </w:rPr>
        <w:t xml:space="preserve"> provide relatively </w:t>
      </w:r>
      <w:r w:rsidR="002F7FEC" w:rsidRPr="009C0C39">
        <w:rPr>
          <w:rFonts w:ascii="Franklin Gothic Book" w:hAnsi="Franklin Gothic Book" w:cs="Times New Roman"/>
          <w:sz w:val="22"/>
          <w:szCs w:val="22"/>
        </w:rPr>
        <w:t xml:space="preserve">greater </w:t>
      </w:r>
      <w:r w:rsidRPr="009C0C39">
        <w:rPr>
          <w:rFonts w:ascii="Franklin Gothic Book" w:hAnsi="Franklin Gothic Book" w:cs="Times New Roman"/>
          <w:sz w:val="22"/>
          <w:szCs w:val="22"/>
        </w:rPr>
        <w:t xml:space="preserve">detail on the advanced imaging and ambulatory surgery services MGB proposes at the sites, including analyses of </w:t>
      </w:r>
      <w:r w:rsidR="00F0215F" w:rsidRPr="009C0C39">
        <w:rPr>
          <w:rFonts w:ascii="Franklin Gothic Book" w:hAnsi="Franklin Gothic Book" w:cs="Times New Roman"/>
          <w:sz w:val="22"/>
          <w:szCs w:val="22"/>
        </w:rPr>
        <w:t xml:space="preserve">recent </w:t>
      </w:r>
      <w:r w:rsidRPr="009C0C39">
        <w:rPr>
          <w:rFonts w:ascii="Franklin Gothic Book" w:hAnsi="Franklin Gothic Book" w:cs="Times New Roman"/>
          <w:sz w:val="22"/>
          <w:szCs w:val="22"/>
        </w:rPr>
        <w:t>utilization trends, projected capacity of new imaging units and operating rooms, and projected utilization of the new capacity after a three-year ramp-up period.</w:t>
      </w:r>
      <w:r w:rsidRPr="009C0C39">
        <w:rPr>
          <w:rStyle w:val="FootnoteReference"/>
          <w:rFonts w:ascii="Franklin Gothic Book" w:hAnsi="Franklin Gothic Book" w:cs="Times New Roman"/>
          <w:sz w:val="22"/>
          <w:szCs w:val="22"/>
        </w:rPr>
        <w:footnoteReference w:id="129"/>
      </w:r>
      <w:r w:rsidRPr="009C0C39">
        <w:rPr>
          <w:rFonts w:ascii="Franklin Gothic Book" w:hAnsi="Franklin Gothic Book" w:cs="Times New Roman"/>
          <w:sz w:val="22"/>
          <w:szCs w:val="22"/>
        </w:rPr>
        <w:t xml:space="preserve"> Both advanced imaging and ambulatory surgery are generally identified as </w:t>
      </w:r>
      <w:r w:rsidR="00231422">
        <w:rPr>
          <w:rFonts w:ascii="Franklin Gothic Book" w:hAnsi="Franklin Gothic Book" w:cs="Times New Roman"/>
          <w:sz w:val="22"/>
          <w:szCs w:val="22"/>
        </w:rPr>
        <w:t xml:space="preserve">service lines </w:t>
      </w:r>
      <w:r w:rsidRPr="009C0C39">
        <w:rPr>
          <w:rFonts w:ascii="Franklin Gothic Book" w:hAnsi="Franklin Gothic Book" w:cs="Times New Roman"/>
          <w:sz w:val="22"/>
          <w:szCs w:val="22"/>
        </w:rPr>
        <w:t>generating relatively high margin per case,</w:t>
      </w:r>
      <w:r w:rsidRPr="009C0C39">
        <w:rPr>
          <w:rFonts w:ascii="Franklin Gothic Book" w:hAnsi="Franklin Gothic Book" w:cs="Times New Roman"/>
          <w:sz w:val="22"/>
          <w:szCs w:val="22"/>
          <w:vertAlign w:val="superscript"/>
        </w:rPr>
        <w:footnoteReference w:id="130"/>
      </w:r>
      <w:r w:rsidRPr="009C0C39">
        <w:rPr>
          <w:rFonts w:ascii="Franklin Gothic Book" w:hAnsi="Franklin Gothic Book" w:cs="Times New Roman"/>
          <w:sz w:val="22"/>
          <w:szCs w:val="22"/>
        </w:rPr>
        <w:t xml:space="preserve"> and diagnostic imaging is both a component of and driver of follow-up care.</w:t>
      </w:r>
    </w:p>
    <w:p w14:paraId="37F519DF" w14:textId="49EDA2CF" w:rsidR="003C3793" w:rsidRPr="009C0C39" w:rsidRDefault="003C3793" w:rsidP="00DC6BFD">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By contrast, MGB has provided fewer details on its plans for behavioral health at the ambulatory sites. </w:t>
      </w:r>
      <w:r w:rsidR="00BA73E2" w:rsidRPr="009C0C39">
        <w:rPr>
          <w:rFonts w:ascii="Franklin Gothic Book" w:hAnsi="Franklin Gothic Book" w:cs="Times New Roman"/>
          <w:sz w:val="22"/>
          <w:szCs w:val="22"/>
        </w:rPr>
        <w:t xml:space="preserve">There is an acute need for expanded behavioral health services across Massachusetts, including in the proposed ambulatory service areas as discussed in the next section, and MGB has </w:t>
      </w:r>
      <w:r w:rsidR="00E6467E" w:rsidRPr="009C0C39">
        <w:rPr>
          <w:rFonts w:ascii="Franklin Gothic Book" w:hAnsi="Franklin Gothic Book" w:cs="Times New Roman"/>
          <w:sz w:val="22"/>
          <w:szCs w:val="22"/>
        </w:rPr>
        <w:t xml:space="preserve">stated a commitment to expanding these services. </w:t>
      </w:r>
      <w:r w:rsidRPr="009C0C39">
        <w:rPr>
          <w:rFonts w:ascii="Franklin Gothic Book" w:hAnsi="Franklin Gothic Book" w:cs="Times New Roman"/>
          <w:sz w:val="22"/>
          <w:szCs w:val="22"/>
        </w:rPr>
        <w:t xml:space="preserve">MGB’s proposed services for the ambulatory sites list integrated behavioral health services, and the Ambulatory </w:t>
      </w:r>
      <w:r w:rsidR="00B65555" w:rsidRPr="009C0C39">
        <w:rPr>
          <w:rFonts w:ascii="Franklin Gothic Book" w:hAnsi="Franklin Gothic Book" w:cs="Times New Roman"/>
          <w:sz w:val="22"/>
          <w:szCs w:val="22"/>
        </w:rPr>
        <w:t xml:space="preserve">DoN Application </w:t>
      </w:r>
      <w:r w:rsidRPr="009C0C39">
        <w:rPr>
          <w:rFonts w:ascii="Franklin Gothic Book" w:hAnsi="Franklin Gothic Book" w:cs="Times New Roman"/>
          <w:sz w:val="22"/>
          <w:szCs w:val="22"/>
        </w:rPr>
        <w:t>narrative provides substantial descriptions of the benefits of the integration of behavioral health with primary care services and MGB’s anticipated model of behavioral health care at the ambulatory sites.</w:t>
      </w:r>
      <w:r w:rsidRPr="009C0C39">
        <w:rPr>
          <w:rStyle w:val="FootnoteReference"/>
          <w:rFonts w:ascii="Franklin Gothic Book" w:hAnsi="Franklin Gothic Book" w:cs="Times New Roman"/>
          <w:sz w:val="22"/>
          <w:szCs w:val="22"/>
        </w:rPr>
        <w:footnoteReference w:id="131"/>
      </w:r>
      <w:r w:rsidRPr="009C0C39">
        <w:rPr>
          <w:rFonts w:ascii="Franklin Gothic Book" w:hAnsi="Franklin Gothic Book" w:cs="Times New Roman"/>
          <w:sz w:val="22"/>
          <w:szCs w:val="22"/>
        </w:rPr>
        <w:t xml:space="preserve"> However, MGB does not provide assessments of recent or future growth in demand for </w:t>
      </w:r>
      <w:r w:rsidRPr="009C0C39">
        <w:rPr>
          <w:rFonts w:ascii="Franklin Gothic Book" w:hAnsi="Franklin Gothic Book" w:cs="Times New Roman"/>
          <w:sz w:val="22"/>
          <w:szCs w:val="22"/>
        </w:rPr>
        <w:lastRenderedPageBreak/>
        <w:t>these services, expected capacity based on anticipated staffing, or projected service volumes as it does for ambulatory surgery and advanced imaging.</w:t>
      </w:r>
      <w:r w:rsidRPr="009C0C39">
        <w:rPr>
          <w:rStyle w:val="FootnoteReference"/>
          <w:rFonts w:ascii="Franklin Gothic Book" w:hAnsi="Franklin Gothic Book" w:cs="Times New Roman"/>
          <w:sz w:val="22"/>
          <w:szCs w:val="22"/>
        </w:rPr>
        <w:footnoteReference w:id="132"/>
      </w:r>
      <w:r w:rsidRPr="009C0C39">
        <w:rPr>
          <w:rFonts w:ascii="Franklin Gothic Book" w:hAnsi="Franklin Gothic Book" w:cs="Times New Roman"/>
          <w:sz w:val="22"/>
          <w:szCs w:val="22"/>
        </w:rPr>
        <w:t xml:space="preserve"> Moreover, while behavioral health integration has substantial benefits, we also note that MGB states it </w:t>
      </w:r>
      <w:r w:rsidRPr="009C0C39">
        <w:rPr>
          <w:rFonts w:ascii="Franklin Gothic Book" w:eastAsia="+mn-ea" w:hAnsi="Franklin Gothic Book" w:cs="Times New Roman"/>
          <w:color w:val="212121"/>
          <w:kern w:val="24"/>
          <w:sz w:val="22"/>
          <w:szCs w:val="22"/>
        </w:rPr>
        <w:t>will strongly encourage behavioral health patients to have an MGB primary care provider,</w:t>
      </w:r>
      <w:r w:rsidRPr="009C0C39">
        <w:rPr>
          <w:rStyle w:val="FootnoteReference"/>
          <w:rFonts w:ascii="Franklin Gothic Book" w:eastAsia="+mn-ea" w:hAnsi="Franklin Gothic Book" w:cs="Times New Roman"/>
          <w:color w:val="212121"/>
          <w:kern w:val="24"/>
          <w:sz w:val="22"/>
          <w:szCs w:val="22"/>
        </w:rPr>
        <w:t xml:space="preserve"> </w:t>
      </w:r>
      <w:r w:rsidRPr="009C0C39">
        <w:rPr>
          <w:rStyle w:val="FootnoteReference"/>
          <w:rFonts w:ascii="Franklin Gothic Book" w:eastAsia="+mn-ea" w:hAnsi="Franklin Gothic Book" w:cs="Times New Roman"/>
          <w:color w:val="212121"/>
          <w:kern w:val="24"/>
          <w:sz w:val="22"/>
          <w:szCs w:val="22"/>
        </w:rPr>
        <w:footnoteReference w:id="133"/>
      </w:r>
      <w:r w:rsidRPr="009C0C39">
        <w:rPr>
          <w:rFonts w:ascii="Franklin Gothic Book" w:eastAsia="+mn-ea" w:hAnsi="Franklin Gothic Book" w:cs="Times New Roman"/>
          <w:color w:val="212121"/>
          <w:kern w:val="24"/>
          <w:sz w:val="22"/>
          <w:szCs w:val="22"/>
        </w:rPr>
        <w:t xml:space="preserve"> which could pose a barrier to patients seeking behavioral health services</w:t>
      </w:r>
      <w:r w:rsidR="002859FD" w:rsidRPr="009C0C39">
        <w:rPr>
          <w:rFonts w:ascii="Franklin Gothic Book" w:eastAsia="+mn-ea" w:hAnsi="Franklin Gothic Book" w:cs="Times New Roman"/>
          <w:color w:val="212121"/>
          <w:kern w:val="24"/>
          <w:sz w:val="22"/>
          <w:szCs w:val="22"/>
        </w:rPr>
        <w:t xml:space="preserve"> </w:t>
      </w:r>
      <w:r w:rsidR="009705A3" w:rsidRPr="009C0C39">
        <w:rPr>
          <w:rFonts w:ascii="Franklin Gothic Book" w:eastAsia="+mn-ea" w:hAnsi="Franklin Gothic Book" w:cs="Times New Roman"/>
          <w:color w:val="212121"/>
          <w:kern w:val="24"/>
          <w:sz w:val="22"/>
          <w:szCs w:val="22"/>
        </w:rPr>
        <w:t xml:space="preserve">at the new sites </w:t>
      </w:r>
      <w:r w:rsidR="002859FD" w:rsidRPr="009C0C39">
        <w:rPr>
          <w:rFonts w:ascii="Franklin Gothic Book" w:eastAsia="+mn-ea" w:hAnsi="Franklin Gothic Book" w:cs="Times New Roman"/>
          <w:color w:val="212121"/>
          <w:kern w:val="24"/>
          <w:sz w:val="22"/>
          <w:szCs w:val="22"/>
        </w:rPr>
        <w:t>who have primary care providers with other systems.</w:t>
      </w:r>
    </w:p>
    <w:p w14:paraId="50EE5BCC" w14:textId="77777777" w:rsidR="003C3793" w:rsidRPr="009C0C39" w:rsidRDefault="003C3793" w:rsidP="00983B01">
      <w:pPr>
        <w:rPr>
          <w:rFonts w:ascii="Franklin Gothic Book" w:hAnsi="Franklin Gothic Book" w:cs="Times New Roman"/>
          <w:sz w:val="22"/>
          <w:szCs w:val="22"/>
        </w:rPr>
      </w:pPr>
    </w:p>
    <w:p w14:paraId="63448E81" w14:textId="078A84AB" w:rsidR="003C3793" w:rsidRPr="009C0C39" w:rsidRDefault="003C3793" w:rsidP="009257C1">
      <w:pPr>
        <w:pStyle w:val="ListParagraph"/>
        <w:numPr>
          <w:ilvl w:val="0"/>
          <w:numId w:val="11"/>
        </w:numPr>
        <w:rPr>
          <w:rFonts w:ascii="Franklin Gothic Book" w:hAnsi="Franklin Gothic Book" w:cs="Times New Roman"/>
          <w:b/>
          <w:bCs/>
          <w:sz w:val="22"/>
          <w:szCs w:val="22"/>
        </w:rPr>
      </w:pPr>
      <w:bookmarkStart w:id="103" w:name="Section_IVC"/>
      <w:bookmarkEnd w:id="103"/>
      <w:r w:rsidRPr="009C0C39">
        <w:rPr>
          <w:rFonts w:ascii="Franklin Gothic Book" w:hAnsi="Franklin Gothic Book" w:cs="Times New Roman"/>
          <w:b/>
          <w:bCs/>
          <w:sz w:val="22"/>
          <w:szCs w:val="22"/>
        </w:rPr>
        <w:t>MGB’s projections of future utilization at its facilities do not indicate that the projects are necessary to meet unmet need.</w:t>
      </w:r>
      <w:r w:rsidR="00287C2A" w:rsidRPr="009C0C39">
        <w:rPr>
          <w:rFonts w:ascii="Franklin Gothic Book" w:hAnsi="Franklin Gothic Book" w:cs="Times New Roman"/>
          <w:b/>
          <w:bCs/>
          <w:sz w:val="22"/>
          <w:szCs w:val="22"/>
        </w:rPr>
        <w:t xml:space="preserve"> The proposed ambulatory expansions </w:t>
      </w:r>
      <w:r w:rsidR="007E3F2E" w:rsidRPr="009C0C39">
        <w:rPr>
          <w:rFonts w:ascii="Franklin Gothic Book" w:hAnsi="Franklin Gothic Book" w:cs="Times New Roman"/>
          <w:b/>
          <w:bCs/>
          <w:sz w:val="22"/>
          <w:szCs w:val="22"/>
        </w:rPr>
        <w:t xml:space="preserve">would </w:t>
      </w:r>
      <w:r w:rsidR="00287C2A" w:rsidRPr="009C0C39">
        <w:rPr>
          <w:rFonts w:ascii="Franklin Gothic Book" w:hAnsi="Franklin Gothic Book" w:cs="Times New Roman"/>
          <w:b/>
          <w:bCs/>
          <w:sz w:val="22"/>
          <w:szCs w:val="22"/>
        </w:rPr>
        <w:t xml:space="preserve">also </w:t>
      </w:r>
      <w:r w:rsidR="007E3F2E" w:rsidRPr="009C0C39">
        <w:rPr>
          <w:rFonts w:ascii="Franklin Gothic Book" w:hAnsi="Franklin Gothic Book" w:cs="Times New Roman"/>
          <w:b/>
          <w:bCs/>
          <w:sz w:val="22"/>
          <w:szCs w:val="22"/>
        </w:rPr>
        <w:t xml:space="preserve">be </w:t>
      </w:r>
      <w:r w:rsidR="00287C2A" w:rsidRPr="009C0C39">
        <w:rPr>
          <w:rFonts w:ascii="Franklin Gothic Book" w:hAnsi="Franklin Gothic Book" w:cs="Times New Roman"/>
          <w:b/>
          <w:bCs/>
          <w:sz w:val="22"/>
          <w:szCs w:val="22"/>
        </w:rPr>
        <w:t>located in areas that report already having good access to health care services.</w:t>
      </w:r>
    </w:p>
    <w:p w14:paraId="3D757221" w14:textId="1E03A8F4" w:rsidR="003C3793" w:rsidRPr="009C0C39" w:rsidRDefault="003C3793" w:rsidP="00287C2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In all three of its DoN applications, MGB asserts that the proposed expansions will serve growing need for its services. In support of this claim, MGB projects future utilization at its facilities based on its own current utilization, population demographic shifts based on 2015 data,</w:t>
      </w:r>
      <w:r w:rsidRPr="009C0C39">
        <w:rPr>
          <w:rStyle w:val="FootnoteReference"/>
          <w:rFonts w:ascii="Franklin Gothic Book" w:hAnsi="Franklin Gothic Book" w:cs="Times New Roman"/>
          <w:sz w:val="22"/>
          <w:szCs w:val="22"/>
        </w:rPr>
        <w:footnoteReference w:id="134"/>
      </w:r>
      <w:r w:rsidRPr="009C0C39">
        <w:rPr>
          <w:rFonts w:ascii="Franklin Gothic Book" w:hAnsi="Franklin Gothic Book" w:cs="Times New Roman"/>
          <w:sz w:val="22"/>
          <w:szCs w:val="22"/>
        </w:rPr>
        <w:t xml:space="preserve"> expected changes in patient utilization of specific services, patient preferences for MGB, anticipated changes in site of care and case mix, and the assumption that the projects will be approved and constructed as described.</w:t>
      </w:r>
      <w:r w:rsidRPr="009C0C39">
        <w:rPr>
          <w:rStyle w:val="FootnoteReference"/>
          <w:rFonts w:ascii="Franklin Gothic Book" w:hAnsi="Franklin Gothic Book" w:cs="Times New Roman"/>
          <w:sz w:val="22"/>
          <w:szCs w:val="22"/>
        </w:rPr>
        <w:footnoteReference w:id="135"/>
      </w:r>
      <w:r w:rsidRPr="009C0C39">
        <w:rPr>
          <w:rFonts w:ascii="Franklin Gothic Book" w:hAnsi="Franklin Gothic Book" w:cs="Times New Roman"/>
          <w:sz w:val="22"/>
          <w:szCs w:val="22"/>
        </w:rPr>
        <w:t xml:space="preserve"> The ICAs similarly include demographic projections alongside current utilization for MGB providers, though these projections are not used as an input into ICA </w:t>
      </w:r>
      <w:r w:rsidR="007669FF" w:rsidRPr="009C0C39">
        <w:rPr>
          <w:rFonts w:ascii="Franklin Gothic Book" w:hAnsi="Franklin Gothic Book" w:cs="Times New Roman"/>
          <w:sz w:val="22"/>
          <w:szCs w:val="22"/>
        </w:rPr>
        <w:t xml:space="preserve">projections of potential </w:t>
      </w:r>
      <w:r w:rsidRPr="009C0C39">
        <w:rPr>
          <w:rFonts w:ascii="Franklin Gothic Book" w:hAnsi="Franklin Gothic Book" w:cs="Times New Roman"/>
          <w:sz w:val="22"/>
          <w:szCs w:val="22"/>
        </w:rPr>
        <w:t>market share and spending impacts</w:t>
      </w:r>
      <w:r w:rsidR="007669FF" w:rsidRPr="009C0C39">
        <w:rPr>
          <w:rFonts w:ascii="Franklin Gothic Book" w:hAnsi="Franklin Gothic Book" w:cs="Times New Roman"/>
          <w:sz w:val="22"/>
          <w:szCs w:val="22"/>
        </w:rPr>
        <w:t xml:space="preserve"> of the projects</w:t>
      </w:r>
      <w:r w:rsidRPr="009C0C39">
        <w:rPr>
          <w:rFonts w:ascii="Franklin Gothic Book" w:hAnsi="Franklin Gothic Book" w:cs="Times New Roman"/>
          <w:sz w:val="22"/>
          <w:szCs w:val="22"/>
        </w:rPr>
        <w:t>. However, these data points ultimately do not address the question of whether the projects would meet need that would otherwise go unmet.</w:t>
      </w:r>
    </w:p>
    <w:p w14:paraId="5DA83F44" w14:textId="1A675CFA" w:rsidR="003C3793" w:rsidRPr="009C0C39" w:rsidRDefault="003C3793" w:rsidP="00287C2A">
      <w:p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ab/>
      </w:r>
      <w:r w:rsidR="002773E6" w:rsidRPr="009C0C39">
        <w:rPr>
          <w:rFonts w:ascii="Franklin Gothic Book" w:hAnsi="Franklin Gothic Book" w:cs="Times New Roman"/>
          <w:sz w:val="22"/>
          <w:szCs w:val="22"/>
        </w:rPr>
        <w:t xml:space="preserve">Evaluating the need for additional capacity in services of the types that MGB proposes to add or expand requires assessing current capacity not </w:t>
      </w:r>
      <w:r w:rsidR="00FF47DA">
        <w:rPr>
          <w:rFonts w:ascii="Franklin Gothic Book" w:hAnsi="Franklin Gothic Book" w:cs="Times New Roman"/>
          <w:sz w:val="22"/>
          <w:szCs w:val="22"/>
        </w:rPr>
        <w:t>only</w:t>
      </w:r>
      <w:r w:rsidR="00FF47DA" w:rsidRPr="009C0C39">
        <w:rPr>
          <w:rFonts w:ascii="Franklin Gothic Book" w:hAnsi="Franklin Gothic Book" w:cs="Times New Roman"/>
          <w:sz w:val="22"/>
          <w:szCs w:val="22"/>
        </w:rPr>
        <w:t xml:space="preserve"> </w:t>
      </w:r>
      <w:r w:rsidR="002773E6" w:rsidRPr="009C0C39">
        <w:rPr>
          <w:rFonts w:ascii="Franklin Gothic Book" w:hAnsi="Franklin Gothic Book" w:cs="Times New Roman"/>
          <w:sz w:val="22"/>
          <w:szCs w:val="22"/>
        </w:rPr>
        <w:t>at MGB facilities</w:t>
      </w:r>
      <w:r w:rsidR="00E66B6B" w:rsidRPr="009C0C39">
        <w:rPr>
          <w:rFonts w:ascii="Franklin Gothic Book" w:hAnsi="Franklin Gothic Book" w:cs="Times New Roman"/>
          <w:sz w:val="22"/>
          <w:szCs w:val="22"/>
        </w:rPr>
        <w:t>,</w:t>
      </w:r>
      <w:r w:rsidR="002773E6" w:rsidRPr="009C0C39">
        <w:rPr>
          <w:rFonts w:ascii="Franklin Gothic Book" w:hAnsi="Franklin Gothic Book" w:cs="Times New Roman"/>
          <w:sz w:val="22"/>
          <w:szCs w:val="22"/>
        </w:rPr>
        <w:t xml:space="preserve"> but at other area providers as well. </w:t>
      </w:r>
      <w:r w:rsidRPr="009C0C39">
        <w:rPr>
          <w:rFonts w:ascii="Franklin Gothic Book" w:hAnsi="Franklin Gothic Book" w:cs="Times New Roman"/>
          <w:sz w:val="22"/>
          <w:szCs w:val="22"/>
        </w:rPr>
        <w:t>Neither MGB’s applications nor the ICAs attempt to assess current capacity at other providers or compare it to projected future need; indeed, MGB does not address capacity that may even be available at its own hospitals and non-hospital sites. While the HPC similarly could not assess all other existing capacity in the market, we note that the diversion model used in the ICAs assumes that all care that would be provided in the MGB expansions could be provided elsewhere,</w:t>
      </w:r>
      <w:r w:rsidRPr="009C0C39">
        <w:rPr>
          <w:rStyle w:val="FootnoteReference"/>
          <w:rFonts w:ascii="Franklin Gothic Book" w:hAnsi="Franklin Gothic Book" w:cs="Times New Roman"/>
          <w:sz w:val="22"/>
          <w:szCs w:val="22"/>
        </w:rPr>
        <w:footnoteReference w:id="136"/>
      </w:r>
      <w:r w:rsidRPr="009C0C39">
        <w:rPr>
          <w:rFonts w:ascii="Franklin Gothic Book" w:hAnsi="Franklin Gothic Book" w:cs="Times New Roman"/>
          <w:sz w:val="22"/>
          <w:szCs w:val="22"/>
        </w:rPr>
        <w:t xml:space="preserve"> other local providers </w:t>
      </w:r>
      <w:r w:rsidR="00287C2A" w:rsidRPr="009C0C39">
        <w:rPr>
          <w:rFonts w:ascii="Franklin Gothic Book" w:hAnsi="Franklin Gothic Book" w:cs="Times New Roman"/>
          <w:sz w:val="22"/>
          <w:szCs w:val="22"/>
        </w:rPr>
        <w:t xml:space="preserve">testified </w:t>
      </w:r>
      <w:r w:rsidRPr="009C0C39">
        <w:rPr>
          <w:rFonts w:ascii="Franklin Gothic Book" w:hAnsi="Franklin Gothic Book" w:cs="Times New Roman"/>
          <w:sz w:val="22"/>
          <w:szCs w:val="22"/>
        </w:rPr>
        <w:t>that they have available capacity to meet patient needs in the proposed ambulatory service areas</w:t>
      </w:r>
      <w:r w:rsidR="00287C2A"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137"/>
      </w:r>
      <w:r w:rsidR="00287C2A" w:rsidRPr="009C0C39">
        <w:rPr>
          <w:rFonts w:ascii="Franklin Gothic Book" w:hAnsi="Franklin Gothic Book" w:cs="Times New Roman"/>
          <w:sz w:val="22"/>
          <w:szCs w:val="22"/>
        </w:rPr>
        <w:t xml:space="preserve">  and other data suggests available capacity at other </w:t>
      </w:r>
      <w:r w:rsidR="00287C2A" w:rsidRPr="009C0C39">
        <w:rPr>
          <w:rFonts w:ascii="Franklin Gothic Book" w:hAnsi="Franklin Gothic Book" w:cs="Times New Roman"/>
          <w:sz w:val="22"/>
          <w:szCs w:val="22"/>
        </w:rPr>
        <w:lastRenderedPageBreak/>
        <w:t>providers.</w:t>
      </w:r>
      <w:r w:rsidR="00287C2A" w:rsidRPr="009C0C39">
        <w:rPr>
          <w:rStyle w:val="FootnoteReference"/>
          <w:rFonts w:ascii="Franklin Gothic Book" w:hAnsi="Franklin Gothic Book" w:cs="Times New Roman"/>
          <w:sz w:val="22"/>
          <w:szCs w:val="22"/>
        </w:rPr>
        <w:footnoteReference w:id="138"/>
      </w:r>
      <w:r w:rsidR="00287C2A" w:rsidRPr="009C0C39">
        <w:rPr>
          <w:rFonts w:ascii="Franklin Gothic Book" w:hAnsi="Franklin Gothic Book" w:cs="Times New Roman"/>
          <w:sz w:val="22"/>
          <w:szCs w:val="22"/>
        </w:rPr>
        <w:t xml:space="preserve"> In surveys conducted in the service areas for the proposed Westborough, Westwood, and Woburn ambulatory service areas, residents also highly ranked “access to healthcare services” as a community strength across all three areas, and few identified health services other than behavioral health as a perceived need.</w:t>
      </w:r>
      <w:r w:rsidR="00287C2A" w:rsidRPr="009C0C39">
        <w:rPr>
          <w:rFonts w:ascii="Franklin Gothic Book" w:hAnsi="Franklin Gothic Book" w:cs="Times New Roman"/>
          <w:sz w:val="22"/>
          <w:szCs w:val="22"/>
          <w:vertAlign w:val="superscript"/>
        </w:rPr>
        <w:footnoteReference w:id="139"/>
      </w:r>
      <w:r w:rsidR="00287C2A" w:rsidRPr="009C0C39">
        <w:rPr>
          <w:rFonts w:ascii="Franklin Gothic Book" w:hAnsi="Franklin Gothic Book" w:cs="Times New Roman"/>
          <w:sz w:val="22"/>
          <w:szCs w:val="22"/>
          <w:vertAlign w:val="superscript"/>
        </w:rPr>
        <w:t>,</w:t>
      </w:r>
      <w:r w:rsidR="00287C2A" w:rsidRPr="009C0C39">
        <w:rPr>
          <w:rFonts w:ascii="Franklin Gothic Book" w:hAnsi="Franklin Gothic Book" w:cs="Times New Roman"/>
          <w:sz w:val="22"/>
          <w:szCs w:val="22"/>
          <w:vertAlign w:val="superscript"/>
        </w:rPr>
        <w:footnoteReference w:id="140"/>
      </w:r>
    </w:p>
    <w:p w14:paraId="1A900765" w14:textId="0A669F11" w:rsidR="003C3793" w:rsidRPr="009C0C39" w:rsidRDefault="003C3793" w:rsidP="00287C2A">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Additionally, the projections of future demand for services by both MGB and in the ICAs largely rest on the fact that the Massachusetts population is growing and aging, leading to a prediction of a greater number of total patients and the use of more services per capita.</w:t>
      </w:r>
      <w:r w:rsidRPr="009C0C39">
        <w:rPr>
          <w:rStyle w:val="FootnoteReference"/>
          <w:rFonts w:ascii="Franklin Gothic Book" w:hAnsi="Franklin Gothic Book" w:cs="Times New Roman"/>
          <w:sz w:val="22"/>
          <w:szCs w:val="22"/>
        </w:rPr>
        <w:footnoteReference w:id="141"/>
      </w:r>
      <w:r w:rsidRPr="009C0C39">
        <w:rPr>
          <w:rFonts w:ascii="Franklin Gothic Book" w:hAnsi="Franklin Gothic Book" w:cs="Times New Roman"/>
          <w:sz w:val="22"/>
          <w:szCs w:val="22"/>
        </w:rPr>
        <w:t xml:space="preserve"> However, utilization is heavily influenced by factors such as health care payment policies, technology advances, provider supply, and</w:t>
      </w:r>
      <w:r w:rsidR="002773E6" w:rsidRPr="009C0C39">
        <w:rPr>
          <w:rFonts w:ascii="Franklin Gothic Book" w:hAnsi="Franklin Gothic Book" w:cs="Times New Roman"/>
          <w:sz w:val="22"/>
          <w:szCs w:val="22"/>
        </w:rPr>
        <w:t xml:space="preserve"> physicians’ clinical </w:t>
      </w:r>
      <w:r w:rsidR="00342592" w:rsidRPr="009C0C39">
        <w:rPr>
          <w:rFonts w:ascii="Franklin Gothic Book" w:hAnsi="Franklin Gothic Book" w:cs="Times New Roman"/>
          <w:sz w:val="22"/>
          <w:szCs w:val="22"/>
        </w:rPr>
        <w:t>approaches</w:t>
      </w:r>
      <w:r w:rsidRPr="009C0C39">
        <w:rPr>
          <w:rFonts w:ascii="Franklin Gothic Book" w:hAnsi="Franklin Gothic Book" w:cs="Times New Roman"/>
          <w:sz w:val="22"/>
          <w:szCs w:val="22"/>
        </w:rPr>
        <w:t>, and these factors typically outweigh demographic and other demand-side changes.</w:t>
      </w:r>
      <w:r w:rsidRPr="009C0C39">
        <w:rPr>
          <w:rStyle w:val="FootnoteReference"/>
          <w:rFonts w:ascii="Franklin Gothic Book" w:hAnsi="Franklin Gothic Book" w:cs="Times New Roman"/>
          <w:sz w:val="22"/>
          <w:szCs w:val="22"/>
        </w:rPr>
        <w:footnoteReference w:id="142"/>
      </w:r>
      <w:r w:rsidRPr="009C0C39">
        <w:rPr>
          <w:rFonts w:ascii="Franklin Gothic Book" w:hAnsi="Franklin Gothic Book" w:cs="Times New Roman"/>
          <w:sz w:val="22"/>
          <w:szCs w:val="22"/>
        </w:rPr>
        <w:t xml:space="preserve"> This is particularly true for services like advanced imaging.</w:t>
      </w:r>
      <w:r w:rsidRPr="009C0C39">
        <w:rPr>
          <w:rStyle w:val="FootnoteReference"/>
          <w:rFonts w:ascii="Franklin Gothic Book" w:hAnsi="Franklin Gothic Book" w:cs="Times New Roman"/>
          <w:sz w:val="22"/>
          <w:szCs w:val="22"/>
        </w:rPr>
        <w:footnoteReference w:id="143"/>
      </w:r>
    </w:p>
    <w:p w14:paraId="2278728D" w14:textId="1DF10427" w:rsidR="003C3793" w:rsidRPr="009C0C39" w:rsidRDefault="003C3793" w:rsidP="001B19D0">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Recent Massachusetts market experience reinforces that relying on demographics alone to project future health care need often results in incorrect predictions. For example, the Massachusetts population has grown by 6% and aged significantly (37.9% growth in residents 65 years or older) over the past decade.</w:t>
      </w:r>
      <w:r w:rsidRPr="009C0C39">
        <w:rPr>
          <w:rStyle w:val="FootnoteReference"/>
          <w:rFonts w:ascii="Franklin Gothic Book" w:hAnsi="Franklin Gothic Book" w:cs="Times New Roman"/>
          <w:sz w:val="22"/>
          <w:szCs w:val="22"/>
        </w:rPr>
        <w:footnoteReference w:id="144"/>
      </w:r>
      <w:r w:rsidRPr="009C0C39">
        <w:rPr>
          <w:rFonts w:ascii="Franklin Gothic Book" w:hAnsi="Franklin Gothic Book" w:cs="Times New Roman"/>
          <w:sz w:val="22"/>
          <w:szCs w:val="22"/>
        </w:rPr>
        <w:t xml:space="preserve"> In 2010, a projection based on those trends and </w:t>
      </w:r>
      <w:r w:rsidR="007669FF" w:rsidRPr="009C0C39">
        <w:rPr>
          <w:rFonts w:ascii="Franklin Gothic Book" w:hAnsi="Franklin Gothic Book" w:cs="Times New Roman"/>
          <w:sz w:val="22"/>
          <w:szCs w:val="22"/>
        </w:rPr>
        <w:t xml:space="preserve">contemporary </w:t>
      </w:r>
      <w:r w:rsidRPr="009C0C39">
        <w:rPr>
          <w:rFonts w:ascii="Franklin Gothic Book" w:hAnsi="Franklin Gothic Book" w:cs="Times New Roman"/>
          <w:sz w:val="22"/>
          <w:szCs w:val="22"/>
        </w:rPr>
        <w:t xml:space="preserve">utilization rates by age category would have predicted an increase in statewide bed days of </w:t>
      </w:r>
      <w:r w:rsidR="003B4E60" w:rsidRPr="009C0C39">
        <w:rPr>
          <w:rFonts w:ascii="Franklin Gothic Book" w:hAnsi="Franklin Gothic Book" w:cs="Times New Roman"/>
          <w:sz w:val="22"/>
          <w:szCs w:val="22"/>
        </w:rPr>
        <w:t>19.4</w:t>
      </w:r>
      <w:r w:rsidRPr="009C0C39">
        <w:rPr>
          <w:rFonts w:ascii="Franklin Gothic Book" w:hAnsi="Franklin Gothic Book" w:cs="Times New Roman"/>
          <w:sz w:val="22"/>
          <w:szCs w:val="22"/>
        </w:rPr>
        <w:t>% over the next decade.</w:t>
      </w:r>
      <w:r w:rsidRPr="009C0C39">
        <w:rPr>
          <w:rStyle w:val="FootnoteReference"/>
          <w:rFonts w:ascii="Franklin Gothic Book" w:hAnsi="Franklin Gothic Book" w:cs="Times New Roman"/>
          <w:sz w:val="22"/>
          <w:szCs w:val="22"/>
        </w:rPr>
        <w:footnoteReference w:id="145"/>
      </w:r>
      <w:r w:rsidRPr="009C0C39">
        <w:rPr>
          <w:rFonts w:ascii="Franklin Gothic Book" w:hAnsi="Franklin Gothic Book" w:cs="Times New Roman"/>
          <w:sz w:val="22"/>
          <w:szCs w:val="22"/>
        </w:rPr>
        <w:t xml:space="preserve"> However, </w:t>
      </w:r>
      <w:r w:rsidR="003B4E60" w:rsidRPr="009C0C39">
        <w:rPr>
          <w:rFonts w:ascii="Franklin Gothic Book" w:hAnsi="Franklin Gothic Book" w:cs="Times New Roman"/>
          <w:sz w:val="22"/>
          <w:szCs w:val="22"/>
        </w:rPr>
        <w:t xml:space="preserve">inpatient </w:t>
      </w:r>
      <w:r w:rsidRPr="009C0C39">
        <w:rPr>
          <w:rFonts w:ascii="Franklin Gothic Book" w:hAnsi="Franklin Gothic Book" w:cs="Times New Roman"/>
          <w:sz w:val="22"/>
          <w:szCs w:val="22"/>
        </w:rPr>
        <w:t xml:space="preserve">bed days actually increased </w:t>
      </w:r>
      <w:r w:rsidR="003B4E60" w:rsidRPr="009C0C39">
        <w:rPr>
          <w:rFonts w:ascii="Franklin Gothic Book" w:hAnsi="Franklin Gothic Book" w:cs="Times New Roman"/>
          <w:sz w:val="22"/>
          <w:szCs w:val="22"/>
        </w:rPr>
        <w:t>by 0.7</w:t>
      </w:r>
      <w:r w:rsidRPr="009C0C39">
        <w:rPr>
          <w:rFonts w:ascii="Franklin Gothic Book" w:hAnsi="Franklin Gothic Book" w:cs="Times New Roman"/>
          <w:sz w:val="22"/>
          <w:szCs w:val="22"/>
        </w:rPr>
        <w:t xml:space="preserve">% statewide from </w:t>
      </w:r>
      <w:r w:rsidR="003B4E60" w:rsidRPr="009C0C39">
        <w:rPr>
          <w:rFonts w:ascii="Franklin Gothic Book" w:hAnsi="Franklin Gothic Book" w:cs="Times New Roman"/>
          <w:sz w:val="22"/>
          <w:szCs w:val="22"/>
        </w:rPr>
        <w:t xml:space="preserve">2010 </w:t>
      </w:r>
      <w:r w:rsidR="00DA12B4" w:rsidRPr="009C0C39">
        <w:rPr>
          <w:rFonts w:ascii="Franklin Gothic Book" w:hAnsi="Franklin Gothic Book" w:cs="Times New Roman"/>
          <w:sz w:val="22"/>
          <w:szCs w:val="22"/>
        </w:rPr>
        <w:t xml:space="preserve">to </w:t>
      </w:r>
      <w:r w:rsidRPr="009C0C39">
        <w:rPr>
          <w:rFonts w:ascii="Franklin Gothic Book" w:hAnsi="Franklin Gothic Book" w:cs="Times New Roman"/>
          <w:sz w:val="22"/>
          <w:szCs w:val="22"/>
        </w:rPr>
        <w:t>2019, and 3% across hospitals in the MGB system.</w:t>
      </w:r>
      <w:r w:rsidRPr="009C0C39">
        <w:rPr>
          <w:rStyle w:val="FootnoteReference"/>
          <w:rFonts w:ascii="Franklin Gothic Book" w:hAnsi="Franklin Gothic Book" w:cs="Times New Roman"/>
          <w:sz w:val="22"/>
          <w:szCs w:val="22"/>
        </w:rPr>
        <w:footnoteReference w:id="146"/>
      </w:r>
      <w:r w:rsidRPr="009C0C39">
        <w:rPr>
          <w:rFonts w:ascii="Franklin Gothic Book" w:hAnsi="Franklin Gothic Book" w:cs="Times New Roman"/>
          <w:sz w:val="22"/>
          <w:szCs w:val="22"/>
        </w:rPr>
        <w:t xml:space="preserve"> Similarly, despite </w:t>
      </w:r>
      <w:r w:rsidRPr="009C0C39">
        <w:rPr>
          <w:rFonts w:ascii="Franklin Gothic Book" w:hAnsi="Franklin Gothic Book" w:cs="Times New Roman"/>
          <w:sz w:val="22"/>
          <w:szCs w:val="22"/>
        </w:rPr>
        <w:lastRenderedPageBreak/>
        <w:t xml:space="preserve">population growth and aging from 2014 to 2019, the ICA </w:t>
      </w:r>
      <w:r w:rsidR="0029321C">
        <w:rPr>
          <w:rFonts w:ascii="Franklin Gothic Book" w:hAnsi="Franklin Gothic Book" w:cs="Times New Roman"/>
          <w:sz w:val="22"/>
          <w:szCs w:val="22"/>
        </w:rPr>
        <w:t>report</w:t>
      </w:r>
      <w:r w:rsidR="0029321C" w:rsidRPr="009C0C39">
        <w:rPr>
          <w:rFonts w:ascii="Franklin Gothic Book" w:hAnsi="Franklin Gothic Book" w:cs="Times New Roman"/>
          <w:sz w:val="22"/>
          <w:szCs w:val="22"/>
        </w:rPr>
        <w:t xml:space="preserve">s </w:t>
      </w:r>
      <w:r w:rsidRPr="009C0C39">
        <w:rPr>
          <w:rFonts w:ascii="Franklin Gothic Book" w:hAnsi="Franklin Gothic Book" w:cs="Times New Roman"/>
          <w:sz w:val="22"/>
          <w:szCs w:val="22"/>
        </w:rPr>
        <w:t>that MGH discharges and patient days related to cancer services declined by 4% and 2%, respectively, from 2015 to 2019.</w:t>
      </w:r>
      <w:r w:rsidRPr="009C0C39">
        <w:rPr>
          <w:rStyle w:val="FootnoteReference"/>
          <w:rFonts w:ascii="Franklin Gothic Book" w:hAnsi="Franklin Gothic Book" w:cs="Times New Roman"/>
          <w:sz w:val="22"/>
          <w:szCs w:val="22"/>
        </w:rPr>
        <w:footnoteReference w:id="147"/>
      </w:r>
      <w:r w:rsidRPr="009C0C39">
        <w:rPr>
          <w:rFonts w:ascii="Franklin Gothic Book" w:hAnsi="Franklin Gothic Book" w:cs="Times New Roman"/>
          <w:sz w:val="22"/>
          <w:szCs w:val="22"/>
        </w:rPr>
        <w:t xml:space="preserve"> </w:t>
      </w:r>
    </w:p>
    <w:p w14:paraId="01CF624B" w14:textId="1638D9AE" w:rsidR="003C3793" w:rsidRPr="009C0C39" w:rsidRDefault="003C3793" w:rsidP="001B19D0">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Finally, MGB’s own utilization projections exceed those likely based on demographic shifts alone,</w:t>
      </w:r>
      <w:r w:rsidRPr="009C0C39">
        <w:rPr>
          <w:rStyle w:val="FootnoteReference"/>
          <w:rFonts w:ascii="Franklin Gothic Book" w:hAnsi="Franklin Gothic Book" w:cs="Times New Roman"/>
          <w:sz w:val="22"/>
          <w:szCs w:val="22"/>
        </w:rPr>
        <w:footnoteReference w:id="148"/>
      </w:r>
      <w:r w:rsidRPr="009C0C39">
        <w:rPr>
          <w:rFonts w:ascii="Franklin Gothic Book" w:hAnsi="Franklin Gothic Book" w:cs="Times New Roman"/>
          <w:sz w:val="22"/>
          <w:szCs w:val="22"/>
        </w:rPr>
        <w:t xml:space="preserve"> and MGB has stated an expectation of increased market share from its larger multiyear ambulatory expansion,</w:t>
      </w:r>
      <w:r w:rsidRPr="009C0C39">
        <w:rPr>
          <w:rStyle w:val="FootnoteReference"/>
          <w:rFonts w:ascii="Franklin Gothic Book" w:hAnsi="Franklin Gothic Book" w:cs="Times New Roman"/>
          <w:sz w:val="22"/>
          <w:szCs w:val="22"/>
        </w:rPr>
        <w:footnoteReference w:id="149"/>
      </w:r>
      <w:r w:rsidRPr="009C0C39">
        <w:rPr>
          <w:rFonts w:ascii="Franklin Gothic Book" w:hAnsi="Franklin Gothic Book" w:cs="Times New Roman"/>
          <w:sz w:val="22"/>
          <w:szCs w:val="22"/>
        </w:rPr>
        <w:t xml:space="preserve"> suggesting that MGB’s plans reflect more than incremental increases in need for services by an aging population, but rather attempts to grow its market share relative to other providers in the market.</w:t>
      </w:r>
    </w:p>
    <w:p w14:paraId="0BFA8D46" w14:textId="36A5E761" w:rsidR="003C3793" w:rsidRPr="009C0C39" w:rsidRDefault="003C3793" w:rsidP="009257C1">
      <w:pPr>
        <w:pStyle w:val="ListParagraph"/>
        <w:numPr>
          <w:ilvl w:val="0"/>
          <w:numId w:val="11"/>
        </w:numPr>
        <w:spacing w:before="240"/>
        <w:contextualSpacing w:val="0"/>
        <w:rPr>
          <w:rFonts w:ascii="Franklin Gothic Book" w:hAnsi="Franklin Gothic Book" w:cs="Times New Roman"/>
          <w:b/>
          <w:bCs/>
          <w:sz w:val="22"/>
          <w:szCs w:val="22"/>
        </w:rPr>
      </w:pPr>
      <w:bookmarkStart w:id="104" w:name="Section_IVD"/>
      <w:bookmarkEnd w:id="104"/>
      <w:r w:rsidRPr="009C0C39">
        <w:rPr>
          <w:rFonts w:ascii="Franklin Gothic Book" w:hAnsi="Franklin Gothic Book" w:cs="Times New Roman"/>
          <w:b/>
          <w:bCs/>
          <w:sz w:val="22"/>
          <w:szCs w:val="22"/>
        </w:rPr>
        <w:t xml:space="preserve">The proposed ambulatory expansions </w:t>
      </w:r>
      <w:r w:rsidR="007E3F2E" w:rsidRPr="009C0C39">
        <w:rPr>
          <w:rFonts w:ascii="Franklin Gothic Book" w:hAnsi="Franklin Gothic Book" w:cs="Times New Roman"/>
          <w:b/>
          <w:bCs/>
          <w:sz w:val="22"/>
          <w:szCs w:val="22"/>
        </w:rPr>
        <w:t xml:space="preserve">would be </w:t>
      </w:r>
      <w:r w:rsidR="002F60D7" w:rsidRPr="009C0C39">
        <w:rPr>
          <w:rFonts w:ascii="Franklin Gothic Book" w:hAnsi="Franklin Gothic Book" w:cs="Times New Roman"/>
          <w:b/>
          <w:bCs/>
          <w:sz w:val="22"/>
          <w:szCs w:val="22"/>
        </w:rPr>
        <w:t>loca</w:t>
      </w:r>
      <w:r w:rsidR="00BA73E2" w:rsidRPr="009C0C39">
        <w:rPr>
          <w:rFonts w:ascii="Franklin Gothic Book" w:hAnsi="Franklin Gothic Book" w:cs="Times New Roman"/>
          <w:b/>
          <w:bCs/>
          <w:sz w:val="22"/>
          <w:szCs w:val="22"/>
        </w:rPr>
        <w:t>t</w:t>
      </w:r>
      <w:r w:rsidR="002F60D7" w:rsidRPr="009C0C39">
        <w:rPr>
          <w:rFonts w:ascii="Franklin Gothic Book" w:hAnsi="Franklin Gothic Book" w:cs="Times New Roman"/>
          <w:b/>
          <w:bCs/>
          <w:sz w:val="22"/>
          <w:szCs w:val="22"/>
        </w:rPr>
        <w:t xml:space="preserve">ed in </w:t>
      </w:r>
      <w:r w:rsidRPr="009C0C39">
        <w:rPr>
          <w:rFonts w:ascii="Franklin Gothic Book" w:hAnsi="Franklin Gothic Book" w:cs="Times New Roman"/>
          <w:b/>
          <w:bCs/>
          <w:sz w:val="22"/>
          <w:szCs w:val="22"/>
        </w:rPr>
        <w:t xml:space="preserve">relatively affluent areas with </w:t>
      </w:r>
      <w:r w:rsidR="002F60D7" w:rsidRPr="009C0C39">
        <w:rPr>
          <w:rFonts w:ascii="Franklin Gothic Book" w:hAnsi="Franklin Gothic Book" w:cs="Times New Roman"/>
          <w:b/>
          <w:bCs/>
          <w:sz w:val="22"/>
          <w:szCs w:val="22"/>
        </w:rPr>
        <w:t xml:space="preserve">low MassHealth </w:t>
      </w:r>
      <w:r w:rsidRPr="009C0C39">
        <w:rPr>
          <w:rFonts w:ascii="Franklin Gothic Book" w:hAnsi="Franklin Gothic Book" w:cs="Times New Roman"/>
          <w:b/>
          <w:bCs/>
          <w:sz w:val="22"/>
          <w:szCs w:val="22"/>
        </w:rPr>
        <w:t>payer mix</w:t>
      </w:r>
      <w:r w:rsidR="002F60D7" w:rsidRPr="009C0C39">
        <w:rPr>
          <w:rFonts w:ascii="Franklin Gothic Book" w:hAnsi="Franklin Gothic Book" w:cs="Times New Roman"/>
          <w:b/>
          <w:bCs/>
          <w:sz w:val="22"/>
          <w:szCs w:val="22"/>
        </w:rPr>
        <w:t xml:space="preserve">, consistent </w:t>
      </w:r>
      <w:r w:rsidRPr="009C0C39">
        <w:rPr>
          <w:rFonts w:ascii="Franklin Gothic Book" w:hAnsi="Franklin Gothic Book" w:cs="Times New Roman"/>
          <w:b/>
          <w:bCs/>
          <w:sz w:val="22"/>
          <w:szCs w:val="22"/>
        </w:rPr>
        <w:t>with MGB’s stated goals of increasing network lives and commercial referrals</w:t>
      </w:r>
      <w:r w:rsidR="002F60D7" w:rsidRPr="009C0C39">
        <w:rPr>
          <w:rFonts w:ascii="Franklin Gothic Book" w:hAnsi="Franklin Gothic Book" w:cs="Times New Roman"/>
          <w:b/>
          <w:bCs/>
          <w:sz w:val="22"/>
          <w:szCs w:val="22"/>
        </w:rPr>
        <w:t>.</w:t>
      </w:r>
      <w:r w:rsidRPr="009C0C39">
        <w:rPr>
          <w:rFonts w:ascii="Franklin Gothic Book" w:hAnsi="Franklin Gothic Book" w:cs="Times New Roman"/>
          <w:b/>
          <w:bCs/>
          <w:sz w:val="22"/>
          <w:szCs w:val="22"/>
        </w:rPr>
        <w:t xml:space="preserve"> </w:t>
      </w:r>
      <w:r w:rsidR="002F60D7" w:rsidRPr="009C0C39">
        <w:rPr>
          <w:rFonts w:ascii="Franklin Gothic Book" w:hAnsi="Franklin Gothic Book" w:cs="Times New Roman"/>
          <w:b/>
          <w:bCs/>
          <w:sz w:val="22"/>
          <w:szCs w:val="22"/>
        </w:rPr>
        <w:t xml:space="preserve">As a result, the expansions </w:t>
      </w:r>
      <w:r w:rsidRPr="009C0C39">
        <w:rPr>
          <w:rFonts w:ascii="Franklin Gothic Book" w:hAnsi="Franklin Gothic Book" w:cs="Times New Roman"/>
          <w:b/>
          <w:bCs/>
          <w:sz w:val="22"/>
          <w:szCs w:val="22"/>
        </w:rPr>
        <w:t>are likely to reinforce MGB’s already small share of MassHealth patients relative to other systems.</w:t>
      </w:r>
    </w:p>
    <w:p w14:paraId="260A687C" w14:textId="6306336B" w:rsidR="003C3793" w:rsidRPr="009C0C39" w:rsidRDefault="003C3793" w:rsidP="005448AB">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As discussed in Section II, MGB </w:t>
      </w:r>
      <w:r w:rsidR="002F60D7" w:rsidRPr="009C0C39">
        <w:rPr>
          <w:rFonts w:ascii="Franklin Gothic Book" w:hAnsi="Franklin Gothic Book" w:cs="Times New Roman"/>
          <w:sz w:val="22"/>
          <w:szCs w:val="22"/>
        </w:rPr>
        <w:t xml:space="preserve">acute care </w:t>
      </w:r>
      <w:r w:rsidRPr="009C0C39">
        <w:rPr>
          <w:rFonts w:ascii="Franklin Gothic Book" w:hAnsi="Franklin Gothic Book" w:cs="Times New Roman"/>
          <w:sz w:val="22"/>
          <w:szCs w:val="22"/>
        </w:rPr>
        <w:t xml:space="preserve">hospitals generally provide a lower proportion of care to MassHealth patients and BIPOC patients, both relative to comparator hospitals and to the patient mix of their service areas, and MGB patients tend to come from higher-income communities with lower indicia of social need. Based on the characteristics of the communities in which MGB proposes to locate its ambulatory sites, the </w:t>
      </w:r>
      <w:r w:rsidR="00B65555" w:rsidRPr="009C0C39">
        <w:rPr>
          <w:rFonts w:ascii="Franklin Gothic Book" w:hAnsi="Franklin Gothic Book" w:cs="Times New Roman"/>
          <w:sz w:val="22"/>
          <w:szCs w:val="22"/>
        </w:rPr>
        <w:t>a</w:t>
      </w:r>
      <w:r w:rsidRPr="009C0C39">
        <w:rPr>
          <w:rFonts w:ascii="Franklin Gothic Book" w:hAnsi="Franklin Gothic Book" w:cs="Times New Roman"/>
          <w:sz w:val="22"/>
          <w:szCs w:val="22"/>
        </w:rPr>
        <w:t xml:space="preserve">mbulatory </w:t>
      </w:r>
      <w:r w:rsidR="00B65555" w:rsidRPr="009C0C39">
        <w:rPr>
          <w:rFonts w:ascii="Franklin Gothic Book" w:hAnsi="Franklin Gothic Book" w:cs="Times New Roman"/>
          <w:sz w:val="22"/>
          <w:szCs w:val="22"/>
        </w:rPr>
        <w:t>e</w:t>
      </w:r>
      <w:r w:rsidRPr="009C0C39">
        <w:rPr>
          <w:rFonts w:ascii="Franklin Gothic Book" w:hAnsi="Franklin Gothic Book" w:cs="Times New Roman"/>
          <w:sz w:val="22"/>
          <w:szCs w:val="22"/>
        </w:rPr>
        <w:t>xpansion seems unlikely to reduce these differentials.</w:t>
      </w:r>
    </w:p>
    <w:p w14:paraId="78573467" w14:textId="2C3D2B27" w:rsidR="003C3793" w:rsidRPr="009C0C39" w:rsidRDefault="00B2406A" w:rsidP="005448AB">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community health needs assessments (CHNAs)</w:t>
      </w:r>
      <w:r w:rsidR="003C3793" w:rsidRPr="009C0C39">
        <w:rPr>
          <w:rFonts w:ascii="Franklin Gothic Book" w:hAnsi="Franklin Gothic Book" w:cs="Times New Roman"/>
          <w:sz w:val="22"/>
          <w:szCs w:val="22"/>
          <w:vertAlign w:val="superscript"/>
        </w:rPr>
        <w:footnoteReference w:id="150"/>
      </w:r>
      <w:r w:rsidR="003C3793"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that were prepared by MGB for the Westborough, Westwood, and Woburn ambulatory service areas </w:t>
      </w:r>
      <w:r w:rsidR="003C3793" w:rsidRPr="009C0C39">
        <w:rPr>
          <w:rFonts w:ascii="Franklin Gothic Book" w:hAnsi="Franklin Gothic Book" w:cs="Times New Roman"/>
          <w:sz w:val="22"/>
          <w:szCs w:val="22"/>
        </w:rPr>
        <w:t xml:space="preserve">found the towns that make up </w:t>
      </w:r>
      <w:r w:rsidRPr="009C0C39">
        <w:rPr>
          <w:rFonts w:ascii="Franklin Gothic Book" w:hAnsi="Franklin Gothic Book" w:cs="Times New Roman"/>
          <w:sz w:val="22"/>
          <w:szCs w:val="22"/>
        </w:rPr>
        <w:t>the</w:t>
      </w:r>
      <w:r w:rsidR="003C3793" w:rsidRPr="009C0C39">
        <w:rPr>
          <w:rFonts w:ascii="Franklin Gothic Book" w:hAnsi="Franklin Gothic Book" w:cs="Times New Roman"/>
          <w:sz w:val="22"/>
          <w:szCs w:val="22"/>
        </w:rPr>
        <w:t xml:space="preserve"> service area</w:t>
      </w:r>
      <w:r w:rsidRPr="009C0C39">
        <w:rPr>
          <w:rFonts w:ascii="Franklin Gothic Book" w:hAnsi="Franklin Gothic Book" w:cs="Times New Roman"/>
          <w:sz w:val="22"/>
          <w:szCs w:val="22"/>
        </w:rPr>
        <w:t>s</w:t>
      </w:r>
      <w:r w:rsidR="003C3793" w:rsidRPr="009C0C39">
        <w:rPr>
          <w:rFonts w:ascii="Franklin Gothic Book" w:hAnsi="Franklin Gothic Book" w:cs="Times New Roman"/>
          <w:sz w:val="22"/>
          <w:szCs w:val="22"/>
        </w:rPr>
        <w:t xml:space="preserve"> generally have median household income above the statewide mean household income.</w:t>
      </w:r>
      <w:r w:rsidR="003C3793" w:rsidRPr="009C0C39">
        <w:rPr>
          <w:rFonts w:ascii="Franklin Gothic Book" w:hAnsi="Franklin Gothic Book" w:cs="Times New Roman"/>
          <w:sz w:val="22"/>
          <w:szCs w:val="22"/>
          <w:vertAlign w:val="superscript"/>
        </w:rPr>
        <w:footnoteReference w:id="151"/>
      </w:r>
      <w:r w:rsidR="003C3793" w:rsidRPr="009C0C39">
        <w:rPr>
          <w:rFonts w:ascii="Franklin Gothic Book" w:hAnsi="Franklin Gothic Book" w:cs="Times New Roman"/>
          <w:sz w:val="22"/>
          <w:szCs w:val="22"/>
        </w:rPr>
        <w:t xml:space="preserve"> Most of the towns within the service area also have higher proportions of residents identifying as “white, non-Hispanic” than the statewide average.</w:t>
      </w:r>
      <w:r w:rsidR="003C3793" w:rsidRPr="009C0C39">
        <w:rPr>
          <w:rStyle w:val="FootnoteReference"/>
          <w:rFonts w:ascii="Franklin Gothic Book" w:hAnsi="Franklin Gothic Book" w:cs="Times New Roman"/>
          <w:sz w:val="22"/>
          <w:szCs w:val="22"/>
        </w:rPr>
        <w:footnoteReference w:id="152"/>
      </w:r>
      <w:r w:rsidR="003C3793" w:rsidRPr="009C0C39">
        <w:rPr>
          <w:rFonts w:ascii="Franklin Gothic Book" w:hAnsi="Franklin Gothic Book" w:cs="Times New Roman"/>
          <w:sz w:val="22"/>
          <w:szCs w:val="22"/>
        </w:rPr>
        <w:t xml:space="preserve"> </w:t>
      </w:r>
    </w:p>
    <w:p w14:paraId="44823C6E" w14:textId="42390FC1" w:rsidR="003C3793" w:rsidRPr="009C0C39" w:rsidRDefault="003C3793" w:rsidP="005448AB">
      <w:p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ab/>
        <w:t xml:space="preserve">HPC analysis also suggests that </w:t>
      </w:r>
      <w:r w:rsidR="00B2406A" w:rsidRPr="009C0C39">
        <w:rPr>
          <w:rFonts w:ascii="Franklin Gothic Book" w:hAnsi="Franklin Gothic Book" w:cs="Times New Roman"/>
          <w:sz w:val="22"/>
          <w:szCs w:val="22"/>
        </w:rPr>
        <w:t>the communities</w:t>
      </w:r>
      <w:r w:rsidRPr="009C0C39">
        <w:rPr>
          <w:rFonts w:ascii="Franklin Gothic Book" w:hAnsi="Franklin Gothic Book" w:cs="Times New Roman"/>
          <w:sz w:val="22"/>
          <w:szCs w:val="22"/>
        </w:rPr>
        <w:t xml:space="preserve"> closest to the proposed ambulatory sites have lower indicia of social need compared to the broader regions in which they would be located and </w:t>
      </w:r>
      <w:r w:rsidR="00DA12B4" w:rsidRPr="009C0C39">
        <w:rPr>
          <w:rFonts w:ascii="Franklin Gothic Book" w:hAnsi="Franklin Gothic Book" w:cs="Times New Roman"/>
          <w:sz w:val="22"/>
          <w:szCs w:val="22"/>
        </w:rPr>
        <w:t xml:space="preserve">to </w:t>
      </w:r>
      <w:r w:rsidRPr="009C0C39">
        <w:rPr>
          <w:rFonts w:ascii="Franklin Gothic Book" w:hAnsi="Franklin Gothic Book" w:cs="Times New Roman"/>
          <w:sz w:val="22"/>
          <w:szCs w:val="22"/>
        </w:rPr>
        <w:t>the Commonwealth as a whole. Examining data on social determinants of health (e.g., limited English proficiency, identifying as non-White, unemployment, Medicaid coverage, and income-to-poverty ratio), the HPC found that residents living within a 10-minute drive of the proposed ambulatory sites generally had lower rates of measures associated with greater social disadvantage compared to the regional and statewide populations.</w:t>
      </w:r>
      <w:r w:rsidRPr="009C0C39">
        <w:rPr>
          <w:rFonts w:ascii="Franklin Gothic Book" w:hAnsi="Franklin Gothic Book" w:cs="Times New Roman"/>
          <w:sz w:val="22"/>
          <w:szCs w:val="22"/>
          <w:vertAlign w:val="superscript"/>
        </w:rPr>
        <w:footnoteReference w:id="153"/>
      </w:r>
      <w:r w:rsidRPr="009C0C39">
        <w:rPr>
          <w:rFonts w:ascii="Franklin Gothic Book" w:hAnsi="Franklin Gothic Book" w:cs="Times New Roman"/>
          <w:sz w:val="22"/>
          <w:szCs w:val="22"/>
        </w:rPr>
        <w:t xml:space="preserve"> In particular, residents living closest to all three proposed ambulatory sites reported a lower population with Medicaid or any means-tested public insurance coverage and a lower income-to-poverty ratio than residents of the regions overall, </w:t>
      </w:r>
      <w:r w:rsidRPr="009C0C39">
        <w:rPr>
          <w:rFonts w:ascii="Franklin Gothic Book" w:hAnsi="Franklin Gothic Book" w:cs="Times New Roman"/>
          <w:sz w:val="22"/>
          <w:szCs w:val="22"/>
        </w:rPr>
        <w:lastRenderedPageBreak/>
        <w:t>raising questions about whether the sites will tend to enhance access for underserved residents or attract higher proportions of commercial patients.</w:t>
      </w:r>
      <w:r w:rsidRPr="009C0C39">
        <w:rPr>
          <w:rStyle w:val="FootnoteReference"/>
          <w:rFonts w:ascii="Franklin Gothic Book" w:hAnsi="Franklin Gothic Book" w:cs="Times New Roman"/>
          <w:sz w:val="22"/>
          <w:szCs w:val="22"/>
        </w:rPr>
        <w:footnoteReference w:id="154"/>
      </w:r>
      <w:r w:rsidRPr="009C0C39">
        <w:rPr>
          <w:rFonts w:ascii="Franklin Gothic Book" w:hAnsi="Franklin Gothic Book" w:cs="Times New Roman"/>
          <w:sz w:val="22"/>
          <w:szCs w:val="22"/>
          <w:vertAlign w:val="superscript"/>
        </w:rPr>
        <w:t>,</w:t>
      </w:r>
      <w:r w:rsidR="009023FA" w:rsidRPr="009C0C39">
        <w:rPr>
          <w:rFonts w:ascii="Franklin Gothic Book" w:hAnsi="Franklin Gothic Book" w:cs="Times New Roman"/>
          <w:sz w:val="22"/>
          <w:szCs w:val="22"/>
          <w:vertAlign w:val="superscript"/>
        </w:rPr>
        <w:t xml:space="preserve"> </w:t>
      </w:r>
      <w:r w:rsidRPr="009C0C39">
        <w:rPr>
          <w:rFonts w:ascii="Franklin Gothic Book" w:hAnsi="Franklin Gothic Book" w:cs="Times New Roman"/>
          <w:sz w:val="22"/>
          <w:szCs w:val="22"/>
          <w:vertAlign w:val="superscript"/>
        </w:rPr>
        <w:footnoteReference w:id="155"/>
      </w:r>
    </w:p>
    <w:p w14:paraId="0466027E" w14:textId="690A82EA" w:rsidR="003C3793" w:rsidRPr="009C0C39" w:rsidRDefault="003C3793" w:rsidP="002907A7">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MGB has stated in its application that “the Proposed Project will increase access to the clinical services for all of the applicant’s patients and will not discriminate based on ability to pay or payer source</w:t>
      </w:r>
      <w:r w:rsidR="008840D4" w:rsidRPr="009C0C39">
        <w:rPr>
          <w:rFonts w:ascii="Franklin Gothic Book" w:hAnsi="Franklin Gothic Book" w:cs="Times New Roman"/>
          <w:sz w:val="22"/>
          <w:szCs w:val="22"/>
        </w:rPr>
        <w:t>[.]</w:t>
      </w:r>
      <w:r w:rsidRPr="009C0C39">
        <w:rPr>
          <w:rFonts w:ascii="Franklin Gothic Book" w:hAnsi="Franklin Gothic Book" w:cs="Times New Roman"/>
          <w:sz w:val="22"/>
          <w:szCs w:val="22"/>
        </w:rPr>
        <w:t>”</w:t>
      </w:r>
      <w:r w:rsidRPr="009C0C39">
        <w:rPr>
          <w:rFonts w:ascii="Franklin Gothic Book" w:hAnsi="Franklin Gothic Book" w:cs="Times New Roman"/>
          <w:sz w:val="22"/>
          <w:szCs w:val="22"/>
          <w:vertAlign w:val="superscript"/>
        </w:rPr>
        <w:footnoteReference w:id="156"/>
      </w:r>
      <w:r w:rsidRPr="009C0C39">
        <w:rPr>
          <w:rFonts w:ascii="Franklin Gothic Book" w:hAnsi="Franklin Gothic Book" w:cs="Times New Roman"/>
          <w:sz w:val="22"/>
          <w:szCs w:val="22"/>
        </w:rPr>
        <w:t xml:space="preserve"> However, in other contexts, MGB has stated a goal of attracting commercial patients in connection with its ambulatory expansion plans.</w:t>
      </w:r>
      <w:r w:rsidRPr="009C0C39">
        <w:rPr>
          <w:rStyle w:val="FootnoteReference"/>
          <w:rFonts w:ascii="Franklin Gothic Book" w:hAnsi="Franklin Gothic Book" w:cs="Times New Roman"/>
          <w:sz w:val="22"/>
          <w:szCs w:val="22"/>
        </w:rPr>
        <w:footnoteReference w:id="157"/>
      </w:r>
      <w:r w:rsidRPr="009C0C39">
        <w:rPr>
          <w:rFonts w:ascii="Franklin Gothic Book" w:hAnsi="Franklin Gothic Book" w:cs="Times New Roman"/>
          <w:sz w:val="22"/>
          <w:szCs w:val="22"/>
        </w:rPr>
        <w:t xml:space="preserve"> Given this expectation, the characteristics of the communities in which MGB proposes to construct the sites, and the lack of explicit plans to attract traditionally underserved patients, the </w:t>
      </w:r>
      <w:r w:rsidR="00B65555" w:rsidRPr="009C0C39">
        <w:rPr>
          <w:rFonts w:ascii="Franklin Gothic Book" w:hAnsi="Franklin Gothic Book" w:cs="Times New Roman"/>
          <w:sz w:val="22"/>
          <w:szCs w:val="22"/>
        </w:rPr>
        <w:t>a</w:t>
      </w:r>
      <w:r w:rsidRPr="009C0C39">
        <w:rPr>
          <w:rFonts w:ascii="Franklin Gothic Book" w:hAnsi="Franklin Gothic Book" w:cs="Times New Roman"/>
          <w:sz w:val="22"/>
          <w:szCs w:val="22"/>
        </w:rPr>
        <w:t xml:space="preserve">mbulatory </w:t>
      </w:r>
      <w:r w:rsidR="00B65555" w:rsidRPr="009C0C39">
        <w:rPr>
          <w:rFonts w:ascii="Franklin Gothic Book" w:hAnsi="Franklin Gothic Book" w:cs="Times New Roman"/>
          <w:sz w:val="22"/>
          <w:szCs w:val="22"/>
        </w:rPr>
        <w:t>e</w:t>
      </w:r>
      <w:r w:rsidRPr="009C0C39">
        <w:rPr>
          <w:rFonts w:ascii="Franklin Gothic Book" w:hAnsi="Franklin Gothic Book" w:cs="Times New Roman"/>
          <w:sz w:val="22"/>
          <w:szCs w:val="22"/>
        </w:rPr>
        <w:t xml:space="preserve">xpansion appears likely to reinforce MGB’s current patient mix. </w:t>
      </w:r>
      <w:r w:rsidR="002907A7">
        <w:rPr>
          <w:rFonts w:ascii="Franklin Gothic Book" w:hAnsi="Franklin Gothic Book" w:cs="Times New Roman"/>
          <w:sz w:val="22"/>
          <w:szCs w:val="22"/>
        </w:rPr>
        <w:br/>
      </w:r>
    </w:p>
    <w:p w14:paraId="587A53E5" w14:textId="77777777" w:rsidR="003C3793" w:rsidRPr="009C0C39" w:rsidRDefault="003C3793" w:rsidP="009257C1">
      <w:pPr>
        <w:pStyle w:val="ListParagraph"/>
        <w:numPr>
          <w:ilvl w:val="0"/>
          <w:numId w:val="11"/>
        </w:numPr>
        <w:rPr>
          <w:rFonts w:ascii="Franklin Gothic Book" w:hAnsi="Franklin Gothic Book" w:cs="Times New Roman"/>
          <w:b/>
          <w:bCs/>
          <w:sz w:val="22"/>
          <w:szCs w:val="22"/>
        </w:rPr>
      </w:pPr>
      <w:r w:rsidRPr="009C0C39">
        <w:rPr>
          <w:rFonts w:ascii="Franklin Gothic Book" w:hAnsi="Franklin Gothic Book" w:cs="Times New Roman"/>
          <w:b/>
          <w:bCs/>
          <w:sz w:val="22"/>
          <w:szCs w:val="22"/>
        </w:rPr>
        <w:t>MGB will need substantial new staff for proposed new capacity, which could result both in increased staffing costs for some providers and staff being recruited away from others, particularly those providers with more limited financial resources.</w:t>
      </w:r>
    </w:p>
    <w:p w14:paraId="67F153E7" w14:textId="7B10FA8F" w:rsidR="003C3793" w:rsidRPr="009C0C39" w:rsidRDefault="003C3793" w:rsidP="005448AB">
      <w:pPr>
        <w:spacing w:before="240"/>
        <w:ind w:firstLine="720"/>
        <w:rPr>
          <w:rFonts w:ascii="Franklin Gothic Book" w:eastAsia="Calibri" w:hAnsi="Franklin Gothic Book" w:cs="Times New Roman"/>
          <w:sz w:val="22"/>
          <w:szCs w:val="22"/>
        </w:rPr>
      </w:pPr>
      <w:r w:rsidRPr="009C0C39">
        <w:rPr>
          <w:rFonts w:ascii="Franklin Gothic Book" w:eastAsia="Calibri" w:hAnsi="Franklin Gothic Book" w:cs="Times New Roman"/>
          <w:sz w:val="22"/>
          <w:szCs w:val="22"/>
        </w:rPr>
        <w:t xml:space="preserve">While MGB provides almost no information about the number of staff that would be needed for new capacity in its DoN applications, the scale of new capacity proposed by MGB across the three proposed expansions, including a 7% </w:t>
      </w:r>
      <w:r w:rsidR="00DA12B4" w:rsidRPr="009C0C39">
        <w:rPr>
          <w:rFonts w:ascii="Franklin Gothic Book" w:eastAsia="Calibri" w:hAnsi="Franklin Gothic Book" w:cs="Times New Roman"/>
          <w:sz w:val="22"/>
          <w:szCs w:val="22"/>
        </w:rPr>
        <w:t>to</w:t>
      </w:r>
      <w:r w:rsidRPr="009C0C39">
        <w:rPr>
          <w:rFonts w:ascii="Franklin Gothic Book" w:eastAsia="Calibri" w:hAnsi="Franklin Gothic Book" w:cs="Times New Roman"/>
          <w:sz w:val="22"/>
          <w:szCs w:val="22"/>
        </w:rPr>
        <w:t xml:space="preserve"> 8% increase in MGB system-wide inpatient capacity, 12 new ambulatory operating rooms, 17 new advanced imaging units, and new cardiology procedure and oncology care capacity, would require substantial new clinical and support staff. These staffing needs would likely require MGB to hire staff currently working for other provider organizations and </w:t>
      </w:r>
      <w:r w:rsidR="00DA12B4" w:rsidRPr="009C0C39">
        <w:rPr>
          <w:rFonts w:ascii="Franklin Gothic Book" w:eastAsia="Calibri" w:hAnsi="Franklin Gothic Book" w:cs="Times New Roman"/>
          <w:sz w:val="22"/>
          <w:szCs w:val="22"/>
        </w:rPr>
        <w:t xml:space="preserve">to </w:t>
      </w:r>
      <w:r w:rsidRPr="009C0C39">
        <w:rPr>
          <w:rFonts w:ascii="Franklin Gothic Book" w:eastAsia="Calibri" w:hAnsi="Franklin Gothic Book" w:cs="Times New Roman"/>
          <w:sz w:val="22"/>
          <w:szCs w:val="22"/>
        </w:rPr>
        <w:t>compete aggressively for new health care workers entering the workforce, potentially driving up labor costs for other providers with fewer financial resources.</w:t>
      </w:r>
    </w:p>
    <w:p w14:paraId="302CAB59" w14:textId="4439E852" w:rsidR="003C3793" w:rsidRPr="009C0C39" w:rsidRDefault="003C3793" w:rsidP="005448AB">
      <w:pPr>
        <w:spacing w:before="240"/>
        <w:ind w:firstLine="720"/>
        <w:rPr>
          <w:rFonts w:ascii="Franklin Gothic Book" w:eastAsia="Calibri" w:hAnsi="Franklin Gothic Book" w:cs="Times New Roman"/>
          <w:sz w:val="22"/>
          <w:szCs w:val="22"/>
        </w:rPr>
      </w:pPr>
      <w:r w:rsidRPr="009C0C39">
        <w:rPr>
          <w:rFonts w:ascii="Franklin Gothic Book" w:eastAsia="Calibri" w:hAnsi="Franklin Gothic Book" w:cs="Times New Roman"/>
          <w:sz w:val="22"/>
          <w:szCs w:val="22"/>
        </w:rPr>
        <w:t>The market for health care workers in Massachusetts has been highly competitive for years, with recent reports identifying a growing deficit in nurses and non-clinical health care workers in Massachusetts.</w:t>
      </w:r>
      <w:r w:rsidRPr="009C0C39">
        <w:rPr>
          <w:rFonts w:ascii="Franklin Gothic Book" w:eastAsia="Calibri" w:hAnsi="Franklin Gothic Book" w:cs="Times New Roman"/>
          <w:sz w:val="22"/>
          <w:szCs w:val="22"/>
          <w:vertAlign w:val="superscript"/>
        </w:rPr>
        <w:footnoteReference w:id="158"/>
      </w:r>
      <w:r w:rsidRPr="009C0C39">
        <w:rPr>
          <w:rFonts w:ascii="Franklin Gothic Book" w:eastAsia="Calibri" w:hAnsi="Franklin Gothic Book" w:cs="Times New Roman"/>
          <w:sz w:val="22"/>
          <w:szCs w:val="22"/>
          <w:vertAlign w:val="superscript"/>
        </w:rPr>
        <w:t xml:space="preserve"> </w:t>
      </w:r>
      <w:r w:rsidRPr="009C0C39">
        <w:rPr>
          <w:rFonts w:ascii="Franklin Gothic Book" w:eastAsia="Calibri" w:hAnsi="Franklin Gothic Book" w:cs="Times New Roman"/>
          <w:sz w:val="22"/>
          <w:szCs w:val="22"/>
        </w:rPr>
        <w:t xml:space="preserve">As widely reported, the COVID-19 pandemic </w:t>
      </w:r>
      <w:r w:rsidR="00F54A81">
        <w:rPr>
          <w:rFonts w:ascii="Franklin Gothic Book" w:eastAsia="Calibri" w:hAnsi="Franklin Gothic Book" w:cs="Times New Roman"/>
          <w:sz w:val="22"/>
          <w:szCs w:val="22"/>
        </w:rPr>
        <w:t xml:space="preserve">has </w:t>
      </w:r>
      <w:r w:rsidRPr="009C0C39">
        <w:rPr>
          <w:rFonts w:ascii="Franklin Gothic Book" w:eastAsia="Calibri" w:hAnsi="Franklin Gothic Book" w:cs="Times New Roman"/>
          <w:sz w:val="22"/>
          <w:szCs w:val="22"/>
        </w:rPr>
        <w:t>resulted in unprecedented instability in the Massachusetts health care labor market, which was already facing existing widespread health care staffing shortages.</w:t>
      </w:r>
      <w:r w:rsidRPr="009C0C39">
        <w:rPr>
          <w:rFonts w:ascii="Franklin Gothic Book" w:eastAsia="Calibri" w:hAnsi="Franklin Gothic Book" w:cs="Times New Roman"/>
          <w:sz w:val="22"/>
          <w:szCs w:val="22"/>
          <w:vertAlign w:val="superscript"/>
        </w:rPr>
        <w:footnoteReference w:id="159"/>
      </w:r>
      <w:r w:rsidRPr="009C0C39">
        <w:rPr>
          <w:rFonts w:ascii="Franklin Gothic Book" w:eastAsia="Calibri" w:hAnsi="Franklin Gothic Book" w:cs="Times New Roman"/>
          <w:sz w:val="22"/>
          <w:szCs w:val="22"/>
        </w:rPr>
        <w:t xml:space="preserve"> </w:t>
      </w:r>
      <w:r w:rsidR="00D27B6F" w:rsidRPr="009C0C39">
        <w:rPr>
          <w:rFonts w:ascii="Franklin Gothic Book" w:eastAsia="Calibri" w:hAnsi="Franklin Gothic Book" w:cs="Times New Roman"/>
          <w:sz w:val="22"/>
          <w:szCs w:val="22"/>
        </w:rPr>
        <w:t>Critical staffing s</w:t>
      </w:r>
      <w:r w:rsidRPr="009C0C39">
        <w:rPr>
          <w:rFonts w:ascii="Franklin Gothic Book" w:eastAsia="Calibri" w:hAnsi="Franklin Gothic Book" w:cs="Times New Roman"/>
          <w:sz w:val="22"/>
          <w:szCs w:val="22"/>
        </w:rPr>
        <w:t>hortages</w:t>
      </w:r>
      <w:r w:rsidR="00D27B6F" w:rsidRPr="009C0C39">
        <w:rPr>
          <w:rFonts w:ascii="Franklin Gothic Book" w:eastAsia="Calibri" w:hAnsi="Franklin Gothic Book" w:cs="Times New Roman"/>
          <w:sz w:val="22"/>
          <w:szCs w:val="22"/>
        </w:rPr>
        <w:t xml:space="preserve">, e.g. for </w:t>
      </w:r>
      <w:r w:rsidR="00E6467E" w:rsidRPr="009C0C39">
        <w:rPr>
          <w:rFonts w:ascii="Franklin Gothic Book" w:eastAsia="Calibri" w:hAnsi="Franklin Gothic Book" w:cs="Times New Roman"/>
          <w:sz w:val="22"/>
          <w:szCs w:val="22"/>
        </w:rPr>
        <w:t xml:space="preserve">nurses and other </w:t>
      </w:r>
      <w:r w:rsidR="00E6467E" w:rsidRPr="009C0C39">
        <w:rPr>
          <w:rFonts w:ascii="Franklin Gothic Book" w:eastAsia="Calibri" w:hAnsi="Franklin Gothic Book" w:cs="Times New Roman"/>
          <w:sz w:val="22"/>
          <w:szCs w:val="22"/>
        </w:rPr>
        <w:lastRenderedPageBreak/>
        <w:t>clinical and non-clinical support staff</w:t>
      </w:r>
      <w:r w:rsidR="00D27B6F" w:rsidRPr="009C0C39">
        <w:rPr>
          <w:rFonts w:ascii="Franklin Gothic Book" w:eastAsia="Calibri" w:hAnsi="Franklin Gothic Book" w:cs="Times New Roman"/>
          <w:sz w:val="22"/>
          <w:szCs w:val="22"/>
        </w:rPr>
        <w:t>,</w:t>
      </w:r>
      <w:r w:rsidR="00E6467E" w:rsidRPr="009C0C39">
        <w:rPr>
          <w:rFonts w:ascii="Franklin Gothic Book" w:eastAsia="Calibri" w:hAnsi="Franklin Gothic Book" w:cs="Times New Roman"/>
          <w:sz w:val="22"/>
          <w:szCs w:val="22"/>
        </w:rPr>
        <w:t xml:space="preserve"> </w:t>
      </w:r>
      <w:r w:rsidRPr="009C0C39">
        <w:rPr>
          <w:rFonts w:ascii="Franklin Gothic Book" w:eastAsia="Calibri" w:hAnsi="Franklin Gothic Book" w:cs="Times New Roman"/>
          <w:sz w:val="22"/>
          <w:szCs w:val="22"/>
        </w:rPr>
        <w:t xml:space="preserve">are generally cited as the reason Massachusetts hospitals have temporarily suspended staffing of approximately </w:t>
      </w:r>
      <w:r w:rsidR="00D27B6F" w:rsidRPr="009C0C39">
        <w:rPr>
          <w:rFonts w:ascii="Franklin Gothic Book" w:eastAsia="Calibri" w:hAnsi="Franklin Gothic Book" w:cs="Times New Roman"/>
          <w:sz w:val="22"/>
          <w:szCs w:val="22"/>
        </w:rPr>
        <w:t xml:space="preserve">700 </w:t>
      </w:r>
      <w:r w:rsidRPr="009C0C39">
        <w:rPr>
          <w:rFonts w:ascii="Franklin Gothic Book" w:eastAsia="Calibri" w:hAnsi="Franklin Gothic Book" w:cs="Times New Roman"/>
          <w:sz w:val="22"/>
          <w:szCs w:val="22"/>
        </w:rPr>
        <w:t>beds as compared to the beginning of 2020,</w:t>
      </w:r>
      <w:r w:rsidRPr="009C0C39">
        <w:rPr>
          <w:rStyle w:val="FootnoteReference"/>
          <w:rFonts w:ascii="Franklin Gothic Book" w:eastAsia="Calibri" w:hAnsi="Franklin Gothic Book" w:cs="Times New Roman"/>
          <w:sz w:val="22"/>
          <w:szCs w:val="22"/>
        </w:rPr>
        <w:footnoteReference w:id="160"/>
      </w:r>
      <w:r w:rsidRPr="009C0C39">
        <w:rPr>
          <w:rFonts w:ascii="Franklin Gothic Book" w:eastAsia="Calibri" w:hAnsi="Franklin Gothic Book" w:cs="Times New Roman"/>
          <w:sz w:val="22"/>
          <w:szCs w:val="22"/>
        </w:rPr>
        <w:t xml:space="preserve"> and MGB </w:t>
      </w:r>
      <w:r w:rsidR="00F54A81">
        <w:rPr>
          <w:rFonts w:ascii="Franklin Gothic Book" w:eastAsia="Calibri" w:hAnsi="Franklin Gothic Book" w:cs="Times New Roman"/>
          <w:sz w:val="22"/>
          <w:szCs w:val="22"/>
        </w:rPr>
        <w:t xml:space="preserve">itself </w:t>
      </w:r>
      <w:r w:rsidRPr="009C0C39">
        <w:rPr>
          <w:rFonts w:ascii="Franklin Gothic Book" w:eastAsia="Calibri" w:hAnsi="Franklin Gothic Book" w:cs="Times New Roman"/>
          <w:sz w:val="22"/>
          <w:szCs w:val="22"/>
        </w:rPr>
        <w:t xml:space="preserve">has identified </w:t>
      </w:r>
      <w:r w:rsidR="00B2406A" w:rsidRPr="009C0C39">
        <w:rPr>
          <w:rFonts w:ascii="Franklin Gothic Book" w:eastAsia="Calibri" w:hAnsi="Franklin Gothic Book" w:cs="Times New Roman"/>
          <w:sz w:val="22"/>
          <w:szCs w:val="22"/>
        </w:rPr>
        <w:t xml:space="preserve">staffing </w:t>
      </w:r>
      <w:r w:rsidRPr="009C0C39">
        <w:rPr>
          <w:rFonts w:ascii="Franklin Gothic Book" w:eastAsia="Calibri" w:hAnsi="Franklin Gothic Book" w:cs="Times New Roman"/>
          <w:sz w:val="22"/>
          <w:szCs w:val="22"/>
        </w:rPr>
        <w:t>shortages as a key limitation on hospital capacity.</w:t>
      </w:r>
      <w:r w:rsidRPr="009C0C39">
        <w:rPr>
          <w:rStyle w:val="FootnoteReference"/>
          <w:rFonts w:ascii="Franklin Gothic Book" w:eastAsia="Calibri" w:hAnsi="Franklin Gothic Book" w:cs="Times New Roman"/>
          <w:sz w:val="22"/>
          <w:szCs w:val="22"/>
        </w:rPr>
        <w:footnoteReference w:id="161"/>
      </w:r>
      <w:r w:rsidRPr="009C0C39">
        <w:rPr>
          <w:rFonts w:ascii="Franklin Gothic Book" w:eastAsia="Calibri" w:hAnsi="Franklin Gothic Book" w:cs="Times New Roman"/>
          <w:sz w:val="22"/>
          <w:szCs w:val="22"/>
        </w:rPr>
        <w:t xml:space="preserve"> Although the Ambulatory ICA references some projections of surpluses of healthcare workers in Massachusetts, many of these projections predate the pandemic.</w:t>
      </w:r>
    </w:p>
    <w:p w14:paraId="1B362E94" w14:textId="221E32CF" w:rsidR="005448AB" w:rsidRPr="00596176" w:rsidRDefault="003C3793" w:rsidP="00596176">
      <w:pPr>
        <w:spacing w:before="240"/>
        <w:rPr>
          <w:rFonts w:ascii="Franklin Gothic Book" w:eastAsia="Calibri" w:hAnsi="Franklin Gothic Book" w:cs="Times New Roman"/>
          <w:sz w:val="22"/>
          <w:szCs w:val="22"/>
        </w:rPr>
        <w:sectPr w:rsidR="005448AB" w:rsidRPr="00596176" w:rsidSect="006523AB">
          <w:pgSz w:w="12240" w:h="15840"/>
          <w:pgMar w:top="1440" w:right="1440" w:bottom="1008" w:left="1440" w:header="720" w:footer="720" w:gutter="0"/>
          <w:cols w:space="720"/>
          <w:docGrid w:linePitch="360"/>
        </w:sectPr>
      </w:pPr>
      <w:r w:rsidRPr="009C0C39">
        <w:rPr>
          <w:rFonts w:ascii="Franklin Gothic Book" w:eastAsia="Calibri" w:hAnsi="Franklin Gothic Book" w:cs="Times New Roman"/>
          <w:sz w:val="22"/>
          <w:szCs w:val="22"/>
        </w:rPr>
        <w:tab/>
        <w:t xml:space="preserve">MGB provided staffing projections for the </w:t>
      </w:r>
      <w:r w:rsidR="00B65555" w:rsidRPr="009C0C39">
        <w:rPr>
          <w:rFonts w:ascii="Franklin Gothic Book" w:eastAsia="Calibri" w:hAnsi="Franklin Gothic Book" w:cs="Times New Roman"/>
          <w:sz w:val="22"/>
          <w:szCs w:val="22"/>
        </w:rPr>
        <w:t>a</w:t>
      </w:r>
      <w:r w:rsidRPr="009C0C39">
        <w:rPr>
          <w:rFonts w:ascii="Franklin Gothic Book" w:eastAsia="Calibri" w:hAnsi="Franklin Gothic Book" w:cs="Times New Roman"/>
          <w:sz w:val="22"/>
          <w:szCs w:val="22"/>
        </w:rPr>
        <w:t xml:space="preserve">mbulatory </w:t>
      </w:r>
      <w:r w:rsidR="00B65555" w:rsidRPr="009C0C39">
        <w:rPr>
          <w:rFonts w:ascii="Franklin Gothic Book" w:eastAsia="Calibri" w:hAnsi="Franklin Gothic Book" w:cs="Times New Roman"/>
          <w:sz w:val="22"/>
          <w:szCs w:val="22"/>
        </w:rPr>
        <w:t>e</w:t>
      </w:r>
      <w:r w:rsidRPr="009C0C39">
        <w:rPr>
          <w:rFonts w:ascii="Franklin Gothic Book" w:eastAsia="Calibri" w:hAnsi="Franklin Gothic Book" w:cs="Times New Roman"/>
          <w:sz w:val="22"/>
          <w:szCs w:val="22"/>
        </w:rPr>
        <w:t xml:space="preserve">xpansion to </w:t>
      </w:r>
      <w:r w:rsidR="00B2406A" w:rsidRPr="009C0C39">
        <w:rPr>
          <w:rFonts w:ascii="Franklin Gothic Book" w:eastAsia="Calibri" w:hAnsi="Franklin Gothic Book" w:cs="Times New Roman"/>
          <w:sz w:val="22"/>
          <w:szCs w:val="22"/>
        </w:rPr>
        <w:t>the firm conducting the ICAs</w:t>
      </w:r>
      <w:r w:rsidRPr="009C0C39">
        <w:rPr>
          <w:rFonts w:ascii="Franklin Gothic Book" w:eastAsia="Calibri" w:hAnsi="Franklin Gothic Book" w:cs="Times New Roman"/>
          <w:sz w:val="22"/>
          <w:szCs w:val="22"/>
        </w:rPr>
        <w:t xml:space="preserve"> for use in the Ambulatory ICA,</w:t>
      </w:r>
      <w:r w:rsidRPr="009C0C39">
        <w:rPr>
          <w:rStyle w:val="FootnoteReference"/>
          <w:rFonts w:ascii="Franklin Gothic Book" w:eastAsia="Calibri" w:hAnsi="Franklin Gothic Book" w:cs="Times New Roman"/>
          <w:sz w:val="22"/>
          <w:szCs w:val="22"/>
        </w:rPr>
        <w:footnoteReference w:id="162"/>
      </w:r>
      <w:r w:rsidRPr="009C0C39">
        <w:rPr>
          <w:rFonts w:ascii="Franklin Gothic Book" w:eastAsia="Calibri" w:hAnsi="Franklin Gothic Book" w:cs="Times New Roman"/>
          <w:sz w:val="22"/>
          <w:szCs w:val="22"/>
        </w:rPr>
        <w:t xml:space="preserve"> but has not provided staffing estimates for the proposed hospital expansions. Given the additional staffing needs for the hospital expansions, the ICA</w:t>
      </w:r>
      <w:r w:rsidR="00DA12B4" w:rsidRPr="009C0C39">
        <w:rPr>
          <w:rFonts w:ascii="Franklin Gothic Book" w:eastAsia="Calibri" w:hAnsi="Franklin Gothic Book" w:cs="Times New Roman"/>
          <w:sz w:val="22"/>
          <w:szCs w:val="22"/>
        </w:rPr>
        <w:t>s</w:t>
      </w:r>
      <w:r w:rsidRPr="009C0C39">
        <w:rPr>
          <w:rFonts w:ascii="Franklin Gothic Book" w:eastAsia="Calibri" w:hAnsi="Franklin Gothic Book" w:cs="Times New Roman"/>
          <w:sz w:val="22"/>
          <w:szCs w:val="22"/>
        </w:rPr>
        <w:t xml:space="preserve"> understate the potential impact of the projects on the health care labor market.</w:t>
      </w:r>
      <w:r w:rsidRPr="009C0C39">
        <w:rPr>
          <w:rStyle w:val="FootnoteReference"/>
          <w:rFonts w:ascii="Franklin Gothic Book" w:eastAsia="Calibri" w:hAnsi="Franklin Gothic Book" w:cs="Times New Roman"/>
          <w:sz w:val="22"/>
          <w:szCs w:val="22"/>
        </w:rPr>
        <w:footnoteReference w:id="163"/>
      </w:r>
      <w:r w:rsidRPr="009C0C39">
        <w:rPr>
          <w:rFonts w:ascii="Franklin Gothic Book" w:eastAsia="Calibri" w:hAnsi="Franklin Gothic Book" w:cs="Times New Roman"/>
          <w:sz w:val="22"/>
          <w:szCs w:val="22"/>
        </w:rPr>
        <w:t xml:space="preserve"> It also does not account for the possibility that even small percentage shifts may have significant </w:t>
      </w:r>
      <w:r w:rsidR="00F54A81">
        <w:rPr>
          <w:rFonts w:ascii="Franklin Gothic Book" w:eastAsia="Calibri" w:hAnsi="Franklin Gothic Book" w:cs="Times New Roman"/>
          <w:sz w:val="22"/>
          <w:szCs w:val="22"/>
        </w:rPr>
        <w:t>effects</w:t>
      </w:r>
      <w:r w:rsidR="00F54A81" w:rsidRPr="009C0C39">
        <w:rPr>
          <w:rFonts w:ascii="Franklin Gothic Book" w:eastAsia="Calibri" w:hAnsi="Franklin Gothic Book" w:cs="Times New Roman"/>
          <w:sz w:val="22"/>
          <w:szCs w:val="22"/>
        </w:rPr>
        <w:t xml:space="preserve"> </w:t>
      </w:r>
      <w:r w:rsidR="009A121C" w:rsidRPr="009C0C39">
        <w:rPr>
          <w:rFonts w:ascii="Franklin Gothic Book" w:eastAsia="Calibri" w:hAnsi="Franklin Gothic Book" w:cs="Times New Roman"/>
          <w:sz w:val="22"/>
          <w:szCs w:val="22"/>
        </w:rPr>
        <w:t>given</w:t>
      </w:r>
      <w:r w:rsidRPr="009C0C39">
        <w:rPr>
          <w:rFonts w:ascii="Franklin Gothic Book" w:eastAsia="Calibri" w:hAnsi="Franklin Gothic Book" w:cs="Times New Roman"/>
          <w:sz w:val="22"/>
          <w:szCs w:val="22"/>
        </w:rPr>
        <w:t xml:space="preserve"> current </w:t>
      </w:r>
      <w:r w:rsidR="009A121C" w:rsidRPr="009C0C39">
        <w:rPr>
          <w:rFonts w:ascii="Franklin Gothic Book" w:eastAsia="Calibri" w:hAnsi="Franklin Gothic Book" w:cs="Times New Roman"/>
          <w:sz w:val="22"/>
          <w:szCs w:val="22"/>
        </w:rPr>
        <w:t xml:space="preserve">strains on </w:t>
      </w:r>
      <w:r w:rsidRPr="009C0C39">
        <w:rPr>
          <w:rFonts w:ascii="Franklin Gothic Book" w:eastAsia="Calibri" w:hAnsi="Franklin Gothic Book" w:cs="Times New Roman"/>
          <w:sz w:val="22"/>
          <w:szCs w:val="22"/>
        </w:rPr>
        <w:t>health care labor market in the Commonwealth.</w:t>
      </w:r>
      <w:r w:rsidRPr="009C0C39">
        <w:rPr>
          <w:rStyle w:val="FootnoteReference"/>
          <w:rFonts w:ascii="Franklin Gothic Book" w:eastAsia="Calibri" w:hAnsi="Franklin Gothic Book" w:cs="Times New Roman"/>
          <w:sz w:val="22"/>
          <w:szCs w:val="22"/>
        </w:rPr>
        <w:footnoteReference w:id="164"/>
      </w:r>
      <w:r w:rsidRPr="009C0C39">
        <w:rPr>
          <w:rFonts w:ascii="Franklin Gothic Book" w:eastAsia="Calibri" w:hAnsi="Franklin Gothic Book" w:cs="Times New Roman"/>
          <w:sz w:val="22"/>
          <w:szCs w:val="22"/>
        </w:rPr>
        <w:t xml:space="preserve"> MGB’s efforts to staff its new capacity may result in further disruption of other providers, particularly </w:t>
      </w:r>
      <w:r w:rsidR="00B2406A" w:rsidRPr="009C0C39">
        <w:rPr>
          <w:rFonts w:ascii="Franklin Gothic Book" w:eastAsia="Calibri" w:hAnsi="Franklin Gothic Book" w:cs="Times New Roman"/>
          <w:sz w:val="22"/>
          <w:szCs w:val="22"/>
        </w:rPr>
        <w:t xml:space="preserve">for </w:t>
      </w:r>
      <w:r w:rsidRPr="009C0C39">
        <w:rPr>
          <w:rFonts w:ascii="Franklin Gothic Book" w:eastAsia="Calibri" w:hAnsi="Franklin Gothic Book" w:cs="Times New Roman"/>
          <w:sz w:val="22"/>
          <w:szCs w:val="22"/>
        </w:rPr>
        <w:t>those with fewer financial resources to retain current staff or compete for new workers. As discussed above, this too would likely represent a shift of resources away from providers that, in general, have lower prices for commercial patients</w:t>
      </w:r>
      <w:r w:rsidR="00B2406A" w:rsidRPr="009C0C39">
        <w:rPr>
          <w:rFonts w:ascii="Franklin Gothic Book" w:eastAsia="Calibri" w:hAnsi="Franklin Gothic Book" w:cs="Times New Roman"/>
          <w:sz w:val="22"/>
          <w:szCs w:val="22"/>
        </w:rPr>
        <w:t xml:space="preserve">, </w:t>
      </w:r>
      <w:r w:rsidRPr="009C0C39">
        <w:rPr>
          <w:rFonts w:ascii="Franklin Gothic Book" w:eastAsia="Calibri" w:hAnsi="Franklin Gothic Book" w:cs="Times New Roman"/>
          <w:sz w:val="22"/>
          <w:szCs w:val="22"/>
        </w:rPr>
        <w:t xml:space="preserve">larger proportions </w:t>
      </w:r>
      <w:r w:rsidR="00B2406A" w:rsidRPr="009C0C39">
        <w:rPr>
          <w:rFonts w:ascii="Franklin Gothic Book" w:eastAsia="Calibri" w:hAnsi="Franklin Gothic Book" w:cs="Times New Roman"/>
          <w:sz w:val="22"/>
          <w:szCs w:val="22"/>
        </w:rPr>
        <w:t>of public payer patients, and serve communities with higher indicia of social need</w:t>
      </w:r>
      <w:r w:rsidRPr="009C0C39">
        <w:rPr>
          <w:rFonts w:ascii="Franklin Gothic Book" w:eastAsia="Calibri" w:hAnsi="Franklin Gothic Book" w:cs="Times New Roman"/>
          <w:sz w:val="22"/>
          <w:szCs w:val="22"/>
        </w:rPr>
        <w:t xml:space="preserve">. </w:t>
      </w:r>
    </w:p>
    <w:p w14:paraId="458B3364" w14:textId="551B26CE" w:rsidR="00BF6C05" w:rsidRPr="009C0C39" w:rsidRDefault="00BF6C05" w:rsidP="00596176">
      <w:pPr>
        <w:pStyle w:val="Heading1"/>
        <w:rPr>
          <w:sz w:val="22"/>
          <w:szCs w:val="22"/>
        </w:rPr>
      </w:pPr>
      <w:r w:rsidRPr="009C0C39">
        <w:lastRenderedPageBreak/>
        <w:t>Conclusion</w:t>
      </w:r>
    </w:p>
    <w:p w14:paraId="1C7E5D98" w14:textId="77777777" w:rsidR="00311AD6" w:rsidRPr="009C0C39" w:rsidRDefault="00311AD6" w:rsidP="00311AD6">
      <w:pPr>
        <w:ind w:firstLine="720"/>
        <w:rPr>
          <w:rFonts w:ascii="Franklin Gothic Book" w:hAnsi="Franklin Gothic Book"/>
          <w:sz w:val="22"/>
          <w:szCs w:val="22"/>
        </w:rPr>
      </w:pPr>
    </w:p>
    <w:p w14:paraId="15E6C861" w14:textId="29C5D051" w:rsidR="000C58E6" w:rsidRPr="009C0C39" w:rsidRDefault="000C58E6" w:rsidP="000C58E6">
      <w:pPr>
        <w:ind w:firstLine="720"/>
        <w:rPr>
          <w:rFonts w:ascii="Franklin Gothic Book" w:hAnsi="Franklin Gothic Book"/>
          <w:sz w:val="22"/>
          <w:szCs w:val="22"/>
        </w:rPr>
      </w:pPr>
      <w:r w:rsidRPr="009C0C39">
        <w:rPr>
          <w:rFonts w:ascii="Franklin Gothic Book" w:hAnsi="Franklin Gothic Book" w:cs="Times New Roman"/>
          <w:sz w:val="22"/>
          <w:szCs w:val="22"/>
        </w:rPr>
        <w:t xml:space="preserve">In sum, </w:t>
      </w:r>
      <w:r w:rsidR="005D6614">
        <w:rPr>
          <w:rFonts w:ascii="Franklin Gothic Book" w:hAnsi="Franklin Gothic Book" w:cs="Times New Roman"/>
          <w:sz w:val="22"/>
          <w:szCs w:val="22"/>
        </w:rPr>
        <w:t xml:space="preserve">the HPC’s </w:t>
      </w:r>
      <w:r w:rsidR="00E33735" w:rsidRPr="009C0C39">
        <w:rPr>
          <w:rFonts w:ascii="Franklin Gothic Book" w:hAnsi="Franklin Gothic Book" w:cs="Times New Roman"/>
          <w:sz w:val="22"/>
          <w:szCs w:val="22"/>
        </w:rPr>
        <w:t>analyses show that these proposals are likely to drive substantial patient volume and revenue to the higher-cost MGB system—particularly commercially</w:t>
      </w:r>
      <w:r w:rsidR="00CF224F" w:rsidRPr="009C0C39">
        <w:rPr>
          <w:rFonts w:ascii="Franklin Gothic Book" w:hAnsi="Franklin Gothic Book" w:cs="Times New Roman"/>
          <w:sz w:val="22"/>
          <w:szCs w:val="22"/>
        </w:rPr>
        <w:t xml:space="preserve"> </w:t>
      </w:r>
      <w:r w:rsidR="00E33735" w:rsidRPr="009C0C39">
        <w:rPr>
          <w:rFonts w:ascii="Franklin Gothic Book" w:hAnsi="Franklin Gothic Book" w:cs="Times New Roman"/>
          <w:sz w:val="22"/>
          <w:szCs w:val="22"/>
        </w:rPr>
        <w:t xml:space="preserve">insured volume—resulting in increased health care spending, increased commercial insurance premiums, and a negative impact on health care market functioning, including access and equity. Based on conservative projections for the subset of potential spending drivers that the HPC was able to quantify with available data and information, the projects are likely to increase </w:t>
      </w:r>
      <w:r w:rsidR="00E33735" w:rsidRPr="009C0C39">
        <w:rPr>
          <w:rFonts w:ascii="Franklin Gothic Book" w:hAnsi="Franklin Gothic Book" w:cs="Times New Roman"/>
          <w:b/>
          <w:bCs/>
          <w:i/>
          <w:iCs/>
          <w:sz w:val="22"/>
          <w:szCs w:val="22"/>
        </w:rPr>
        <w:t>yearly</w:t>
      </w:r>
      <w:r w:rsidR="00E33735" w:rsidRPr="009C0C39">
        <w:rPr>
          <w:rFonts w:ascii="Franklin Gothic Book" w:hAnsi="Franklin Gothic Book" w:cs="Times New Roman"/>
          <w:sz w:val="22"/>
          <w:szCs w:val="22"/>
        </w:rPr>
        <w:t xml:space="preserve"> commercial health insurance spending in Massachusetts by </w:t>
      </w:r>
      <w:r w:rsidR="00E33735" w:rsidRPr="009C0C39">
        <w:rPr>
          <w:rFonts w:ascii="Franklin Gothic Book" w:hAnsi="Franklin Gothic Book" w:cs="Times New Roman"/>
          <w:b/>
          <w:bCs/>
          <w:sz w:val="22"/>
          <w:szCs w:val="22"/>
        </w:rPr>
        <w:t>$</w:t>
      </w:r>
      <w:r w:rsidR="00AC57C3" w:rsidRPr="009C0C39">
        <w:rPr>
          <w:rFonts w:ascii="Franklin Gothic Book" w:hAnsi="Franklin Gothic Book" w:cs="Times New Roman"/>
          <w:b/>
          <w:bCs/>
          <w:sz w:val="22"/>
          <w:szCs w:val="22"/>
        </w:rPr>
        <w:t>46</w:t>
      </w:r>
      <w:r w:rsidR="009325F2" w:rsidRPr="009C0C39">
        <w:rPr>
          <w:rFonts w:ascii="Franklin Gothic Book" w:hAnsi="Franklin Gothic Book" w:cs="Times New Roman"/>
          <w:b/>
          <w:bCs/>
          <w:sz w:val="22"/>
          <w:szCs w:val="22"/>
        </w:rPr>
        <w:t>.0</w:t>
      </w:r>
      <w:r w:rsidR="00E33735" w:rsidRPr="009C0C39">
        <w:rPr>
          <w:rFonts w:ascii="Franklin Gothic Book" w:hAnsi="Franklin Gothic Book" w:cs="Times New Roman"/>
          <w:b/>
          <w:bCs/>
          <w:sz w:val="22"/>
          <w:szCs w:val="22"/>
        </w:rPr>
        <w:t xml:space="preserve"> million </w:t>
      </w:r>
      <w:r w:rsidR="00E33735" w:rsidRPr="009C0C39">
        <w:rPr>
          <w:rFonts w:ascii="Franklin Gothic Book" w:hAnsi="Franklin Gothic Book" w:cs="Times New Roman"/>
          <w:sz w:val="22"/>
          <w:szCs w:val="22"/>
        </w:rPr>
        <w:t>to</w:t>
      </w:r>
      <w:r w:rsidR="00E33735" w:rsidRPr="009C0C39">
        <w:rPr>
          <w:rFonts w:ascii="Franklin Gothic Book" w:hAnsi="Franklin Gothic Book" w:cs="Times New Roman"/>
          <w:b/>
          <w:bCs/>
          <w:sz w:val="22"/>
          <w:szCs w:val="22"/>
        </w:rPr>
        <w:t xml:space="preserve"> $</w:t>
      </w:r>
      <w:r w:rsidR="00AC57C3" w:rsidRPr="009C0C39">
        <w:rPr>
          <w:rFonts w:ascii="Franklin Gothic Book" w:hAnsi="Franklin Gothic Book" w:cs="Times New Roman"/>
          <w:b/>
          <w:bCs/>
          <w:sz w:val="22"/>
          <w:szCs w:val="22"/>
        </w:rPr>
        <w:t>90.1</w:t>
      </w:r>
      <w:r w:rsidR="00E33735" w:rsidRPr="009C0C39">
        <w:rPr>
          <w:rFonts w:ascii="Franklin Gothic Book" w:hAnsi="Franklin Gothic Book" w:cs="Times New Roman"/>
          <w:sz w:val="22"/>
          <w:szCs w:val="22"/>
        </w:rPr>
        <w:t xml:space="preserve"> </w:t>
      </w:r>
      <w:r w:rsidR="00E33735" w:rsidRPr="009C0C39">
        <w:rPr>
          <w:rFonts w:ascii="Franklin Gothic Book" w:hAnsi="Franklin Gothic Book" w:cs="Times New Roman"/>
          <w:b/>
          <w:bCs/>
          <w:sz w:val="22"/>
          <w:szCs w:val="22"/>
        </w:rPr>
        <w:t>million</w:t>
      </w:r>
      <w:r w:rsidR="00E33735" w:rsidRPr="009C0C39">
        <w:rPr>
          <w:rFonts w:ascii="Franklin Gothic Book" w:hAnsi="Franklin Gothic Book" w:cs="Times New Roman"/>
          <w:sz w:val="22"/>
          <w:szCs w:val="22"/>
        </w:rPr>
        <w:t xml:space="preserve"> in total, with approximately </w:t>
      </w:r>
      <w:r w:rsidR="00E33735" w:rsidRPr="009C0C39">
        <w:rPr>
          <w:rFonts w:ascii="Franklin Gothic Book" w:hAnsi="Franklin Gothic Book" w:cs="Times New Roman"/>
          <w:b/>
          <w:bCs/>
          <w:sz w:val="22"/>
          <w:szCs w:val="22"/>
        </w:rPr>
        <w:t>$</w:t>
      </w:r>
      <w:r w:rsidR="00AC57C3" w:rsidRPr="009C0C39">
        <w:rPr>
          <w:rFonts w:ascii="Franklin Gothic Book" w:hAnsi="Franklin Gothic Book" w:cs="Times New Roman"/>
          <w:b/>
          <w:bCs/>
          <w:sz w:val="22"/>
          <w:szCs w:val="22"/>
        </w:rPr>
        <w:t>9.3</w:t>
      </w:r>
      <w:r w:rsidR="00E33735" w:rsidRPr="009C0C39">
        <w:rPr>
          <w:rFonts w:ascii="Franklin Gothic Book" w:hAnsi="Franklin Gothic Book" w:cs="Times New Roman"/>
          <w:b/>
          <w:bCs/>
          <w:sz w:val="22"/>
          <w:szCs w:val="22"/>
        </w:rPr>
        <w:t xml:space="preserve"> million</w:t>
      </w:r>
      <w:r w:rsidR="00E33735" w:rsidRPr="009C0C39">
        <w:rPr>
          <w:rFonts w:ascii="Franklin Gothic Book" w:hAnsi="Franklin Gothic Book" w:cs="Times New Roman"/>
          <w:sz w:val="22"/>
          <w:szCs w:val="22"/>
        </w:rPr>
        <w:t xml:space="preserve"> to </w:t>
      </w:r>
      <w:r w:rsidR="00E33735" w:rsidRPr="009C0C39">
        <w:rPr>
          <w:rFonts w:ascii="Franklin Gothic Book" w:hAnsi="Franklin Gothic Book" w:cs="Times New Roman"/>
          <w:b/>
          <w:bCs/>
          <w:sz w:val="22"/>
          <w:szCs w:val="22"/>
        </w:rPr>
        <w:t>$</w:t>
      </w:r>
      <w:r w:rsidR="003F0581" w:rsidRPr="009C0C39">
        <w:rPr>
          <w:rFonts w:ascii="Franklin Gothic Book" w:hAnsi="Franklin Gothic Book" w:cs="Times New Roman"/>
          <w:b/>
          <w:bCs/>
          <w:sz w:val="22"/>
          <w:szCs w:val="22"/>
        </w:rPr>
        <w:t>27.</w:t>
      </w:r>
      <w:r w:rsidR="00AC57C3" w:rsidRPr="009C0C39">
        <w:rPr>
          <w:rFonts w:ascii="Franklin Gothic Book" w:hAnsi="Franklin Gothic Book" w:cs="Times New Roman"/>
          <w:b/>
          <w:bCs/>
          <w:sz w:val="22"/>
          <w:szCs w:val="22"/>
        </w:rPr>
        <w:t>9</w:t>
      </w:r>
      <w:r w:rsidR="00E33735" w:rsidRPr="009C0C39">
        <w:rPr>
          <w:rFonts w:ascii="Franklin Gothic Book" w:hAnsi="Franklin Gothic Book" w:cs="Times New Roman"/>
          <w:b/>
          <w:bCs/>
          <w:sz w:val="22"/>
          <w:szCs w:val="22"/>
        </w:rPr>
        <w:t xml:space="preserve"> million</w:t>
      </w:r>
      <w:r w:rsidR="00E33735" w:rsidRPr="009C0C39">
        <w:rPr>
          <w:rStyle w:val="FootnoteReference"/>
          <w:rFonts w:ascii="Franklin Gothic Book" w:hAnsi="Franklin Gothic Book" w:cs="Times New Roman"/>
          <w:sz w:val="22"/>
          <w:szCs w:val="22"/>
        </w:rPr>
        <w:footnoteReference w:id="165"/>
      </w:r>
      <w:r w:rsidR="00E33735" w:rsidRPr="009C0C39">
        <w:rPr>
          <w:rFonts w:ascii="Franklin Gothic Book" w:hAnsi="Franklin Gothic Book" w:cs="Times New Roman"/>
          <w:sz w:val="22"/>
          <w:szCs w:val="22"/>
        </w:rPr>
        <w:t xml:space="preserve"> due to the proposed ambulatory expansion, </w:t>
      </w:r>
      <w:r w:rsidR="00E33735" w:rsidRPr="009C0C39">
        <w:rPr>
          <w:rFonts w:ascii="Franklin Gothic Book" w:hAnsi="Franklin Gothic Book" w:cs="Times New Roman"/>
          <w:b/>
          <w:bCs/>
          <w:sz w:val="22"/>
          <w:szCs w:val="22"/>
        </w:rPr>
        <w:t>$6.4 million</w:t>
      </w:r>
      <w:r w:rsidR="00E33735" w:rsidRPr="009C0C39">
        <w:rPr>
          <w:rFonts w:ascii="Franklin Gothic Book" w:hAnsi="Franklin Gothic Book" w:cs="Times New Roman"/>
          <w:sz w:val="22"/>
          <w:szCs w:val="22"/>
        </w:rPr>
        <w:t xml:space="preserve"> to </w:t>
      </w:r>
      <w:r w:rsidR="00E33735" w:rsidRPr="009C0C39">
        <w:rPr>
          <w:rFonts w:ascii="Franklin Gothic Book" w:hAnsi="Franklin Gothic Book" w:cs="Times New Roman"/>
          <w:b/>
          <w:bCs/>
          <w:sz w:val="22"/>
          <w:szCs w:val="22"/>
        </w:rPr>
        <w:t xml:space="preserve">$7.9 million </w:t>
      </w:r>
      <w:r w:rsidR="00E33735" w:rsidRPr="009C0C39">
        <w:rPr>
          <w:rFonts w:ascii="Franklin Gothic Book" w:hAnsi="Franklin Gothic Book" w:cs="Times New Roman"/>
          <w:sz w:val="22"/>
          <w:szCs w:val="22"/>
        </w:rPr>
        <w:t xml:space="preserve">due to the proposed Faulkner expansion, and </w:t>
      </w:r>
      <w:r w:rsidR="00E33735" w:rsidRPr="009C0C39">
        <w:rPr>
          <w:rFonts w:ascii="Franklin Gothic Book" w:hAnsi="Franklin Gothic Book" w:cs="Times New Roman"/>
          <w:b/>
          <w:bCs/>
          <w:sz w:val="22"/>
          <w:szCs w:val="22"/>
        </w:rPr>
        <w:t xml:space="preserve">$30.3 million </w:t>
      </w:r>
      <w:r w:rsidR="00E33735" w:rsidRPr="009C0C39">
        <w:rPr>
          <w:rFonts w:ascii="Franklin Gothic Book" w:hAnsi="Franklin Gothic Book" w:cs="Times New Roman"/>
          <w:sz w:val="22"/>
          <w:szCs w:val="22"/>
        </w:rPr>
        <w:t>to</w:t>
      </w:r>
      <w:r w:rsidR="00E33735" w:rsidRPr="009C0C39">
        <w:rPr>
          <w:rFonts w:ascii="Franklin Gothic Book" w:hAnsi="Franklin Gothic Book" w:cs="Times New Roman"/>
          <w:b/>
          <w:bCs/>
          <w:sz w:val="22"/>
          <w:szCs w:val="22"/>
        </w:rPr>
        <w:t xml:space="preserve"> $54.4 million</w:t>
      </w:r>
      <w:r w:rsidR="00E33735" w:rsidRPr="009C0C39">
        <w:rPr>
          <w:rFonts w:ascii="Franklin Gothic Book" w:hAnsi="Franklin Gothic Book" w:cs="Times New Roman"/>
          <w:sz w:val="22"/>
          <w:szCs w:val="22"/>
        </w:rPr>
        <w:t xml:space="preserve"> due to the proposed MGH expansion. These projects are also likely to shift substantial commercial revenue to the MGB system and away from other providers in the Commonwealth, with a loss in the range of</w:t>
      </w:r>
      <w:r w:rsidR="00AC57C3" w:rsidRPr="009C0C39">
        <w:rPr>
          <w:rFonts w:ascii="Franklin Gothic Book" w:hAnsi="Franklin Gothic Book" w:cs="Times New Roman"/>
          <w:sz w:val="22"/>
          <w:szCs w:val="22"/>
        </w:rPr>
        <w:t xml:space="preserve"> </w:t>
      </w:r>
      <w:r w:rsidR="00E33735" w:rsidRPr="009C0C39">
        <w:rPr>
          <w:rFonts w:ascii="Franklin Gothic Book" w:hAnsi="Franklin Gothic Book" w:cs="Times New Roman"/>
          <w:b/>
          <w:bCs/>
          <w:sz w:val="22"/>
          <w:szCs w:val="22"/>
        </w:rPr>
        <w:t>$152.9</w:t>
      </w:r>
      <w:r w:rsidR="00E33735" w:rsidRPr="009C0C39">
        <w:rPr>
          <w:rFonts w:ascii="Franklin Gothic Book" w:hAnsi="Franklin Gothic Book" w:cs="Times New Roman"/>
          <w:sz w:val="22"/>
          <w:szCs w:val="22"/>
        </w:rPr>
        <w:t xml:space="preserve"> </w:t>
      </w:r>
      <w:r w:rsidR="00E33735" w:rsidRPr="009C0C39">
        <w:rPr>
          <w:rFonts w:ascii="Franklin Gothic Book" w:hAnsi="Franklin Gothic Book" w:cs="Times New Roman"/>
          <w:b/>
          <w:bCs/>
          <w:sz w:val="22"/>
          <w:szCs w:val="22"/>
        </w:rPr>
        <w:t>million</w:t>
      </w:r>
      <w:r w:rsidR="00E33735" w:rsidRPr="009C0C39">
        <w:rPr>
          <w:rFonts w:ascii="Franklin Gothic Book" w:hAnsi="Franklin Gothic Book" w:cs="Times New Roman"/>
          <w:sz w:val="22"/>
          <w:szCs w:val="22"/>
        </w:rPr>
        <w:t xml:space="preserve"> to </w:t>
      </w:r>
      <w:r w:rsidR="00E33735" w:rsidRPr="009C0C39">
        <w:rPr>
          <w:rFonts w:ascii="Franklin Gothic Book" w:hAnsi="Franklin Gothic Book" w:cs="Times New Roman"/>
          <w:b/>
          <w:bCs/>
          <w:sz w:val="22"/>
          <w:szCs w:val="22"/>
        </w:rPr>
        <w:t>$261.1</w:t>
      </w:r>
      <w:r w:rsidR="00E33735" w:rsidRPr="009C0C39">
        <w:rPr>
          <w:rFonts w:ascii="Franklin Gothic Book" w:hAnsi="Franklin Gothic Book" w:cs="Times New Roman"/>
          <w:sz w:val="22"/>
          <w:szCs w:val="22"/>
        </w:rPr>
        <w:t xml:space="preserve"> </w:t>
      </w:r>
      <w:r w:rsidR="00E33735" w:rsidRPr="009C0C39">
        <w:rPr>
          <w:rFonts w:ascii="Franklin Gothic Book" w:hAnsi="Franklin Gothic Book" w:cs="Times New Roman"/>
          <w:b/>
          <w:bCs/>
          <w:sz w:val="22"/>
          <w:szCs w:val="22"/>
        </w:rPr>
        <w:t>million</w:t>
      </w:r>
      <w:r w:rsidR="00E33735" w:rsidRPr="009C0C39">
        <w:rPr>
          <w:rFonts w:ascii="Franklin Gothic Book" w:hAnsi="Franklin Gothic Book" w:cs="Times New Roman"/>
          <w:sz w:val="22"/>
          <w:szCs w:val="22"/>
        </w:rPr>
        <w:t xml:space="preserve"> in commercial revenue each year for the subset of proposed services that the HPC was able to quantify. These providers </w:t>
      </w:r>
      <w:r w:rsidR="00E33735" w:rsidRPr="009C0C39">
        <w:rPr>
          <w:rFonts w:ascii="Franklin Gothic Book" w:eastAsia="Calibri" w:hAnsi="Franklin Gothic Book" w:cs="Times New Roman"/>
          <w:sz w:val="22"/>
          <w:szCs w:val="22"/>
        </w:rPr>
        <w:t>have fewer financial resources and lower average prices for commercially</w:t>
      </w:r>
      <w:r w:rsidR="00CF224F" w:rsidRPr="009C0C39">
        <w:rPr>
          <w:rFonts w:ascii="Franklin Gothic Book" w:eastAsia="Calibri" w:hAnsi="Franklin Gothic Book" w:cs="Times New Roman"/>
          <w:sz w:val="22"/>
          <w:szCs w:val="22"/>
        </w:rPr>
        <w:t xml:space="preserve"> </w:t>
      </w:r>
      <w:r w:rsidR="00E33735" w:rsidRPr="009C0C39">
        <w:rPr>
          <w:rFonts w:ascii="Franklin Gothic Book" w:eastAsia="Calibri" w:hAnsi="Franklin Gothic Book" w:cs="Times New Roman"/>
          <w:sz w:val="22"/>
          <w:szCs w:val="22"/>
        </w:rPr>
        <w:t>insured patients, and they generally serve larger proportions of MassHealth patients and communities with higher indicia of social need than MGB</w:t>
      </w:r>
      <w:r w:rsidR="00E33735" w:rsidRPr="009C0C39">
        <w:rPr>
          <w:rFonts w:ascii="Franklin Gothic Book" w:hAnsi="Franklin Gothic Book" w:cs="Times New Roman"/>
          <w:sz w:val="22"/>
          <w:szCs w:val="22"/>
        </w:rPr>
        <w:t xml:space="preserve">. </w:t>
      </w:r>
    </w:p>
    <w:p w14:paraId="51A1FABE" w14:textId="77777777" w:rsidR="000C58E6" w:rsidRPr="009C0C39" w:rsidRDefault="000C58E6" w:rsidP="000C58E6">
      <w:pPr>
        <w:ind w:firstLine="720"/>
        <w:rPr>
          <w:rFonts w:ascii="Franklin Gothic Book" w:hAnsi="Franklin Gothic Book" w:cs="Times New Roman"/>
          <w:sz w:val="22"/>
          <w:szCs w:val="22"/>
        </w:rPr>
      </w:pPr>
    </w:p>
    <w:p w14:paraId="70F652FB" w14:textId="77777777" w:rsidR="00D4166A" w:rsidRDefault="00D4166A" w:rsidP="000C58E6">
      <w:pPr>
        <w:ind w:firstLine="720"/>
        <w:rPr>
          <w:rFonts w:ascii="Franklin Gothic Book" w:hAnsi="Franklin Gothic Book" w:cs="Times New Roman"/>
          <w:sz w:val="22"/>
          <w:szCs w:val="22"/>
        </w:rPr>
      </w:pPr>
      <w:r w:rsidRPr="00D4166A">
        <w:rPr>
          <w:rFonts w:ascii="Franklin Gothic Book" w:hAnsi="Franklin Gothic Book" w:cs="Times New Roman"/>
          <w:sz w:val="22"/>
          <w:szCs w:val="22"/>
        </w:rPr>
        <w:t xml:space="preserve">For all of the reasons detailed above, the HPC concludes that the proposed expansions are not consistent with the Commonwealth’s goals for cost containment. </w:t>
      </w:r>
    </w:p>
    <w:p w14:paraId="37E887B8" w14:textId="77777777" w:rsidR="00D4166A" w:rsidRDefault="00D4166A" w:rsidP="000C58E6">
      <w:pPr>
        <w:ind w:firstLine="720"/>
        <w:rPr>
          <w:rFonts w:ascii="Franklin Gothic Book" w:hAnsi="Franklin Gothic Book" w:cs="Times New Roman"/>
          <w:sz w:val="22"/>
          <w:szCs w:val="22"/>
        </w:rPr>
      </w:pPr>
    </w:p>
    <w:p w14:paraId="49337BE4" w14:textId="27B18BB9" w:rsidR="00311AD6" w:rsidRPr="009C0C39" w:rsidRDefault="000C58E6" w:rsidP="00835D3E">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We hope that this comment provides important and relevant factual context for the consideration of DPH and Mass General Brigham in this process.</w:t>
      </w:r>
      <w:r w:rsidR="00835D3E" w:rsidRPr="009C0C39">
        <w:rPr>
          <w:rFonts w:ascii="Franklin Gothic Book" w:hAnsi="Franklin Gothic Book" w:cs="Times New Roman"/>
          <w:sz w:val="22"/>
          <w:szCs w:val="22"/>
        </w:rPr>
        <w:t xml:space="preserve"> </w:t>
      </w:r>
    </w:p>
    <w:p w14:paraId="1E3C638C" w14:textId="41582DD4" w:rsidR="0083705D" w:rsidRPr="009C0C39" w:rsidRDefault="00FD6060" w:rsidP="00FD6060">
      <w:pPr>
        <w:rPr>
          <w:rFonts w:ascii="Franklin Gothic Book" w:hAnsi="Franklin Gothic Book" w:cs="Times New Roman"/>
          <w:b/>
          <w:bCs/>
          <w:sz w:val="22"/>
          <w:szCs w:val="22"/>
        </w:rPr>
      </w:pPr>
      <w:r w:rsidRPr="009C0C39">
        <w:rPr>
          <w:rFonts w:ascii="Franklin Gothic Book" w:hAnsi="Franklin Gothic Book"/>
          <w:sz w:val="22"/>
          <w:szCs w:val="22"/>
        </w:rPr>
        <w:br w:type="column"/>
      </w:r>
      <w:bookmarkStart w:id="105" w:name="Appendix_IA"/>
      <w:bookmarkEnd w:id="105"/>
      <w:r w:rsidR="0083705D" w:rsidRPr="009C0C39">
        <w:rPr>
          <w:rFonts w:ascii="Franklin Gothic Book" w:hAnsi="Franklin Gothic Book" w:cs="Times New Roman"/>
          <w:b/>
          <w:bCs/>
          <w:sz w:val="22"/>
          <w:szCs w:val="22"/>
        </w:rPr>
        <w:lastRenderedPageBreak/>
        <w:t>Appendix I.A:  HPC Methods and Data Sources Overview</w:t>
      </w:r>
    </w:p>
    <w:p w14:paraId="5EB5EFCF" w14:textId="22AA4072" w:rsidR="00E742B6" w:rsidRPr="009C0C39" w:rsidRDefault="00E742B6" w:rsidP="00FD6060">
      <w:pPr>
        <w:rPr>
          <w:rFonts w:ascii="Franklin Gothic Book" w:hAnsi="Franklin Gothic Book" w:cs="Times New Roman"/>
          <w:b/>
          <w:bCs/>
          <w:sz w:val="22"/>
          <w:szCs w:val="22"/>
        </w:rPr>
      </w:pPr>
    </w:p>
    <w:p w14:paraId="6CDE7D86" w14:textId="73D7E8B5" w:rsidR="007D04F0" w:rsidRPr="009C0C39" w:rsidRDefault="007D04F0" w:rsidP="007D04F0">
      <w:pPr>
        <w:rPr>
          <w:rFonts w:ascii="Franklin Gothic Book" w:eastAsia="Calibri" w:hAnsi="Franklin Gothic Book" w:cs="Times New Roman"/>
          <w:b/>
          <w:bCs/>
          <w:sz w:val="22"/>
          <w:szCs w:val="22"/>
        </w:rPr>
      </w:pPr>
      <w:r w:rsidRPr="009C0C39">
        <w:rPr>
          <w:rFonts w:ascii="Franklin Gothic Book" w:eastAsia="Calibri" w:hAnsi="Franklin Gothic Book" w:cs="Times New Roman"/>
          <w:b/>
          <w:bCs/>
          <w:sz w:val="22"/>
          <w:szCs w:val="22"/>
        </w:rPr>
        <w:t xml:space="preserve">Data </w:t>
      </w:r>
      <w:r w:rsidR="00BC7F53" w:rsidRPr="009C0C39">
        <w:rPr>
          <w:rFonts w:ascii="Franklin Gothic Book" w:eastAsia="Calibri" w:hAnsi="Franklin Gothic Book" w:cs="Times New Roman"/>
          <w:b/>
          <w:bCs/>
          <w:sz w:val="22"/>
          <w:szCs w:val="22"/>
        </w:rPr>
        <w:t>S</w:t>
      </w:r>
      <w:r w:rsidRPr="009C0C39">
        <w:rPr>
          <w:rFonts w:ascii="Franklin Gothic Book" w:eastAsia="Calibri" w:hAnsi="Franklin Gothic Book" w:cs="Times New Roman"/>
          <w:b/>
          <w:bCs/>
          <w:sz w:val="22"/>
          <w:szCs w:val="22"/>
        </w:rPr>
        <w:t>ources</w:t>
      </w:r>
    </w:p>
    <w:p w14:paraId="2E82636F" w14:textId="77777777" w:rsidR="007D04F0" w:rsidRPr="009C0C39" w:rsidRDefault="007D04F0" w:rsidP="007D04F0">
      <w:pPr>
        <w:rPr>
          <w:rFonts w:ascii="Franklin Gothic Book" w:eastAsia="Calibri" w:hAnsi="Franklin Gothic Book" w:cs="Times New Roman"/>
          <w:sz w:val="22"/>
          <w:szCs w:val="22"/>
        </w:rPr>
      </w:pPr>
    </w:p>
    <w:p w14:paraId="5B2D6693" w14:textId="5321E02A" w:rsidR="007D04F0" w:rsidRPr="009C0C39" w:rsidRDefault="007D04F0" w:rsidP="007D04F0">
      <w:pPr>
        <w:ind w:firstLine="720"/>
        <w:rPr>
          <w:rFonts w:ascii="Franklin Gothic Book" w:eastAsia="Calibri" w:hAnsi="Franklin Gothic Book" w:cs="Times New Roman"/>
          <w:sz w:val="22"/>
          <w:szCs w:val="22"/>
        </w:rPr>
      </w:pPr>
      <w:r w:rsidRPr="009C0C39">
        <w:rPr>
          <w:rFonts w:ascii="Franklin Gothic Book" w:eastAsia="Calibri" w:hAnsi="Franklin Gothic Book" w:cs="Times New Roman"/>
          <w:sz w:val="22"/>
          <w:szCs w:val="22"/>
        </w:rPr>
        <w:t xml:space="preserve">To conduct this review, we relied </w:t>
      </w:r>
      <w:r w:rsidR="00EE388B">
        <w:rPr>
          <w:rFonts w:ascii="Franklin Gothic Book" w:eastAsia="Calibri" w:hAnsi="Franklin Gothic Book" w:cs="Times New Roman"/>
          <w:sz w:val="22"/>
          <w:szCs w:val="22"/>
        </w:rPr>
        <w:t xml:space="preserve">exclusively on publicly-available information, including </w:t>
      </w:r>
      <w:r w:rsidRPr="009C0C39">
        <w:rPr>
          <w:rFonts w:ascii="Franklin Gothic Book" w:eastAsia="Calibri" w:hAnsi="Franklin Gothic Book" w:cs="Times New Roman"/>
          <w:sz w:val="22"/>
          <w:szCs w:val="22"/>
        </w:rPr>
        <w:t>MGB’s DoN applications and supporting materials filed with DPH and other publicly available statements by MGB, information on MGB’s ambulatory expansion planning process made available in testimony at the HPC’s 2021 Cost Trends Hearings</w:t>
      </w:r>
      <w:r w:rsidR="00EE388B">
        <w:rPr>
          <w:rFonts w:ascii="Franklin Gothic Book" w:eastAsia="Calibri" w:hAnsi="Franklin Gothic Book" w:cs="Times New Roman"/>
          <w:sz w:val="22"/>
          <w:szCs w:val="22"/>
        </w:rPr>
        <w:t xml:space="preserve"> (referred to throughout as the “MGB Internal Document Disclosures”)</w:t>
      </w:r>
      <w:r w:rsidRPr="009C0C39">
        <w:rPr>
          <w:rFonts w:ascii="Franklin Gothic Book" w:eastAsia="Calibri" w:hAnsi="Franklin Gothic Book" w:cs="Times New Roman"/>
          <w:sz w:val="22"/>
          <w:szCs w:val="22"/>
        </w:rPr>
        <w:t>,</w:t>
      </w:r>
      <w:r w:rsidRPr="009C0C39">
        <w:rPr>
          <w:rStyle w:val="FootnoteReference"/>
          <w:rFonts w:ascii="Franklin Gothic Book" w:eastAsia="Calibri" w:hAnsi="Franklin Gothic Book" w:cs="Times New Roman"/>
          <w:sz w:val="22"/>
          <w:szCs w:val="22"/>
        </w:rPr>
        <w:footnoteReference w:id="166"/>
      </w:r>
      <w:r w:rsidRPr="009C0C39">
        <w:rPr>
          <w:rFonts w:ascii="Franklin Gothic Book" w:eastAsia="Calibri" w:hAnsi="Franklin Gothic Book" w:cs="Times New Roman"/>
          <w:sz w:val="22"/>
          <w:szCs w:val="22"/>
        </w:rPr>
        <w:t xml:space="preserve"> and information about the projects newly made public in the ICAs. The HPC also utilized information from the Massachusetts Registration of Provider Organizations program (MA-RPO)</w:t>
      </w:r>
      <w:bookmarkStart w:id="106" w:name="_Ref93625088"/>
      <w:r w:rsidRPr="009C0C39">
        <w:rPr>
          <w:rFonts w:ascii="Franklin Gothic Book" w:eastAsia="Calibri" w:hAnsi="Franklin Gothic Book" w:cs="Times New Roman"/>
          <w:sz w:val="22"/>
          <w:szCs w:val="22"/>
          <w:vertAlign w:val="superscript"/>
        </w:rPr>
        <w:footnoteReference w:id="167"/>
      </w:r>
      <w:bookmarkEnd w:id="106"/>
      <w:r w:rsidRPr="009C0C39">
        <w:rPr>
          <w:rFonts w:ascii="Franklin Gothic Book" w:eastAsia="Calibri" w:hAnsi="Franklin Gothic Book" w:cs="Times New Roman"/>
          <w:sz w:val="22"/>
          <w:szCs w:val="22"/>
        </w:rPr>
        <w:t xml:space="preserve"> and obtained data and documents from a number of other sources. These include other state agencies such as the Massachusetts Attorney General’s Office (AGO) Non-Profit Organizations/Public Charities Division, from which we received audited financial statements for non-profit institutions relevant to our review, and the Center for Health Information and Analysis (CHIA), from which we received provider- and payer-level data,</w:t>
      </w:r>
      <w:bookmarkStart w:id="107" w:name="_Ref93990128"/>
      <w:r w:rsidRPr="009C0C39">
        <w:rPr>
          <w:rFonts w:ascii="Franklin Gothic Book" w:eastAsia="Calibri" w:hAnsi="Franklin Gothic Book" w:cs="Times New Roman"/>
          <w:sz w:val="22"/>
          <w:szCs w:val="22"/>
          <w:vertAlign w:val="superscript"/>
        </w:rPr>
        <w:footnoteReference w:id="168"/>
      </w:r>
      <w:bookmarkEnd w:id="107"/>
      <w:r w:rsidRPr="009C0C39">
        <w:rPr>
          <w:rFonts w:ascii="Franklin Gothic Book" w:eastAsia="Calibri" w:hAnsi="Franklin Gothic Book" w:cs="Times New Roman"/>
          <w:sz w:val="22"/>
          <w:szCs w:val="22"/>
        </w:rPr>
        <w:t xml:space="preserve"> hospital discharge data,</w:t>
      </w:r>
      <w:r w:rsidRPr="009C0C39">
        <w:rPr>
          <w:rFonts w:ascii="Franklin Gothic Book" w:eastAsia="Calibri" w:hAnsi="Franklin Gothic Book" w:cs="Times New Roman"/>
          <w:sz w:val="22"/>
          <w:szCs w:val="22"/>
          <w:vertAlign w:val="superscript"/>
        </w:rPr>
        <w:footnoteReference w:id="169"/>
      </w:r>
      <w:r w:rsidRPr="009C0C39">
        <w:rPr>
          <w:rFonts w:ascii="Franklin Gothic Book" w:eastAsia="Calibri" w:hAnsi="Franklin Gothic Book" w:cs="Times New Roman"/>
          <w:sz w:val="22"/>
          <w:szCs w:val="22"/>
        </w:rPr>
        <w:t xml:space="preserve"> and claims-level data from the All-Payer Claims Database (APCD);</w:t>
      </w:r>
      <w:bookmarkStart w:id="108" w:name="_Ref93751467"/>
      <w:r w:rsidRPr="009C0C39">
        <w:rPr>
          <w:rFonts w:ascii="Franklin Gothic Book" w:eastAsia="Calibri" w:hAnsi="Franklin Gothic Book" w:cs="Times New Roman"/>
          <w:sz w:val="22"/>
          <w:szCs w:val="22"/>
          <w:vertAlign w:val="superscript"/>
        </w:rPr>
        <w:footnoteReference w:id="170"/>
      </w:r>
      <w:bookmarkEnd w:id="108"/>
      <w:r w:rsidRPr="009C0C39">
        <w:rPr>
          <w:rFonts w:ascii="Franklin Gothic Book" w:eastAsia="Calibri" w:hAnsi="Franklin Gothic Book" w:cs="Times New Roman"/>
          <w:sz w:val="22"/>
          <w:szCs w:val="22"/>
        </w:rPr>
        <w:t xml:space="preserve"> federal agencies such as the Agency for Healthcare Research and Quality (AHRQ) and the Centers for Medicare and Medicaid Services (CMS). </w:t>
      </w:r>
    </w:p>
    <w:p w14:paraId="77C4F9A7" w14:textId="77777777" w:rsidR="007D04F0" w:rsidRPr="009C0C39" w:rsidRDefault="007D04F0" w:rsidP="007D04F0">
      <w:pPr>
        <w:ind w:firstLine="720"/>
        <w:rPr>
          <w:rFonts w:ascii="Franklin Gothic Book" w:eastAsia="Calibri" w:hAnsi="Franklin Gothic Book" w:cs="Times New Roman"/>
          <w:sz w:val="22"/>
          <w:szCs w:val="22"/>
        </w:rPr>
      </w:pPr>
    </w:p>
    <w:p w14:paraId="5AAA7D38" w14:textId="77777777" w:rsidR="007D04F0" w:rsidRPr="009C0C39" w:rsidRDefault="007D04F0" w:rsidP="007D04F0">
      <w:pPr>
        <w:ind w:firstLine="720"/>
        <w:rPr>
          <w:rFonts w:ascii="Franklin Gothic Book" w:eastAsia="Calibri" w:hAnsi="Franklin Gothic Book" w:cs="Times New Roman"/>
          <w:sz w:val="22"/>
          <w:szCs w:val="22"/>
        </w:rPr>
      </w:pPr>
      <w:r w:rsidRPr="009C0C39">
        <w:rPr>
          <w:rFonts w:ascii="Franklin Gothic Book" w:eastAsia="Calibri" w:hAnsi="Franklin Gothic Book" w:cs="Times New Roman"/>
          <w:sz w:val="22"/>
          <w:szCs w:val="22"/>
        </w:rPr>
        <w:t>To assist in our review and analysis of information, the HPC engaged consultants with extensive experience evaluating provider organizations and their impact on health care costs and the health care market, including economists, actuaries, accountants, and experts in health care quality and care delivery. Working with these experts, the HPC comprehensively analyzed the data and other materials detailed above.</w:t>
      </w:r>
    </w:p>
    <w:p w14:paraId="5992A96E" w14:textId="77777777" w:rsidR="007D04F0" w:rsidRPr="009C0C39" w:rsidRDefault="007D04F0" w:rsidP="007D04F0">
      <w:pPr>
        <w:rPr>
          <w:rFonts w:ascii="Franklin Gothic Book" w:eastAsia="Calibri" w:hAnsi="Franklin Gothic Book" w:cs="Times New Roman"/>
          <w:sz w:val="22"/>
          <w:szCs w:val="22"/>
        </w:rPr>
      </w:pPr>
    </w:p>
    <w:p w14:paraId="6A7AC3DD" w14:textId="77777777" w:rsidR="007D04F0" w:rsidRPr="009C0C39" w:rsidRDefault="007D04F0" w:rsidP="007D04F0">
      <w:pPr>
        <w:ind w:firstLine="720"/>
        <w:rPr>
          <w:rFonts w:ascii="Franklin Gothic Book" w:eastAsia="Calibri" w:hAnsi="Franklin Gothic Book" w:cs="Times New Roman"/>
          <w:sz w:val="22"/>
          <w:szCs w:val="22"/>
        </w:rPr>
      </w:pPr>
      <w:r w:rsidRPr="009C0C39">
        <w:rPr>
          <w:rFonts w:ascii="Franklin Gothic Book" w:eastAsia="Calibri" w:hAnsi="Franklin Gothic Book" w:cs="Times New Roman"/>
          <w:sz w:val="22"/>
          <w:szCs w:val="22"/>
        </w:rPr>
        <w:t>For each analysis, the HPC utilized the most recent and reliable data available. Because data is usually generated on a variable schedule from entity to entity, the most recent and reliable data primarily reflect 2015 to 2019 data; historic data used in longitudinal analyses are from as early as 2009.</w:t>
      </w:r>
      <w:r w:rsidRPr="009C0C39">
        <w:rPr>
          <w:rFonts w:ascii="Franklin Gothic Book" w:eastAsia="Calibri" w:hAnsi="Franklin Gothic Book" w:cs="Times New Roman"/>
          <w:sz w:val="22"/>
          <w:szCs w:val="22"/>
          <w:vertAlign w:val="superscript"/>
        </w:rPr>
        <w:footnoteReference w:id="171"/>
      </w:r>
      <w:r w:rsidRPr="009C0C39">
        <w:rPr>
          <w:rFonts w:ascii="Franklin Gothic Book" w:eastAsia="Calibri" w:hAnsi="Franklin Gothic Book" w:cs="Times New Roman"/>
          <w:sz w:val="22"/>
          <w:szCs w:val="22"/>
        </w:rPr>
        <w:t xml:space="preserve"> We have noted the applicable year for the underlying data throughout this report and, wherever possible, we examined multiple years of data to analyze trends and to report on the consistency of findings over time.</w:t>
      </w:r>
    </w:p>
    <w:p w14:paraId="02B8EC80" w14:textId="77777777" w:rsidR="007D04F0" w:rsidRPr="009C0C39" w:rsidRDefault="007D04F0" w:rsidP="007D04F0">
      <w:pPr>
        <w:ind w:firstLine="720"/>
        <w:rPr>
          <w:rFonts w:ascii="Franklin Gothic Book" w:eastAsia="Calibri" w:hAnsi="Franklin Gothic Book" w:cs="Times New Roman"/>
          <w:sz w:val="22"/>
          <w:szCs w:val="22"/>
        </w:rPr>
      </w:pPr>
    </w:p>
    <w:p w14:paraId="0B559D9B" w14:textId="77777777" w:rsidR="007D04F0" w:rsidRPr="009C0C39" w:rsidRDefault="007D04F0" w:rsidP="007D04F0">
      <w:pPr>
        <w:ind w:firstLine="720"/>
        <w:rPr>
          <w:rFonts w:ascii="Franklin Gothic Book" w:eastAsia="Calibri" w:hAnsi="Franklin Gothic Book" w:cs="Times New Roman"/>
          <w:sz w:val="22"/>
          <w:szCs w:val="22"/>
        </w:rPr>
      </w:pPr>
      <w:r w:rsidRPr="009C0C39">
        <w:rPr>
          <w:rFonts w:ascii="Franklin Gothic Book" w:eastAsia="Calibri" w:hAnsi="Franklin Gothic Book" w:cs="Times New Roman"/>
          <w:sz w:val="22"/>
          <w:szCs w:val="22"/>
        </w:rPr>
        <w:t>The HPC’s analyses were guided in part by availability of accurate data, time constraints, and a focus on those analyses most directly related to impacts on Massachusetts residents and of most potential use to the DoN program’s evaluation.</w:t>
      </w:r>
      <w:r w:rsidRPr="009C0C39">
        <w:rPr>
          <w:rFonts w:ascii="Franklin Gothic Book" w:hAnsi="Franklin Gothic Book"/>
          <w:sz w:val="22"/>
          <w:szCs w:val="22"/>
        </w:rPr>
        <w:t xml:space="preserve"> </w:t>
      </w:r>
      <w:r w:rsidRPr="009C0C39">
        <w:rPr>
          <w:rFonts w:ascii="Franklin Gothic Book" w:eastAsia="Calibri" w:hAnsi="Franklin Gothic Book" w:cs="Times New Roman"/>
          <w:sz w:val="22"/>
          <w:szCs w:val="22"/>
        </w:rPr>
        <w:t>Future reviews may encompass new and evolving analyses depending on the facts of a transaction, recent market developments, areas of public interest, and the availability of improved data resources and methodologies.</w:t>
      </w:r>
    </w:p>
    <w:p w14:paraId="6E8BF223" w14:textId="77777777" w:rsidR="007D04F0" w:rsidRPr="009C0C39" w:rsidRDefault="007D04F0" w:rsidP="007D04F0">
      <w:pPr>
        <w:ind w:firstLine="720"/>
        <w:rPr>
          <w:rFonts w:ascii="Franklin Gothic Book" w:eastAsia="Calibri" w:hAnsi="Franklin Gothic Book" w:cs="Times New Roman"/>
          <w:sz w:val="22"/>
          <w:szCs w:val="22"/>
        </w:rPr>
      </w:pPr>
    </w:p>
    <w:p w14:paraId="09D52DB5" w14:textId="55A19EF2" w:rsidR="007D04F0" w:rsidRPr="009C0C39" w:rsidRDefault="007D04F0" w:rsidP="008401FF">
      <w:pPr>
        <w:ind w:firstLine="720"/>
        <w:rPr>
          <w:rFonts w:ascii="Franklin Gothic Book" w:hAnsi="Franklin Gothic Book" w:cs="Times New Roman"/>
          <w:sz w:val="22"/>
          <w:szCs w:val="22"/>
        </w:rPr>
      </w:pPr>
      <w:r w:rsidRPr="009C0C39">
        <w:rPr>
          <w:rFonts w:ascii="Franklin Gothic Book" w:eastAsia="Calibri" w:hAnsi="Franklin Gothic Book" w:cs="Times New Roman"/>
          <w:sz w:val="22"/>
          <w:szCs w:val="22"/>
        </w:rPr>
        <w:t>Finally, most of our analyses of spending and market impacts focus on anticipated impacts on the commercially insured market. In the commercially insured market, prices for health care services—whether fee-for-service, global budgets, or other forms of alternative payments—are established through private negotiations between payers and providers. The terms of these payer-provider contracts vary widely with regard to both price and other material terms that impact health care costs and market functioning.</w:t>
      </w:r>
      <w:bookmarkStart w:id="109" w:name="_Ref385252586"/>
      <w:r w:rsidRPr="009C0C39">
        <w:rPr>
          <w:rFonts w:ascii="Franklin Gothic Book" w:eastAsia="Calibri" w:hAnsi="Franklin Gothic Book" w:cs="Times New Roman"/>
          <w:sz w:val="22"/>
          <w:szCs w:val="22"/>
          <w:vertAlign w:val="superscript"/>
        </w:rPr>
        <w:footnoteReference w:id="172"/>
      </w:r>
      <w:bookmarkEnd w:id="109"/>
      <w:r w:rsidRPr="009C0C39">
        <w:rPr>
          <w:rFonts w:ascii="Franklin Gothic Book" w:eastAsia="Calibri" w:hAnsi="Franklin Gothic Book" w:cs="Times New Roman"/>
          <w:sz w:val="22"/>
          <w:szCs w:val="22"/>
        </w:rPr>
        <w:t xml:space="preserve"> Changes in spending for care of commercially insured patients also largely flows more directly back to Massachusetts residents</w:t>
      </w:r>
      <w:r w:rsidR="007D5E58" w:rsidRPr="009C0C39">
        <w:rPr>
          <w:rFonts w:ascii="Franklin Gothic Book" w:eastAsia="Calibri" w:hAnsi="Franklin Gothic Book" w:cs="Times New Roman"/>
          <w:sz w:val="22"/>
          <w:szCs w:val="22"/>
        </w:rPr>
        <w:t xml:space="preserve"> </w:t>
      </w:r>
      <w:r w:rsidR="00914B3C" w:rsidRPr="009C0C39">
        <w:rPr>
          <w:rFonts w:ascii="Franklin Gothic Book" w:eastAsia="Calibri" w:hAnsi="Franklin Gothic Book" w:cs="Times New Roman"/>
          <w:sz w:val="22"/>
          <w:szCs w:val="22"/>
        </w:rPr>
        <w:t>and businesses through commercial insurance premiums</w:t>
      </w:r>
      <w:r w:rsidRPr="009C0C39">
        <w:rPr>
          <w:rFonts w:ascii="Franklin Gothic Book" w:eastAsia="Calibri" w:hAnsi="Franklin Gothic Book" w:cs="Times New Roman"/>
          <w:sz w:val="22"/>
          <w:szCs w:val="22"/>
        </w:rPr>
        <w:t>.</w:t>
      </w:r>
      <w:r w:rsidRPr="009C0C39">
        <w:rPr>
          <w:rStyle w:val="FootnoteReference"/>
          <w:rFonts w:ascii="Franklin Gothic Book" w:eastAsia="Calibri" w:hAnsi="Franklin Gothic Book" w:cs="Times New Roman"/>
          <w:sz w:val="22"/>
          <w:szCs w:val="22"/>
        </w:rPr>
        <w:footnoteReference w:id="173"/>
      </w:r>
    </w:p>
    <w:p w14:paraId="52472CD4" w14:textId="77777777" w:rsidR="007D04F0" w:rsidRPr="009C0C39" w:rsidRDefault="007D04F0" w:rsidP="007D04F0">
      <w:pPr>
        <w:rPr>
          <w:rFonts w:ascii="Franklin Gothic Book" w:hAnsi="Franklin Gothic Book" w:cs="Times New Roman"/>
          <w:sz w:val="22"/>
          <w:szCs w:val="22"/>
        </w:rPr>
      </w:pPr>
    </w:p>
    <w:p w14:paraId="0F8FA413" w14:textId="7844261F" w:rsidR="007D04F0" w:rsidRPr="009C0C39" w:rsidRDefault="007D04F0" w:rsidP="007D04F0">
      <w:pPr>
        <w:rPr>
          <w:rFonts w:ascii="Franklin Gothic Book" w:hAnsi="Franklin Gothic Book" w:cs="Times New Roman"/>
          <w:b/>
          <w:bCs/>
          <w:sz w:val="22"/>
          <w:szCs w:val="22"/>
        </w:rPr>
      </w:pPr>
      <w:r w:rsidRPr="009C0C39">
        <w:rPr>
          <w:rFonts w:ascii="Franklin Gothic Book" w:hAnsi="Franklin Gothic Book" w:cs="Times New Roman"/>
          <w:b/>
          <w:bCs/>
          <w:sz w:val="22"/>
          <w:szCs w:val="22"/>
        </w:rPr>
        <w:t>Methodology notes</w:t>
      </w:r>
    </w:p>
    <w:p w14:paraId="69776993" w14:textId="77777777" w:rsidR="00B2406A" w:rsidRPr="009C0C39" w:rsidRDefault="00B2406A" w:rsidP="007D04F0">
      <w:pPr>
        <w:rPr>
          <w:rFonts w:ascii="Franklin Gothic Book" w:hAnsi="Franklin Gothic Book" w:cs="Times New Roman"/>
          <w:b/>
          <w:bCs/>
          <w:sz w:val="22"/>
          <w:szCs w:val="22"/>
        </w:rPr>
      </w:pPr>
    </w:p>
    <w:p w14:paraId="14962554" w14:textId="3E59AA31" w:rsidR="007D04F0" w:rsidRPr="009C0C39" w:rsidRDefault="007D04F0" w:rsidP="007D04F0">
      <w:pPr>
        <w:rPr>
          <w:rFonts w:ascii="Franklin Gothic Book" w:hAnsi="Franklin Gothic Book" w:cs="Times New Roman"/>
          <w:sz w:val="22"/>
          <w:szCs w:val="22"/>
        </w:rPr>
      </w:pPr>
      <w:r w:rsidRPr="009C0C39">
        <w:rPr>
          <w:rFonts w:ascii="Franklin Gothic Book" w:hAnsi="Franklin Gothic Book" w:cs="Times New Roman"/>
          <w:i/>
          <w:iCs/>
          <w:sz w:val="22"/>
          <w:szCs w:val="22"/>
        </w:rPr>
        <w:t xml:space="preserve">Outpatient </w:t>
      </w:r>
      <w:r w:rsidR="00BC7F53" w:rsidRPr="009C0C39">
        <w:rPr>
          <w:rFonts w:ascii="Franklin Gothic Book" w:hAnsi="Franklin Gothic Book" w:cs="Times New Roman"/>
          <w:i/>
          <w:iCs/>
          <w:sz w:val="22"/>
          <w:szCs w:val="22"/>
        </w:rPr>
        <w:t>C</w:t>
      </w:r>
      <w:r w:rsidRPr="009C0C39">
        <w:rPr>
          <w:rFonts w:ascii="Franklin Gothic Book" w:hAnsi="Franklin Gothic Book" w:cs="Times New Roman"/>
          <w:i/>
          <w:iCs/>
          <w:sz w:val="22"/>
          <w:szCs w:val="22"/>
        </w:rPr>
        <w:t xml:space="preserve">linical </w:t>
      </w:r>
      <w:r w:rsidR="00BC7F53" w:rsidRPr="009C0C39">
        <w:rPr>
          <w:rFonts w:ascii="Franklin Gothic Book" w:hAnsi="Franklin Gothic Book" w:cs="Times New Roman"/>
          <w:i/>
          <w:iCs/>
          <w:sz w:val="22"/>
          <w:szCs w:val="22"/>
        </w:rPr>
        <w:t>C</w:t>
      </w:r>
      <w:r w:rsidRPr="009C0C39">
        <w:rPr>
          <w:rFonts w:ascii="Franklin Gothic Book" w:hAnsi="Franklin Gothic Book" w:cs="Times New Roman"/>
          <w:i/>
          <w:iCs/>
          <w:sz w:val="22"/>
          <w:szCs w:val="22"/>
        </w:rPr>
        <w:t>lusters</w:t>
      </w:r>
    </w:p>
    <w:p w14:paraId="731502B1" w14:textId="77777777" w:rsidR="00B2406A" w:rsidRPr="009C0C39" w:rsidRDefault="00B2406A" w:rsidP="007D04F0">
      <w:pPr>
        <w:rPr>
          <w:rFonts w:ascii="Franklin Gothic Book" w:hAnsi="Franklin Gothic Book" w:cs="Times New Roman"/>
          <w:sz w:val="22"/>
          <w:szCs w:val="22"/>
        </w:rPr>
      </w:pPr>
    </w:p>
    <w:p w14:paraId="5F22B25F" w14:textId="08153737" w:rsidR="007D04F0" w:rsidRPr="009C0C39" w:rsidRDefault="007D04F0"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To examine market shares and prices in outpatient service lines relevant to MGB’s proposed projects, the HPC defined clusters of Current Procedural Terminology (CPT) codes.</w:t>
      </w:r>
      <w:r w:rsidRPr="009C0C39">
        <w:rPr>
          <w:rStyle w:val="FootnoteReference"/>
          <w:rFonts w:ascii="Franklin Gothic Book" w:hAnsi="Franklin Gothic Book" w:cs="Times New Roman"/>
          <w:sz w:val="22"/>
          <w:szCs w:val="22"/>
        </w:rPr>
        <w:footnoteReference w:id="174"/>
      </w:r>
      <w:r w:rsidRPr="009C0C39">
        <w:rPr>
          <w:rFonts w:ascii="Franklin Gothic Book" w:hAnsi="Franklin Gothic Book" w:cs="Times New Roman"/>
          <w:sz w:val="22"/>
          <w:szCs w:val="22"/>
        </w:rPr>
        <w:t xml:space="preserve"> The CPT Codebook published by the American Medical Association. includes approximately 300 clinical categories, which the HPC aggregated into 42 categories that parallel major specialties and subspecialties in clinical care. The HPC then further refined these categories into relevant clusters based on descriptions of the proposed projects and the guidance of clinical experts.</w:t>
      </w:r>
    </w:p>
    <w:p w14:paraId="30F3F6A6" w14:textId="77777777" w:rsidR="00B2406A" w:rsidRPr="009C0C39" w:rsidRDefault="00B2406A" w:rsidP="007D04F0">
      <w:pPr>
        <w:rPr>
          <w:rFonts w:ascii="Franklin Gothic Book" w:hAnsi="Franklin Gothic Book" w:cs="Times New Roman"/>
          <w:sz w:val="22"/>
          <w:szCs w:val="22"/>
        </w:rPr>
      </w:pPr>
    </w:p>
    <w:p w14:paraId="5121E2D1" w14:textId="77777777" w:rsidR="007D04F0" w:rsidRPr="009C0C39" w:rsidRDefault="007D04F0" w:rsidP="009257C1">
      <w:pPr>
        <w:pStyle w:val="ListParagraph"/>
        <w:numPr>
          <w:ilvl w:val="0"/>
          <w:numId w:val="20"/>
        </w:numPr>
        <w:rPr>
          <w:rFonts w:ascii="Franklin Gothic Book" w:hAnsi="Franklin Gothic Book" w:cs="Times New Roman"/>
          <w:sz w:val="22"/>
          <w:szCs w:val="22"/>
        </w:rPr>
      </w:pPr>
      <w:r w:rsidRPr="009C0C39">
        <w:rPr>
          <w:rFonts w:ascii="Franklin Gothic Book" w:hAnsi="Franklin Gothic Book" w:cs="Times New Roman"/>
          <w:b/>
          <w:bCs/>
          <w:sz w:val="22"/>
          <w:szCs w:val="22"/>
        </w:rPr>
        <w:t>Advanced imaging</w:t>
      </w:r>
      <w:r w:rsidRPr="009C0C39">
        <w:rPr>
          <w:rFonts w:ascii="Franklin Gothic Book" w:hAnsi="Franklin Gothic Book" w:cs="Times New Roman"/>
          <w:sz w:val="22"/>
          <w:szCs w:val="22"/>
        </w:rPr>
        <w:t>: Starting with the relevant CT and MRI imaging AMA CPT categories, the HPC further excluded certain codes not commonly used for outpatient diagnostic imaging. CT codes used were 70450-70498, 71250-72133, 72191-72194, 72292, 73200-73202, 73700-73702, 73706, 74150-74178, 74261, 74263, 75571-75574, 76362, 75635, 76376, 76380, 76497, 77011-77014, 77073, 77078-77079. MRI codes used were 70336, 70540, 70542-70549, 70551-70555, 70557-71552, 71555, 72141-72142, 72146-72149, 72156-72159, 72195-72198, 73218-73223, 73225, 73718-73723, 73725, 74181-74183, 74185, 75557, 75559, 75561, 75563, 75565, 76376-76377, 76390-76391, 76498, 77021-77022, 77046-77049, 77058-77059, 77084.</w:t>
      </w:r>
    </w:p>
    <w:p w14:paraId="1C0752E1" w14:textId="77777777" w:rsidR="007D04F0" w:rsidRPr="009C0C39" w:rsidRDefault="007D04F0" w:rsidP="009257C1">
      <w:pPr>
        <w:pStyle w:val="ListParagraph"/>
        <w:numPr>
          <w:ilvl w:val="0"/>
          <w:numId w:val="20"/>
        </w:numPr>
        <w:rPr>
          <w:rFonts w:ascii="Franklin Gothic Book" w:hAnsi="Franklin Gothic Book" w:cs="Times New Roman"/>
          <w:sz w:val="22"/>
          <w:szCs w:val="22"/>
        </w:rPr>
      </w:pPr>
      <w:r w:rsidRPr="009C0C39">
        <w:rPr>
          <w:rFonts w:ascii="Franklin Gothic Book" w:hAnsi="Franklin Gothic Book" w:cs="Times New Roman"/>
          <w:b/>
          <w:bCs/>
          <w:sz w:val="22"/>
          <w:szCs w:val="22"/>
        </w:rPr>
        <w:t>Orthopedic surgery</w:t>
      </w:r>
      <w:r w:rsidRPr="009C0C39">
        <w:rPr>
          <w:rFonts w:ascii="Franklin Gothic Book" w:hAnsi="Franklin Gothic Book" w:cs="Times New Roman"/>
          <w:sz w:val="22"/>
          <w:szCs w:val="22"/>
        </w:rPr>
        <w:t xml:space="preserve">: The HPC defined orthopedic surgery based on the relevant AMA CPT category, but limited its analyses to those visits that include ICD-9 codes that meet the </w:t>
      </w:r>
      <w:r w:rsidRPr="009C0C39">
        <w:rPr>
          <w:rFonts w:ascii="Franklin Gothic Book" w:hAnsi="Franklin Gothic Book" w:cs="Times New Roman"/>
          <w:sz w:val="22"/>
          <w:szCs w:val="22"/>
        </w:rPr>
        <w:lastRenderedPageBreak/>
        <w:t>“narrow” surgery flag definition from the Healthcare Cost and Utilization Project (HCUP), defined as “[a]n invasive therapeutic surgical procedure involving incision, excision, manipulation, or suturing of tissue that penetrates or breaks the skin; typically requires use of an operating room; and also requires regional anesthesia, general anesthesia, or sedation to control pain.”</w:t>
      </w:r>
      <w:r w:rsidRPr="009C0C39">
        <w:rPr>
          <w:rStyle w:val="FootnoteReference"/>
          <w:rFonts w:ascii="Franklin Gothic Book" w:hAnsi="Franklin Gothic Book" w:cs="Times New Roman"/>
          <w:sz w:val="22"/>
          <w:szCs w:val="22"/>
        </w:rPr>
        <w:footnoteReference w:id="175"/>
      </w:r>
      <w:r w:rsidRPr="009C0C39">
        <w:rPr>
          <w:rFonts w:ascii="Franklin Gothic Book" w:hAnsi="Franklin Gothic Book" w:cs="Times New Roman"/>
          <w:sz w:val="22"/>
          <w:szCs w:val="22"/>
        </w:rPr>
        <w:t xml:space="preserve"> CPTs used were 20005-29999</w:t>
      </w:r>
    </w:p>
    <w:p w14:paraId="60034B3E" w14:textId="77777777" w:rsidR="007D04F0" w:rsidRPr="009C0C39" w:rsidRDefault="007D04F0" w:rsidP="009257C1">
      <w:pPr>
        <w:pStyle w:val="ListParagraph"/>
        <w:numPr>
          <w:ilvl w:val="0"/>
          <w:numId w:val="20"/>
        </w:numPr>
        <w:rPr>
          <w:rFonts w:ascii="Franklin Gothic Book" w:hAnsi="Franklin Gothic Book" w:cs="Times New Roman"/>
          <w:sz w:val="22"/>
          <w:szCs w:val="22"/>
        </w:rPr>
      </w:pPr>
      <w:r w:rsidRPr="009C0C39">
        <w:rPr>
          <w:rFonts w:ascii="Franklin Gothic Book" w:hAnsi="Franklin Gothic Book" w:cs="Times New Roman"/>
          <w:b/>
          <w:bCs/>
          <w:sz w:val="22"/>
          <w:szCs w:val="22"/>
        </w:rPr>
        <w:t>Ophthalmology surgery</w:t>
      </w:r>
      <w:r w:rsidRPr="009C0C39">
        <w:rPr>
          <w:rFonts w:ascii="Franklin Gothic Book" w:hAnsi="Franklin Gothic Book" w:cs="Times New Roman"/>
          <w:sz w:val="22"/>
          <w:szCs w:val="22"/>
        </w:rPr>
        <w:t>: The HPC defined outpatient ophthalmology surgery based on the relevant AMA CPT category, limited to visits that met the HCUP surgical flag definition referenced above. CPTs used were 65091-65290, 65400-66999, 67005-67299, 67311-67999, 68020-68899, 92002-92287, 92310-92326, 92340-92499, 99172, 99174.</w:t>
      </w:r>
    </w:p>
    <w:p w14:paraId="796A6AA1" w14:textId="77777777" w:rsidR="007D04F0" w:rsidRPr="009C0C39" w:rsidRDefault="007D04F0" w:rsidP="009257C1">
      <w:pPr>
        <w:pStyle w:val="ListParagraph"/>
        <w:numPr>
          <w:ilvl w:val="0"/>
          <w:numId w:val="20"/>
        </w:numPr>
        <w:rPr>
          <w:rFonts w:ascii="Franklin Gothic Book" w:hAnsi="Franklin Gothic Book" w:cs="Times New Roman"/>
          <w:sz w:val="22"/>
          <w:szCs w:val="22"/>
        </w:rPr>
      </w:pPr>
      <w:r w:rsidRPr="009C0C39">
        <w:rPr>
          <w:rFonts w:ascii="Franklin Gothic Book" w:hAnsi="Franklin Gothic Book" w:cs="Times New Roman"/>
          <w:b/>
          <w:bCs/>
          <w:sz w:val="22"/>
          <w:szCs w:val="22"/>
        </w:rPr>
        <w:t>Otolaryngology surgery</w:t>
      </w:r>
      <w:r w:rsidRPr="009C0C39">
        <w:rPr>
          <w:rFonts w:ascii="Franklin Gothic Book" w:hAnsi="Franklin Gothic Book" w:cs="Times New Roman"/>
          <w:sz w:val="22"/>
          <w:szCs w:val="22"/>
        </w:rPr>
        <w:t>: The HPC defined outpatient otolaryngology surgery based on the relevant AMA CPT category, limited to visits that met the HCUP surgical flag definition referenced above. CPTs used were 30000-31599, 40490-40899, 41000-41599, 42000-42999, 69000-69020, 69105-69799, 69801-69979, 69990, 92502-92526, 92531-92534, 92540-92548, 92601-92633, 92640, 92700.</w:t>
      </w:r>
    </w:p>
    <w:p w14:paraId="02898BEB" w14:textId="17858FD2" w:rsidR="007D04F0" w:rsidRPr="009C0C39" w:rsidRDefault="007D04F0" w:rsidP="009257C1">
      <w:pPr>
        <w:pStyle w:val="ListParagraph"/>
        <w:numPr>
          <w:ilvl w:val="0"/>
          <w:numId w:val="20"/>
        </w:numPr>
        <w:rPr>
          <w:rFonts w:ascii="Franklin Gothic Book" w:hAnsi="Franklin Gothic Book" w:cs="Times New Roman"/>
          <w:sz w:val="22"/>
          <w:szCs w:val="22"/>
        </w:rPr>
      </w:pPr>
      <w:r w:rsidRPr="009C0C39">
        <w:rPr>
          <w:rFonts w:ascii="Franklin Gothic Book" w:hAnsi="Franklin Gothic Book" w:cs="Times New Roman"/>
          <w:b/>
          <w:bCs/>
          <w:sz w:val="22"/>
          <w:szCs w:val="22"/>
        </w:rPr>
        <w:t>General surgery</w:t>
      </w:r>
      <w:r w:rsidRPr="009C0C39">
        <w:rPr>
          <w:rFonts w:ascii="Franklin Gothic Book" w:hAnsi="Franklin Gothic Book" w:cs="Times New Roman"/>
          <w:sz w:val="22"/>
          <w:szCs w:val="22"/>
        </w:rPr>
        <w:t xml:space="preserve">: The definition of services falling within the category of general surgery may vary broadly depending on the staffing structure and degree of specialization within a given provider organization. The HPC defined a set of general surgery CPT codes with a relatively narrow interpretation of general surgery, representative of services that would commonly be provided by general surgeons even in settings with greater surgical subspecialization. CPT codes used were </w:t>
      </w:r>
      <w:r w:rsidR="00DA3753" w:rsidRPr="009C0C39">
        <w:rPr>
          <w:rFonts w:ascii="Franklin Gothic Book" w:hAnsi="Franklin Gothic Book" w:cs="Times New Roman"/>
          <w:sz w:val="22"/>
          <w:szCs w:val="22"/>
        </w:rPr>
        <w:t xml:space="preserve">10021, 10060, 10080, 10120, 10140-10160, 11008, 11012-11201, 11450, 11462, 11470, 11770-11771, 12001-12004, 12020-12034, 12041-12044, 15850-15852, 19000-19020, 19081-19105, 19120-19294, 19301-19303, 20612, 21920, 21930, 22902-22904, 23065, 23075, 23330, 24065, 24075, 25065, 25075, 27040, 27047, 27323, 27327, 27613, 27618, 36556, 36558, 36561, 36565, 36569, 36571, 36573, 36578-36590, 36595-36597, 38100-38129, 38300, 38500-38505, 38740-38745, 38747-38760, </w:t>
      </w:r>
      <w:r w:rsidRPr="009C0C39">
        <w:rPr>
          <w:rFonts w:ascii="Franklin Gothic Book" w:hAnsi="Franklin Gothic Book" w:cs="Times New Roman"/>
          <w:sz w:val="22"/>
          <w:szCs w:val="22"/>
        </w:rPr>
        <w:t>43279-43288, 43320-43327, 43330, 43332-43333, 43338-43340, 43400-43405, 43500-43502, 43605-43641, 43651-43653, 43800-43840, 43850-43880, 44005-44050, 44110-44125, 44130, 44139-44144, 44147-44151, 44160-44206, 44210, 44213, 44300-44312, 44320-44340, 44602-44625, 44680, 44701-44705, 44800-44850, 44900-44970, 45000-45108, 45190, 45300-45320, 45900-45990, 46020-46060, 46080-46261, 46320-46500, 46600-46615, 46900-46948, 47001, 47100, 47350, 47562-47564, 47600-47610, 48000, 48100, 49000-49002, 49013-49040, 46062-49084, 49185-49203, 49250-49326, 49402-49407, 49418-49424, 49505-49572, 49585-49590, 49650-49657.</w:t>
      </w:r>
    </w:p>
    <w:p w14:paraId="71C9595C" w14:textId="77777777" w:rsidR="007D04F0" w:rsidRPr="009C0C39" w:rsidRDefault="007D04F0" w:rsidP="007D04F0">
      <w:pPr>
        <w:rPr>
          <w:rFonts w:ascii="Franklin Gothic Book" w:hAnsi="Franklin Gothic Book" w:cs="Times New Roman"/>
          <w:sz w:val="22"/>
          <w:szCs w:val="22"/>
        </w:rPr>
      </w:pPr>
    </w:p>
    <w:p w14:paraId="547617F5" w14:textId="77777777" w:rsidR="007D04F0" w:rsidRPr="009C0C39" w:rsidRDefault="007D04F0" w:rsidP="007D04F0">
      <w:pPr>
        <w:rPr>
          <w:rFonts w:ascii="Franklin Gothic Book" w:hAnsi="Franklin Gothic Book" w:cs="Times New Roman"/>
          <w:sz w:val="22"/>
          <w:szCs w:val="22"/>
        </w:rPr>
      </w:pPr>
      <w:r w:rsidRPr="009C0C39">
        <w:rPr>
          <w:rFonts w:ascii="Franklin Gothic Book" w:hAnsi="Franklin Gothic Book" w:cs="Times New Roman"/>
          <w:sz w:val="22"/>
          <w:szCs w:val="22"/>
        </w:rPr>
        <w:t>We counted all claims from a given provider on the same day for a single patient as a visit so long as they included a facility or non-person professional claim with a CPT within the relevant cluster.</w:t>
      </w:r>
    </w:p>
    <w:p w14:paraId="5181F462" w14:textId="77777777" w:rsidR="007D04F0" w:rsidRPr="009C0C39" w:rsidRDefault="007D04F0" w:rsidP="007D04F0">
      <w:pPr>
        <w:rPr>
          <w:rFonts w:ascii="Franklin Gothic Book" w:hAnsi="Franklin Gothic Book" w:cs="Times New Roman"/>
          <w:sz w:val="22"/>
          <w:szCs w:val="22"/>
        </w:rPr>
      </w:pPr>
    </w:p>
    <w:p w14:paraId="01894067" w14:textId="322D9823" w:rsidR="007D04F0" w:rsidRPr="009C0C39" w:rsidRDefault="007D04F0" w:rsidP="007D04F0">
      <w:pPr>
        <w:rPr>
          <w:rFonts w:ascii="Franklin Gothic Book" w:hAnsi="Franklin Gothic Book" w:cs="Times New Roman"/>
          <w:i/>
          <w:iCs/>
          <w:sz w:val="22"/>
          <w:szCs w:val="22"/>
        </w:rPr>
      </w:pPr>
      <w:r w:rsidRPr="009C0C39">
        <w:rPr>
          <w:rFonts w:ascii="Franklin Gothic Book" w:hAnsi="Franklin Gothic Book" w:cs="Times New Roman"/>
          <w:i/>
          <w:iCs/>
          <w:sz w:val="22"/>
          <w:szCs w:val="22"/>
        </w:rPr>
        <w:t xml:space="preserve">Outpatient </w:t>
      </w:r>
      <w:r w:rsidR="00BC7F53" w:rsidRPr="009C0C39">
        <w:rPr>
          <w:rFonts w:ascii="Franklin Gothic Book" w:hAnsi="Franklin Gothic Book" w:cs="Times New Roman"/>
          <w:i/>
          <w:iCs/>
          <w:sz w:val="22"/>
          <w:szCs w:val="22"/>
        </w:rPr>
        <w:t>V</w:t>
      </w:r>
      <w:r w:rsidRPr="009C0C39">
        <w:rPr>
          <w:rFonts w:ascii="Franklin Gothic Book" w:hAnsi="Franklin Gothic Book" w:cs="Times New Roman"/>
          <w:i/>
          <w:iCs/>
          <w:sz w:val="22"/>
          <w:szCs w:val="22"/>
        </w:rPr>
        <w:t>isits</w:t>
      </w:r>
    </w:p>
    <w:p w14:paraId="249ED6DF" w14:textId="77777777" w:rsidR="00B2406A" w:rsidRPr="009C0C39" w:rsidRDefault="00B2406A" w:rsidP="007D04F0">
      <w:pPr>
        <w:rPr>
          <w:rFonts w:ascii="Franklin Gothic Book" w:hAnsi="Franklin Gothic Book" w:cs="Times New Roman"/>
          <w:i/>
          <w:iCs/>
          <w:sz w:val="22"/>
          <w:szCs w:val="22"/>
        </w:rPr>
      </w:pPr>
    </w:p>
    <w:p w14:paraId="09785902" w14:textId="7D8B5D9D" w:rsidR="007D04F0" w:rsidRPr="009C0C39" w:rsidRDefault="007D04F0"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identified outpatient visits in the 2018 APCD within each clinical cluster as all claims with the same relevant CPT code for the same patient on the same day. To link visits to specific provider organization facilities, each visit had to include an “anchor” claim identified in the claims data as a facility-type claim or a professional claim with a non-person provider type (i.e., an institutional or medical group provider rather than an individual). </w:t>
      </w:r>
    </w:p>
    <w:p w14:paraId="669353FB" w14:textId="77777777" w:rsidR="00B2406A" w:rsidRPr="009C0C39" w:rsidRDefault="00B2406A" w:rsidP="007D04F0">
      <w:pPr>
        <w:rPr>
          <w:rFonts w:ascii="Franklin Gothic Book" w:hAnsi="Franklin Gothic Book" w:cs="Times New Roman"/>
          <w:sz w:val="22"/>
          <w:szCs w:val="22"/>
        </w:rPr>
      </w:pPr>
    </w:p>
    <w:p w14:paraId="68FB4DEF" w14:textId="179F1EA4" w:rsidR="007D04F0" w:rsidRPr="009C0C39" w:rsidRDefault="007D04F0"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We used only claims for BCBS, HPHC, and THP due to greater confidence in data integrity for these payers;</w:t>
      </w:r>
      <w:r w:rsidR="00B2406A" w:rsidRPr="009C0C39">
        <w:rPr>
          <w:rStyle w:val="FootnoteReference"/>
          <w:rFonts w:ascii="Franklin Gothic Book" w:hAnsi="Franklin Gothic Book" w:cs="Times New Roman"/>
          <w:sz w:val="22"/>
          <w:szCs w:val="22"/>
        </w:rPr>
        <w:t xml:space="preserve"> </w:t>
      </w:r>
      <w:r w:rsidR="00B2406A" w:rsidRPr="009C0C39">
        <w:rPr>
          <w:rStyle w:val="FootnoteReference"/>
          <w:rFonts w:ascii="Franklin Gothic Book" w:hAnsi="Franklin Gothic Book" w:cs="Times New Roman"/>
          <w:sz w:val="22"/>
          <w:szCs w:val="22"/>
        </w:rPr>
        <w:footnoteReference w:id="176"/>
      </w:r>
      <w:r w:rsidR="00B2406A" w:rsidRPr="009C0C39">
        <w:rPr>
          <w:rStyle w:val="FootnoteReference"/>
          <w:rFonts w:ascii="Franklin Gothic Book" w:hAnsi="Franklin Gothic Book" w:cs="Times New Roman"/>
          <w:sz w:val="22"/>
          <w:szCs w:val="22"/>
          <w:vertAlign w:val="baseline"/>
        </w:rPr>
        <w:t xml:space="preserve"> </w:t>
      </w:r>
      <w:r w:rsidRPr="009C0C39">
        <w:rPr>
          <w:rFonts w:ascii="Franklin Gothic Book" w:hAnsi="Franklin Gothic Book" w:cs="Times New Roman"/>
          <w:sz w:val="22"/>
          <w:szCs w:val="22"/>
        </w:rPr>
        <w:t xml:space="preserve">when calculating shares of commercial market visits, we impute provider’s shares </w:t>
      </w:r>
      <w:r w:rsidRPr="009C0C39">
        <w:rPr>
          <w:rFonts w:ascii="Franklin Gothic Book" w:hAnsi="Franklin Gothic Book" w:cs="Times New Roman"/>
          <w:sz w:val="22"/>
          <w:szCs w:val="22"/>
        </w:rPr>
        <w:lastRenderedPageBreak/>
        <w:t>of visits for these three payers to the total commercial market. However, one key limitation of this methodology is that some clinic-licensed providers bill for relevant services solely under individual provider identifiers rather than institutional identifiers for certain payers, making it impossible to distinguish anchor claims for visits from the professional component of a visit with the same CPT. For example, Atrius Health (Atrius) claims to BCBS for advanced imaging include non-person professional type claims, but Atrius imaging claims to HPHC and THP use individual professional type claims. Our models thus understate the share of services attributable to certain non-hospital providers for certain payers.</w:t>
      </w:r>
    </w:p>
    <w:p w14:paraId="4E673957" w14:textId="77777777" w:rsidR="00B2406A" w:rsidRPr="009C0C39" w:rsidRDefault="00B2406A" w:rsidP="007D04F0">
      <w:pPr>
        <w:rPr>
          <w:rFonts w:ascii="Franklin Gothic Book" w:hAnsi="Franklin Gothic Book" w:cs="Times New Roman"/>
          <w:sz w:val="22"/>
          <w:szCs w:val="22"/>
        </w:rPr>
      </w:pPr>
    </w:p>
    <w:p w14:paraId="0BE9B59D" w14:textId="77777777" w:rsidR="007D04F0" w:rsidRPr="009C0C39" w:rsidRDefault="007D04F0"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also defined general outpatient facility visits for the purpose of examining hospital outpatient department shares. The HPC defined a general outpatient facility visit as all claims for the same patient on the same day as an “anchor” claim identified in the claims data as a facility-type claim with the site of service of “hospital outpatient department” or a non-person professional claim for which the site of service “ambulatory surgery center.”</w:t>
      </w:r>
    </w:p>
    <w:p w14:paraId="1FE8F37F" w14:textId="77777777" w:rsidR="007D04F0" w:rsidRPr="009C0C39" w:rsidRDefault="007D04F0" w:rsidP="007D04F0">
      <w:pPr>
        <w:rPr>
          <w:rFonts w:ascii="Franklin Gothic Book" w:hAnsi="Franklin Gothic Book" w:cs="Times New Roman"/>
          <w:sz w:val="22"/>
          <w:szCs w:val="22"/>
        </w:rPr>
      </w:pPr>
    </w:p>
    <w:p w14:paraId="46D21019" w14:textId="60433E8F" w:rsidR="007D04F0" w:rsidRPr="009C0C39" w:rsidRDefault="007D04F0" w:rsidP="007D04F0">
      <w:pPr>
        <w:rPr>
          <w:rFonts w:ascii="Franklin Gothic Book" w:hAnsi="Franklin Gothic Book" w:cs="Times New Roman"/>
          <w:i/>
          <w:iCs/>
          <w:sz w:val="22"/>
          <w:szCs w:val="22"/>
        </w:rPr>
      </w:pPr>
      <w:r w:rsidRPr="009C0C39">
        <w:rPr>
          <w:rFonts w:ascii="Franklin Gothic Book" w:hAnsi="Franklin Gothic Book" w:cs="Times New Roman"/>
          <w:i/>
          <w:iCs/>
          <w:sz w:val="22"/>
          <w:szCs w:val="22"/>
        </w:rPr>
        <w:t xml:space="preserve">Outpatient </w:t>
      </w:r>
      <w:r w:rsidR="00BC7F53" w:rsidRPr="009C0C39">
        <w:rPr>
          <w:rFonts w:ascii="Franklin Gothic Book" w:hAnsi="Franklin Gothic Book" w:cs="Times New Roman"/>
          <w:i/>
          <w:iCs/>
          <w:sz w:val="22"/>
          <w:szCs w:val="22"/>
        </w:rPr>
        <w:t>P</w:t>
      </w:r>
      <w:r w:rsidRPr="009C0C39">
        <w:rPr>
          <w:rFonts w:ascii="Franklin Gothic Book" w:hAnsi="Franklin Gothic Book" w:cs="Times New Roman"/>
          <w:i/>
          <w:iCs/>
          <w:sz w:val="22"/>
          <w:szCs w:val="22"/>
        </w:rPr>
        <w:t xml:space="preserve">rices </w:t>
      </w:r>
      <w:r w:rsidR="00BC7F53" w:rsidRPr="009C0C39">
        <w:rPr>
          <w:rFonts w:ascii="Franklin Gothic Book" w:hAnsi="Franklin Gothic Book" w:cs="Times New Roman"/>
          <w:i/>
          <w:iCs/>
          <w:sz w:val="22"/>
          <w:szCs w:val="22"/>
        </w:rPr>
        <w:t>P</w:t>
      </w:r>
      <w:r w:rsidRPr="009C0C39">
        <w:rPr>
          <w:rFonts w:ascii="Franklin Gothic Book" w:hAnsi="Franklin Gothic Book" w:cs="Times New Roman"/>
          <w:i/>
          <w:iCs/>
          <w:sz w:val="22"/>
          <w:szCs w:val="22"/>
        </w:rPr>
        <w:t xml:space="preserve">er </w:t>
      </w:r>
      <w:r w:rsidR="00BC7F53" w:rsidRPr="009C0C39">
        <w:rPr>
          <w:rFonts w:ascii="Franklin Gothic Book" w:hAnsi="Franklin Gothic Book" w:cs="Times New Roman"/>
          <w:i/>
          <w:iCs/>
          <w:sz w:val="22"/>
          <w:szCs w:val="22"/>
        </w:rPr>
        <w:t>V</w:t>
      </w:r>
      <w:r w:rsidRPr="009C0C39">
        <w:rPr>
          <w:rFonts w:ascii="Franklin Gothic Book" w:hAnsi="Franklin Gothic Book" w:cs="Times New Roman"/>
          <w:i/>
          <w:iCs/>
          <w:sz w:val="22"/>
          <w:szCs w:val="22"/>
        </w:rPr>
        <w:t>isit</w:t>
      </w:r>
    </w:p>
    <w:p w14:paraId="19A818F0" w14:textId="77777777" w:rsidR="00B2406A" w:rsidRPr="009C0C39" w:rsidRDefault="00B2406A" w:rsidP="007D04F0">
      <w:pPr>
        <w:rPr>
          <w:rFonts w:ascii="Franklin Gothic Book" w:hAnsi="Franklin Gothic Book" w:cs="Times New Roman"/>
          <w:i/>
          <w:iCs/>
          <w:sz w:val="22"/>
          <w:szCs w:val="22"/>
        </w:rPr>
      </w:pPr>
    </w:p>
    <w:p w14:paraId="036E569A" w14:textId="4BF91E86" w:rsidR="00BC7F53" w:rsidRDefault="007D04F0"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To calculate average prices per service for services in the outpatient clusters defined above, the HPC examined prices per visit for outpatient services using the 2018 APCD. We used only claims for BCBS, HPHC, and THP due to greater confidence in data integrity for these payers. Claims paid under global payment arrangements or other non-fee-for-service methods were not included in price calculations. The HPC identified allowed amounts for all facility and professional claims associated with visits, as defined above, at a given provider. We then then divided by the number of facility and professional claims and added the per-visit facility and professional allowed amounts to create a price per visit. </w:t>
      </w:r>
    </w:p>
    <w:p w14:paraId="2F14DE43" w14:textId="77777777" w:rsidR="003E385F" w:rsidRPr="009C0C39" w:rsidRDefault="003E385F" w:rsidP="00F16580">
      <w:pPr>
        <w:ind w:firstLine="720"/>
        <w:rPr>
          <w:rFonts w:ascii="Franklin Gothic Book" w:hAnsi="Franklin Gothic Book" w:cs="Times New Roman"/>
          <w:sz w:val="22"/>
          <w:szCs w:val="22"/>
        </w:rPr>
      </w:pPr>
    </w:p>
    <w:p w14:paraId="68E97BD6" w14:textId="733A31F4" w:rsidR="00C50EB8" w:rsidRPr="009C0C39" w:rsidRDefault="00C50EB8" w:rsidP="00C50EB8">
      <w:pPr>
        <w:rPr>
          <w:rFonts w:ascii="Franklin Gothic Book" w:hAnsi="Franklin Gothic Book" w:cs="Times New Roman"/>
          <w:i/>
          <w:iCs/>
          <w:sz w:val="22"/>
          <w:szCs w:val="22"/>
        </w:rPr>
      </w:pPr>
      <w:r w:rsidRPr="009C0C39">
        <w:rPr>
          <w:rFonts w:ascii="Franklin Gothic Book" w:hAnsi="Franklin Gothic Book" w:cs="Times New Roman"/>
          <w:i/>
          <w:iCs/>
          <w:sz w:val="22"/>
          <w:szCs w:val="22"/>
        </w:rPr>
        <w:t>MGB HOPD Backfill Spending Differentials</w:t>
      </w:r>
    </w:p>
    <w:p w14:paraId="2BA4BEB7" w14:textId="1A9B5049" w:rsidR="00C50EB8" w:rsidRPr="009C0C39" w:rsidRDefault="00C50EB8" w:rsidP="00C50EB8">
      <w:pPr>
        <w:rPr>
          <w:rFonts w:ascii="Franklin Gothic Book" w:hAnsi="Franklin Gothic Book" w:cs="Times New Roman"/>
          <w:sz w:val="22"/>
          <w:szCs w:val="22"/>
        </w:rPr>
      </w:pPr>
    </w:p>
    <w:p w14:paraId="54BC304C" w14:textId="77777777" w:rsidR="007060C5" w:rsidRPr="009C0C39" w:rsidRDefault="00C50EB8" w:rsidP="00C50EB8">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estimated commercial spending and revenue impacts </w:t>
      </w:r>
      <w:r w:rsidR="00C609A6" w:rsidRPr="009C0C39">
        <w:rPr>
          <w:rFonts w:ascii="Franklin Gothic Book" w:hAnsi="Franklin Gothic Book" w:cs="Times New Roman"/>
          <w:sz w:val="22"/>
          <w:szCs w:val="22"/>
        </w:rPr>
        <w:t xml:space="preserve">for MGB hospitals (MGH, Faulkner, Brigham &amp; Women’s Hospital, North Shore Medical Center, and Newton-Wellesley) backfilling care that would shift to the proposed ambulatory sites. </w:t>
      </w:r>
    </w:p>
    <w:p w14:paraId="557EEBAE" w14:textId="77777777" w:rsidR="007060C5" w:rsidRPr="009C0C39" w:rsidRDefault="007060C5" w:rsidP="00C50EB8">
      <w:pPr>
        <w:ind w:firstLine="720"/>
        <w:rPr>
          <w:rFonts w:ascii="Franklin Gothic Book" w:hAnsi="Franklin Gothic Book" w:cs="Times New Roman"/>
          <w:sz w:val="22"/>
          <w:szCs w:val="22"/>
        </w:rPr>
      </w:pPr>
    </w:p>
    <w:p w14:paraId="003CE7E4" w14:textId="427D5EC6" w:rsidR="007060C5" w:rsidRPr="009C0C39" w:rsidRDefault="007060C5" w:rsidP="00C50EB8">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To estimate a per-case spending impact f</w:t>
      </w:r>
      <w:r w:rsidR="00C609A6" w:rsidRPr="009C0C39">
        <w:rPr>
          <w:rFonts w:ascii="Franklin Gothic Book" w:hAnsi="Franklin Gothic Book" w:cs="Times New Roman"/>
          <w:sz w:val="22"/>
          <w:szCs w:val="22"/>
        </w:rPr>
        <w:t xml:space="preserve">or </w:t>
      </w:r>
      <w:r w:rsidRPr="009C0C39">
        <w:rPr>
          <w:rFonts w:ascii="Franklin Gothic Book" w:hAnsi="Franklin Gothic Book" w:cs="Times New Roman"/>
          <w:sz w:val="22"/>
          <w:szCs w:val="22"/>
        </w:rPr>
        <w:t xml:space="preserve">the </w:t>
      </w:r>
      <w:r w:rsidR="00C50EB8" w:rsidRPr="009C0C39">
        <w:rPr>
          <w:rFonts w:ascii="Franklin Gothic Book" w:hAnsi="Franklin Gothic Book" w:cs="Times New Roman"/>
          <w:sz w:val="22"/>
          <w:szCs w:val="22"/>
        </w:rPr>
        <w:t>CT and MR</w:t>
      </w:r>
      <w:r w:rsidRPr="009C0C39">
        <w:rPr>
          <w:rFonts w:ascii="Franklin Gothic Book" w:hAnsi="Franklin Gothic Book" w:cs="Times New Roman"/>
          <w:sz w:val="22"/>
          <w:szCs w:val="22"/>
        </w:rPr>
        <w:t xml:space="preserve"> service clusters, as defined above</w:t>
      </w:r>
      <w:r w:rsidR="00C609A6" w:rsidRPr="009C0C39">
        <w:rPr>
          <w:rFonts w:ascii="Franklin Gothic Book" w:hAnsi="Franklin Gothic Book" w:cs="Times New Roman"/>
          <w:sz w:val="22"/>
          <w:szCs w:val="22"/>
        </w:rPr>
        <w:t xml:space="preserve">, the HPC calculated </w:t>
      </w:r>
      <w:r w:rsidR="00C50EB8" w:rsidRPr="009C0C39">
        <w:rPr>
          <w:rFonts w:ascii="Franklin Gothic Book" w:hAnsi="Franklin Gothic Book" w:cs="Times New Roman"/>
          <w:sz w:val="22"/>
          <w:szCs w:val="22"/>
        </w:rPr>
        <w:t xml:space="preserve">the difference in </w:t>
      </w:r>
      <w:r w:rsidR="00C609A6" w:rsidRPr="009C0C39">
        <w:rPr>
          <w:rFonts w:ascii="Franklin Gothic Book" w:hAnsi="Franklin Gothic Book" w:cs="Times New Roman"/>
          <w:sz w:val="22"/>
          <w:szCs w:val="22"/>
        </w:rPr>
        <w:t xml:space="preserve">2018 </w:t>
      </w:r>
      <w:r w:rsidR="00C50EB8" w:rsidRPr="009C0C39">
        <w:rPr>
          <w:rFonts w:ascii="Franklin Gothic Book" w:hAnsi="Franklin Gothic Book" w:cs="Times New Roman"/>
          <w:sz w:val="22"/>
          <w:szCs w:val="22"/>
        </w:rPr>
        <w:t xml:space="preserve">APCD </w:t>
      </w:r>
      <w:r w:rsidR="00566D73" w:rsidRPr="009C0C39">
        <w:rPr>
          <w:rFonts w:ascii="Franklin Gothic Book" w:hAnsi="Franklin Gothic Book" w:cs="Times New Roman"/>
          <w:sz w:val="22"/>
          <w:szCs w:val="22"/>
        </w:rPr>
        <w:t xml:space="preserve">facility </w:t>
      </w:r>
      <w:r w:rsidR="00C609A6" w:rsidRPr="009C0C39">
        <w:rPr>
          <w:rFonts w:ascii="Franklin Gothic Book" w:hAnsi="Franklin Gothic Book" w:cs="Times New Roman"/>
          <w:sz w:val="22"/>
          <w:szCs w:val="22"/>
        </w:rPr>
        <w:t xml:space="preserve">and professional </w:t>
      </w:r>
      <w:r w:rsidR="00C50EB8" w:rsidRPr="009C0C39">
        <w:rPr>
          <w:rFonts w:ascii="Franklin Gothic Book" w:hAnsi="Franklin Gothic Book" w:cs="Times New Roman"/>
          <w:sz w:val="22"/>
          <w:szCs w:val="22"/>
        </w:rPr>
        <w:t xml:space="preserve">rates between </w:t>
      </w:r>
      <w:r w:rsidR="00C609A6" w:rsidRPr="009C0C39">
        <w:rPr>
          <w:rFonts w:ascii="Franklin Gothic Book" w:hAnsi="Franklin Gothic Book" w:cs="Times New Roman"/>
          <w:sz w:val="22"/>
          <w:szCs w:val="22"/>
        </w:rPr>
        <w:t xml:space="preserve">each MGB hospital </w:t>
      </w:r>
      <w:r w:rsidR="00C50EB8" w:rsidRPr="009C0C39">
        <w:rPr>
          <w:rFonts w:ascii="Franklin Gothic Book" w:hAnsi="Franklin Gothic Book" w:cs="Times New Roman"/>
          <w:sz w:val="22"/>
          <w:szCs w:val="22"/>
        </w:rPr>
        <w:t xml:space="preserve">and the weighted average price of other advanced imaging providers in </w:t>
      </w:r>
      <w:r w:rsidR="00C609A6" w:rsidRPr="009C0C39">
        <w:rPr>
          <w:rFonts w:ascii="Franklin Gothic Book" w:hAnsi="Franklin Gothic Book" w:cs="Times New Roman"/>
          <w:sz w:val="22"/>
          <w:szCs w:val="22"/>
        </w:rPr>
        <w:t xml:space="preserve">each hospital’s </w:t>
      </w:r>
      <w:r w:rsidR="00C50EB8" w:rsidRPr="009C0C39">
        <w:rPr>
          <w:rFonts w:ascii="Franklin Gothic Book" w:hAnsi="Franklin Gothic Book" w:cs="Times New Roman"/>
          <w:sz w:val="22"/>
          <w:szCs w:val="22"/>
        </w:rPr>
        <w:t>75% hospital outpatient service</w:t>
      </w:r>
      <w:r w:rsidR="00C609A6" w:rsidRPr="009C0C39">
        <w:rPr>
          <w:rFonts w:ascii="Franklin Gothic Book" w:hAnsi="Franklin Gothic Book" w:cs="Times New Roman"/>
          <w:sz w:val="22"/>
          <w:szCs w:val="22"/>
        </w:rPr>
        <w:t xml:space="preserve"> area</w:t>
      </w:r>
      <w:r w:rsidRPr="009C0C39">
        <w:rPr>
          <w:rFonts w:ascii="Franklin Gothic Book" w:hAnsi="Franklin Gothic Book" w:cs="Times New Roman"/>
          <w:sz w:val="22"/>
          <w:szCs w:val="22"/>
        </w:rPr>
        <w:t>.</w:t>
      </w:r>
      <w:r w:rsidR="00C50EB8"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This was done by observing </w:t>
      </w:r>
      <w:r w:rsidR="00C609A6" w:rsidRPr="009C0C39">
        <w:rPr>
          <w:rFonts w:ascii="Franklin Gothic Book" w:hAnsi="Franklin Gothic Book" w:cs="Times New Roman"/>
          <w:sz w:val="22"/>
          <w:szCs w:val="22"/>
        </w:rPr>
        <w:t xml:space="preserve">the average rate differential for the top five CPT codes by volume in each cluster </w:t>
      </w:r>
      <w:r w:rsidRPr="009C0C39">
        <w:rPr>
          <w:rFonts w:ascii="Franklin Gothic Book" w:hAnsi="Franklin Gothic Book" w:cs="Times New Roman"/>
          <w:sz w:val="22"/>
          <w:szCs w:val="22"/>
        </w:rPr>
        <w:t xml:space="preserve">and applying this differential </w:t>
      </w:r>
      <w:r w:rsidR="00C609A6" w:rsidRPr="009C0C39">
        <w:rPr>
          <w:rFonts w:ascii="Franklin Gothic Book" w:hAnsi="Franklin Gothic Book" w:cs="Times New Roman"/>
          <w:sz w:val="22"/>
          <w:szCs w:val="22"/>
        </w:rPr>
        <w:t xml:space="preserve">to the total revenue for the cluster. We then </w:t>
      </w:r>
      <w:r w:rsidR="00C50EB8" w:rsidRPr="009C0C39">
        <w:rPr>
          <w:rFonts w:ascii="Franklin Gothic Book" w:hAnsi="Franklin Gothic Book" w:cs="Times New Roman"/>
          <w:sz w:val="22"/>
          <w:szCs w:val="22"/>
        </w:rPr>
        <w:t>weight</w:t>
      </w:r>
      <w:r w:rsidR="00C609A6" w:rsidRPr="009C0C39">
        <w:rPr>
          <w:rFonts w:ascii="Franklin Gothic Book" w:hAnsi="Franklin Gothic Book" w:cs="Times New Roman"/>
          <w:sz w:val="22"/>
          <w:szCs w:val="22"/>
        </w:rPr>
        <w:t>ed</w:t>
      </w:r>
      <w:r w:rsidR="00C50EB8" w:rsidRPr="009C0C39">
        <w:rPr>
          <w:rFonts w:ascii="Franklin Gothic Book" w:hAnsi="Franklin Gothic Book" w:cs="Times New Roman"/>
          <w:sz w:val="22"/>
          <w:szCs w:val="22"/>
        </w:rPr>
        <w:t xml:space="preserve"> these </w:t>
      </w:r>
      <w:r w:rsidRPr="009C0C39">
        <w:rPr>
          <w:rFonts w:ascii="Franklin Gothic Book" w:hAnsi="Franklin Gothic Book" w:cs="Times New Roman"/>
          <w:sz w:val="22"/>
          <w:szCs w:val="22"/>
        </w:rPr>
        <w:t xml:space="preserve">price </w:t>
      </w:r>
      <w:r w:rsidR="00C609A6" w:rsidRPr="009C0C39">
        <w:rPr>
          <w:rFonts w:ascii="Franklin Gothic Book" w:hAnsi="Franklin Gothic Book" w:cs="Times New Roman"/>
          <w:sz w:val="22"/>
          <w:szCs w:val="22"/>
        </w:rPr>
        <w:t xml:space="preserve">differentials </w:t>
      </w:r>
      <w:r w:rsidR="00C50EB8" w:rsidRPr="009C0C39">
        <w:rPr>
          <w:rFonts w:ascii="Franklin Gothic Book" w:hAnsi="Franklin Gothic Book" w:cs="Times New Roman"/>
          <w:sz w:val="22"/>
          <w:szCs w:val="22"/>
        </w:rPr>
        <w:t xml:space="preserve">by the proportion of commercial </w:t>
      </w:r>
      <w:r w:rsidRPr="009C0C39">
        <w:rPr>
          <w:rFonts w:ascii="Franklin Gothic Book" w:hAnsi="Franklin Gothic Book" w:cs="Times New Roman"/>
          <w:sz w:val="22"/>
          <w:szCs w:val="22"/>
        </w:rPr>
        <w:t xml:space="preserve">advanced imaging scans </w:t>
      </w:r>
      <w:r w:rsidR="00C50EB8" w:rsidRPr="009C0C39">
        <w:rPr>
          <w:rFonts w:ascii="Franklin Gothic Book" w:hAnsi="Franklin Gothic Book" w:cs="Times New Roman"/>
          <w:sz w:val="22"/>
          <w:szCs w:val="22"/>
        </w:rPr>
        <w:t xml:space="preserve">that would shift from each MGB hospital to the new ambulatory sites under the HPC’s proportional diversion model. </w:t>
      </w:r>
    </w:p>
    <w:p w14:paraId="6CB7E64E" w14:textId="77777777" w:rsidR="007060C5" w:rsidRPr="009C0C39" w:rsidRDefault="007060C5" w:rsidP="00C50EB8">
      <w:pPr>
        <w:ind w:firstLine="720"/>
        <w:rPr>
          <w:rFonts w:ascii="Franklin Gothic Book" w:hAnsi="Franklin Gothic Book" w:cs="Times New Roman"/>
          <w:sz w:val="22"/>
          <w:szCs w:val="22"/>
        </w:rPr>
      </w:pPr>
    </w:p>
    <w:p w14:paraId="15E0D6A6" w14:textId="710A7437" w:rsidR="00C50EB8" w:rsidRPr="009C0C39" w:rsidRDefault="00C50EB8" w:rsidP="00C50EB8">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Because it is unclear whether MGB hospitals would backfill ambulatory surgery volume shifting to the new ambulatory sites with the same type of surgery, another type of ambulatory surgery, or another type of service, the HPC calculated a generic commercial outpatient spending differential to use as the backfill differential for outpatient surgery. The HPC calculated </w:t>
      </w:r>
      <w:r w:rsidR="00566D73"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 xml:space="preserve">average </w:t>
      </w:r>
      <w:r w:rsidR="00566D73" w:rsidRPr="009C0C39">
        <w:rPr>
          <w:rFonts w:ascii="Franklin Gothic Book" w:hAnsi="Franklin Gothic Book" w:cs="Times New Roman"/>
          <w:sz w:val="22"/>
          <w:szCs w:val="22"/>
        </w:rPr>
        <w:t xml:space="preserve">facility </w:t>
      </w:r>
      <w:r w:rsidRPr="009C0C39">
        <w:rPr>
          <w:rFonts w:ascii="Franklin Gothic Book" w:hAnsi="Franklin Gothic Book" w:cs="Times New Roman"/>
          <w:sz w:val="22"/>
          <w:szCs w:val="22"/>
        </w:rPr>
        <w:t>revenue per commercial outpatient visit</w:t>
      </w:r>
      <w:r w:rsidR="00566D73" w:rsidRPr="009C0C39">
        <w:rPr>
          <w:rFonts w:ascii="Franklin Gothic Book" w:hAnsi="Franklin Gothic Book" w:cs="Times New Roman"/>
          <w:sz w:val="22"/>
          <w:szCs w:val="22"/>
        </w:rPr>
        <w:t xml:space="preserve"> in the APCD</w:t>
      </w:r>
      <w:r w:rsidRPr="009C0C39">
        <w:rPr>
          <w:rFonts w:ascii="Franklin Gothic Book" w:hAnsi="Franklin Gothic Book" w:cs="Times New Roman"/>
          <w:sz w:val="22"/>
          <w:szCs w:val="22"/>
        </w:rPr>
        <w:t xml:space="preserve"> </w:t>
      </w:r>
      <w:r w:rsidR="00566D73" w:rsidRPr="009C0C39">
        <w:rPr>
          <w:rFonts w:ascii="Franklin Gothic Book" w:hAnsi="Franklin Gothic Book" w:cs="Times New Roman"/>
          <w:sz w:val="22"/>
          <w:szCs w:val="22"/>
        </w:rPr>
        <w:t>for non-MGB</w:t>
      </w:r>
      <w:r w:rsidRPr="009C0C39">
        <w:rPr>
          <w:rFonts w:ascii="Franklin Gothic Book" w:hAnsi="Franklin Gothic Book" w:cs="Times New Roman"/>
          <w:sz w:val="22"/>
          <w:szCs w:val="22"/>
        </w:rPr>
        <w:t xml:space="preserve"> hospitals</w:t>
      </w:r>
      <w:r w:rsidR="00566D73" w:rsidRPr="009C0C39">
        <w:rPr>
          <w:rFonts w:ascii="Franklin Gothic Book" w:hAnsi="Franklin Gothic Book" w:cs="Times New Roman"/>
          <w:sz w:val="22"/>
          <w:szCs w:val="22"/>
        </w:rPr>
        <w:t xml:space="preserve"> in each MGB hospital’s 75% outpatient service area</w:t>
      </w:r>
      <w:r w:rsidRPr="009C0C39">
        <w:rPr>
          <w:rFonts w:ascii="Franklin Gothic Book" w:hAnsi="Franklin Gothic Book" w:cs="Times New Roman"/>
          <w:sz w:val="22"/>
          <w:szCs w:val="22"/>
        </w:rPr>
        <w:t xml:space="preserve">, weighted by those hospitals’ outpatient volume in </w:t>
      </w:r>
      <w:r w:rsidR="00566D73" w:rsidRPr="009C0C39">
        <w:rPr>
          <w:rFonts w:ascii="Franklin Gothic Book" w:hAnsi="Franklin Gothic Book" w:cs="Times New Roman"/>
          <w:sz w:val="22"/>
          <w:szCs w:val="22"/>
        </w:rPr>
        <w:t>the</w:t>
      </w:r>
      <w:r w:rsidRPr="009C0C39">
        <w:rPr>
          <w:rFonts w:ascii="Franklin Gothic Book" w:hAnsi="Franklin Gothic Book" w:cs="Times New Roman"/>
          <w:sz w:val="22"/>
          <w:szCs w:val="22"/>
        </w:rPr>
        <w:t xml:space="preserve"> service area.</w:t>
      </w:r>
      <w:r w:rsidR="00566D73" w:rsidRPr="009C0C39">
        <w:rPr>
          <w:rFonts w:ascii="Franklin Gothic Book" w:hAnsi="Franklin Gothic Book" w:cs="Times New Roman"/>
          <w:sz w:val="22"/>
          <w:szCs w:val="22"/>
        </w:rPr>
        <w:t xml:space="preserve"> We then calculated the difference in commercial outpatient relative price between the MGB hospital and the non-MGB hospitals in each MGB hospital’s 75% outpatient service area, weighted by those hospitals’ outpatient volume in the service area. We then applied this differential to the other hospitals’ outpatient facility revenue per commercial visit in order to estimate the difference in average commercial spending per visit between the MGB hospital and other service area hospitals.</w:t>
      </w:r>
      <w:r w:rsidRPr="009C0C39">
        <w:rPr>
          <w:rFonts w:ascii="Franklin Gothic Book" w:hAnsi="Franklin Gothic Book" w:cs="Times New Roman"/>
          <w:sz w:val="22"/>
          <w:szCs w:val="22"/>
        </w:rPr>
        <w:t xml:space="preserve"> The HPC then estimated the physician component of the spending differential by </w:t>
      </w:r>
      <w:r w:rsidR="007060C5" w:rsidRPr="009C0C39">
        <w:rPr>
          <w:rFonts w:ascii="Franklin Gothic Book" w:hAnsi="Franklin Gothic Book" w:cs="Times New Roman"/>
          <w:sz w:val="22"/>
          <w:szCs w:val="22"/>
        </w:rPr>
        <w:t xml:space="preserve">observing the </w:t>
      </w:r>
      <w:r w:rsidRPr="009C0C39">
        <w:rPr>
          <w:rFonts w:ascii="Franklin Gothic Book" w:hAnsi="Franklin Gothic Book" w:cs="Times New Roman"/>
          <w:sz w:val="22"/>
          <w:szCs w:val="22"/>
        </w:rPr>
        <w:lastRenderedPageBreak/>
        <w:t xml:space="preserve">proportion of hospital </w:t>
      </w:r>
      <w:r w:rsidR="007060C5" w:rsidRPr="009C0C39">
        <w:rPr>
          <w:rFonts w:ascii="Franklin Gothic Book" w:hAnsi="Franklin Gothic Book" w:cs="Times New Roman"/>
          <w:sz w:val="22"/>
          <w:szCs w:val="22"/>
        </w:rPr>
        <w:t xml:space="preserve">revenue to </w:t>
      </w:r>
      <w:r w:rsidRPr="009C0C39">
        <w:rPr>
          <w:rFonts w:ascii="Franklin Gothic Book" w:hAnsi="Franklin Gothic Book" w:cs="Times New Roman"/>
          <w:sz w:val="22"/>
          <w:szCs w:val="22"/>
        </w:rPr>
        <w:t xml:space="preserve">facility revenue </w:t>
      </w:r>
      <w:r w:rsidR="007060C5" w:rsidRPr="009C0C39">
        <w:rPr>
          <w:rFonts w:ascii="Franklin Gothic Book" w:hAnsi="Franklin Gothic Book" w:cs="Times New Roman"/>
          <w:sz w:val="22"/>
          <w:szCs w:val="22"/>
        </w:rPr>
        <w:t xml:space="preserve">for ambulatory surgeries we examined in the APCD, per the clinical cluster descriptions above. We applied this ratio </w:t>
      </w:r>
      <w:r w:rsidRPr="009C0C39">
        <w:rPr>
          <w:rFonts w:ascii="Franklin Gothic Book" w:hAnsi="Franklin Gothic Book" w:cs="Times New Roman"/>
          <w:sz w:val="22"/>
          <w:szCs w:val="22"/>
        </w:rPr>
        <w:t xml:space="preserve">to the calculated average facility outpatient revenue figures and applied the difference in relative price between </w:t>
      </w:r>
      <w:r w:rsidR="007060C5" w:rsidRPr="009C0C39">
        <w:rPr>
          <w:rFonts w:ascii="Franklin Gothic Book" w:hAnsi="Franklin Gothic Book" w:cs="Times New Roman"/>
          <w:sz w:val="22"/>
          <w:szCs w:val="22"/>
        </w:rPr>
        <w:t xml:space="preserve">MGB’s physician group, PCPO, </w:t>
      </w:r>
      <w:r w:rsidRPr="009C0C39">
        <w:rPr>
          <w:rFonts w:ascii="Franklin Gothic Book" w:hAnsi="Franklin Gothic Book" w:cs="Times New Roman"/>
          <w:sz w:val="22"/>
          <w:szCs w:val="22"/>
        </w:rPr>
        <w:t>and the average physician RP of groups affiliated with other hospitals, weighted by those hospitals’ outpatient volume in each MGB hospital’s 75% outpatient service area.</w:t>
      </w:r>
      <w:r w:rsidR="007060C5" w:rsidRPr="009C0C39">
        <w:rPr>
          <w:rFonts w:ascii="Franklin Gothic Book" w:hAnsi="Franklin Gothic Book" w:cs="Times New Roman"/>
          <w:sz w:val="22"/>
          <w:szCs w:val="22"/>
        </w:rPr>
        <w:t xml:space="preserve"> This produced an average difference in commercial </w:t>
      </w:r>
      <w:r w:rsidR="00566D73" w:rsidRPr="009C0C39">
        <w:rPr>
          <w:rFonts w:ascii="Franklin Gothic Book" w:hAnsi="Franklin Gothic Book" w:cs="Times New Roman"/>
          <w:sz w:val="22"/>
          <w:szCs w:val="22"/>
        </w:rPr>
        <w:t xml:space="preserve">facility </w:t>
      </w:r>
      <w:r w:rsidR="007060C5" w:rsidRPr="009C0C39">
        <w:rPr>
          <w:rFonts w:ascii="Franklin Gothic Book" w:hAnsi="Franklin Gothic Book" w:cs="Times New Roman"/>
          <w:sz w:val="22"/>
          <w:szCs w:val="22"/>
        </w:rPr>
        <w:t>and professional spending per outpatient case shifted to MGB hospitals from other hospitals in their service areas; we then weighted these price differentials by the proportion of commercial ambulatory surgery care that would shift from each MGB hospital to the new ambulatory sites under the HPC’s proportional diversion model</w:t>
      </w:r>
      <w:r w:rsidR="003E385F">
        <w:rPr>
          <w:rFonts w:ascii="Franklin Gothic Book" w:hAnsi="Franklin Gothic Book" w:cs="Times New Roman"/>
          <w:sz w:val="22"/>
          <w:szCs w:val="22"/>
        </w:rPr>
        <w:t>.</w:t>
      </w:r>
    </w:p>
    <w:p w14:paraId="72EB0270" w14:textId="417AA4A2" w:rsidR="0033119B" w:rsidRPr="009C0C39" w:rsidRDefault="0033119B" w:rsidP="007D04F0">
      <w:pPr>
        <w:rPr>
          <w:rFonts w:ascii="Franklin Gothic Book" w:hAnsi="Franklin Gothic Book" w:cs="Times New Roman"/>
          <w:sz w:val="22"/>
          <w:szCs w:val="22"/>
        </w:rPr>
      </w:pPr>
    </w:p>
    <w:p w14:paraId="190AB0DF" w14:textId="714DB9CB" w:rsidR="00F16580" w:rsidRPr="009C0C39" w:rsidRDefault="00F16580" w:rsidP="007D04F0">
      <w:pPr>
        <w:rPr>
          <w:rFonts w:ascii="Franklin Gothic Book" w:hAnsi="Franklin Gothic Book" w:cs="Times New Roman"/>
          <w:i/>
          <w:iCs/>
          <w:sz w:val="22"/>
          <w:szCs w:val="22"/>
        </w:rPr>
      </w:pPr>
      <w:r w:rsidRPr="009C0C39">
        <w:rPr>
          <w:rFonts w:ascii="Franklin Gothic Book" w:hAnsi="Franklin Gothic Book" w:cs="Times New Roman"/>
          <w:i/>
          <w:iCs/>
          <w:sz w:val="22"/>
          <w:szCs w:val="22"/>
        </w:rPr>
        <w:t>Inpatient Diversion Model and Spending Impacts</w:t>
      </w:r>
    </w:p>
    <w:p w14:paraId="717BB832" w14:textId="77777777" w:rsidR="00F16580" w:rsidRPr="009C0C39" w:rsidRDefault="00F16580" w:rsidP="007D04F0">
      <w:pPr>
        <w:rPr>
          <w:rFonts w:ascii="Franklin Gothic Book" w:hAnsi="Franklin Gothic Book" w:cs="Times New Roman"/>
          <w:sz w:val="22"/>
          <w:szCs w:val="22"/>
        </w:rPr>
      </w:pPr>
    </w:p>
    <w:p w14:paraId="1A6542A5" w14:textId="345B9523" w:rsidR="001350E7" w:rsidRPr="009C0C39" w:rsidRDefault="001350E7"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used a multinomial logit hospital choice model t</w:t>
      </w:r>
      <w:r w:rsidR="00F16580" w:rsidRPr="009C0C39">
        <w:rPr>
          <w:rFonts w:ascii="Franklin Gothic Book" w:hAnsi="Franklin Gothic Book" w:cs="Times New Roman"/>
          <w:sz w:val="22"/>
          <w:szCs w:val="22"/>
        </w:rPr>
        <w:t xml:space="preserve">o estimate the likelihood that particular patients would choose to receive inpatient care at MGB hospitals either as the ambulatory expansions </w:t>
      </w:r>
      <w:r w:rsidR="002D3DCC" w:rsidRPr="009C0C39">
        <w:rPr>
          <w:rFonts w:ascii="Franklin Gothic Book" w:hAnsi="Franklin Gothic Book" w:cs="Times New Roman"/>
          <w:sz w:val="22"/>
          <w:szCs w:val="22"/>
        </w:rPr>
        <w:t xml:space="preserve">drive additional volume to the MGB system </w:t>
      </w:r>
      <w:r w:rsidR="00F16580" w:rsidRPr="009C0C39">
        <w:rPr>
          <w:rFonts w:ascii="Franklin Gothic Book" w:hAnsi="Franklin Gothic Book" w:cs="Times New Roman"/>
          <w:sz w:val="22"/>
          <w:szCs w:val="22"/>
        </w:rPr>
        <w:t xml:space="preserve">or to fill increased bed </w:t>
      </w:r>
      <w:r w:rsidRPr="009C0C39">
        <w:rPr>
          <w:rFonts w:ascii="Franklin Gothic Book" w:hAnsi="Franklin Gothic Book" w:cs="Times New Roman"/>
          <w:sz w:val="22"/>
          <w:szCs w:val="22"/>
        </w:rPr>
        <w:t>capacity at MGH or Faulkner</w:t>
      </w:r>
      <w:r w:rsidR="00F16580"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CHIA 2018 hospital discharge </w:t>
      </w:r>
      <w:r w:rsidR="00F16580" w:rsidRPr="009C0C39">
        <w:rPr>
          <w:rFonts w:ascii="Franklin Gothic Book" w:hAnsi="Franklin Gothic Book" w:cs="Times New Roman"/>
          <w:sz w:val="22"/>
          <w:szCs w:val="22"/>
        </w:rPr>
        <w:t xml:space="preserve">data used in the estimation account for patient factors, including geographic origin, demographic information (age, gender, race), and clinical information (diagnosis, disease category, number of diagnoses, and number of procedures). These data are combined with indicator variables (fixed effects) for each </w:t>
      </w:r>
      <w:r w:rsidR="002D3DCC" w:rsidRPr="009C0C39">
        <w:rPr>
          <w:rFonts w:ascii="Franklin Gothic Book" w:hAnsi="Franklin Gothic Book" w:cs="Times New Roman"/>
          <w:sz w:val="22"/>
          <w:szCs w:val="22"/>
        </w:rPr>
        <w:t xml:space="preserve">Massachusetts </w:t>
      </w:r>
      <w:r w:rsidR="00F16580" w:rsidRPr="009C0C39">
        <w:rPr>
          <w:rFonts w:ascii="Franklin Gothic Book" w:hAnsi="Franklin Gothic Book" w:cs="Times New Roman"/>
          <w:sz w:val="22"/>
          <w:szCs w:val="22"/>
        </w:rPr>
        <w:t xml:space="preserve">hospital that capture the combined effect of each hospital’s attributes (e.g., location, teaching status, service offerings, etc.) to allow for an econometric analysis of the factors that, on average, lead particular types of patients to choose a given hospital. </w:t>
      </w:r>
    </w:p>
    <w:p w14:paraId="3FC7DDEA" w14:textId="77777777" w:rsidR="001350E7" w:rsidRPr="009C0C39" w:rsidRDefault="001350E7" w:rsidP="00F16580">
      <w:pPr>
        <w:ind w:firstLine="720"/>
        <w:rPr>
          <w:rFonts w:ascii="Franklin Gothic Book" w:hAnsi="Franklin Gothic Book" w:cs="Times New Roman"/>
          <w:sz w:val="22"/>
          <w:szCs w:val="22"/>
        </w:rPr>
      </w:pPr>
    </w:p>
    <w:p w14:paraId="4DDD9C14" w14:textId="34F55481" w:rsidR="00F16580" w:rsidRPr="009C0C39" w:rsidRDefault="00F16580" w:rsidP="00F16580">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then used CHIA hospital relative price data to estimate impacts on total spending and hospital revenues based on </w:t>
      </w:r>
      <w:r w:rsidR="002D3DCC" w:rsidRPr="009C0C39">
        <w:rPr>
          <w:rFonts w:ascii="Franklin Gothic Book" w:hAnsi="Franklin Gothic Book" w:cs="Times New Roman"/>
          <w:sz w:val="22"/>
          <w:szCs w:val="22"/>
        </w:rPr>
        <w:t xml:space="preserve">inpatient facility </w:t>
      </w:r>
      <w:r w:rsidRPr="009C0C39">
        <w:rPr>
          <w:rFonts w:ascii="Franklin Gothic Book" w:hAnsi="Franklin Gothic Book" w:cs="Times New Roman"/>
          <w:sz w:val="22"/>
          <w:szCs w:val="22"/>
        </w:rPr>
        <w:t xml:space="preserve">revenue per discharge at MGH and Faulkner compared to the hospitals at which </w:t>
      </w:r>
      <w:r w:rsidR="002D3DCC" w:rsidRPr="009C0C39">
        <w:rPr>
          <w:rFonts w:ascii="Franklin Gothic Book" w:hAnsi="Franklin Gothic Book" w:cs="Times New Roman"/>
          <w:sz w:val="22"/>
          <w:szCs w:val="22"/>
        </w:rPr>
        <w:t xml:space="preserve">the diversion model estimates </w:t>
      </w:r>
      <w:r w:rsidRPr="009C0C39">
        <w:rPr>
          <w:rFonts w:ascii="Franklin Gothic Book" w:hAnsi="Franklin Gothic Book" w:cs="Times New Roman"/>
          <w:sz w:val="22"/>
          <w:szCs w:val="22"/>
        </w:rPr>
        <w:t xml:space="preserve">patients would otherwise have received care. Spending and revenue estimates were adjusted for the predicted acuity (case mix) profile of patients likely to </w:t>
      </w:r>
      <w:r w:rsidR="002D3DCC" w:rsidRPr="009C0C39">
        <w:rPr>
          <w:rFonts w:ascii="Franklin Gothic Book" w:hAnsi="Franklin Gothic Book" w:cs="Times New Roman"/>
          <w:sz w:val="22"/>
          <w:szCs w:val="22"/>
        </w:rPr>
        <w:t>shift to MGB</w:t>
      </w:r>
      <w:r w:rsidRPr="009C0C39">
        <w:rPr>
          <w:rFonts w:ascii="Franklin Gothic Book" w:hAnsi="Franklin Gothic Book" w:cs="Times New Roman"/>
          <w:sz w:val="22"/>
          <w:szCs w:val="22"/>
        </w:rPr>
        <w:t xml:space="preserve">. The HPC </w:t>
      </w:r>
      <w:r w:rsidR="002D3DCC" w:rsidRPr="009C0C39">
        <w:rPr>
          <w:rFonts w:ascii="Franklin Gothic Book" w:hAnsi="Franklin Gothic Book" w:cs="Times New Roman"/>
          <w:sz w:val="22"/>
          <w:szCs w:val="22"/>
        </w:rPr>
        <w:t xml:space="preserve">then </w:t>
      </w:r>
      <w:r w:rsidRPr="009C0C39">
        <w:rPr>
          <w:rFonts w:ascii="Franklin Gothic Book" w:hAnsi="Franklin Gothic Book" w:cs="Times New Roman"/>
          <w:sz w:val="22"/>
          <w:szCs w:val="22"/>
        </w:rPr>
        <w:t xml:space="preserve">estimated the physician component of revenue </w:t>
      </w:r>
      <w:r w:rsidR="002D3DCC" w:rsidRPr="009C0C39">
        <w:rPr>
          <w:rFonts w:ascii="Franklin Gothic Book" w:hAnsi="Franklin Gothic Book" w:cs="Times New Roman"/>
          <w:sz w:val="22"/>
          <w:szCs w:val="22"/>
        </w:rPr>
        <w:t xml:space="preserve">for shifting care </w:t>
      </w:r>
      <w:r w:rsidRPr="009C0C39">
        <w:rPr>
          <w:rFonts w:ascii="Franklin Gothic Book" w:hAnsi="Franklin Gothic Book" w:cs="Times New Roman"/>
          <w:sz w:val="22"/>
          <w:szCs w:val="22"/>
        </w:rPr>
        <w:t xml:space="preserve">by applying the proportion of physician commercial revenue observed for inpatient services in the APCD to </w:t>
      </w:r>
      <w:r w:rsidR="002D3DCC" w:rsidRPr="009C0C39">
        <w:rPr>
          <w:rFonts w:ascii="Franklin Gothic Book" w:hAnsi="Franklin Gothic Book" w:cs="Times New Roman"/>
          <w:sz w:val="22"/>
          <w:szCs w:val="22"/>
        </w:rPr>
        <w:t xml:space="preserve">estimate of shifting </w:t>
      </w:r>
      <w:r w:rsidRPr="009C0C39">
        <w:rPr>
          <w:rFonts w:ascii="Franklin Gothic Book" w:hAnsi="Franklin Gothic Book" w:cs="Times New Roman"/>
          <w:sz w:val="22"/>
          <w:szCs w:val="22"/>
        </w:rPr>
        <w:t xml:space="preserve">facility revenue. </w:t>
      </w:r>
      <w:r w:rsidR="002D3DCC" w:rsidRPr="009C0C39">
        <w:rPr>
          <w:rFonts w:ascii="Franklin Gothic Book" w:hAnsi="Franklin Gothic Book" w:cs="Times New Roman"/>
          <w:sz w:val="22"/>
          <w:szCs w:val="22"/>
        </w:rPr>
        <w:t xml:space="preserve">We </w:t>
      </w:r>
      <w:r w:rsidRPr="009C0C39">
        <w:rPr>
          <w:rFonts w:ascii="Franklin Gothic Book" w:hAnsi="Franklin Gothic Book" w:cs="Times New Roman"/>
          <w:sz w:val="22"/>
          <w:szCs w:val="22"/>
        </w:rPr>
        <w:t>then appl</w:t>
      </w:r>
      <w:r w:rsidR="002D3DCC" w:rsidRPr="009C0C39">
        <w:rPr>
          <w:rFonts w:ascii="Franklin Gothic Book" w:hAnsi="Franklin Gothic Book" w:cs="Times New Roman"/>
          <w:sz w:val="22"/>
          <w:szCs w:val="22"/>
        </w:rPr>
        <w:t>ied</w:t>
      </w:r>
      <w:r w:rsidRPr="009C0C39">
        <w:rPr>
          <w:rFonts w:ascii="Franklin Gothic Book" w:hAnsi="Franklin Gothic Book" w:cs="Times New Roman"/>
          <w:sz w:val="22"/>
          <w:szCs w:val="22"/>
        </w:rPr>
        <w:t xml:space="preserve"> </w:t>
      </w:r>
      <w:r w:rsidR="002D3DCC" w:rsidRPr="009C0C39">
        <w:rPr>
          <w:rFonts w:ascii="Franklin Gothic Book" w:hAnsi="Franklin Gothic Book" w:cs="Times New Roman"/>
          <w:sz w:val="22"/>
          <w:szCs w:val="22"/>
        </w:rPr>
        <w:t xml:space="preserve">to this physician component </w:t>
      </w:r>
      <w:r w:rsidRPr="009C0C39">
        <w:rPr>
          <w:rFonts w:ascii="Franklin Gothic Book" w:hAnsi="Franklin Gothic Book" w:cs="Times New Roman"/>
          <w:sz w:val="22"/>
          <w:szCs w:val="22"/>
        </w:rPr>
        <w:t xml:space="preserve">the difference in relative price between </w:t>
      </w:r>
      <w:r w:rsidR="002D3DCC" w:rsidRPr="009C0C39">
        <w:rPr>
          <w:rFonts w:ascii="Franklin Gothic Book" w:hAnsi="Franklin Gothic Book" w:cs="Times New Roman"/>
          <w:sz w:val="22"/>
          <w:szCs w:val="22"/>
        </w:rPr>
        <w:t xml:space="preserve">MGB’s physician group, </w:t>
      </w:r>
      <w:r w:rsidRPr="009C0C39">
        <w:rPr>
          <w:rFonts w:ascii="Franklin Gothic Book" w:hAnsi="Franklin Gothic Book" w:cs="Times New Roman"/>
          <w:sz w:val="22"/>
          <w:szCs w:val="22"/>
        </w:rPr>
        <w:t>PCPO</w:t>
      </w:r>
      <w:r w:rsidR="002D3DCC"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and the average physician RP of groups affiliated with </w:t>
      </w:r>
      <w:r w:rsidR="002D3DCC"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hospitals</w:t>
      </w:r>
      <w:r w:rsidR="002D3DCC" w:rsidRPr="009C0C39">
        <w:rPr>
          <w:rFonts w:ascii="Franklin Gothic Book" w:hAnsi="Franklin Gothic Book" w:cs="Times New Roman"/>
          <w:sz w:val="22"/>
          <w:szCs w:val="22"/>
        </w:rPr>
        <w:t xml:space="preserve"> from which inpatient care would come</w:t>
      </w:r>
      <w:r w:rsidRPr="009C0C39">
        <w:rPr>
          <w:rFonts w:ascii="Franklin Gothic Book" w:hAnsi="Franklin Gothic Book" w:cs="Times New Roman"/>
          <w:sz w:val="22"/>
          <w:szCs w:val="22"/>
        </w:rPr>
        <w:t xml:space="preserve">, weighted by the portion of </w:t>
      </w:r>
      <w:r w:rsidR="002D3DCC" w:rsidRPr="009C0C39">
        <w:rPr>
          <w:rFonts w:ascii="Franklin Gothic Book" w:hAnsi="Franklin Gothic Book" w:cs="Times New Roman"/>
          <w:sz w:val="22"/>
          <w:szCs w:val="22"/>
        </w:rPr>
        <w:t xml:space="preserve">facility </w:t>
      </w:r>
      <w:r w:rsidRPr="009C0C39">
        <w:rPr>
          <w:rFonts w:ascii="Franklin Gothic Book" w:hAnsi="Franklin Gothic Book" w:cs="Times New Roman"/>
          <w:sz w:val="22"/>
          <w:szCs w:val="22"/>
        </w:rPr>
        <w:t>revenue that would shift from other facilities to MGB facilities.</w:t>
      </w:r>
      <w:r w:rsidR="002D3DCC" w:rsidRPr="009C0C39">
        <w:rPr>
          <w:rFonts w:ascii="Franklin Gothic Book" w:hAnsi="Franklin Gothic Book" w:cs="Times New Roman"/>
          <w:sz w:val="22"/>
          <w:szCs w:val="22"/>
        </w:rPr>
        <w:t xml:space="preserve"> This produce</w:t>
      </w:r>
      <w:r w:rsidR="00C50EB8" w:rsidRPr="009C0C39">
        <w:rPr>
          <w:rFonts w:ascii="Franklin Gothic Book" w:hAnsi="Franklin Gothic Book" w:cs="Times New Roman"/>
          <w:sz w:val="22"/>
          <w:szCs w:val="22"/>
        </w:rPr>
        <w:t>d</w:t>
      </w:r>
      <w:r w:rsidR="002D3DCC" w:rsidRPr="009C0C39">
        <w:rPr>
          <w:rFonts w:ascii="Franklin Gothic Book" w:hAnsi="Franklin Gothic Book" w:cs="Times New Roman"/>
          <w:sz w:val="22"/>
          <w:szCs w:val="22"/>
        </w:rPr>
        <w:t xml:space="preserve"> a</w:t>
      </w:r>
      <w:r w:rsidR="00C50EB8" w:rsidRPr="009C0C39">
        <w:rPr>
          <w:rFonts w:ascii="Franklin Gothic Book" w:hAnsi="Franklin Gothic Book" w:cs="Times New Roman"/>
          <w:sz w:val="22"/>
          <w:szCs w:val="22"/>
        </w:rPr>
        <w:t>n estimated impact of shifts in inpatient care on total commercial spending, MGB revenue, and revenue for other provider organizations, inclusive of both facility and professional spending.</w:t>
      </w:r>
    </w:p>
    <w:p w14:paraId="140FE96D" w14:textId="77777777" w:rsidR="00F16580" w:rsidRPr="009C0C39" w:rsidRDefault="00F16580" w:rsidP="007D04F0">
      <w:pPr>
        <w:rPr>
          <w:rFonts w:ascii="Franklin Gothic Book" w:hAnsi="Franklin Gothic Book" w:cs="Times New Roman"/>
          <w:sz w:val="22"/>
          <w:szCs w:val="22"/>
        </w:rPr>
      </w:pPr>
    </w:p>
    <w:p w14:paraId="711937A2" w14:textId="4EA0F7F1" w:rsidR="003C1B5A" w:rsidRPr="009C0C39" w:rsidRDefault="003C1B5A" w:rsidP="007D04F0">
      <w:pPr>
        <w:rPr>
          <w:rFonts w:ascii="Franklin Gothic Book" w:hAnsi="Franklin Gothic Book" w:cs="Times New Roman"/>
          <w:i/>
          <w:iCs/>
          <w:sz w:val="22"/>
          <w:szCs w:val="22"/>
        </w:rPr>
      </w:pPr>
      <w:r w:rsidRPr="009C0C39">
        <w:rPr>
          <w:rFonts w:ascii="Franklin Gothic Book" w:hAnsi="Franklin Gothic Book" w:cs="Times New Roman"/>
          <w:i/>
          <w:iCs/>
          <w:sz w:val="22"/>
          <w:szCs w:val="22"/>
        </w:rPr>
        <w:t>Inpatient Relative Price Regression Model</w:t>
      </w:r>
    </w:p>
    <w:p w14:paraId="1054C892" w14:textId="77777777" w:rsidR="003C1B5A" w:rsidRPr="009C0C39" w:rsidRDefault="003C1B5A" w:rsidP="007D04F0">
      <w:pPr>
        <w:rPr>
          <w:rFonts w:ascii="Franklin Gothic Book" w:hAnsi="Franklin Gothic Book" w:cs="Times New Roman"/>
          <w:sz w:val="22"/>
          <w:szCs w:val="22"/>
        </w:rPr>
      </w:pPr>
    </w:p>
    <w:p w14:paraId="13937D92" w14:textId="5196C422" w:rsidR="003C1B5A" w:rsidRPr="009C0C39" w:rsidRDefault="003C1B5A" w:rsidP="003C1B5A">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used a statistical model to examine the effect of patient, hospital, and market factors on hospital inpatient relative prices for all commercial insurance products in Massachusetts. Inpatient relative prices compare price levels paid to different hospitals within a payer’s network, while accounting for differences in intensity, type, and quality of services delivered by those hospitals, as well as the types of insurance products offered by payers.</w:t>
      </w:r>
      <w:r w:rsidRPr="009C0C39">
        <w:rPr>
          <w:rFonts w:ascii="Franklin Gothic Book" w:hAnsi="Franklin Gothic Book" w:cs="Times New Roman"/>
          <w:sz w:val="22"/>
          <w:szCs w:val="22"/>
          <w:vertAlign w:val="superscript"/>
        </w:rPr>
        <w:footnoteReference w:id="177"/>
      </w:r>
      <w:r w:rsidRPr="009C0C39">
        <w:rPr>
          <w:rFonts w:ascii="Franklin Gothic Book" w:hAnsi="Franklin Gothic Book" w:cs="Times New Roman"/>
          <w:sz w:val="22"/>
          <w:szCs w:val="22"/>
        </w:rPr>
        <w:t xml:space="preserve"> The HPC evaluated the impact of explanatory factors for these relative prices using a generalized linear regression model. Factors evaluated included patient clinical conditions, demographics, and social conditions within their residential area; hospital type, system affiliation, size, financial performance, payer and service mix, as well as system-level discharge volume; and hospital clinical outcome measures along with patients’ perception of hospital quality. Patient, hospital, and market factors were sequentially added </w:t>
      </w:r>
      <w:r w:rsidRPr="009C0C39">
        <w:rPr>
          <w:rFonts w:ascii="Franklin Gothic Book" w:hAnsi="Franklin Gothic Book" w:cs="Times New Roman"/>
          <w:sz w:val="22"/>
          <w:szCs w:val="22"/>
        </w:rPr>
        <w:lastRenderedPageBreak/>
        <w:t>to the model to evaluate interactive dynamics and the pathways (mediating effects) by which they impact inpatient relative prices. These analyses were enhanced through the inclusion of time series data from 2015, 2017, and 2019.</w:t>
      </w:r>
    </w:p>
    <w:p w14:paraId="20F77D83" w14:textId="77777777" w:rsidR="003C1B5A" w:rsidRPr="009C0C39" w:rsidRDefault="003C1B5A" w:rsidP="003C1B5A">
      <w:pPr>
        <w:ind w:firstLine="720"/>
        <w:rPr>
          <w:rFonts w:ascii="Franklin Gothic Book" w:hAnsi="Franklin Gothic Book" w:cs="Times New Roman"/>
          <w:sz w:val="22"/>
          <w:szCs w:val="22"/>
        </w:rPr>
      </w:pPr>
    </w:p>
    <w:p w14:paraId="587E9204" w14:textId="2BFEFF09" w:rsidR="003C1B5A" w:rsidRPr="009C0C39" w:rsidRDefault="003C1B5A" w:rsidP="003C1B5A">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model drew upon a dataset with 1,488 observations defined by unique hospital-payer combinations for 2015 (N=524), 2017 (N=506), and 2019 (N=458). The dataset included 14 payers and 57 acute-care hospitals in Massachusetts, with data coming from several sources: (a) CHIA Hospital Profile and hospital financial reports; (b) MA-RPO; (c) </w:t>
      </w:r>
      <w:r w:rsidR="004C5D6A" w:rsidRPr="009C0C39">
        <w:rPr>
          <w:rFonts w:ascii="Franklin Gothic Book" w:hAnsi="Franklin Gothic Book" w:cs="Times New Roman"/>
          <w:sz w:val="22"/>
          <w:szCs w:val="22"/>
        </w:rPr>
        <w:t xml:space="preserve">CHIA </w:t>
      </w:r>
      <w:r w:rsidRPr="009C0C39">
        <w:rPr>
          <w:rFonts w:ascii="Franklin Gothic Book" w:hAnsi="Franklin Gothic Book" w:cs="Times New Roman"/>
          <w:sz w:val="22"/>
          <w:szCs w:val="22"/>
        </w:rPr>
        <w:t xml:space="preserve">hospital inpatient discharge data; (d) </w:t>
      </w:r>
      <w:r w:rsidR="004C5D6A"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Agency for Healthcare Research and Quality social determinants of health database;</w:t>
      </w:r>
      <w:r w:rsidR="004C5D6A" w:rsidRPr="009C0C39">
        <w:rPr>
          <w:rStyle w:val="FootnoteReference"/>
          <w:rFonts w:ascii="Franklin Gothic Book" w:hAnsi="Franklin Gothic Book" w:cs="Times New Roman"/>
          <w:sz w:val="22"/>
          <w:szCs w:val="22"/>
        </w:rPr>
        <w:footnoteReference w:id="178"/>
      </w:r>
      <w:r w:rsidRPr="009C0C39">
        <w:rPr>
          <w:rFonts w:ascii="Franklin Gothic Book" w:hAnsi="Franklin Gothic Book" w:cs="Times New Roman"/>
          <w:sz w:val="22"/>
          <w:szCs w:val="22"/>
        </w:rPr>
        <w:t xml:space="preserve"> (e) </w:t>
      </w:r>
      <w:r w:rsidR="004C5D6A" w:rsidRPr="009C0C39">
        <w:rPr>
          <w:rFonts w:ascii="Franklin Gothic Book" w:hAnsi="Franklin Gothic Book" w:cs="Times New Roman"/>
          <w:sz w:val="22"/>
          <w:szCs w:val="22"/>
        </w:rPr>
        <w:t xml:space="preserve">the </w:t>
      </w:r>
      <w:r w:rsidRPr="009C0C39">
        <w:rPr>
          <w:rFonts w:ascii="Franklin Gothic Book" w:hAnsi="Franklin Gothic Book" w:cs="Times New Roman"/>
          <w:sz w:val="22"/>
          <w:szCs w:val="22"/>
        </w:rPr>
        <w:t>CMS Hospital CAHPS survey; and (f) Agency for Healthcare Research and Quality's Inpatient quality indicators (IQI).</w:t>
      </w:r>
      <w:r w:rsidR="004C5D6A" w:rsidRPr="009C0C39">
        <w:rPr>
          <w:rStyle w:val="FootnoteReference"/>
          <w:rFonts w:ascii="Franklin Gothic Book" w:hAnsi="Franklin Gothic Book" w:cs="Times New Roman"/>
          <w:sz w:val="22"/>
          <w:szCs w:val="22"/>
        </w:rPr>
        <w:footnoteReference w:id="179"/>
      </w:r>
    </w:p>
    <w:p w14:paraId="79DE2B73" w14:textId="64FDCD17" w:rsidR="00E742B6" w:rsidRPr="009C0C39" w:rsidRDefault="0083705D" w:rsidP="00FD6060">
      <w:pPr>
        <w:rPr>
          <w:rFonts w:ascii="Franklin Gothic Book" w:hAnsi="Franklin Gothic Book" w:cs="Times New Roman"/>
          <w:b/>
          <w:bCs/>
          <w:sz w:val="22"/>
          <w:szCs w:val="22"/>
        </w:rPr>
      </w:pPr>
      <w:r w:rsidRPr="009C0C39">
        <w:rPr>
          <w:rFonts w:ascii="Franklin Gothic Book" w:hAnsi="Franklin Gothic Book" w:cs="Times New Roman"/>
          <w:b/>
          <w:bCs/>
          <w:sz w:val="22"/>
          <w:szCs w:val="22"/>
        </w:rPr>
        <w:br w:type="column"/>
      </w:r>
      <w:bookmarkStart w:id="110" w:name="Appendix_IB"/>
      <w:r w:rsidRPr="009C0C39">
        <w:rPr>
          <w:rFonts w:ascii="Franklin Gothic Book" w:hAnsi="Franklin Gothic Book" w:cs="Times New Roman"/>
          <w:b/>
          <w:bCs/>
          <w:sz w:val="22"/>
          <w:szCs w:val="22"/>
        </w:rPr>
        <w:lastRenderedPageBreak/>
        <w:t>Appendix I.B</w:t>
      </w:r>
      <w:bookmarkEnd w:id="110"/>
      <w:r w:rsidRPr="009C0C39">
        <w:rPr>
          <w:rFonts w:ascii="Franklin Gothic Book" w:hAnsi="Franklin Gothic Book" w:cs="Times New Roman"/>
          <w:b/>
          <w:bCs/>
          <w:sz w:val="22"/>
          <w:szCs w:val="22"/>
        </w:rPr>
        <w:t xml:space="preserve">:  </w:t>
      </w:r>
      <w:r w:rsidR="00FB6074" w:rsidRPr="009C0C39">
        <w:rPr>
          <w:rFonts w:ascii="Franklin Gothic Book" w:hAnsi="Franklin Gothic Book" w:cs="Times New Roman"/>
          <w:b/>
          <w:bCs/>
          <w:sz w:val="22"/>
          <w:szCs w:val="22"/>
        </w:rPr>
        <w:t xml:space="preserve"> Methodological Questions and Concerns Regarding the ICAs</w:t>
      </w:r>
    </w:p>
    <w:p w14:paraId="7FD70D53" w14:textId="77777777" w:rsidR="00E742B6" w:rsidRPr="009C0C39" w:rsidRDefault="00E742B6" w:rsidP="00FD6060">
      <w:pPr>
        <w:rPr>
          <w:rFonts w:ascii="Franklin Gothic Book" w:hAnsi="Franklin Gothic Book" w:cs="Times New Roman"/>
          <w:b/>
          <w:bCs/>
          <w:sz w:val="22"/>
          <w:szCs w:val="22"/>
        </w:rPr>
      </w:pPr>
    </w:p>
    <w:p w14:paraId="68993856" w14:textId="37A8DD3D" w:rsidR="00360341" w:rsidRPr="009C0C39" w:rsidRDefault="00360341" w:rsidP="00D32EEE">
      <w:pPr>
        <w:rPr>
          <w:rFonts w:ascii="Franklin Gothic Book" w:hAnsi="Franklin Gothic Book" w:cs="Times New Roman"/>
          <w:sz w:val="22"/>
          <w:szCs w:val="22"/>
        </w:rPr>
      </w:pPr>
      <w:r w:rsidRPr="009C0C39">
        <w:rPr>
          <w:rFonts w:ascii="Franklin Gothic Book" w:hAnsi="Franklin Gothic Book" w:cs="Times New Roman"/>
          <w:sz w:val="22"/>
          <w:szCs w:val="22"/>
        </w:rPr>
        <w:t>The HPC has identified the following questions, concerns, and ambiguities regarding the ICAs for the three projects:</w:t>
      </w:r>
    </w:p>
    <w:p w14:paraId="643C3204" w14:textId="77777777" w:rsidR="00360341" w:rsidRPr="009C0C39" w:rsidRDefault="00360341" w:rsidP="00D32EEE">
      <w:pPr>
        <w:rPr>
          <w:rFonts w:ascii="Franklin Gothic Book" w:hAnsi="Franklin Gothic Book" w:cs="Times New Roman"/>
          <w:sz w:val="22"/>
          <w:szCs w:val="22"/>
        </w:rPr>
      </w:pPr>
    </w:p>
    <w:p w14:paraId="59131DD9" w14:textId="77777777" w:rsidR="00360341" w:rsidRPr="009C0C39" w:rsidRDefault="00360341" w:rsidP="00D32EEE">
      <w:pPr>
        <w:pStyle w:val="ListParagraph"/>
        <w:numPr>
          <w:ilvl w:val="0"/>
          <w:numId w:val="25"/>
        </w:numPr>
        <w:spacing w:after="160"/>
        <w:rPr>
          <w:rFonts w:ascii="Franklin Gothic Book" w:hAnsi="Franklin Gothic Book" w:cs="Times New Roman"/>
          <w:i/>
          <w:iCs/>
          <w:sz w:val="22"/>
          <w:szCs w:val="22"/>
        </w:rPr>
      </w:pPr>
      <w:r w:rsidRPr="009C0C39">
        <w:rPr>
          <w:rFonts w:ascii="Franklin Gothic Book" w:hAnsi="Franklin Gothic Book" w:cs="Times New Roman"/>
          <w:i/>
          <w:iCs/>
          <w:sz w:val="22"/>
          <w:szCs w:val="22"/>
        </w:rPr>
        <w:t>Concerns With Models of Patient Shifts</w:t>
      </w:r>
    </w:p>
    <w:p w14:paraId="4D6CE92B" w14:textId="77777777" w:rsidR="00360341" w:rsidRPr="009C0C39" w:rsidRDefault="00360341" w:rsidP="00D32EEE">
      <w:pPr>
        <w:pStyle w:val="ListBullet"/>
        <w:numPr>
          <w:ilvl w:val="0"/>
          <w:numId w:val="26"/>
        </w:numPr>
        <w:spacing w:line="240" w:lineRule="auto"/>
        <w:rPr>
          <w:rFonts w:ascii="Franklin Gothic Book" w:hAnsi="Franklin Gothic Book"/>
          <w:szCs w:val="22"/>
          <w:u w:val="single"/>
        </w:rPr>
      </w:pPr>
      <w:r w:rsidRPr="009C0C39">
        <w:rPr>
          <w:rFonts w:ascii="Franklin Gothic Book" w:hAnsi="Franklin Gothic Book"/>
          <w:szCs w:val="22"/>
          <w:u w:val="single"/>
        </w:rPr>
        <w:t xml:space="preserve">The Ambulatory and Faulkner ICAs each evaluate improbable spending impact scenarios. </w:t>
      </w:r>
    </w:p>
    <w:p w14:paraId="663A0091" w14:textId="7AD67FA4"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 xml:space="preserve">Both the Ambulatory and Faulkner ICAs include models in which new or expanded capacity would be filled only by MGB or </w:t>
      </w:r>
      <w:r w:rsidR="00C609A6" w:rsidRPr="009C0C39">
        <w:rPr>
          <w:rFonts w:ascii="Franklin Gothic Book" w:hAnsi="Franklin Gothic Book"/>
          <w:szCs w:val="22"/>
        </w:rPr>
        <w:t xml:space="preserve">Brigham &amp; Women’s Hospital (BWH) </w:t>
      </w:r>
      <w:r w:rsidRPr="009C0C39">
        <w:rPr>
          <w:rFonts w:ascii="Franklin Gothic Book" w:hAnsi="Franklin Gothic Book"/>
          <w:szCs w:val="22"/>
        </w:rPr>
        <w:t xml:space="preserve">patients, respectively. </w:t>
      </w:r>
      <w:r w:rsidR="00DF0CED" w:rsidRPr="009C0C39">
        <w:rPr>
          <w:rFonts w:ascii="Franklin Gothic Book" w:hAnsi="Franklin Gothic Book"/>
          <w:szCs w:val="22"/>
        </w:rPr>
        <w:t>However, t</w:t>
      </w:r>
      <w:r w:rsidRPr="009C0C39">
        <w:rPr>
          <w:rFonts w:ascii="Franklin Gothic Book" w:hAnsi="Franklin Gothic Book"/>
          <w:szCs w:val="22"/>
        </w:rPr>
        <w:t xml:space="preserve">here is no mechanism or incentive for MGB to restrict patients </w:t>
      </w:r>
      <w:r w:rsidR="009A121C" w:rsidRPr="009C0C39">
        <w:rPr>
          <w:rFonts w:ascii="Franklin Gothic Book" w:hAnsi="Franklin Gothic Book"/>
          <w:szCs w:val="22"/>
        </w:rPr>
        <w:t xml:space="preserve">at the expansions </w:t>
      </w:r>
      <w:r w:rsidRPr="009C0C39">
        <w:rPr>
          <w:rFonts w:ascii="Franklin Gothic Book" w:hAnsi="Franklin Gothic Book"/>
          <w:szCs w:val="22"/>
        </w:rPr>
        <w:t xml:space="preserve">to come only from </w:t>
      </w:r>
      <w:r w:rsidR="009A121C" w:rsidRPr="009C0C39">
        <w:rPr>
          <w:rFonts w:ascii="Franklin Gothic Book" w:hAnsi="Franklin Gothic Book"/>
          <w:szCs w:val="22"/>
        </w:rPr>
        <w:t xml:space="preserve">other </w:t>
      </w:r>
      <w:r w:rsidRPr="009C0C39">
        <w:rPr>
          <w:rFonts w:ascii="Franklin Gothic Book" w:hAnsi="Franklin Gothic Book"/>
          <w:szCs w:val="22"/>
        </w:rPr>
        <w:t xml:space="preserve">MGB providers. The scenarios also embed the assumption that MGB would spend a total of $374 million on the ambulatory and Faulkner expansions with no expectation of a net increase in </w:t>
      </w:r>
      <w:r w:rsidR="009A121C" w:rsidRPr="009C0C39">
        <w:rPr>
          <w:rFonts w:ascii="Franklin Gothic Book" w:hAnsi="Franklin Gothic Book"/>
          <w:szCs w:val="22"/>
        </w:rPr>
        <w:t xml:space="preserve">systemwide </w:t>
      </w:r>
      <w:r w:rsidRPr="009C0C39">
        <w:rPr>
          <w:rFonts w:ascii="Franklin Gothic Book" w:hAnsi="Franklin Gothic Book"/>
          <w:szCs w:val="22"/>
        </w:rPr>
        <w:t>patient volume, but rather only a reallocation of patients from existing MGB locations to the expansion sites. The ICAs present these improbable scenarios alongside more realistic scenarios, in which new volume would come from all providers—MGB and non-MGB—based on diversions, without commenting on which would be more likely.</w:t>
      </w:r>
    </w:p>
    <w:p w14:paraId="5A34B4BC" w14:textId="3EA9AB54" w:rsidR="00360341" w:rsidRPr="009C0C39" w:rsidRDefault="00360341" w:rsidP="00D32EEE">
      <w:pPr>
        <w:pStyle w:val="ListParagraph"/>
        <w:numPr>
          <w:ilvl w:val="0"/>
          <w:numId w:val="26"/>
        </w:numPr>
        <w:spacing w:after="120"/>
        <w:rPr>
          <w:rFonts w:ascii="Franklin Gothic Book" w:eastAsia="Times New Roman" w:hAnsi="Franklin Gothic Book" w:cs="Times New Roman"/>
          <w:kern w:val="24"/>
          <w:sz w:val="22"/>
          <w:szCs w:val="22"/>
          <w:u w:val="single"/>
        </w:rPr>
      </w:pPr>
      <w:r w:rsidRPr="009C0C39">
        <w:rPr>
          <w:rFonts w:ascii="Franklin Gothic Book" w:eastAsia="Times New Roman" w:hAnsi="Franklin Gothic Book" w:cs="Times New Roman"/>
          <w:kern w:val="24"/>
          <w:sz w:val="22"/>
          <w:szCs w:val="22"/>
          <w:u w:val="single"/>
        </w:rPr>
        <w:t xml:space="preserve">The ICA diversion model for outpatient care may have been impacted by data limitations on locations of outpatient healthcare providers. </w:t>
      </w:r>
    </w:p>
    <w:p w14:paraId="33066604" w14:textId="5BED5C92" w:rsidR="00360341" w:rsidRPr="009C0C39" w:rsidRDefault="00360341" w:rsidP="00D32EEE">
      <w:pPr>
        <w:spacing w:after="120"/>
        <w:ind w:firstLine="720"/>
        <w:rPr>
          <w:rFonts w:ascii="Franklin Gothic Book" w:eastAsia="Times New Roman" w:hAnsi="Franklin Gothic Book" w:cs="Times New Roman"/>
          <w:kern w:val="24"/>
          <w:sz w:val="22"/>
          <w:szCs w:val="22"/>
        </w:rPr>
      </w:pPr>
      <w:r w:rsidRPr="009C0C39">
        <w:rPr>
          <w:rFonts w:ascii="Franklin Gothic Book" w:eastAsia="Times New Roman" w:hAnsi="Franklin Gothic Book" w:cs="Times New Roman"/>
          <w:kern w:val="24"/>
          <w:sz w:val="22"/>
          <w:szCs w:val="22"/>
        </w:rPr>
        <w:t>To predict where MGB would likely draw patients from as it fills its new outpatient capacity, both at the hospital sites and ambulatory sites, the ICAs adopt a well-established methodology of estimating consumer demand for healthcare services.</w:t>
      </w:r>
      <w:r w:rsidRPr="009C0C39">
        <w:rPr>
          <w:rFonts w:ascii="Franklin Gothic Book" w:hAnsi="Franklin Gothic Book" w:cs="Times New Roman"/>
          <w:sz w:val="22"/>
          <w:szCs w:val="22"/>
          <w:vertAlign w:val="superscript"/>
        </w:rPr>
        <w:footnoteReference w:id="180"/>
      </w:r>
      <w:r w:rsidRPr="009C0C39">
        <w:rPr>
          <w:rFonts w:ascii="Franklin Gothic Book" w:eastAsia="Times New Roman" w:hAnsi="Franklin Gothic Book" w:cs="Times New Roman"/>
          <w:kern w:val="24"/>
          <w:sz w:val="22"/>
          <w:szCs w:val="22"/>
        </w:rPr>
        <w:t xml:space="preserve"> This methodology is flexible and does not require explicitly specifying the characteristics, except for location, of each healthcare provider administering the relevant service. Location is an important driver of patient choice of providers. However, because many hospital satellites providing outpatient services bill under the license of the main hospital campus, it is often impossible to identify </w:t>
      </w:r>
      <w:r w:rsidR="009A121C" w:rsidRPr="009C0C39">
        <w:rPr>
          <w:rFonts w:ascii="Franklin Gothic Book" w:eastAsia="Times New Roman" w:hAnsi="Franklin Gothic Book" w:cs="Times New Roman"/>
          <w:kern w:val="24"/>
          <w:sz w:val="22"/>
          <w:szCs w:val="22"/>
        </w:rPr>
        <w:t xml:space="preserve">when services are performed at satellite </w:t>
      </w:r>
      <w:r w:rsidRPr="009C0C39">
        <w:rPr>
          <w:rFonts w:ascii="Franklin Gothic Book" w:eastAsia="Times New Roman" w:hAnsi="Franklin Gothic Book" w:cs="Times New Roman"/>
          <w:kern w:val="24"/>
          <w:sz w:val="22"/>
          <w:szCs w:val="22"/>
        </w:rPr>
        <w:t xml:space="preserve">locations in the APCD. For example, the outpatient MGH West location in Waltham cannot be readily distinguished from MGH’s Boston main campus, meaning that all patients treated at MGH West appear in the APCD to have been treated at the main MGH campus. This may distort the diversion model used in the ICAs if patients’ choices of provider locations are inaccurately assigned to a significant extent. </w:t>
      </w:r>
      <w:bookmarkStart w:id="111" w:name="_Hlk93417108"/>
      <w:r w:rsidRPr="009C0C39">
        <w:rPr>
          <w:rFonts w:ascii="Franklin Gothic Book" w:eastAsia="Times New Roman" w:hAnsi="Franklin Gothic Book" w:cs="Times New Roman"/>
          <w:kern w:val="24"/>
          <w:sz w:val="22"/>
          <w:szCs w:val="22"/>
        </w:rPr>
        <w:t>HPC analysis suggests that the ICAs’ steps of combining information on provider location from the APCD medical claims files with APCD provider files does not reliably resolve this issue. The ICAs do not acknowledge this data limitation and do not discuss how this limitation affects estimates of outpatient services volume shifts and spending in the three ICAs.</w:t>
      </w:r>
      <w:r w:rsidRPr="009C0C39">
        <w:rPr>
          <w:rFonts w:ascii="Franklin Gothic Book" w:hAnsi="Franklin Gothic Book" w:cs="Times New Roman"/>
          <w:sz w:val="22"/>
          <w:szCs w:val="22"/>
          <w:vertAlign w:val="superscript"/>
        </w:rPr>
        <w:footnoteReference w:id="181"/>
      </w:r>
      <w:bookmarkEnd w:id="111"/>
    </w:p>
    <w:p w14:paraId="17847981" w14:textId="77777777" w:rsidR="00360341" w:rsidRPr="009C0C39" w:rsidRDefault="00360341" w:rsidP="00D32EEE">
      <w:pPr>
        <w:pStyle w:val="ListParagraph"/>
        <w:numPr>
          <w:ilvl w:val="0"/>
          <w:numId w:val="26"/>
        </w:numPr>
        <w:spacing w:after="120"/>
        <w:rPr>
          <w:rFonts w:ascii="Franklin Gothic Book" w:eastAsia="Times New Roman" w:hAnsi="Franklin Gothic Book" w:cs="Times New Roman"/>
          <w:kern w:val="24"/>
          <w:sz w:val="22"/>
          <w:szCs w:val="22"/>
          <w:u w:val="single"/>
        </w:rPr>
      </w:pPr>
      <w:r w:rsidRPr="009C0C39">
        <w:rPr>
          <w:rFonts w:ascii="Franklin Gothic Book" w:eastAsia="Times New Roman" w:hAnsi="Franklin Gothic Book" w:cs="Times New Roman"/>
          <w:kern w:val="24"/>
          <w:sz w:val="22"/>
          <w:szCs w:val="22"/>
          <w:u w:val="single"/>
        </w:rPr>
        <w:t>The MGH ICA does not include assessment of inpatient capacity that would become available as beds are relocated to private rooms.</w:t>
      </w:r>
    </w:p>
    <w:p w14:paraId="2E874D41" w14:textId="51C96148" w:rsidR="00360341" w:rsidRPr="009C0C39" w:rsidRDefault="00360341" w:rsidP="00D32EEE">
      <w:pPr>
        <w:spacing w:after="12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MGB DoN Application states that the MGH expansion would make available 30 to 50 additional beds that are currently routinely blocked due to patient incompatibility in semi-private rooms, as those beds would be relocated to single rooms as part of the project.</w:t>
      </w:r>
      <w:r w:rsidRPr="009C0C39">
        <w:rPr>
          <w:rFonts w:ascii="Franklin Gothic Book" w:hAnsi="Franklin Gothic Book" w:cs="Times New Roman"/>
          <w:sz w:val="22"/>
          <w:szCs w:val="22"/>
          <w:vertAlign w:val="superscript"/>
        </w:rPr>
        <w:footnoteReference w:id="182"/>
      </w:r>
      <w:r w:rsidRPr="009C0C39">
        <w:rPr>
          <w:rFonts w:ascii="Franklin Gothic Book" w:hAnsi="Franklin Gothic Book" w:cs="Times New Roman"/>
          <w:sz w:val="22"/>
          <w:szCs w:val="22"/>
        </w:rPr>
        <w:t xml:space="preserve"> The MGH ICA omits consideration of capacity that would become available as blocked beds are decompressed.</w:t>
      </w:r>
      <w:r w:rsidRPr="009C0C39">
        <w:rPr>
          <w:rStyle w:val="FootnoteReference"/>
          <w:rFonts w:ascii="Franklin Gothic Book" w:hAnsi="Franklin Gothic Book" w:cs="Times New Roman"/>
          <w:sz w:val="22"/>
          <w:szCs w:val="22"/>
        </w:rPr>
        <w:footnoteReference w:id="183"/>
      </w:r>
    </w:p>
    <w:p w14:paraId="41AC6B22" w14:textId="77777777" w:rsidR="00360341" w:rsidRPr="009C0C39" w:rsidRDefault="00360341" w:rsidP="00D32EEE">
      <w:pPr>
        <w:pStyle w:val="ListBullet"/>
        <w:numPr>
          <w:ilvl w:val="0"/>
          <w:numId w:val="25"/>
        </w:numPr>
        <w:spacing w:line="240" w:lineRule="auto"/>
        <w:rPr>
          <w:rFonts w:ascii="Franklin Gothic Book" w:hAnsi="Franklin Gothic Book"/>
          <w:i/>
          <w:iCs/>
          <w:szCs w:val="22"/>
        </w:rPr>
      </w:pPr>
      <w:r w:rsidRPr="009C0C39">
        <w:rPr>
          <w:rFonts w:ascii="Franklin Gothic Book" w:hAnsi="Franklin Gothic Book"/>
          <w:i/>
          <w:iCs/>
          <w:szCs w:val="22"/>
        </w:rPr>
        <w:t>Omission of Potential Spending Drivers</w:t>
      </w:r>
    </w:p>
    <w:p w14:paraId="0E96C4FB" w14:textId="77777777" w:rsidR="00360341" w:rsidRPr="009C0C39" w:rsidRDefault="00360341" w:rsidP="00D32EEE">
      <w:pPr>
        <w:pStyle w:val="ListBullet"/>
        <w:numPr>
          <w:ilvl w:val="0"/>
          <w:numId w:val="27"/>
        </w:numPr>
        <w:spacing w:line="240" w:lineRule="auto"/>
        <w:rPr>
          <w:rFonts w:ascii="Franklin Gothic Book" w:hAnsi="Franklin Gothic Book"/>
          <w:szCs w:val="22"/>
          <w:u w:val="single"/>
        </w:rPr>
      </w:pPr>
      <w:r w:rsidRPr="009C0C39">
        <w:rPr>
          <w:rFonts w:ascii="Franklin Gothic Book" w:hAnsi="Franklin Gothic Book"/>
          <w:szCs w:val="22"/>
          <w:u w:val="single"/>
        </w:rPr>
        <w:lastRenderedPageBreak/>
        <w:t xml:space="preserve">The Ambulatory ICA does not address or incorporate the MGB Internal Document Disclosures. </w:t>
      </w:r>
    </w:p>
    <w:p w14:paraId="490F8B8D" w14:textId="77777777"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As discussed in Section I, the information published in the disclosures document MGB’s expectation that its larger multi-year ambulatory expansion plan, of which the three ambulatory sites are part, would result in significant increases in inpatient hospital market share and covered lives. The Ambulatory ICA also does not incorporate information on volume projections and staffing projections for the three ambulatory sites that were included in the MGB Internal Document Disclosures.</w:t>
      </w:r>
    </w:p>
    <w:p w14:paraId="74698D2A" w14:textId="77777777" w:rsidR="00360341" w:rsidRPr="009C0C39" w:rsidRDefault="00360341" w:rsidP="00D32EEE">
      <w:pPr>
        <w:pStyle w:val="ListBullet"/>
        <w:numPr>
          <w:ilvl w:val="0"/>
          <w:numId w:val="27"/>
        </w:numPr>
        <w:spacing w:line="240" w:lineRule="auto"/>
        <w:rPr>
          <w:rFonts w:ascii="Franklin Gothic Book" w:hAnsi="Franklin Gothic Book"/>
          <w:szCs w:val="22"/>
          <w:u w:val="single"/>
        </w:rPr>
      </w:pPr>
      <w:r w:rsidRPr="009C0C39">
        <w:rPr>
          <w:rFonts w:ascii="Franklin Gothic Book" w:hAnsi="Franklin Gothic Book"/>
          <w:szCs w:val="22"/>
          <w:u w:val="single"/>
        </w:rPr>
        <w:t xml:space="preserve">The ICAs do not address potential additional volume to the MGB system from the ambulatory expansion. </w:t>
      </w:r>
    </w:p>
    <w:p w14:paraId="10598882" w14:textId="61E8C284" w:rsidR="00360341" w:rsidRPr="00042BF6" w:rsidRDefault="00360341" w:rsidP="00D32EEE">
      <w:pPr>
        <w:pStyle w:val="ListBullet"/>
        <w:numPr>
          <w:ilvl w:val="0"/>
          <w:numId w:val="0"/>
        </w:numPr>
        <w:spacing w:line="240" w:lineRule="auto"/>
        <w:ind w:firstLine="720"/>
        <w:rPr>
          <w:rFonts w:ascii="Franklin Gothic Book" w:hAnsi="Franklin Gothic Book"/>
          <w:szCs w:val="22"/>
        </w:rPr>
      </w:pPr>
      <w:r w:rsidRPr="00042BF6">
        <w:rPr>
          <w:rFonts w:ascii="Franklin Gothic Book" w:hAnsi="Franklin Gothic Book"/>
          <w:szCs w:val="22"/>
        </w:rPr>
        <w:t xml:space="preserve">The Ambulatory ICA does not evaluate the possibility that the ambulatory sites might drive additional inpatient and outpatient volume to MGB’s hospitals, either directly (e.g., due to physician referrals) or indirectly (e.g., more local residents choosing insurance products that include MGB in their hospital networks because they want to use the ambulatory sites), </w:t>
      </w:r>
      <w:r w:rsidR="00D72996" w:rsidRPr="00042BF6">
        <w:rPr>
          <w:rFonts w:ascii="Franklin Gothic Book" w:hAnsi="Franklin Gothic Book"/>
          <w:szCs w:val="22"/>
        </w:rPr>
        <w:t>consistent with MGB’s own expectations of increased hospital market share from ambulatory expansions,</w:t>
      </w:r>
      <w:r w:rsidR="00D72996" w:rsidRPr="00042BF6">
        <w:rPr>
          <w:rStyle w:val="FootnoteReference"/>
          <w:rFonts w:ascii="Franklin Gothic Book" w:hAnsi="Franklin Gothic Book"/>
          <w:szCs w:val="22"/>
        </w:rPr>
        <w:footnoteReference w:id="184"/>
      </w:r>
      <w:r w:rsidR="00D72996" w:rsidRPr="00042BF6">
        <w:rPr>
          <w:rFonts w:ascii="Franklin Gothic Book" w:hAnsi="Franklin Gothic Book"/>
          <w:szCs w:val="22"/>
        </w:rPr>
        <w:t xml:space="preserve"> </w:t>
      </w:r>
      <w:r w:rsidRPr="00042BF6">
        <w:rPr>
          <w:rFonts w:ascii="Franklin Gothic Book" w:hAnsi="Franklin Gothic Book"/>
          <w:szCs w:val="22"/>
        </w:rPr>
        <w:t>or assess potential spending impacts associated with such shifts.</w:t>
      </w:r>
    </w:p>
    <w:p w14:paraId="55D6ADA1" w14:textId="77777777" w:rsidR="00360341" w:rsidRPr="009C0C39" w:rsidRDefault="00360341" w:rsidP="00D32EEE">
      <w:pPr>
        <w:pStyle w:val="ListBullet"/>
        <w:numPr>
          <w:ilvl w:val="0"/>
          <w:numId w:val="27"/>
        </w:numPr>
        <w:spacing w:line="240" w:lineRule="auto"/>
        <w:rPr>
          <w:rFonts w:ascii="Franklin Gothic Book" w:hAnsi="Franklin Gothic Book"/>
          <w:szCs w:val="22"/>
          <w:u w:val="single"/>
        </w:rPr>
      </w:pPr>
      <w:r w:rsidRPr="009C0C39">
        <w:rPr>
          <w:rFonts w:ascii="Franklin Gothic Book" w:hAnsi="Franklin Gothic Book"/>
          <w:szCs w:val="22"/>
          <w:u w:val="single"/>
        </w:rPr>
        <w:t xml:space="preserve">The ICAs do not address the likelihood that MGB hospitals would backfill any capacity newly available as patients shift to new or expanded services. </w:t>
      </w:r>
    </w:p>
    <w:p w14:paraId="27CFE17E" w14:textId="77777777"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The patient choice models used in all three ICAs assume that some patients filling the new capacity would come from other MGB locations. However, as this happens, those other MGB locations are likely to attract and serve other patients, particularly if those locations are capacity-constrained. The ICAs do not account for this possibility, instead assuming substantial proportions of volume for the expansions would be drawn from other MGB facilities and not backfilled.</w:t>
      </w:r>
      <w:r w:rsidRPr="009C0C39">
        <w:rPr>
          <w:rStyle w:val="FootnoteReference"/>
          <w:rFonts w:ascii="Franklin Gothic Book" w:hAnsi="Franklin Gothic Book"/>
          <w:szCs w:val="22"/>
        </w:rPr>
        <w:footnoteReference w:id="185"/>
      </w:r>
      <w:r w:rsidRPr="009C0C39">
        <w:rPr>
          <w:rFonts w:ascii="Franklin Gothic Book" w:hAnsi="Franklin Gothic Book"/>
          <w:szCs w:val="22"/>
        </w:rPr>
        <w:t xml:space="preserve"> This assumption leads the ICAs to predict lower potential spending increases for MGH and greater potential savings for Faulkner and the ambulatory expansion.</w:t>
      </w:r>
    </w:p>
    <w:p w14:paraId="6D0A56BE" w14:textId="20020BA4" w:rsidR="00360341" w:rsidRPr="009C0C39" w:rsidRDefault="00360341" w:rsidP="00D32EEE">
      <w:pPr>
        <w:pStyle w:val="ListBullet"/>
        <w:numPr>
          <w:ilvl w:val="0"/>
          <w:numId w:val="27"/>
        </w:numPr>
        <w:spacing w:line="240" w:lineRule="auto"/>
        <w:rPr>
          <w:rFonts w:ascii="Franklin Gothic Book" w:hAnsi="Franklin Gothic Book"/>
          <w:szCs w:val="22"/>
          <w:u w:val="single"/>
        </w:rPr>
      </w:pPr>
      <w:r w:rsidRPr="009C0C39">
        <w:rPr>
          <w:rFonts w:ascii="Franklin Gothic Book" w:hAnsi="Franklin Gothic Book"/>
          <w:szCs w:val="22"/>
          <w:u w:val="single"/>
        </w:rPr>
        <w:t xml:space="preserve">The ICAs do not assess impacts </w:t>
      </w:r>
      <w:r w:rsidR="00F33D01" w:rsidRPr="009C0C39">
        <w:rPr>
          <w:rFonts w:ascii="Franklin Gothic Book" w:hAnsi="Franklin Gothic Book"/>
          <w:szCs w:val="22"/>
          <w:u w:val="single"/>
        </w:rPr>
        <w:t xml:space="preserve">on </w:t>
      </w:r>
      <w:r w:rsidRPr="009C0C39">
        <w:rPr>
          <w:rFonts w:ascii="Franklin Gothic Book" w:hAnsi="Franklin Gothic Book"/>
          <w:szCs w:val="22"/>
          <w:u w:val="single"/>
        </w:rPr>
        <w:t xml:space="preserve">professional spending, and do not consider differences in rates between MGB physicians and those of other systems. </w:t>
      </w:r>
    </w:p>
    <w:p w14:paraId="40AEAB2A" w14:textId="1AFA53BD"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 xml:space="preserve">None of the three ICAs address spending on professional services from care that would shift to MGB from other providers, evaluating only differences in facility prices. MGB physician rates are generally higher than those of other groups, as described in </w:t>
      </w:r>
      <w:hyperlink w:anchor="Appendix_IB" w:history="1">
        <w:r w:rsidRPr="009C0C39">
          <w:rPr>
            <w:rStyle w:val="Hyperlink"/>
            <w:rFonts w:ascii="Franklin Gothic Book" w:hAnsi="Franklin Gothic Book"/>
            <w:szCs w:val="22"/>
          </w:rPr>
          <w:t>Appendix II.</w:t>
        </w:r>
        <w:r w:rsidR="00F33D01" w:rsidRPr="009C0C39">
          <w:rPr>
            <w:rStyle w:val="Hyperlink"/>
            <w:rFonts w:ascii="Franklin Gothic Book" w:hAnsi="Franklin Gothic Book"/>
            <w:szCs w:val="22"/>
          </w:rPr>
          <w:t>B</w:t>
        </w:r>
      </w:hyperlink>
      <w:r w:rsidRPr="009C0C39">
        <w:rPr>
          <w:rFonts w:ascii="Franklin Gothic Book" w:hAnsi="Franklin Gothic Book"/>
          <w:szCs w:val="22"/>
        </w:rPr>
        <w:t xml:space="preserve">, and shifts to MGB physicians from those groups would generally increase spending. The ICAs omit this component of spending </w:t>
      </w:r>
      <w:r w:rsidR="00F33D01" w:rsidRPr="009C0C39">
        <w:rPr>
          <w:rFonts w:ascii="Franklin Gothic Book" w:hAnsi="Franklin Gothic Book"/>
          <w:szCs w:val="22"/>
        </w:rPr>
        <w:t xml:space="preserve">from their analyses of </w:t>
      </w:r>
      <w:r w:rsidRPr="009C0C39">
        <w:rPr>
          <w:rFonts w:ascii="Franklin Gothic Book" w:hAnsi="Franklin Gothic Book"/>
          <w:szCs w:val="22"/>
        </w:rPr>
        <w:t>inpatient care and the outpatient service lines they examine. The Ambulatory ICA also does not assess the potential spending impact of patients shifting to the proposed ambulatory sites for primary care or specialist care despite MGB’s expectation of substantial physician visit volume.</w:t>
      </w:r>
      <w:r w:rsidRPr="009C0C39">
        <w:rPr>
          <w:rStyle w:val="FootnoteReference"/>
          <w:rFonts w:ascii="Franklin Gothic Book" w:hAnsi="Franklin Gothic Book"/>
          <w:szCs w:val="22"/>
        </w:rPr>
        <w:footnoteReference w:id="186"/>
      </w:r>
      <w:r w:rsidRPr="009C0C39">
        <w:rPr>
          <w:rFonts w:ascii="Franklin Gothic Book" w:hAnsi="Franklin Gothic Book"/>
          <w:szCs w:val="22"/>
        </w:rPr>
        <w:t xml:space="preserve"> </w:t>
      </w:r>
    </w:p>
    <w:p w14:paraId="07E932B8" w14:textId="2AA32DCD" w:rsidR="00360341" w:rsidRPr="009C0C39" w:rsidRDefault="00AF42F6" w:rsidP="00D32EEE">
      <w:pPr>
        <w:pStyle w:val="ListBullet"/>
        <w:numPr>
          <w:ilvl w:val="0"/>
          <w:numId w:val="27"/>
        </w:numPr>
        <w:spacing w:line="240" w:lineRule="auto"/>
        <w:rPr>
          <w:rFonts w:ascii="Franklin Gothic Book" w:hAnsi="Franklin Gothic Book"/>
          <w:szCs w:val="22"/>
          <w:u w:val="single"/>
        </w:rPr>
      </w:pPr>
      <w:r w:rsidRPr="009C0C39">
        <w:rPr>
          <w:rFonts w:ascii="Franklin Gothic Book" w:hAnsi="Franklin Gothic Book"/>
          <w:szCs w:val="22"/>
          <w:u w:val="single"/>
        </w:rPr>
        <w:t>The ICAs assume that the expansion of MGB’s capacity will not result in greater utilization of services (supply-driven demand)</w:t>
      </w:r>
      <w:r w:rsidR="00360341" w:rsidRPr="009C0C39">
        <w:rPr>
          <w:rFonts w:ascii="Franklin Gothic Book" w:hAnsi="Franklin Gothic Book"/>
          <w:szCs w:val="22"/>
          <w:u w:val="single"/>
        </w:rPr>
        <w:t xml:space="preserve">. </w:t>
      </w:r>
    </w:p>
    <w:p w14:paraId="67808264" w14:textId="2370B3E0" w:rsidR="00AF42F6"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The ICAs dismiss the probability that additional capacity will result in additional unwarranted utilization, citing literature finding that provider practice variation (differences in clinical preference, risk tolerance, financial incentives, etc</w:t>
      </w:r>
      <w:r w:rsidR="00E66B6B" w:rsidRPr="009C0C39">
        <w:rPr>
          <w:rFonts w:ascii="Franklin Gothic Book" w:hAnsi="Franklin Gothic Book"/>
          <w:szCs w:val="22"/>
        </w:rPr>
        <w:t>.</w:t>
      </w:r>
      <w:r w:rsidRPr="009C0C39">
        <w:rPr>
          <w:rFonts w:ascii="Franklin Gothic Book" w:hAnsi="Franklin Gothic Book"/>
          <w:szCs w:val="22"/>
        </w:rPr>
        <w:t xml:space="preserve">) plays the largest role in variation in utilization of outpatient </w:t>
      </w:r>
      <w:r w:rsidRPr="009C0C39">
        <w:rPr>
          <w:rFonts w:ascii="Franklin Gothic Book" w:hAnsi="Franklin Gothic Book"/>
          <w:szCs w:val="22"/>
        </w:rPr>
        <w:lastRenderedPageBreak/>
        <w:t>services.</w:t>
      </w:r>
      <w:r w:rsidRPr="009C0C39">
        <w:rPr>
          <w:rStyle w:val="FootnoteReference"/>
          <w:rFonts w:ascii="Franklin Gothic Book" w:hAnsi="Franklin Gothic Book"/>
          <w:szCs w:val="22"/>
        </w:rPr>
        <w:footnoteReference w:id="187"/>
      </w:r>
      <w:r w:rsidRPr="009C0C39">
        <w:rPr>
          <w:rFonts w:ascii="Franklin Gothic Book" w:hAnsi="Franklin Gothic Book"/>
          <w:szCs w:val="22"/>
        </w:rPr>
        <w:t xml:space="preserve"> However, the ICAs’ definition of supply-induced demand as only including care that provides little or unknown clinical benefit is too narrow and does not account for the probability that the availability of capacity (e.g., a clinician's ability to schedule a same-day appointment for imaging in the same facility) may influence provider practice norms. Literature cited in the ICAs also indicates that total ambulatory surgery volume in an area tends to increase following the entry of an ASC.</w:t>
      </w:r>
      <w:r w:rsidRPr="009C0C39">
        <w:rPr>
          <w:rStyle w:val="FootnoteReference"/>
          <w:rFonts w:ascii="Franklin Gothic Book" w:hAnsi="Franklin Gothic Book"/>
          <w:szCs w:val="22"/>
        </w:rPr>
        <w:footnoteReference w:id="188"/>
      </w:r>
      <w:r w:rsidRPr="009C0C39">
        <w:rPr>
          <w:rFonts w:ascii="Franklin Gothic Book" w:hAnsi="Franklin Gothic Book"/>
          <w:szCs w:val="22"/>
        </w:rPr>
        <w:t xml:space="preserve"> We therefore think it likely that some supply-sensitive utilization of outpatient care would increase spending across all payers as a result of the expansions, a possibility that the ICAs do not incorporate.</w:t>
      </w:r>
    </w:p>
    <w:p w14:paraId="5607C880" w14:textId="77777777" w:rsidR="00360341" w:rsidRPr="009C0C39" w:rsidRDefault="00360341" w:rsidP="00D32EEE">
      <w:pPr>
        <w:pStyle w:val="ListBullet"/>
        <w:numPr>
          <w:ilvl w:val="0"/>
          <w:numId w:val="25"/>
        </w:numPr>
        <w:spacing w:line="240" w:lineRule="auto"/>
        <w:rPr>
          <w:rFonts w:ascii="Franklin Gothic Book" w:hAnsi="Franklin Gothic Book"/>
          <w:i/>
          <w:iCs/>
          <w:szCs w:val="22"/>
        </w:rPr>
      </w:pPr>
      <w:r w:rsidRPr="009C0C39">
        <w:rPr>
          <w:rFonts w:ascii="Franklin Gothic Book" w:hAnsi="Franklin Gothic Book"/>
          <w:i/>
          <w:iCs/>
          <w:szCs w:val="22"/>
        </w:rPr>
        <w:t>Presentation of Findings</w:t>
      </w:r>
    </w:p>
    <w:p w14:paraId="01F59424" w14:textId="2100EB6B" w:rsidR="00DF0CED" w:rsidRPr="00042BF6" w:rsidRDefault="00DF0CED" w:rsidP="00D32EEE">
      <w:pPr>
        <w:pStyle w:val="ListBullet"/>
        <w:numPr>
          <w:ilvl w:val="0"/>
          <w:numId w:val="28"/>
        </w:numPr>
        <w:spacing w:line="240" w:lineRule="auto"/>
        <w:rPr>
          <w:rFonts w:ascii="Franklin Gothic Book" w:hAnsi="Franklin Gothic Book"/>
          <w:szCs w:val="22"/>
          <w:u w:val="single"/>
        </w:rPr>
      </w:pPr>
      <w:r w:rsidRPr="00042BF6">
        <w:rPr>
          <w:rFonts w:ascii="Franklin Gothic Book" w:hAnsi="Franklin Gothic Book"/>
          <w:szCs w:val="22"/>
          <w:u w:val="single"/>
        </w:rPr>
        <w:t>The ICAs dismiss large spending increases as insignificant, particularly for the hospital expansions</w:t>
      </w:r>
      <w:r w:rsidRPr="00042BF6">
        <w:rPr>
          <w:rFonts w:ascii="Franklin Gothic Book" w:hAnsi="Franklin Gothic Book"/>
          <w:szCs w:val="22"/>
        </w:rPr>
        <w:t>.</w:t>
      </w:r>
    </w:p>
    <w:p w14:paraId="3B5433B3" w14:textId="097D23BA" w:rsidR="00DF0CED" w:rsidRPr="009C0C39" w:rsidRDefault="00DF0CED" w:rsidP="00DF0CED">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 xml:space="preserve">The MGH ICA finds that spending would increase by an average of 18% across services and payer types for patients anticipated to switch to receiving care at MGH, with spending for inpatient cancer services seeing increases of 38% across payer types. In the attached tables that disaggregate spending impacts by payer type, the ICA </w:t>
      </w:r>
      <w:r w:rsidR="00A70725" w:rsidRPr="009C0C39">
        <w:rPr>
          <w:rFonts w:ascii="Franklin Gothic Book" w:hAnsi="Franklin Gothic Book"/>
          <w:szCs w:val="22"/>
        </w:rPr>
        <w:t>finds</w:t>
      </w:r>
      <w:r w:rsidRPr="009C0C39">
        <w:rPr>
          <w:rFonts w:ascii="Franklin Gothic Book" w:hAnsi="Franklin Gothic Book"/>
          <w:szCs w:val="22"/>
        </w:rPr>
        <w:t xml:space="preserve"> much higher increases for specific services and payers, projecting that commercial spending would increase 33.8% for all inpatient care that would switch to MGH from other area providers, including a 72.7% increase for inpatient cancer services. Medicare Advantage plans would see increases of 121.2% for inpatient cancer services for care switching to MGH.</w:t>
      </w:r>
      <w:r w:rsidRPr="009C0C39">
        <w:rPr>
          <w:rFonts w:ascii="Franklin Gothic Book" w:hAnsi="Franklin Gothic Book"/>
          <w:szCs w:val="22"/>
          <w:vertAlign w:val="superscript"/>
        </w:rPr>
        <w:footnoteReference w:id="189"/>
      </w:r>
      <w:r w:rsidRPr="009C0C39">
        <w:rPr>
          <w:rFonts w:ascii="Franklin Gothic Book" w:hAnsi="Franklin Gothic Book"/>
          <w:szCs w:val="22"/>
        </w:rPr>
        <w:t xml:space="preserve"> The Faulkner ICA </w:t>
      </w:r>
      <w:r w:rsidR="00A70725" w:rsidRPr="009C0C39">
        <w:rPr>
          <w:rFonts w:ascii="Franklin Gothic Book" w:hAnsi="Franklin Gothic Book"/>
          <w:szCs w:val="22"/>
        </w:rPr>
        <w:t>finds</w:t>
      </w:r>
      <w:r w:rsidRPr="009C0C39">
        <w:rPr>
          <w:rFonts w:ascii="Franklin Gothic Book" w:hAnsi="Franklin Gothic Book"/>
          <w:szCs w:val="22"/>
        </w:rPr>
        <w:t xml:space="preserve"> that, for patients anticipated to switch to receiving outpatient MR scans at Faulkner, spending would increase by 11.3% overall, with Original Medicare and Medicare Advantage plans seeing increases of 22.8%.</w:t>
      </w:r>
      <w:r w:rsidRPr="009C0C39">
        <w:rPr>
          <w:rFonts w:ascii="Franklin Gothic Book" w:hAnsi="Franklin Gothic Book"/>
          <w:szCs w:val="22"/>
          <w:vertAlign w:val="superscript"/>
        </w:rPr>
        <w:footnoteReference w:id="190"/>
      </w:r>
      <w:r w:rsidRPr="009C0C39">
        <w:rPr>
          <w:rFonts w:ascii="Franklin Gothic Book" w:hAnsi="Franklin Gothic Book"/>
          <w:szCs w:val="22"/>
        </w:rPr>
        <w:t xml:space="preserve"> </w:t>
      </w:r>
      <w:r w:rsidR="00A70725" w:rsidRPr="009C0C39">
        <w:rPr>
          <w:rFonts w:ascii="Franklin Gothic Book" w:hAnsi="Franklin Gothic Book"/>
          <w:szCs w:val="22"/>
        </w:rPr>
        <w:t>The ICAs do not directly address these impacts, but conclude that the projects are consistent with the Commonwealth’s cost containment goals.</w:t>
      </w:r>
    </w:p>
    <w:p w14:paraId="03A3B9DC" w14:textId="4613D595" w:rsidR="00360341" w:rsidRPr="009C0C39" w:rsidRDefault="00360341" w:rsidP="00D32EEE">
      <w:pPr>
        <w:pStyle w:val="ListBullet"/>
        <w:numPr>
          <w:ilvl w:val="0"/>
          <w:numId w:val="28"/>
        </w:numPr>
        <w:spacing w:line="240" w:lineRule="auto"/>
        <w:rPr>
          <w:rFonts w:ascii="Franklin Gothic Book" w:hAnsi="Franklin Gothic Book"/>
          <w:szCs w:val="22"/>
          <w:u w:val="single"/>
        </w:rPr>
      </w:pPr>
      <w:r w:rsidRPr="009C0C39">
        <w:rPr>
          <w:rFonts w:ascii="Franklin Gothic Book" w:hAnsi="Franklin Gothic Book"/>
          <w:szCs w:val="22"/>
          <w:u w:val="single"/>
        </w:rPr>
        <w:t xml:space="preserve">The ICAs present all impacts on spending as percentage point increases or decreases, but do not quantify the changes in absolute dollars. </w:t>
      </w:r>
    </w:p>
    <w:p w14:paraId="3B1DDADB" w14:textId="056396FE"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 xml:space="preserve">Because spending impacts are reported only as percentages, it is not clear what the impact of each MGB expansion project would be in terms of the change in dollars spent on healthcare services. Percentage spending changes also prevent a reader from readily identifying the overall spending impact of the three expansions. Because of the scale of the MGH expansion, which the MGH ICA </w:t>
      </w:r>
      <w:r w:rsidR="003E0E45" w:rsidRPr="009C0C39">
        <w:rPr>
          <w:rFonts w:ascii="Franklin Gothic Book" w:hAnsi="Franklin Gothic Book"/>
          <w:szCs w:val="22"/>
        </w:rPr>
        <w:t>projects</w:t>
      </w:r>
      <w:r w:rsidR="00F33D01" w:rsidRPr="009C0C39">
        <w:rPr>
          <w:rFonts w:ascii="Franklin Gothic Book" w:hAnsi="Franklin Gothic Book"/>
          <w:szCs w:val="22"/>
        </w:rPr>
        <w:t xml:space="preserve"> would increase </w:t>
      </w:r>
      <w:r w:rsidRPr="009C0C39">
        <w:rPr>
          <w:rFonts w:ascii="Franklin Gothic Book" w:hAnsi="Franklin Gothic Book"/>
          <w:szCs w:val="22"/>
        </w:rPr>
        <w:t>spending, the dollar amount of the spending increase estimated in the MGH ICA likely outweighs the spending decreases predicted in the ICAs for the ambulatory and Faulkner expansions, even incorporating the limitations of each of the ICA models.</w:t>
      </w:r>
      <w:r w:rsidRPr="009C0C39">
        <w:rPr>
          <w:rStyle w:val="FootnoteReference"/>
          <w:rFonts w:ascii="Franklin Gothic Book" w:hAnsi="Franklin Gothic Book"/>
          <w:szCs w:val="22"/>
        </w:rPr>
        <w:footnoteReference w:id="191"/>
      </w:r>
      <w:r w:rsidRPr="009C0C39">
        <w:rPr>
          <w:rFonts w:ascii="Franklin Gothic Book" w:hAnsi="Franklin Gothic Book"/>
          <w:szCs w:val="22"/>
        </w:rPr>
        <w:t xml:space="preserve"> The ICAs do not evaluate that question or provide data sufficient to do so.</w:t>
      </w:r>
    </w:p>
    <w:p w14:paraId="58B46F0D" w14:textId="6C792526"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lastRenderedPageBreak/>
        <w:t>Additionally, the Ambulatory ICA reports percentage changes in spending only on an aggregate, all-payer basis in the body of the text; moreover, the ICAs present percentage spending changes attributable to the expansions relative to statewide total spending on the relevant service lines.</w:t>
      </w:r>
      <w:r w:rsidRPr="009C0C39">
        <w:rPr>
          <w:rStyle w:val="FootnoteReference"/>
          <w:rFonts w:ascii="Franklin Gothic Book" w:hAnsi="Franklin Gothic Book"/>
          <w:szCs w:val="22"/>
        </w:rPr>
        <w:footnoteReference w:id="192"/>
      </w:r>
      <w:r w:rsidRPr="009C0C39">
        <w:rPr>
          <w:rFonts w:ascii="Franklin Gothic Book" w:hAnsi="Franklin Gothic Book"/>
          <w:szCs w:val="22"/>
        </w:rPr>
        <w:t xml:space="preserve"> Aggregating multiple payers and using a statewide denominator both act to deflate the percentage increases estimated in the ICAs.</w:t>
      </w:r>
      <w:r w:rsidRPr="009C0C39">
        <w:rPr>
          <w:rStyle w:val="FootnoteReference"/>
          <w:rFonts w:ascii="Franklin Gothic Book" w:hAnsi="Franklin Gothic Book"/>
          <w:szCs w:val="22"/>
        </w:rPr>
        <w:footnoteReference w:id="193"/>
      </w:r>
      <w:r w:rsidRPr="009C0C39">
        <w:rPr>
          <w:rFonts w:ascii="Franklin Gothic Book" w:hAnsi="Franklin Gothic Book"/>
          <w:szCs w:val="22"/>
        </w:rPr>
        <w:t xml:space="preserve"> </w:t>
      </w:r>
    </w:p>
    <w:p w14:paraId="1D151E97" w14:textId="77777777" w:rsidR="00360341" w:rsidRPr="009C0C39" w:rsidRDefault="00360341" w:rsidP="00D32EEE">
      <w:pPr>
        <w:pStyle w:val="ListBullet"/>
        <w:numPr>
          <w:ilvl w:val="0"/>
          <w:numId w:val="25"/>
        </w:numPr>
        <w:spacing w:line="240" w:lineRule="auto"/>
        <w:rPr>
          <w:rFonts w:ascii="Franklin Gothic Book" w:hAnsi="Franklin Gothic Book"/>
          <w:i/>
          <w:iCs/>
          <w:szCs w:val="22"/>
        </w:rPr>
      </w:pPr>
      <w:r w:rsidRPr="009C0C39">
        <w:rPr>
          <w:rFonts w:ascii="Franklin Gothic Book" w:hAnsi="Franklin Gothic Book"/>
          <w:i/>
          <w:iCs/>
          <w:szCs w:val="22"/>
        </w:rPr>
        <w:t>Assessment of market leverage impacts</w:t>
      </w:r>
    </w:p>
    <w:p w14:paraId="4E434AAA" w14:textId="77777777" w:rsidR="00360341" w:rsidRPr="009C0C39" w:rsidRDefault="00360341" w:rsidP="00D32EEE">
      <w:pPr>
        <w:pStyle w:val="ListBullet"/>
        <w:numPr>
          <w:ilvl w:val="0"/>
          <w:numId w:val="29"/>
        </w:numPr>
        <w:spacing w:line="240" w:lineRule="auto"/>
        <w:rPr>
          <w:rFonts w:ascii="Franklin Gothic Book" w:hAnsi="Franklin Gothic Book"/>
          <w:szCs w:val="22"/>
          <w:u w:val="single"/>
        </w:rPr>
      </w:pPr>
      <w:r w:rsidRPr="009C0C39">
        <w:rPr>
          <w:rFonts w:ascii="Franklin Gothic Book" w:hAnsi="Franklin Gothic Book"/>
          <w:szCs w:val="22"/>
          <w:u w:val="single"/>
        </w:rPr>
        <w:t xml:space="preserve">The ICAs portray MGB as a market entrant in the ambulatory service areas and equate the effects of expansion by an incumbent with those of market entry by a new competitor. </w:t>
      </w:r>
    </w:p>
    <w:p w14:paraId="0694445D" w14:textId="5D7EB046" w:rsidR="00360341"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In examining the relationship between increased market share and price, the ICAs suggest that expansion by MGB would be equivalent to market entry by a new competitor, and that the expansion</w:t>
      </w:r>
      <w:r w:rsidR="003E0E45" w:rsidRPr="009C0C39">
        <w:rPr>
          <w:rFonts w:ascii="Franklin Gothic Book" w:hAnsi="Franklin Gothic Book"/>
          <w:szCs w:val="22"/>
        </w:rPr>
        <w:t>s</w:t>
      </w:r>
      <w:r w:rsidRPr="009C0C39">
        <w:rPr>
          <w:rFonts w:ascii="Franklin Gothic Book" w:hAnsi="Franklin Gothic Book"/>
          <w:szCs w:val="22"/>
        </w:rPr>
        <w:t xml:space="preserve"> would therefore depress prices</w:t>
      </w:r>
      <w:r w:rsidR="003E0E45" w:rsidRPr="009C0C39">
        <w:rPr>
          <w:rFonts w:ascii="Franklin Gothic Book" w:hAnsi="Franklin Gothic Book"/>
          <w:szCs w:val="22"/>
        </w:rPr>
        <w:t>—in effect</w:t>
      </w:r>
      <w:r w:rsidRPr="009C0C39">
        <w:rPr>
          <w:rFonts w:ascii="Franklin Gothic Book" w:hAnsi="Franklin Gothic Book"/>
          <w:szCs w:val="22"/>
        </w:rPr>
        <w:t xml:space="preserve"> </w:t>
      </w:r>
      <w:r w:rsidR="003E0E45" w:rsidRPr="009C0C39">
        <w:rPr>
          <w:rFonts w:ascii="Franklin Gothic Book" w:hAnsi="Franklin Gothic Book"/>
          <w:szCs w:val="22"/>
        </w:rPr>
        <w:t xml:space="preserve">treating the expansions as the opposite of </w:t>
      </w:r>
      <w:r w:rsidRPr="009C0C39">
        <w:rPr>
          <w:rFonts w:ascii="Franklin Gothic Book" w:hAnsi="Franklin Gothic Book"/>
          <w:szCs w:val="22"/>
        </w:rPr>
        <w:t>market consolidation.</w:t>
      </w:r>
      <w:r w:rsidR="00E20DF1" w:rsidRPr="009C0C39">
        <w:rPr>
          <w:rStyle w:val="FootnoteReference"/>
          <w:rFonts w:ascii="Franklin Gothic Book" w:hAnsi="Franklin Gothic Book"/>
          <w:szCs w:val="22"/>
        </w:rPr>
        <w:footnoteReference w:id="194"/>
      </w:r>
      <w:r w:rsidRPr="009C0C39">
        <w:rPr>
          <w:rFonts w:ascii="Franklin Gothic Book" w:hAnsi="Franklin Gothic Book"/>
          <w:szCs w:val="22"/>
        </w:rPr>
        <w:t xml:space="preserve"> This assertion ignores MGB’s status as an incumbent provider with the largest or second-largest shares across all relevant service lines in the proposed ambulatory service areas</w:t>
      </w:r>
      <w:r w:rsidR="00E20DF1" w:rsidRPr="009C0C39">
        <w:rPr>
          <w:rStyle w:val="FootnoteReference"/>
          <w:rFonts w:ascii="Franklin Gothic Book" w:hAnsi="Franklin Gothic Book"/>
          <w:szCs w:val="22"/>
        </w:rPr>
        <w:footnoteReference w:id="195"/>
      </w:r>
      <w:r w:rsidRPr="009C0C39">
        <w:rPr>
          <w:rFonts w:ascii="Franklin Gothic Book" w:hAnsi="Franklin Gothic Book"/>
          <w:szCs w:val="22"/>
        </w:rPr>
        <w:t xml:space="preserve"> </w:t>
      </w:r>
      <w:r w:rsidR="00E20DF1" w:rsidRPr="009C0C39">
        <w:rPr>
          <w:rFonts w:ascii="Franklin Gothic Book" w:hAnsi="Franklin Gothic Book"/>
          <w:szCs w:val="22"/>
        </w:rPr>
        <w:t>and the largest hospital inpatient market share.</w:t>
      </w:r>
      <w:r w:rsidR="00E20DF1" w:rsidRPr="009C0C39">
        <w:rPr>
          <w:rStyle w:val="FootnoteReference"/>
          <w:rFonts w:ascii="Franklin Gothic Book" w:hAnsi="Franklin Gothic Book"/>
          <w:szCs w:val="22"/>
        </w:rPr>
        <w:footnoteReference w:id="196"/>
      </w:r>
      <w:r w:rsidR="00E20DF1" w:rsidRPr="009C0C39">
        <w:rPr>
          <w:rFonts w:ascii="Franklin Gothic Book" w:hAnsi="Franklin Gothic Book"/>
          <w:szCs w:val="22"/>
        </w:rPr>
        <w:t xml:space="preserve"> </w:t>
      </w:r>
      <w:r w:rsidR="003E0E45" w:rsidRPr="009C0C39">
        <w:rPr>
          <w:rFonts w:ascii="Franklin Gothic Book" w:hAnsi="Franklin Gothic Book"/>
          <w:szCs w:val="22"/>
        </w:rPr>
        <w:t xml:space="preserve">An increase in the share of the largest or second largest provider of services to patients in an area is not the functional equivalent of entry. </w:t>
      </w:r>
      <w:r w:rsidR="006B5C40" w:rsidRPr="009C0C39">
        <w:rPr>
          <w:rFonts w:ascii="Franklin Gothic Book" w:hAnsi="Franklin Gothic Book"/>
          <w:szCs w:val="22"/>
        </w:rPr>
        <w:t xml:space="preserve">The ICAs likely understate potential changes in leverage due to changes in market concentration because they assume that other MGB facilities would lose market share as patients shift to newly expanded capacity rather than backfilling, and because they present </w:t>
      </w:r>
      <w:r w:rsidRPr="009C0C39">
        <w:rPr>
          <w:rFonts w:ascii="Franklin Gothic Book" w:hAnsi="Franklin Gothic Book"/>
          <w:szCs w:val="22"/>
        </w:rPr>
        <w:t xml:space="preserve">all-payer shares and concentration </w:t>
      </w:r>
      <w:r w:rsidR="006B5C40" w:rsidRPr="009C0C39">
        <w:rPr>
          <w:rFonts w:ascii="Franklin Gothic Book" w:hAnsi="Franklin Gothic Book"/>
          <w:szCs w:val="22"/>
        </w:rPr>
        <w:t xml:space="preserve">figures </w:t>
      </w:r>
      <w:r w:rsidR="00D53B55" w:rsidRPr="009C0C39">
        <w:rPr>
          <w:rFonts w:ascii="Franklin Gothic Book" w:hAnsi="Franklin Gothic Book"/>
          <w:szCs w:val="22"/>
        </w:rPr>
        <w:t xml:space="preserve">that would tend to be lower than MGB’s commercial share, </w:t>
      </w:r>
      <w:r w:rsidR="006B5C40" w:rsidRPr="009C0C39">
        <w:rPr>
          <w:rFonts w:ascii="Franklin Gothic Book" w:hAnsi="Franklin Gothic Book"/>
          <w:szCs w:val="22"/>
        </w:rPr>
        <w:t xml:space="preserve">even though </w:t>
      </w:r>
      <w:r w:rsidRPr="009C0C39">
        <w:rPr>
          <w:rFonts w:ascii="Franklin Gothic Book" w:hAnsi="Franklin Gothic Book"/>
          <w:szCs w:val="22"/>
        </w:rPr>
        <w:t xml:space="preserve">bargaining dynamics do not influence rates for </w:t>
      </w:r>
      <w:r w:rsidR="006B5C40" w:rsidRPr="009C0C39">
        <w:rPr>
          <w:rFonts w:ascii="Franklin Gothic Book" w:hAnsi="Franklin Gothic Book"/>
          <w:szCs w:val="22"/>
        </w:rPr>
        <w:t xml:space="preserve">Original </w:t>
      </w:r>
      <w:r w:rsidRPr="009C0C39">
        <w:rPr>
          <w:rFonts w:ascii="Franklin Gothic Book" w:hAnsi="Franklin Gothic Book"/>
          <w:szCs w:val="22"/>
        </w:rPr>
        <w:t xml:space="preserve">Medicare and MassHealth. The </w:t>
      </w:r>
      <w:r w:rsidR="006B5C40" w:rsidRPr="009C0C39">
        <w:rPr>
          <w:rFonts w:ascii="Franklin Gothic Book" w:hAnsi="Franklin Gothic Book"/>
          <w:szCs w:val="22"/>
        </w:rPr>
        <w:t xml:space="preserve">Ambulatory </w:t>
      </w:r>
      <w:r w:rsidRPr="009C0C39">
        <w:rPr>
          <w:rFonts w:ascii="Franklin Gothic Book" w:hAnsi="Franklin Gothic Book"/>
          <w:szCs w:val="22"/>
        </w:rPr>
        <w:t xml:space="preserve">ICA also </w:t>
      </w:r>
      <w:r w:rsidR="006B5C40" w:rsidRPr="009C0C39">
        <w:rPr>
          <w:rFonts w:ascii="Franklin Gothic Book" w:hAnsi="Franklin Gothic Book"/>
          <w:szCs w:val="22"/>
        </w:rPr>
        <w:t xml:space="preserve">does not </w:t>
      </w:r>
      <w:r w:rsidR="003E0E45" w:rsidRPr="009C0C39">
        <w:rPr>
          <w:rFonts w:ascii="Franklin Gothic Book" w:hAnsi="Franklin Gothic Book"/>
          <w:szCs w:val="22"/>
        </w:rPr>
        <w:t xml:space="preserve">evaluate the </w:t>
      </w:r>
      <w:r w:rsidRPr="009C0C39">
        <w:rPr>
          <w:rFonts w:ascii="Franklin Gothic Book" w:hAnsi="Franklin Gothic Book"/>
          <w:szCs w:val="22"/>
        </w:rPr>
        <w:t xml:space="preserve">potential </w:t>
      </w:r>
      <w:r w:rsidR="003E0E45" w:rsidRPr="009C0C39">
        <w:rPr>
          <w:rFonts w:ascii="Franklin Gothic Book" w:hAnsi="Franklin Gothic Book"/>
          <w:szCs w:val="22"/>
        </w:rPr>
        <w:t xml:space="preserve">for </w:t>
      </w:r>
      <w:r w:rsidRPr="009C0C39">
        <w:rPr>
          <w:rFonts w:ascii="Franklin Gothic Book" w:hAnsi="Franklin Gothic Book"/>
          <w:szCs w:val="22"/>
        </w:rPr>
        <w:t>increased volume at MGB hospitals</w:t>
      </w:r>
      <w:r w:rsidR="006B5C40" w:rsidRPr="009C0C39">
        <w:rPr>
          <w:rFonts w:ascii="Franklin Gothic Book" w:hAnsi="Franklin Gothic Book"/>
          <w:szCs w:val="22"/>
        </w:rPr>
        <w:t xml:space="preserve"> from the ambulatory expansions in its assessment of market share and concentration changes</w:t>
      </w:r>
      <w:r w:rsidRPr="009C0C39">
        <w:rPr>
          <w:rFonts w:ascii="Franklin Gothic Book" w:hAnsi="Franklin Gothic Book"/>
          <w:szCs w:val="22"/>
        </w:rPr>
        <w:t>.</w:t>
      </w:r>
    </w:p>
    <w:p w14:paraId="300206C2" w14:textId="0DAF62CE" w:rsidR="00255ECF" w:rsidRPr="009C0C39" w:rsidRDefault="00360341" w:rsidP="00D32EEE">
      <w:pPr>
        <w:pStyle w:val="ListBullet"/>
        <w:numPr>
          <w:ilvl w:val="0"/>
          <w:numId w:val="0"/>
        </w:numPr>
        <w:spacing w:line="240" w:lineRule="auto"/>
        <w:ind w:firstLine="720"/>
        <w:rPr>
          <w:rFonts w:ascii="Franklin Gothic Book" w:hAnsi="Franklin Gothic Book"/>
          <w:szCs w:val="22"/>
        </w:rPr>
      </w:pPr>
      <w:r w:rsidRPr="009C0C39">
        <w:rPr>
          <w:rFonts w:ascii="Franklin Gothic Book" w:hAnsi="Franklin Gothic Book"/>
          <w:szCs w:val="22"/>
        </w:rPr>
        <w:t xml:space="preserve">It is </w:t>
      </w:r>
      <w:r w:rsidR="006B5C40" w:rsidRPr="009C0C39">
        <w:rPr>
          <w:rFonts w:ascii="Franklin Gothic Book" w:hAnsi="Franklin Gothic Book"/>
          <w:szCs w:val="22"/>
        </w:rPr>
        <w:t xml:space="preserve">also </w:t>
      </w:r>
      <w:r w:rsidRPr="009C0C39">
        <w:rPr>
          <w:rFonts w:ascii="Franklin Gothic Book" w:hAnsi="Franklin Gothic Book"/>
          <w:szCs w:val="22"/>
        </w:rPr>
        <w:t xml:space="preserve">unclear why both the MGH and Faulkner ICAs suggest that </w:t>
      </w:r>
      <w:r w:rsidR="006B5C40" w:rsidRPr="009C0C39">
        <w:rPr>
          <w:rFonts w:ascii="Franklin Gothic Book" w:hAnsi="Franklin Gothic Book"/>
          <w:szCs w:val="22"/>
        </w:rPr>
        <w:t xml:space="preserve">the hospital expansions </w:t>
      </w:r>
      <w:r w:rsidRPr="009C0C39">
        <w:rPr>
          <w:rFonts w:ascii="Franklin Gothic Book" w:hAnsi="Franklin Gothic Book"/>
          <w:szCs w:val="22"/>
        </w:rPr>
        <w:t xml:space="preserve">would tend to reduce MGB’s market leverage even </w:t>
      </w:r>
      <w:r w:rsidR="00255ECF" w:rsidRPr="009C0C39">
        <w:rPr>
          <w:rFonts w:ascii="Franklin Gothic Book" w:hAnsi="Franklin Gothic Book"/>
          <w:szCs w:val="22"/>
        </w:rPr>
        <w:t xml:space="preserve">though the ICAs find that MGB’s shares and market concentration would </w:t>
      </w:r>
      <w:r w:rsidRPr="009C0C39">
        <w:rPr>
          <w:rFonts w:ascii="Franklin Gothic Book" w:hAnsi="Franklin Gothic Book"/>
          <w:szCs w:val="22"/>
        </w:rPr>
        <w:t xml:space="preserve">increase. In particular, the Faulkner ICA identifies that the HHI increase for inpatient care predicted under the “market scenario” diversion for Faulkner exceeds the Department of Justice/Federal Trade Commission screening guidelines for potential impacts on market leverage, but then states “The direct effect of [cost savings from care shifting </w:t>
      </w:r>
      <w:r w:rsidR="00D53B55" w:rsidRPr="009C0C39">
        <w:rPr>
          <w:rFonts w:ascii="Franklin Gothic Book" w:hAnsi="Franklin Gothic Book"/>
          <w:szCs w:val="22"/>
        </w:rPr>
        <w:t xml:space="preserve">away </w:t>
      </w:r>
      <w:r w:rsidRPr="009C0C39">
        <w:rPr>
          <w:rFonts w:ascii="Franklin Gothic Book" w:hAnsi="Franklin Gothic Book"/>
          <w:szCs w:val="22"/>
        </w:rPr>
        <w:t>from higher-priced hospitals] would likely outweigh any indirect effect resulting from an increase in MGB’s negotiating leverage.”</w:t>
      </w:r>
      <w:r w:rsidR="00255ECF" w:rsidRPr="009C0C39">
        <w:rPr>
          <w:rStyle w:val="FootnoteReference"/>
          <w:rFonts w:ascii="Franklin Gothic Book" w:hAnsi="Franklin Gothic Book"/>
          <w:szCs w:val="22"/>
        </w:rPr>
        <w:footnoteReference w:id="197"/>
      </w:r>
      <w:r w:rsidRPr="009C0C39">
        <w:rPr>
          <w:rFonts w:ascii="Franklin Gothic Book" w:hAnsi="Franklin Gothic Book"/>
          <w:szCs w:val="22"/>
        </w:rPr>
        <w:t xml:space="preserve"> Although the ICAs cite papers linking HHI increases </w:t>
      </w:r>
      <w:r w:rsidR="00D53B55" w:rsidRPr="009C0C39">
        <w:rPr>
          <w:rFonts w:ascii="Franklin Gothic Book" w:hAnsi="Franklin Gothic Book"/>
          <w:szCs w:val="22"/>
        </w:rPr>
        <w:t xml:space="preserve">in markets </w:t>
      </w:r>
      <w:r w:rsidRPr="009C0C39">
        <w:rPr>
          <w:rFonts w:ascii="Franklin Gothic Book" w:hAnsi="Franklin Gothic Book"/>
          <w:szCs w:val="22"/>
        </w:rPr>
        <w:t xml:space="preserve">for inpatient services with </w:t>
      </w:r>
      <w:r w:rsidR="00D53B55" w:rsidRPr="009C0C39">
        <w:rPr>
          <w:rFonts w:ascii="Franklin Gothic Book" w:hAnsi="Franklin Gothic Book"/>
          <w:szCs w:val="22"/>
        </w:rPr>
        <w:t xml:space="preserve">hospital </w:t>
      </w:r>
      <w:r w:rsidRPr="009C0C39">
        <w:rPr>
          <w:rFonts w:ascii="Franklin Gothic Book" w:hAnsi="Franklin Gothic Book"/>
          <w:szCs w:val="22"/>
        </w:rPr>
        <w:t xml:space="preserve">price increases and state that they will “predict changes in inpatient prices that may be associated with changes in MGB’s bargaining leverage that result from its expansion,” </w:t>
      </w:r>
      <w:r w:rsidR="00A70725" w:rsidRPr="009C0C39">
        <w:rPr>
          <w:rFonts w:ascii="Franklin Gothic Book" w:hAnsi="Franklin Gothic Book"/>
          <w:szCs w:val="22"/>
        </w:rPr>
        <w:t>these predictions are</w:t>
      </w:r>
      <w:r w:rsidRPr="009C0C39">
        <w:rPr>
          <w:rFonts w:ascii="Franklin Gothic Book" w:hAnsi="Franklin Gothic Book"/>
          <w:szCs w:val="22"/>
        </w:rPr>
        <w:t xml:space="preserve"> not included and </w:t>
      </w:r>
      <w:r w:rsidR="00A70725" w:rsidRPr="009C0C39">
        <w:rPr>
          <w:rFonts w:ascii="Franklin Gothic Book" w:hAnsi="Franklin Gothic Book"/>
          <w:szCs w:val="22"/>
        </w:rPr>
        <w:t xml:space="preserve">are </w:t>
      </w:r>
      <w:r w:rsidRPr="009C0C39">
        <w:rPr>
          <w:rFonts w:ascii="Franklin Gothic Book" w:hAnsi="Franklin Gothic Book"/>
          <w:szCs w:val="22"/>
        </w:rPr>
        <w:t>not identified as part of the projected spending impacts.</w:t>
      </w:r>
      <w:r w:rsidR="00255ECF" w:rsidRPr="009C0C39">
        <w:rPr>
          <w:rStyle w:val="FootnoteReference"/>
          <w:rFonts w:ascii="Franklin Gothic Book" w:hAnsi="Franklin Gothic Book"/>
          <w:szCs w:val="22"/>
        </w:rPr>
        <w:footnoteReference w:id="198"/>
      </w:r>
      <w:r w:rsidRPr="009C0C39">
        <w:rPr>
          <w:rFonts w:ascii="Franklin Gothic Book" w:hAnsi="Franklin Gothic Book"/>
          <w:szCs w:val="22"/>
        </w:rPr>
        <w:t xml:space="preserve"> </w:t>
      </w:r>
    </w:p>
    <w:p w14:paraId="421B1377" w14:textId="2CF7E6AD" w:rsidR="00360341" w:rsidRPr="009C0C39" w:rsidRDefault="00360341" w:rsidP="00D32EEE">
      <w:pPr>
        <w:pStyle w:val="ListParagraph"/>
        <w:numPr>
          <w:ilvl w:val="0"/>
          <w:numId w:val="29"/>
        </w:numPr>
        <w:spacing w:after="120"/>
        <w:rPr>
          <w:rFonts w:ascii="Franklin Gothic Book" w:hAnsi="Franklin Gothic Book" w:cs="Times New Roman"/>
          <w:sz w:val="22"/>
          <w:szCs w:val="22"/>
          <w:u w:val="single"/>
        </w:rPr>
      </w:pPr>
      <w:r w:rsidRPr="009C0C39">
        <w:rPr>
          <w:rFonts w:ascii="Franklin Gothic Book" w:hAnsi="Franklin Gothic Book" w:cs="Times New Roman"/>
          <w:sz w:val="22"/>
          <w:szCs w:val="22"/>
          <w:u w:val="single"/>
        </w:rPr>
        <w:t xml:space="preserve">The ICAs suggest </w:t>
      </w:r>
      <w:r w:rsidR="00AF42F6" w:rsidRPr="009C0C39">
        <w:rPr>
          <w:rFonts w:ascii="Franklin Gothic Book" w:hAnsi="Franklin Gothic Book" w:cs="Times New Roman"/>
          <w:sz w:val="22"/>
          <w:szCs w:val="22"/>
          <w:u w:val="single"/>
        </w:rPr>
        <w:t xml:space="preserve">regulatory programs like DoN are anticompetitive and </w:t>
      </w:r>
      <w:r w:rsidRPr="009C0C39">
        <w:rPr>
          <w:rFonts w:ascii="Franklin Gothic Book" w:hAnsi="Franklin Gothic Book" w:cs="Times New Roman"/>
          <w:sz w:val="22"/>
          <w:szCs w:val="22"/>
          <w:u w:val="single"/>
        </w:rPr>
        <w:t xml:space="preserve">that </w:t>
      </w:r>
      <w:r w:rsidR="00AF42F6" w:rsidRPr="009C0C39">
        <w:rPr>
          <w:rFonts w:ascii="Franklin Gothic Book" w:hAnsi="Franklin Gothic Book" w:cs="Times New Roman"/>
          <w:sz w:val="22"/>
          <w:szCs w:val="22"/>
          <w:u w:val="single"/>
        </w:rPr>
        <w:t xml:space="preserve">therefore </w:t>
      </w:r>
      <w:r w:rsidRPr="009C0C39">
        <w:rPr>
          <w:rFonts w:ascii="Franklin Gothic Book" w:hAnsi="Franklin Gothic Book" w:cs="Times New Roman"/>
          <w:sz w:val="22"/>
          <w:szCs w:val="22"/>
          <w:u w:val="single"/>
        </w:rPr>
        <w:t>permitting expansion by MGB is likely to reduce costs.</w:t>
      </w:r>
    </w:p>
    <w:p w14:paraId="271E3518" w14:textId="25573916" w:rsidR="00AF42F6" w:rsidRPr="009C0C39" w:rsidRDefault="00360341" w:rsidP="00D32EEE">
      <w:pPr>
        <w:spacing w:after="120"/>
        <w:ind w:firstLine="720"/>
        <w:rPr>
          <w:rFonts w:ascii="Franklin Gothic Book" w:hAnsi="Franklin Gothic Book" w:cs="Times New Roman"/>
          <w:sz w:val="22"/>
          <w:szCs w:val="22"/>
        </w:rPr>
      </w:pPr>
      <w:r w:rsidRPr="009C0C39">
        <w:rPr>
          <w:rFonts w:ascii="Franklin Gothic Book" w:hAnsi="Franklin Gothic Book" w:cs="Times New Roman"/>
          <w:sz w:val="22"/>
          <w:szCs w:val="22"/>
        </w:rPr>
        <w:lastRenderedPageBreak/>
        <w:t xml:space="preserve">The ICAs provide an overview of economics literature </w:t>
      </w:r>
      <w:r w:rsidR="00D53B55" w:rsidRPr="009C0C39">
        <w:rPr>
          <w:rFonts w:ascii="Franklin Gothic Book" w:hAnsi="Franklin Gothic Book" w:cs="Times New Roman"/>
          <w:sz w:val="22"/>
          <w:szCs w:val="22"/>
        </w:rPr>
        <w:t>suggesting</w:t>
      </w:r>
      <w:r w:rsidRPr="009C0C39">
        <w:rPr>
          <w:rFonts w:ascii="Franklin Gothic Book" w:hAnsi="Franklin Gothic Book" w:cs="Times New Roman"/>
          <w:sz w:val="22"/>
          <w:szCs w:val="22"/>
        </w:rPr>
        <w:t xml:space="preserve"> that programs like the DoN program, which are commonly called “certificate of need” programs in other states, are anticompetitive and thus increase health care spending, and </w:t>
      </w:r>
      <w:r w:rsidR="00D53B55" w:rsidRPr="009C0C39">
        <w:rPr>
          <w:rFonts w:ascii="Franklin Gothic Book" w:hAnsi="Franklin Gothic Book" w:cs="Times New Roman"/>
          <w:sz w:val="22"/>
          <w:szCs w:val="22"/>
        </w:rPr>
        <w:t xml:space="preserve">inferring </w:t>
      </w:r>
      <w:r w:rsidRPr="009C0C39">
        <w:rPr>
          <w:rFonts w:ascii="Franklin Gothic Book" w:hAnsi="Franklin Gothic Book" w:cs="Times New Roman"/>
          <w:sz w:val="22"/>
          <w:szCs w:val="22"/>
        </w:rPr>
        <w:t>that this means that allowing MGB’s expansion will be procompetitive and decrease spending.</w:t>
      </w:r>
      <w:r w:rsidR="00255ECF" w:rsidRPr="009C0C39">
        <w:rPr>
          <w:rStyle w:val="FootnoteReference"/>
          <w:rFonts w:ascii="Franklin Gothic Book" w:hAnsi="Franklin Gothic Book" w:cs="Times New Roman"/>
          <w:sz w:val="22"/>
          <w:szCs w:val="22"/>
        </w:rPr>
        <w:footnoteReference w:id="199"/>
      </w:r>
      <w:r w:rsidRPr="009C0C39">
        <w:rPr>
          <w:rFonts w:ascii="Franklin Gothic Book" w:hAnsi="Franklin Gothic Book" w:cs="Times New Roman"/>
          <w:sz w:val="22"/>
          <w:szCs w:val="22"/>
        </w:rPr>
        <w:t xml:space="preserve"> However, other</w:t>
      </w:r>
      <w:r w:rsidR="00255ECF" w:rsidRPr="009C0C39">
        <w:rPr>
          <w:rFonts w:ascii="Franklin Gothic Book" w:hAnsi="Franklin Gothic Book" w:cs="Times New Roman"/>
          <w:sz w:val="22"/>
          <w:szCs w:val="22"/>
        </w:rPr>
        <w:t xml:space="preserve"> </w:t>
      </w:r>
      <w:r w:rsidR="00D53B55" w:rsidRPr="009C0C39">
        <w:rPr>
          <w:rFonts w:ascii="Franklin Gothic Book" w:hAnsi="Franklin Gothic Book" w:cs="Times New Roman"/>
          <w:sz w:val="22"/>
          <w:szCs w:val="22"/>
        </w:rPr>
        <w:t>researchers</w:t>
      </w:r>
      <w:r w:rsidRPr="009C0C39">
        <w:rPr>
          <w:rFonts w:ascii="Franklin Gothic Book" w:hAnsi="Franklin Gothic Book" w:cs="Times New Roman"/>
          <w:sz w:val="22"/>
          <w:szCs w:val="22"/>
        </w:rPr>
        <w:t xml:space="preserve"> have emphasized these programs “might also be procompetitive, primarily by preventing predatory behavior of established hospital systems seeking to expand their own capacity for specialized services lines, such as cancer care and cardiac surgery, by limiting excessive expansion from incumbent hospitals while preempting the potential entry of would-be competitors.”</w:t>
      </w:r>
      <w:r w:rsidR="00255ECF" w:rsidRPr="009C0C39">
        <w:rPr>
          <w:rStyle w:val="FootnoteReference"/>
          <w:rFonts w:ascii="Franklin Gothic Book" w:hAnsi="Franklin Gothic Book" w:cs="Times New Roman"/>
          <w:sz w:val="22"/>
          <w:szCs w:val="22"/>
        </w:rPr>
        <w:footnoteReference w:id="200"/>
      </w:r>
    </w:p>
    <w:p w14:paraId="124A66C4" w14:textId="3D5954FD" w:rsidR="00360341" w:rsidRPr="009C0C39" w:rsidRDefault="00360341" w:rsidP="00D32EEE">
      <w:pPr>
        <w:pStyle w:val="ListParagraph"/>
        <w:numPr>
          <w:ilvl w:val="0"/>
          <w:numId w:val="29"/>
        </w:numPr>
        <w:spacing w:after="120"/>
        <w:rPr>
          <w:rFonts w:ascii="Franklin Gothic Book" w:hAnsi="Franklin Gothic Book" w:cs="Times New Roman"/>
          <w:sz w:val="22"/>
          <w:szCs w:val="22"/>
          <w:u w:val="single"/>
        </w:rPr>
      </w:pPr>
      <w:r w:rsidRPr="009C0C39">
        <w:rPr>
          <w:rFonts w:ascii="Franklin Gothic Book" w:hAnsi="Franklin Gothic Book" w:cs="Times New Roman"/>
          <w:sz w:val="22"/>
          <w:szCs w:val="22"/>
          <w:u w:val="single"/>
        </w:rPr>
        <w:t>The ICAs suggest that permitting expansion by MGB will lower prices by reducing capacity constraints, without considering MGB’s prior market activity.</w:t>
      </w:r>
    </w:p>
    <w:p w14:paraId="4B55386E" w14:textId="5F13C38D" w:rsidR="00360341" w:rsidRPr="009C0C39" w:rsidRDefault="00360341" w:rsidP="00D32EEE">
      <w:pPr>
        <w:spacing w:after="120"/>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ICAs cite a paper by Kate Ho for the proposition that capacity-constrained providers have higher</w:t>
      </w:r>
      <w:r w:rsidR="00255ECF"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prices on average, and that therefore expansions of the sort contemplated by MGB will tend to lower provider market leverage and de</w:t>
      </w:r>
      <w:r w:rsidR="00255ECF" w:rsidRPr="009C0C39">
        <w:rPr>
          <w:rFonts w:ascii="Franklin Gothic Book" w:hAnsi="Franklin Gothic Book" w:cs="Times New Roman"/>
          <w:sz w:val="22"/>
          <w:szCs w:val="22"/>
        </w:rPr>
        <w:t>c</w:t>
      </w:r>
      <w:r w:rsidRPr="009C0C39">
        <w:rPr>
          <w:rFonts w:ascii="Franklin Gothic Book" w:hAnsi="Franklin Gothic Book" w:cs="Times New Roman"/>
          <w:sz w:val="22"/>
          <w:szCs w:val="22"/>
        </w:rPr>
        <w:t>rease prices.</w:t>
      </w:r>
      <w:r w:rsidR="00255ECF" w:rsidRPr="009C0C39">
        <w:rPr>
          <w:rStyle w:val="FootnoteReference"/>
          <w:rFonts w:ascii="Franklin Gothic Book" w:hAnsi="Franklin Gothic Book" w:cs="Times New Roman"/>
          <w:sz w:val="22"/>
          <w:szCs w:val="22"/>
        </w:rPr>
        <w:footnoteReference w:id="201"/>
      </w:r>
      <w:r w:rsidRPr="009C0C39">
        <w:rPr>
          <w:rFonts w:ascii="Franklin Gothic Book" w:hAnsi="Franklin Gothic Book" w:cs="Times New Roman"/>
          <w:sz w:val="22"/>
          <w:szCs w:val="22"/>
        </w:rPr>
        <w:t xml:space="preserve"> However, </w:t>
      </w:r>
      <w:r w:rsidR="00255ECF" w:rsidRPr="009C0C39">
        <w:rPr>
          <w:rFonts w:ascii="Franklin Gothic Book" w:hAnsi="Franklin Gothic Book" w:cs="Times New Roman"/>
          <w:sz w:val="22"/>
          <w:szCs w:val="22"/>
        </w:rPr>
        <w:t>the cited</w:t>
      </w:r>
      <w:r w:rsidRPr="009C0C39">
        <w:rPr>
          <w:rFonts w:ascii="Franklin Gothic Book" w:hAnsi="Franklin Gothic Book" w:cs="Times New Roman"/>
          <w:sz w:val="22"/>
          <w:szCs w:val="22"/>
        </w:rPr>
        <w:t xml:space="preserve"> paper finds that the effect of being capacity constrained is not statistically significant when controlling for whether a capacity constrained provider has the brand effect of being a “star hospital</w:t>
      </w:r>
      <w:r w:rsidR="00D53B55" w:rsidRPr="009C0C39">
        <w:rPr>
          <w:rFonts w:ascii="Franklin Gothic Book" w:hAnsi="Franklin Gothic Book" w:cs="Times New Roman"/>
          <w:sz w:val="22"/>
          <w:szCs w:val="22"/>
        </w:rPr>
        <w:t>,</w:t>
      </w:r>
      <w:r w:rsidRPr="009C0C39">
        <w:rPr>
          <w:rFonts w:ascii="Franklin Gothic Book" w:hAnsi="Franklin Gothic Book" w:cs="Times New Roman"/>
          <w:sz w:val="22"/>
          <w:szCs w:val="22"/>
        </w:rPr>
        <w:t xml:space="preserve">” </w:t>
      </w:r>
      <w:r w:rsidR="00D53B55" w:rsidRPr="009C0C39">
        <w:rPr>
          <w:rFonts w:ascii="Franklin Gothic Book" w:hAnsi="Franklin Gothic Book" w:cs="Times New Roman"/>
          <w:sz w:val="22"/>
          <w:szCs w:val="22"/>
        </w:rPr>
        <w:t xml:space="preserve">which </w:t>
      </w:r>
      <w:r w:rsidR="00255ECF" w:rsidRPr="009C0C39">
        <w:rPr>
          <w:rFonts w:ascii="Franklin Gothic Book" w:hAnsi="Franklin Gothic Book" w:cs="Times New Roman"/>
          <w:sz w:val="22"/>
          <w:szCs w:val="22"/>
        </w:rPr>
        <w:t>may be the case</w:t>
      </w:r>
      <w:r w:rsidRPr="009C0C39">
        <w:rPr>
          <w:rFonts w:ascii="Franklin Gothic Book" w:hAnsi="Franklin Gothic Book" w:cs="Times New Roman"/>
          <w:sz w:val="22"/>
          <w:szCs w:val="22"/>
        </w:rPr>
        <w:t xml:space="preserve"> for MGB. The assertion that having additional capacity could lead to lower prices for MGB also ignores the Massachusetts market context that, although volume at MGB facilities was substantially lower earlier in the 2010s as described by MGB across its </w:t>
      </w:r>
      <w:r w:rsidR="00255ECF" w:rsidRPr="009C0C39">
        <w:rPr>
          <w:rFonts w:ascii="Franklin Gothic Book" w:hAnsi="Franklin Gothic Book" w:cs="Times New Roman"/>
          <w:sz w:val="22"/>
          <w:szCs w:val="22"/>
        </w:rPr>
        <w:t xml:space="preserve">DoN </w:t>
      </w:r>
      <w:r w:rsidRPr="009C0C39">
        <w:rPr>
          <w:rFonts w:ascii="Franklin Gothic Book" w:hAnsi="Franklin Gothic Book" w:cs="Times New Roman"/>
          <w:sz w:val="22"/>
          <w:szCs w:val="22"/>
        </w:rPr>
        <w:t>applications, MGB’s prices at the time were still generally higher than those of other providers</w:t>
      </w:r>
      <w:r w:rsidR="00A70725" w:rsidRPr="009C0C39">
        <w:rPr>
          <w:rFonts w:ascii="Franklin Gothic Book" w:hAnsi="Franklin Gothic Book" w:cs="Times New Roman"/>
          <w:sz w:val="22"/>
          <w:szCs w:val="22"/>
        </w:rPr>
        <w:t>, as well as the fact that MGB prices have continued to increase and remain among the highest in Massachusetts despite increases in capacity in the MGB system in recent years</w:t>
      </w:r>
      <w:r w:rsidRPr="009C0C39">
        <w:rPr>
          <w:rFonts w:ascii="Franklin Gothic Book" w:hAnsi="Franklin Gothic Book" w:cs="Times New Roman"/>
          <w:sz w:val="22"/>
          <w:szCs w:val="22"/>
        </w:rPr>
        <w:t xml:space="preserve">. This is also consistent with past HPC work finding a “system effect” for hospitals affiliated with the Partners (now MGB) system, meaning that affiliation with Partners was associated with higher prices than other factors (e.g. </w:t>
      </w:r>
      <w:r w:rsidR="00255ECF" w:rsidRPr="009C0C39">
        <w:rPr>
          <w:rFonts w:ascii="Franklin Gothic Book" w:hAnsi="Franklin Gothic Book" w:cs="Times New Roman"/>
          <w:sz w:val="22"/>
          <w:szCs w:val="22"/>
        </w:rPr>
        <w:t xml:space="preserve">a hospital’s </w:t>
      </w:r>
      <w:r w:rsidRPr="009C0C39">
        <w:rPr>
          <w:rFonts w:ascii="Franklin Gothic Book" w:hAnsi="Franklin Gothic Book" w:cs="Times New Roman"/>
          <w:sz w:val="22"/>
          <w:szCs w:val="22"/>
        </w:rPr>
        <w:t>payer mix</w:t>
      </w:r>
      <w:r w:rsidR="00D53B55" w:rsidRPr="009C0C39">
        <w:rPr>
          <w:rFonts w:ascii="Franklin Gothic Book" w:hAnsi="Franklin Gothic Book" w:cs="Times New Roman"/>
          <w:sz w:val="22"/>
          <w:szCs w:val="22"/>
        </w:rPr>
        <w:t>,</w:t>
      </w:r>
      <w:r w:rsidR="00255ECF" w:rsidRPr="009C0C39">
        <w:rPr>
          <w:rFonts w:ascii="Franklin Gothic Book" w:hAnsi="Franklin Gothic Book" w:cs="Times New Roman"/>
          <w:sz w:val="22"/>
          <w:szCs w:val="22"/>
        </w:rPr>
        <w:t xml:space="preserve"> the</w:t>
      </w:r>
      <w:r w:rsidRPr="009C0C39">
        <w:rPr>
          <w:rFonts w:ascii="Franklin Gothic Book" w:hAnsi="Franklin Gothic Book" w:cs="Times New Roman"/>
          <w:sz w:val="22"/>
          <w:szCs w:val="22"/>
        </w:rPr>
        <w:t xml:space="preserve"> extent of tertiary services</w:t>
      </w:r>
      <w:r w:rsidR="00255ECF" w:rsidRPr="009C0C39">
        <w:rPr>
          <w:rFonts w:ascii="Franklin Gothic Book" w:hAnsi="Franklin Gothic Book" w:cs="Times New Roman"/>
          <w:sz w:val="22"/>
          <w:szCs w:val="22"/>
        </w:rPr>
        <w:t xml:space="preserve"> it provides</w:t>
      </w:r>
      <w:r w:rsidR="00D53B55" w:rsidRPr="009C0C39">
        <w:rPr>
          <w:rFonts w:ascii="Franklin Gothic Book" w:hAnsi="Franklin Gothic Book" w:cs="Times New Roman"/>
          <w:sz w:val="22"/>
          <w:szCs w:val="22"/>
        </w:rPr>
        <w:t>, or its capacity</w:t>
      </w:r>
      <w:r w:rsidRPr="009C0C39">
        <w:rPr>
          <w:rFonts w:ascii="Franklin Gothic Book" w:hAnsi="Franklin Gothic Book" w:cs="Times New Roman"/>
          <w:sz w:val="22"/>
          <w:szCs w:val="22"/>
        </w:rPr>
        <w:t>) would otherwise predict.</w:t>
      </w:r>
      <w:r w:rsidR="00255ECF" w:rsidRPr="009C0C39">
        <w:rPr>
          <w:rStyle w:val="FootnoteReference"/>
          <w:rFonts w:ascii="Franklin Gothic Book" w:hAnsi="Franklin Gothic Book" w:cs="Times New Roman"/>
          <w:sz w:val="22"/>
          <w:szCs w:val="22"/>
        </w:rPr>
        <w:footnoteReference w:id="202"/>
      </w:r>
      <w:r w:rsidRPr="009C0C39">
        <w:rPr>
          <w:rFonts w:ascii="Franklin Gothic Book" w:hAnsi="Franklin Gothic Book" w:cs="Times New Roman"/>
          <w:sz w:val="22"/>
          <w:szCs w:val="22"/>
        </w:rPr>
        <w:t xml:space="preserve"> </w:t>
      </w:r>
    </w:p>
    <w:p w14:paraId="50A77B9B" w14:textId="2A8FC585" w:rsidR="00DE2A53" w:rsidRPr="009C0C39" w:rsidRDefault="0083705D" w:rsidP="00055865">
      <w:pPr>
        <w:spacing w:after="120" w:line="320" w:lineRule="atLeast"/>
        <w:rPr>
          <w:rFonts w:ascii="Franklin Gothic Book" w:hAnsi="Franklin Gothic Book" w:cs="Times New Roman"/>
          <w:sz w:val="22"/>
          <w:szCs w:val="22"/>
        </w:rPr>
      </w:pPr>
      <w:r w:rsidRPr="009C0C39">
        <w:rPr>
          <w:rFonts w:ascii="Franklin Gothic Book" w:hAnsi="Franklin Gothic Book" w:cs="Times New Roman"/>
          <w:sz w:val="22"/>
          <w:szCs w:val="22"/>
        </w:rPr>
        <w:br w:type="column"/>
      </w:r>
      <w:bookmarkStart w:id="114" w:name="Appendix_IIA"/>
      <w:r w:rsidR="00BD3BE7" w:rsidRPr="009C0C39">
        <w:rPr>
          <w:rFonts w:ascii="Franklin Gothic Book" w:hAnsi="Franklin Gothic Book" w:cs="Times New Roman"/>
          <w:b/>
          <w:bCs/>
          <w:sz w:val="22"/>
          <w:szCs w:val="22"/>
        </w:rPr>
        <w:lastRenderedPageBreak/>
        <w:t>Appendix II.A</w:t>
      </w:r>
      <w:r w:rsidR="00DE2A53" w:rsidRPr="009C0C39">
        <w:rPr>
          <w:rFonts w:ascii="Franklin Gothic Book" w:hAnsi="Franklin Gothic Book" w:cs="Times New Roman"/>
          <w:b/>
          <w:bCs/>
          <w:sz w:val="22"/>
          <w:szCs w:val="22"/>
        </w:rPr>
        <w:t xml:space="preserve">: </w:t>
      </w:r>
      <w:bookmarkEnd w:id="114"/>
      <w:r w:rsidR="00DE2A53" w:rsidRPr="009C0C39">
        <w:rPr>
          <w:rFonts w:ascii="Franklin Gothic Book" w:hAnsi="Franklin Gothic Book" w:cs="Times New Roman"/>
          <w:b/>
          <w:bCs/>
          <w:sz w:val="22"/>
          <w:szCs w:val="22"/>
        </w:rPr>
        <w:t>MGB Size and Market Share</w:t>
      </w:r>
    </w:p>
    <w:p w14:paraId="30DD8A09" w14:textId="77777777" w:rsidR="00DE2A53" w:rsidRPr="009C0C39" w:rsidRDefault="00DE2A53" w:rsidP="00DE2A53">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Including its two flagship academic medical centers (AMC), Massachusetts General Hospital (MGH) and Brigham &amp; Women’s Hospital (BWH), MGB owns eight general acute care hospitals in Massachusetts with a total of 3,073 staffed beds.</w:t>
      </w:r>
      <w:bookmarkStart w:id="115" w:name="_Ref92731749"/>
      <w:r w:rsidRPr="009C0C39">
        <w:rPr>
          <w:rStyle w:val="FootnoteReference"/>
          <w:rFonts w:ascii="Franklin Gothic Book" w:hAnsi="Franklin Gothic Book" w:cs="Times New Roman"/>
          <w:sz w:val="22"/>
          <w:szCs w:val="22"/>
        </w:rPr>
        <w:footnoteReference w:id="203"/>
      </w:r>
      <w:bookmarkEnd w:id="115"/>
      <w:r w:rsidRPr="009C0C39">
        <w:rPr>
          <w:rFonts w:ascii="Franklin Gothic Book" w:hAnsi="Franklin Gothic Book" w:cs="Times New Roman"/>
          <w:sz w:val="22"/>
          <w:szCs w:val="22"/>
        </w:rPr>
        <w:t xml:space="preserve"> MGB also owns the Massachusetts Eye and Ear Infirmary, an acute care specialty hospital; McLean Hospital, a psychiatric specialty hospital; the Spaulding Rehabilitation Network, a system of inpatient and outpatient rehabilitation care providers; and Wentworth-Douglas Hospital, a general acute care hospital located in Dover, New Hampshire. Additionally, MGB negotiates contracts with major payers on behalf of Emerson Hospital. MGB provides outpatient and ambulatory care at over 100 hospital satellite and clinic locations in Massachusetts.</w:t>
      </w:r>
      <w:r w:rsidRPr="009C0C39">
        <w:rPr>
          <w:rStyle w:val="FootnoteReference"/>
          <w:rFonts w:ascii="Franklin Gothic Book" w:hAnsi="Franklin Gothic Book" w:cs="Times New Roman"/>
          <w:sz w:val="22"/>
          <w:szCs w:val="22"/>
        </w:rPr>
        <w:footnoteReference w:id="204"/>
      </w:r>
      <w:r w:rsidRPr="009C0C39">
        <w:rPr>
          <w:rFonts w:ascii="Franklin Gothic Book" w:hAnsi="Franklin Gothic Book" w:cs="Times New Roman"/>
          <w:sz w:val="22"/>
          <w:szCs w:val="22"/>
        </w:rPr>
        <w:t xml:space="preserve"> MGB also has the largest physician network in Massachusetts, which currently negotiates payer contracts on behalf of more than 7,200 physicians, including approximately 1,150 primary care physicians and 6,080 specialists.</w:t>
      </w:r>
      <w:r w:rsidRPr="009C0C39">
        <w:rPr>
          <w:rStyle w:val="FootnoteReference"/>
          <w:rFonts w:ascii="Franklin Gothic Book" w:hAnsi="Franklin Gothic Book" w:cs="Times New Roman"/>
          <w:sz w:val="22"/>
          <w:szCs w:val="22"/>
        </w:rPr>
        <w:footnoteReference w:id="205"/>
      </w:r>
      <w:r w:rsidRPr="009C0C39">
        <w:rPr>
          <w:rFonts w:ascii="Franklin Gothic Book" w:hAnsi="Franklin Gothic Book" w:cs="Times New Roman"/>
          <w:sz w:val="22"/>
          <w:szCs w:val="22"/>
        </w:rPr>
        <w:t xml:space="preserve"> </w:t>
      </w:r>
    </w:p>
    <w:p w14:paraId="3C25E670" w14:textId="108C9490" w:rsidR="00075FC9" w:rsidRPr="00DB734E" w:rsidRDefault="00DE2A53" w:rsidP="00DB734E">
      <w:pPr>
        <w:spacing w:before="240"/>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On an all payer basis in fiscal year 2019, MGB general acute care hospitals accounted for the largest shares of inpatient discharges and inpatient </w:t>
      </w:r>
      <w:r w:rsidR="004A7FC2">
        <w:rPr>
          <w:rFonts w:ascii="Franklin Gothic Book" w:hAnsi="Franklin Gothic Book" w:cs="Times New Roman"/>
          <w:sz w:val="22"/>
          <w:szCs w:val="22"/>
        </w:rPr>
        <w:t xml:space="preserve">net patient service </w:t>
      </w:r>
      <w:r w:rsidRPr="009C0C39">
        <w:rPr>
          <w:rFonts w:ascii="Franklin Gothic Book" w:hAnsi="Franklin Gothic Book" w:cs="Times New Roman"/>
          <w:sz w:val="22"/>
          <w:szCs w:val="22"/>
        </w:rPr>
        <w:t>revenue</w:t>
      </w:r>
      <w:r w:rsidR="004A7FC2">
        <w:rPr>
          <w:rFonts w:ascii="Franklin Gothic Book" w:hAnsi="Franklin Gothic Book" w:cs="Times New Roman"/>
          <w:sz w:val="22"/>
          <w:szCs w:val="22"/>
        </w:rPr>
        <w:t xml:space="preserve"> (NPSR)</w:t>
      </w:r>
      <w:r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206"/>
      </w:r>
      <w:r w:rsidRPr="009C0C39">
        <w:rPr>
          <w:rFonts w:ascii="Franklin Gothic Book" w:hAnsi="Franklin Gothic Book" w:cs="Times New Roman"/>
          <w:sz w:val="22"/>
          <w:szCs w:val="22"/>
        </w:rPr>
        <w:t xml:space="preserve"> Beth Israel Lahey Health (BILH) accounted for slightly more outpatient hospital volume in 2019; however, MGB hospitals received a larger share of outpatient </w:t>
      </w:r>
      <w:r w:rsidR="004A7FC2">
        <w:rPr>
          <w:rFonts w:ascii="Franklin Gothic Book" w:hAnsi="Franklin Gothic Book" w:cs="Times New Roman"/>
          <w:sz w:val="22"/>
          <w:szCs w:val="22"/>
        </w:rPr>
        <w:t xml:space="preserve">net patient service </w:t>
      </w:r>
      <w:r w:rsidRPr="009C0C39">
        <w:rPr>
          <w:rFonts w:ascii="Franklin Gothic Book" w:hAnsi="Franklin Gothic Book" w:cs="Times New Roman"/>
          <w:sz w:val="22"/>
          <w:szCs w:val="22"/>
        </w:rPr>
        <w:t>revenue than BILH.</w:t>
      </w:r>
      <w:r w:rsidRPr="009C0C39">
        <w:rPr>
          <w:rStyle w:val="FootnoteReference"/>
          <w:rFonts w:ascii="Franklin Gothic Book" w:hAnsi="Franklin Gothic Book" w:cs="Times New Roman"/>
          <w:sz w:val="22"/>
          <w:szCs w:val="22"/>
        </w:rPr>
        <w:footnoteReference w:id="207"/>
      </w:r>
      <w:r w:rsidRPr="009C0C39">
        <w:rPr>
          <w:rFonts w:ascii="Franklin Gothic Book" w:hAnsi="Franklin Gothic Book" w:cs="Times New Roman"/>
          <w:sz w:val="22"/>
          <w:szCs w:val="22"/>
          <w:vertAlign w:val="superscript"/>
        </w:rPr>
        <w:t xml:space="preserve">, </w:t>
      </w:r>
      <w:r w:rsidRPr="009C0C39">
        <w:rPr>
          <w:rStyle w:val="FootnoteReference"/>
          <w:rFonts w:ascii="Franklin Gothic Book" w:hAnsi="Franklin Gothic Book" w:cs="Times New Roman"/>
          <w:sz w:val="22"/>
          <w:szCs w:val="22"/>
        </w:rPr>
        <w:footnoteReference w:id="208"/>
      </w:r>
      <w:r w:rsidRPr="009C0C39">
        <w:rPr>
          <w:rFonts w:ascii="Franklin Gothic Book" w:hAnsi="Franklin Gothic Book" w:cs="Times New Roman"/>
          <w:sz w:val="22"/>
          <w:szCs w:val="22"/>
        </w:rPr>
        <w:t xml:space="preserve"> </w:t>
      </w:r>
      <w:r w:rsidR="00451DF8" w:rsidRPr="009C0C39">
        <w:rPr>
          <w:rFonts w:ascii="Franklin Gothic Book" w:hAnsi="Franklin Gothic Book" w:cs="Times New Roman"/>
          <w:sz w:val="22"/>
          <w:szCs w:val="22"/>
        </w:rPr>
        <w:t>MGB’s consistently higher share of revenue than of patient volume is largely attributable to its higher prices</w:t>
      </w:r>
      <w:r w:rsidR="00DB734E">
        <w:rPr>
          <w:rFonts w:ascii="Franklin Gothic Book" w:hAnsi="Franklin Gothic Book" w:cs="Times New Roman"/>
          <w:sz w:val="22"/>
          <w:szCs w:val="22"/>
        </w:rPr>
        <w:t>.</w:t>
      </w:r>
    </w:p>
    <w:p w14:paraId="0BCCF24D" w14:textId="77777777" w:rsidR="0030555F" w:rsidRDefault="0030555F">
      <w:pPr>
        <w:spacing w:after="160" w:line="259" w:lineRule="auto"/>
        <w:rPr>
          <w:rFonts w:ascii="Franklin Gothic Book" w:hAnsi="Franklin Gothic Book" w:cs="Times New Roman"/>
          <w:b/>
          <w:bCs/>
          <w:sz w:val="22"/>
          <w:szCs w:val="22"/>
        </w:rPr>
      </w:pPr>
      <w:r>
        <w:rPr>
          <w:rFonts w:ascii="Franklin Gothic Book" w:hAnsi="Franklin Gothic Book" w:cs="Times New Roman"/>
          <w:b/>
          <w:bCs/>
          <w:sz w:val="22"/>
          <w:szCs w:val="22"/>
        </w:rPr>
        <w:br w:type="page"/>
      </w:r>
    </w:p>
    <w:p w14:paraId="69A272C1" w14:textId="1133D05B" w:rsidR="00DE2A53" w:rsidRPr="009C0C39" w:rsidRDefault="00DE2A53" w:rsidP="00DE2A53">
      <w:pPr>
        <w:spacing w:before="240"/>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System Share of MA FY19 Hospital Volume and Revenue</w:t>
      </w:r>
    </w:p>
    <w:p w14:paraId="181934AD" w14:textId="68D0F089" w:rsidR="00DE2A53" w:rsidRPr="009C0C39" w:rsidRDefault="007F332D" w:rsidP="00B329AA">
      <w:pPr>
        <w:keepNext/>
        <w:spacing w:line="276" w:lineRule="auto"/>
        <w:jc w:val="center"/>
        <w:rPr>
          <w:rFonts w:ascii="Franklin Gothic Book" w:hAnsi="Franklin Gothic Book" w:cs="Times New Roman"/>
          <w:sz w:val="22"/>
          <w:szCs w:val="22"/>
        </w:rPr>
      </w:pPr>
      <w:r w:rsidRPr="009C0C39">
        <w:rPr>
          <w:rFonts w:ascii="Franklin Gothic Book" w:hAnsi="Franklin Gothic Book" w:cs="Times New Roman"/>
          <w:noProof/>
          <w:sz w:val="22"/>
          <w:szCs w:val="22"/>
        </w:rPr>
        <w:drawing>
          <wp:inline distT="0" distB="0" distL="0" distR="0" wp14:anchorId="7CD5B32E" wp14:editId="1D01702A">
            <wp:extent cx="5781675" cy="3409315"/>
            <wp:effectExtent l="0" t="0" r="9525" b="635"/>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rotWithShape="1">
                    <a:blip r:embed="rId12">
                      <a:extLst>
                        <a:ext uri="{28A0092B-C50C-407E-A947-70E740481C1C}">
                          <a14:useLocalDpi xmlns:a14="http://schemas.microsoft.com/office/drawing/2010/main" val="0"/>
                        </a:ext>
                      </a:extLst>
                    </a:blip>
                    <a:srcRect l="6159" t="9107" r="6874" b="7617"/>
                    <a:stretch/>
                  </pic:blipFill>
                  <pic:spPr bwMode="auto">
                    <a:xfrm>
                      <a:off x="0" y="0"/>
                      <a:ext cx="5829996" cy="3437809"/>
                    </a:xfrm>
                    <a:prstGeom prst="rect">
                      <a:avLst/>
                    </a:prstGeom>
                    <a:ln>
                      <a:noFill/>
                    </a:ln>
                    <a:extLst>
                      <a:ext uri="{53640926-AAD7-44D8-BBD7-CCE9431645EC}">
                        <a14:shadowObscured xmlns:a14="http://schemas.microsoft.com/office/drawing/2010/main"/>
                      </a:ext>
                    </a:extLst>
                  </pic:spPr>
                </pic:pic>
              </a:graphicData>
            </a:graphic>
          </wp:inline>
        </w:drawing>
      </w:r>
    </w:p>
    <w:p w14:paraId="1A068D2B" w14:textId="7ADA8772" w:rsidR="00DE2A53" w:rsidRPr="009C0C39" w:rsidRDefault="00DE2A53" w:rsidP="00DE2A53">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w:t>
      </w:r>
      <w:r w:rsidRPr="009C0C39">
        <w:rPr>
          <w:rFonts w:ascii="Franklin Gothic Book" w:hAnsi="Franklin Gothic Book" w:cs="Times New Roman"/>
          <w:smallCaps/>
          <w:sz w:val="18"/>
          <w:szCs w:val="18"/>
        </w:rPr>
        <w:t>CHIA Hospital Profiles Databook</w:t>
      </w:r>
      <w:r w:rsidRPr="009C0C39">
        <w:rPr>
          <w:rFonts w:ascii="Franklin Gothic Book" w:hAnsi="Franklin Gothic Book" w:cs="Times New Roman"/>
          <w:sz w:val="18"/>
          <w:szCs w:val="18"/>
        </w:rPr>
        <w:t xml:space="preserve">,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EE3A3F" w:rsidRPr="009C0C39">
        <w:rPr>
          <w:rFonts w:ascii="Franklin Gothic Book" w:hAnsi="Franklin Gothic Book" w:cs="Times New Roman"/>
          <w:sz w:val="18"/>
          <w:szCs w:val="18"/>
        </w:rPr>
        <w:fldChar w:fldCharType="begin"/>
      </w:r>
      <w:r w:rsidR="00EE3A3F" w:rsidRPr="009C0C39">
        <w:rPr>
          <w:rFonts w:ascii="Franklin Gothic Book" w:hAnsi="Franklin Gothic Book" w:cs="Times New Roman"/>
          <w:sz w:val="18"/>
          <w:szCs w:val="18"/>
        </w:rPr>
        <w:instrText xml:space="preserve"> NOTEREF _Ref93661797 \h </w:instrText>
      </w:r>
      <w:r w:rsidR="00804A4E" w:rsidRPr="009C0C39">
        <w:rPr>
          <w:rFonts w:ascii="Franklin Gothic Book" w:hAnsi="Franklin Gothic Book" w:cs="Times New Roman"/>
          <w:sz w:val="18"/>
          <w:szCs w:val="18"/>
        </w:rPr>
        <w:instrText xml:space="preserve"> \* MERGEFORMAT </w:instrText>
      </w:r>
      <w:r w:rsidR="00EE3A3F" w:rsidRPr="009C0C39">
        <w:rPr>
          <w:rFonts w:ascii="Franklin Gothic Book" w:hAnsi="Franklin Gothic Book" w:cs="Times New Roman"/>
          <w:sz w:val="18"/>
          <w:szCs w:val="18"/>
        </w:rPr>
      </w:r>
      <w:r w:rsidR="00EE3A3F"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64</w:t>
      </w:r>
      <w:r w:rsidR="00EE3A3F" w:rsidRPr="009C0C39">
        <w:rPr>
          <w:rFonts w:ascii="Franklin Gothic Book" w:hAnsi="Franklin Gothic Book" w:cs="Times New Roman"/>
          <w:sz w:val="18"/>
          <w:szCs w:val="18"/>
        </w:rPr>
        <w:fldChar w:fldCharType="end"/>
      </w:r>
      <w:r w:rsidR="00C60A76" w:rsidRPr="009C0C39">
        <w:rPr>
          <w:rFonts w:ascii="Franklin Gothic Book" w:hAnsi="Franklin Gothic Book" w:cs="Times New Roman"/>
          <w:sz w:val="18"/>
          <w:szCs w:val="18"/>
        </w:rPr>
        <w:t>.</w:t>
      </w:r>
    </w:p>
    <w:p w14:paraId="08626691" w14:textId="5F1CFBAD" w:rsidR="00DE2A53" w:rsidRPr="009C0C39" w:rsidRDefault="00DE2A53" w:rsidP="00DE2A53">
      <w:pPr>
        <w:rPr>
          <w:rFonts w:ascii="Franklin Gothic Book" w:hAnsi="Franklin Gothic Book" w:cs="Times New Roman"/>
          <w:i/>
          <w:sz w:val="18"/>
          <w:szCs w:val="18"/>
        </w:rPr>
      </w:pPr>
      <w:r w:rsidRPr="009C0C39">
        <w:rPr>
          <w:rFonts w:ascii="Franklin Gothic Book" w:hAnsi="Franklin Gothic Book" w:cs="Times New Roman"/>
          <w:sz w:val="18"/>
          <w:szCs w:val="18"/>
        </w:rPr>
        <w:t>Notes: Current provider affiliations (as of December 2021), including corporate and contracting affiliations; includes general acute care hospitals only.</w:t>
      </w:r>
      <w:r w:rsidR="00E026A8" w:rsidRPr="009C0C39">
        <w:rPr>
          <w:rFonts w:ascii="Franklin Gothic Book" w:hAnsi="Franklin Gothic Book" w:cs="Times New Roman"/>
          <w:sz w:val="18"/>
          <w:szCs w:val="18"/>
        </w:rPr>
        <w:t xml:space="preserve"> </w:t>
      </w:r>
      <w:r w:rsidR="00E41B66" w:rsidRPr="009C0C39">
        <w:rPr>
          <w:rFonts w:ascii="Franklin Gothic Book" w:hAnsi="Franklin Gothic Book" w:cs="Times New Roman"/>
          <w:sz w:val="18"/>
          <w:szCs w:val="18"/>
        </w:rPr>
        <w:t>Figures reported above are for all payer</w:t>
      </w:r>
      <w:r w:rsidR="00F51C70" w:rsidRPr="009C0C39">
        <w:rPr>
          <w:rFonts w:ascii="Franklin Gothic Book" w:hAnsi="Franklin Gothic Book" w:cs="Times New Roman"/>
          <w:sz w:val="18"/>
          <w:szCs w:val="18"/>
        </w:rPr>
        <w:t>s, including commercial</w:t>
      </w:r>
      <w:r w:rsidR="002E06F4" w:rsidRPr="009C0C39">
        <w:rPr>
          <w:rFonts w:ascii="Franklin Gothic Book" w:hAnsi="Franklin Gothic Book" w:cs="Times New Roman"/>
          <w:sz w:val="18"/>
          <w:szCs w:val="18"/>
        </w:rPr>
        <w:t xml:space="preserve"> (managed and non-managed)</w:t>
      </w:r>
      <w:r w:rsidR="00F51C70" w:rsidRPr="009C0C39">
        <w:rPr>
          <w:rFonts w:ascii="Franklin Gothic Book" w:hAnsi="Franklin Gothic Book" w:cs="Times New Roman"/>
          <w:sz w:val="18"/>
          <w:szCs w:val="18"/>
        </w:rPr>
        <w:t>, Medicare</w:t>
      </w:r>
      <w:r w:rsidR="002E06F4" w:rsidRPr="009C0C39">
        <w:rPr>
          <w:rFonts w:ascii="Franklin Gothic Book" w:hAnsi="Franklin Gothic Book" w:cs="Times New Roman"/>
          <w:sz w:val="18"/>
          <w:szCs w:val="18"/>
        </w:rPr>
        <w:t xml:space="preserve"> (managed and non-managed)</w:t>
      </w:r>
      <w:r w:rsidR="00F51C70" w:rsidRPr="009C0C39">
        <w:rPr>
          <w:rFonts w:ascii="Franklin Gothic Book" w:hAnsi="Franklin Gothic Book" w:cs="Times New Roman"/>
          <w:sz w:val="18"/>
          <w:szCs w:val="18"/>
        </w:rPr>
        <w:t>, Medicaid</w:t>
      </w:r>
      <w:r w:rsidR="002E06F4" w:rsidRPr="009C0C39">
        <w:rPr>
          <w:rFonts w:ascii="Franklin Gothic Book" w:hAnsi="Franklin Gothic Book" w:cs="Times New Roman"/>
          <w:sz w:val="18"/>
          <w:szCs w:val="18"/>
        </w:rPr>
        <w:t xml:space="preserve"> (managed and non-managed)</w:t>
      </w:r>
      <w:r w:rsidR="00F51C70" w:rsidRPr="009C0C39">
        <w:rPr>
          <w:rFonts w:ascii="Franklin Gothic Book" w:hAnsi="Franklin Gothic Book" w:cs="Times New Roman"/>
          <w:sz w:val="18"/>
          <w:szCs w:val="18"/>
        </w:rPr>
        <w:t xml:space="preserve">, ConnectorCare, Health Safety Net, </w:t>
      </w:r>
      <w:r w:rsidR="002E06F4" w:rsidRPr="009C0C39">
        <w:rPr>
          <w:rFonts w:ascii="Franklin Gothic Book" w:hAnsi="Franklin Gothic Book" w:cs="Times New Roman"/>
          <w:sz w:val="18"/>
          <w:szCs w:val="18"/>
        </w:rPr>
        <w:t xml:space="preserve">other government, and other (including self-pay and worker’s compensation). </w:t>
      </w:r>
      <w:r w:rsidR="00E41B66" w:rsidRPr="009C0C39">
        <w:rPr>
          <w:rFonts w:ascii="Franklin Gothic Book" w:hAnsi="Franklin Gothic Book" w:cs="Times New Roman"/>
          <w:sz w:val="18"/>
          <w:szCs w:val="18"/>
        </w:rPr>
        <w:t xml:space="preserve"> </w:t>
      </w:r>
    </w:p>
    <w:p w14:paraId="1FB0E1D6" w14:textId="40C9AC52" w:rsidR="00075FC9" w:rsidRPr="009063F6" w:rsidRDefault="00DE2A53" w:rsidP="009063F6">
      <w:pPr>
        <w:spacing w:before="240"/>
        <w:rPr>
          <w:rFonts w:ascii="Franklin Gothic Book" w:hAnsi="Franklin Gothic Book" w:cs="Times New Roman"/>
          <w:sz w:val="22"/>
          <w:szCs w:val="22"/>
        </w:rPr>
      </w:pPr>
      <w:r w:rsidRPr="009C0C39">
        <w:rPr>
          <w:rFonts w:ascii="Franklin Gothic Book" w:hAnsi="Franklin Gothic Book" w:cs="Times New Roman"/>
          <w:sz w:val="22"/>
          <w:szCs w:val="22"/>
        </w:rPr>
        <w:t>For physician services, in 2018, MGB had the largest share of both primary care physicians (19%) and specialists (30%) in Massachusetts.</w:t>
      </w:r>
      <w:bookmarkStart w:id="117" w:name="_Ref92717151"/>
      <w:r w:rsidRPr="009C0C39">
        <w:rPr>
          <w:rStyle w:val="FootnoteReference"/>
          <w:rFonts w:ascii="Franklin Gothic Book" w:hAnsi="Franklin Gothic Book" w:cs="Times New Roman"/>
          <w:sz w:val="22"/>
          <w:szCs w:val="22"/>
        </w:rPr>
        <w:footnoteReference w:id="209"/>
      </w:r>
      <w:bookmarkEnd w:id="117"/>
    </w:p>
    <w:p w14:paraId="4347FEF0" w14:textId="77777777" w:rsidR="00075FC9" w:rsidRPr="009C0C39" w:rsidRDefault="00075FC9" w:rsidP="00273F4E">
      <w:pPr>
        <w:jc w:val="center"/>
        <w:rPr>
          <w:rFonts w:ascii="Franklin Gothic Book" w:hAnsi="Franklin Gothic Book" w:cs="Times New Roman"/>
          <w:b/>
          <w:bCs/>
          <w:sz w:val="18"/>
          <w:szCs w:val="18"/>
        </w:rPr>
      </w:pPr>
    </w:p>
    <w:p w14:paraId="4CD3023D" w14:textId="77777777" w:rsidR="00075FC9" w:rsidRPr="009C0C39" w:rsidRDefault="00075FC9" w:rsidP="00273F4E">
      <w:pPr>
        <w:jc w:val="center"/>
        <w:rPr>
          <w:rFonts w:ascii="Franklin Gothic Book" w:hAnsi="Franklin Gothic Book" w:cs="Times New Roman"/>
          <w:b/>
          <w:bCs/>
          <w:sz w:val="18"/>
          <w:szCs w:val="18"/>
        </w:rPr>
      </w:pPr>
    </w:p>
    <w:p w14:paraId="1DD0355C" w14:textId="77777777" w:rsidR="00AB6AA4" w:rsidRDefault="00AB6AA4">
      <w:pPr>
        <w:spacing w:after="160" w:line="259" w:lineRule="auto"/>
        <w:rPr>
          <w:rFonts w:ascii="Franklin Gothic Book" w:hAnsi="Franklin Gothic Book" w:cs="Times New Roman"/>
          <w:b/>
          <w:bCs/>
          <w:sz w:val="22"/>
          <w:szCs w:val="22"/>
        </w:rPr>
      </w:pPr>
      <w:r>
        <w:rPr>
          <w:rFonts w:ascii="Franklin Gothic Book" w:hAnsi="Franklin Gothic Book" w:cs="Times New Roman"/>
          <w:b/>
          <w:bCs/>
          <w:sz w:val="22"/>
          <w:szCs w:val="22"/>
        </w:rPr>
        <w:br w:type="page"/>
      </w:r>
    </w:p>
    <w:p w14:paraId="5E73AEF0" w14:textId="5BAD2E25" w:rsidR="00273F4E" w:rsidRPr="00B329AA" w:rsidRDefault="00273F4E" w:rsidP="00273F4E">
      <w:pPr>
        <w:jc w:val="center"/>
        <w:rPr>
          <w:rFonts w:ascii="Franklin Gothic Book" w:hAnsi="Franklin Gothic Book" w:cs="Times New Roman"/>
          <w:b/>
          <w:bCs/>
          <w:sz w:val="22"/>
          <w:szCs w:val="22"/>
        </w:rPr>
      </w:pPr>
      <w:r w:rsidRPr="00B329AA">
        <w:rPr>
          <w:rFonts w:ascii="Franklin Gothic Book" w:hAnsi="Franklin Gothic Book" w:cs="Times New Roman"/>
          <w:b/>
          <w:bCs/>
          <w:sz w:val="22"/>
          <w:szCs w:val="22"/>
        </w:rPr>
        <w:lastRenderedPageBreak/>
        <w:t>System Share of Primary Care Physicians and Specialists (2018)</w:t>
      </w:r>
    </w:p>
    <w:p w14:paraId="170B2154" w14:textId="77777777" w:rsidR="00273F4E" w:rsidRPr="009C0C39" w:rsidRDefault="00273F4E" w:rsidP="00273F4E">
      <w:pPr>
        <w:rPr>
          <w:rFonts w:ascii="Franklin Gothic Book" w:hAnsi="Franklin Gothic Book" w:cs="Times New Roman"/>
          <w:sz w:val="18"/>
          <w:szCs w:val="18"/>
        </w:rPr>
      </w:pPr>
    </w:p>
    <w:p w14:paraId="210A5BD3" w14:textId="34FD9AE9" w:rsidR="00273F4E" w:rsidRPr="009C0C39" w:rsidRDefault="00075FC9" w:rsidP="003368E5">
      <w:pPr>
        <w:jc w:val="center"/>
        <w:rPr>
          <w:rFonts w:ascii="Franklin Gothic Book" w:hAnsi="Franklin Gothic Book" w:cs="Times New Roman"/>
          <w:sz w:val="18"/>
          <w:szCs w:val="18"/>
        </w:rPr>
      </w:pPr>
      <w:r w:rsidRPr="009C0C39">
        <w:rPr>
          <w:rFonts w:ascii="Franklin Gothic Book" w:hAnsi="Franklin Gothic Book" w:cs="Times New Roman"/>
          <w:noProof/>
          <w:sz w:val="18"/>
          <w:szCs w:val="18"/>
        </w:rPr>
        <w:drawing>
          <wp:inline distT="0" distB="0" distL="0" distR="0" wp14:anchorId="11AB7F6A" wp14:editId="14E7A26F">
            <wp:extent cx="5248442" cy="2876550"/>
            <wp:effectExtent l="0" t="0" r="9525" b="0"/>
            <wp:docPr id="2062" name="Picture 2062"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2062" descr="Chart, funnel chart&#10;&#10;Description automatically generated"/>
                    <pic:cNvPicPr/>
                  </pic:nvPicPr>
                  <pic:blipFill rotWithShape="1">
                    <a:blip r:embed="rId13">
                      <a:extLst>
                        <a:ext uri="{28A0092B-C50C-407E-A947-70E740481C1C}">
                          <a14:useLocalDpi xmlns:a14="http://schemas.microsoft.com/office/drawing/2010/main" val="0"/>
                        </a:ext>
                      </a:extLst>
                    </a:blip>
                    <a:srcRect t="5465" b="5534"/>
                    <a:stretch/>
                  </pic:blipFill>
                  <pic:spPr bwMode="auto">
                    <a:xfrm>
                      <a:off x="0" y="0"/>
                      <a:ext cx="5256663" cy="2881056"/>
                    </a:xfrm>
                    <a:prstGeom prst="rect">
                      <a:avLst/>
                    </a:prstGeom>
                    <a:ln>
                      <a:noFill/>
                    </a:ln>
                    <a:extLst>
                      <a:ext uri="{53640926-AAD7-44D8-BBD7-CCE9431645EC}">
                        <a14:shadowObscured xmlns:a14="http://schemas.microsoft.com/office/drawing/2010/main"/>
                      </a:ext>
                    </a:extLst>
                  </pic:spPr>
                </pic:pic>
              </a:graphicData>
            </a:graphic>
          </wp:inline>
        </w:drawing>
      </w:r>
    </w:p>
    <w:p w14:paraId="25716BFF" w14:textId="6CDA2853" w:rsidR="00273F4E" w:rsidRPr="009C0C39" w:rsidRDefault="00273F4E" w:rsidP="00273F4E">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MA-RPO Data,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5403F1" w:rsidRPr="009C0C39">
        <w:rPr>
          <w:rFonts w:ascii="Franklin Gothic Book" w:hAnsi="Franklin Gothic Book" w:cs="Times New Roman"/>
          <w:sz w:val="18"/>
          <w:szCs w:val="18"/>
        </w:rPr>
        <w:fldChar w:fldCharType="begin"/>
      </w:r>
      <w:r w:rsidR="005403F1" w:rsidRPr="009C0C39">
        <w:rPr>
          <w:rFonts w:ascii="Franklin Gothic Book" w:hAnsi="Franklin Gothic Book" w:cs="Times New Roman"/>
          <w:sz w:val="18"/>
          <w:szCs w:val="18"/>
        </w:rPr>
        <w:instrText xml:space="preserve"> NOTEREF _Ref93625088 \h </w:instrText>
      </w:r>
      <w:r w:rsidR="00804A4E" w:rsidRPr="009C0C39">
        <w:rPr>
          <w:rFonts w:ascii="Franklin Gothic Book" w:hAnsi="Franklin Gothic Book" w:cs="Times New Roman"/>
          <w:sz w:val="18"/>
          <w:szCs w:val="18"/>
        </w:rPr>
        <w:instrText xml:space="preserve"> \* MERGEFORMAT </w:instrText>
      </w:r>
      <w:r w:rsidR="005403F1" w:rsidRPr="009C0C39">
        <w:rPr>
          <w:rFonts w:ascii="Franklin Gothic Book" w:hAnsi="Franklin Gothic Book" w:cs="Times New Roman"/>
          <w:sz w:val="18"/>
          <w:szCs w:val="18"/>
        </w:rPr>
      </w:r>
      <w:r w:rsidR="005403F1"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166</w:t>
      </w:r>
      <w:r w:rsidR="005403F1" w:rsidRPr="009C0C39">
        <w:rPr>
          <w:rFonts w:ascii="Franklin Gothic Book" w:hAnsi="Franklin Gothic Book" w:cs="Times New Roman"/>
          <w:sz w:val="18"/>
          <w:szCs w:val="18"/>
        </w:rPr>
        <w:fldChar w:fldCharType="end"/>
      </w:r>
      <w:r w:rsidR="005241F5" w:rsidRPr="009C0C39">
        <w:rPr>
          <w:rFonts w:ascii="Franklin Gothic Book" w:hAnsi="Franklin Gothic Book" w:cs="Times New Roman"/>
          <w:sz w:val="18"/>
          <w:szCs w:val="18"/>
        </w:rPr>
        <w:t>.</w:t>
      </w:r>
    </w:p>
    <w:p w14:paraId="0B48CDE9" w14:textId="412D2521" w:rsidR="00273F4E" w:rsidRPr="009C0C39" w:rsidRDefault="00273F4E" w:rsidP="00273F4E">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2018 data were reported separately by Beth Israel Deaconess Care Organization and Lahey Health System (prior to the BILH merger) but combined for the purpose of this analysis. </w:t>
      </w:r>
    </w:p>
    <w:p w14:paraId="7BF628D1" w14:textId="51E5A34D" w:rsidR="00D478EF" w:rsidRPr="009C0C39" w:rsidRDefault="00D478EF" w:rsidP="00273F4E">
      <w:pPr>
        <w:rPr>
          <w:rFonts w:ascii="Franklin Gothic Book" w:hAnsi="Franklin Gothic Book" w:cs="Times New Roman"/>
          <w:sz w:val="18"/>
          <w:szCs w:val="18"/>
        </w:rPr>
      </w:pPr>
    </w:p>
    <w:p w14:paraId="16643683" w14:textId="77777777" w:rsidR="003368E5" w:rsidRDefault="00D478EF" w:rsidP="003368E5">
      <w:pPr>
        <w:rPr>
          <w:rFonts w:ascii="Franklin Gothic Book" w:hAnsi="Franklin Gothic Book" w:cs="Times New Roman"/>
          <w:sz w:val="22"/>
          <w:szCs w:val="22"/>
        </w:rPr>
      </w:pPr>
      <w:r w:rsidRPr="009C0C39">
        <w:rPr>
          <w:rFonts w:ascii="Franklin Gothic Book" w:hAnsi="Franklin Gothic Book" w:cs="Times New Roman"/>
          <w:sz w:val="22"/>
          <w:szCs w:val="22"/>
        </w:rPr>
        <w:t xml:space="preserve">In calendar year 2018, MGB also provided the largest share of adult primary care physician services for patients insured by one of the three largest commercial payers and the had highest share of commercial statewide member months. </w:t>
      </w:r>
    </w:p>
    <w:p w14:paraId="1F098D0E" w14:textId="77777777" w:rsidR="003368E5" w:rsidRDefault="003368E5" w:rsidP="003368E5">
      <w:pPr>
        <w:rPr>
          <w:rFonts w:ascii="Franklin Gothic Book" w:hAnsi="Franklin Gothic Book" w:cs="Times New Roman"/>
          <w:sz w:val="22"/>
          <w:szCs w:val="22"/>
        </w:rPr>
      </w:pPr>
    </w:p>
    <w:p w14:paraId="14F1CBE9" w14:textId="1D8C00DB" w:rsidR="005241F5" w:rsidRPr="003368E5" w:rsidRDefault="005241F5" w:rsidP="003368E5">
      <w:pPr>
        <w:jc w:val="center"/>
        <w:rPr>
          <w:rFonts w:ascii="Franklin Gothic Book" w:hAnsi="Franklin Gothic Book" w:cs="Times New Roman"/>
          <w:sz w:val="22"/>
          <w:szCs w:val="22"/>
        </w:rPr>
      </w:pPr>
      <w:r w:rsidRPr="003368E5">
        <w:rPr>
          <w:rFonts w:ascii="Franklin Gothic Book" w:hAnsi="Franklin Gothic Book" w:cs="Times New Roman"/>
          <w:b/>
          <w:bCs/>
          <w:sz w:val="22"/>
          <w:szCs w:val="22"/>
        </w:rPr>
        <w:t>System Share of Adult Primary Care Services and Member Months (2018)</w:t>
      </w:r>
    </w:p>
    <w:p w14:paraId="10A6B65D" w14:textId="77777777" w:rsidR="005241F5" w:rsidRPr="009C0C39" w:rsidRDefault="005241F5" w:rsidP="005241F5">
      <w:pPr>
        <w:keepNext/>
        <w:jc w:val="center"/>
        <w:rPr>
          <w:rFonts w:ascii="Franklin Gothic Book" w:hAnsi="Franklin Gothic Book" w:cs="Times New Roman"/>
          <w:sz w:val="22"/>
          <w:szCs w:val="22"/>
        </w:rPr>
      </w:pPr>
    </w:p>
    <w:p w14:paraId="6D6F8299" w14:textId="3D102EB3" w:rsidR="00D478EF" w:rsidRPr="009C0C39" w:rsidRDefault="000878AA" w:rsidP="003368E5">
      <w:pPr>
        <w:keepNext/>
        <w:jc w:val="center"/>
        <w:rPr>
          <w:rFonts w:ascii="Franklin Gothic Book" w:hAnsi="Franklin Gothic Book" w:cs="Times New Roman"/>
          <w:sz w:val="18"/>
          <w:szCs w:val="18"/>
        </w:rPr>
      </w:pPr>
      <w:r w:rsidRPr="009C0C39">
        <w:rPr>
          <w:rFonts w:ascii="Franklin Gothic Book" w:hAnsi="Franklin Gothic Book" w:cs="Times New Roman"/>
          <w:noProof/>
          <w:sz w:val="18"/>
          <w:szCs w:val="18"/>
        </w:rPr>
        <w:drawing>
          <wp:inline distT="0" distB="0" distL="0" distR="0" wp14:anchorId="731DCC5F" wp14:editId="32D30301">
            <wp:extent cx="5553075" cy="3177000"/>
            <wp:effectExtent l="0" t="0" r="0" b="4445"/>
            <wp:docPr id="2049" name="Picture 2049"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049" descr="Chart, funnel chart&#10;&#10;Description automatically generated"/>
                    <pic:cNvPicPr/>
                  </pic:nvPicPr>
                  <pic:blipFill rotWithShape="1">
                    <a:blip r:embed="rId14">
                      <a:extLst>
                        <a:ext uri="{28A0092B-C50C-407E-A947-70E740481C1C}">
                          <a14:useLocalDpi xmlns:a14="http://schemas.microsoft.com/office/drawing/2010/main" val="0"/>
                        </a:ext>
                      </a:extLst>
                    </a:blip>
                    <a:srcRect b="7096"/>
                    <a:stretch/>
                  </pic:blipFill>
                  <pic:spPr bwMode="auto">
                    <a:xfrm>
                      <a:off x="0" y="0"/>
                      <a:ext cx="5572829" cy="3188301"/>
                    </a:xfrm>
                    <a:prstGeom prst="rect">
                      <a:avLst/>
                    </a:prstGeom>
                    <a:ln>
                      <a:noFill/>
                    </a:ln>
                    <a:extLst>
                      <a:ext uri="{53640926-AAD7-44D8-BBD7-CCE9431645EC}">
                        <a14:shadowObscured xmlns:a14="http://schemas.microsoft.com/office/drawing/2010/main"/>
                      </a:ext>
                    </a:extLst>
                  </pic:spPr>
                </pic:pic>
              </a:graphicData>
            </a:graphic>
          </wp:inline>
        </w:drawing>
      </w:r>
    </w:p>
    <w:p w14:paraId="69F219FF" w14:textId="1223D0A3" w:rsidR="00D478EF" w:rsidRPr="009C0C39" w:rsidRDefault="00D478EF" w:rsidP="005241F5">
      <w:pPr>
        <w:keepNext/>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All-Payer Claims Database, </w:t>
      </w:r>
      <w:r w:rsidRPr="009C0C39">
        <w:rPr>
          <w:rFonts w:ascii="Franklin Gothic Book" w:hAnsi="Franklin Gothic Book" w:cs="Times New Roman"/>
          <w:i/>
          <w:iCs/>
          <w:sz w:val="18"/>
          <w:szCs w:val="18"/>
        </w:rPr>
        <w:t xml:space="preserve">supra </w:t>
      </w:r>
      <w:r w:rsidRPr="009C0C39">
        <w:rPr>
          <w:rFonts w:ascii="Franklin Gothic Book" w:hAnsi="Franklin Gothic Book" w:cs="Times New Roman"/>
          <w:sz w:val="18"/>
          <w:szCs w:val="18"/>
        </w:rPr>
        <w:t xml:space="preserve">note </w:t>
      </w:r>
      <w:r w:rsidR="005B0D9D" w:rsidRPr="009C0C39">
        <w:rPr>
          <w:rFonts w:ascii="Franklin Gothic Book" w:hAnsi="Franklin Gothic Book" w:cs="Times New Roman"/>
          <w:sz w:val="18"/>
          <w:szCs w:val="18"/>
        </w:rPr>
        <w:fldChar w:fldCharType="begin"/>
      </w:r>
      <w:r w:rsidR="005B0D9D" w:rsidRPr="009C0C39">
        <w:rPr>
          <w:rFonts w:ascii="Franklin Gothic Book" w:hAnsi="Franklin Gothic Book" w:cs="Times New Roman"/>
          <w:sz w:val="18"/>
          <w:szCs w:val="18"/>
        </w:rPr>
        <w:instrText xml:space="preserve"> NOTEREF _Ref93751467 \h </w:instrText>
      </w:r>
      <w:r w:rsidR="00804A4E" w:rsidRPr="009C0C39">
        <w:rPr>
          <w:rFonts w:ascii="Franklin Gothic Book" w:hAnsi="Franklin Gothic Book" w:cs="Times New Roman"/>
          <w:sz w:val="18"/>
          <w:szCs w:val="18"/>
        </w:rPr>
        <w:instrText xml:space="preserve"> \* MERGEFORMAT </w:instrText>
      </w:r>
      <w:r w:rsidR="005B0D9D" w:rsidRPr="009C0C39">
        <w:rPr>
          <w:rFonts w:ascii="Franklin Gothic Book" w:hAnsi="Franklin Gothic Book" w:cs="Times New Roman"/>
          <w:sz w:val="18"/>
          <w:szCs w:val="18"/>
        </w:rPr>
      </w:r>
      <w:r w:rsidR="005B0D9D"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169</w:t>
      </w:r>
      <w:r w:rsidR="005B0D9D"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MA-RPO Data,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5A0C67" w:rsidRPr="009C0C39">
        <w:rPr>
          <w:rFonts w:ascii="Franklin Gothic Book" w:hAnsi="Franklin Gothic Book" w:cs="Times New Roman"/>
          <w:sz w:val="18"/>
          <w:szCs w:val="18"/>
        </w:rPr>
        <w:fldChar w:fldCharType="begin"/>
      </w:r>
      <w:r w:rsidR="005A0C67" w:rsidRPr="009C0C39">
        <w:rPr>
          <w:rFonts w:ascii="Franklin Gothic Book" w:hAnsi="Franklin Gothic Book" w:cs="Times New Roman"/>
          <w:sz w:val="18"/>
          <w:szCs w:val="18"/>
        </w:rPr>
        <w:instrText xml:space="preserve"> NOTEREF _Ref93625088 \h </w:instrText>
      </w:r>
      <w:r w:rsidR="00804A4E" w:rsidRPr="009C0C39">
        <w:rPr>
          <w:rFonts w:ascii="Franklin Gothic Book" w:hAnsi="Franklin Gothic Book" w:cs="Times New Roman"/>
          <w:sz w:val="18"/>
          <w:szCs w:val="18"/>
        </w:rPr>
        <w:instrText xml:space="preserve"> \* MERGEFORMAT </w:instrText>
      </w:r>
      <w:r w:rsidR="005A0C67" w:rsidRPr="009C0C39">
        <w:rPr>
          <w:rFonts w:ascii="Franklin Gothic Book" w:hAnsi="Franklin Gothic Book" w:cs="Times New Roman"/>
          <w:sz w:val="18"/>
          <w:szCs w:val="18"/>
        </w:rPr>
      </w:r>
      <w:r w:rsidR="005A0C67" w:rsidRPr="009C0C39">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166</w:t>
      </w:r>
      <w:r w:rsidR="005A0C67" w:rsidRPr="009C0C39">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Total Medical Expenses, </w:t>
      </w:r>
      <w:r w:rsidRPr="009C0C39">
        <w:rPr>
          <w:rFonts w:ascii="Franklin Gothic Book" w:hAnsi="Franklin Gothic Book" w:cs="Times New Roman"/>
          <w:i/>
          <w:iCs/>
          <w:sz w:val="18"/>
          <w:szCs w:val="18"/>
        </w:rPr>
        <w:t>supra</w:t>
      </w:r>
      <w:r w:rsidRPr="009C0C39">
        <w:rPr>
          <w:rFonts w:ascii="Franklin Gothic Book" w:hAnsi="Franklin Gothic Book" w:cs="Times New Roman"/>
          <w:sz w:val="18"/>
          <w:szCs w:val="18"/>
        </w:rPr>
        <w:t xml:space="preserve"> note </w:t>
      </w:r>
      <w:r w:rsidR="001A1DC0">
        <w:rPr>
          <w:rFonts w:ascii="Franklin Gothic Book" w:hAnsi="Franklin Gothic Book" w:cs="Times New Roman"/>
          <w:sz w:val="18"/>
          <w:szCs w:val="18"/>
        </w:rPr>
        <w:fldChar w:fldCharType="begin"/>
      </w:r>
      <w:r w:rsidR="001A1DC0">
        <w:rPr>
          <w:rFonts w:ascii="Franklin Gothic Book" w:hAnsi="Franklin Gothic Book" w:cs="Times New Roman"/>
          <w:sz w:val="18"/>
          <w:szCs w:val="18"/>
        </w:rPr>
        <w:instrText xml:space="preserve"> NOTEREF _Ref93990128 \h </w:instrText>
      </w:r>
      <w:r w:rsidR="001A1DC0">
        <w:rPr>
          <w:rFonts w:ascii="Franklin Gothic Book" w:hAnsi="Franklin Gothic Book" w:cs="Times New Roman"/>
          <w:sz w:val="18"/>
          <w:szCs w:val="18"/>
        </w:rPr>
      </w:r>
      <w:r w:rsidR="001A1DC0">
        <w:rPr>
          <w:rFonts w:ascii="Franklin Gothic Book" w:hAnsi="Franklin Gothic Book" w:cs="Times New Roman"/>
          <w:sz w:val="18"/>
          <w:szCs w:val="18"/>
        </w:rPr>
        <w:fldChar w:fldCharType="separate"/>
      </w:r>
      <w:r w:rsidR="002907A7">
        <w:rPr>
          <w:rFonts w:ascii="Franklin Gothic Book" w:hAnsi="Franklin Gothic Book" w:cs="Times New Roman"/>
          <w:sz w:val="18"/>
          <w:szCs w:val="18"/>
        </w:rPr>
        <w:t>167</w:t>
      </w:r>
      <w:r w:rsidR="001A1DC0">
        <w:rPr>
          <w:rFonts w:ascii="Franklin Gothic Book" w:hAnsi="Franklin Gothic Book" w:cs="Times New Roman"/>
          <w:sz w:val="18"/>
          <w:szCs w:val="18"/>
        </w:rPr>
        <w:fldChar w:fldCharType="end"/>
      </w:r>
      <w:r w:rsidRPr="009C0C39">
        <w:rPr>
          <w:rFonts w:ascii="Franklin Gothic Book" w:hAnsi="Franklin Gothic Book" w:cs="Times New Roman"/>
          <w:sz w:val="18"/>
          <w:szCs w:val="18"/>
        </w:rPr>
        <w:t xml:space="preserve">. </w:t>
      </w:r>
    </w:p>
    <w:p w14:paraId="07DC3391" w14:textId="299238FF" w:rsidR="00D478EF" w:rsidRPr="009C0C39" w:rsidRDefault="00D478EF" w:rsidP="005241F5">
      <w:pPr>
        <w:keepNext/>
        <w:rPr>
          <w:rFonts w:ascii="Franklin Gothic Book" w:hAnsi="Franklin Gothic Book" w:cs="Times New Roman"/>
          <w:sz w:val="18"/>
          <w:szCs w:val="18"/>
        </w:rPr>
      </w:pPr>
      <w:r w:rsidRPr="009C0C39">
        <w:rPr>
          <w:rFonts w:ascii="Franklin Gothic Book" w:hAnsi="Franklin Gothic Book" w:cs="Times New Roman"/>
          <w:sz w:val="18"/>
          <w:szCs w:val="18"/>
        </w:rPr>
        <w:t>Notes: Reflects physician affiliations as of December 2021.</w:t>
      </w:r>
    </w:p>
    <w:p w14:paraId="71B69C02" w14:textId="77777777" w:rsidR="00D478EF" w:rsidRPr="009C0C39" w:rsidRDefault="00D478EF" w:rsidP="00273F4E">
      <w:pPr>
        <w:rPr>
          <w:rFonts w:ascii="Franklin Gothic Book" w:hAnsi="Franklin Gothic Book" w:cs="Times New Roman"/>
          <w:sz w:val="18"/>
          <w:szCs w:val="18"/>
        </w:rPr>
      </w:pPr>
    </w:p>
    <w:p w14:paraId="4C33B52B" w14:textId="77777777" w:rsidR="00273F4E" w:rsidRPr="009C0C39" w:rsidRDefault="00273F4E" w:rsidP="00273F4E">
      <w:pPr>
        <w:rPr>
          <w:rFonts w:ascii="Franklin Gothic Book" w:hAnsi="Franklin Gothic Book" w:cs="Times New Roman"/>
          <w:sz w:val="18"/>
          <w:szCs w:val="18"/>
        </w:rPr>
      </w:pPr>
    </w:p>
    <w:p w14:paraId="2080C3A8" w14:textId="64270EBC" w:rsidR="00991062" w:rsidRPr="009C0C39" w:rsidRDefault="00991062" w:rsidP="00991062">
      <w:pPr>
        <w:rPr>
          <w:rFonts w:ascii="Franklin Gothic Book" w:hAnsi="Franklin Gothic Book" w:cs="Times New Roman"/>
          <w:b/>
          <w:bCs/>
          <w:sz w:val="22"/>
          <w:szCs w:val="22"/>
        </w:rPr>
      </w:pPr>
      <w:bookmarkStart w:id="118" w:name="Appendix_IIB"/>
      <w:r w:rsidRPr="009C0C39">
        <w:rPr>
          <w:rFonts w:ascii="Franklin Gothic Book" w:hAnsi="Franklin Gothic Book" w:cs="Times New Roman"/>
          <w:b/>
          <w:bCs/>
          <w:sz w:val="22"/>
          <w:szCs w:val="22"/>
        </w:rPr>
        <w:t>Appendix II.B</w:t>
      </w:r>
      <w:bookmarkEnd w:id="118"/>
      <w:r w:rsidRPr="009C0C39">
        <w:rPr>
          <w:rFonts w:ascii="Franklin Gothic Book" w:hAnsi="Franklin Gothic Book" w:cs="Times New Roman"/>
          <w:b/>
          <w:bCs/>
          <w:sz w:val="22"/>
          <w:szCs w:val="22"/>
        </w:rPr>
        <w:t xml:space="preserve">: </w:t>
      </w:r>
      <w:r w:rsidR="007E1CD4" w:rsidRPr="009C0C39">
        <w:rPr>
          <w:rFonts w:ascii="Franklin Gothic Book" w:hAnsi="Franklin Gothic Book" w:cs="Times New Roman"/>
          <w:b/>
          <w:bCs/>
          <w:sz w:val="22"/>
          <w:szCs w:val="22"/>
        </w:rPr>
        <w:t>MGB’s Commercial Pricing</w:t>
      </w:r>
    </w:p>
    <w:p w14:paraId="48D3ACFB" w14:textId="1DF77862" w:rsidR="007E1CD4" w:rsidRPr="009C0C39" w:rsidRDefault="007E1CD4" w:rsidP="007E1CD4">
      <w:pPr>
        <w:rPr>
          <w:rFonts w:ascii="Franklin Gothic Book" w:hAnsi="Franklin Gothic Book" w:cs="Times New Roman"/>
          <w:sz w:val="22"/>
          <w:szCs w:val="22"/>
        </w:rPr>
      </w:pPr>
    </w:p>
    <w:p w14:paraId="081B4FA4" w14:textId="3584FC17" w:rsidR="007E1CD4" w:rsidRPr="009C0C39" w:rsidRDefault="007E1CD4" w:rsidP="007929F4">
      <w:pPr>
        <w:ind w:firstLine="720"/>
        <w:rPr>
          <w:rFonts w:ascii="Franklin Gothic Book" w:hAnsi="Franklin Gothic Book" w:cs="Times New Roman"/>
          <w:b/>
          <w:bCs/>
          <w:sz w:val="22"/>
          <w:szCs w:val="22"/>
        </w:rPr>
      </w:pPr>
      <w:r w:rsidRPr="009C0C39">
        <w:rPr>
          <w:rFonts w:ascii="Franklin Gothic Book" w:hAnsi="Franklin Gothic Book" w:cs="Times New Roman"/>
          <w:sz w:val="22"/>
          <w:szCs w:val="22"/>
        </w:rPr>
        <w:t>In the most recent year of data, MGB’s average inpatient and hospital outpatient relative prices were the highest of all Massachusetts hospital systems for the three largest commercial payers in Massachusetts,</w:t>
      </w:r>
      <w:r w:rsidRPr="009C0C39">
        <w:rPr>
          <w:rStyle w:val="FootnoteReference"/>
          <w:rFonts w:ascii="Franklin Gothic Book" w:hAnsi="Franklin Gothic Book" w:cs="Times New Roman"/>
          <w:sz w:val="22"/>
          <w:szCs w:val="22"/>
        </w:rPr>
        <w:footnoteReference w:id="210"/>
      </w:r>
      <w:r w:rsidRPr="009C0C39">
        <w:rPr>
          <w:rFonts w:ascii="Franklin Gothic Book" w:hAnsi="Franklin Gothic Book" w:cs="Times New Roman"/>
          <w:sz w:val="22"/>
          <w:szCs w:val="22"/>
        </w:rPr>
        <w:t xml:space="preserve"> largely </w:t>
      </w:r>
      <w:r w:rsidR="00451DF8" w:rsidRPr="009C0C39">
        <w:rPr>
          <w:rFonts w:ascii="Franklin Gothic Book" w:hAnsi="Franklin Gothic Book" w:cs="Times New Roman"/>
          <w:sz w:val="22"/>
          <w:szCs w:val="22"/>
        </w:rPr>
        <w:t xml:space="preserve">but not solely </w:t>
      </w:r>
      <w:r w:rsidRPr="009C0C39">
        <w:rPr>
          <w:rFonts w:ascii="Franklin Gothic Book" w:hAnsi="Franklin Gothic Book" w:cs="Times New Roman"/>
          <w:sz w:val="22"/>
          <w:szCs w:val="22"/>
        </w:rPr>
        <w:t>driven by significantly higher prices at MGH and BWH.</w:t>
      </w:r>
      <w:r w:rsidR="00077F67" w:rsidRPr="009C0C39">
        <w:rPr>
          <w:rFonts w:ascii="Franklin Gothic Book" w:hAnsi="Franklin Gothic Book" w:cs="Times New Roman"/>
          <w:sz w:val="22"/>
          <w:szCs w:val="22"/>
        </w:rPr>
        <w:t xml:space="preserve"> </w:t>
      </w:r>
      <w:r w:rsidRPr="009C0C39">
        <w:rPr>
          <w:rFonts w:ascii="Franklin Gothic Book" w:hAnsi="Franklin Gothic Book" w:cs="Times New Roman"/>
          <w:sz w:val="22"/>
          <w:szCs w:val="22"/>
        </w:rPr>
        <w:t xml:space="preserve">MGB’s physician group pricing was also generally higher than other Massachusetts hospital systems; </w:t>
      </w:r>
      <w:r w:rsidR="004A7FC2">
        <w:rPr>
          <w:rFonts w:ascii="Franklin Gothic Book" w:hAnsi="Franklin Gothic Book" w:cs="Times New Roman"/>
          <w:sz w:val="22"/>
          <w:szCs w:val="22"/>
        </w:rPr>
        <w:t xml:space="preserve">generally </w:t>
      </w:r>
      <w:r w:rsidRPr="009C0C39">
        <w:rPr>
          <w:rFonts w:ascii="Franklin Gothic Book" w:hAnsi="Franklin Gothic Book" w:cs="Times New Roman"/>
          <w:sz w:val="22"/>
          <w:szCs w:val="22"/>
        </w:rPr>
        <w:t>only physician groups without an affiliated hospital (which have a different financing structure) had higher pricing.</w:t>
      </w:r>
      <w:r w:rsidRPr="009C0C39">
        <w:rPr>
          <w:rStyle w:val="FootnoteReference"/>
          <w:rFonts w:ascii="Franklin Gothic Book" w:hAnsi="Franklin Gothic Book" w:cs="Times New Roman"/>
          <w:sz w:val="22"/>
          <w:szCs w:val="22"/>
        </w:rPr>
        <w:footnoteReference w:id="211"/>
      </w:r>
    </w:p>
    <w:p w14:paraId="5F4F6FE3" w14:textId="0C97BA4B" w:rsidR="00DF3C37" w:rsidRPr="009C0C39" w:rsidRDefault="00DF3C37" w:rsidP="007E1CD4">
      <w:pPr>
        <w:ind w:right="-630"/>
        <w:jc w:val="center"/>
        <w:rPr>
          <w:rFonts w:ascii="Franklin Gothic Book" w:hAnsi="Franklin Gothic Book" w:cs="Times New Roman"/>
          <w:b/>
          <w:bCs/>
          <w:sz w:val="22"/>
          <w:szCs w:val="22"/>
        </w:rPr>
      </w:pPr>
    </w:p>
    <w:p w14:paraId="2F2016EE" w14:textId="3EDCA308" w:rsidR="000878AA" w:rsidRPr="009C0C39" w:rsidRDefault="007E1CD4" w:rsidP="00DB734E">
      <w:pPr>
        <w:ind w:right="-630"/>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Physician Group and System Average Hospital Relative Price</w:t>
      </w:r>
    </w:p>
    <w:p w14:paraId="610E44ED" w14:textId="028FBD53" w:rsidR="000878AA" w:rsidRPr="009C0C39" w:rsidRDefault="003C257D" w:rsidP="003C257D">
      <w:pPr>
        <w:jc w:val="center"/>
        <w:rPr>
          <w:rFonts w:ascii="Franklin Gothic Book" w:hAnsi="Franklin Gothic Book" w:cs="Times New Roman"/>
          <w:b/>
          <w:bCs/>
          <w:sz w:val="22"/>
          <w:szCs w:val="22"/>
        </w:rPr>
      </w:pPr>
      <w:r w:rsidRPr="009C0C39">
        <w:rPr>
          <w:rFonts w:ascii="Franklin Gothic Book" w:hAnsi="Franklin Gothic Book" w:cs="Times New Roman"/>
          <w:b/>
          <w:bCs/>
          <w:noProof/>
          <w:sz w:val="22"/>
          <w:szCs w:val="22"/>
        </w:rPr>
        <w:drawing>
          <wp:inline distT="0" distB="0" distL="0" distR="0" wp14:anchorId="5F5EDB3D" wp14:editId="0D9371D9">
            <wp:extent cx="5190285" cy="3196240"/>
            <wp:effectExtent l="0" t="0" r="0" b="4445"/>
            <wp:docPr id="2052" name="Picture 20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052" descr="Chart, scatt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208187" cy="3207264"/>
                    </a:xfrm>
                    <a:prstGeom prst="rect">
                      <a:avLst/>
                    </a:prstGeom>
                  </pic:spPr>
                </pic:pic>
              </a:graphicData>
            </a:graphic>
          </wp:inline>
        </w:drawing>
      </w:r>
      <w:r w:rsidR="00DB734E" w:rsidRPr="009C0C39">
        <w:rPr>
          <w:rFonts w:ascii="Franklin Gothic Book" w:hAnsi="Franklin Gothic Book" w:cs="Times New Roman"/>
          <w:b/>
          <w:bCs/>
          <w:noProof/>
          <w:sz w:val="22"/>
          <w:szCs w:val="22"/>
          <w:u w:val="single"/>
        </w:rPr>
        <mc:AlternateContent>
          <mc:Choice Requires="wps">
            <w:drawing>
              <wp:inline distT="0" distB="0" distL="0" distR="0" wp14:anchorId="40F05210" wp14:editId="0B42CEF9">
                <wp:extent cx="5943600" cy="1400175"/>
                <wp:effectExtent l="0" t="0" r="0" b="9525"/>
                <wp:docPr id="17" name="Text Box 17"/>
                <wp:cNvGraphicFramePr/>
                <a:graphic xmlns:a="http://schemas.openxmlformats.org/drawingml/2006/main">
                  <a:graphicData uri="http://schemas.microsoft.com/office/word/2010/wordprocessingShape">
                    <wps:wsp>
                      <wps:cNvSpPr txBox="1"/>
                      <wps:spPr>
                        <a:xfrm>
                          <a:off x="0" y="0"/>
                          <a:ext cx="5943600" cy="1400175"/>
                        </a:xfrm>
                        <a:prstGeom prst="rect">
                          <a:avLst/>
                        </a:prstGeom>
                        <a:solidFill>
                          <a:prstClr val="white"/>
                        </a:solidFill>
                        <a:ln>
                          <a:noFill/>
                        </a:ln>
                      </wps:spPr>
                      <wps:txbx>
                        <w:txbxContent>
                          <w:p w14:paraId="1D6E0309" w14:textId="74F2D70A" w:rsidR="007E1CD4"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Source:</w:t>
                            </w:r>
                            <w:r w:rsidRPr="00DB734E">
                              <w:rPr>
                                <w:rFonts w:ascii="Franklin Gothic Book" w:hAnsi="Franklin Gothic Book" w:cs="Times New Roman"/>
                                <w:sz w:val="18"/>
                                <w:szCs w:val="18"/>
                              </w:rPr>
                              <w:t xml:space="preserve"> HPC analysis of CHIA Relative Price Databook, </w:t>
                            </w:r>
                            <w:r w:rsidRPr="00DB734E">
                              <w:rPr>
                                <w:rFonts w:ascii="Franklin Gothic Book" w:hAnsi="Franklin Gothic Book" w:cs="Times New Roman"/>
                                <w:i/>
                                <w:iCs/>
                                <w:sz w:val="18"/>
                                <w:szCs w:val="18"/>
                              </w:rPr>
                              <w:t>supra</w:t>
                            </w:r>
                            <w:r w:rsidRPr="00DB734E">
                              <w:rPr>
                                <w:rFonts w:ascii="Franklin Gothic Book" w:hAnsi="Franklin Gothic Book" w:cs="Times New Roman"/>
                                <w:sz w:val="18"/>
                                <w:szCs w:val="18"/>
                              </w:rPr>
                              <w:t xml:space="preserve"> note </w:t>
                            </w:r>
                            <w:r w:rsidRPr="00DB734E">
                              <w:rPr>
                                <w:rFonts w:ascii="Franklin Gothic Book" w:hAnsi="Franklin Gothic Book" w:cs="Times New Roman"/>
                                <w:sz w:val="18"/>
                                <w:szCs w:val="18"/>
                              </w:rPr>
                              <w:fldChar w:fldCharType="begin"/>
                            </w:r>
                            <w:r w:rsidRPr="00DB734E">
                              <w:rPr>
                                <w:rFonts w:ascii="Franklin Gothic Book" w:hAnsi="Franklin Gothic Book" w:cs="Times New Roman"/>
                                <w:sz w:val="18"/>
                                <w:szCs w:val="18"/>
                              </w:rPr>
                              <w:instrText xml:space="preserve"> NOTEREF _Ref90657736 \h  \* MERGEFORMAT </w:instrText>
                            </w:r>
                            <w:r w:rsidRPr="00DB734E">
                              <w:rPr>
                                <w:rFonts w:ascii="Franklin Gothic Book" w:hAnsi="Franklin Gothic Book" w:cs="Times New Roman"/>
                                <w:sz w:val="18"/>
                                <w:szCs w:val="18"/>
                              </w:rPr>
                            </w:r>
                            <w:r w:rsidRPr="00DB734E">
                              <w:rPr>
                                <w:rFonts w:ascii="Franklin Gothic Book" w:hAnsi="Franklin Gothic Book" w:cs="Times New Roman"/>
                                <w:sz w:val="18"/>
                                <w:szCs w:val="18"/>
                              </w:rPr>
                              <w:fldChar w:fldCharType="separate"/>
                            </w:r>
                            <w:r w:rsidRPr="00DB734E">
                              <w:rPr>
                                <w:rFonts w:ascii="Franklin Gothic Book" w:hAnsi="Franklin Gothic Book" w:cs="Times New Roman"/>
                                <w:sz w:val="18"/>
                                <w:szCs w:val="18"/>
                              </w:rPr>
                              <w:t>12</w:t>
                            </w:r>
                            <w:r w:rsidRPr="00DB734E">
                              <w:rPr>
                                <w:rFonts w:ascii="Franklin Gothic Book" w:hAnsi="Franklin Gothic Book" w:cs="Times New Roman"/>
                                <w:sz w:val="18"/>
                                <w:szCs w:val="18"/>
                              </w:rPr>
                              <w:fldChar w:fldCharType="end"/>
                            </w:r>
                            <w:r w:rsidR="00087099" w:rsidRPr="00DB734E">
                              <w:rPr>
                                <w:rFonts w:ascii="Franklin Gothic Book" w:hAnsi="Franklin Gothic Book" w:cs="Times New Roman"/>
                                <w:sz w:val="18"/>
                                <w:szCs w:val="18"/>
                              </w:rPr>
                              <w:t>.</w:t>
                            </w:r>
                            <w:r w:rsidRPr="00DB734E">
                              <w:rPr>
                                <w:rFonts w:ascii="Franklin Gothic Book" w:hAnsi="Franklin Gothic Book" w:cs="Times New Roman"/>
                                <w:sz w:val="18"/>
                                <w:szCs w:val="18"/>
                              </w:rPr>
                              <w:t xml:space="preserve"> </w:t>
                            </w:r>
                          </w:p>
                          <w:p w14:paraId="207743E4" w14:textId="77777777" w:rsidR="007E1CD4"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Notes:</w:t>
                            </w:r>
                            <w:r w:rsidRPr="00DB734E">
                              <w:rPr>
                                <w:rFonts w:ascii="Franklin Gothic Book" w:hAnsi="Franklin Gothic Book" w:cs="Times New Roman"/>
                                <w:sz w:val="18"/>
                                <w:szCs w:val="18"/>
                              </w:rPr>
                              <w:t xml:space="preserve"> Because relative price is calculated individually by payer, the price level associated with each payer’s network average relative price (1.0) is not the same for different payers. Therefore, relative price should not be compared across payers.</w:t>
                            </w:r>
                          </w:p>
                          <w:p w14:paraId="1A745095" w14:textId="77777777" w:rsidR="007E1CD4"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Comparator physician groups include</w:t>
                            </w:r>
                            <w:r w:rsidRPr="00DB734E">
                              <w:rPr>
                                <w:rFonts w:ascii="Franklin Gothic Book" w:hAnsi="Franklin Gothic Book" w:cs="Times New Roman"/>
                                <w:sz w:val="18"/>
                                <w:szCs w:val="18"/>
                              </w:rPr>
                              <w:t xml:space="preserve">: Atrius, BIDCO, Boston Medical Center Mgt Service, Lahey Clinical Performance ACO/Physician Community Organization, Lawrence General IPA, Lowell General PHO, Mt. Auburn IPA, New England Quality Care Alliance (NEQCA), Partners Community Physician Organization, Reliant Medical Group, Signature Healthcare Medical Group, South Shore PHO, Southcoast Physicians Group (/Network), Steward Network Services and UMass Medical Group. </w:t>
                            </w:r>
                          </w:p>
                          <w:p w14:paraId="5298BE57" w14:textId="1168FB71" w:rsidR="00077F67"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Comparator systems include:</w:t>
                            </w:r>
                            <w:r w:rsidRPr="00DB734E">
                              <w:rPr>
                                <w:rFonts w:ascii="Franklin Gothic Book" w:hAnsi="Franklin Gothic Book" w:cs="Times New Roman"/>
                                <w:sz w:val="18"/>
                                <w:szCs w:val="18"/>
                              </w:rPr>
                              <w:t xml:space="preserve"> Baystate Health, Beth Israel Lahey Health, Boston Medical Center, Independent Community Hospitals, Mass General Brigham, Steward Health Care, Tenet Healthcare, UMass Memorial Health Care, Wellforce.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0F05210" id="_x0000_t202" coordsize="21600,21600" o:spt="202" path="m,l,21600r21600,l21600,xe">
                <v:stroke joinstyle="miter"/>
                <v:path gradientshapeok="t" o:connecttype="rect"/>
              </v:shapetype>
              <v:shape id="Text Box 17" o:spid="_x0000_s1026" type="#_x0000_t202" style="width:468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" stroked="f">
                <v:textbox inset="0,0,0,0">
                  <w:txbxContent>
                    <w:p w14:paraId="1D6E0309" w14:textId="74F2D70A" w:rsidR="007E1CD4"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Source:</w:t>
                      </w:r>
                      <w:r w:rsidRPr="00DB734E">
                        <w:rPr>
                          <w:rFonts w:ascii="Franklin Gothic Book" w:hAnsi="Franklin Gothic Book" w:cs="Times New Roman"/>
                          <w:sz w:val="18"/>
                          <w:szCs w:val="18"/>
                        </w:rPr>
                        <w:t xml:space="preserve"> HPC analysis of CHIA Relative Price </w:t>
                      </w:r>
                      <w:proofErr w:type="spellStart"/>
                      <w:r w:rsidRPr="00DB734E">
                        <w:rPr>
                          <w:rFonts w:ascii="Franklin Gothic Book" w:hAnsi="Franklin Gothic Book" w:cs="Times New Roman"/>
                          <w:sz w:val="18"/>
                          <w:szCs w:val="18"/>
                        </w:rPr>
                        <w:t>Databook</w:t>
                      </w:r>
                      <w:proofErr w:type="spellEnd"/>
                      <w:r w:rsidRPr="00DB734E">
                        <w:rPr>
                          <w:rFonts w:ascii="Franklin Gothic Book" w:hAnsi="Franklin Gothic Book" w:cs="Times New Roman"/>
                          <w:sz w:val="18"/>
                          <w:szCs w:val="18"/>
                        </w:rPr>
                        <w:t xml:space="preserve">, </w:t>
                      </w:r>
                      <w:r w:rsidRPr="00DB734E">
                        <w:rPr>
                          <w:rFonts w:ascii="Franklin Gothic Book" w:hAnsi="Franklin Gothic Book" w:cs="Times New Roman"/>
                          <w:i/>
                          <w:iCs/>
                          <w:sz w:val="18"/>
                          <w:szCs w:val="18"/>
                        </w:rPr>
                        <w:t>supra</w:t>
                      </w:r>
                      <w:r w:rsidRPr="00DB734E">
                        <w:rPr>
                          <w:rFonts w:ascii="Franklin Gothic Book" w:hAnsi="Franklin Gothic Book" w:cs="Times New Roman"/>
                          <w:sz w:val="18"/>
                          <w:szCs w:val="18"/>
                        </w:rPr>
                        <w:t xml:space="preserve"> note </w:t>
                      </w:r>
                      <w:r w:rsidRPr="00DB734E">
                        <w:rPr>
                          <w:rFonts w:ascii="Franklin Gothic Book" w:hAnsi="Franklin Gothic Book" w:cs="Times New Roman"/>
                          <w:sz w:val="18"/>
                          <w:szCs w:val="18"/>
                        </w:rPr>
                        <w:fldChar w:fldCharType="begin"/>
                      </w:r>
                      <w:r w:rsidRPr="00DB734E">
                        <w:rPr>
                          <w:rFonts w:ascii="Franklin Gothic Book" w:hAnsi="Franklin Gothic Book" w:cs="Times New Roman"/>
                          <w:sz w:val="18"/>
                          <w:szCs w:val="18"/>
                        </w:rPr>
                        <w:instrText xml:space="preserve"> NOTEREF _Ref90657736 \h  \* MERGEFORMAT </w:instrText>
                      </w:r>
                      <w:r w:rsidRPr="00DB734E">
                        <w:rPr>
                          <w:rFonts w:ascii="Franklin Gothic Book" w:hAnsi="Franklin Gothic Book" w:cs="Times New Roman"/>
                          <w:sz w:val="18"/>
                          <w:szCs w:val="18"/>
                        </w:rPr>
                      </w:r>
                      <w:r w:rsidRPr="00DB734E">
                        <w:rPr>
                          <w:rFonts w:ascii="Franklin Gothic Book" w:hAnsi="Franklin Gothic Book" w:cs="Times New Roman"/>
                          <w:sz w:val="18"/>
                          <w:szCs w:val="18"/>
                        </w:rPr>
                        <w:fldChar w:fldCharType="separate"/>
                      </w:r>
                      <w:r w:rsidRPr="00DB734E">
                        <w:rPr>
                          <w:rFonts w:ascii="Franklin Gothic Book" w:hAnsi="Franklin Gothic Book" w:cs="Times New Roman"/>
                          <w:sz w:val="18"/>
                          <w:szCs w:val="18"/>
                        </w:rPr>
                        <w:t>12</w:t>
                      </w:r>
                      <w:r w:rsidRPr="00DB734E">
                        <w:rPr>
                          <w:rFonts w:ascii="Franklin Gothic Book" w:hAnsi="Franklin Gothic Book" w:cs="Times New Roman"/>
                          <w:sz w:val="18"/>
                          <w:szCs w:val="18"/>
                        </w:rPr>
                        <w:fldChar w:fldCharType="end"/>
                      </w:r>
                      <w:r w:rsidR="00087099" w:rsidRPr="00DB734E">
                        <w:rPr>
                          <w:rFonts w:ascii="Franklin Gothic Book" w:hAnsi="Franklin Gothic Book" w:cs="Times New Roman"/>
                          <w:sz w:val="18"/>
                          <w:szCs w:val="18"/>
                        </w:rPr>
                        <w:t>.</w:t>
                      </w:r>
                      <w:r w:rsidRPr="00DB734E">
                        <w:rPr>
                          <w:rFonts w:ascii="Franklin Gothic Book" w:hAnsi="Franklin Gothic Book" w:cs="Times New Roman"/>
                          <w:sz w:val="18"/>
                          <w:szCs w:val="18"/>
                        </w:rPr>
                        <w:t xml:space="preserve"> </w:t>
                      </w:r>
                    </w:p>
                    <w:p w14:paraId="207743E4" w14:textId="77777777" w:rsidR="007E1CD4"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Notes:</w:t>
                      </w:r>
                      <w:r w:rsidRPr="00DB734E">
                        <w:rPr>
                          <w:rFonts w:ascii="Franklin Gothic Book" w:hAnsi="Franklin Gothic Book" w:cs="Times New Roman"/>
                          <w:sz w:val="18"/>
                          <w:szCs w:val="18"/>
                        </w:rPr>
                        <w:t xml:space="preserve"> Because relative price is calculated individually by payer, the price level associated with each payer’s network average relative price (1.0) is not the same for different payers. Therefore, relative price should not be compared across payers.</w:t>
                      </w:r>
                    </w:p>
                    <w:p w14:paraId="1A745095" w14:textId="77777777" w:rsidR="007E1CD4"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Comparator physician groups include</w:t>
                      </w:r>
                      <w:r w:rsidRPr="00DB734E">
                        <w:rPr>
                          <w:rFonts w:ascii="Franklin Gothic Book" w:hAnsi="Franklin Gothic Book" w:cs="Times New Roman"/>
                          <w:sz w:val="18"/>
                          <w:szCs w:val="18"/>
                        </w:rPr>
                        <w:t xml:space="preserve">: </w:t>
                      </w:r>
                      <w:proofErr w:type="spellStart"/>
                      <w:r w:rsidRPr="00DB734E">
                        <w:rPr>
                          <w:rFonts w:ascii="Franklin Gothic Book" w:hAnsi="Franklin Gothic Book" w:cs="Times New Roman"/>
                          <w:sz w:val="18"/>
                          <w:szCs w:val="18"/>
                        </w:rPr>
                        <w:t>Atrius</w:t>
                      </w:r>
                      <w:proofErr w:type="spellEnd"/>
                      <w:r w:rsidRPr="00DB734E">
                        <w:rPr>
                          <w:rFonts w:ascii="Franklin Gothic Book" w:hAnsi="Franklin Gothic Book" w:cs="Times New Roman"/>
                          <w:sz w:val="18"/>
                          <w:szCs w:val="18"/>
                        </w:rPr>
                        <w:t xml:space="preserve">, BIDCO, Boston Medical Center </w:t>
                      </w:r>
                      <w:proofErr w:type="spellStart"/>
                      <w:r w:rsidRPr="00DB734E">
                        <w:rPr>
                          <w:rFonts w:ascii="Franklin Gothic Book" w:hAnsi="Franklin Gothic Book" w:cs="Times New Roman"/>
                          <w:sz w:val="18"/>
                          <w:szCs w:val="18"/>
                        </w:rPr>
                        <w:t>Mgt</w:t>
                      </w:r>
                      <w:proofErr w:type="spellEnd"/>
                      <w:r w:rsidRPr="00DB734E">
                        <w:rPr>
                          <w:rFonts w:ascii="Franklin Gothic Book" w:hAnsi="Franklin Gothic Book" w:cs="Times New Roman"/>
                          <w:sz w:val="18"/>
                          <w:szCs w:val="18"/>
                        </w:rPr>
                        <w:t xml:space="preserve"> Service, Lahey Clinical Performance ACO/Physician Community Organization, Lawrence General IPA, Lowell General PHO, Mt. Auburn IPA, New England Quality Care Alliance (NEQCA), Partners Community Physician Organization, Reliant Medical Group, Signature Healthcare Medical Group, South Shore PHO, </w:t>
                      </w:r>
                      <w:proofErr w:type="spellStart"/>
                      <w:r w:rsidRPr="00DB734E">
                        <w:rPr>
                          <w:rFonts w:ascii="Franklin Gothic Book" w:hAnsi="Franklin Gothic Book" w:cs="Times New Roman"/>
                          <w:sz w:val="18"/>
                          <w:szCs w:val="18"/>
                        </w:rPr>
                        <w:t>Southcoast</w:t>
                      </w:r>
                      <w:proofErr w:type="spellEnd"/>
                      <w:r w:rsidRPr="00DB734E">
                        <w:rPr>
                          <w:rFonts w:ascii="Franklin Gothic Book" w:hAnsi="Franklin Gothic Book" w:cs="Times New Roman"/>
                          <w:sz w:val="18"/>
                          <w:szCs w:val="18"/>
                        </w:rPr>
                        <w:t xml:space="preserve"> Physicians Group (/Network), Steward Network Services and UMass Medical Group. </w:t>
                      </w:r>
                    </w:p>
                    <w:p w14:paraId="5298BE57" w14:textId="1168FB71" w:rsidR="00077F67" w:rsidRPr="00DB734E" w:rsidRDefault="007E1CD4" w:rsidP="007E1CD4">
                      <w:pPr>
                        <w:pStyle w:val="FootnoteText"/>
                        <w:rPr>
                          <w:rFonts w:ascii="Franklin Gothic Book" w:hAnsi="Franklin Gothic Book" w:cs="Times New Roman"/>
                          <w:sz w:val="18"/>
                          <w:szCs w:val="18"/>
                        </w:rPr>
                      </w:pPr>
                      <w:r w:rsidRPr="00DB734E">
                        <w:rPr>
                          <w:rFonts w:ascii="Franklin Gothic Book" w:hAnsi="Franklin Gothic Book" w:cs="Times New Roman"/>
                          <w:sz w:val="18"/>
                          <w:szCs w:val="18"/>
                          <w:u w:val="single"/>
                        </w:rPr>
                        <w:t>Comparator systems include:</w:t>
                      </w:r>
                      <w:r w:rsidRPr="00DB734E">
                        <w:rPr>
                          <w:rFonts w:ascii="Franklin Gothic Book" w:hAnsi="Franklin Gothic Book" w:cs="Times New Roman"/>
                          <w:sz w:val="18"/>
                          <w:szCs w:val="18"/>
                        </w:rPr>
                        <w:t xml:space="preserve"> </w:t>
                      </w:r>
                      <w:proofErr w:type="spellStart"/>
                      <w:r w:rsidRPr="00DB734E">
                        <w:rPr>
                          <w:rFonts w:ascii="Franklin Gothic Book" w:hAnsi="Franklin Gothic Book" w:cs="Times New Roman"/>
                          <w:sz w:val="18"/>
                          <w:szCs w:val="18"/>
                        </w:rPr>
                        <w:t>Baystate</w:t>
                      </w:r>
                      <w:proofErr w:type="spellEnd"/>
                      <w:r w:rsidRPr="00DB734E">
                        <w:rPr>
                          <w:rFonts w:ascii="Franklin Gothic Book" w:hAnsi="Franklin Gothic Book" w:cs="Times New Roman"/>
                          <w:sz w:val="18"/>
                          <w:szCs w:val="18"/>
                        </w:rPr>
                        <w:t xml:space="preserve"> Health, Beth Israel Lahey Health, Boston Medical Center, Independent Community Hospitals, Mass General Brigham, Steward Health Care, Tenet Healthcare, UMass Memorial Health Care, </w:t>
                      </w:r>
                      <w:proofErr w:type="spellStart"/>
                      <w:r w:rsidRPr="00DB734E">
                        <w:rPr>
                          <w:rFonts w:ascii="Franklin Gothic Book" w:hAnsi="Franklin Gothic Book" w:cs="Times New Roman"/>
                          <w:sz w:val="18"/>
                          <w:szCs w:val="18"/>
                        </w:rPr>
                        <w:t>Wellforce</w:t>
                      </w:r>
                      <w:proofErr w:type="spellEnd"/>
                      <w:r w:rsidRPr="00DB734E">
                        <w:rPr>
                          <w:rFonts w:ascii="Franklin Gothic Book" w:hAnsi="Franklin Gothic Book" w:cs="Times New Roman"/>
                          <w:sz w:val="18"/>
                          <w:szCs w:val="18"/>
                        </w:rPr>
                        <w:t>.</w:t>
                      </w:r>
                    </w:p>
                  </w:txbxContent>
                </v:textbox>
                <w10:anchorlock/>
              </v:shape>
            </w:pict>
          </mc:Fallback>
        </mc:AlternateContent>
      </w:r>
    </w:p>
    <w:p w14:paraId="4B27CAEA" w14:textId="2FADC70C" w:rsidR="00077F67" w:rsidRPr="009C0C39" w:rsidRDefault="003C257D" w:rsidP="00990431">
      <w:pPr>
        <w:spacing w:after="160"/>
        <w:rPr>
          <w:rFonts w:ascii="Franklin Gothic Book" w:hAnsi="Franklin Gothic Book" w:cs="Times New Roman"/>
          <w:sz w:val="22"/>
          <w:szCs w:val="22"/>
        </w:rPr>
      </w:pPr>
      <w:r>
        <w:rPr>
          <w:rFonts w:ascii="Franklin Gothic Book" w:hAnsi="Franklin Gothic Book" w:cs="Times New Roman"/>
          <w:sz w:val="22"/>
          <w:szCs w:val="22"/>
        </w:rPr>
        <w:br w:type="page"/>
      </w:r>
      <w:r w:rsidR="00077F67" w:rsidRPr="009C0C39">
        <w:rPr>
          <w:rFonts w:ascii="Franklin Gothic Book" w:hAnsi="Franklin Gothic Book" w:cs="Times New Roman"/>
          <w:sz w:val="22"/>
          <w:szCs w:val="22"/>
        </w:rPr>
        <w:lastRenderedPageBreak/>
        <w:t xml:space="preserve">At the hospital level, we compared MGB inpatient and outpatient relative prices to comparator AMC and community hospitals. We found that MGH and BWH had higher inpatient and outpatient relative prices compared to other Massachusetts AMCs. MGB community hospitals’ relative prices were also higher than most, but not all, community hospital comparators. </w:t>
      </w:r>
    </w:p>
    <w:p w14:paraId="5FEF5D18" w14:textId="186A5981" w:rsidR="00077F67" w:rsidRPr="009C0C39" w:rsidRDefault="00077F67" w:rsidP="00050E13">
      <w:pPr>
        <w:ind w:right="-630"/>
        <w:rPr>
          <w:rFonts w:ascii="Franklin Gothic Book" w:hAnsi="Franklin Gothic Book" w:cs="Times New Roman"/>
          <w:sz w:val="22"/>
          <w:szCs w:val="22"/>
        </w:rPr>
      </w:pPr>
    </w:p>
    <w:p w14:paraId="61F3BF99" w14:textId="69A7A845" w:rsidR="00077F67" w:rsidRPr="009C0C39" w:rsidRDefault="00077F67" w:rsidP="00077F67">
      <w:pPr>
        <w:ind w:right="-630"/>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MGB and Comparator Hospital Relative Price</w:t>
      </w:r>
    </w:p>
    <w:p w14:paraId="283D528A" w14:textId="77777777" w:rsidR="00077F67" w:rsidRPr="009C0C39" w:rsidRDefault="00077F67" w:rsidP="00077F67">
      <w:pPr>
        <w:ind w:right="-630"/>
        <w:rPr>
          <w:rFonts w:ascii="Franklin Gothic Book" w:hAnsi="Franklin Gothic Book" w:cs="Times New Roman"/>
          <w:b/>
          <w:bCs/>
          <w:sz w:val="22"/>
          <w:szCs w:val="22"/>
        </w:rPr>
      </w:pPr>
    </w:p>
    <w:p w14:paraId="3427EB73" w14:textId="5553D34B" w:rsidR="00CF1302" w:rsidRPr="009C0C39" w:rsidRDefault="00DB734E" w:rsidP="000C5A2C">
      <w:pPr>
        <w:ind w:right="-630"/>
        <w:jc w:val="center"/>
        <w:rPr>
          <w:rFonts w:ascii="Franklin Gothic Book" w:hAnsi="Franklin Gothic Book"/>
          <w:sz w:val="22"/>
          <w:szCs w:val="22"/>
        </w:rPr>
      </w:pPr>
      <w:r w:rsidRPr="009C0C39">
        <w:rPr>
          <w:rFonts w:ascii="Franklin Gothic Book" w:hAnsi="Franklin Gothic Book" w:cs="Times New Roman"/>
          <w:b/>
          <w:bCs/>
          <w:noProof/>
          <w:sz w:val="22"/>
          <w:szCs w:val="22"/>
        </w:rPr>
        <mc:AlternateContent>
          <mc:Choice Requires="wps">
            <w:drawing>
              <wp:inline distT="0" distB="0" distL="0" distR="0" wp14:anchorId="525650FD" wp14:editId="64F44081">
                <wp:extent cx="6105525" cy="1228725"/>
                <wp:effectExtent l="0" t="0" r="0" b="0"/>
                <wp:docPr id="3"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05525" cy="1228725"/>
                        </a:xfrm>
                        <a:prstGeom prst="rect">
                          <a:avLst/>
                        </a:prstGeom>
                      </wps:spPr>
                      <wps:txbx>
                        <w:txbxContent>
                          <w:p w14:paraId="2AD840CA" w14:textId="1253D93B" w:rsidR="00077F67" w:rsidRPr="00DB734E" w:rsidRDefault="00077F67" w:rsidP="00077F67">
                            <w:pPr>
                              <w:spacing w:before="38"/>
                              <w:rPr>
                                <w:rFonts w:ascii="Franklin Gothic Book" w:hAnsi="Franklin Gothic Book" w:cs="Times New Roman"/>
                                <w:kern w:val="24"/>
                                <w:sz w:val="18"/>
                                <w:szCs w:val="18"/>
                              </w:rPr>
                            </w:pPr>
                            <w:r w:rsidRPr="00DB734E">
                              <w:rPr>
                                <w:rFonts w:ascii="Franklin Gothic Book" w:hAnsi="Franklin Gothic Book" w:cs="Times New Roman"/>
                                <w:b/>
                                <w:kern w:val="24"/>
                                <w:sz w:val="18"/>
                                <w:szCs w:val="18"/>
                              </w:rPr>
                              <w:t>Source:</w:t>
                            </w:r>
                            <w:r w:rsidRPr="00DB734E">
                              <w:rPr>
                                <w:rFonts w:ascii="Franklin Gothic Book" w:hAnsi="Franklin Gothic Book" w:cs="Times New Roman"/>
                                <w:kern w:val="24"/>
                                <w:sz w:val="18"/>
                                <w:szCs w:val="18"/>
                              </w:rPr>
                              <w:t xml:space="preserve"> HPC analysis of CHIA</w:t>
                            </w:r>
                            <w:r w:rsidR="00087099" w:rsidRPr="00DB734E">
                              <w:rPr>
                                <w:rFonts w:ascii="Franklin Gothic Book" w:hAnsi="Franklin Gothic Book" w:cs="Times New Roman"/>
                                <w:kern w:val="24"/>
                                <w:sz w:val="18"/>
                                <w:szCs w:val="18"/>
                              </w:rPr>
                              <w:t xml:space="preserve"> Relative Price Databook</w:t>
                            </w:r>
                            <w:r w:rsidRPr="00DB734E">
                              <w:rPr>
                                <w:rFonts w:ascii="Franklin Gothic Book" w:hAnsi="Franklin Gothic Book" w:cs="Times New Roman"/>
                                <w:kern w:val="24"/>
                                <w:sz w:val="18"/>
                                <w:szCs w:val="18"/>
                              </w:rPr>
                              <w:t xml:space="preserve"> 2019</w:t>
                            </w:r>
                            <w:r w:rsidR="00087099" w:rsidRPr="00DB734E">
                              <w:rPr>
                                <w:rFonts w:ascii="Franklin Gothic Book" w:hAnsi="Franklin Gothic Book" w:cs="Times New Roman"/>
                                <w:kern w:val="24"/>
                                <w:sz w:val="18"/>
                                <w:szCs w:val="18"/>
                              </w:rPr>
                              <w:t>.</w:t>
                            </w:r>
                          </w:p>
                          <w:p w14:paraId="453A46F2" w14:textId="16E05FDE" w:rsidR="00077F67" w:rsidRPr="00DB734E" w:rsidRDefault="00077F67" w:rsidP="00077F67">
                            <w:pPr>
                              <w:spacing w:before="38"/>
                              <w:rPr>
                                <w:rFonts w:ascii="Franklin Gothic Book" w:hAnsi="Franklin Gothic Book" w:cs="Times New Roman"/>
                                <w:kern w:val="24"/>
                                <w:sz w:val="18"/>
                                <w:szCs w:val="18"/>
                              </w:rPr>
                            </w:pPr>
                            <w:r w:rsidRPr="00DB734E">
                              <w:rPr>
                                <w:rFonts w:ascii="Franklin Gothic Book" w:hAnsi="Franklin Gothic Book" w:cs="Times New Roman"/>
                                <w:b/>
                                <w:kern w:val="24"/>
                                <w:sz w:val="18"/>
                                <w:szCs w:val="18"/>
                              </w:rPr>
                              <w:t>Comparators:</w:t>
                            </w:r>
                            <w:r w:rsidRPr="00DB734E">
                              <w:rPr>
                                <w:rFonts w:ascii="Franklin Gothic Book" w:hAnsi="Franklin Gothic Book" w:cs="Times New Roman"/>
                                <w:kern w:val="24"/>
                                <w:sz w:val="18"/>
                                <w:szCs w:val="18"/>
                              </w:rPr>
                              <w:t xml:space="preserve"> AMC (Beth Israel Deaconess Medical Center, Tufts Medical Center, Boston Medical Center, Lahey Hospital and Medical Center, UMass Memorial Medical Center, Brigham and Women's Hospital, Massachusetts General Hospital), Community Hospitals Comparators: Newton-Wellesley Hospital (Beth Israel Deaconess Hospital – Needham, MetroWest Medical Center, Mount Auburn Hospital), North Shore Medical Center (Northeast Hospital (Beverly Hospital), MelroseWakefield Healthcare (formerly Hallmark Health), Cambridge Health Alliance, Winchester Hospital, Lawrence General Hospital) Brigham and Women's Faulkner Hospital (Steward Carney Hospital, Steward Norwood Hospital, Beth Israel Deaconess Hospital – Milton, Steward St. Elizabeth's Medical Center) </w:t>
                            </w:r>
                          </w:p>
                        </w:txbxContent>
                      </wps:txbx>
                      <wps:bodyPr wrap="square" anchor="b" anchorCtr="0">
                        <a:noAutofit/>
                      </wps:bodyPr>
                    </wps:wsp>
                  </a:graphicData>
                </a:graphic>
              </wp:inline>
            </w:drawing>
          </mc:Choice>
          <mc:Fallback>
            <w:pict>
              <v:rect w14:anchorId="525650FD" id="Text Placeholder 2" o:spid="_x0000_s1027" style="width:480.75pt;height:96.7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" filled="f" stroked="f">
                <v:path arrowok="t"/>
                <o:lock v:ext="edit" grouping="t"/>
                <v:textbox>
                  <w:txbxContent>
                    <w:p w14:paraId="2AD840CA" w14:textId="1253D93B" w:rsidR="00077F67" w:rsidRPr="00DB734E" w:rsidRDefault="00077F67" w:rsidP="00077F67">
                      <w:pPr>
                        <w:spacing w:before="38"/>
                        <w:rPr>
                          <w:rFonts w:ascii="Franklin Gothic Book" w:hAnsi="Franklin Gothic Book" w:cs="Times New Roman"/>
                          <w:kern w:val="24"/>
                          <w:sz w:val="18"/>
                          <w:szCs w:val="18"/>
                        </w:rPr>
                      </w:pPr>
                      <w:r w:rsidRPr="00DB734E">
                        <w:rPr>
                          <w:rFonts w:ascii="Franklin Gothic Book" w:hAnsi="Franklin Gothic Book" w:cs="Times New Roman"/>
                          <w:b/>
                          <w:kern w:val="24"/>
                          <w:sz w:val="18"/>
                          <w:szCs w:val="18"/>
                        </w:rPr>
                        <w:t>Source:</w:t>
                      </w:r>
                      <w:r w:rsidRPr="00DB734E">
                        <w:rPr>
                          <w:rFonts w:ascii="Franklin Gothic Book" w:hAnsi="Franklin Gothic Book" w:cs="Times New Roman"/>
                          <w:kern w:val="24"/>
                          <w:sz w:val="18"/>
                          <w:szCs w:val="18"/>
                        </w:rPr>
                        <w:t xml:space="preserve"> HPC analysis of CHIA</w:t>
                      </w:r>
                      <w:r w:rsidR="00087099" w:rsidRPr="00DB734E">
                        <w:rPr>
                          <w:rFonts w:ascii="Franklin Gothic Book" w:hAnsi="Franklin Gothic Book" w:cs="Times New Roman"/>
                          <w:kern w:val="24"/>
                          <w:sz w:val="18"/>
                          <w:szCs w:val="18"/>
                        </w:rPr>
                        <w:t xml:space="preserve"> Relative Price </w:t>
                      </w:r>
                      <w:proofErr w:type="spellStart"/>
                      <w:r w:rsidR="00087099" w:rsidRPr="00DB734E">
                        <w:rPr>
                          <w:rFonts w:ascii="Franklin Gothic Book" w:hAnsi="Franklin Gothic Book" w:cs="Times New Roman"/>
                          <w:kern w:val="24"/>
                          <w:sz w:val="18"/>
                          <w:szCs w:val="18"/>
                        </w:rPr>
                        <w:t>Databook</w:t>
                      </w:r>
                      <w:proofErr w:type="spellEnd"/>
                      <w:r w:rsidRPr="00DB734E">
                        <w:rPr>
                          <w:rFonts w:ascii="Franklin Gothic Book" w:hAnsi="Franklin Gothic Book" w:cs="Times New Roman"/>
                          <w:kern w:val="24"/>
                          <w:sz w:val="18"/>
                          <w:szCs w:val="18"/>
                        </w:rPr>
                        <w:t xml:space="preserve"> 2019</w:t>
                      </w:r>
                      <w:r w:rsidR="00087099" w:rsidRPr="00DB734E">
                        <w:rPr>
                          <w:rFonts w:ascii="Franklin Gothic Book" w:hAnsi="Franklin Gothic Book" w:cs="Times New Roman"/>
                          <w:kern w:val="24"/>
                          <w:sz w:val="18"/>
                          <w:szCs w:val="18"/>
                        </w:rPr>
                        <w:t>.</w:t>
                      </w:r>
                    </w:p>
                    <w:p w14:paraId="453A46F2" w14:textId="16E05FDE" w:rsidR="00077F67" w:rsidRPr="00DB734E" w:rsidRDefault="00077F67" w:rsidP="00077F67">
                      <w:pPr>
                        <w:spacing w:before="38"/>
                        <w:rPr>
                          <w:rFonts w:ascii="Franklin Gothic Book" w:hAnsi="Franklin Gothic Book" w:cs="Times New Roman"/>
                          <w:kern w:val="24"/>
                          <w:sz w:val="18"/>
                          <w:szCs w:val="18"/>
                        </w:rPr>
                      </w:pPr>
                      <w:r w:rsidRPr="00DB734E">
                        <w:rPr>
                          <w:rFonts w:ascii="Franklin Gothic Book" w:hAnsi="Franklin Gothic Book" w:cs="Times New Roman"/>
                          <w:b/>
                          <w:kern w:val="24"/>
                          <w:sz w:val="18"/>
                          <w:szCs w:val="18"/>
                        </w:rPr>
                        <w:t>Comparators:</w:t>
                      </w:r>
                      <w:r w:rsidRPr="00DB734E">
                        <w:rPr>
                          <w:rFonts w:ascii="Franklin Gothic Book" w:hAnsi="Franklin Gothic Book" w:cs="Times New Roman"/>
                          <w:kern w:val="24"/>
                          <w:sz w:val="18"/>
                          <w:szCs w:val="18"/>
                        </w:rPr>
                        <w:t xml:space="preserve"> AMC (Beth Israel Deaconess Medical Center, Tufts Medical Center, Boston Medical Center, Lahey Hospital and Medical Center, UMass Memorial Medical Center, Brigham and Women's Hospital, Massachusetts General Hospital), Community Hospitals Comparators: Newton-Wellesley Hospital (Beth Israel Deaconess Hospital – Needham, </w:t>
                      </w:r>
                      <w:proofErr w:type="spellStart"/>
                      <w:r w:rsidRPr="00DB734E">
                        <w:rPr>
                          <w:rFonts w:ascii="Franklin Gothic Book" w:hAnsi="Franklin Gothic Book" w:cs="Times New Roman"/>
                          <w:kern w:val="24"/>
                          <w:sz w:val="18"/>
                          <w:szCs w:val="18"/>
                        </w:rPr>
                        <w:t>MetroWest</w:t>
                      </w:r>
                      <w:proofErr w:type="spellEnd"/>
                      <w:r w:rsidRPr="00DB734E">
                        <w:rPr>
                          <w:rFonts w:ascii="Franklin Gothic Book" w:hAnsi="Franklin Gothic Book" w:cs="Times New Roman"/>
                          <w:kern w:val="24"/>
                          <w:sz w:val="18"/>
                          <w:szCs w:val="18"/>
                        </w:rPr>
                        <w:t xml:space="preserve"> Medical Center, Mount Auburn Hospital), North Shore Medical Center (Northeast Hospital (Beverly Hospital), </w:t>
                      </w:r>
                      <w:proofErr w:type="spellStart"/>
                      <w:r w:rsidRPr="00DB734E">
                        <w:rPr>
                          <w:rFonts w:ascii="Franklin Gothic Book" w:hAnsi="Franklin Gothic Book" w:cs="Times New Roman"/>
                          <w:kern w:val="24"/>
                          <w:sz w:val="18"/>
                          <w:szCs w:val="18"/>
                        </w:rPr>
                        <w:t>MelroseWakefield</w:t>
                      </w:r>
                      <w:proofErr w:type="spellEnd"/>
                      <w:r w:rsidRPr="00DB734E">
                        <w:rPr>
                          <w:rFonts w:ascii="Franklin Gothic Book" w:hAnsi="Franklin Gothic Book" w:cs="Times New Roman"/>
                          <w:kern w:val="24"/>
                          <w:sz w:val="18"/>
                          <w:szCs w:val="18"/>
                        </w:rPr>
                        <w:t xml:space="preserve"> Healthcare (formerly Hallmark Health), Cambridge Health Alliance, Winchester Hospital, Lawrence General Hospital) Brigham and Women's Faulkner Hospital (Steward Carney Hospital, Steward Norwood Hospital, Beth Israel Deaconess Hospital – Milton, Steward St. Elizabeth's Medical Center) </w:t>
                      </w:r>
                    </w:p>
                  </w:txbxContent>
                </v:textbox>
                <w10:anchorlock/>
              </v:rect>
            </w:pict>
          </mc:Fallback>
        </mc:AlternateContent>
      </w:r>
      <w:r w:rsidR="000878AA" w:rsidRPr="009C0C39">
        <w:rPr>
          <w:rFonts w:ascii="Franklin Gothic Book" w:hAnsi="Franklin Gothic Book" w:cs="Times New Roman"/>
          <w:b/>
          <w:bCs/>
          <w:noProof/>
          <w:sz w:val="22"/>
          <w:szCs w:val="22"/>
        </w:rPr>
        <w:drawing>
          <wp:inline distT="0" distB="0" distL="0" distR="0" wp14:anchorId="6147A15A" wp14:editId="433AD6DB">
            <wp:extent cx="5943600" cy="3903345"/>
            <wp:effectExtent l="0" t="0" r="0" b="1905"/>
            <wp:docPr id="2053" name="Picture 20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53" descr="Chart, scatt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903345"/>
                    </a:xfrm>
                    <a:prstGeom prst="rect">
                      <a:avLst/>
                    </a:prstGeom>
                  </pic:spPr>
                </pic:pic>
              </a:graphicData>
            </a:graphic>
          </wp:inline>
        </w:drawing>
      </w:r>
    </w:p>
    <w:p w14:paraId="0D5DA792" w14:textId="77777777" w:rsidR="00DB734E" w:rsidRDefault="00DB734E">
      <w:pPr>
        <w:spacing w:after="160" w:line="259" w:lineRule="auto"/>
        <w:rPr>
          <w:rFonts w:ascii="Franklin Gothic Book" w:hAnsi="Franklin Gothic Book" w:cs="Times New Roman"/>
          <w:b/>
          <w:bCs/>
          <w:sz w:val="22"/>
          <w:szCs w:val="22"/>
        </w:rPr>
      </w:pPr>
      <w:r>
        <w:rPr>
          <w:rFonts w:ascii="Franklin Gothic Book" w:hAnsi="Franklin Gothic Book" w:cs="Times New Roman"/>
          <w:b/>
          <w:bCs/>
          <w:sz w:val="22"/>
          <w:szCs w:val="22"/>
        </w:rPr>
        <w:br w:type="page"/>
      </w:r>
    </w:p>
    <w:p w14:paraId="469B9BE6" w14:textId="7581BDDC" w:rsidR="00CF1302" w:rsidRPr="009C0C39" w:rsidRDefault="00CF1302" w:rsidP="00CF1302">
      <w:pPr>
        <w:ind w:right="-630"/>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Average Price of GI Endoscopy in a HOPD by Hospital, 2018, With Percent Change in Price, 2016 – 2018</w:t>
      </w:r>
    </w:p>
    <w:p w14:paraId="1ECCD405" w14:textId="77777777" w:rsidR="000878AA" w:rsidRPr="009C0C39" w:rsidRDefault="000878AA" w:rsidP="00CF1302">
      <w:pPr>
        <w:ind w:right="-630"/>
        <w:jc w:val="center"/>
        <w:rPr>
          <w:rFonts w:ascii="Franklin Gothic Book" w:hAnsi="Franklin Gothic Book" w:cs="Times New Roman"/>
          <w:b/>
          <w:bCs/>
          <w:sz w:val="22"/>
          <w:szCs w:val="22"/>
        </w:rPr>
      </w:pPr>
    </w:p>
    <w:p w14:paraId="63F7391B" w14:textId="14670FFF" w:rsidR="00CF1302" w:rsidRPr="009C0C39" w:rsidRDefault="000878AA" w:rsidP="00CF1302">
      <w:pPr>
        <w:ind w:right="-630"/>
        <w:jc w:val="center"/>
        <w:rPr>
          <w:rFonts w:ascii="Franklin Gothic Book" w:hAnsi="Franklin Gothic Book" w:cs="Times New Roman"/>
          <w:b/>
          <w:bCs/>
          <w:sz w:val="22"/>
          <w:szCs w:val="22"/>
        </w:rPr>
      </w:pPr>
      <w:r w:rsidRPr="009C0C39">
        <w:rPr>
          <w:rFonts w:ascii="Franklin Gothic Book" w:hAnsi="Franklin Gothic Book" w:cs="Times New Roman"/>
          <w:b/>
          <w:bCs/>
          <w:noProof/>
          <w:sz w:val="22"/>
          <w:szCs w:val="22"/>
        </w:rPr>
        <w:drawing>
          <wp:inline distT="0" distB="0" distL="0" distR="0" wp14:anchorId="7C0BCF86" wp14:editId="6FA9DFF3">
            <wp:extent cx="5943600" cy="3884930"/>
            <wp:effectExtent l="0" t="0" r="0" b="1270"/>
            <wp:docPr id="2054" name="Picture 205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2054" descr="Chart, ba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884930"/>
                    </a:xfrm>
                    <a:prstGeom prst="rect">
                      <a:avLst/>
                    </a:prstGeom>
                  </pic:spPr>
                </pic:pic>
              </a:graphicData>
            </a:graphic>
          </wp:inline>
        </w:drawing>
      </w:r>
    </w:p>
    <w:p w14:paraId="7DF00785" w14:textId="7369DC99" w:rsidR="00CF1302" w:rsidRPr="009C0C39" w:rsidRDefault="00CF1302" w:rsidP="00CF1302">
      <w:pPr>
        <w:ind w:right="-630"/>
        <w:jc w:val="center"/>
        <w:rPr>
          <w:rFonts w:ascii="Franklin Gothic Book" w:hAnsi="Franklin Gothic Book" w:cs="Times New Roman"/>
          <w:b/>
          <w:bCs/>
          <w:sz w:val="22"/>
          <w:szCs w:val="22"/>
        </w:rPr>
      </w:pPr>
    </w:p>
    <w:p w14:paraId="1FF2C5BA" w14:textId="3F40C8A0" w:rsidR="00CF1302" w:rsidRPr="009C0C39" w:rsidRDefault="00DB734E" w:rsidP="00CF1302">
      <w:pPr>
        <w:spacing w:after="160" w:line="259" w:lineRule="auto"/>
        <w:rPr>
          <w:rFonts w:ascii="Franklin Gothic Book" w:hAnsi="Franklin Gothic Book"/>
          <w:sz w:val="22"/>
          <w:szCs w:val="22"/>
        </w:rPr>
      </w:pPr>
      <w:r w:rsidRPr="009C0C39">
        <w:rPr>
          <w:rFonts w:ascii="Franklin Gothic Book" w:hAnsi="Franklin Gothic Book" w:cs="Times New Roman"/>
          <w:b/>
          <w:bCs/>
          <w:noProof/>
          <w:sz w:val="22"/>
          <w:szCs w:val="22"/>
        </w:rPr>
        <mc:AlternateContent>
          <mc:Choice Requires="wps">
            <w:drawing>
              <wp:inline distT="0" distB="0" distL="0" distR="0" wp14:anchorId="190903A1" wp14:editId="7C7688A8">
                <wp:extent cx="5943600" cy="962025"/>
                <wp:effectExtent l="0" t="0" r="0" b="0"/>
                <wp:docPr id="31"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43600" cy="962025"/>
                        </a:xfrm>
                        <a:prstGeom prst="rect">
                          <a:avLst/>
                        </a:prstGeom>
                      </wps:spPr>
                      <wps:txbx>
                        <w:txbxContent>
                          <w:p w14:paraId="3252251C" w14:textId="69A16733" w:rsidR="00CF1302" w:rsidRPr="00DB734E" w:rsidRDefault="00CF1302" w:rsidP="00CF1302">
                            <w:pPr>
                              <w:spacing w:before="38"/>
                              <w:rPr>
                                <w:rFonts w:ascii="Franklin Gothic Book" w:hAnsi="Franklin Gothic Book" w:cs="Times New Roman"/>
                                <w:kern w:val="24"/>
                                <w:sz w:val="18"/>
                                <w:szCs w:val="18"/>
                              </w:rPr>
                            </w:pPr>
                            <w:r w:rsidRPr="00DB734E">
                              <w:rPr>
                                <w:rFonts w:ascii="Franklin Gothic Book" w:hAnsi="Franklin Gothic Book" w:cs="Times New Roman"/>
                                <w:b/>
                                <w:kern w:val="24"/>
                                <w:sz w:val="18"/>
                                <w:szCs w:val="18"/>
                              </w:rPr>
                              <w:t>Sources:</w:t>
                            </w:r>
                            <w:r w:rsidRPr="00DB734E">
                              <w:rPr>
                                <w:rFonts w:ascii="Franklin Gothic Book" w:hAnsi="Franklin Gothic Book" w:cs="Times New Roman"/>
                                <w:kern w:val="24"/>
                                <w:sz w:val="18"/>
                                <w:szCs w:val="18"/>
                              </w:rPr>
                              <w:t xml:space="preserve"> HPC analysis of CHIA APCD 2016-2018</w:t>
                            </w:r>
                            <w:r w:rsidR="005241F5" w:rsidRPr="00DB734E">
                              <w:rPr>
                                <w:rFonts w:ascii="Franklin Gothic Book" w:hAnsi="Franklin Gothic Book" w:cs="Times New Roman"/>
                                <w:kern w:val="24"/>
                                <w:sz w:val="18"/>
                                <w:szCs w:val="18"/>
                              </w:rPr>
                              <w:t>.</w:t>
                            </w:r>
                          </w:p>
                          <w:p w14:paraId="146679DE" w14:textId="326D939C" w:rsidR="00CF1302" w:rsidRPr="00DB734E" w:rsidRDefault="00CF1302" w:rsidP="00CF1302">
                            <w:pPr>
                              <w:spacing w:before="38"/>
                              <w:rPr>
                                <w:rFonts w:ascii="Franklin Gothic Book" w:hAnsi="Franklin Gothic Book" w:cs="Times New Roman"/>
                                <w:b/>
                                <w:kern w:val="24"/>
                                <w:sz w:val="18"/>
                                <w:szCs w:val="18"/>
                              </w:rPr>
                            </w:pPr>
                            <w:r w:rsidRPr="00DB734E">
                              <w:rPr>
                                <w:rFonts w:ascii="Franklin Gothic Book" w:hAnsi="Franklin Gothic Book" w:cs="Times New Roman"/>
                                <w:b/>
                                <w:kern w:val="24"/>
                                <w:sz w:val="18"/>
                                <w:szCs w:val="18"/>
                              </w:rPr>
                              <w:t xml:space="preserve">Notes: </w:t>
                            </w:r>
                            <w:r w:rsidRPr="00DB734E">
                              <w:rPr>
                                <w:rFonts w:ascii="Franklin Gothic Book" w:hAnsi="Franklin Gothic Book" w:cs="Times New Roman"/>
                                <w:bCs/>
                                <w:kern w:val="24"/>
                                <w:sz w:val="18"/>
                                <w:szCs w:val="18"/>
                              </w:rPr>
                              <w:t>Prices reflect encounters (same person, same date of service, same procedure code) to capture the potential for both facility and professional claims billed on the same day. GI endoscopy (CPT 43239, ‘Esophagogastroduodenoscopy’). Prices for services paid under global payment arrangements or other non-fee-for-service methods are not included in the calculation of average price. Percent change in average price by HOPD between 2016 and 2018 is listed in grey above each price bar.</w:t>
                            </w:r>
                          </w:p>
                        </w:txbxContent>
                      </wps:txbx>
                      <wps:bodyPr wrap="square" anchor="b" anchorCtr="0">
                        <a:noAutofit/>
                      </wps:bodyPr>
                    </wps:wsp>
                  </a:graphicData>
                </a:graphic>
              </wp:inline>
            </w:drawing>
          </mc:Choice>
          <mc:Fallback>
            <w:pict>
              <v:rect w14:anchorId="190903A1" id="_x0000_s1028" style="width:468pt;height:75.7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" filled="f" stroked="f">
                <v:path arrowok="t"/>
                <o:lock v:ext="edit" grouping="t"/>
                <v:textbox>
                  <w:txbxContent>
                    <w:p w14:paraId="3252251C" w14:textId="69A16733" w:rsidR="00CF1302" w:rsidRPr="00DB734E" w:rsidRDefault="00CF1302" w:rsidP="00CF1302">
                      <w:pPr>
                        <w:spacing w:before="38"/>
                        <w:rPr>
                          <w:rFonts w:ascii="Franklin Gothic Book" w:hAnsi="Franklin Gothic Book" w:cs="Times New Roman"/>
                          <w:kern w:val="24"/>
                          <w:sz w:val="18"/>
                          <w:szCs w:val="18"/>
                        </w:rPr>
                      </w:pPr>
                      <w:r w:rsidRPr="00DB734E">
                        <w:rPr>
                          <w:rFonts w:ascii="Franklin Gothic Book" w:hAnsi="Franklin Gothic Book" w:cs="Times New Roman"/>
                          <w:b/>
                          <w:kern w:val="24"/>
                          <w:sz w:val="18"/>
                          <w:szCs w:val="18"/>
                        </w:rPr>
                        <w:t>Sources:</w:t>
                      </w:r>
                      <w:r w:rsidRPr="00DB734E">
                        <w:rPr>
                          <w:rFonts w:ascii="Franklin Gothic Book" w:hAnsi="Franklin Gothic Book" w:cs="Times New Roman"/>
                          <w:kern w:val="24"/>
                          <w:sz w:val="18"/>
                          <w:szCs w:val="18"/>
                        </w:rPr>
                        <w:t xml:space="preserve"> HPC analysis of CHIA APCD 2016-2018</w:t>
                      </w:r>
                      <w:r w:rsidR="005241F5" w:rsidRPr="00DB734E">
                        <w:rPr>
                          <w:rFonts w:ascii="Franklin Gothic Book" w:hAnsi="Franklin Gothic Book" w:cs="Times New Roman"/>
                          <w:kern w:val="24"/>
                          <w:sz w:val="18"/>
                          <w:szCs w:val="18"/>
                        </w:rPr>
                        <w:t>.</w:t>
                      </w:r>
                    </w:p>
                    <w:p w14:paraId="146679DE" w14:textId="326D939C" w:rsidR="00CF1302" w:rsidRPr="00DB734E" w:rsidRDefault="00CF1302" w:rsidP="00CF1302">
                      <w:pPr>
                        <w:spacing w:before="38"/>
                        <w:rPr>
                          <w:rFonts w:ascii="Franklin Gothic Book" w:hAnsi="Franklin Gothic Book" w:cs="Times New Roman"/>
                          <w:b/>
                          <w:kern w:val="24"/>
                          <w:sz w:val="18"/>
                          <w:szCs w:val="18"/>
                        </w:rPr>
                      </w:pPr>
                      <w:r w:rsidRPr="00DB734E">
                        <w:rPr>
                          <w:rFonts w:ascii="Franklin Gothic Book" w:hAnsi="Franklin Gothic Book" w:cs="Times New Roman"/>
                          <w:b/>
                          <w:kern w:val="24"/>
                          <w:sz w:val="18"/>
                          <w:szCs w:val="18"/>
                        </w:rPr>
                        <w:t xml:space="preserve">Notes: </w:t>
                      </w:r>
                      <w:r w:rsidRPr="00DB734E">
                        <w:rPr>
                          <w:rFonts w:ascii="Franklin Gothic Book" w:hAnsi="Franklin Gothic Book" w:cs="Times New Roman"/>
                          <w:bCs/>
                          <w:kern w:val="24"/>
                          <w:sz w:val="18"/>
                          <w:szCs w:val="18"/>
                        </w:rPr>
                        <w:t>Prices reflect encounters (same person, same date of service, same procedure code) to capture the potential for both facility and professional claims billed on the same day. GI endoscopy (CPT 43239, ‘Esophagogastroduodenoscopy’). Prices for services paid under global payment arrangements or other non-fee-for-service methods are not included in the calculation of average price. Percent change in average price by HOPD between 2016 and 2018 is listed in grey above each price bar.</w:t>
                      </w:r>
                    </w:p>
                  </w:txbxContent>
                </v:textbox>
                <w10:anchorlock/>
              </v:rect>
            </w:pict>
          </mc:Fallback>
        </mc:AlternateContent>
      </w:r>
    </w:p>
    <w:p w14:paraId="78808996" w14:textId="0292D69E" w:rsidR="00F254DD" w:rsidRPr="009C0C39" w:rsidRDefault="00991062" w:rsidP="00CF1302">
      <w:pPr>
        <w:spacing w:after="160" w:line="259" w:lineRule="auto"/>
        <w:rPr>
          <w:rFonts w:ascii="Franklin Gothic Book" w:hAnsi="Franklin Gothic Book" w:cs="Times New Roman"/>
          <w:b/>
          <w:bCs/>
          <w:sz w:val="22"/>
          <w:szCs w:val="22"/>
        </w:rPr>
      </w:pPr>
      <w:r w:rsidRPr="009C0C39">
        <w:rPr>
          <w:rFonts w:ascii="Franklin Gothic Book" w:hAnsi="Franklin Gothic Book"/>
          <w:sz w:val="22"/>
          <w:szCs w:val="22"/>
        </w:rPr>
        <w:br w:type="column"/>
      </w:r>
      <w:bookmarkStart w:id="119" w:name="Appendix_IIC"/>
      <w:r w:rsidR="00F254DD" w:rsidRPr="009C0C39">
        <w:rPr>
          <w:rFonts w:ascii="Franklin Gothic Book" w:hAnsi="Franklin Gothic Book" w:cs="Times New Roman"/>
          <w:b/>
          <w:bCs/>
          <w:sz w:val="22"/>
          <w:szCs w:val="22"/>
        </w:rPr>
        <w:lastRenderedPageBreak/>
        <w:t>Appendix II.C: Hospital and Physician Quality Measures and MGB Case Mix</w:t>
      </w:r>
    </w:p>
    <w:p w14:paraId="762B344D" w14:textId="77777777" w:rsidR="00F254DD" w:rsidRPr="009C0C39" w:rsidRDefault="00F254DD" w:rsidP="00F254DD">
      <w:pPr>
        <w:rPr>
          <w:rFonts w:ascii="Franklin Gothic Book" w:hAnsi="Franklin Gothic Book" w:cs="Times New Roman"/>
          <w:i/>
          <w:iCs/>
          <w:sz w:val="22"/>
          <w:szCs w:val="22"/>
        </w:rPr>
      </w:pPr>
      <w:r w:rsidRPr="009C0C39">
        <w:rPr>
          <w:rFonts w:ascii="Franklin Gothic Book" w:hAnsi="Franklin Gothic Book" w:cs="Times New Roman"/>
          <w:i/>
          <w:iCs/>
          <w:sz w:val="22"/>
          <w:szCs w:val="22"/>
        </w:rPr>
        <w:t>MGB Hospital Quality and Acuity Mix</w:t>
      </w:r>
    </w:p>
    <w:p w14:paraId="72827511" w14:textId="77777777" w:rsidR="00F254DD" w:rsidRPr="009C0C39" w:rsidRDefault="00F254DD" w:rsidP="00F254DD">
      <w:pPr>
        <w:rPr>
          <w:rFonts w:ascii="Franklin Gothic Book" w:hAnsi="Franklin Gothic Book" w:cs="Times New Roman"/>
          <w:sz w:val="22"/>
          <w:szCs w:val="22"/>
        </w:rPr>
      </w:pPr>
    </w:p>
    <w:p w14:paraId="11D1FA33" w14:textId="77777777" w:rsidR="00F254DD" w:rsidRPr="009C0C39" w:rsidRDefault="00F254DD" w:rsidP="005241F5">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evaluated hospital quality by examining three composite outcomes measures that evaluate risk-adjusted inpatient mortality for certain procedures and conditions (IQI 90 and IQI 91, respectively) and observed-to-expected ratios for 11 measures of patient safety and adverse events (PSI 90).</w:t>
      </w:r>
      <w:r w:rsidRPr="009C0C39">
        <w:rPr>
          <w:rStyle w:val="FootnoteReference"/>
          <w:rFonts w:ascii="Franklin Gothic Book" w:hAnsi="Franklin Gothic Book" w:cs="Times New Roman"/>
          <w:sz w:val="22"/>
          <w:szCs w:val="22"/>
        </w:rPr>
        <w:footnoteReference w:id="212"/>
      </w:r>
      <w:r w:rsidRPr="009C0C39">
        <w:rPr>
          <w:rFonts w:ascii="Franklin Gothic Book" w:hAnsi="Franklin Gothic Book" w:cs="Times New Roman"/>
          <w:sz w:val="22"/>
          <w:szCs w:val="22"/>
        </w:rPr>
        <w:t xml:space="preserve"> Measure results were calculated based on the 2019 CHIA Hospital Discharge Database, and we compared identified lower or higher hospital performance on each measure based on whether a given hospital’s performance was statistically significantly different (i.e., outside of the confidence interval) compared to statewide average performance. On the IQI 90, all MGB hospitals performed in line with the statewide average. On IQI 91, MGH and BWH performed below the statewide average; the remaining MGB hospitals performed in line with the statewide average. On the PSI 90, BWH and Newton-Wellesley Hospital performed above the statewide average; they were the only two hospitals in the state to perform above the statewide average.</w:t>
      </w:r>
    </w:p>
    <w:p w14:paraId="3F783518" w14:textId="77777777" w:rsidR="00F254DD" w:rsidRPr="009C0C39" w:rsidRDefault="00F254DD" w:rsidP="00F254DD">
      <w:pPr>
        <w:rPr>
          <w:rFonts w:ascii="Franklin Gothic Book" w:hAnsi="Franklin Gothic Book" w:cs="Times New Roman"/>
          <w:sz w:val="22"/>
          <w:szCs w:val="22"/>
        </w:rPr>
      </w:pPr>
    </w:p>
    <w:p w14:paraId="0199A6E6" w14:textId="77777777" w:rsidR="00F254DD" w:rsidRPr="009C0C39" w:rsidRDefault="00F254DD" w:rsidP="005241F5">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We also obtained performance data from CMS for two global measures of patient experience in hospitals: Overall Rating of Hospital and Willingness to Recommend Hospital.</w:t>
      </w:r>
      <w:r w:rsidRPr="009C0C39">
        <w:rPr>
          <w:rStyle w:val="FootnoteReference"/>
          <w:rFonts w:ascii="Franklin Gothic Book" w:hAnsi="Franklin Gothic Book" w:cs="Times New Roman"/>
          <w:sz w:val="22"/>
          <w:szCs w:val="22"/>
        </w:rPr>
        <w:footnoteReference w:id="213"/>
      </w:r>
      <w:r w:rsidRPr="009C0C39">
        <w:rPr>
          <w:rFonts w:ascii="Franklin Gothic Book" w:hAnsi="Franklin Gothic Book" w:cs="Times New Roman"/>
          <w:sz w:val="22"/>
          <w:szCs w:val="22"/>
        </w:rPr>
        <w:t xml:space="preserve"> We analyzed “top-box” response rates for each measure. The “top-box” score indicates how often patients selected the most positive response category when asked about their hospital experience. Responses of either “9” or “10” are considered top-box for the Overall Rating of Hospital measure; a response of “Definitely yes” is considered top-box for the Willingness to Recommend Hospital measure. Six of MGB’s nine acute care hospitals performed above the statewide average on both measures in 2019. One MGB hospital, North Shore Medical Center, performed below the statewide average on patients’ overall rating of the hospital and no MGB hospitals performed below the statewide average on patients’ willingness to recommend the hospital.</w:t>
      </w:r>
    </w:p>
    <w:p w14:paraId="7EA47C79" w14:textId="77777777" w:rsidR="00F254DD" w:rsidRPr="009C0C39" w:rsidRDefault="00F254DD" w:rsidP="00F254DD">
      <w:pPr>
        <w:rPr>
          <w:rFonts w:ascii="Franklin Gothic Book" w:hAnsi="Franklin Gothic Book" w:cs="Times New Roman"/>
          <w:sz w:val="22"/>
          <w:szCs w:val="22"/>
        </w:rPr>
      </w:pPr>
    </w:p>
    <w:p w14:paraId="074833A2" w14:textId="77777777" w:rsidR="00F254DD" w:rsidRPr="009C0C39" w:rsidRDefault="00F254DD" w:rsidP="005241F5">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assessed the acuity mix of patient care delivered at MGB hospitals as compared to all other hospitals in Massachusetts by examining the case weight of primary Medicare Diagnosis Related Group (DRG) codes for discharges in the CHIA 2019 Hospital Discharge Database. Higher case weights are given to DRGs for higher-acuity care. The HPC found that MGB hospitals, like all other Massachusetts hospitals, treat substantial amounts of lower-acuity inpatient care in addition to higher-acuity care. Excluding normal newborns, patients with primary behavioral health DRG codes, and non-Massachusetts residents, the HPC sorted all discharges by Medicare DRG weight into quintiles, with the bottom quintile reflecting the 20% of lowest-acuity DRGs and the top quintile reflecting the 20% of highest-acuity DRGs. On an all-payer basis, the three lower quintiles account for 71% of discharges and 58% of patient days for Massachusetts hospitals statewide, and 69% of discharges and 53% of patient days for MGB hospitals. Although the proportion of lower-acuity care is somewhat smaller for MGH (64% of discharges, 47% of bed days), these data suggest that most patients using MGH and Faulkner could receive inpatient care at other Massachusetts hospitals.</w:t>
      </w:r>
    </w:p>
    <w:p w14:paraId="77F18EA9" w14:textId="77777777" w:rsidR="00F254DD" w:rsidRPr="009C0C39" w:rsidRDefault="00F254DD" w:rsidP="00F254DD">
      <w:pPr>
        <w:rPr>
          <w:rFonts w:ascii="Franklin Gothic Book" w:hAnsi="Franklin Gothic Book" w:cs="Times New Roman"/>
          <w:sz w:val="22"/>
          <w:szCs w:val="22"/>
        </w:rPr>
      </w:pPr>
    </w:p>
    <w:p w14:paraId="08FAEE2C" w14:textId="77777777" w:rsidR="00F254DD" w:rsidRPr="009C0C39" w:rsidRDefault="00F254DD" w:rsidP="00F254DD">
      <w:pPr>
        <w:rPr>
          <w:rFonts w:ascii="Franklin Gothic Book" w:hAnsi="Franklin Gothic Book" w:cs="Times New Roman"/>
          <w:i/>
          <w:iCs/>
          <w:sz w:val="22"/>
          <w:szCs w:val="22"/>
        </w:rPr>
      </w:pPr>
      <w:r w:rsidRPr="009C0C39">
        <w:rPr>
          <w:rFonts w:ascii="Franklin Gothic Book" w:hAnsi="Franklin Gothic Book" w:cs="Times New Roman"/>
          <w:i/>
          <w:iCs/>
          <w:sz w:val="22"/>
          <w:szCs w:val="22"/>
        </w:rPr>
        <w:t>MGB Physician Group Quality</w:t>
      </w:r>
    </w:p>
    <w:p w14:paraId="1D8FBC5E" w14:textId="77777777" w:rsidR="00F254DD" w:rsidRPr="009C0C39" w:rsidRDefault="00F254DD" w:rsidP="00F254DD">
      <w:pPr>
        <w:rPr>
          <w:rFonts w:ascii="Franklin Gothic Book" w:hAnsi="Franklin Gothic Book" w:cs="Times New Roman"/>
          <w:sz w:val="22"/>
          <w:szCs w:val="22"/>
        </w:rPr>
      </w:pPr>
    </w:p>
    <w:p w14:paraId="2E3A2656" w14:textId="77777777" w:rsidR="00F254DD" w:rsidRPr="009C0C39" w:rsidRDefault="00F254DD" w:rsidP="005241F5">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For physician quality performance, we examined the performance of MGB physician groups on 27 NCQA Healthcare Effectiveness Data and Information Set (HEDIS) measures as reported by </w:t>
      </w:r>
      <w:r w:rsidRPr="009C0C39">
        <w:rPr>
          <w:rFonts w:ascii="Franklin Gothic Book" w:hAnsi="Franklin Gothic Book" w:cs="Times New Roman"/>
          <w:sz w:val="22"/>
          <w:szCs w:val="22"/>
        </w:rPr>
        <w:lastRenderedPageBreak/>
        <w:t>CHIA.</w:t>
      </w:r>
      <w:r w:rsidRPr="009C0C39">
        <w:rPr>
          <w:rStyle w:val="FootnoteReference"/>
          <w:rFonts w:ascii="Franklin Gothic Book" w:hAnsi="Franklin Gothic Book" w:cs="Times New Roman"/>
          <w:sz w:val="22"/>
          <w:szCs w:val="22"/>
        </w:rPr>
        <w:footnoteReference w:id="214"/>
      </w:r>
      <w:r w:rsidRPr="009C0C39">
        <w:rPr>
          <w:rFonts w:ascii="Franklin Gothic Book" w:hAnsi="Franklin Gothic Book" w:cs="Times New Roman"/>
          <w:sz w:val="22"/>
          <w:szCs w:val="22"/>
        </w:rPr>
        <w:t xml:space="preserve"> MGB physician groups performed above the statewide average on four of the 27 measures and worse than the statewide average on eight of the 27 measures.</w:t>
      </w:r>
    </w:p>
    <w:p w14:paraId="07DD6FF6" w14:textId="77777777" w:rsidR="00F254DD" w:rsidRPr="009C0C39" w:rsidRDefault="00F254DD" w:rsidP="00F254DD">
      <w:pPr>
        <w:rPr>
          <w:rFonts w:ascii="Franklin Gothic Book" w:hAnsi="Franklin Gothic Book" w:cs="Times New Roman"/>
          <w:sz w:val="22"/>
          <w:szCs w:val="22"/>
        </w:rPr>
      </w:pPr>
    </w:p>
    <w:p w14:paraId="551CE51E" w14:textId="77777777" w:rsidR="00F254DD" w:rsidRPr="009C0C39" w:rsidRDefault="00F254DD" w:rsidP="005241F5">
      <w:pPr>
        <w:ind w:firstLine="720"/>
        <w:rPr>
          <w:rFonts w:ascii="Franklin Gothic Book" w:hAnsi="Franklin Gothic Book"/>
          <w:sz w:val="22"/>
          <w:szCs w:val="22"/>
        </w:rPr>
      </w:pPr>
      <w:r w:rsidRPr="009C0C39">
        <w:rPr>
          <w:rFonts w:ascii="Franklin Gothic Book" w:eastAsiaTheme="minorHAnsi" w:hAnsi="Franklin Gothic Book" w:cs="Times New Roman"/>
          <w:sz w:val="22"/>
          <w:szCs w:val="22"/>
        </w:rPr>
        <w:t>We also examined 14 adult and 17 pediatric measures of primary care patient experience as reported by CHIA.</w:t>
      </w:r>
      <w:r w:rsidRPr="009C0C39">
        <w:rPr>
          <w:rStyle w:val="FootnoteReference"/>
          <w:rFonts w:ascii="Franklin Gothic Book" w:eastAsiaTheme="minorHAnsi" w:hAnsi="Franklin Gothic Book" w:cs="Times New Roman"/>
          <w:sz w:val="22"/>
          <w:szCs w:val="22"/>
        </w:rPr>
        <w:footnoteReference w:id="215"/>
      </w:r>
      <w:r w:rsidRPr="009C0C39">
        <w:rPr>
          <w:rFonts w:ascii="Franklin Gothic Book" w:eastAsiaTheme="minorHAnsi" w:hAnsi="Franklin Gothic Book" w:cs="Times New Roman"/>
          <w:sz w:val="22"/>
          <w:szCs w:val="22"/>
        </w:rPr>
        <w:t xml:space="preserve"> On adult primary care patient experience measures, MGB practices performed better than the statewide average on 9 measures and comparable to the statewide average on 5 measures. On pediatric primary care patient experience measures, MGB practices performed better than the statewide average on one measure and comparable to the statewide average on 16 measures.</w:t>
      </w:r>
    </w:p>
    <w:p w14:paraId="508E84F1" w14:textId="77777777" w:rsidR="00F254DD" w:rsidRPr="009C0C39" w:rsidRDefault="00F254DD" w:rsidP="00F254DD">
      <w:pPr>
        <w:spacing w:after="160" w:line="259" w:lineRule="auto"/>
        <w:rPr>
          <w:rFonts w:ascii="Franklin Gothic Book" w:hAnsi="Franklin Gothic Book"/>
          <w:sz w:val="22"/>
          <w:szCs w:val="22"/>
        </w:rPr>
      </w:pPr>
    </w:p>
    <w:p w14:paraId="068EF19D" w14:textId="77777777" w:rsidR="00F254DD" w:rsidRPr="009C0C39" w:rsidRDefault="00F254DD" w:rsidP="00F254DD">
      <w:pPr>
        <w:spacing w:after="160" w:line="259" w:lineRule="auto"/>
        <w:rPr>
          <w:rFonts w:ascii="Franklin Gothic Book" w:hAnsi="Franklin Gothic Book" w:cs="Times New Roman"/>
          <w:b/>
          <w:bCs/>
          <w:sz w:val="22"/>
          <w:szCs w:val="22"/>
        </w:rPr>
      </w:pPr>
      <w:r w:rsidRPr="009C0C39">
        <w:rPr>
          <w:rFonts w:ascii="Franklin Gothic Book" w:hAnsi="Franklin Gothic Book" w:cs="Times New Roman"/>
          <w:b/>
          <w:bCs/>
          <w:sz w:val="22"/>
          <w:szCs w:val="22"/>
        </w:rPr>
        <w:br w:type="page"/>
      </w:r>
    </w:p>
    <w:p w14:paraId="1FF14538" w14:textId="4A39EFF6" w:rsidR="009A6490" w:rsidRPr="009C0C39" w:rsidRDefault="009A6490" w:rsidP="009A6490">
      <w:pPr>
        <w:spacing w:after="160" w:line="259" w:lineRule="auto"/>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Appendix II.</w:t>
      </w:r>
      <w:r w:rsidR="00F254DD" w:rsidRPr="009C0C39">
        <w:rPr>
          <w:rFonts w:ascii="Franklin Gothic Book" w:hAnsi="Franklin Gothic Book" w:cs="Times New Roman"/>
          <w:b/>
          <w:bCs/>
          <w:sz w:val="22"/>
          <w:szCs w:val="22"/>
        </w:rPr>
        <w:t>D</w:t>
      </w:r>
      <w:r w:rsidRPr="009C0C39">
        <w:rPr>
          <w:rFonts w:ascii="Franklin Gothic Book" w:hAnsi="Franklin Gothic Book" w:cs="Times New Roman"/>
          <w:b/>
          <w:bCs/>
          <w:sz w:val="22"/>
          <w:szCs w:val="22"/>
        </w:rPr>
        <w:t>: Low-Value Care for MGB and Other MA Providers</w:t>
      </w:r>
    </w:p>
    <w:p w14:paraId="4620A99C" w14:textId="2E61599F" w:rsidR="009A6490" w:rsidRPr="009C0C39" w:rsidRDefault="009A6490" w:rsidP="007929F4">
      <w:pPr>
        <w:spacing w:after="160"/>
        <w:ind w:firstLine="720"/>
        <w:rPr>
          <w:rFonts w:ascii="Franklin Gothic Book" w:hAnsi="Franklin Gothic Book" w:cs="Times New Roman"/>
          <w:sz w:val="22"/>
          <w:szCs w:val="22"/>
        </w:rPr>
      </w:pPr>
      <w:r w:rsidRPr="009C0C39">
        <w:rPr>
          <w:rFonts w:ascii="Franklin Gothic Book" w:hAnsi="Franklin Gothic Book" w:cs="Times New Roman"/>
          <w:sz w:val="22"/>
          <w:szCs w:val="22"/>
        </w:rPr>
        <w:t>Low-value care refers to medical services recognized by clinicians as not based on evidence and typically unnecessary. In the 2021 Cost Trends Report Chartpack, the HPC reported on seven measures of low-value care</w:t>
      </w:r>
      <w:r w:rsidRPr="009C0C39">
        <w:rPr>
          <w:rFonts w:ascii="Franklin Gothic Book" w:hAnsi="Franklin Gothic Book"/>
          <w:sz w:val="22"/>
          <w:szCs w:val="22"/>
        </w:rPr>
        <w:t xml:space="preserve"> </w:t>
      </w:r>
      <w:r w:rsidRPr="009C0C39">
        <w:rPr>
          <w:rFonts w:ascii="Franklin Gothic Book" w:hAnsi="Franklin Gothic Book" w:cs="Times New Roman"/>
          <w:sz w:val="22"/>
          <w:szCs w:val="22"/>
        </w:rPr>
        <w:t>across three domains (screening, pre-operative, and procedures).</w:t>
      </w:r>
      <w:r w:rsidRPr="009C0C39">
        <w:rPr>
          <w:rStyle w:val="FootnoteReference"/>
          <w:rFonts w:ascii="Franklin Gothic Book" w:hAnsi="Franklin Gothic Book" w:cs="Times New Roman"/>
          <w:sz w:val="22"/>
          <w:szCs w:val="22"/>
        </w:rPr>
        <w:footnoteReference w:id="216"/>
      </w:r>
      <w:r w:rsidRPr="009C0C39">
        <w:rPr>
          <w:rFonts w:ascii="Franklin Gothic Book" w:hAnsi="Franklin Gothic Book" w:cs="Times New Roman"/>
          <w:sz w:val="22"/>
          <w:szCs w:val="22"/>
        </w:rPr>
        <w:t xml:space="preserve"> MGB performed slightly </w:t>
      </w:r>
      <w:r w:rsidR="009705A3" w:rsidRPr="009C0C39">
        <w:rPr>
          <w:rFonts w:ascii="Franklin Gothic Book" w:hAnsi="Franklin Gothic Book" w:cs="Times New Roman"/>
          <w:sz w:val="22"/>
          <w:szCs w:val="22"/>
        </w:rPr>
        <w:t xml:space="preserve">better than </w:t>
      </w:r>
      <w:r w:rsidRPr="009C0C39">
        <w:rPr>
          <w:rFonts w:ascii="Franklin Gothic Book" w:hAnsi="Franklin Gothic Book" w:cs="Times New Roman"/>
          <w:sz w:val="22"/>
          <w:szCs w:val="22"/>
        </w:rPr>
        <w:t xml:space="preserve">average on two pre-operative testing measures and slightly </w:t>
      </w:r>
      <w:r w:rsidR="009705A3" w:rsidRPr="009C0C39">
        <w:rPr>
          <w:rFonts w:ascii="Franklin Gothic Book" w:hAnsi="Franklin Gothic Book" w:cs="Times New Roman"/>
          <w:sz w:val="22"/>
          <w:szCs w:val="22"/>
        </w:rPr>
        <w:t xml:space="preserve">below </w:t>
      </w:r>
      <w:r w:rsidRPr="009C0C39">
        <w:rPr>
          <w:rFonts w:ascii="Franklin Gothic Book" w:hAnsi="Franklin Gothic Book" w:cs="Times New Roman"/>
          <w:sz w:val="22"/>
          <w:szCs w:val="22"/>
        </w:rPr>
        <w:t>average on spinal injections for lower back pain.</w:t>
      </w:r>
    </w:p>
    <w:p w14:paraId="6E17B1A4" w14:textId="77777777" w:rsidR="009A6490" w:rsidRPr="009C0C39" w:rsidRDefault="009A6490" w:rsidP="009A6490">
      <w:pPr>
        <w:spacing w:after="160" w:line="259" w:lineRule="auto"/>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Low-value Pre-operative Testing and Procedures (2018)</w:t>
      </w:r>
    </w:p>
    <w:p w14:paraId="1E06D6F8" w14:textId="43EEAA47" w:rsidR="009A6490" w:rsidRPr="009C0C39" w:rsidRDefault="00DB3910" w:rsidP="009A6490">
      <w:pPr>
        <w:spacing w:after="160" w:line="259" w:lineRule="auto"/>
        <w:rPr>
          <w:rFonts w:ascii="Franklin Gothic Book" w:hAnsi="Franklin Gothic Book"/>
          <w:sz w:val="22"/>
          <w:szCs w:val="22"/>
        </w:rPr>
      </w:pPr>
      <w:r w:rsidRPr="009C0C39">
        <w:rPr>
          <w:rFonts w:ascii="Franklin Gothic Book" w:hAnsi="Franklin Gothic Book"/>
          <w:noProof/>
          <w:sz w:val="22"/>
          <w:szCs w:val="22"/>
        </w:rPr>
        <w:drawing>
          <wp:inline distT="0" distB="0" distL="0" distR="0" wp14:anchorId="3607451A" wp14:editId="3C11EA27">
            <wp:extent cx="5943600" cy="3660140"/>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3660140"/>
                    </a:xfrm>
                    <a:prstGeom prst="rect">
                      <a:avLst/>
                    </a:prstGeom>
                  </pic:spPr>
                </pic:pic>
              </a:graphicData>
            </a:graphic>
          </wp:inline>
        </w:drawing>
      </w:r>
    </w:p>
    <w:p w14:paraId="07719B46" w14:textId="01547649" w:rsidR="009A6490" w:rsidRPr="009C0C39" w:rsidRDefault="009A6490" w:rsidP="009A6490">
      <w:pPr>
        <w:spacing w:line="259" w:lineRule="auto"/>
        <w:rPr>
          <w:rFonts w:ascii="Franklin Gothic Book" w:hAnsi="Franklin Gothic Book" w:cs="Times New Roman"/>
          <w:sz w:val="18"/>
          <w:szCs w:val="18"/>
        </w:rPr>
      </w:pPr>
      <w:r w:rsidRPr="009C0C39">
        <w:rPr>
          <w:rFonts w:ascii="Franklin Gothic Book" w:hAnsi="Franklin Gothic Book" w:cs="Times New Roman"/>
          <w:b/>
          <w:bCs/>
          <w:sz w:val="18"/>
          <w:szCs w:val="18"/>
        </w:rPr>
        <w:t>Source:</w:t>
      </w:r>
      <w:r w:rsidRPr="009C0C39">
        <w:rPr>
          <w:rFonts w:ascii="Franklin Gothic Book" w:hAnsi="Franklin Gothic Book" w:cs="Times New Roman"/>
          <w:sz w:val="18"/>
          <w:szCs w:val="18"/>
        </w:rPr>
        <w:t xml:space="preserve"> HPC analysis of </w:t>
      </w:r>
      <w:r w:rsidR="00087099" w:rsidRPr="009C0C39">
        <w:rPr>
          <w:rFonts w:ascii="Franklin Gothic Book" w:hAnsi="Franklin Gothic Book" w:cs="Times New Roman"/>
          <w:sz w:val="18"/>
          <w:szCs w:val="18"/>
        </w:rPr>
        <w:t>CHIA</w:t>
      </w:r>
      <w:r w:rsidRPr="009C0C39">
        <w:rPr>
          <w:rFonts w:ascii="Franklin Gothic Book" w:hAnsi="Franklin Gothic Book" w:cs="Times New Roman"/>
          <w:sz w:val="18"/>
          <w:szCs w:val="18"/>
        </w:rPr>
        <w:t xml:space="preserve"> All-Payer Claims Database, 2018</w:t>
      </w:r>
      <w:r w:rsidR="00087099" w:rsidRPr="009C0C39">
        <w:rPr>
          <w:rFonts w:ascii="Franklin Gothic Book" w:hAnsi="Franklin Gothic Book" w:cs="Times New Roman"/>
          <w:sz w:val="18"/>
          <w:szCs w:val="18"/>
        </w:rPr>
        <w:t>.</w:t>
      </w:r>
    </w:p>
    <w:p w14:paraId="2C5E823B" w14:textId="2F996772" w:rsidR="009A6490" w:rsidRPr="009C0C39" w:rsidRDefault="009A6490" w:rsidP="009A6490">
      <w:pPr>
        <w:spacing w:after="160" w:line="259" w:lineRule="auto"/>
        <w:rPr>
          <w:rFonts w:ascii="Franklin Gothic Book" w:hAnsi="Franklin Gothic Book" w:cs="Times New Roman"/>
          <w:sz w:val="18"/>
          <w:szCs w:val="18"/>
        </w:rPr>
      </w:pPr>
      <w:r w:rsidRPr="009C0C39">
        <w:rPr>
          <w:rFonts w:ascii="Franklin Gothic Book" w:hAnsi="Franklin Gothic Book" w:cs="Times New Roman"/>
          <w:b/>
          <w:bCs/>
          <w:sz w:val="18"/>
          <w:szCs w:val="18"/>
        </w:rPr>
        <w:t>Notes:</w:t>
      </w:r>
      <w:r w:rsidRPr="009C0C39">
        <w:rPr>
          <w:rFonts w:ascii="Franklin Gothic Book" w:hAnsi="Franklin Gothic Book" w:cs="Times New Roman"/>
          <w:sz w:val="18"/>
          <w:szCs w:val="18"/>
        </w:rPr>
        <w:t xml:space="preserve"> </w:t>
      </w:r>
      <w:r w:rsidR="009705A3" w:rsidRPr="009C0C39">
        <w:rPr>
          <w:rFonts w:ascii="Franklin Gothic Book" w:hAnsi="Franklin Gothic Book" w:cs="Times New Roman"/>
          <w:sz w:val="18"/>
          <w:szCs w:val="18"/>
        </w:rPr>
        <w:t xml:space="preserve">Lower rates indicate better performance. </w:t>
      </w:r>
      <w:r w:rsidRPr="009C0C39">
        <w:rPr>
          <w:rFonts w:ascii="Franklin Gothic Book" w:hAnsi="Franklin Gothic Book" w:cs="Times New Roman"/>
          <w:sz w:val="18"/>
          <w:szCs w:val="18"/>
        </w:rPr>
        <w:t xml:space="preserve">Baseline labs = Baseline labs in patients without significant systemic disease undergoing low risk surgery; Chest radiograph = Chest radiographs occurring less than 30 days before a low or intermediate risk non-cardiothoracic surgical procedure (not associated with inpatient or emergency care). Based on a patient’s medical history and inclusion criteria for each low value measure, a patient could be counted in multiple measures. Average reflects rate for all commercial patients, including patients not attributed to a listed provider organization. </w:t>
      </w:r>
    </w:p>
    <w:p w14:paraId="40B6D4F2" w14:textId="77777777" w:rsidR="009A6490" w:rsidRPr="009C0C39" w:rsidRDefault="009A6490" w:rsidP="00990431">
      <w:pPr>
        <w:spacing w:after="160"/>
        <w:rPr>
          <w:rFonts w:ascii="Franklin Gothic Book" w:hAnsi="Franklin Gothic Book" w:cs="Times New Roman"/>
          <w:sz w:val="22"/>
          <w:szCs w:val="22"/>
        </w:rPr>
      </w:pPr>
      <w:r w:rsidRPr="009C0C39">
        <w:rPr>
          <w:rFonts w:ascii="Franklin Gothic Book" w:hAnsi="Franklin Gothic Book" w:cs="Times New Roman"/>
          <w:sz w:val="22"/>
          <w:szCs w:val="22"/>
        </w:rPr>
        <w:t xml:space="preserve">MGB’s rates were higher than average on two screening measures (T3 and Vitamin D) and lower than average on the stress testing metric. </w:t>
      </w:r>
    </w:p>
    <w:p w14:paraId="4728287C" w14:textId="77777777" w:rsidR="00FD65CA" w:rsidRPr="009C0C39" w:rsidRDefault="00FD65CA" w:rsidP="00990431">
      <w:pPr>
        <w:spacing w:after="160"/>
        <w:jc w:val="center"/>
        <w:rPr>
          <w:rFonts w:ascii="Franklin Gothic Book" w:hAnsi="Franklin Gothic Book" w:cs="Times New Roman"/>
          <w:b/>
          <w:bCs/>
          <w:sz w:val="22"/>
          <w:szCs w:val="22"/>
        </w:rPr>
      </w:pPr>
    </w:p>
    <w:p w14:paraId="514A18FB" w14:textId="77777777" w:rsidR="003C257D" w:rsidRDefault="003C257D" w:rsidP="00990431">
      <w:pPr>
        <w:spacing w:after="160"/>
        <w:rPr>
          <w:rFonts w:ascii="Franklin Gothic Book" w:hAnsi="Franklin Gothic Book" w:cs="Times New Roman"/>
          <w:b/>
          <w:bCs/>
          <w:sz w:val="22"/>
          <w:szCs w:val="22"/>
        </w:rPr>
      </w:pPr>
      <w:r>
        <w:rPr>
          <w:rFonts w:ascii="Franklin Gothic Book" w:hAnsi="Franklin Gothic Book" w:cs="Times New Roman"/>
          <w:b/>
          <w:bCs/>
          <w:sz w:val="22"/>
          <w:szCs w:val="22"/>
        </w:rPr>
        <w:br w:type="page"/>
      </w:r>
    </w:p>
    <w:p w14:paraId="411414A4" w14:textId="38B9F71E" w:rsidR="009A6490" w:rsidRPr="009C0C39" w:rsidRDefault="009A6490" w:rsidP="00990431">
      <w:pPr>
        <w:spacing w:after="160"/>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Low-value Screenings: T3 (Thyroid), Cardiac Stress, and Vitamin D (2018)</w:t>
      </w:r>
    </w:p>
    <w:p w14:paraId="3A68B16B" w14:textId="24606A71" w:rsidR="009A6490" w:rsidRPr="009C0C39" w:rsidRDefault="00DB3910" w:rsidP="00990431">
      <w:pPr>
        <w:spacing w:after="160"/>
        <w:rPr>
          <w:rFonts w:ascii="Franklin Gothic Book" w:hAnsi="Franklin Gothic Book" w:cs="Times New Roman"/>
          <w:b/>
          <w:bCs/>
          <w:sz w:val="22"/>
          <w:szCs w:val="22"/>
        </w:rPr>
      </w:pPr>
      <w:r w:rsidRPr="009C0C39">
        <w:rPr>
          <w:rFonts w:ascii="Franklin Gothic Book" w:hAnsi="Franklin Gothic Book" w:cs="Times New Roman"/>
          <w:b/>
          <w:bCs/>
          <w:noProof/>
          <w:sz w:val="22"/>
          <w:szCs w:val="22"/>
        </w:rPr>
        <w:drawing>
          <wp:inline distT="0" distB="0" distL="0" distR="0" wp14:anchorId="21E035B0" wp14:editId="02B441A0">
            <wp:extent cx="5943600" cy="3660140"/>
            <wp:effectExtent l="0" t="0" r="0" b="0"/>
            <wp:docPr id="2" name="Picture 2" descr="Low-value Screenings: T3 (Thyroid), Cardiac Stress, and Vitamin D (2018)" title="Low-value Screenings: T3 (Thyroid), Cardiac Stress, and Vitamin D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5943600" cy="3660140"/>
                    </a:xfrm>
                    <a:prstGeom prst="rect">
                      <a:avLst/>
                    </a:prstGeom>
                  </pic:spPr>
                </pic:pic>
              </a:graphicData>
            </a:graphic>
          </wp:inline>
        </w:drawing>
      </w:r>
    </w:p>
    <w:p w14:paraId="5D6B278B" w14:textId="516494FC" w:rsidR="009A6490" w:rsidRPr="009C0C39" w:rsidRDefault="009A6490" w:rsidP="00990431">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HPC analysis of </w:t>
      </w:r>
      <w:r w:rsidR="00087099" w:rsidRPr="009C0C39">
        <w:rPr>
          <w:rFonts w:ascii="Franklin Gothic Book" w:hAnsi="Franklin Gothic Book" w:cs="Times New Roman"/>
          <w:sz w:val="18"/>
          <w:szCs w:val="18"/>
        </w:rPr>
        <w:t xml:space="preserve">CHIA </w:t>
      </w:r>
      <w:r w:rsidRPr="009C0C39">
        <w:rPr>
          <w:rFonts w:ascii="Franklin Gothic Book" w:hAnsi="Franklin Gothic Book" w:cs="Times New Roman"/>
          <w:sz w:val="18"/>
          <w:szCs w:val="18"/>
        </w:rPr>
        <w:t>All-Payer Claims Database, 2018</w:t>
      </w:r>
      <w:r w:rsidR="00087099" w:rsidRPr="009C0C39">
        <w:rPr>
          <w:rFonts w:ascii="Franklin Gothic Book" w:hAnsi="Franklin Gothic Book" w:cs="Times New Roman"/>
          <w:sz w:val="18"/>
          <w:szCs w:val="18"/>
        </w:rPr>
        <w:t>.</w:t>
      </w:r>
    </w:p>
    <w:p w14:paraId="72D8D8E2" w14:textId="49C7D3EC" w:rsidR="009A6490" w:rsidRPr="009C0C39" w:rsidRDefault="009A6490" w:rsidP="00990431">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T3 = Total or free T3 level measurement in a patient with a hypothyroidism diagnosis during the year; Stress = Stress testing for patients with an established diagnosis of ischemic heart disease or angina at least 6 month before the stress test, and thus not done for screening purposes; Vitamin D = Population based screening for 25-OH-Vitamin D deficiency (all adults). Based on a patient’s medical history and inclusion criteria for each low value measure, a patient could be counted in multiple measures. Average reflects rate for all commercial patients, including patients not attributed to a listed provider organization. </w:t>
      </w:r>
    </w:p>
    <w:p w14:paraId="04054AB2" w14:textId="77777777" w:rsidR="009A6490" w:rsidRPr="009C0C39" w:rsidRDefault="009A6490" w:rsidP="00990431">
      <w:pPr>
        <w:rPr>
          <w:rFonts w:ascii="Franklin Gothic Book" w:hAnsi="Franklin Gothic Book" w:cs="Times New Roman"/>
          <w:sz w:val="18"/>
          <w:szCs w:val="18"/>
        </w:rPr>
      </w:pPr>
    </w:p>
    <w:p w14:paraId="4FB35A7D" w14:textId="5DA05BF5" w:rsidR="00FD65CA" w:rsidRPr="009C0C39" w:rsidRDefault="009A6490" w:rsidP="00835D3E">
      <w:pPr>
        <w:ind w:firstLine="720"/>
        <w:rPr>
          <w:rFonts w:ascii="Franklin Gothic Book" w:hAnsi="Franklin Gothic Book" w:cs="Times New Roman"/>
          <w:b/>
          <w:bCs/>
          <w:sz w:val="22"/>
          <w:szCs w:val="22"/>
        </w:rPr>
      </w:pPr>
      <w:r w:rsidRPr="009C0C39">
        <w:rPr>
          <w:rFonts w:ascii="Franklin Gothic Book" w:hAnsi="Franklin Gothic Book" w:cs="Times New Roman"/>
          <w:sz w:val="22"/>
          <w:szCs w:val="22"/>
        </w:rPr>
        <w:t>The HPC also examined provider spending on these low-value services. In 2018, MGB had the second-highest low value spending per 100 patients. Spending reflects both the number of low value services per patient and the average price for those services. As noted above, MGB often provides low value services at a level comparable to other Massachusetts provider organizations; however, MGB has significantly higher prices than most other providers.</w:t>
      </w:r>
      <w:r w:rsidR="00835D3E" w:rsidRPr="009C0C39">
        <w:rPr>
          <w:rFonts w:ascii="Franklin Gothic Book" w:hAnsi="Franklin Gothic Book" w:cs="Times New Roman"/>
          <w:b/>
          <w:bCs/>
          <w:sz w:val="22"/>
          <w:szCs w:val="22"/>
        </w:rPr>
        <w:t xml:space="preserve"> </w:t>
      </w:r>
    </w:p>
    <w:p w14:paraId="13CF223F" w14:textId="77777777" w:rsidR="00E32899" w:rsidRDefault="00E32899">
      <w:pPr>
        <w:spacing w:after="160" w:line="259" w:lineRule="auto"/>
        <w:rPr>
          <w:rFonts w:ascii="Franklin Gothic Book" w:hAnsi="Franklin Gothic Book" w:cs="Times New Roman"/>
          <w:b/>
          <w:bCs/>
          <w:sz w:val="22"/>
          <w:szCs w:val="22"/>
        </w:rPr>
      </w:pPr>
      <w:r>
        <w:rPr>
          <w:rFonts w:ascii="Franklin Gothic Book" w:hAnsi="Franklin Gothic Book" w:cs="Times New Roman"/>
          <w:b/>
          <w:bCs/>
          <w:sz w:val="22"/>
          <w:szCs w:val="22"/>
        </w:rPr>
        <w:br w:type="page"/>
      </w:r>
    </w:p>
    <w:p w14:paraId="5F6D7DEC" w14:textId="0E2A9CD4" w:rsidR="009A6490" w:rsidRPr="009C0C39" w:rsidRDefault="009A6490" w:rsidP="009A6490">
      <w:pPr>
        <w:spacing w:line="259" w:lineRule="auto"/>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lastRenderedPageBreak/>
        <w:t>Spending for Seven Low Value Services per 100 Patients and Volume of Attributed Members, by Provider Organization, 2018</w:t>
      </w:r>
    </w:p>
    <w:p w14:paraId="0684A0BA" w14:textId="0A62405F" w:rsidR="009A6490" w:rsidRPr="009C0C39" w:rsidRDefault="009A6490" w:rsidP="009A6490">
      <w:pPr>
        <w:spacing w:line="259" w:lineRule="auto"/>
        <w:jc w:val="center"/>
        <w:rPr>
          <w:rFonts w:ascii="Franklin Gothic Book" w:hAnsi="Franklin Gothic Book" w:cs="Times New Roman"/>
          <w:sz w:val="22"/>
          <w:szCs w:val="22"/>
        </w:rPr>
      </w:pPr>
      <w:r w:rsidRPr="009C0C39">
        <w:rPr>
          <w:rFonts w:ascii="Franklin Gothic Book" w:hAnsi="Franklin Gothic Book" w:cs="Times New Roman"/>
          <w:noProof/>
          <w:sz w:val="22"/>
          <w:szCs w:val="22"/>
        </w:rPr>
        <w:drawing>
          <wp:inline distT="0" distB="0" distL="0" distR="0" wp14:anchorId="2850086A" wp14:editId="4A3C80EB">
            <wp:extent cx="5227773" cy="3360711"/>
            <wp:effectExtent l="0" t="0" r="0" b="0"/>
            <wp:docPr id="13" name="Picture 13"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ubble chart&#10;&#10;Description automatically generated"/>
                    <pic:cNvPicPr/>
                  </pic:nvPicPr>
                  <pic:blipFill>
                    <a:blip r:embed="rId20"/>
                    <a:stretch>
                      <a:fillRect/>
                    </a:stretch>
                  </pic:blipFill>
                  <pic:spPr>
                    <a:xfrm>
                      <a:off x="0" y="0"/>
                      <a:ext cx="5227773" cy="3360711"/>
                    </a:xfrm>
                    <a:prstGeom prst="rect">
                      <a:avLst/>
                    </a:prstGeom>
                    <a:ln>
                      <a:noFill/>
                    </a:ln>
                  </pic:spPr>
                </pic:pic>
              </a:graphicData>
            </a:graphic>
          </wp:inline>
        </w:drawing>
      </w:r>
    </w:p>
    <w:p w14:paraId="2916B8D1" w14:textId="77777777" w:rsidR="009A6490" w:rsidRPr="009C0C39" w:rsidRDefault="009A6490" w:rsidP="009A6490">
      <w:pPr>
        <w:spacing w:line="259" w:lineRule="auto"/>
        <w:rPr>
          <w:rFonts w:ascii="Franklin Gothic Book" w:hAnsi="Franklin Gothic Book" w:cs="Times New Roman"/>
          <w:sz w:val="22"/>
          <w:szCs w:val="22"/>
        </w:rPr>
      </w:pPr>
    </w:p>
    <w:p w14:paraId="67BCFB12" w14:textId="792D2808" w:rsidR="009A6490" w:rsidRPr="009C0C39" w:rsidRDefault="009A6490" w:rsidP="009A6490">
      <w:pPr>
        <w:spacing w:line="259" w:lineRule="auto"/>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HPC analysis of </w:t>
      </w:r>
      <w:r w:rsidR="00087099" w:rsidRPr="009C0C39">
        <w:rPr>
          <w:rFonts w:ascii="Franklin Gothic Book" w:hAnsi="Franklin Gothic Book" w:cs="Times New Roman"/>
          <w:sz w:val="18"/>
          <w:szCs w:val="18"/>
        </w:rPr>
        <w:t>CHIA</w:t>
      </w:r>
      <w:r w:rsidRPr="009C0C39">
        <w:rPr>
          <w:rFonts w:ascii="Franklin Gothic Book" w:hAnsi="Franklin Gothic Book" w:cs="Times New Roman"/>
          <w:sz w:val="18"/>
          <w:szCs w:val="18"/>
        </w:rPr>
        <w:t xml:space="preserve"> All-Payer Claims Database, 2018</w:t>
      </w:r>
      <w:r w:rsidR="00087099" w:rsidRPr="009C0C39">
        <w:rPr>
          <w:rFonts w:ascii="Franklin Gothic Book" w:hAnsi="Franklin Gothic Book" w:cs="Times New Roman"/>
          <w:sz w:val="18"/>
          <w:szCs w:val="18"/>
        </w:rPr>
        <w:t>.</w:t>
      </w:r>
    </w:p>
    <w:p w14:paraId="57F8D6E0" w14:textId="77777777" w:rsidR="009A6490" w:rsidRPr="009C0C39" w:rsidRDefault="009A6490" w:rsidP="009A6490">
      <w:pPr>
        <w:spacing w:line="259" w:lineRule="auto"/>
        <w:rPr>
          <w:rFonts w:ascii="Franklin Gothic Book" w:hAnsi="Franklin Gothic Book" w:cs="Times New Roman"/>
          <w:sz w:val="18"/>
          <w:szCs w:val="18"/>
        </w:rPr>
      </w:pPr>
      <w:r w:rsidRPr="009C0C39">
        <w:rPr>
          <w:rFonts w:ascii="Franklin Gothic Book" w:hAnsi="Franklin Gothic Book" w:cs="Times New Roman"/>
          <w:sz w:val="18"/>
          <w:szCs w:val="18"/>
        </w:rPr>
        <w:t>Notes: Low value spending across all seven measures was summed by provided organization and then divided by the total number of commercial adult attributed patients and reported as a rate per 100 patients. Results for the low value stent procedure are not presented by provider organization due to small numbers at some organizations in the two previous charts but are included here in overall spending. Patients included in this population were not restricted to 12 months of continual coverage, N=1,117,933.</w:t>
      </w:r>
    </w:p>
    <w:p w14:paraId="5BAF5574" w14:textId="77777777" w:rsidR="009A6490" w:rsidRPr="009C0C39" w:rsidRDefault="009A6490">
      <w:pPr>
        <w:spacing w:after="160" w:line="259" w:lineRule="auto"/>
        <w:rPr>
          <w:rFonts w:ascii="Franklin Gothic Book" w:hAnsi="Franklin Gothic Book" w:cs="Times New Roman"/>
          <w:b/>
          <w:bCs/>
          <w:sz w:val="22"/>
          <w:szCs w:val="22"/>
        </w:rPr>
      </w:pPr>
      <w:r w:rsidRPr="009C0C39">
        <w:rPr>
          <w:rFonts w:ascii="Franklin Gothic Book" w:hAnsi="Franklin Gothic Book" w:cs="Times New Roman"/>
          <w:b/>
          <w:bCs/>
          <w:sz w:val="22"/>
          <w:szCs w:val="22"/>
        </w:rPr>
        <w:br w:type="page"/>
      </w:r>
    </w:p>
    <w:p w14:paraId="1E413978" w14:textId="3E460202" w:rsidR="00A11E0E" w:rsidRPr="009C0C39" w:rsidRDefault="00A11E0E" w:rsidP="00FD6060">
      <w:pPr>
        <w:rPr>
          <w:rFonts w:ascii="Franklin Gothic Book" w:hAnsi="Franklin Gothic Book" w:cs="Times New Roman"/>
          <w:b/>
          <w:bCs/>
          <w:sz w:val="22"/>
          <w:szCs w:val="22"/>
        </w:rPr>
      </w:pPr>
      <w:bookmarkStart w:id="121" w:name="Appendix_IIE"/>
      <w:bookmarkStart w:id="122" w:name="Appendix_IID"/>
      <w:bookmarkEnd w:id="121"/>
      <w:r w:rsidRPr="009C0C39">
        <w:rPr>
          <w:rFonts w:ascii="Franklin Gothic Book" w:hAnsi="Franklin Gothic Book" w:cs="Times New Roman"/>
          <w:b/>
          <w:bCs/>
          <w:sz w:val="22"/>
          <w:szCs w:val="22"/>
        </w:rPr>
        <w:lastRenderedPageBreak/>
        <w:t>Appendix II.</w:t>
      </w:r>
      <w:bookmarkEnd w:id="119"/>
      <w:bookmarkEnd w:id="122"/>
      <w:r w:rsidR="00F254DD" w:rsidRPr="009C0C39">
        <w:rPr>
          <w:rFonts w:ascii="Franklin Gothic Book" w:hAnsi="Franklin Gothic Book" w:cs="Times New Roman"/>
          <w:b/>
          <w:bCs/>
          <w:sz w:val="22"/>
          <w:szCs w:val="22"/>
        </w:rPr>
        <w:t>E</w:t>
      </w:r>
      <w:r w:rsidR="007677C1" w:rsidRPr="009C0C39">
        <w:rPr>
          <w:rFonts w:ascii="Franklin Gothic Book" w:hAnsi="Franklin Gothic Book" w:cs="Times New Roman"/>
          <w:b/>
          <w:bCs/>
          <w:sz w:val="22"/>
          <w:szCs w:val="22"/>
        </w:rPr>
        <w:t>: Total Medical Expenses for MGB Primary Care Patients</w:t>
      </w:r>
    </w:p>
    <w:p w14:paraId="5A64EDEB" w14:textId="77777777" w:rsidR="00F437C2" w:rsidRPr="009C0C39" w:rsidRDefault="00F437C2" w:rsidP="00A11E0E">
      <w:pPr>
        <w:rPr>
          <w:rFonts w:ascii="Franklin Gothic Book" w:hAnsi="Franklin Gothic Book" w:cs="Times New Roman"/>
          <w:sz w:val="22"/>
          <w:szCs w:val="22"/>
        </w:rPr>
      </w:pPr>
    </w:p>
    <w:p w14:paraId="3DBC38F9" w14:textId="27C28EB3" w:rsidR="00F437C2" w:rsidRPr="009C0C39" w:rsidRDefault="00A11E0E" w:rsidP="007929F4">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examined MGB’s unadjusted total medical expenses (TME) and health status adjusted total medical expenses (HSA TME) for the three largest commercial payers in Massachusetts</w:t>
      </w:r>
      <w:r w:rsidRPr="009C0C39">
        <w:rPr>
          <w:rStyle w:val="FootnoteReference"/>
          <w:rFonts w:ascii="Franklin Gothic Book" w:hAnsi="Franklin Gothic Book" w:cs="Times New Roman"/>
          <w:sz w:val="22"/>
          <w:szCs w:val="22"/>
        </w:rPr>
        <w:footnoteReference w:id="217"/>
      </w:r>
      <w:r w:rsidRPr="009C0C39">
        <w:rPr>
          <w:rFonts w:ascii="Franklin Gothic Book" w:hAnsi="Franklin Gothic Book" w:cs="Times New Roman"/>
          <w:sz w:val="22"/>
          <w:szCs w:val="22"/>
        </w:rPr>
        <w:t xml:space="preserve"> to understand its baseline spending levels relative to other provider groups.</w:t>
      </w:r>
      <w:r w:rsidRPr="009C0C39">
        <w:rPr>
          <w:rFonts w:ascii="Franklin Gothic Book" w:hAnsi="Franklin Gothic Book" w:cs="Times New Roman"/>
          <w:sz w:val="22"/>
          <w:szCs w:val="22"/>
          <w:vertAlign w:val="superscript"/>
        </w:rPr>
        <w:footnoteReference w:id="218"/>
      </w:r>
      <w:r w:rsidRPr="009C0C39">
        <w:rPr>
          <w:rFonts w:ascii="Franklin Gothic Book" w:hAnsi="Franklin Gothic Book" w:cs="Times New Roman"/>
          <w:sz w:val="22"/>
          <w:szCs w:val="22"/>
        </w:rPr>
        <w:t xml:space="preserve"> For each of these payers, Partners Community Physician Organization (PCPO, MGB’s largest provider group, now known as Mass General Brigham Community Physicians) </w:t>
      </w:r>
      <w:r w:rsidR="001A049E" w:rsidRPr="009C0C39">
        <w:rPr>
          <w:rFonts w:ascii="Franklin Gothic Book" w:hAnsi="Franklin Gothic Book" w:cs="Times New Roman"/>
          <w:sz w:val="22"/>
          <w:szCs w:val="22"/>
        </w:rPr>
        <w:t xml:space="preserve">always had both </w:t>
      </w:r>
      <w:r w:rsidR="00722957" w:rsidRPr="009C0C39">
        <w:rPr>
          <w:rFonts w:ascii="Franklin Gothic Book" w:hAnsi="Franklin Gothic Book" w:cs="Times New Roman"/>
          <w:sz w:val="22"/>
          <w:szCs w:val="22"/>
        </w:rPr>
        <w:t xml:space="preserve">TME </w:t>
      </w:r>
      <w:r w:rsidR="001A049E" w:rsidRPr="009C0C39">
        <w:rPr>
          <w:rFonts w:ascii="Franklin Gothic Book" w:hAnsi="Franklin Gothic Book" w:cs="Times New Roman"/>
          <w:sz w:val="22"/>
          <w:szCs w:val="22"/>
        </w:rPr>
        <w:t xml:space="preserve">and </w:t>
      </w:r>
      <w:r w:rsidR="00722957" w:rsidRPr="009C0C39">
        <w:rPr>
          <w:rFonts w:ascii="Franklin Gothic Book" w:hAnsi="Franklin Gothic Book" w:cs="Times New Roman"/>
          <w:sz w:val="22"/>
          <w:szCs w:val="22"/>
        </w:rPr>
        <w:t xml:space="preserve">HSA TME </w:t>
      </w:r>
      <w:r w:rsidR="001A049E" w:rsidRPr="009C0C39">
        <w:rPr>
          <w:rFonts w:ascii="Franklin Gothic Book" w:hAnsi="Franklin Gothic Book" w:cs="Times New Roman"/>
          <w:sz w:val="22"/>
          <w:szCs w:val="22"/>
        </w:rPr>
        <w:t xml:space="preserve">above the network average, and frequently </w:t>
      </w:r>
      <w:r w:rsidRPr="009C0C39">
        <w:rPr>
          <w:rFonts w:ascii="Franklin Gothic Book" w:hAnsi="Franklin Gothic Book" w:cs="Times New Roman"/>
          <w:sz w:val="22"/>
          <w:szCs w:val="22"/>
        </w:rPr>
        <w:t xml:space="preserve">had </w:t>
      </w:r>
      <w:r w:rsidR="00696730" w:rsidRPr="009C0C39">
        <w:rPr>
          <w:rFonts w:ascii="Franklin Gothic Book" w:hAnsi="Franklin Gothic Book" w:cs="Times New Roman"/>
          <w:sz w:val="22"/>
          <w:szCs w:val="22"/>
        </w:rPr>
        <w:t xml:space="preserve">one of the highest levels </w:t>
      </w:r>
      <w:r w:rsidRPr="009C0C39">
        <w:rPr>
          <w:rFonts w:ascii="Franklin Gothic Book" w:hAnsi="Franklin Gothic Book" w:cs="Times New Roman"/>
          <w:sz w:val="22"/>
          <w:szCs w:val="22"/>
        </w:rPr>
        <w:t xml:space="preserve">of </w:t>
      </w:r>
      <w:r w:rsidR="00FB2A9E" w:rsidRPr="009C0C39">
        <w:rPr>
          <w:rFonts w:ascii="Franklin Gothic Book" w:hAnsi="Franklin Gothic Book" w:cs="Times New Roman"/>
          <w:sz w:val="22"/>
          <w:szCs w:val="22"/>
        </w:rPr>
        <w:t xml:space="preserve">both adjusted and unadjusted spending </w:t>
      </w:r>
      <w:r w:rsidRPr="009C0C39">
        <w:rPr>
          <w:rFonts w:ascii="Franklin Gothic Book" w:hAnsi="Franklin Gothic Book" w:cs="Times New Roman"/>
          <w:sz w:val="22"/>
          <w:szCs w:val="22"/>
        </w:rPr>
        <w:t>from 2014 to 201</w:t>
      </w:r>
      <w:r w:rsidR="00BD351C" w:rsidRPr="009C0C39">
        <w:rPr>
          <w:rFonts w:ascii="Franklin Gothic Book" w:hAnsi="Franklin Gothic Book" w:cs="Times New Roman"/>
          <w:sz w:val="22"/>
          <w:szCs w:val="22"/>
        </w:rPr>
        <w:t>8</w:t>
      </w:r>
      <w:r w:rsidRPr="009C0C39">
        <w:rPr>
          <w:rFonts w:ascii="Franklin Gothic Book" w:hAnsi="Franklin Gothic Book" w:cs="Times New Roman"/>
          <w:sz w:val="22"/>
          <w:szCs w:val="22"/>
        </w:rPr>
        <w:t xml:space="preserve"> compared to other provider groups.</w:t>
      </w:r>
      <w:r w:rsidRPr="009C0C39">
        <w:rPr>
          <w:rStyle w:val="FootnoteReference"/>
          <w:rFonts w:ascii="Franklin Gothic Book" w:hAnsi="Franklin Gothic Book" w:cs="Times New Roman"/>
          <w:sz w:val="22"/>
          <w:szCs w:val="22"/>
        </w:rPr>
        <w:footnoteReference w:id="219"/>
      </w:r>
      <w:r w:rsidR="00F254DD" w:rsidRPr="009C0C39">
        <w:rPr>
          <w:rFonts w:ascii="Franklin Gothic Book" w:hAnsi="Franklin Gothic Book" w:cs="Times New Roman"/>
          <w:sz w:val="22"/>
          <w:szCs w:val="22"/>
        </w:rPr>
        <w:t xml:space="preserve"> In </w:t>
      </w:r>
      <w:r w:rsidR="008D1873" w:rsidRPr="009C0C39">
        <w:rPr>
          <w:rFonts w:ascii="Franklin Gothic Book" w:hAnsi="Franklin Gothic Book" w:cs="Times New Roman"/>
          <w:sz w:val="22"/>
          <w:szCs w:val="22"/>
        </w:rPr>
        <w:t xml:space="preserve">the preliminary </w:t>
      </w:r>
      <w:r w:rsidR="00F254DD" w:rsidRPr="009C0C39">
        <w:rPr>
          <w:rFonts w:ascii="Franklin Gothic Book" w:hAnsi="Franklin Gothic Book" w:cs="Times New Roman"/>
          <w:sz w:val="22"/>
          <w:szCs w:val="22"/>
        </w:rPr>
        <w:t>2019</w:t>
      </w:r>
      <w:r w:rsidR="008D1873" w:rsidRPr="009C0C39">
        <w:rPr>
          <w:rFonts w:ascii="Franklin Gothic Book" w:hAnsi="Franklin Gothic Book" w:cs="Times New Roman"/>
          <w:sz w:val="22"/>
          <w:szCs w:val="22"/>
        </w:rPr>
        <w:t xml:space="preserve"> data</w:t>
      </w:r>
      <w:r w:rsidR="00F254DD" w:rsidRPr="009C0C39">
        <w:rPr>
          <w:rFonts w:ascii="Franklin Gothic Book" w:hAnsi="Franklin Gothic Book" w:cs="Times New Roman"/>
          <w:sz w:val="22"/>
          <w:szCs w:val="22"/>
        </w:rPr>
        <w:t xml:space="preserve">, </w:t>
      </w:r>
      <w:r w:rsidR="00BD351C" w:rsidRPr="009C0C39">
        <w:rPr>
          <w:rFonts w:ascii="Franklin Gothic Book" w:hAnsi="Franklin Gothic Book" w:cs="Times New Roman"/>
          <w:sz w:val="22"/>
          <w:szCs w:val="22"/>
        </w:rPr>
        <w:t xml:space="preserve">MGB’s TME and HSA TME continues to be among the highest both among commercial payers and </w:t>
      </w:r>
      <w:r w:rsidR="00F254DD" w:rsidRPr="009C0C39">
        <w:rPr>
          <w:rFonts w:ascii="Franklin Gothic Book" w:hAnsi="Franklin Gothic Book" w:cs="Times New Roman"/>
          <w:sz w:val="22"/>
          <w:szCs w:val="22"/>
        </w:rPr>
        <w:t>for Tufts Medicare Advantage</w:t>
      </w:r>
      <w:r w:rsidR="00BA6BF6" w:rsidRPr="009C0C39">
        <w:rPr>
          <w:rFonts w:ascii="Franklin Gothic Book" w:hAnsi="Franklin Gothic Book" w:cs="Times New Roman"/>
          <w:sz w:val="22"/>
          <w:szCs w:val="22"/>
        </w:rPr>
        <w:t xml:space="preserve"> (4% higher than network average for comparable area providers)</w:t>
      </w:r>
      <w:r w:rsidR="00F254DD" w:rsidRPr="009C0C39">
        <w:rPr>
          <w:rFonts w:ascii="Franklin Gothic Book" w:hAnsi="Franklin Gothic Book" w:cs="Times New Roman"/>
          <w:sz w:val="22"/>
          <w:szCs w:val="22"/>
        </w:rPr>
        <w:t>, the only Medicare Managed Care Plan in which MGB participates that is reported in publicly available data.</w:t>
      </w:r>
      <w:r w:rsidR="00F254DD" w:rsidRPr="009C0C39">
        <w:rPr>
          <w:rStyle w:val="FootnoteReference"/>
          <w:rFonts w:ascii="Franklin Gothic Book" w:hAnsi="Franklin Gothic Book" w:cs="Times New Roman"/>
          <w:sz w:val="22"/>
          <w:szCs w:val="22"/>
        </w:rPr>
        <w:footnoteReference w:id="220"/>
      </w:r>
    </w:p>
    <w:p w14:paraId="551EDAB5" w14:textId="77777777" w:rsidR="00075FC9" w:rsidRPr="009C0C39" w:rsidRDefault="00075FC9" w:rsidP="00E32899">
      <w:pPr>
        <w:rPr>
          <w:rFonts w:ascii="Franklin Gothic Book" w:hAnsi="Franklin Gothic Book" w:cs="Times New Roman"/>
          <w:b/>
          <w:bCs/>
          <w:sz w:val="22"/>
          <w:szCs w:val="22"/>
        </w:rPr>
      </w:pPr>
    </w:p>
    <w:p w14:paraId="13275A63" w14:textId="270710DE" w:rsidR="00F437C2" w:rsidRPr="009C0C39" w:rsidRDefault="00F437C2" w:rsidP="00F437C2">
      <w:pPr>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Unadjusted TME and HSA TME Levels</w:t>
      </w:r>
      <w:r w:rsidR="00BD351C" w:rsidRPr="009C0C39">
        <w:rPr>
          <w:rFonts w:ascii="Franklin Gothic Book" w:hAnsi="Franklin Gothic Book" w:cs="Times New Roman"/>
          <w:b/>
          <w:bCs/>
          <w:sz w:val="22"/>
          <w:szCs w:val="22"/>
        </w:rPr>
        <w:t xml:space="preserve">, 2014 </w:t>
      </w:r>
      <w:r w:rsidR="009705A3" w:rsidRPr="009C0C39">
        <w:rPr>
          <w:rFonts w:ascii="Franklin Gothic Book" w:hAnsi="Franklin Gothic Book" w:cs="Times New Roman"/>
          <w:b/>
          <w:bCs/>
          <w:sz w:val="22"/>
          <w:szCs w:val="22"/>
        </w:rPr>
        <w:t>&amp;</w:t>
      </w:r>
      <w:r w:rsidR="00BD351C" w:rsidRPr="009C0C39">
        <w:rPr>
          <w:rFonts w:ascii="Franklin Gothic Book" w:hAnsi="Franklin Gothic Book" w:cs="Times New Roman"/>
          <w:b/>
          <w:bCs/>
          <w:sz w:val="22"/>
          <w:szCs w:val="22"/>
        </w:rPr>
        <w:t xml:space="preserve"> 2018</w:t>
      </w:r>
    </w:p>
    <w:p w14:paraId="280352F2" w14:textId="4CB72022" w:rsidR="000878AA" w:rsidRPr="009C0C39" w:rsidRDefault="000878AA" w:rsidP="00F437C2">
      <w:pPr>
        <w:jc w:val="center"/>
        <w:rPr>
          <w:rFonts w:ascii="Franklin Gothic Book" w:hAnsi="Franklin Gothic Book" w:cs="Times New Roman"/>
          <w:b/>
          <w:bCs/>
          <w:sz w:val="22"/>
          <w:szCs w:val="22"/>
        </w:rPr>
      </w:pPr>
      <w:r w:rsidRPr="009C0C39">
        <w:rPr>
          <w:rFonts w:ascii="Franklin Gothic Book" w:hAnsi="Franklin Gothic Book" w:cs="Times New Roman"/>
          <w:b/>
          <w:bCs/>
          <w:noProof/>
          <w:sz w:val="22"/>
          <w:szCs w:val="22"/>
        </w:rPr>
        <w:lastRenderedPageBreak/>
        <w:drawing>
          <wp:inline distT="0" distB="0" distL="0" distR="0" wp14:anchorId="5E20CE85" wp14:editId="7C97CBD9">
            <wp:extent cx="4769832" cy="3362325"/>
            <wp:effectExtent l="0" t="0" r="0" b="0"/>
            <wp:docPr id="2055" name="Picture 20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2055" descr="Graphical user interface,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774005" cy="3365267"/>
                    </a:xfrm>
                    <a:prstGeom prst="rect">
                      <a:avLst/>
                    </a:prstGeom>
                  </pic:spPr>
                </pic:pic>
              </a:graphicData>
            </a:graphic>
          </wp:inline>
        </w:drawing>
      </w:r>
    </w:p>
    <w:p w14:paraId="098A37A3" w14:textId="77777777" w:rsidR="007C1978" w:rsidRPr="009C0C39" w:rsidRDefault="007C1978" w:rsidP="007C1978">
      <w:pPr>
        <w:rPr>
          <w:rFonts w:ascii="Franklin Gothic Book" w:hAnsi="Franklin Gothic Book" w:cs="Times New Roman"/>
          <w:b/>
          <w:bCs/>
          <w:i/>
          <w:iCs/>
          <w:sz w:val="18"/>
          <w:szCs w:val="18"/>
        </w:rPr>
      </w:pPr>
      <w:r w:rsidRPr="009C0C39">
        <w:rPr>
          <w:rFonts w:ascii="Franklin Gothic Book" w:hAnsi="Franklin Gothic Book" w:cs="Times New Roman"/>
          <w:sz w:val="18"/>
          <w:szCs w:val="18"/>
        </w:rPr>
        <w:t>Source: HPC analysis of CHIA Total Medical Expense Data (2014-2019).</w:t>
      </w:r>
    </w:p>
    <w:p w14:paraId="538B6C85" w14:textId="77777777" w:rsidR="007C1978" w:rsidRPr="009C0C39" w:rsidRDefault="007C1978" w:rsidP="00A11E0E">
      <w:pPr>
        <w:rPr>
          <w:rFonts w:ascii="Franklin Gothic Book" w:hAnsi="Franklin Gothic Book" w:cs="Times New Roman"/>
          <w:sz w:val="22"/>
          <w:szCs w:val="22"/>
        </w:rPr>
      </w:pPr>
    </w:p>
    <w:p w14:paraId="6C19C349" w14:textId="176FC536" w:rsidR="00A11E0E" w:rsidRPr="009C0C39" w:rsidRDefault="00F437C2" w:rsidP="00A11E0E">
      <w:pPr>
        <w:rPr>
          <w:rFonts w:ascii="Franklin Gothic Book" w:hAnsi="Franklin Gothic Book" w:cs="Times New Roman"/>
          <w:sz w:val="22"/>
          <w:szCs w:val="22"/>
        </w:rPr>
      </w:pPr>
      <w:r w:rsidRPr="009C0C39">
        <w:rPr>
          <w:rFonts w:ascii="Franklin Gothic Book" w:hAnsi="Franklin Gothic Book" w:cs="Times New Roman"/>
          <w:sz w:val="22"/>
          <w:szCs w:val="22"/>
        </w:rPr>
        <w:t>PCPO</w:t>
      </w:r>
      <w:r w:rsidR="00A11E0E" w:rsidRPr="009C0C39">
        <w:rPr>
          <w:rFonts w:ascii="Franklin Gothic Book" w:hAnsi="Franklin Gothic Book" w:cs="Times New Roman"/>
          <w:sz w:val="22"/>
          <w:szCs w:val="22"/>
        </w:rPr>
        <w:t xml:space="preserve"> also had a higher rate of unadjusted spending growth compared to the network average of those same three commercial payers between 2014 and 2019.</w:t>
      </w:r>
      <w:r w:rsidR="00A11E0E" w:rsidRPr="009C0C39">
        <w:rPr>
          <w:rStyle w:val="FootnoteReference"/>
          <w:rFonts w:ascii="Franklin Gothic Book" w:hAnsi="Franklin Gothic Book" w:cs="Times New Roman"/>
          <w:sz w:val="22"/>
          <w:szCs w:val="22"/>
        </w:rPr>
        <w:footnoteReference w:id="221"/>
      </w:r>
    </w:p>
    <w:p w14:paraId="35ED5D38" w14:textId="632674B9" w:rsidR="00F437C2" w:rsidRPr="009C0C39" w:rsidRDefault="00F437C2" w:rsidP="00A11E0E">
      <w:pPr>
        <w:rPr>
          <w:rFonts w:ascii="Franklin Gothic Book" w:hAnsi="Franklin Gothic Book" w:cs="Times New Roman"/>
          <w:sz w:val="22"/>
          <w:szCs w:val="22"/>
        </w:rPr>
      </w:pPr>
    </w:p>
    <w:p w14:paraId="3365BF55" w14:textId="6674514B" w:rsidR="00A11E0E" w:rsidRPr="009C0C39" w:rsidRDefault="00A11E0E" w:rsidP="00E32899">
      <w:pPr>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Unadjusted TME Growth of PCPO Compared to the Payer’s Network Average (2014-2019)</w:t>
      </w:r>
    </w:p>
    <w:p w14:paraId="366D7E3F" w14:textId="073589FB" w:rsidR="00A11E0E" w:rsidRPr="009C0C39" w:rsidRDefault="001B1F96" w:rsidP="00A11E0E">
      <w:pPr>
        <w:rPr>
          <w:rFonts w:ascii="Franklin Gothic Book" w:hAnsi="Franklin Gothic Book" w:cs="Times New Roman"/>
          <w:sz w:val="22"/>
          <w:szCs w:val="22"/>
          <w:u w:val="single"/>
        </w:rPr>
      </w:pPr>
      <w:r w:rsidRPr="009C0C39">
        <w:rPr>
          <w:rFonts w:ascii="Franklin Gothic Book" w:hAnsi="Franklin Gothic Book"/>
          <w:sz w:val="22"/>
          <w:szCs w:val="22"/>
        </w:rPr>
        <w:lastRenderedPageBreak/>
        <w:t xml:space="preserve"> </w:t>
      </w:r>
      <w:r w:rsidR="004E7C95">
        <w:rPr>
          <w:noProof/>
        </w:rPr>
        <w:drawing>
          <wp:inline distT="0" distB="0" distL="0" distR="0" wp14:anchorId="19211211" wp14:editId="1E36A5ED">
            <wp:extent cx="5943600" cy="3696335"/>
            <wp:effectExtent l="0" t="0" r="0" b="0"/>
            <wp:docPr id="2048" name="Picture 20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2048" descr="Chart, line chart&#10;&#10;Description automatically generated"/>
                    <pic:cNvPicPr/>
                  </pic:nvPicPr>
                  <pic:blipFill>
                    <a:blip r:embed="rId22"/>
                    <a:stretch>
                      <a:fillRect/>
                    </a:stretch>
                  </pic:blipFill>
                  <pic:spPr>
                    <a:xfrm>
                      <a:off x="0" y="0"/>
                      <a:ext cx="5943600" cy="3696335"/>
                    </a:xfrm>
                    <a:prstGeom prst="rect">
                      <a:avLst/>
                    </a:prstGeom>
                  </pic:spPr>
                </pic:pic>
              </a:graphicData>
            </a:graphic>
          </wp:inline>
        </w:drawing>
      </w:r>
      <w:r w:rsidR="00E32899">
        <w:rPr>
          <w:rFonts w:ascii="Franklin Gothic Book" w:hAnsi="Franklin Gothic Book"/>
          <w:sz w:val="22"/>
          <w:szCs w:val="22"/>
        </w:rPr>
        <w:br/>
      </w:r>
    </w:p>
    <w:p w14:paraId="6D2EC744" w14:textId="00819B3A" w:rsidR="00385D2D" w:rsidRPr="009C0C39" w:rsidRDefault="00385D2D" w:rsidP="00385D2D">
      <w:pPr>
        <w:rPr>
          <w:rFonts w:ascii="Franklin Gothic Book" w:hAnsi="Franklin Gothic Book" w:cs="Times New Roman"/>
          <w:b/>
          <w:bCs/>
          <w:i/>
          <w:iCs/>
          <w:sz w:val="18"/>
          <w:szCs w:val="18"/>
        </w:rPr>
      </w:pPr>
      <w:r w:rsidRPr="009C0C39">
        <w:rPr>
          <w:rFonts w:ascii="Franklin Gothic Book" w:hAnsi="Franklin Gothic Book" w:cs="Times New Roman"/>
          <w:sz w:val="18"/>
          <w:szCs w:val="18"/>
        </w:rPr>
        <w:t>Source: HPC analysis of CHIA Total Medical Expense Data (2014-2019)</w:t>
      </w:r>
      <w:r w:rsidR="007929F4" w:rsidRPr="009C0C39">
        <w:rPr>
          <w:rFonts w:ascii="Franklin Gothic Book" w:hAnsi="Franklin Gothic Book" w:cs="Times New Roman"/>
          <w:sz w:val="18"/>
          <w:szCs w:val="18"/>
        </w:rPr>
        <w:t>.</w:t>
      </w:r>
    </w:p>
    <w:p w14:paraId="30AE4201" w14:textId="6F0EC8B2" w:rsidR="007677C1" w:rsidRPr="009C0C39" w:rsidRDefault="00816637" w:rsidP="007677C1">
      <w:pPr>
        <w:rPr>
          <w:rFonts w:ascii="Franklin Gothic Book" w:hAnsi="Franklin Gothic Book" w:cs="Times New Roman"/>
          <w:b/>
          <w:bCs/>
          <w:sz w:val="22"/>
          <w:szCs w:val="22"/>
        </w:rPr>
      </w:pPr>
      <w:r w:rsidRPr="009C0C39">
        <w:rPr>
          <w:rFonts w:ascii="Franklin Gothic Book" w:hAnsi="Franklin Gothic Book" w:cs="Times New Roman"/>
          <w:noProof/>
          <w:sz w:val="22"/>
          <w:szCs w:val="22"/>
        </w:rPr>
        <mc:AlternateContent>
          <mc:Choice Requires="wps">
            <w:drawing>
              <wp:inline distT="0" distB="0" distL="0" distR="0" wp14:anchorId="4EBFDC75" wp14:editId="5A67FFC5">
                <wp:extent cx="2468880" cy="635"/>
                <wp:effectExtent l="0" t="0" r="7620" b="4445"/>
                <wp:docPr id="24" name="Text Box 24" descr="Formatting" title="Formatting"/>
                <wp:cNvGraphicFramePr/>
                <a:graphic xmlns:a="http://schemas.openxmlformats.org/drawingml/2006/main">
                  <a:graphicData uri="http://schemas.microsoft.com/office/word/2010/wordprocessingShape">
                    <wps:wsp>
                      <wps:cNvSpPr txBox="1"/>
                      <wps:spPr>
                        <a:xfrm>
                          <a:off x="0" y="0"/>
                          <a:ext cx="2468880" cy="635"/>
                        </a:xfrm>
                        <a:prstGeom prst="rect">
                          <a:avLst/>
                        </a:prstGeom>
                        <a:solidFill>
                          <a:prstClr val="white"/>
                        </a:solidFill>
                        <a:ln>
                          <a:noFill/>
                        </a:ln>
                      </wps:spPr>
                      <wps:txbx>
                        <w:txbxContent>
                          <w:p w14:paraId="5A5D32F6" w14:textId="71DD5D24" w:rsidR="00A11E0E" w:rsidRPr="003E0697" w:rsidRDefault="00A11E0E" w:rsidP="00A11E0E">
                            <w:pPr>
                              <w:rPr>
                                <w:b/>
                                <w:bCs/>
                                <w:i/>
                                <w:i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EBFDC75" id="Text Box 24" o:spid="_x0000_s1029" type="#_x0000_t202" alt="Title: Formatting - Description: Formatting" style="width:194.4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" stroked="f">
                <v:textbox style="mso-fit-shape-to-text:t" inset="0,0,0,0">
                  <w:txbxContent>
                    <w:p w14:paraId="5A5D32F6" w14:textId="71DD5D24" w:rsidR="00A11E0E" w:rsidRPr="003E0697" w:rsidRDefault="00A11E0E" w:rsidP="00A11E0E">
                      <w:pPr>
                        <w:rPr>
                          <w:b/>
                          <w:bCs/>
                          <w:i/>
                          <w:iCs/>
                        </w:rPr>
                      </w:pPr>
                    </w:p>
                  </w:txbxContent>
                </v:textbox>
                <w10:anchorlock/>
              </v:shape>
            </w:pict>
          </mc:Fallback>
        </mc:AlternateContent>
      </w:r>
      <w:r w:rsidR="00A11E0E" w:rsidRPr="009C0C39">
        <w:rPr>
          <w:rFonts w:ascii="Franklin Gothic Book" w:hAnsi="Franklin Gothic Book"/>
          <w:sz w:val="22"/>
          <w:szCs w:val="22"/>
        </w:rPr>
        <w:br w:type="column"/>
      </w:r>
      <w:bookmarkStart w:id="123" w:name="Appendix_IIF"/>
      <w:bookmarkEnd w:id="123"/>
      <w:r w:rsidR="007677C1" w:rsidRPr="009C0C39">
        <w:rPr>
          <w:rFonts w:ascii="Franklin Gothic Book" w:hAnsi="Franklin Gothic Book" w:cs="Times New Roman"/>
          <w:b/>
          <w:bCs/>
          <w:sz w:val="22"/>
          <w:szCs w:val="22"/>
        </w:rPr>
        <w:lastRenderedPageBreak/>
        <w:t>Appendix II.</w:t>
      </w:r>
      <w:r w:rsidR="00F254DD" w:rsidRPr="009C0C39">
        <w:rPr>
          <w:rFonts w:ascii="Franklin Gothic Book" w:hAnsi="Franklin Gothic Book" w:cs="Times New Roman"/>
          <w:b/>
          <w:bCs/>
          <w:sz w:val="22"/>
          <w:szCs w:val="22"/>
        </w:rPr>
        <w:t>F</w:t>
      </w:r>
      <w:r w:rsidR="007677C1" w:rsidRPr="009C0C39">
        <w:rPr>
          <w:rFonts w:ascii="Franklin Gothic Book" w:hAnsi="Franklin Gothic Book" w:cs="Times New Roman"/>
          <w:b/>
          <w:bCs/>
          <w:sz w:val="22"/>
          <w:szCs w:val="22"/>
        </w:rPr>
        <w:t xml:space="preserve">: MGB Hospital Payer Mix Relative to Other Hospitals </w:t>
      </w:r>
    </w:p>
    <w:p w14:paraId="5B48D619" w14:textId="77777777" w:rsidR="007677C1" w:rsidRPr="009C0C39" w:rsidRDefault="007677C1" w:rsidP="007677C1">
      <w:pPr>
        <w:rPr>
          <w:rFonts w:ascii="Franklin Gothic Book" w:hAnsi="Franklin Gothic Book" w:cs="Times New Roman"/>
          <w:sz w:val="22"/>
          <w:szCs w:val="22"/>
          <w:u w:val="single"/>
        </w:rPr>
      </w:pPr>
    </w:p>
    <w:p w14:paraId="7845A67C" w14:textId="072CA3D1" w:rsidR="007677C1" w:rsidRPr="009C0C39" w:rsidRDefault="007929F4" w:rsidP="007929F4">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w:t>
      </w:r>
      <w:r w:rsidR="007677C1" w:rsidRPr="009C0C39">
        <w:rPr>
          <w:rFonts w:ascii="Franklin Gothic Book" w:hAnsi="Franklin Gothic Book" w:cs="Times New Roman"/>
          <w:sz w:val="22"/>
          <w:szCs w:val="22"/>
        </w:rPr>
        <w:t>examined the inpatient and outpatient payer mix of MGB hospitals relative to other hospital systems and relative to MGB hospitals’ primary service areas (PSAs). In fiscal year 2019, MGB had the highest average commercial mix compared to all other hospital systems. MGB had the lowest average public payer mix (57%), and more specifically the lowest Medicaid mix (13%), compared to all other hospital systems statewide.</w:t>
      </w:r>
      <w:r w:rsidR="007677C1" w:rsidRPr="009C0C39">
        <w:rPr>
          <w:rStyle w:val="FootnoteReference"/>
          <w:rFonts w:ascii="Franklin Gothic Book" w:hAnsi="Franklin Gothic Book" w:cs="Times New Roman"/>
          <w:sz w:val="22"/>
          <w:szCs w:val="22"/>
        </w:rPr>
        <w:t xml:space="preserve"> </w:t>
      </w:r>
      <w:r w:rsidR="007677C1" w:rsidRPr="009C0C39">
        <w:rPr>
          <w:rStyle w:val="FootnoteReference"/>
          <w:rFonts w:ascii="Franklin Gothic Book" w:hAnsi="Franklin Gothic Book" w:cs="Times New Roman"/>
          <w:sz w:val="22"/>
          <w:szCs w:val="22"/>
        </w:rPr>
        <w:footnoteReference w:id="222"/>
      </w:r>
      <w:r w:rsidR="007677C1" w:rsidRPr="009C0C39">
        <w:rPr>
          <w:rFonts w:ascii="Franklin Gothic Book" w:hAnsi="Franklin Gothic Book" w:cs="Times New Roman"/>
          <w:sz w:val="22"/>
          <w:szCs w:val="22"/>
          <w:vertAlign w:val="superscript"/>
        </w:rPr>
        <w:t xml:space="preserve">, </w:t>
      </w:r>
      <w:r w:rsidR="007677C1" w:rsidRPr="009C0C39">
        <w:rPr>
          <w:rStyle w:val="FootnoteReference"/>
          <w:rFonts w:ascii="Franklin Gothic Book" w:hAnsi="Franklin Gothic Book" w:cs="Times New Roman"/>
          <w:sz w:val="22"/>
          <w:szCs w:val="22"/>
        </w:rPr>
        <w:footnoteReference w:id="223"/>
      </w:r>
      <w:r w:rsidR="007677C1" w:rsidRPr="009C0C39">
        <w:rPr>
          <w:rFonts w:ascii="Franklin Gothic Book" w:hAnsi="Franklin Gothic Book" w:cs="Times New Roman"/>
          <w:sz w:val="22"/>
          <w:szCs w:val="22"/>
        </w:rPr>
        <w:t xml:space="preserve"> </w:t>
      </w:r>
    </w:p>
    <w:p w14:paraId="2310DDEE" w14:textId="77777777" w:rsidR="007677C1" w:rsidRPr="009C0C39" w:rsidRDefault="007677C1" w:rsidP="007677C1">
      <w:pPr>
        <w:jc w:val="center"/>
        <w:rPr>
          <w:rFonts w:ascii="Franklin Gothic Book" w:hAnsi="Franklin Gothic Book" w:cs="Times New Roman"/>
          <w:b/>
          <w:bCs/>
          <w:sz w:val="22"/>
          <w:szCs w:val="22"/>
        </w:rPr>
      </w:pPr>
    </w:p>
    <w:p w14:paraId="591EC91A" w14:textId="39856DEF" w:rsidR="007677C1" w:rsidRPr="009C0C39" w:rsidRDefault="007677C1" w:rsidP="007677C1">
      <w:pPr>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Weighted Average System Inpatient and Outpatient Payer Mix (2019)</w:t>
      </w:r>
    </w:p>
    <w:p w14:paraId="0D15DBE4" w14:textId="1E330D70" w:rsidR="007677C1" w:rsidRPr="009C0C39" w:rsidRDefault="000878AA" w:rsidP="007677C1">
      <w:pPr>
        <w:jc w:val="center"/>
        <w:rPr>
          <w:rFonts w:ascii="Franklin Gothic Book" w:hAnsi="Franklin Gothic Book" w:cs="Times New Roman"/>
          <w:sz w:val="22"/>
          <w:szCs w:val="22"/>
        </w:rPr>
      </w:pPr>
      <w:r w:rsidRPr="009C0C39">
        <w:rPr>
          <w:rFonts w:ascii="Franklin Gothic Book" w:hAnsi="Franklin Gothic Book" w:cs="Times New Roman"/>
          <w:noProof/>
          <w:sz w:val="22"/>
          <w:szCs w:val="22"/>
        </w:rPr>
        <w:drawing>
          <wp:inline distT="0" distB="0" distL="0" distR="0" wp14:anchorId="27687A68" wp14:editId="5E3D86F4">
            <wp:extent cx="5943600" cy="4189730"/>
            <wp:effectExtent l="0" t="0" r="0" b="1270"/>
            <wp:docPr id="2057" name="Picture 205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2057" descr="Chart, bar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4189730"/>
                    </a:xfrm>
                    <a:prstGeom prst="rect">
                      <a:avLst/>
                    </a:prstGeom>
                  </pic:spPr>
                </pic:pic>
              </a:graphicData>
            </a:graphic>
          </wp:inline>
        </w:drawing>
      </w:r>
    </w:p>
    <w:p w14:paraId="1AA16D75" w14:textId="3E9D1688" w:rsidR="007677C1" w:rsidRPr="009C0C39" w:rsidRDefault="007677C1" w:rsidP="007677C1">
      <w:pPr>
        <w:rPr>
          <w:rFonts w:ascii="Franklin Gothic Book" w:hAnsi="Franklin Gothic Book" w:cs="Times New Roman"/>
          <w:sz w:val="16"/>
          <w:szCs w:val="16"/>
        </w:rPr>
      </w:pPr>
      <w:r w:rsidRPr="009C0C39">
        <w:rPr>
          <w:rFonts w:ascii="Franklin Gothic Book" w:hAnsi="Franklin Gothic Book" w:cs="Times New Roman"/>
          <w:sz w:val="16"/>
          <w:szCs w:val="16"/>
        </w:rPr>
        <w:t xml:space="preserve">Source: HPC analysis of </w:t>
      </w:r>
      <w:r w:rsidRPr="009C0C39">
        <w:rPr>
          <w:rFonts w:ascii="Franklin Gothic Book" w:hAnsi="Franklin Gothic Book" w:cs="Times New Roman"/>
          <w:smallCaps/>
          <w:sz w:val="16"/>
          <w:szCs w:val="16"/>
        </w:rPr>
        <w:t>CHIA Hospital Profiles Databook</w:t>
      </w:r>
      <w:r w:rsidRPr="009C0C39">
        <w:rPr>
          <w:rFonts w:ascii="Franklin Gothic Book" w:hAnsi="Franklin Gothic Book" w:cs="Times New Roman"/>
          <w:sz w:val="16"/>
          <w:szCs w:val="16"/>
        </w:rPr>
        <w:t xml:space="preserve">, </w:t>
      </w:r>
      <w:r w:rsidRPr="009C0C39">
        <w:rPr>
          <w:rFonts w:ascii="Franklin Gothic Book" w:hAnsi="Franklin Gothic Book" w:cs="Times New Roman"/>
          <w:i/>
          <w:iCs/>
          <w:sz w:val="16"/>
          <w:szCs w:val="16"/>
        </w:rPr>
        <w:t>supra</w:t>
      </w:r>
      <w:r w:rsidRPr="009C0C39">
        <w:rPr>
          <w:rFonts w:ascii="Franklin Gothic Book" w:hAnsi="Franklin Gothic Book" w:cs="Times New Roman"/>
          <w:sz w:val="16"/>
          <w:szCs w:val="16"/>
        </w:rPr>
        <w:t xml:space="preserve"> note </w:t>
      </w:r>
      <w:r w:rsidR="00EE3A3F" w:rsidRPr="009C0C39">
        <w:rPr>
          <w:rFonts w:ascii="Franklin Gothic Book" w:hAnsi="Franklin Gothic Book" w:cs="Times New Roman"/>
          <w:sz w:val="16"/>
          <w:szCs w:val="16"/>
        </w:rPr>
        <w:fldChar w:fldCharType="begin"/>
      </w:r>
      <w:r w:rsidR="00EE3A3F" w:rsidRPr="009C0C39">
        <w:rPr>
          <w:rFonts w:ascii="Franklin Gothic Book" w:hAnsi="Franklin Gothic Book" w:cs="Times New Roman"/>
          <w:sz w:val="16"/>
          <w:szCs w:val="16"/>
        </w:rPr>
        <w:instrText xml:space="preserve"> NOTEREF _Ref93661797 \h </w:instrText>
      </w:r>
      <w:r w:rsidR="00804A4E" w:rsidRPr="009C0C39">
        <w:rPr>
          <w:rFonts w:ascii="Franklin Gothic Book" w:hAnsi="Franklin Gothic Book" w:cs="Times New Roman"/>
          <w:sz w:val="16"/>
          <w:szCs w:val="16"/>
        </w:rPr>
        <w:instrText xml:space="preserve"> \* MERGEFORMAT </w:instrText>
      </w:r>
      <w:r w:rsidR="00EE3A3F" w:rsidRPr="009C0C39">
        <w:rPr>
          <w:rFonts w:ascii="Franklin Gothic Book" w:hAnsi="Franklin Gothic Book" w:cs="Times New Roman"/>
          <w:sz w:val="16"/>
          <w:szCs w:val="16"/>
        </w:rPr>
      </w:r>
      <w:r w:rsidR="00EE3A3F" w:rsidRPr="009C0C39">
        <w:rPr>
          <w:rFonts w:ascii="Franklin Gothic Book" w:hAnsi="Franklin Gothic Book" w:cs="Times New Roman"/>
          <w:sz w:val="16"/>
          <w:szCs w:val="16"/>
        </w:rPr>
        <w:fldChar w:fldCharType="separate"/>
      </w:r>
      <w:r w:rsidR="002907A7">
        <w:rPr>
          <w:rFonts w:ascii="Franklin Gothic Book" w:hAnsi="Franklin Gothic Book" w:cs="Times New Roman"/>
          <w:sz w:val="16"/>
          <w:szCs w:val="16"/>
        </w:rPr>
        <w:t>64</w:t>
      </w:r>
      <w:r w:rsidR="00EE3A3F" w:rsidRPr="009C0C39">
        <w:rPr>
          <w:rFonts w:ascii="Franklin Gothic Book" w:hAnsi="Franklin Gothic Book" w:cs="Times New Roman"/>
          <w:sz w:val="16"/>
          <w:szCs w:val="16"/>
        </w:rPr>
        <w:fldChar w:fldCharType="end"/>
      </w:r>
      <w:r w:rsidR="00C60A76" w:rsidRPr="009C0C39">
        <w:rPr>
          <w:rFonts w:ascii="Franklin Gothic Book" w:hAnsi="Franklin Gothic Book" w:cs="Times New Roman"/>
          <w:sz w:val="16"/>
          <w:szCs w:val="16"/>
        </w:rPr>
        <w:t>.</w:t>
      </w:r>
    </w:p>
    <w:p w14:paraId="3DF0DAC0" w14:textId="77777777" w:rsidR="007677C1" w:rsidRPr="009C0C39" w:rsidRDefault="007677C1" w:rsidP="007677C1">
      <w:pPr>
        <w:rPr>
          <w:rFonts w:ascii="Franklin Gothic Book" w:hAnsi="Franklin Gothic Book" w:cs="Times New Roman"/>
          <w:sz w:val="16"/>
          <w:szCs w:val="16"/>
        </w:rPr>
      </w:pPr>
      <w:r w:rsidRPr="009C0C39">
        <w:rPr>
          <w:rFonts w:ascii="Franklin Gothic Book" w:hAnsi="Franklin Gothic Book" w:cs="Times New Roman"/>
          <w:sz w:val="16"/>
          <w:szCs w:val="16"/>
        </w:rPr>
        <w:t>Notes: Current affiliations (as of December 2021); affiliations include corporate and contracting affiliations; includes general acute care hospitals only.</w:t>
      </w:r>
    </w:p>
    <w:p w14:paraId="35C4B8EB" w14:textId="77777777" w:rsidR="00C85C6C" w:rsidRPr="009C0C39" w:rsidRDefault="00C85C6C" w:rsidP="007677C1">
      <w:pPr>
        <w:rPr>
          <w:rFonts w:ascii="Franklin Gothic Book" w:hAnsi="Franklin Gothic Book" w:cs="Times New Roman"/>
          <w:sz w:val="22"/>
          <w:szCs w:val="22"/>
        </w:rPr>
      </w:pPr>
    </w:p>
    <w:p w14:paraId="5C04C8E5" w14:textId="201F31E3" w:rsidR="007677C1" w:rsidRPr="009C0C39" w:rsidRDefault="007677C1" w:rsidP="007677C1">
      <w:pPr>
        <w:rPr>
          <w:rFonts w:ascii="Franklin Gothic Book" w:hAnsi="Franklin Gothic Book" w:cs="Times New Roman"/>
          <w:sz w:val="22"/>
          <w:szCs w:val="22"/>
          <w:vertAlign w:val="superscript"/>
        </w:rPr>
      </w:pPr>
      <w:r w:rsidRPr="009C0C39">
        <w:rPr>
          <w:rFonts w:ascii="Franklin Gothic Book" w:hAnsi="Franklin Gothic Book" w:cs="Times New Roman"/>
          <w:sz w:val="22"/>
          <w:szCs w:val="22"/>
        </w:rPr>
        <w:t>Examining inpatient discharges alone, from 2009 to 2019 MGB’s inpatient commercial mix was consistently the highest of all hospital systems and its Medicaid mix was the lowest relative to other systems. MGB’s inpatient Medicare mix was either comparable to or lower than that of other major systems over the ten-year period.</w:t>
      </w:r>
      <w:r w:rsidRPr="009C0C39">
        <w:rPr>
          <w:rStyle w:val="FootnoteReference"/>
          <w:rFonts w:ascii="Franklin Gothic Book" w:hAnsi="Franklin Gothic Book" w:cs="Times New Roman"/>
          <w:sz w:val="22"/>
          <w:szCs w:val="22"/>
        </w:rPr>
        <w:footnoteReference w:id="224"/>
      </w:r>
      <w:r w:rsidRPr="009C0C39">
        <w:rPr>
          <w:rFonts w:ascii="Franklin Gothic Book" w:hAnsi="Franklin Gothic Book" w:cs="Times New Roman"/>
          <w:sz w:val="22"/>
          <w:szCs w:val="22"/>
          <w:vertAlign w:val="superscript"/>
        </w:rPr>
        <w:t>,</w:t>
      </w:r>
      <w:r w:rsidRPr="009C0C39">
        <w:rPr>
          <w:rStyle w:val="FootnoteReference"/>
          <w:rFonts w:ascii="Franklin Gothic Book" w:hAnsi="Franklin Gothic Book" w:cs="Times New Roman"/>
          <w:sz w:val="22"/>
          <w:szCs w:val="22"/>
        </w:rPr>
        <w:footnoteReference w:id="225"/>
      </w:r>
    </w:p>
    <w:p w14:paraId="67C9A48F" w14:textId="77777777" w:rsidR="006D700E" w:rsidRPr="009C0C39" w:rsidRDefault="006D700E" w:rsidP="007677C1">
      <w:pPr>
        <w:rPr>
          <w:rFonts w:ascii="Franklin Gothic Book" w:hAnsi="Franklin Gothic Book" w:cs="Times New Roman"/>
          <w:sz w:val="22"/>
          <w:szCs w:val="22"/>
        </w:rPr>
      </w:pPr>
    </w:p>
    <w:p w14:paraId="4E6DF035" w14:textId="77777777" w:rsidR="00835D3E" w:rsidRDefault="00EF0BFB" w:rsidP="00835D3E">
      <w:pPr>
        <w:rPr>
          <w:rFonts w:ascii="Franklin Gothic Book" w:hAnsi="Franklin Gothic Book" w:cs="Times New Roman"/>
          <w:sz w:val="22"/>
          <w:szCs w:val="22"/>
        </w:rPr>
      </w:pPr>
      <w:r w:rsidRPr="009C0C39">
        <w:rPr>
          <w:rFonts w:ascii="Franklin Gothic Book" w:hAnsi="Franklin Gothic Book" w:cs="Times New Roman"/>
          <w:sz w:val="22"/>
          <w:szCs w:val="22"/>
        </w:rPr>
        <w:t xml:space="preserve">Since there are regional differences within Massachusetts regarding the </w:t>
      </w:r>
      <w:r w:rsidR="00580531" w:rsidRPr="009C0C39">
        <w:rPr>
          <w:rFonts w:ascii="Franklin Gothic Book" w:hAnsi="Franklin Gothic Book" w:cs="Times New Roman"/>
          <w:sz w:val="22"/>
          <w:szCs w:val="22"/>
        </w:rPr>
        <w:t xml:space="preserve">proportion of patients </w:t>
      </w:r>
      <w:r w:rsidR="00F13839" w:rsidRPr="009C0C39">
        <w:rPr>
          <w:rFonts w:ascii="Franklin Gothic Book" w:hAnsi="Franklin Gothic Book" w:cs="Times New Roman"/>
          <w:sz w:val="22"/>
          <w:szCs w:val="22"/>
        </w:rPr>
        <w:t>covered by</w:t>
      </w:r>
      <w:r w:rsidR="00580531" w:rsidRPr="009C0C39">
        <w:rPr>
          <w:rFonts w:ascii="Franklin Gothic Book" w:hAnsi="Franklin Gothic Book" w:cs="Times New Roman"/>
          <w:sz w:val="22"/>
          <w:szCs w:val="22"/>
        </w:rPr>
        <w:t xml:space="preserve"> commercial, Medicare and Medicaid</w:t>
      </w:r>
      <w:r w:rsidR="007677C1" w:rsidRPr="009C0C39">
        <w:rPr>
          <w:rFonts w:ascii="Franklin Gothic Book" w:hAnsi="Franklin Gothic Book" w:cs="Times New Roman"/>
          <w:sz w:val="22"/>
          <w:szCs w:val="22"/>
        </w:rPr>
        <w:t xml:space="preserve">, we also compared each hospital’s inpatient payer mix to the mix of </w:t>
      </w:r>
      <w:r w:rsidR="00B35F6E" w:rsidRPr="009C0C39">
        <w:rPr>
          <w:rFonts w:ascii="Franklin Gothic Book" w:hAnsi="Franklin Gothic Book" w:cs="Times New Roman"/>
          <w:sz w:val="22"/>
          <w:szCs w:val="22"/>
        </w:rPr>
        <w:t>in</w:t>
      </w:r>
      <w:r w:rsidR="007677C1" w:rsidRPr="009C0C39">
        <w:rPr>
          <w:rFonts w:ascii="Franklin Gothic Book" w:hAnsi="Franklin Gothic Book" w:cs="Times New Roman"/>
          <w:sz w:val="22"/>
          <w:szCs w:val="22"/>
        </w:rPr>
        <w:t xml:space="preserve">patients in that hospital’s </w:t>
      </w:r>
      <w:r w:rsidR="00926628" w:rsidRPr="009C0C39">
        <w:rPr>
          <w:rFonts w:ascii="Franklin Gothic Book" w:hAnsi="Franklin Gothic Book" w:cs="Times New Roman"/>
          <w:sz w:val="22"/>
          <w:szCs w:val="22"/>
        </w:rPr>
        <w:t>primary service area (</w:t>
      </w:r>
      <w:r w:rsidR="007677C1" w:rsidRPr="009C0C39">
        <w:rPr>
          <w:rFonts w:ascii="Franklin Gothic Book" w:hAnsi="Franklin Gothic Book" w:cs="Times New Roman"/>
          <w:sz w:val="22"/>
          <w:szCs w:val="22"/>
        </w:rPr>
        <w:t>PSA</w:t>
      </w:r>
      <w:r w:rsidR="00926628" w:rsidRPr="009C0C39">
        <w:rPr>
          <w:rFonts w:ascii="Franklin Gothic Book" w:hAnsi="Franklin Gothic Book" w:cs="Times New Roman"/>
          <w:sz w:val="22"/>
          <w:szCs w:val="22"/>
        </w:rPr>
        <w:t>)</w:t>
      </w:r>
      <w:r w:rsidR="007677C1" w:rsidRPr="009C0C39">
        <w:rPr>
          <w:rFonts w:ascii="Franklin Gothic Book" w:hAnsi="Franklin Gothic Book" w:cs="Times New Roman"/>
          <w:sz w:val="22"/>
          <w:szCs w:val="22"/>
        </w:rPr>
        <w:t>.</w:t>
      </w:r>
      <w:r w:rsidR="007677C1" w:rsidRPr="009C0C39">
        <w:rPr>
          <w:rFonts w:ascii="Franklin Gothic Book" w:hAnsi="Franklin Gothic Book" w:cs="Times New Roman"/>
          <w:sz w:val="22"/>
          <w:szCs w:val="22"/>
          <w:vertAlign w:val="superscript"/>
        </w:rPr>
        <w:footnoteReference w:id="226"/>
      </w:r>
      <w:r w:rsidR="007677C1" w:rsidRPr="009C0C39">
        <w:rPr>
          <w:rFonts w:ascii="Franklin Gothic Book" w:hAnsi="Franklin Gothic Book" w:cs="Times New Roman"/>
          <w:sz w:val="22"/>
          <w:szCs w:val="22"/>
        </w:rPr>
        <w:t xml:space="preserve"> We found that many MGB hospitals have high</w:t>
      </w:r>
      <w:r w:rsidR="0021785C" w:rsidRPr="009C0C39">
        <w:rPr>
          <w:rFonts w:ascii="Franklin Gothic Book" w:hAnsi="Franklin Gothic Book" w:cs="Times New Roman"/>
          <w:sz w:val="22"/>
          <w:szCs w:val="22"/>
        </w:rPr>
        <w:t>er</w:t>
      </w:r>
      <w:r w:rsidR="007677C1" w:rsidRPr="009C0C39">
        <w:rPr>
          <w:rFonts w:ascii="Franklin Gothic Book" w:hAnsi="Franklin Gothic Book" w:cs="Times New Roman"/>
          <w:sz w:val="22"/>
          <w:szCs w:val="22"/>
        </w:rPr>
        <w:t xml:space="preserve"> shares of inpatients with commercial insurance and low</w:t>
      </w:r>
      <w:r w:rsidR="0021785C" w:rsidRPr="009C0C39">
        <w:rPr>
          <w:rFonts w:ascii="Franklin Gothic Book" w:hAnsi="Franklin Gothic Book" w:cs="Times New Roman"/>
          <w:sz w:val="22"/>
          <w:szCs w:val="22"/>
        </w:rPr>
        <w:t>er</w:t>
      </w:r>
      <w:r w:rsidR="007677C1" w:rsidRPr="009C0C39">
        <w:rPr>
          <w:rFonts w:ascii="Franklin Gothic Book" w:hAnsi="Franklin Gothic Book" w:cs="Times New Roman"/>
          <w:sz w:val="22"/>
          <w:szCs w:val="22"/>
        </w:rPr>
        <w:t xml:space="preserve"> shares of inpatients with Medicare and Medicaid, </w:t>
      </w:r>
      <w:r w:rsidR="0021785C" w:rsidRPr="009C0C39">
        <w:rPr>
          <w:rFonts w:ascii="Franklin Gothic Book" w:hAnsi="Franklin Gothic Book" w:cs="Times New Roman"/>
          <w:sz w:val="22"/>
          <w:szCs w:val="22"/>
        </w:rPr>
        <w:t xml:space="preserve">as compared to the overall mix in the hospital’s service area, </w:t>
      </w:r>
      <w:r w:rsidR="007677C1" w:rsidRPr="009C0C39">
        <w:rPr>
          <w:rFonts w:ascii="Franklin Gothic Book" w:hAnsi="Franklin Gothic Book" w:cs="Times New Roman"/>
          <w:sz w:val="22"/>
          <w:szCs w:val="22"/>
        </w:rPr>
        <w:t>with these differences often being greater than for hospitals of other systems.</w:t>
      </w:r>
      <w:r w:rsidR="007677C1" w:rsidRPr="009C0C39">
        <w:rPr>
          <w:rStyle w:val="FootnoteReference"/>
          <w:rFonts w:ascii="Franklin Gothic Book" w:hAnsi="Franklin Gothic Book" w:cs="Times New Roman"/>
          <w:sz w:val="22"/>
          <w:szCs w:val="22"/>
        </w:rPr>
        <w:footnoteReference w:id="227"/>
      </w:r>
    </w:p>
    <w:p w14:paraId="5A5A037F" w14:textId="666F1462" w:rsidR="00075FC9" w:rsidRPr="009C0C39" w:rsidRDefault="00835D3E" w:rsidP="00835D3E">
      <w:pPr>
        <w:rPr>
          <w:rFonts w:ascii="Franklin Gothic Book" w:hAnsi="Franklin Gothic Book" w:cs="Times New Roman"/>
          <w:b/>
          <w:bCs/>
          <w:sz w:val="22"/>
          <w:szCs w:val="22"/>
        </w:rPr>
      </w:pPr>
      <w:r w:rsidRPr="009C0C39">
        <w:rPr>
          <w:rFonts w:ascii="Franklin Gothic Book" w:hAnsi="Franklin Gothic Book" w:cs="Times New Roman"/>
          <w:b/>
          <w:bCs/>
          <w:sz w:val="22"/>
          <w:szCs w:val="22"/>
        </w:rPr>
        <w:t xml:space="preserve"> </w:t>
      </w:r>
    </w:p>
    <w:p w14:paraId="33599E1B" w14:textId="40500EF1" w:rsidR="001B3DBD" w:rsidRPr="009C0C39" w:rsidRDefault="001B3DBD" w:rsidP="001B3DBD">
      <w:pPr>
        <w:jc w:val="center"/>
        <w:rPr>
          <w:rFonts w:ascii="Franklin Gothic Book" w:hAnsi="Franklin Gothic Book" w:cs="Times New Roman"/>
          <w:b/>
          <w:sz w:val="22"/>
          <w:szCs w:val="22"/>
          <w:vertAlign w:val="superscript"/>
        </w:rPr>
      </w:pPr>
      <w:r w:rsidRPr="009C0C39">
        <w:rPr>
          <w:rFonts w:ascii="Franklin Gothic Book" w:hAnsi="Franklin Gothic Book" w:cs="Times New Roman"/>
          <w:b/>
          <w:bCs/>
          <w:sz w:val="22"/>
          <w:szCs w:val="22"/>
        </w:rPr>
        <w:t>Inpatient Payer Mix at Hospital Systems Compared to PSA (2019)</w:t>
      </w:r>
      <w:r w:rsidR="007929F4" w:rsidRPr="009C0C39" w:rsidDel="007929F4">
        <w:rPr>
          <w:rStyle w:val="FootnoteReference"/>
          <w:rFonts w:ascii="Franklin Gothic Book" w:hAnsi="Franklin Gothic Book" w:cs="Times New Roman"/>
          <w:b/>
          <w:bCs/>
          <w:sz w:val="22"/>
          <w:szCs w:val="22"/>
        </w:rPr>
        <w:t xml:space="preserve"> </w:t>
      </w:r>
    </w:p>
    <w:p w14:paraId="3E6AE699" w14:textId="77777777" w:rsidR="00F63EFF" w:rsidRPr="009C0C39" w:rsidRDefault="00F63EFF" w:rsidP="007677C1">
      <w:pPr>
        <w:rPr>
          <w:rFonts w:ascii="Franklin Gothic Book" w:hAnsi="Franklin Gothic Book" w:cs="Times New Roman"/>
          <w:sz w:val="22"/>
          <w:szCs w:val="22"/>
        </w:rPr>
      </w:pPr>
    </w:p>
    <w:p w14:paraId="0B3B7253" w14:textId="5975089D" w:rsidR="001B3DBD" w:rsidRPr="009C0C39" w:rsidRDefault="000878AA" w:rsidP="007677C1">
      <w:pPr>
        <w:rPr>
          <w:rFonts w:ascii="Franklin Gothic Book" w:hAnsi="Franklin Gothic Book" w:cs="Times New Roman"/>
          <w:sz w:val="22"/>
          <w:szCs w:val="22"/>
        </w:rPr>
      </w:pPr>
      <w:r w:rsidRPr="009C0C39">
        <w:rPr>
          <w:rFonts w:ascii="Franklin Gothic Book" w:hAnsi="Franklin Gothic Book" w:cs="Times New Roman"/>
          <w:noProof/>
          <w:sz w:val="22"/>
          <w:szCs w:val="22"/>
        </w:rPr>
        <w:drawing>
          <wp:inline distT="0" distB="0" distL="0" distR="0" wp14:anchorId="051DC82A" wp14:editId="7E4CD8CB">
            <wp:extent cx="6170863" cy="4349931"/>
            <wp:effectExtent l="0" t="0" r="1905" b="0"/>
            <wp:docPr id="2058" name="Picture 205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2058" descr="Chart, ba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218291" cy="4383364"/>
                    </a:xfrm>
                    <a:prstGeom prst="rect">
                      <a:avLst/>
                    </a:prstGeom>
                  </pic:spPr>
                </pic:pic>
              </a:graphicData>
            </a:graphic>
          </wp:inline>
        </w:drawing>
      </w:r>
    </w:p>
    <w:p w14:paraId="47DC0A23" w14:textId="03CF41DA" w:rsidR="007929F4" w:rsidRPr="009C0C39" w:rsidRDefault="007929F4" w:rsidP="007677C1">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HPC analysis of CHIA 2019 </w:t>
      </w:r>
      <w:r w:rsidR="00D72996" w:rsidRPr="009C0C39">
        <w:rPr>
          <w:rFonts w:ascii="Franklin Gothic Book" w:hAnsi="Franklin Gothic Book" w:cs="Times New Roman"/>
          <w:sz w:val="18"/>
          <w:szCs w:val="18"/>
        </w:rPr>
        <w:t>h</w:t>
      </w:r>
      <w:r w:rsidRPr="009C0C39">
        <w:rPr>
          <w:rFonts w:ascii="Franklin Gothic Book" w:hAnsi="Franklin Gothic Book" w:cs="Times New Roman"/>
          <w:sz w:val="18"/>
          <w:szCs w:val="18"/>
        </w:rPr>
        <w:t xml:space="preserve">ospital </w:t>
      </w:r>
      <w:r w:rsidR="00D72996" w:rsidRPr="009C0C39">
        <w:rPr>
          <w:rFonts w:ascii="Franklin Gothic Book" w:hAnsi="Franklin Gothic Book" w:cs="Times New Roman"/>
          <w:sz w:val="18"/>
          <w:szCs w:val="18"/>
        </w:rPr>
        <w:t>d</w:t>
      </w:r>
      <w:r w:rsidRPr="009C0C39">
        <w:rPr>
          <w:rFonts w:ascii="Franklin Gothic Book" w:hAnsi="Franklin Gothic Book" w:cs="Times New Roman"/>
          <w:sz w:val="18"/>
          <w:szCs w:val="18"/>
        </w:rPr>
        <w:t xml:space="preserve">ischarge </w:t>
      </w:r>
      <w:r w:rsidR="00D72996" w:rsidRPr="009C0C39">
        <w:rPr>
          <w:rFonts w:ascii="Franklin Gothic Book" w:hAnsi="Franklin Gothic Book" w:cs="Times New Roman"/>
          <w:sz w:val="18"/>
          <w:szCs w:val="18"/>
        </w:rPr>
        <w:t>d</w:t>
      </w:r>
      <w:r w:rsidRPr="009C0C39">
        <w:rPr>
          <w:rFonts w:ascii="Franklin Gothic Book" w:hAnsi="Franklin Gothic Book" w:cs="Times New Roman"/>
          <w:sz w:val="18"/>
          <w:szCs w:val="18"/>
        </w:rPr>
        <w:t>ata.</w:t>
      </w:r>
    </w:p>
    <w:p w14:paraId="320F5992" w14:textId="4BCBE897" w:rsidR="007929F4" w:rsidRPr="009C0C39" w:rsidRDefault="007929F4" w:rsidP="007677C1">
      <w:pPr>
        <w:rPr>
          <w:rFonts w:ascii="Franklin Gothic Book" w:hAnsi="Franklin Gothic Book" w:cs="Times New Roman"/>
          <w:sz w:val="18"/>
          <w:szCs w:val="18"/>
        </w:rPr>
      </w:pPr>
      <w:r w:rsidRPr="009C0C39">
        <w:rPr>
          <w:rFonts w:ascii="Franklin Gothic Book" w:hAnsi="Franklin Gothic Book" w:cs="Times New Roman"/>
          <w:sz w:val="18"/>
          <w:szCs w:val="18"/>
        </w:rPr>
        <w:t>Notes: In this analysis, Commonwealth Care Plans, Free Care, and Health Safety Net are all grouped under Medicaid. Self Pay/Other includes auto insurance, secondary payers, self-pay, worker’s compensation, and other non-managed care. In 2019, Boston Medical Center (BMC) reported a major decline in Medicaid discharges and a major increase in Self Pay discharges. After reviewing the data, CHIA determined that most of those discharges reported as self pay were ultimately paid for by Medicaid. As such, for BMC alone, we have grouped self pay discharges with Medicaid discharges, instead of with discharges with Other Government payers.</w:t>
      </w:r>
    </w:p>
    <w:p w14:paraId="2B57250C" w14:textId="77777777" w:rsidR="007B312C" w:rsidRPr="009C0C39" w:rsidRDefault="007B312C" w:rsidP="004D0D45">
      <w:pPr>
        <w:rPr>
          <w:rFonts w:ascii="Franklin Gothic Book" w:hAnsi="Franklin Gothic Book" w:cs="Times New Roman"/>
          <w:sz w:val="22"/>
          <w:szCs w:val="22"/>
        </w:rPr>
      </w:pPr>
    </w:p>
    <w:p w14:paraId="724920F5" w14:textId="2C91465E" w:rsidR="007677C1" w:rsidRPr="009C0C39" w:rsidRDefault="007677C1" w:rsidP="007677C1">
      <w:pPr>
        <w:rPr>
          <w:rFonts w:ascii="Franklin Gothic Book" w:hAnsi="Franklin Gothic Book" w:cs="Times New Roman"/>
          <w:b/>
          <w:bCs/>
          <w:sz w:val="22"/>
          <w:szCs w:val="22"/>
        </w:rPr>
      </w:pPr>
      <w:r w:rsidRPr="009C0C39">
        <w:rPr>
          <w:rFonts w:ascii="Franklin Gothic Book" w:hAnsi="Franklin Gothic Book" w:cs="Times New Roman"/>
          <w:sz w:val="22"/>
          <w:szCs w:val="22"/>
        </w:rPr>
        <w:br w:type="column"/>
      </w:r>
      <w:bookmarkStart w:id="126" w:name="Appendix_IIG"/>
      <w:bookmarkEnd w:id="126"/>
      <w:r w:rsidRPr="009C0C39">
        <w:rPr>
          <w:rFonts w:ascii="Franklin Gothic Book" w:hAnsi="Franklin Gothic Book" w:cs="Times New Roman"/>
          <w:b/>
          <w:bCs/>
          <w:sz w:val="22"/>
          <w:szCs w:val="22"/>
        </w:rPr>
        <w:lastRenderedPageBreak/>
        <w:t>Appendix II.</w:t>
      </w:r>
      <w:r w:rsidR="00F254DD" w:rsidRPr="009C0C39">
        <w:rPr>
          <w:rFonts w:ascii="Franklin Gothic Book" w:hAnsi="Franklin Gothic Book" w:cs="Times New Roman"/>
          <w:b/>
          <w:bCs/>
          <w:sz w:val="22"/>
          <w:szCs w:val="22"/>
        </w:rPr>
        <w:t>G</w:t>
      </w:r>
      <w:r w:rsidRPr="009C0C39">
        <w:rPr>
          <w:rFonts w:ascii="Franklin Gothic Book" w:hAnsi="Franklin Gothic Book" w:cs="Times New Roman"/>
          <w:b/>
          <w:bCs/>
          <w:sz w:val="22"/>
          <w:szCs w:val="22"/>
        </w:rPr>
        <w:t xml:space="preserve">: MGB Primary Care Patient Panel Characteristics </w:t>
      </w:r>
    </w:p>
    <w:p w14:paraId="54ADDEE1" w14:textId="77777777" w:rsidR="00504D61" w:rsidRPr="009C0C39" w:rsidRDefault="00504D61" w:rsidP="007677C1">
      <w:pPr>
        <w:rPr>
          <w:rFonts w:ascii="Franklin Gothic Book" w:hAnsi="Franklin Gothic Book" w:cs="Times New Roman"/>
          <w:sz w:val="22"/>
          <w:szCs w:val="22"/>
        </w:rPr>
      </w:pPr>
    </w:p>
    <w:p w14:paraId="7F1A9C1D" w14:textId="117B35FD" w:rsidR="007677C1" w:rsidRPr="009C0C39" w:rsidRDefault="007677C1" w:rsidP="007929F4">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Payer mix at each health system is directly tied to socioeconomic characteristics of the health system’s patient panel. Relative to other Massachusetts providers, MGB primary care patients </w:t>
      </w:r>
      <w:r w:rsidR="00375F67" w:rsidRPr="009C0C39">
        <w:rPr>
          <w:rFonts w:ascii="Franklin Gothic Book" w:hAnsi="Franklin Gothic Book" w:cs="Times New Roman"/>
          <w:sz w:val="22"/>
          <w:szCs w:val="22"/>
        </w:rPr>
        <w:t xml:space="preserve">generally come </w:t>
      </w:r>
      <w:r w:rsidRPr="009C0C39">
        <w:rPr>
          <w:rFonts w:ascii="Franklin Gothic Book" w:hAnsi="Franklin Gothic Book" w:cs="Times New Roman"/>
          <w:sz w:val="22"/>
          <w:szCs w:val="22"/>
        </w:rPr>
        <w:t xml:space="preserve">from higher </w:t>
      </w:r>
      <w:r w:rsidR="00375F67" w:rsidRPr="009C0C39">
        <w:rPr>
          <w:rFonts w:ascii="Franklin Gothic Book" w:hAnsi="Franklin Gothic Book" w:cs="Times New Roman"/>
          <w:sz w:val="22"/>
          <w:szCs w:val="22"/>
        </w:rPr>
        <w:t>income communities</w:t>
      </w:r>
      <w:r w:rsidRPr="009C0C39">
        <w:rPr>
          <w:rFonts w:ascii="Franklin Gothic Book" w:hAnsi="Franklin Gothic Book" w:cs="Times New Roman"/>
          <w:sz w:val="22"/>
          <w:szCs w:val="22"/>
        </w:rPr>
        <w:t xml:space="preserve"> </w:t>
      </w:r>
      <w:r w:rsidR="00375F67" w:rsidRPr="009C0C39">
        <w:rPr>
          <w:rFonts w:ascii="Franklin Gothic Book" w:hAnsi="Franklin Gothic Book" w:cs="Times New Roman"/>
          <w:sz w:val="22"/>
          <w:szCs w:val="22"/>
        </w:rPr>
        <w:t xml:space="preserve">with fewer indicia of social need </w:t>
      </w:r>
      <w:r w:rsidRPr="009C0C39">
        <w:rPr>
          <w:rFonts w:ascii="Franklin Gothic Book" w:hAnsi="Franklin Gothic Book" w:cs="Times New Roman"/>
          <w:sz w:val="22"/>
          <w:szCs w:val="22"/>
        </w:rPr>
        <w:t xml:space="preserve">compared to almost </w:t>
      </w:r>
      <w:r w:rsidR="00504D61" w:rsidRPr="009C0C39">
        <w:rPr>
          <w:rFonts w:ascii="Franklin Gothic Book" w:hAnsi="Franklin Gothic Book" w:cs="Times New Roman"/>
          <w:sz w:val="22"/>
          <w:szCs w:val="22"/>
        </w:rPr>
        <w:t xml:space="preserve">all </w:t>
      </w:r>
      <w:r w:rsidRPr="009C0C39">
        <w:rPr>
          <w:rFonts w:ascii="Franklin Gothic Book" w:hAnsi="Franklin Gothic Book" w:cs="Times New Roman"/>
          <w:sz w:val="22"/>
          <w:szCs w:val="22"/>
        </w:rPr>
        <w:t>other systems</w:t>
      </w:r>
      <w:r w:rsidR="00375F67" w:rsidRPr="009C0C39">
        <w:rPr>
          <w:rFonts w:ascii="Franklin Gothic Book" w:hAnsi="Franklin Gothic Book" w:cs="Times New Roman"/>
          <w:sz w:val="22"/>
          <w:szCs w:val="22"/>
        </w:rPr>
        <w:t xml:space="preserve"> in Massachusetts</w:t>
      </w:r>
      <w:r w:rsidRPr="009C0C39">
        <w:rPr>
          <w:rFonts w:ascii="Franklin Gothic Book" w:hAnsi="Franklin Gothic Book" w:cs="Times New Roman"/>
          <w:sz w:val="22"/>
          <w:szCs w:val="22"/>
        </w:rPr>
        <w:t>.</w:t>
      </w:r>
      <w:r w:rsidRPr="009C0C39">
        <w:rPr>
          <w:rStyle w:val="FootnoteReference"/>
          <w:rFonts w:ascii="Franklin Gothic Book" w:hAnsi="Franklin Gothic Book" w:cs="Times New Roman"/>
          <w:sz w:val="22"/>
          <w:szCs w:val="22"/>
        </w:rPr>
        <w:footnoteReference w:id="228"/>
      </w:r>
      <w:r w:rsidRPr="009C0C39">
        <w:rPr>
          <w:rFonts w:ascii="Franklin Gothic Book" w:hAnsi="Franklin Gothic Book" w:cs="Times New Roman"/>
          <w:sz w:val="22"/>
          <w:szCs w:val="22"/>
          <w:vertAlign w:val="superscript"/>
        </w:rPr>
        <w:t xml:space="preserve">, </w:t>
      </w:r>
      <w:r w:rsidRPr="009C0C39">
        <w:rPr>
          <w:rStyle w:val="FootnoteReference"/>
          <w:rFonts w:ascii="Franklin Gothic Book" w:hAnsi="Franklin Gothic Book" w:cs="Times New Roman"/>
          <w:sz w:val="22"/>
          <w:szCs w:val="22"/>
        </w:rPr>
        <w:footnoteReference w:id="229"/>
      </w:r>
      <w:r w:rsidRPr="009C0C39">
        <w:rPr>
          <w:rFonts w:ascii="Franklin Gothic Book" w:hAnsi="Franklin Gothic Book" w:cs="Times New Roman"/>
          <w:sz w:val="22"/>
          <w:szCs w:val="22"/>
        </w:rPr>
        <w:t xml:space="preserve"> </w:t>
      </w:r>
    </w:p>
    <w:p w14:paraId="06CF6033" w14:textId="1F2C2808" w:rsidR="00EA0EB6" w:rsidRPr="009C0C39" w:rsidRDefault="00EA0EB6" w:rsidP="007677C1">
      <w:pPr>
        <w:rPr>
          <w:rFonts w:ascii="Franklin Gothic Book" w:hAnsi="Franklin Gothic Book" w:cs="Times New Roman"/>
          <w:sz w:val="22"/>
          <w:szCs w:val="22"/>
        </w:rPr>
      </w:pPr>
    </w:p>
    <w:tbl>
      <w:tblPr>
        <w:tblStyle w:val="ListTable4-Accent3"/>
        <w:tblW w:w="9450" w:type="dxa"/>
        <w:tblBorders>
          <w:top w:val="none" w:sz="0" w:space="0" w:color="auto"/>
          <w:left w:val="none" w:sz="0" w:space="0" w:color="auto"/>
          <w:bottom w:val="none" w:sz="0" w:space="0" w:color="auto"/>
          <w:right w:val="none" w:sz="0" w:space="0" w:color="auto"/>
          <w:insideH w:val="none" w:sz="0" w:space="0" w:color="auto"/>
        </w:tblBorders>
        <w:tblLayout w:type="fixed"/>
        <w:tblCellMar>
          <w:top w:w="14" w:type="dxa"/>
          <w:bottom w:w="14" w:type="dxa"/>
        </w:tblCellMar>
        <w:tblLook w:val="04A0" w:firstRow="1" w:lastRow="0" w:firstColumn="1" w:lastColumn="0" w:noHBand="0" w:noVBand="1"/>
        <w:tblCaption w:val="Appendix II.G: MGB Primary Care Patient Panel Characteristics "/>
        <w:tblDescription w:val="Appendix II.G: MGB Primary Care Patient Panel Characteristics "/>
      </w:tblPr>
      <w:tblGrid>
        <w:gridCol w:w="3960"/>
        <w:gridCol w:w="2942"/>
        <w:gridCol w:w="2548"/>
      </w:tblGrid>
      <w:tr w:rsidR="00F446C7" w:rsidRPr="00CE5B63" w14:paraId="2DF09AE4" w14:textId="77777777" w:rsidTr="006B6365">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left w:val="none" w:sz="0" w:space="0" w:color="auto"/>
              <w:bottom w:val="none" w:sz="0" w:space="0" w:color="auto"/>
            </w:tcBorders>
            <w:shd w:val="clear" w:color="auto" w:fill="074A75"/>
            <w:noWrap/>
            <w:vAlign w:val="center"/>
            <w:hideMark/>
          </w:tcPr>
          <w:p w14:paraId="5B0683C2" w14:textId="77777777" w:rsidR="00F446C7" w:rsidRPr="00443633" w:rsidRDefault="00F446C7" w:rsidP="00E33B00">
            <w:pPr>
              <w:jc w:val="center"/>
              <w:rPr>
                <w:rFonts w:ascii="Franklin Gothic Demi Cond" w:hAnsi="Franklin Gothic Demi Cond" w:cs="Arial"/>
                <w:b w:val="0"/>
                <w:bCs w:val="0"/>
                <w:sz w:val="22"/>
                <w:szCs w:val="22"/>
              </w:rPr>
            </w:pPr>
            <w:r w:rsidRPr="00443633">
              <w:rPr>
                <w:rFonts w:ascii="Franklin Gothic Demi Cond" w:hAnsi="Franklin Gothic Demi Cond" w:cs="Arial"/>
                <w:b w:val="0"/>
                <w:bCs w:val="0"/>
                <w:sz w:val="22"/>
                <w:szCs w:val="22"/>
              </w:rPr>
              <w:t>Provider Organization</w:t>
            </w:r>
          </w:p>
        </w:tc>
        <w:tc>
          <w:tcPr>
            <w:tcW w:w="2942" w:type="dxa"/>
            <w:tcBorders>
              <w:top w:val="none" w:sz="0" w:space="0" w:color="auto"/>
              <w:bottom w:val="none" w:sz="0" w:space="0" w:color="auto"/>
            </w:tcBorders>
            <w:shd w:val="clear" w:color="auto" w:fill="074A75"/>
            <w:noWrap/>
            <w:vAlign w:val="center"/>
            <w:hideMark/>
          </w:tcPr>
          <w:p w14:paraId="23F97D8C" w14:textId="77777777" w:rsidR="00F446C7" w:rsidRPr="00443633" w:rsidRDefault="00F446C7" w:rsidP="00E33B00">
            <w:pPr>
              <w:jc w:val="center"/>
              <w:cnfStyle w:val="100000000000" w:firstRow="1" w:lastRow="0" w:firstColumn="0" w:lastColumn="0" w:oddVBand="0" w:evenVBand="0" w:oddHBand="0" w:evenHBand="0" w:firstRowFirstColumn="0" w:firstRowLastColumn="0" w:lastRowFirstColumn="0" w:lastRowLastColumn="0"/>
              <w:rPr>
                <w:rFonts w:ascii="Franklin Gothic Demi Cond" w:hAnsi="Franklin Gothic Demi Cond" w:cs="Arial"/>
                <w:b w:val="0"/>
                <w:bCs w:val="0"/>
                <w:sz w:val="22"/>
                <w:szCs w:val="22"/>
              </w:rPr>
            </w:pPr>
            <w:r w:rsidRPr="00443633">
              <w:rPr>
                <w:rFonts w:ascii="Franklin Gothic Demi Cond" w:hAnsi="Franklin Gothic Demi Cond" w:cs="Arial"/>
                <w:b w:val="0"/>
                <w:bCs w:val="0"/>
                <w:sz w:val="22"/>
                <w:szCs w:val="22"/>
              </w:rPr>
              <w:t>Median Zip Code Income of Attributed Patients (2016)</w:t>
            </w:r>
          </w:p>
        </w:tc>
        <w:tc>
          <w:tcPr>
            <w:tcW w:w="2548" w:type="dxa"/>
            <w:tcBorders>
              <w:top w:val="none" w:sz="0" w:space="0" w:color="auto"/>
              <w:bottom w:val="none" w:sz="0" w:space="0" w:color="auto"/>
              <w:right w:val="none" w:sz="0" w:space="0" w:color="auto"/>
            </w:tcBorders>
            <w:shd w:val="clear" w:color="auto" w:fill="074A75"/>
            <w:noWrap/>
            <w:vAlign w:val="center"/>
            <w:hideMark/>
          </w:tcPr>
          <w:p w14:paraId="3552360F" w14:textId="77777777" w:rsidR="00F446C7" w:rsidRPr="00443633" w:rsidRDefault="00F446C7" w:rsidP="00E33B00">
            <w:pPr>
              <w:jc w:val="center"/>
              <w:cnfStyle w:val="100000000000" w:firstRow="1" w:lastRow="0" w:firstColumn="0" w:lastColumn="0" w:oddVBand="0" w:evenVBand="0" w:oddHBand="0" w:evenHBand="0" w:firstRowFirstColumn="0" w:firstRowLastColumn="0" w:lastRowFirstColumn="0" w:lastRowLastColumn="0"/>
              <w:rPr>
                <w:rFonts w:ascii="Franklin Gothic Demi Cond" w:hAnsi="Franklin Gothic Demi Cond" w:cs="Arial"/>
                <w:b w:val="0"/>
                <w:bCs w:val="0"/>
                <w:sz w:val="22"/>
                <w:szCs w:val="22"/>
              </w:rPr>
            </w:pPr>
            <w:r w:rsidRPr="00443633">
              <w:rPr>
                <w:rFonts w:ascii="Franklin Gothic Demi Cond" w:hAnsi="Franklin Gothic Demi Cond" w:cs="Arial"/>
                <w:b w:val="0"/>
                <w:bCs w:val="0"/>
                <w:sz w:val="22"/>
                <w:szCs w:val="22"/>
              </w:rPr>
              <w:t>Area Deprivation Index (2018)</w:t>
            </w:r>
          </w:p>
        </w:tc>
      </w:tr>
      <w:tr w:rsidR="00F446C7" w:rsidRPr="00CE5B63" w14:paraId="29B9F644"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tcBorders>
              <w:bottom w:val="single" w:sz="18" w:space="0" w:color="F2682A" w:themeColor="accent2"/>
            </w:tcBorders>
            <w:noWrap/>
            <w:vAlign w:val="center"/>
            <w:hideMark/>
          </w:tcPr>
          <w:p w14:paraId="0272F493"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MACIPA</w:t>
            </w:r>
          </w:p>
        </w:tc>
        <w:tc>
          <w:tcPr>
            <w:tcW w:w="2942" w:type="dxa"/>
            <w:tcBorders>
              <w:bottom w:val="single" w:sz="18" w:space="0" w:color="F2682A" w:themeColor="accent2"/>
            </w:tcBorders>
            <w:noWrap/>
            <w:vAlign w:val="center"/>
            <w:hideMark/>
          </w:tcPr>
          <w:p w14:paraId="0F1D536B"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sz w:val="19"/>
                <w:szCs w:val="19"/>
              </w:rPr>
            </w:pPr>
            <w:r w:rsidRPr="00B76A92">
              <w:rPr>
                <w:rFonts w:ascii="Franklin Gothic Book" w:hAnsi="Franklin Gothic Book" w:cs="Arial"/>
                <w:sz w:val="19"/>
                <w:szCs w:val="19"/>
              </w:rPr>
              <w:t>$105,065</w:t>
            </w:r>
          </w:p>
        </w:tc>
        <w:tc>
          <w:tcPr>
            <w:tcW w:w="2548" w:type="dxa"/>
            <w:tcBorders>
              <w:bottom w:val="single" w:sz="18" w:space="0" w:color="F2682A" w:themeColor="accent2"/>
            </w:tcBorders>
            <w:noWrap/>
            <w:vAlign w:val="center"/>
            <w:hideMark/>
          </w:tcPr>
          <w:p w14:paraId="7315E332"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10.7</w:t>
            </w:r>
          </w:p>
        </w:tc>
      </w:tr>
      <w:tr w:rsidR="00F446C7" w:rsidRPr="00CE5B63" w14:paraId="0074DB26"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tcBorders>
              <w:top w:val="single" w:sz="18" w:space="0" w:color="F2682A" w:themeColor="accent2"/>
              <w:left w:val="single" w:sz="18" w:space="0" w:color="F2682A" w:themeColor="accent2"/>
              <w:bottom w:val="single" w:sz="12" w:space="0" w:color="FFFFFF" w:themeColor="background1"/>
            </w:tcBorders>
            <w:shd w:val="clear" w:color="auto" w:fill="FDF3ED"/>
            <w:noWrap/>
            <w:vAlign w:val="center"/>
            <w:hideMark/>
          </w:tcPr>
          <w:p w14:paraId="5E296757" w14:textId="77777777" w:rsidR="00F446C7" w:rsidRPr="00B76A92" w:rsidRDefault="00F446C7" w:rsidP="00B76A92">
            <w:pPr>
              <w:rPr>
                <w:rFonts w:ascii="Franklin Gothic Book" w:hAnsi="Franklin Gothic Book" w:cs="Arial"/>
                <w:color w:val="F2682A" w:themeColor="accent2"/>
                <w:sz w:val="19"/>
                <w:szCs w:val="19"/>
              </w:rPr>
            </w:pPr>
            <w:r w:rsidRPr="00B76A92">
              <w:rPr>
                <w:rFonts w:ascii="Franklin Gothic Book" w:hAnsi="Franklin Gothic Book" w:cs="Arial"/>
                <w:color w:val="F2682A" w:themeColor="accent2"/>
                <w:sz w:val="19"/>
                <w:szCs w:val="19"/>
              </w:rPr>
              <w:t>MGB (with Emerson)</w:t>
            </w:r>
          </w:p>
        </w:tc>
        <w:tc>
          <w:tcPr>
            <w:tcW w:w="2942" w:type="dxa"/>
            <w:tcBorders>
              <w:top w:val="single" w:sz="18" w:space="0" w:color="F2682A" w:themeColor="accent2"/>
              <w:bottom w:val="single" w:sz="12" w:space="0" w:color="FFFFFF" w:themeColor="background1"/>
            </w:tcBorders>
            <w:shd w:val="clear" w:color="auto" w:fill="FDF3ED"/>
            <w:noWrap/>
            <w:vAlign w:val="center"/>
            <w:hideMark/>
          </w:tcPr>
          <w:p w14:paraId="756E703C"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b/>
                <w:bCs/>
                <w:color w:val="F2682A" w:themeColor="accent2"/>
                <w:sz w:val="19"/>
                <w:szCs w:val="19"/>
              </w:rPr>
            </w:pPr>
            <w:r w:rsidRPr="00B76A92">
              <w:rPr>
                <w:rFonts w:ascii="Franklin Gothic Book" w:hAnsi="Franklin Gothic Book" w:cs="Arial"/>
                <w:b/>
                <w:bCs/>
                <w:color w:val="F2682A" w:themeColor="accent2"/>
                <w:sz w:val="19"/>
                <w:szCs w:val="19"/>
              </w:rPr>
              <w:t>$103,738</w:t>
            </w:r>
          </w:p>
        </w:tc>
        <w:tc>
          <w:tcPr>
            <w:tcW w:w="2548" w:type="dxa"/>
            <w:tcBorders>
              <w:top w:val="single" w:sz="18" w:space="0" w:color="F2682A" w:themeColor="accent2"/>
              <w:bottom w:val="single" w:sz="12" w:space="0" w:color="FFFFFF" w:themeColor="background1"/>
              <w:right w:val="single" w:sz="18" w:space="0" w:color="F2682A" w:themeColor="accent2"/>
            </w:tcBorders>
            <w:shd w:val="clear" w:color="auto" w:fill="FDF3ED"/>
            <w:noWrap/>
            <w:vAlign w:val="center"/>
            <w:hideMark/>
          </w:tcPr>
          <w:p w14:paraId="28D4A2C3"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b/>
                <w:bCs/>
                <w:color w:val="F2682A" w:themeColor="accent2"/>
                <w:sz w:val="19"/>
                <w:szCs w:val="19"/>
              </w:rPr>
            </w:pPr>
            <w:r w:rsidRPr="00B76A92">
              <w:rPr>
                <w:rFonts w:ascii="Franklin Gothic Book" w:hAnsi="Franklin Gothic Book" w:cs="Arial"/>
                <w:b/>
                <w:bCs/>
                <w:color w:val="F2682A" w:themeColor="accent2"/>
                <w:sz w:val="19"/>
                <w:szCs w:val="19"/>
              </w:rPr>
              <w:t>17.2</w:t>
            </w:r>
          </w:p>
        </w:tc>
      </w:tr>
      <w:tr w:rsidR="00F446C7" w:rsidRPr="00CE5B63" w14:paraId="3A77EA8F"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tcBorders>
              <w:top w:val="single" w:sz="12" w:space="0" w:color="FFFFFF" w:themeColor="background1"/>
              <w:left w:val="single" w:sz="18" w:space="0" w:color="F2682A" w:themeColor="accent2"/>
              <w:bottom w:val="single" w:sz="18" w:space="0" w:color="F2682A" w:themeColor="accent2"/>
            </w:tcBorders>
            <w:shd w:val="clear" w:color="auto" w:fill="FDF3ED"/>
            <w:noWrap/>
            <w:vAlign w:val="center"/>
            <w:hideMark/>
          </w:tcPr>
          <w:p w14:paraId="1E07FF26" w14:textId="77777777" w:rsidR="00F446C7" w:rsidRPr="00B76A92" w:rsidRDefault="00F446C7" w:rsidP="00B76A92">
            <w:pPr>
              <w:rPr>
                <w:rFonts w:ascii="Franklin Gothic Book" w:hAnsi="Franklin Gothic Book" w:cs="Arial"/>
                <w:color w:val="F2682A" w:themeColor="accent2"/>
                <w:sz w:val="19"/>
                <w:szCs w:val="19"/>
              </w:rPr>
            </w:pPr>
            <w:r w:rsidRPr="00B76A92">
              <w:rPr>
                <w:rFonts w:ascii="Franklin Gothic Book" w:hAnsi="Franklin Gothic Book" w:cs="Arial"/>
                <w:color w:val="F2682A" w:themeColor="accent2"/>
                <w:sz w:val="19"/>
                <w:szCs w:val="19"/>
              </w:rPr>
              <w:t>MGB</w:t>
            </w:r>
          </w:p>
        </w:tc>
        <w:tc>
          <w:tcPr>
            <w:tcW w:w="2942" w:type="dxa"/>
            <w:tcBorders>
              <w:top w:val="single" w:sz="12" w:space="0" w:color="FFFFFF" w:themeColor="background1"/>
              <w:bottom w:val="single" w:sz="18" w:space="0" w:color="F2682A" w:themeColor="accent2"/>
            </w:tcBorders>
            <w:shd w:val="clear" w:color="auto" w:fill="FDF3ED"/>
            <w:noWrap/>
            <w:vAlign w:val="center"/>
            <w:hideMark/>
          </w:tcPr>
          <w:p w14:paraId="33D40D14"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b/>
                <w:bCs/>
                <w:color w:val="F2682A" w:themeColor="accent2"/>
                <w:sz w:val="19"/>
                <w:szCs w:val="19"/>
              </w:rPr>
            </w:pPr>
            <w:r w:rsidRPr="00B76A92">
              <w:rPr>
                <w:rFonts w:ascii="Franklin Gothic Book" w:hAnsi="Franklin Gothic Book" w:cs="Arial"/>
                <w:b/>
                <w:bCs/>
                <w:color w:val="F2682A" w:themeColor="accent2"/>
                <w:sz w:val="19"/>
                <w:szCs w:val="19"/>
              </w:rPr>
              <w:t>$103,738</w:t>
            </w:r>
          </w:p>
        </w:tc>
        <w:tc>
          <w:tcPr>
            <w:tcW w:w="2548" w:type="dxa"/>
            <w:tcBorders>
              <w:top w:val="single" w:sz="12" w:space="0" w:color="FFFFFF" w:themeColor="background1"/>
              <w:bottom w:val="single" w:sz="18" w:space="0" w:color="F2682A" w:themeColor="accent2"/>
              <w:right w:val="single" w:sz="18" w:space="0" w:color="F2682A" w:themeColor="accent2"/>
            </w:tcBorders>
            <w:shd w:val="clear" w:color="auto" w:fill="FDF3ED"/>
            <w:noWrap/>
            <w:vAlign w:val="center"/>
            <w:hideMark/>
          </w:tcPr>
          <w:p w14:paraId="6906870D"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b/>
                <w:bCs/>
                <w:color w:val="F2682A" w:themeColor="accent2"/>
                <w:sz w:val="19"/>
                <w:szCs w:val="19"/>
              </w:rPr>
            </w:pPr>
            <w:r w:rsidRPr="00B76A92">
              <w:rPr>
                <w:rFonts w:ascii="Franklin Gothic Book" w:hAnsi="Franklin Gothic Book" w:cs="Arial"/>
                <w:b/>
                <w:bCs/>
                <w:color w:val="F2682A" w:themeColor="accent2"/>
                <w:sz w:val="19"/>
                <w:szCs w:val="19"/>
              </w:rPr>
              <w:t>17.2</w:t>
            </w:r>
          </w:p>
        </w:tc>
      </w:tr>
      <w:tr w:rsidR="00F446C7" w:rsidRPr="00CE5B63" w14:paraId="1FD1A768"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tcBorders>
              <w:top w:val="single" w:sz="18" w:space="0" w:color="F2682A" w:themeColor="accent2"/>
            </w:tcBorders>
            <w:noWrap/>
            <w:vAlign w:val="center"/>
            <w:hideMark/>
          </w:tcPr>
          <w:p w14:paraId="256E303D"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Children's Medical Center Corporation</w:t>
            </w:r>
          </w:p>
        </w:tc>
        <w:tc>
          <w:tcPr>
            <w:tcW w:w="2942" w:type="dxa"/>
            <w:tcBorders>
              <w:top w:val="single" w:sz="18" w:space="0" w:color="F2682A" w:themeColor="accent2"/>
            </w:tcBorders>
            <w:noWrap/>
            <w:vAlign w:val="center"/>
            <w:hideMark/>
          </w:tcPr>
          <w:p w14:paraId="0F3D6828"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$103,337</w:t>
            </w:r>
          </w:p>
        </w:tc>
        <w:tc>
          <w:tcPr>
            <w:tcW w:w="2548" w:type="dxa"/>
            <w:tcBorders>
              <w:top w:val="single" w:sz="18" w:space="0" w:color="F2682A" w:themeColor="accent2"/>
            </w:tcBorders>
            <w:noWrap/>
            <w:vAlign w:val="center"/>
            <w:hideMark/>
          </w:tcPr>
          <w:p w14:paraId="41D191C2"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17.3</w:t>
            </w:r>
          </w:p>
        </w:tc>
      </w:tr>
      <w:tr w:rsidR="00F446C7" w:rsidRPr="00CE5B63" w14:paraId="37E03A33"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490FF1C9"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BILH (with contracting affiliates)</w:t>
            </w:r>
          </w:p>
        </w:tc>
        <w:tc>
          <w:tcPr>
            <w:tcW w:w="2942" w:type="dxa"/>
            <w:noWrap/>
            <w:vAlign w:val="center"/>
            <w:hideMark/>
          </w:tcPr>
          <w:p w14:paraId="03BB7DEC"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$101,397</w:t>
            </w:r>
          </w:p>
        </w:tc>
        <w:tc>
          <w:tcPr>
            <w:tcW w:w="2548" w:type="dxa"/>
            <w:noWrap/>
            <w:vAlign w:val="center"/>
            <w:hideMark/>
          </w:tcPr>
          <w:p w14:paraId="4ADA684D"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15.2</w:t>
            </w:r>
          </w:p>
        </w:tc>
      </w:tr>
      <w:tr w:rsidR="00F446C7" w:rsidRPr="00CE5B63" w14:paraId="4A9A4A5B"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30258368"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Wellforce</w:t>
            </w:r>
          </w:p>
        </w:tc>
        <w:tc>
          <w:tcPr>
            <w:tcW w:w="2942" w:type="dxa"/>
            <w:noWrap/>
            <w:vAlign w:val="center"/>
            <w:hideMark/>
          </w:tcPr>
          <w:p w14:paraId="2A2EEE32"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$100,693</w:t>
            </w:r>
          </w:p>
        </w:tc>
        <w:tc>
          <w:tcPr>
            <w:tcW w:w="2548" w:type="dxa"/>
            <w:noWrap/>
            <w:vAlign w:val="center"/>
            <w:hideMark/>
          </w:tcPr>
          <w:p w14:paraId="6574BD98"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19.6</w:t>
            </w:r>
          </w:p>
        </w:tc>
      </w:tr>
      <w:tr w:rsidR="00F446C7" w:rsidRPr="00CE5B63" w14:paraId="67FA2B6B"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1C23729B"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Atrius</w:t>
            </w:r>
          </w:p>
        </w:tc>
        <w:tc>
          <w:tcPr>
            <w:tcW w:w="2942" w:type="dxa"/>
            <w:noWrap/>
            <w:vAlign w:val="center"/>
            <w:hideMark/>
          </w:tcPr>
          <w:p w14:paraId="16F06D37"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$100,680</w:t>
            </w:r>
          </w:p>
        </w:tc>
        <w:tc>
          <w:tcPr>
            <w:tcW w:w="2548" w:type="dxa"/>
            <w:noWrap/>
            <w:vAlign w:val="center"/>
            <w:hideMark/>
          </w:tcPr>
          <w:p w14:paraId="209AA6B5"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15.4</w:t>
            </w:r>
          </w:p>
        </w:tc>
      </w:tr>
      <w:tr w:rsidR="00F446C7" w:rsidRPr="00CE5B63" w14:paraId="793A970C"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03609485"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South Shore</w:t>
            </w:r>
          </w:p>
        </w:tc>
        <w:tc>
          <w:tcPr>
            <w:tcW w:w="2942" w:type="dxa"/>
            <w:noWrap/>
            <w:vAlign w:val="center"/>
            <w:hideMark/>
          </w:tcPr>
          <w:p w14:paraId="2B2E7454"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$99,381</w:t>
            </w:r>
          </w:p>
        </w:tc>
        <w:tc>
          <w:tcPr>
            <w:tcW w:w="2548" w:type="dxa"/>
            <w:noWrap/>
            <w:vAlign w:val="center"/>
            <w:hideMark/>
          </w:tcPr>
          <w:p w14:paraId="30319554"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17.3</w:t>
            </w:r>
          </w:p>
        </w:tc>
      </w:tr>
      <w:tr w:rsidR="00F446C7" w:rsidRPr="00CE5B63" w14:paraId="5ECD5AD0"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57C197E7"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BILH (corporate system)</w:t>
            </w:r>
          </w:p>
        </w:tc>
        <w:tc>
          <w:tcPr>
            <w:tcW w:w="2942" w:type="dxa"/>
            <w:noWrap/>
            <w:vAlign w:val="center"/>
            <w:hideMark/>
          </w:tcPr>
          <w:p w14:paraId="38ED4C2A"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$98,978</w:t>
            </w:r>
          </w:p>
        </w:tc>
        <w:tc>
          <w:tcPr>
            <w:tcW w:w="2548" w:type="dxa"/>
            <w:noWrap/>
            <w:vAlign w:val="center"/>
            <w:hideMark/>
          </w:tcPr>
          <w:p w14:paraId="028FB988"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16.0</w:t>
            </w:r>
          </w:p>
        </w:tc>
      </w:tr>
      <w:tr w:rsidR="00F446C7" w:rsidRPr="00CE5B63" w14:paraId="1456AC09"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0721D78D"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Reliant</w:t>
            </w:r>
          </w:p>
        </w:tc>
        <w:tc>
          <w:tcPr>
            <w:tcW w:w="2942" w:type="dxa"/>
            <w:noWrap/>
            <w:vAlign w:val="center"/>
            <w:hideMark/>
          </w:tcPr>
          <w:p w14:paraId="3856FB9D"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$91,706</w:t>
            </w:r>
          </w:p>
        </w:tc>
        <w:tc>
          <w:tcPr>
            <w:tcW w:w="2548" w:type="dxa"/>
            <w:noWrap/>
            <w:vAlign w:val="center"/>
            <w:hideMark/>
          </w:tcPr>
          <w:p w14:paraId="7BFF8322"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29.0</w:t>
            </w:r>
          </w:p>
        </w:tc>
      </w:tr>
      <w:tr w:rsidR="00F446C7" w:rsidRPr="00CE5B63" w14:paraId="6CF43948"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5C129256"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Steward</w:t>
            </w:r>
          </w:p>
        </w:tc>
        <w:tc>
          <w:tcPr>
            <w:tcW w:w="2942" w:type="dxa"/>
            <w:noWrap/>
            <w:vAlign w:val="center"/>
            <w:hideMark/>
          </w:tcPr>
          <w:p w14:paraId="4F84C881"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$83,346</w:t>
            </w:r>
          </w:p>
        </w:tc>
        <w:tc>
          <w:tcPr>
            <w:tcW w:w="2548" w:type="dxa"/>
            <w:noWrap/>
            <w:vAlign w:val="center"/>
            <w:hideMark/>
          </w:tcPr>
          <w:p w14:paraId="340CDFD8"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24.9</w:t>
            </w:r>
          </w:p>
        </w:tc>
      </w:tr>
      <w:tr w:rsidR="00F446C7" w:rsidRPr="00CE5B63" w14:paraId="0C4815FF"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70467ADC"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UMass</w:t>
            </w:r>
          </w:p>
        </w:tc>
        <w:tc>
          <w:tcPr>
            <w:tcW w:w="2942" w:type="dxa"/>
            <w:noWrap/>
            <w:vAlign w:val="center"/>
            <w:hideMark/>
          </w:tcPr>
          <w:p w14:paraId="5AE445ED"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$80,943</w:t>
            </w:r>
          </w:p>
        </w:tc>
        <w:tc>
          <w:tcPr>
            <w:tcW w:w="2548" w:type="dxa"/>
            <w:noWrap/>
            <w:vAlign w:val="center"/>
            <w:hideMark/>
          </w:tcPr>
          <w:p w14:paraId="025B869E"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34.3</w:t>
            </w:r>
          </w:p>
        </w:tc>
      </w:tr>
      <w:tr w:rsidR="00F446C7" w:rsidRPr="00CE5B63" w14:paraId="177B9AE0"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44808CC3"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Southcoast</w:t>
            </w:r>
          </w:p>
        </w:tc>
        <w:tc>
          <w:tcPr>
            <w:tcW w:w="2942" w:type="dxa"/>
            <w:noWrap/>
            <w:vAlign w:val="center"/>
            <w:hideMark/>
          </w:tcPr>
          <w:p w14:paraId="12A4FD5C"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$80,221</w:t>
            </w:r>
          </w:p>
        </w:tc>
        <w:tc>
          <w:tcPr>
            <w:tcW w:w="2548" w:type="dxa"/>
            <w:noWrap/>
            <w:vAlign w:val="center"/>
            <w:hideMark/>
          </w:tcPr>
          <w:p w14:paraId="5E986585"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32.9</w:t>
            </w:r>
          </w:p>
        </w:tc>
      </w:tr>
      <w:tr w:rsidR="00F446C7" w:rsidRPr="00CE5B63" w14:paraId="199EC45A" w14:textId="77777777" w:rsidTr="00B76A92">
        <w:trPr>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7BF14B01"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BMC</w:t>
            </w:r>
          </w:p>
        </w:tc>
        <w:tc>
          <w:tcPr>
            <w:tcW w:w="2942" w:type="dxa"/>
            <w:noWrap/>
            <w:vAlign w:val="center"/>
            <w:hideMark/>
          </w:tcPr>
          <w:p w14:paraId="72D75813"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$74,069</w:t>
            </w:r>
          </w:p>
        </w:tc>
        <w:tc>
          <w:tcPr>
            <w:tcW w:w="2548" w:type="dxa"/>
            <w:noWrap/>
            <w:vAlign w:val="center"/>
            <w:hideMark/>
          </w:tcPr>
          <w:p w14:paraId="4A5AD4B3" w14:textId="77777777" w:rsidR="00F446C7" w:rsidRPr="00B76A92" w:rsidRDefault="00F446C7" w:rsidP="00B76A92">
            <w:pPr>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23.1</w:t>
            </w:r>
          </w:p>
        </w:tc>
      </w:tr>
      <w:tr w:rsidR="00F446C7" w:rsidRPr="00CE5B63" w14:paraId="7A29A1BF" w14:textId="77777777" w:rsidTr="00B76A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960" w:type="dxa"/>
            <w:noWrap/>
            <w:vAlign w:val="center"/>
            <w:hideMark/>
          </w:tcPr>
          <w:p w14:paraId="7ADF64B1" w14:textId="77777777" w:rsidR="00F446C7" w:rsidRPr="00B76A92" w:rsidRDefault="00F446C7" w:rsidP="00B76A92">
            <w:pPr>
              <w:rPr>
                <w:rFonts w:ascii="Franklin Gothic Book" w:hAnsi="Franklin Gothic Book" w:cs="Arial"/>
                <w:color w:val="000000"/>
                <w:sz w:val="19"/>
                <w:szCs w:val="19"/>
              </w:rPr>
            </w:pPr>
            <w:r w:rsidRPr="00B76A92">
              <w:rPr>
                <w:rFonts w:ascii="Franklin Gothic Book" w:hAnsi="Franklin Gothic Book" w:cs="Arial"/>
                <w:color w:val="000000"/>
                <w:sz w:val="19"/>
                <w:szCs w:val="19"/>
              </w:rPr>
              <w:t>Baystate</w:t>
            </w:r>
          </w:p>
        </w:tc>
        <w:tc>
          <w:tcPr>
            <w:tcW w:w="2942" w:type="dxa"/>
            <w:noWrap/>
            <w:vAlign w:val="center"/>
            <w:hideMark/>
          </w:tcPr>
          <w:p w14:paraId="6726DCC0"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$68,042</w:t>
            </w:r>
          </w:p>
        </w:tc>
        <w:tc>
          <w:tcPr>
            <w:tcW w:w="2548" w:type="dxa"/>
            <w:noWrap/>
            <w:vAlign w:val="center"/>
            <w:hideMark/>
          </w:tcPr>
          <w:p w14:paraId="58EF94BB" w14:textId="77777777" w:rsidR="00F446C7" w:rsidRPr="00B76A92" w:rsidRDefault="00F446C7" w:rsidP="00B76A92">
            <w:pPr>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Arial"/>
                <w:color w:val="000000"/>
                <w:sz w:val="19"/>
                <w:szCs w:val="19"/>
              </w:rPr>
            </w:pPr>
            <w:r w:rsidRPr="00B76A92">
              <w:rPr>
                <w:rFonts w:ascii="Franklin Gothic Book" w:hAnsi="Franklin Gothic Book" w:cs="Arial"/>
                <w:color w:val="000000"/>
                <w:sz w:val="19"/>
                <w:szCs w:val="19"/>
              </w:rPr>
              <w:t>42.2</w:t>
            </w:r>
          </w:p>
        </w:tc>
      </w:tr>
    </w:tbl>
    <w:p w14:paraId="2ECDE2D6" w14:textId="2F689AC7" w:rsidR="00CF001C" w:rsidRPr="009C0C39" w:rsidRDefault="00CF001C" w:rsidP="00CF001C">
      <w:pPr>
        <w:rPr>
          <w:rFonts w:ascii="Franklin Gothic Book" w:hAnsi="Franklin Gothic Book"/>
          <w:b/>
          <w:bCs/>
          <w:sz w:val="22"/>
          <w:szCs w:val="22"/>
          <w:u w:val="single"/>
        </w:rPr>
      </w:pPr>
    </w:p>
    <w:p w14:paraId="2B840043" w14:textId="77777777" w:rsidR="00CF001C" w:rsidRPr="009C0C39" w:rsidRDefault="00CF001C" w:rsidP="00CF001C">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Sources: APCD 6.0, 2014-2016; MA-RPO and SK&amp;A data, 5-year American Community Survey demographic and housing estimates, 2019, Neighborhood Atlas Area Deprivation Index (ADI) 2018. </w:t>
      </w:r>
    </w:p>
    <w:p w14:paraId="020ADFFD" w14:textId="6C081C0F" w:rsidR="00CF001C" w:rsidRPr="009C0C39" w:rsidRDefault="00CF001C" w:rsidP="00CF001C">
      <w:pPr>
        <w:rPr>
          <w:rFonts w:ascii="Franklin Gothic Book" w:hAnsi="Franklin Gothic Book" w:cs="Times New Roman"/>
          <w:sz w:val="18"/>
          <w:szCs w:val="18"/>
        </w:rPr>
      </w:pPr>
      <w:r w:rsidRPr="009C0C39">
        <w:rPr>
          <w:rFonts w:ascii="Franklin Gothic Book" w:hAnsi="Franklin Gothic Book" w:cs="Times New Roman"/>
          <w:sz w:val="18"/>
          <w:szCs w:val="18"/>
        </w:rPr>
        <w:t xml:space="preserve">Notes: Income and ADI are reported at the zip-code level for primary care patients attributed to the provider organization’s physicians. </w:t>
      </w:r>
      <w:bookmarkStart w:id="127" w:name="_Hlk92722235"/>
      <w:r w:rsidR="00326986" w:rsidRPr="009C0C39">
        <w:rPr>
          <w:rFonts w:ascii="Franklin Gothic Book" w:hAnsi="Franklin Gothic Book" w:cs="Times New Roman"/>
          <w:sz w:val="18"/>
          <w:szCs w:val="18"/>
        </w:rPr>
        <w:t xml:space="preserve">For a system that negotiates payer contracts on behalf of physician </w:t>
      </w:r>
      <w:r w:rsidR="00A666C6" w:rsidRPr="009C0C39">
        <w:rPr>
          <w:rFonts w:ascii="Franklin Gothic Book" w:hAnsi="Franklin Gothic Book" w:cs="Times New Roman"/>
          <w:sz w:val="18"/>
          <w:szCs w:val="18"/>
        </w:rPr>
        <w:t>organizations</w:t>
      </w:r>
      <w:r w:rsidR="00326986" w:rsidRPr="009C0C39">
        <w:rPr>
          <w:rFonts w:ascii="Franklin Gothic Book" w:hAnsi="Franklin Gothic Book" w:cs="Times New Roman"/>
          <w:sz w:val="18"/>
          <w:szCs w:val="18"/>
        </w:rPr>
        <w:t xml:space="preserve"> that it does not own (i.e., MGB </w:t>
      </w:r>
      <w:r w:rsidR="00F254DD" w:rsidRPr="009C0C39">
        <w:rPr>
          <w:rFonts w:ascii="Franklin Gothic Book" w:hAnsi="Franklin Gothic Book" w:cs="Times New Roman"/>
          <w:sz w:val="18"/>
          <w:szCs w:val="18"/>
        </w:rPr>
        <w:t xml:space="preserve">contracts on behalf of Emerson </w:t>
      </w:r>
      <w:r w:rsidR="00326986" w:rsidRPr="009C0C39">
        <w:rPr>
          <w:rFonts w:ascii="Franklin Gothic Book" w:hAnsi="Franklin Gothic Book" w:cs="Times New Roman"/>
          <w:sz w:val="18"/>
          <w:szCs w:val="18"/>
        </w:rPr>
        <w:t>and BILH</w:t>
      </w:r>
      <w:r w:rsidR="00F254DD" w:rsidRPr="009C0C39">
        <w:rPr>
          <w:rFonts w:ascii="Franklin Gothic Book" w:hAnsi="Franklin Gothic Book" w:cs="Times New Roman"/>
          <w:sz w:val="18"/>
          <w:szCs w:val="18"/>
        </w:rPr>
        <w:t xml:space="preserve"> contracts on behalf of CHA and MACIPA</w:t>
      </w:r>
      <w:r w:rsidR="00326986" w:rsidRPr="009C0C39">
        <w:rPr>
          <w:rFonts w:ascii="Franklin Gothic Book" w:hAnsi="Franklin Gothic Book" w:cs="Times New Roman"/>
          <w:sz w:val="18"/>
          <w:szCs w:val="18"/>
        </w:rPr>
        <w:t xml:space="preserve">) we calculated the </w:t>
      </w:r>
      <w:r w:rsidR="00A018D6" w:rsidRPr="009C0C39">
        <w:rPr>
          <w:rFonts w:ascii="Franklin Gothic Book" w:hAnsi="Franklin Gothic Book" w:cs="Times New Roman"/>
          <w:sz w:val="18"/>
          <w:szCs w:val="18"/>
        </w:rPr>
        <w:t xml:space="preserve">median zip code </w:t>
      </w:r>
      <w:r w:rsidR="00A018D6" w:rsidRPr="009C0C39">
        <w:rPr>
          <w:rFonts w:ascii="Franklin Gothic Book" w:hAnsi="Franklin Gothic Book" w:cs="Times New Roman"/>
          <w:sz w:val="18"/>
          <w:szCs w:val="18"/>
        </w:rPr>
        <w:lastRenderedPageBreak/>
        <w:t>income and area deprivation index of attributed patients</w:t>
      </w:r>
      <w:r w:rsidR="00326986" w:rsidRPr="009C0C39">
        <w:rPr>
          <w:rFonts w:ascii="Franklin Gothic Book" w:hAnsi="Franklin Gothic Book" w:cs="Times New Roman"/>
          <w:sz w:val="18"/>
          <w:szCs w:val="18"/>
        </w:rPr>
        <w:t xml:space="preserve"> both for the corporate system alone and for the system</w:t>
      </w:r>
      <w:r w:rsidR="00A666C6" w:rsidRPr="009C0C39">
        <w:rPr>
          <w:rFonts w:ascii="Franklin Gothic Book" w:hAnsi="Franklin Gothic Book" w:cs="Times New Roman"/>
          <w:sz w:val="18"/>
          <w:szCs w:val="18"/>
        </w:rPr>
        <w:t>,</w:t>
      </w:r>
      <w:r w:rsidR="00326986" w:rsidRPr="009C0C39">
        <w:rPr>
          <w:rFonts w:ascii="Franklin Gothic Book" w:hAnsi="Franklin Gothic Book" w:cs="Times New Roman"/>
          <w:sz w:val="18"/>
          <w:szCs w:val="18"/>
        </w:rPr>
        <w:t xml:space="preserve"> including contracting affiliate </w:t>
      </w:r>
      <w:r w:rsidR="00A018D6" w:rsidRPr="009C0C39">
        <w:rPr>
          <w:rFonts w:ascii="Franklin Gothic Book" w:hAnsi="Franklin Gothic Book" w:cs="Times New Roman"/>
          <w:sz w:val="18"/>
          <w:szCs w:val="18"/>
        </w:rPr>
        <w:t>physician</w:t>
      </w:r>
      <w:r w:rsidR="00A666C6" w:rsidRPr="009C0C39">
        <w:rPr>
          <w:rFonts w:ascii="Franklin Gothic Book" w:hAnsi="Franklin Gothic Book" w:cs="Times New Roman"/>
          <w:sz w:val="18"/>
          <w:szCs w:val="18"/>
        </w:rPr>
        <w:t xml:space="preserve"> organizations. </w:t>
      </w:r>
    </w:p>
    <w:p w14:paraId="126DD7B8" w14:textId="0EA51FD7" w:rsidR="007677C1" w:rsidRPr="009C0C39" w:rsidRDefault="007677C1" w:rsidP="007677C1">
      <w:pPr>
        <w:rPr>
          <w:rFonts w:ascii="Franklin Gothic Book" w:hAnsi="Franklin Gothic Book" w:cs="Times New Roman"/>
          <w:b/>
          <w:bCs/>
          <w:sz w:val="22"/>
          <w:szCs w:val="22"/>
        </w:rPr>
      </w:pPr>
      <w:bookmarkStart w:id="128" w:name="Appendix_IIH"/>
      <w:bookmarkEnd w:id="127"/>
      <w:bookmarkEnd w:id="128"/>
      <w:r w:rsidRPr="009C0C39">
        <w:rPr>
          <w:rFonts w:ascii="Franklin Gothic Book" w:hAnsi="Franklin Gothic Book" w:cs="Times New Roman"/>
          <w:b/>
          <w:bCs/>
          <w:sz w:val="22"/>
          <w:szCs w:val="22"/>
        </w:rPr>
        <w:t>Appendix II.</w:t>
      </w:r>
      <w:r w:rsidR="00F254DD" w:rsidRPr="009C0C39">
        <w:rPr>
          <w:rFonts w:ascii="Franklin Gothic Book" w:hAnsi="Franklin Gothic Book" w:cs="Times New Roman"/>
          <w:b/>
          <w:bCs/>
          <w:sz w:val="22"/>
          <w:szCs w:val="22"/>
        </w:rPr>
        <w:t>H</w:t>
      </w:r>
      <w:r w:rsidRPr="009C0C39">
        <w:rPr>
          <w:rFonts w:ascii="Franklin Gothic Book" w:hAnsi="Franklin Gothic Book" w:cs="Times New Roman"/>
          <w:b/>
          <w:bCs/>
          <w:sz w:val="22"/>
          <w:szCs w:val="22"/>
        </w:rPr>
        <w:t>: Racial and Ethnic Mix at MGB Hospitals</w:t>
      </w:r>
    </w:p>
    <w:p w14:paraId="5A66FEFC" w14:textId="77777777" w:rsidR="00E742B6" w:rsidRPr="009C0C39" w:rsidRDefault="00E742B6" w:rsidP="007677C1">
      <w:pPr>
        <w:rPr>
          <w:rFonts w:ascii="Franklin Gothic Book" w:hAnsi="Franklin Gothic Book" w:cs="Times New Roman"/>
          <w:sz w:val="22"/>
          <w:szCs w:val="22"/>
        </w:rPr>
      </w:pPr>
    </w:p>
    <w:p w14:paraId="3AE3F407" w14:textId="7140D305" w:rsidR="007677C1" w:rsidRPr="009C0C39" w:rsidRDefault="00D72996" w:rsidP="00D72996">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The HPC </w:t>
      </w:r>
      <w:r w:rsidR="007677C1" w:rsidRPr="009C0C39">
        <w:rPr>
          <w:rFonts w:ascii="Franklin Gothic Book" w:hAnsi="Franklin Gothic Book" w:cs="Times New Roman"/>
          <w:sz w:val="22"/>
          <w:szCs w:val="22"/>
        </w:rPr>
        <w:t>examined the race and ethnicity of MGB hospital patients compared to the mix of patients in the hospitals’ PSAs.</w:t>
      </w:r>
      <w:r w:rsidR="007677C1" w:rsidRPr="009C0C39">
        <w:rPr>
          <w:rStyle w:val="FootnoteReference"/>
          <w:rFonts w:ascii="Franklin Gothic Book" w:hAnsi="Franklin Gothic Book" w:cs="Times New Roman"/>
          <w:sz w:val="22"/>
          <w:szCs w:val="22"/>
        </w:rPr>
        <w:t xml:space="preserve"> </w:t>
      </w:r>
      <w:r w:rsidR="007677C1" w:rsidRPr="009C0C39">
        <w:rPr>
          <w:rFonts w:ascii="Franklin Gothic Book" w:hAnsi="Franklin Gothic Book" w:cs="Times New Roman"/>
          <w:sz w:val="22"/>
          <w:szCs w:val="22"/>
        </w:rPr>
        <w:t>Given the availability and completeness of data, we could only conduct analyses on race and ethnicity for inpatient care.</w:t>
      </w:r>
      <w:r w:rsidR="007677C1" w:rsidRPr="009C0C39">
        <w:rPr>
          <w:rStyle w:val="FootnoteReference"/>
          <w:rFonts w:ascii="Franklin Gothic Book" w:hAnsi="Franklin Gothic Book" w:cs="Times New Roman"/>
          <w:sz w:val="22"/>
          <w:szCs w:val="22"/>
        </w:rPr>
        <w:footnoteReference w:id="230"/>
      </w:r>
      <w:r w:rsidR="007677C1" w:rsidRPr="009C0C39">
        <w:rPr>
          <w:rFonts w:ascii="Franklin Gothic Book" w:hAnsi="Franklin Gothic Book" w:cs="Times New Roman"/>
          <w:sz w:val="22"/>
          <w:szCs w:val="22"/>
        </w:rPr>
        <w:t xml:space="preserve"> As a whole, MGB hospitals serve a lower proportion of inpatients who are Black, Indigenous, and people of color (BIPOC) compared to the mix of patients in the hospitals’ service areas.</w:t>
      </w:r>
      <w:r w:rsidR="007677C1" w:rsidRPr="009C0C39">
        <w:rPr>
          <w:rStyle w:val="FootnoteReference"/>
          <w:rFonts w:ascii="Franklin Gothic Book" w:hAnsi="Franklin Gothic Book" w:cs="Times New Roman"/>
          <w:sz w:val="22"/>
          <w:szCs w:val="22"/>
        </w:rPr>
        <w:footnoteReference w:id="231"/>
      </w:r>
      <w:r w:rsidR="007677C1" w:rsidRPr="009C0C39">
        <w:rPr>
          <w:rFonts w:ascii="Franklin Gothic Book" w:hAnsi="Franklin Gothic Book" w:cs="Times New Roman"/>
          <w:sz w:val="22"/>
          <w:szCs w:val="22"/>
          <w:vertAlign w:val="superscript"/>
        </w:rPr>
        <w:t>,</w:t>
      </w:r>
      <w:r w:rsidR="007677C1" w:rsidRPr="009C0C39">
        <w:rPr>
          <w:rStyle w:val="FootnoteReference"/>
          <w:rFonts w:ascii="Franklin Gothic Book" w:hAnsi="Franklin Gothic Book" w:cs="Times New Roman"/>
          <w:sz w:val="22"/>
          <w:szCs w:val="22"/>
        </w:rPr>
        <w:footnoteReference w:id="232"/>
      </w:r>
      <w:r w:rsidR="007677C1" w:rsidRPr="009C0C39">
        <w:rPr>
          <w:rFonts w:ascii="Franklin Gothic Book" w:hAnsi="Franklin Gothic Book" w:cs="Times New Roman"/>
          <w:sz w:val="22"/>
          <w:szCs w:val="22"/>
        </w:rPr>
        <w:t xml:space="preserve"> MGB hospitals</w:t>
      </w:r>
      <w:r w:rsidR="0021785C" w:rsidRPr="009C0C39">
        <w:rPr>
          <w:rFonts w:ascii="Franklin Gothic Book" w:hAnsi="Franklin Gothic Book" w:cs="Times New Roman"/>
          <w:sz w:val="22"/>
          <w:szCs w:val="22"/>
        </w:rPr>
        <w:t>, along with Tenet Healthcare,</w:t>
      </w:r>
      <w:r w:rsidR="007677C1" w:rsidRPr="009C0C39">
        <w:rPr>
          <w:rFonts w:ascii="Franklin Gothic Book" w:hAnsi="Franklin Gothic Book" w:cs="Times New Roman"/>
          <w:sz w:val="22"/>
          <w:szCs w:val="22"/>
        </w:rPr>
        <w:t xml:space="preserve"> had the greatest difference </w:t>
      </w:r>
      <w:r w:rsidR="0021785C" w:rsidRPr="009C0C39">
        <w:rPr>
          <w:rFonts w:ascii="Franklin Gothic Book" w:hAnsi="Franklin Gothic Book" w:cs="Times New Roman"/>
          <w:sz w:val="22"/>
          <w:szCs w:val="22"/>
        </w:rPr>
        <w:t xml:space="preserve">between the number of </w:t>
      </w:r>
      <w:r w:rsidR="007677C1" w:rsidRPr="009C0C39">
        <w:rPr>
          <w:rFonts w:ascii="Franklin Gothic Book" w:hAnsi="Franklin Gothic Book" w:cs="Times New Roman"/>
          <w:sz w:val="22"/>
          <w:szCs w:val="22"/>
        </w:rPr>
        <w:t xml:space="preserve">inpatients self-reporting as BIPOC compared to the </w:t>
      </w:r>
      <w:r w:rsidR="0021785C" w:rsidRPr="009C0C39">
        <w:rPr>
          <w:rFonts w:ascii="Franklin Gothic Book" w:hAnsi="Franklin Gothic Book" w:cs="Times New Roman"/>
          <w:sz w:val="22"/>
          <w:szCs w:val="22"/>
        </w:rPr>
        <w:t xml:space="preserve">total </w:t>
      </w:r>
      <w:r w:rsidR="007677C1" w:rsidRPr="009C0C39">
        <w:rPr>
          <w:rFonts w:ascii="Franklin Gothic Book" w:hAnsi="Franklin Gothic Book" w:cs="Times New Roman"/>
          <w:sz w:val="22"/>
          <w:szCs w:val="22"/>
        </w:rPr>
        <w:t xml:space="preserve">mix of </w:t>
      </w:r>
      <w:r w:rsidR="0021785C" w:rsidRPr="009C0C39">
        <w:rPr>
          <w:rFonts w:ascii="Franklin Gothic Book" w:hAnsi="Franklin Gothic Book" w:cs="Times New Roman"/>
          <w:sz w:val="22"/>
          <w:szCs w:val="22"/>
        </w:rPr>
        <w:t>in</w:t>
      </w:r>
      <w:r w:rsidR="007677C1" w:rsidRPr="009C0C39">
        <w:rPr>
          <w:rFonts w:ascii="Franklin Gothic Book" w:hAnsi="Franklin Gothic Book" w:cs="Times New Roman"/>
          <w:sz w:val="22"/>
          <w:szCs w:val="22"/>
        </w:rPr>
        <w:t xml:space="preserve">patients </w:t>
      </w:r>
      <w:r w:rsidR="0021785C" w:rsidRPr="009C0C39">
        <w:rPr>
          <w:rFonts w:ascii="Franklin Gothic Book" w:hAnsi="Franklin Gothic Book" w:cs="Times New Roman"/>
          <w:sz w:val="22"/>
          <w:szCs w:val="22"/>
        </w:rPr>
        <w:t xml:space="preserve">reporting as BIPOC </w:t>
      </w:r>
      <w:r w:rsidR="007677C1" w:rsidRPr="009C0C39">
        <w:rPr>
          <w:rFonts w:ascii="Franklin Gothic Book" w:hAnsi="Franklin Gothic Book" w:cs="Times New Roman"/>
          <w:sz w:val="22"/>
          <w:szCs w:val="22"/>
        </w:rPr>
        <w:t>in the hospitals’ PSAs. This pattern was consistent over a ten-year period.</w:t>
      </w:r>
      <w:r w:rsidR="007677C1" w:rsidRPr="009C0C39">
        <w:rPr>
          <w:rStyle w:val="FootnoteReference"/>
          <w:rFonts w:ascii="Franklin Gothic Book" w:hAnsi="Franklin Gothic Book" w:cs="Times New Roman"/>
          <w:sz w:val="22"/>
          <w:szCs w:val="22"/>
        </w:rPr>
        <w:footnoteReference w:id="233"/>
      </w:r>
      <w:r w:rsidR="007677C1" w:rsidRPr="009C0C39">
        <w:rPr>
          <w:rFonts w:ascii="Franklin Gothic Book" w:hAnsi="Franklin Gothic Book" w:cs="Times New Roman"/>
          <w:sz w:val="22"/>
          <w:szCs w:val="22"/>
        </w:rPr>
        <w:t xml:space="preserve"> </w:t>
      </w:r>
    </w:p>
    <w:p w14:paraId="07D792A6" w14:textId="77777777" w:rsidR="00D555EB" w:rsidRPr="009C0C39" w:rsidRDefault="00D555EB" w:rsidP="007677C1">
      <w:pPr>
        <w:rPr>
          <w:rFonts w:ascii="Franklin Gothic Book" w:hAnsi="Franklin Gothic Book" w:cs="Times New Roman"/>
          <w:sz w:val="22"/>
          <w:szCs w:val="22"/>
        </w:rPr>
      </w:pPr>
    </w:p>
    <w:p w14:paraId="5615952C" w14:textId="4D24A795" w:rsidR="007677C1" w:rsidRPr="009C0C39" w:rsidRDefault="007677C1" w:rsidP="00B76A92">
      <w:pPr>
        <w:jc w:val="center"/>
        <w:rPr>
          <w:rFonts w:ascii="Franklin Gothic Book" w:hAnsi="Franklin Gothic Book" w:cs="Times New Roman"/>
          <w:b/>
          <w:bCs/>
          <w:sz w:val="22"/>
          <w:szCs w:val="22"/>
        </w:rPr>
      </w:pPr>
      <w:r w:rsidRPr="009C0C39">
        <w:rPr>
          <w:rFonts w:ascii="Franklin Gothic Book" w:hAnsi="Franklin Gothic Book" w:cs="Times New Roman"/>
          <w:b/>
          <w:bCs/>
          <w:sz w:val="22"/>
          <w:szCs w:val="22"/>
        </w:rPr>
        <w:t>Inpatient Racial/Ethnic Mix at Hospital Systems Compared to PSA (FY 2019)</w:t>
      </w:r>
    </w:p>
    <w:p w14:paraId="150890A7" w14:textId="185309E1" w:rsidR="007677C1" w:rsidRPr="009C0C39" w:rsidRDefault="000878AA" w:rsidP="007677C1">
      <w:pPr>
        <w:rPr>
          <w:rFonts w:ascii="Franklin Gothic Book" w:hAnsi="Franklin Gothic Book" w:cs="Times New Roman"/>
          <w:sz w:val="22"/>
          <w:szCs w:val="22"/>
        </w:rPr>
      </w:pPr>
      <w:r w:rsidRPr="009C0C39">
        <w:rPr>
          <w:rFonts w:ascii="Franklin Gothic Book" w:hAnsi="Franklin Gothic Book" w:cs="Times New Roman"/>
          <w:noProof/>
          <w:sz w:val="22"/>
          <w:szCs w:val="22"/>
        </w:rPr>
        <w:drawing>
          <wp:inline distT="0" distB="0" distL="0" distR="0" wp14:anchorId="49F8A2B9" wp14:editId="1D4E4397">
            <wp:extent cx="5943600" cy="3945890"/>
            <wp:effectExtent l="0" t="0" r="0" b="0"/>
            <wp:docPr id="2059" name="Picture 20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cture 2059" descr="Chart, bar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3945890"/>
                    </a:xfrm>
                    <a:prstGeom prst="rect">
                      <a:avLst/>
                    </a:prstGeom>
                  </pic:spPr>
                </pic:pic>
              </a:graphicData>
            </a:graphic>
          </wp:inline>
        </w:drawing>
      </w:r>
    </w:p>
    <w:p w14:paraId="04A21E14" w14:textId="77777777" w:rsidR="007677C1" w:rsidRPr="00B76A92" w:rsidRDefault="007677C1" w:rsidP="007677C1">
      <w:pPr>
        <w:spacing w:before="38"/>
        <w:rPr>
          <w:rFonts w:ascii="Franklin Gothic Book" w:eastAsia="Times New Roman" w:hAnsi="Franklin Gothic Book" w:cs="Times New Roman"/>
          <w:sz w:val="28"/>
          <w:szCs w:val="28"/>
        </w:rPr>
      </w:pPr>
      <w:r w:rsidRPr="00B76A92">
        <w:rPr>
          <w:rFonts w:ascii="Franklin Gothic Book" w:eastAsia="+mn-ea" w:hAnsi="Franklin Gothic Book" w:cs="Times New Roman"/>
          <w:kern w:val="24"/>
          <w:sz w:val="18"/>
          <w:szCs w:val="18"/>
        </w:rPr>
        <w:t>Source: HPC Analysis of the Center for Health Information and Analysis (CHIA), Hospital Inpatient Discharge, FY2019.</w:t>
      </w:r>
    </w:p>
    <w:p w14:paraId="5A689CB6" w14:textId="77777777" w:rsidR="007677C1" w:rsidRPr="00B76A92" w:rsidRDefault="007677C1" w:rsidP="007677C1">
      <w:pPr>
        <w:spacing w:before="38"/>
        <w:rPr>
          <w:rFonts w:ascii="Franklin Gothic Book" w:eastAsia="Times New Roman" w:hAnsi="Franklin Gothic Book" w:cs="Times New Roman"/>
          <w:sz w:val="18"/>
          <w:szCs w:val="18"/>
        </w:rPr>
      </w:pPr>
      <w:r w:rsidRPr="00B76A92">
        <w:rPr>
          <w:rFonts w:ascii="Franklin Gothic Book" w:eastAsia="+mn-ea" w:hAnsi="Franklin Gothic Book" w:cs="Times New Roman"/>
          <w:kern w:val="24"/>
          <w:sz w:val="18"/>
          <w:szCs w:val="18"/>
        </w:rPr>
        <w:lastRenderedPageBreak/>
        <w:t xml:space="preserve">Notes: Hospital affiliations are based on 2021 affiliations. Systems include contracting affiliates. </w:t>
      </w:r>
    </w:p>
    <w:p w14:paraId="7A50DBD6" w14:textId="77777777" w:rsidR="007677C1" w:rsidRPr="009C0C39" w:rsidRDefault="007677C1" w:rsidP="007677C1">
      <w:pPr>
        <w:spacing w:before="38"/>
        <w:rPr>
          <w:rFonts w:ascii="Franklin Gothic Book" w:eastAsia="Times New Roman" w:hAnsi="Franklin Gothic Book" w:cs="Times New Roman"/>
          <w:sz w:val="22"/>
          <w:szCs w:val="22"/>
        </w:rPr>
      </w:pPr>
    </w:p>
    <w:p w14:paraId="6B3A3A00" w14:textId="77777777" w:rsidR="00835D3E" w:rsidRDefault="007677C1" w:rsidP="00835D3E">
      <w:pPr>
        <w:rPr>
          <w:rFonts w:ascii="Franklin Gothic Book" w:hAnsi="Franklin Gothic Book" w:cs="Times New Roman"/>
          <w:sz w:val="22"/>
          <w:szCs w:val="22"/>
        </w:rPr>
      </w:pPr>
      <w:r w:rsidRPr="009C0C39">
        <w:rPr>
          <w:rFonts w:ascii="Franklin Gothic Book" w:hAnsi="Franklin Gothic Book" w:cs="Times New Roman"/>
          <w:sz w:val="22"/>
          <w:szCs w:val="22"/>
        </w:rPr>
        <w:t>We also examined the race/ethnicity of MGB’s AMCs compared to other Massachusetts AMCs. We found that MGH and BWH served proportionally fewer BIPOC patients and discharged fewer BIPOC patients in FY 2019 despite having more total discharges.</w:t>
      </w:r>
    </w:p>
    <w:p w14:paraId="487D7657" w14:textId="6053002A" w:rsidR="00075FC9" w:rsidRPr="009C0C39" w:rsidRDefault="00835D3E" w:rsidP="00835D3E">
      <w:pPr>
        <w:rPr>
          <w:rFonts w:ascii="Franklin Gothic Book" w:hAnsi="Franklin Gothic Book" w:cs="Times New Roman"/>
          <w:b/>
          <w:bCs/>
          <w:sz w:val="22"/>
          <w:szCs w:val="22"/>
        </w:rPr>
      </w:pPr>
      <w:r w:rsidRPr="009C0C39">
        <w:rPr>
          <w:rFonts w:ascii="Franklin Gothic Book" w:hAnsi="Franklin Gothic Book" w:cs="Times New Roman"/>
          <w:b/>
          <w:bCs/>
          <w:sz w:val="22"/>
          <w:szCs w:val="22"/>
        </w:rPr>
        <w:t xml:space="preserve"> </w:t>
      </w:r>
    </w:p>
    <w:p w14:paraId="79A4D600" w14:textId="011973D5" w:rsidR="007677C1" w:rsidRPr="009C0C39" w:rsidRDefault="007677C1" w:rsidP="007677C1">
      <w:pPr>
        <w:jc w:val="center"/>
        <w:rPr>
          <w:rFonts w:ascii="Franklin Gothic Book" w:hAnsi="Franklin Gothic Book" w:cs="Times New Roman"/>
          <w:b/>
          <w:sz w:val="22"/>
          <w:szCs w:val="22"/>
        </w:rPr>
      </w:pPr>
      <w:r w:rsidRPr="009C0C39">
        <w:rPr>
          <w:rFonts w:ascii="Franklin Gothic Book" w:hAnsi="Franklin Gothic Book" w:cs="Times New Roman"/>
          <w:b/>
          <w:bCs/>
          <w:sz w:val="22"/>
          <w:szCs w:val="22"/>
        </w:rPr>
        <w:t>Discharges by Race/Ethnicity at</w:t>
      </w:r>
      <w:r w:rsidRPr="009C0C39">
        <w:rPr>
          <w:rFonts w:ascii="Franklin Gothic Book" w:hAnsi="Franklin Gothic Book" w:cs="Times New Roman"/>
          <w:b/>
          <w:sz w:val="22"/>
          <w:szCs w:val="22"/>
        </w:rPr>
        <w:t xml:space="preserve"> AMCs</w:t>
      </w:r>
      <w:r w:rsidRPr="009C0C39">
        <w:rPr>
          <w:rFonts w:ascii="Franklin Gothic Book" w:hAnsi="Franklin Gothic Book" w:cs="Times New Roman"/>
          <w:b/>
          <w:bCs/>
          <w:sz w:val="22"/>
          <w:szCs w:val="22"/>
        </w:rPr>
        <w:t xml:space="preserve"> (2019)</w:t>
      </w:r>
    </w:p>
    <w:p w14:paraId="43B2BD74" w14:textId="043FA0AA" w:rsidR="007677C1" w:rsidRPr="009C0C39" w:rsidRDefault="000878AA" w:rsidP="007677C1">
      <w:pPr>
        <w:rPr>
          <w:rFonts w:ascii="Franklin Gothic Book" w:hAnsi="Franklin Gothic Book" w:cs="Times New Roman"/>
          <w:sz w:val="22"/>
          <w:szCs w:val="22"/>
        </w:rPr>
      </w:pPr>
      <w:r w:rsidRPr="009C0C39">
        <w:rPr>
          <w:rFonts w:ascii="Franklin Gothic Book" w:hAnsi="Franklin Gothic Book" w:cs="Times New Roman"/>
          <w:noProof/>
          <w:sz w:val="22"/>
          <w:szCs w:val="22"/>
        </w:rPr>
        <w:drawing>
          <wp:inline distT="0" distB="0" distL="0" distR="0" wp14:anchorId="1B6CE78E" wp14:editId="5F806B2A">
            <wp:extent cx="5943600" cy="3477260"/>
            <wp:effectExtent l="0" t="0" r="0" b="8890"/>
            <wp:docPr id="2060" name="Picture 206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060" descr="Chart, bar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3477260"/>
                    </a:xfrm>
                    <a:prstGeom prst="rect">
                      <a:avLst/>
                    </a:prstGeom>
                  </pic:spPr>
                </pic:pic>
              </a:graphicData>
            </a:graphic>
          </wp:inline>
        </w:drawing>
      </w:r>
    </w:p>
    <w:p w14:paraId="3B1AE3EE" w14:textId="4259C6EF" w:rsidR="007677C1" w:rsidRPr="00B76A92" w:rsidRDefault="007677C1" w:rsidP="007677C1">
      <w:pPr>
        <w:spacing w:before="38"/>
        <w:rPr>
          <w:rFonts w:ascii="Franklin Gothic Book" w:eastAsia="Times New Roman" w:hAnsi="Franklin Gothic Book" w:cs="Times New Roman"/>
          <w:sz w:val="28"/>
          <w:szCs w:val="28"/>
        </w:rPr>
      </w:pPr>
      <w:r w:rsidRPr="00B76A92">
        <w:rPr>
          <w:rFonts w:ascii="Franklin Gothic Book" w:eastAsia="+mn-ea" w:hAnsi="Franklin Gothic Book" w:cs="Times New Roman"/>
          <w:kern w:val="24"/>
          <w:sz w:val="18"/>
          <w:szCs w:val="18"/>
        </w:rPr>
        <w:t>Source: HPC Analysis of CHIA</w:t>
      </w:r>
      <w:r w:rsidR="00D72996" w:rsidRPr="00B76A92">
        <w:rPr>
          <w:rFonts w:ascii="Franklin Gothic Book" w:eastAsia="+mn-ea" w:hAnsi="Franklin Gothic Book" w:cs="Times New Roman"/>
          <w:kern w:val="24"/>
          <w:sz w:val="18"/>
          <w:szCs w:val="18"/>
        </w:rPr>
        <w:t xml:space="preserve"> 2019 h</w:t>
      </w:r>
      <w:r w:rsidRPr="00B76A92">
        <w:rPr>
          <w:rFonts w:ascii="Franklin Gothic Book" w:eastAsia="+mn-ea" w:hAnsi="Franklin Gothic Book" w:cs="Times New Roman"/>
          <w:kern w:val="24"/>
          <w:sz w:val="18"/>
          <w:szCs w:val="18"/>
        </w:rPr>
        <w:t xml:space="preserve">ospital </w:t>
      </w:r>
      <w:r w:rsidR="00D72996" w:rsidRPr="00B76A92">
        <w:rPr>
          <w:rFonts w:ascii="Franklin Gothic Book" w:eastAsia="+mn-ea" w:hAnsi="Franklin Gothic Book" w:cs="Times New Roman"/>
          <w:kern w:val="24"/>
          <w:sz w:val="18"/>
          <w:szCs w:val="18"/>
        </w:rPr>
        <w:t>d</w:t>
      </w:r>
      <w:r w:rsidRPr="00B76A92">
        <w:rPr>
          <w:rFonts w:ascii="Franklin Gothic Book" w:eastAsia="+mn-ea" w:hAnsi="Franklin Gothic Book" w:cs="Times New Roman"/>
          <w:kern w:val="24"/>
          <w:sz w:val="18"/>
          <w:szCs w:val="18"/>
        </w:rPr>
        <w:t>ischarge</w:t>
      </w:r>
      <w:r w:rsidR="00D72996" w:rsidRPr="00B76A92">
        <w:rPr>
          <w:rFonts w:ascii="Franklin Gothic Book" w:eastAsia="+mn-ea" w:hAnsi="Franklin Gothic Book" w:cs="Times New Roman"/>
          <w:kern w:val="24"/>
          <w:sz w:val="18"/>
          <w:szCs w:val="18"/>
        </w:rPr>
        <w:t xml:space="preserve"> data</w:t>
      </w:r>
      <w:r w:rsidRPr="00B76A92">
        <w:rPr>
          <w:rFonts w:ascii="Franklin Gothic Book" w:eastAsia="+mn-ea" w:hAnsi="Franklin Gothic Book" w:cs="Times New Roman"/>
          <w:kern w:val="24"/>
          <w:sz w:val="18"/>
          <w:szCs w:val="18"/>
        </w:rPr>
        <w:t>.</w:t>
      </w:r>
    </w:p>
    <w:p w14:paraId="11A704AB" w14:textId="77777777" w:rsidR="007677C1" w:rsidRPr="009C0C39" w:rsidRDefault="007677C1" w:rsidP="007677C1">
      <w:pPr>
        <w:rPr>
          <w:rFonts w:ascii="Franklin Gothic Book" w:hAnsi="Franklin Gothic Book" w:cs="Times New Roman"/>
          <w:sz w:val="22"/>
          <w:szCs w:val="22"/>
          <w:u w:val="single"/>
        </w:rPr>
      </w:pPr>
    </w:p>
    <w:p w14:paraId="29A492A4" w14:textId="21919CB1" w:rsidR="00CF001C" w:rsidRPr="009C0C39" w:rsidRDefault="00CF001C" w:rsidP="00CF001C">
      <w:pPr>
        <w:rPr>
          <w:rFonts w:ascii="Franklin Gothic Book" w:hAnsi="Franklin Gothic Book" w:cs="Times New Roman"/>
          <w:sz w:val="18"/>
          <w:szCs w:val="18"/>
        </w:rPr>
      </w:pPr>
      <w:r w:rsidRPr="009C0C39">
        <w:rPr>
          <w:rFonts w:ascii="Franklin Gothic Book" w:hAnsi="Franklin Gothic Book" w:cs="Times New Roman"/>
          <w:sz w:val="22"/>
          <w:szCs w:val="22"/>
          <w:u w:val="single"/>
        </w:rPr>
        <w:br w:type="column"/>
      </w:r>
      <w:bookmarkStart w:id="129" w:name="Appendix_III"/>
      <w:bookmarkEnd w:id="129"/>
      <w:r w:rsidRPr="009C0C39">
        <w:rPr>
          <w:rFonts w:ascii="Franklin Gothic Book" w:hAnsi="Franklin Gothic Book" w:cs="Times New Roman"/>
          <w:b/>
          <w:bCs/>
          <w:sz w:val="22"/>
          <w:szCs w:val="22"/>
        </w:rPr>
        <w:lastRenderedPageBreak/>
        <w:t>Appendix II.</w:t>
      </w:r>
      <w:r w:rsidR="00F254DD" w:rsidRPr="009C0C39">
        <w:rPr>
          <w:rFonts w:ascii="Franklin Gothic Book" w:hAnsi="Franklin Gothic Book" w:cs="Times New Roman"/>
          <w:b/>
          <w:bCs/>
          <w:sz w:val="22"/>
          <w:szCs w:val="22"/>
        </w:rPr>
        <w:t>I</w:t>
      </w:r>
      <w:r w:rsidRPr="009C0C39">
        <w:rPr>
          <w:rFonts w:ascii="Franklin Gothic Book" w:hAnsi="Franklin Gothic Book" w:cs="Times New Roman"/>
          <w:b/>
          <w:bCs/>
          <w:sz w:val="22"/>
          <w:szCs w:val="22"/>
        </w:rPr>
        <w:t>: Financial Metrics for MGB and Other Large Massachusetts Providers</w:t>
      </w:r>
    </w:p>
    <w:p w14:paraId="0E8434B2" w14:textId="299A67C2" w:rsidR="00CF001C" w:rsidRPr="009C0C39" w:rsidRDefault="00CF001C" w:rsidP="007677C1">
      <w:pPr>
        <w:rPr>
          <w:rFonts w:ascii="Franklin Gothic Book" w:hAnsi="Franklin Gothic Book" w:cs="Times New Roman"/>
          <w:sz w:val="22"/>
          <w:szCs w:val="22"/>
          <w:u w:val="single"/>
        </w:rPr>
      </w:pPr>
    </w:p>
    <w:tbl>
      <w:tblPr>
        <w:tblStyle w:val="ListTable4-Accent3"/>
        <w:tblpPr w:leftFromText="180" w:rightFromText="180" w:vertAnchor="text" w:horzAnchor="margin" w:tblpY="1799"/>
        <w:tblW w:w="94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Caption w:val="Appendix II.I: Financial Metrics for MGB and Other Large Massachusetts Providers"/>
        <w:tblDescription w:val="Appendix II.I: Financial Metrics for MGB and Other Large Massachusetts Providers"/>
      </w:tblPr>
      <w:tblGrid>
        <w:gridCol w:w="3365"/>
        <w:gridCol w:w="858"/>
        <w:gridCol w:w="1019"/>
        <w:gridCol w:w="947"/>
        <w:gridCol w:w="1199"/>
        <w:gridCol w:w="947"/>
        <w:gridCol w:w="1099"/>
      </w:tblGrid>
      <w:tr w:rsidR="006330DD" w:rsidRPr="004921B8" w14:paraId="7C5993CA" w14:textId="77777777" w:rsidTr="006B636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365" w:type="dxa"/>
            <w:shd w:val="clear" w:color="auto" w:fill="074A75"/>
            <w:vAlign w:val="center"/>
            <w:hideMark/>
          </w:tcPr>
          <w:p w14:paraId="21ECB6B1" w14:textId="77777777" w:rsidR="006330DD" w:rsidRPr="004921B8" w:rsidRDefault="006330DD" w:rsidP="006330DD">
            <w:pPr>
              <w:jc w:val="center"/>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Metric</w:t>
            </w:r>
          </w:p>
        </w:tc>
        <w:tc>
          <w:tcPr>
            <w:tcW w:w="858" w:type="dxa"/>
            <w:tcBorders>
              <w:right w:val="single" w:sz="18" w:space="0" w:color="F2682A" w:themeColor="accent2"/>
            </w:tcBorders>
            <w:shd w:val="clear" w:color="auto" w:fill="074A75"/>
            <w:vAlign w:val="center"/>
            <w:hideMark/>
          </w:tcPr>
          <w:p w14:paraId="11295C33" w14:textId="77777777" w:rsidR="006330DD" w:rsidRPr="004921B8" w:rsidRDefault="006330DD" w:rsidP="006330DD">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Year</w:t>
            </w:r>
          </w:p>
        </w:tc>
        <w:tc>
          <w:tcPr>
            <w:tcW w:w="1019" w:type="dxa"/>
            <w:tcBorders>
              <w:top w:val="single" w:sz="18" w:space="0" w:color="F2682A" w:themeColor="accent2"/>
              <w:left w:val="single" w:sz="18" w:space="0" w:color="F2682A" w:themeColor="accent2"/>
              <w:right w:val="single" w:sz="18" w:space="0" w:color="F2682A" w:themeColor="accent2"/>
            </w:tcBorders>
            <w:shd w:val="clear" w:color="auto" w:fill="074A75"/>
            <w:vAlign w:val="center"/>
            <w:hideMark/>
          </w:tcPr>
          <w:p w14:paraId="7AC2D755" w14:textId="77777777" w:rsidR="006330DD" w:rsidRPr="004921B8" w:rsidRDefault="006330DD" w:rsidP="006330DD">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MGB</w:t>
            </w:r>
          </w:p>
        </w:tc>
        <w:tc>
          <w:tcPr>
            <w:tcW w:w="947" w:type="dxa"/>
            <w:tcBorders>
              <w:left w:val="single" w:sz="18" w:space="0" w:color="F2682A" w:themeColor="accent2"/>
            </w:tcBorders>
            <w:shd w:val="clear" w:color="auto" w:fill="074A75"/>
            <w:vAlign w:val="center"/>
            <w:hideMark/>
          </w:tcPr>
          <w:p w14:paraId="1FCBCAAC" w14:textId="77777777" w:rsidR="006330DD" w:rsidRPr="004921B8" w:rsidRDefault="006330DD" w:rsidP="006330DD">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BILH</w:t>
            </w:r>
          </w:p>
        </w:tc>
        <w:tc>
          <w:tcPr>
            <w:tcW w:w="1199" w:type="dxa"/>
            <w:shd w:val="clear" w:color="auto" w:fill="074A75"/>
            <w:vAlign w:val="center"/>
            <w:hideMark/>
          </w:tcPr>
          <w:p w14:paraId="682AE673" w14:textId="77777777" w:rsidR="006330DD" w:rsidRPr="004921B8" w:rsidRDefault="006330DD" w:rsidP="006330DD">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Wellforce</w:t>
            </w:r>
          </w:p>
        </w:tc>
        <w:tc>
          <w:tcPr>
            <w:tcW w:w="947" w:type="dxa"/>
            <w:shd w:val="clear" w:color="auto" w:fill="074A75"/>
            <w:vAlign w:val="center"/>
            <w:hideMark/>
          </w:tcPr>
          <w:p w14:paraId="50D7ABEF" w14:textId="77777777" w:rsidR="006330DD" w:rsidRPr="004921B8" w:rsidRDefault="006330DD" w:rsidP="006330DD">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UMass</w:t>
            </w:r>
          </w:p>
        </w:tc>
        <w:tc>
          <w:tcPr>
            <w:tcW w:w="1099" w:type="dxa"/>
            <w:shd w:val="clear" w:color="auto" w:fill="074A75"/>
            <w:vAlign w:val="center"/>
            <w:hideMark/>
          </w:tcPr>
          <w:p w14:paraId="7CEBC7B6" w14:textId="77777777" w:rsidR="006330DD" w:rsidRPr="004921B8" w:rsidRDefault="006330DD" w:rsidP="006330DD">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0"/>
                <w:szCs w:val="20"/>
              </w:rPr>
            </w:pPr>
            <w:r w:rsidRPr="004921B8">
              <w:rPr>
                <w:rFonts w:ascii="Franklin Gothic Demi Cond" w:eastAsia="Times New Roman" w:hAnsi="Franklin Gothic Demi Cond" w:cs="Arial"/>
                <w:b w:val="0"/>
                <w:bCs w:val="0"/>
                <w:sz w:val="20"/>
                <w:szCs w:val="20"/>
              </w:rPr>
              <w:t>Baystate</w:t>
            </w:r>
          </w:p>
        </w:tc>
      </w:tr>
      <w:tr w:rsidR="006330DD" w:rsidRPr="004921B8" w14:paraId="478CB87A"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val="restart"/>
            <w:tcBorders>
              <w:right w:val="single" w:sz="8" w:space="0" w:color="FFFFFF" w:themeColor="background1"/>
            </w:tcBorders>
            <w:vAlign w:val="center"/>
            <w:hideMark/>
          </w:tcPr>
          <w:p w14:paraId="1387A432" w14:textId="77777777" w:rsidR="006330DD" w:rsidRPr="007470CF" w:rsidRDefault="006330DD" w:rsidP="006330DD">
            <w:pPr>
              <w:rPr>
                <w:rFonts w:ascii="Franklin Gothic Book" w:eastAsia="Times New Roman" w:hAnsi="Franklin Gothic Book" w:cs="Arial"/>
                <w:color w:val="074A75"/>
                <w:sz w:val="18"/>
                <w:szCs w:val="18"/>
              </w:rPr>
            </w:pPr>
            <w:r w:rsidRPr="007470CF">
              <w:rPr>
                <w:rFonts w:ascii="Franklin Gothic Book" w:eastAsia="Times New Roman" w:hAnsi="Franklin Gothic Book" w:cs="Arial"/>
                <w:color w:val="074A75"/>
                <w:sz w:val="18"/>
                <w:szCs w:val="18"/>
              </w:rPr>
              <w:t>Total net assets (millions)</w:t>
            </w:r>
          </w:p>
        </w:tc>
        <w:tc>
          <w:tcPr>
            <w:tcW w:w="858" w:type="dxa"/>
            <w:tcBorders>
              <w:left w:val="single" w:sz="8" w:space="0" w:color="FFFFFF" w:themeColor="background1"/>
              <w:right w:val="single" w:sz="18" w:space="0" w:color="F2682A" w:themeColor="accent2"/>
            </w:tcBorders>
            <w:vAlign w:val="center"/>
            <w:hideMark/>
          </w:tcPr>
          <w:p w14:paraId="55B2D6B9"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2018</w:t>
            </w:r>
          </w:p>
        </w:tc>
        <w:tc>
          <w:tcPr>
            <w:tcW w:w="1019" w:type="dxa"/>
            <w:tcBorders>
              <w:left w:val="single" w:sz="18" w:space="0" w:color="F2682A" w:themeColor="accent2"/>
              <w:right w:val="single" w:sz="18" w:space="0" w:color="F2682A" w:themeColor="accent2"/>
            </w:tcBorders>
            <w:shd w:val="clear" w:color="auto" w:fill="FDF3ED"/>
            <w:vAlign w:val="center"/>
            <w:hideMark/>
          </w:tcPr>
          <w:p w14:paraId="48E458C3"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$8,973</w:t>
            </w:r>
          </w:p>
        </w:tc>
        <w:tc>
          <w:tcPr>
            <w:tcW w:w="947" w:type="dxa"/>
            <w:tcBorders>
              <w:left w:val="single" w:sz="18" w:space="0" w:color="F2682A" w:themeColor="accent2"/>
            </w:tcBorders>
            <w:vAlign w:val="center"/>
            <w:hideMark/>
          </w:tcPr>
          <w:p w14:paraId="7B2E1DB5"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$3,139</w:t>
            </w:r>
          </w:p>
        </w:tc>
        <w:tc>
          <w:tcPr>
            <w:tcW w:w="1199" w:type="dxa"/>
            <w:vAlign w:val="center"/>
            <w:hideMark/>
          </w:tcPr>
          <w:p w14:paraId="3336A609"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$621</w:t>
            </w:r>
          </w:p>
        </w:tc>
        <w:tc>
          <w:tcPr>
            <w:tcW w:w="947" w:type="dxa"/>
            <w:vAlign w:val="center"/>
            <w:hideMark/>
          </w:tcPr>
          <w:p w14:paraId="528C75B8"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$1,016</w:t>
            </w:r>
          </w:p>
        </w:tc>
        <w:tc>
          <w:tcPr>
            <w:tcW w:w="1099" w:type="dxa"/>
            <w:vAlign w:val="center"/>
            <w:hideMark/>
          </w:tcPr>
          <w:p w14:paraId="718CF480"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$1,102</w:t>
            </w:r>
          </w:p>
        </w:tc>
      </w:tr>
      <w:tr w:rsidR="006330DD" w:rsidRPr="004921B8" w14:paraId="4EA85EA0"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right w:val="single" w:sz="8" w:space="0" w:color="FFFFFF" w:themeColor="background1"/>
            </w:tcBorders>
            <w:shd w:val="clear" w:color="auto" w:fill="FEEDD2" w:themeFill="accent3" w:themeFillTint="33"/>
            <w:vAlign w:val="center"/>
            <w:hideMark/>
          </w:tcPr>
          <w:p w14:paraId="7C8E0266"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right w:val="single" w:sz="18" w:space="0" w:color="F2682A" w:themeColor="accent2"/>
            </w:tcBorders>
            <w:vAlign w:val="center"/>
            <w:hideMark/>
          </w:tcPr>
          <w:p w14:paraId="6EFEFA57"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2019</w:t>
            </w:r>
          </w:p>
        </w:tc>
        <w:tc>
          <w:tcPr>
            <w:tcW w:w="1019" w:type="dxa"/>
            <w:tcBorders>
              <w:left w:val="single" w:sz="18" w:space="0" w:color="F2682A" w:themeColor="accent2"/>
              <w:right w:val="single" w:sz="18" w:space="0" w:color="F2682A" w:themeColor="accent2"/>
            </w:tcBorders>
            <w:shd w:val="clear" w:color="auto" w:fill="FDF3ED"/>
            <w:vAlign w:val="center"/>
            <w:hideMark/>
          </w:tcPr>
          <w:p w14:paraId="46D6BC0A"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$9,748</w:t>
            </w:r>
          </w:p>
        </w:tc>
        <w:tc>
          <w:tcPr>
            <w:tcW w:w="947" w:type="dxa"/>
            <w:tcBorders>
              <w:left w:val="single" w:sz="18" w:space="0" w:color="F2682A" w:themeColor="accent2"/>
            </w:tcBorders>
            <w:vAlign w:val="center"/>
            <w:hideMark/>
          </w:tcPr>
          <w:p w14:paraId="36F89CC8"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$3,065</w:t>
            </w:r>
          </w:p>
        </w:tc>
        <w:tc>
          <w:tcPr>
            <w:tcW w:w="1199" w:type="dxa"/>
            <w:vAlign w:val="center"/>
            <w:hideMark/>
          </w:tcPr>
          <w:p w14:paraId="7AA373A1"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$693</w:t>
            </w:r>
          </w:p>
        </w:tc>
        <w:tc>
          <w:tcPr>
            <w:tcW w:w="947" w:type="dxa"/>
            <w:vAlign w:val="center"/>
            <w:hideMark/>
          </w:tcPr>
          <w:p w14:paraId="6B97D28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$1,077</w:t>
            </w:r>
          </w:p>
        </w:tc>
        <w:tc>
          <w:tcPr>
            <w:tcW w:w="1099" w:type="dxa"/>
            <w:vAlign w:val="center"/>
            <w:hideMark/>
          </w:tcPr>
          <w:p w14:paraId="3A75A785"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$1,085</w:t>
            </w:r>
          </w:p>
        </w:tc>
      </w:tr>
      <w:tr w:rsidR="006330DD" w:rsidRPr="004921B8" w14:paraId="549EFBF9"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bottom w:val="single" w:sz="8" w:space="0" w:color="074A75"/>
              <w:right w:val="single" w:sz="8" w:space="0" w:color="FFFFFF" w:themeColor="background1"/>
            </w:tcBorders>
            <w:vAlign w:val="center"/>
            <w:hideMark/>
          </w:tcPr>
          <w:p w14:paraId="2C42FAA4"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bottom w:val="single" w:sz="8" w:space="0" w:color="074A75"/>
              <w:right w:val="single" w:sz="18" w:space="0" w:color="F2682A" w:themeColor="accent2"/>
            </w:tcBorders>
            <w:vAlign w:val="center"/>
            <w:hideMark/>
          </w:tcPr>
          <w:p w14:paraId="2096293E"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2020</w:t>
            </w:r>
          </w:p>
        </w:tc>
        <w:tc>
          <w:tcPr>
            <w:tcW w:w="1019" w:type="dxa"/>
            <w:tcBorders>
              <w:left w:val="single" w:sz="18" w:space="0" w:color="F2682A" w:themeColor="accent2"/>
              <w:bottom w:val="single" w:sz="8" w:space="0" w:color="074A75"/>
              <w:right w:val="single" w:sz="18" w:space="0" w:color="F2682A" w:themeColor="accent2"/>
            </w:tcBorders>
            <w:shd w:val="clear" w:color="auto" w:fill="FDF3ED"/>
            <w:vAlign w:val="center"/>
            <w:hideMark/>
          </w:tcPr>
          <w:p w14:paraId="3BB8E3D3"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$10,620</w:t>
            </w:r>
          </w:p>
        </w:tc>
        <w:tc>
          <w:tcPr>
            <w:tcW w:w="947" w:type="dxa"/>
            <w:tcBorders>
              <w:left w:val="single" w:sz="18" w:space="0" w:color="F2682A" w:themeColor="accent2"/>
              <w:bottom w:val="single" w:sz="8" w:space="0" w:color="074A75"/>
            </w:tcBorders>
            <w:vAlign w:val="center"/>
            <w:hideMark/>
          </w:tcPr>
          <w:p w14:paraId="3F08E740"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$3,053</w:t>
            </w:r>
          </w:p>
        </w:tc>
        <w:tc>
          <w:tcPr>
            <w:tcW w:w="1199" w:type="dxa"/>
            <w:tcBorders>
              <w:bottom w:val="single" w:sz="8" w:space="0" w:color="074A75"/>
            </w:tcBorders>
            <w:vAlign w:val="center"/>
            <w:hideMark/>
          </w:tcPr>
          <w:p w14:paraId="539C54AC"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$727</w:t>
            </w:r>
          </w:p>
        </w:tc>
        <w:tc>
          <w:tcPr>
            <w:tcW w:w="947" w:type="dxa"/>
            <w:tcBorders>
              <w:bottom w:val="single" w:sz="8" w:space="0" w:color="074A75"/>
            </w:tcBorders>
            <w:vAlign w:val="center"/>
            <w:hideMark/>
          </w:tcPr>
          <w:p w14:paraId="2F691CD5"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$1,055</w:t>
            </w:r>
          </w:p>
        </w:tc>
        <w:tc>
          <w:tcPr>
            <w:tcW w:w="1099" w:type="dxa"/>
            <w:tcBorders>
              <w:bottom w:val="single" w:sz="8" w:space="0" w:color="074A75"/>
            </w:tcBorders>
            <w:vAlign w:val="center"/>
            <w:hideMark/>
          </w:tcPr>
          <w:p w14:paraId="6E83E2C1"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$1,132</w:t>
            </w:r>
          </w:p>
        </w:tc>
      </w:tr>
      <w:tr w:rsidR="006330DD" w:rsidRPr="004921B8" w14:paraId="7D86E22F"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val="restart"/>
            <w:tcBorders>
              <w:top w:val="single" w:sz="8" w:space="0" w:color="074A75"/>
              <w:right w:val="single" w:sz="8" w:space="0" w:color="FFFFFF" w:themeColor="background1"/>
            </w:tcBorders>
            <w:shd w:val="clear" w:color="auto" w:fill="FEEDD2" w:themeFill="accent3" w:themeFillTint="33"/>
            <w:vAlign w:val="center"/>
            <w:hideMark/>
          </w:tcPr>
          <w:p w14:paraId="72357504" w14:textId="77777777" w:rsidR="006330DD" w:rsidRPr="007470CF" w:rsidRDefault="006330DD" w:rsidP="006330DD">
            <w:pPr>
              <w:rPr>
                <w:rFonts w:ascii="Franklin Gothic Book" w:eastAsia="Times New Roman" w:hAnsi="Franklin Gothic Book" w:cs="Arial"/>
                <w:color w:val="074A75"/>
                <w:sz w:val="18"/>
                <w:szCs w:val="18"/>
              </w:rPr>
            </w:pPr>
            <w:r w:rsidRPr="007470CF">
              <w:rPr>
                <w:rFonts w:ascii="Franklin Gothic Book" w:eastAsia="Times New Roman" w:hAnsi="Franklin Gothic Book" w:cs="Arial"/>
                <w:color w:val="074A75"/>
                <w:sz w:val="18"/>
                <w:szCs w:val="18"/>
              </w:rPr>
              <w:t>Net assets to total assets ratio</w:t>
            </w:r>
          </w:p>
        </w:tc>
        <w:tc>
          <w:tcPr>
            <w:tcW w:w="858" w:type="dxa"/>
            <w:tcBorders>
              <w:top w:val="single" w:sz="8" w:space="0" w:color="074A75"/>
              <w:left w:val="single" w:sz="8" w:space="0" w:color="FFFFFF" w:themeColor="background1"/>
              <w:right w:val="single" w:sz="18" w:space="0" w:color="F2682A" w:themeColor="accent2"/>
            </w:tcBorders>
            <w:vAlign w:val="center"/>
            <w:hideMark/>
          </w:tcPr>
          <w:p w14:paraId="07D71A6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2018</w:t>
            </w:r>
          </w:p>
        </w:tc>
        <w:tc>
          <w:tcPr>
            <w:tcW w:w="1019" w:type="dxa"/>
            <w:tcBorders>
              <w:top w:val="single" w:sz="8" w:space="0" w:color="074A75"/>
              <w:left w:val="single" w:sz="18" w:space="0" w:color="F2682A" w:themeColor="accent2"/>
              <w:right w:val="single" w:sz="18" w:space="0" w:color="F2682A" w:themeColor="accent2"/>
            </w:tcBorders>
            <w:shd w:val="clear" w:color="auto" w:fill="FDF3ED"/>
            <w:vAlign w:val="center"/>
            <w:hideMark/>
          </w:tcPr>
          <w:p w14:paraId="621DD117"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49.00%</w:t>
            </w:r>
          </w:p>
        </w:tc>
        <w:tc>
          <w:tcPr>
            <w:tcW w:w="947" w:type="dxa"/>
            <w:tcBorders>
              <w:top w:val="single" w:sz="8" w:space="0" w:color="074A75"/>
              <w:left w:val="single" w:sz="18" w:space="0" w:color="F2682A" w:themeColor="accent2"/>
            </w:tcBorders>
            <w:vAlign w:val="center"/>
            <w:hideMark/>
          </w:tcPr>
          <w:p w14:paraId="2CEB451C"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50.50%</w:t>
            </w:r>
          </w:p>
        </w:tc>
        <w:tc>
          <w:tcPr>
            <w:tcW w:w="1199" w:type="dxa"/>
            <w:tcBorders>
              <w:top w:val="single" w:sz="8" w:space="0" w:color="074A75"/>
            </w:tcBorders>
            <w:vAlign w:val="center"/>
            <w:hideMark/>
          </w:tcPr>
          <w:p w14:paraId="58C71046"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34.00%</w:t>
            </w:r>
          </w:p>
        </w:tc>
        <w:tc>
          <w:tcPr>
            <w:tcW w:w="947" w:type="dxa"/>
            <w:tcBorders>
              <w:top w:val="single" w:sz="8" w:space="0" w:color="074A75"/>
            </w:tcBorders>
            <w:vAlign w:val="center"/>
            <w:hideMark/>
          </w:tcPr>
          <w:p w14:paraId="67C823B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41.00%</w:t>
            </w:r>
          </w:p>
        </w:tc>
        <w:tc>
          <w:tcPr>
            <w:tcW w:w="1099" w:type="dxa"/>
            <w:tcBorders>
              <w:top w:val="single" w:sz="8" w:space="0" w:color="074A75"/>
            </w:tcBorders>
            <w:vAlign w:val="center"/>
            <w:hideMark/>
          </w:tcPr>
          <w:p w14:paraId="041039D2"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50.70%</w:t>
            </w:r>
          </w:p>
        </w:tc>
      </w:tr>
      <w:tr w:rsidR="006330DD" w:rsidRPr="004921B8" w14:paraId="57A14E01"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right w:val="single" w:sz="8" w:space="0" w:color="FFFFFF" w:themeColor="background1"/>
            </w:tcBorders>
            <w:vAlign w:val="center"/>
            <w:hideMark/>
          </w:tcPr>
          <w:p w14:paraId="3AA02E6B"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right w:val="single" w:sz="18" w:space="0" w:color="F2682A" w:themeColor="accent2"/>
            </w:tcBorders>
            <w:vAlign w:val="center"/>
            <w:hideMark/>
          </w:tcPr>
          <w:p w14:paraId="2E2196C3"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2019</w:t>
            </w:r>
          </w:p>
        </w:tc>
        <w:tc>
          <w:tcPr>
            <w:tcW w:w="1019" w:type="dxa"/>
            <w:tcBorders>
              <w:left w:val="single" w:sz="18" w:space="0" w:color="F2682A" w:themeColor="accent2"/>
              <w:right w:val="single" w:sz="18" w:space="0" w:color="F2682A" w:themeColor="accent2"/>
            </w:tcBorders>
            <w:shd w:val="clear" w:color="auto" w:fill="FDF3ED"/>
            <w:vAlign w:val="center"/>
            <w:hideMark/>
          </w:tcPr>
          <w:p w14:paraId="59A19326"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45.90%</w:t>
            </w:r>
          </w:p>
        </w:tc>
        <w:tc>
          <w:tcPr>
            <w:tcW w:w="947" w:type="dxa"/>
            <w:tcBorders>
              <w:left w:val="single" w:sz="18" w:space="0" w:color="F2682A" w:themeColor="accent2"/>
            </w:tcBorders>
            <w:vAlign w:val="center"/>
            <w:hideMark/>
          </w:tcPr>
          <w:p w14:paraId="2697109E"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48.20%</w:t>
            </w:r>
          </w:p>
        </w:tc>
        <w:tc>
          <w:tcPr>
            <w:tcW w:w="1199" w:type="dxa"/>
            <w:vAlign w:val="center"/>
            <w:hideMark/>
          </w:tcPr>
          <w:p w14:paraId="0C6541E3"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33.60%</w:t>
            </w:r>
          </w:p>
        </w:tc>
        <w:tc>
          <w:tcPr>
            <w:tcW w:w="947" w:type="dxa"/>
            <w:vAlign w:val="center"/>
            <w:hideMark/>
          </w:tcPr>
          <w:p w14:paraId="239D55B1"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40.40%</w:t>
            </w:r>
          </w:p>
        </w:tc>
        <w:tc>
          <w:tcPr>
            <w:tcW w:w="1099" w:type="dxa"/>
            <w:vAlign w:val="center"/>
            <w:hideMark/>
          </w:tcPr>
          <w:p w14:paraId="65ED31ED"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49.00%</w:t>
            </w:r>
          </w:p>
        </w:tc>
      </w:tr>
      <w:tr w:rsidR="006330DD" w:rsidRPr="004921B8" w14:paraId="6A723286"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bottom w:val="single" w:sz="8" w:space="0" w:color="074A75"/>
              <w:right w:val="single" w:sz="8" w:space="0" w:color="FFFFFF" w:themeColor="background1"/>
            </w:tcBorders>
            <w:shd w:val="clear" w:color="auto" w:fill="FEEDD2" w:themeFill="accent3" w:themeFillTint="33"/>
            <w:vAlign w:val="center"/>
            <w:hideMark/>
          </w:tcPr>
          <w:p w14:paraId="623A4E55"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bottom w:val="single" w:sz="8" w:space="0" w:color="074A75"/>
              <w:right w:val="single" w:sz="18" w:space="0" w:color="F2682A" w:themeColor="accent2"/>
            </w:tcBorders>
            <w:vAlign w:val="center"/>
            <w:hideMark/>
          </w:tcPr>
          <w:p w14:paraId="71DC0824"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2020</w:t>
            </w:r>
          </w:p>
        </w:tc>
        <w:tc>
          <w:tcPr>
            <w:tcW w:w="1019" w:type="dxa"/>
            <w:tcBorders>
              <w:left w:val="single" w:sz="18" w:space="0" w:color="F2682A" w:themeColor="accent2"/>
              <w:bottom w:val="single" w:sz="8" w:space="0" w:color="074A75"/>
              <w:right w:val="single" w:sz="18" w:space="0" w:color="F2682A" w:themeColor="accent2"/>
            </w:tcBorders>
            <w:shd w:val="clear" w:color="auto" w:fill="FDF3ED"/>
            <w:vAlign w:val="center"/>
            <w:hideMark/>
          </w:tcPr>
          <w:p w14:paraId="2131312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42.40%</w:t>
            </w:r>
          </w:p>
        </w:tc>
        <w:tc>
          <w:tcPr>
            <w:tcW w:w="947" w:type="dxa"/>
            <w:tcBorders>
              <w:left w:val="single" w:sz="18" w:space="0" w:color="F2682A" w:themeColor="accent2"/>
              <w:bottom w:val="single" w:sz="8" w:space="0" w:color="074A75"/>
            </w:tcBorders>
            <w:vAlign w:val="center"/>
            <w:hideMark/>
          </w:tcPr>
          <w:p w14:paraId="7738A552"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41.60%</w:t>
            </w:r>
          </w:p>
        </w:tc>
        <w:tc>
          <w:tcPr>
            <w:tcW w:w="1199" w:type="dxa"/>
            <w:tcBorders>
              <w:bottom w:val="single" w:sz="8" w:space="0" w:color="074A75"/>
            </w:tcBorders>
            <w:vAlign w:val="center"/>
            <w:hideMark/>
          </w:tcPr>
          <w:p w14:paraId="532B4568"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26.70%</w:t>
            </w:r>
          </w:p>
        </w:tc>
        <w:tc>
          <w:tcPr>
            <w:tcW w:w="947" w:type="dxa"/>
            <w:tcBorders>
              <w:bottom w:val="single" w:sz="8" w:space="0" w:color="074A75"/>
            </w:tcBorders>
            <w:vAlign w:val="center"/>
            <w:hideMark/>
          </w:tcPr>
          <w:p w14:paraId="3E12821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32.30%</w:t>
            </w:r>
          </w:p>
        </w:tc>
        <w:tc>
          <w:tcPr>
            <w:tcW w:w="1099" w:type="dxa"/>
            <w:tcBorders>
              <w:bottom w:val="single" w:sz="8" w:space="0" w:color="074A75"/>
            </w:tcBorders>
            <w:vAlign w:val="center"/>
            <w:hideMark/>
          </w:tcPr>
          <w:p w14:paraId="6716A2D8"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39.80%</w:t>
            </w:r>
          </w:p>
        </w:tc>
      </w:tr>
      <w:tr w:rsidR="006330DD" w:rsidRPr="004921B8" w14:paraId="79BBED52"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val="restart"/>
            <w:tcBorders>
              <w:top w:val="single" w:sz="8" w:space="0" w:color="074A75"/>
              <w:right w:val="single" w:sz="8" w:space="0" w:color="FFFFFF" w:themeColor="background1"/>
            </w:tcBorders>
            <w:vAlign w:val="center"/>
            <w:hideMark/>
          </w:tcPr>
          <w:p w14:paraId="3A093AC3" w14:textId="77777777" w:rsidR="006330DD" w:rsidRPr="007470CF" w:rsidRDefault="006330DD" w:rsidP="006330DD">
            <w:pPr>
              <w:rPr>
                <w:rFonts w:ascii="Franklin Gothic Book" w:eastAsia="Times New Roman" w:hAnsi="Franklin Gothic Book" w:cs="Arial"/>
                <w:color w:val="074A75"/>
                <w:sz w:val="18"/>
                <w:szCs w:val="18"/>
              </w:rPr>
            </w:pPr>
            <w:r w:rsidRPr="007470CF">
              <w:rPr>
                <w:rFonts w:ascii="Franklin Gothic Book" w:eastAsia="Times New Roman" w:hAnsi="Franklin Gothic Book" w:cs="Arial"/>
                <w:color w:val="074A75"/>
                <w:sz w:val="18"/>
                <w:szCs w:val="18"/>
              </w:rPr>
              <w:t>Operating revenue (millions)</w:t>
            </w:r>
          </w:p>
        </w:tc>
        <w:tc>
          <w:tcPr>
            <w:tcW w:w="858" w:type="dxa"/>
            <w:tcBorders>
              <w:top w:val="single" w:sz="8" w:space="0" w:color="074A75"/>
              <w:left w:val="single" w:sz="8" w:space="0" w:color="FFFFFF" w:themeColor="background1"/>
              <w:right w:val="single" w:sz="18" w:space="0" w:color="F2682A" w:themeColor="accent2"/>
            </w:tcBorders>
            <w:vAlign w:val="center"/>
            <w:hideMark/>
          </w:tcPr>
          <w:p w14:paraId="0F201CE4"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2018</w:t>
            </w:r>
          </w:p>
        </w:tc>
        <w:tc>
          <w:tcPr>
            <w:tcW w:w="1019" w:type="dxa"/>
            <w:tcBorders>
              <w:top w:val="single" w:sz="8" w:space="0" w:color="074A75"/>
              <w:left w:val="single" w:sz="18" w:space="0" w:color="F2682A" w:themeColor="accent2"/>
              <w:right w:val="single" w:sz="18" w:space="0" w:color="F2682A" w:themeColor="accent2"/>
            </w:tcBorders>
            <w:shd w:val="clear" w:color="auto" w:fill="FDF3ED"/>
            <w:vAlign w:val="center"/>
            <w:hideMark/>
          </w:tcPr>
          <w:p w14:paraId="5E010655"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$13,307</w:t>
            </w:r>
          </w:p>
        </w:tc>
        <w:tc>
          <w:tcPr>
            <w:tcW w:w="947" w:type="dxa"/>
            <w:tcBorders>
              <w:top w:val="single" w:sz="8" w:space="0" w:color="074A75"/>
              <w:left w:val="single" w:sz="18" w:space="0" w:color="F2682A" w:themeColor="accent2"/>
            </w:tcBorders>
            <w:vAlign w:val="center"/>
            <w:hideMark/>
          </w:tcPr>
          <w:p w14:paraId="685CCADC"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$5,668</w:t>
            </w:r>
          </w:p>
        </w:tc>
        <w:tc>
          <w:tcPr>
            <w:tcW w:w="1199" w:type="dxa"/>
            <w:tcBorders>
              <w:top w:val="single" w:sz="8" w:space="0" w:color="074A75"/>
            </w:tcBorders>
            <w:vAlign w:val="center"/>
            <w:hideMark/>
          </w:tcPr>
          <w:p w14:paraId="4ADF4DE9"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$1,936</w:t>
            </w:r>
          </w:p>
        </w:tc>
        <w:tc>
          <w:tcPr>
            <w:tcW w:w="947" w:type="dxa"/>
            <w:tcBorders>
              <w:top w:val="single" w:sz="8" w:space="0" w:color="074A75"/>
            </w:tcBorders>
            <w:vAlign w:val="center"/>
            <w:hideMark/>
          </w:tcPr>
          <w:p w14:paraId="73BCC460"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$2,487</w:t>
            </w:r>
          </w:p>
        </w:tc>
        <w:tc>
          <w:tcPr>
            <w:tcW w:w="1099" w:type="dxa"/>
            <w:tcBorders>
              <w:top w:val="single" w:sz="8" w:space="0" w:color="074A75"/>
            </w:tcBorders>
            <w:vAlign w:val="center"/>
            <w:hideMark/>
          </w:tcPr>
          <w:p w14:paraId="2BC683D3"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$2,382</w:t>
            </w:r>
          </w:p>
        </w:tc>
      </w:tr>
      <w:tr w:rsidR="006330DD" w:rsidRPr="004921B8" w14:paraId="632D4F5E"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right w:val="single" w:sz="8" w:space="0" w:color="FFFFFF" w:themeColor="background1"/>
            </w:tcBorders>
            <w:shd w:val="clear" w:color="auto" w:fill="FEEDD2" w:themeFill="accent3" w:themeFillTint="33"/>
            <w:vAlign w:val="center"/>
            <w:hideMark/>
          </w:tcPr>
          <w:p w14:paraId="398C616B"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right w:val="single" w:sz="18" w:space="0" w:color="F2682A" w:themeColor="accent2"/>
            </w:tcBorders>
            <w:vAlign w:val="center"/>
            <w:hideMark/>
          </w:tcPr>
          <w:p w14:paraId="59821EC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2019</w:t>
            </w:r>
          </w:p>
        </w:tc>
        <w:tc>
          <w:tcPr>
            <w:tcW w:w="1019" w:type="dxa"/>
            <w:tcBorders>
              <w:left w:val="single" w:sz="18" w:space="0" w:color="F2682A" w:themeColor="accent2"/>
              <w:right w:val="single" w:sz="18" w:space="0" w:color="F2682A" w:themeColor="accent2"/>
            </w:tcBorders>
            <w:shd w:val="clear" w:color="auto" w:fill="FDF3ED"/>
            <w:vAlign w:val="center"/>
            <w:hideMark/>
          </w:tcPr>
          <w:p w14:paraId="6FE4DC57"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$13,951</w:t>
            </w:r>
          </w:p>
        </w:tc>
        <w:tc>
          <w:tcPr>
            <w:tcW w:w="947" w:type="dxa"/>
            <w:tcBorders>
              <w:left w:val="single" w:sz="18" w:space="0" w:color="F2682A" w:themeColor="accent2"/>
            </w:tcBorders>
            <w:vAlign w:val="center"/>
            <w:hideMark/>
          </w:tcPr>
          <w:p w14:paraId="39E5DA16"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$3,638</w:t>
            </w:r>
          </w:p>
        </w:tc>
        <w:tc>
          <w:tcPr>
            <w:tcW w:w="1199" w:type="dxa"/>
            <w:vAlign w:val="center"/>
            <w:hideMark/>
          </w:tcPr>
          <w:p w14:paraId="41EC47CC"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$2,055</w:t>
            </w:r>
          </w:p>
        </w:tc>
        <w:tc>
          <w:tcPr>
            <w:tcW w:w="947" w:type="dxa"/>
            <w:vAlign w:val="center"/>
            <w:hideMark/>
          </w:tcPr>
          <w:p w14:paraId="208B33BB"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$2,825</w:t>
            </w:r>
          </w:p>
        </w:tc>
        <w:tc>
          <w:tcPr>
            <w:tcW w:w="1099" w:type="dxa"/>
            <w:vAlign w:val="center"/>
            <w:hideMark/>
          </w:tcPr>
          <w:p w14:paraId="174C3F83"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$2,376</w:t>
            </w:r>
          </w:p>
        </w:tc>
      </w:tr>
      <w:tr w:rsidR="006330DD" w:rsidRPr="004921B8" w14:paraId="08D3F423"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bottom w:val="single" w:sz="8" w:space="0" w:color="074A75"/>
              <w:right w:val="single" w:sz="8" w:space="0" w:color="FFFFFF" w:themeColor="background1"/>
            </w:tcBorders>
            <w:vAlign w:val="center"/>
            <w:hideMark/>
          </w:tcPr>
          <w:p w14:paraId="5C4AADA0"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bottom w:val="single" w:sz="8" w:space="0" w:color="074A75"/>
              <w:right w:val="single" w:sz="18" w:space="0" w:color="F2682A" w:themeColor="accent2"/>
            </w:tcBorders>
            <w:vAlign w:val="center"/>
            <w:hideMark/>
          </w:tcPr>
          <w:p w14:paraId="37F3C338"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2020</w:t>
            </w:r>
          </w:p>
        </w:tc>
        <w:tc>
          <w:tcPr>
            <w:tcW w:w="1019" w:type="dxa"/>
            <w:tcBorders>
              <w:left w:val="single" w:sz="18" w:space="0" w:color="F2682A" w:themeColor="accent2"/>
              <w:bottom w:val="single" w:sz="8" w:space="0" w:color="074A75"/>
              <w:right w:val="single" w:sz="18" w:space="0" w:color="F2682A" w:themeColor="accent2"/>
            </w:tcBorders>
            <w:shd w:val="clear" w:color="auto" w:fill="FDF3ED"/>
            <w:vAlign w:val="center"/>
            <w:hideMark/>
          </w:tcPr>
          <w:p w14:paraId="1D950AFF"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$14,059</w:t>
            </w:r>
          </w:p>
        </w:tc>
        <w:tc>
          <w:tcPr>
            <w:tcW w:w="947" w:type="dxa"/>
            <w:tcBorders>
              <w:left w:val="single" w:sz="18" w:space="0" w:color="F2682A" w:themeColor="accent2"/>
              <w:bottom w:val="single" w:sz="8" w:space="0" w:color="074A75"/>
            </w:tcBorders>
            <w:vAlign w:val="center"/>
            <w:hideMark/>
          </w:tcPr>
          <w:p w14:paraId="79D38F55"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$6,274</w:t>
            </w:r>
          </w:p>
        </w:tc>
        <w:tc>
          <w:tcPr>
            <w:tcW w:w="1199" w:type="dxa"/>
            <w:tcBorders>
              <w:bottom w:val="single" w:sz="8" w:space="0" w:color="074A75"/>
            </w:tcBorders>
            <w:vAlign w:val="center"/>
            <w:hideMark/>
          </w:tcPr>
          <w:p w14:paraId="442EA0A5"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$2,137</w:t>
            </w:r>
          </w:p>
        </w:tc>
        <w:tc>
          <w:tcPr>
            <w:tcW w:w="947" w:type="dxa"/>
            <w:tcBorders>
              <w:bottom w:val="single" w:sz="8" w:space="0" w:color="074A75"/>
            </w:tcBorders>
            <w:vAlign w:val="center"/>
            <w:hideMark/>
          </w:tcPr>
          <w:p w14:paraId="4BD5C204"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$2,811</w:t>
            </w:r>
          </w:p>
        </w:tc>
        <w:tc>
          <w:tcPr>
            <w:tcW w:w="1099" w:type="dxa"/>
            <w:tcBorders>
              <w:bottom w:val="single" w:sz="8" w:space="0" w:color="074A75"/>
            </w:tcBorders>
            <w:vAlign w:val="center"/>
            <w:hideMark/>
          </w:tcPr>
          <w:p w14:paraId="6280F8C1"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$2,507</w:t>
            </w:r>
          </w:p>
        </w:tc>
      </w:tr>
      <w:tr w:rsidR="006330DD" w:rsidRPr="004921B8" w14:paraId="1FCCEF09"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val="restart"/>
            <w:tcBorders>
              <w:top w:val="single" w:sz="8" w:space="0" w:color="074A75"/>
              <w:right w:val="single" w:sz="8" w:space="0" w:color="FFFFFF" w:themeColor="background1"/>
            </w:tcBorders>
            <w:shd w:val="clear" w:color="auto" w:fill="FEEDD2" w:themeFill="accent3" w:themeFillTint="33"/>
            <w:vAlign w:val="center"/>
            <w:hideMark/>
          </w:tcPr>
          <w:p w14:paraId="46498508" w14:textId="77777777" w:rsidR="006330DD" w:rsidRPr="007470CF" w:rsidRDefault="006330DD" w:rsidP="006330DD">
            <w:pPr>
              <w:rPr>
                <w:rFonts w:ascii="Franklin Gothic Book" w:eastAsia="Times New Roman" w:hAnsi="Franklin Gothic Book" w:cs="Arial"/>
                <w:color w:val="074A75"/>
                <w:sz w:val="18"/>
                <w:szCs w:val="18"/>
              </w:rPr>
            </w:pPr>
            <w:r w:rsidRPr="007470CF">
              <w:rPr>
                <w:rFonts w:ascii="Franklin Gothic Book" w:eastAsia="Times New Roman" w:hAnsi="Franklin Gothic Book" w:cs="Arial"/>
                <w:color w:val="074A75"/>
                <w:sz w:val="18"/>
                <w:szCs w:val="18"/>
              </w:rPr>
              <w:t>Operating margin</w:t>
            </w:r>
          </w:p>
        </w:tc>
        <w:tc>
          <w:tcPr>
            <w:tcW w:w="858" w:type="dxa"/>
            <w:tcBorders>
              <w:top w:val="single" w:sz="8" w:space="0" w:color="074A75"/>
              <w:left w:val="single" w:sz="8" w:space="0" w:color="FFFFFF" w:themeColor="background1"/>
              <w:right w:val="single" w:sz="18" w:space="0" w:color="F2682A" w:themeColor="accent2"/>
            </w:tcBorders>
            <w:vAlign w:val="center"/>
            <w:hideMark/>
          </w:tcPr>
          <w:p w14:paraId="0D816517"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2018</w:t>
            </w:r>
          </w:p>
        </w:tc>
        <w:tc>
          <w:tcPr>
            <w:tcW w:w="1019" w:type="dxa"/>
            <w:tcBorders>
              <w:top w:val="single" w:sz="8" w:space="0" w:color="074A75"/>
              <w:left w:val="single" w:sz="18" w:space="0" w:color="F2682A" w:themeColor="accent2"/>
              <w:right w:val="single" w:sz="18" w:space="0" w:color="F2682A" w:themeColor="accent2"/>
            </w:tcBorders>
            <w:shd w:val="clear" w:color="auto" w:fill="FDF3ED"/>
            <w:vAlign w:val="center"/>
            <w:hideMark/>
          </w:tcPr>
          <w:p w14:paraId="380FED63"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2.20%</w:t>
            </w:r>
          </w:p>
        </w:tc>
        <w:tc>
          <w:tcPr>
            <w:tcW w:w="947" w:type="dxa"/>
            <w:tcBorders>
              <w:top w:val="single" w:sz="8" w:space="0" w:color="074A75"/>
              <w:left w:val="single" w:sz="18" w:space="0" w:color="F2682A" w:themeColor="accent2"/>
            </w:tcBorders>
            <w:vAlign w:val="center"/>
            <w:hideMark/>
          </w:tcPr>
          <w:p w14:paraId="5612B41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-0.20%</w:t>
            </w:r>
          </w:p>
        </w:tc>
        <w:tc>
          <w:tcPr>
            <w:tcW w:w="1199" w:type="dxa"/>
            <w:tcBorders>
              <w:top w:val="single" w:sz="8" w:space="0" w:color="074A75"/>
            </w:tcBorders>
            <w:vAlign w:val="center"/>
            <w:hideMark/>
          </w:tcPr>
          <w:p w14:paraId="2694FC34"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0.20%</w:t>
            </w:r>
          </w:p>
        </w:tc>
        <w:tc>
          <w:tcPr>
            <w:tcW w:w="947" w:type="dxa"/>
            <w:tcBorders>
              <w:top w:val="single" w:sz="8" w:space="0" w:color="074A75"/>
            </w:tcBorders>
            <w:vAlign w:val="center"/>
            <w:hideMark/>
          </w:tcPr>
          <w:p w14:paraId="3C9C22CB"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-2.80%</w:t>
            </w:r>
          </w:p>
        </w:tc>
        <w:tc>
          <w:tcPr>
            <w:tcW w:w="1099" w:type="dxa"/>
            <w:tcBorders>
              <w:top w:val="single" w:sz="8" w:space="0" w:color="074A75"/>
            </w:tcBorders>
            <w:vAlign w:val="center"/>
            <w:hideMark/>
          </w:tcPr>
          <w:p w14:paraId="4CEF9FA9"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2.20%</w:t>
            </w:r>
          </w:p>
        </w:tc>
      </w:tr>
      <w:tr w:rsidR="006330DD" w:rsidRPr="004921B8" w14:paraId="1BAE1D65"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right w:val="single" w:sz="8" w:space="0" w:color="FFFFFF" w:themeColor="background1"/>
            </w:tcBorders>
            <w:vAlign w:val="center"/>
            <w:hideMark/>
          </w:tcPr>
          <w:p w14:paraId="13FB018A"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right w:val="single" w:sz="18" w:space="0" w:color="F2682A" w:themeColor="accent2"/>
            </w:tcBorders>
            <w:vAlign w:val="center"/>
            <w:hideMark/>
          </w:tcPr>
          <w:p w14:paraId="1F76D9BC"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2019</w:t>
            </w:r>
          </w:p>
        </w:tc>
        <w:tc>
          <w:tcPr>
            <w:tcW w:w="1019" w:type="dxa"/>
            <w:tcBorders>
              <w:left w:val="single" w:sz="18" w:space="0" w:color="F2682A" w:themeColor="accent2"/>
              <w:right w:val="single" w:sz="18" w:space="0" w:color="F2682A" w:themeColor="accent2"/>
            </w:tcBorders>
            <w:shd w:val="clear" w:color="auto" w:fill="FDF3ED"/>
            <w:vAlign w:val="center"/>
            <w:hideMark/>
          </w:tcPr>
          <w:p w14:paraId="2D8BC987"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3.50%</w:t>
            </w:r>
          </w:p>
        </w:tc>
        <w:tc>
          <w:tcPr>
            <w:tcW w:w="947" w:type="dxa"/>
            <w:tcBorders>
              <w:left w:val="single" w:sz="18" w:space="0" w:color="F2682A" w:themeColor="accent2"/>
            </w:tcBorders>
            <w:vAlign w:val="center"/>
            <w:hideMark/>
          </w:tcPr>
          <w:p w14:paraId="66BF1DC7"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1.20%</w:t>
            </w:r>
          </w:p>
        </w:tc>
        <w:tc>
          <w:tcPr>
            <w:tcW w:w="1199" w:type="dxa"/>
            <w:vAlign w:val="center"/>
            <w:hideMark/>
          </w:tcPr>
          <w:p w14:paraId="4CE63E0C"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0.00%</w:t>
            </w:r>
          </w:p>
        </w:tc>
        <w:tc>
          <w:tcPr>
            <w:tcW w:w="947" w:type="dxa"/>
            <w:vAlign w:val="center"/>
            <w:hideMark/>
          </w:tcPr>
          <w:p w14:paraId="37E73BA2"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4.60%</w:t>
            </w:r>
          </w:p>
        </w:tc>
        <w:tc>
          <w:tcPr>
            <w:tcW w:w="1099" w:type="dxa"/>
            <w:vAlign w:val="center"/>
            <w:hideMark/>
          </w:tcPr>
          <w:p w14:paraId="3CE7978F"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2.30%</w:t>
            </w:r>
          </w:p>
        </w:tc>
      </w:tr>
      <w:tr w:rsidR="006330DD" w:rsidRPr="004921B8" w14:paraId="5A7E7949"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bottom w:val="single" w:sz="8" w:space="0" w:color="074A75"/>
              <w:right w:val="single" w:sz="8" w:space="0" w:color="FFFFFF" w:themeColor="background1"/>
            </w:tcBorders>
            <w:shd w:val="clear" w:color="auto" w:fill="FEEDD2" w:themeFill="accent3" w:themeFillTint="33"/>
            <w:vAlign w:val="center"/>
            <w:hideMark/>
          </w:tcPr>
          <w:p w14:paraId="01AA7A5F" w14:textId="77777777" w:rsidR="006330DD" w:rsidRPr="007470CF" w:rsidRDefault="006330DD" w:rsidP="006330DD">
            <w:pPr>
              <w:rPr>
                <w:rFonts w:ascii="Franklin Gothic Book" w:eastAsia="Times New Roman" w:hAnsi="Franklin Gothic Book" w:cs="Arial"/>
                <w:color w:val="074A75"/>
                <w:sz w:val="18"/>
                <w:szCs w:val="18"/>
              </w:rPr>
            </w:pPr>
          </w:p>
        </w:tc>
        <w:tc>
          <w:tcPr>
            <w:tcW w:w="858" w:type="dxa"/>
            <w:tcBorders>
              <w:left w:val="single" w:sz="8" w:space="0" w:color="FFFFFF" w:themeColor="background1"/>
              <w:bottom w:val="single" w:sz="8" w:space="0" w:color="074A75"/>
              <w:right w:val="single" w:sz="18" w:space="0" w:color="F2682A" w:themeColor="accent2"/>
            </w:tcBorders>
            <w:vAlign w:val="center"/>
            <w:hideMark/>
          </w:tcPr>
          <w:p w14:paraId="0425375A"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2020</w:t>
            </w:r>
          </w:p>
        </w:tc>
        <w:tc>
          <w:tcPr>
            <w:tcW w:w="1019" w:type="dxa"/>
            <w:tcBorders>
              <w:left w:val="single" w:sz="18" w:space="0" w:color="F2682A" w:themeColor="accent2"/>
              <w:bottom w:val="single" w:sz="8" w:space="0" w:color="074A75"/>
              <w:right w:val="single" w:sz="18" w:space="0" w:color="F2682A" w:themeColor="accent2"/>
            </w:tcBorders>
            <w:shd w:val="clear" w:color="auto" w:fill="FDF3ED"/>
            <w:vAlign w:val="center"/>
            <w:hideMark/>
          </w:tcPr>
          <w:p w14:paraId="22C92AF3"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-2.40%</w:t>
            </w:r>
          </w:p>
        </w:tc>
        <w:tc>
          <w:tcPr>
            <w:tcW w:w="947" w:type="dxa"/>
            <w:tcBorders>
              <w:left w:val="single" w:sz="18" w:space="0" w:color="F2682A" w:themeColor="accent2"/>
              <w:bottom w:val="single" w:sz="8" w:space="0" w:color="074A75"/>
            </w:tcBorders>
            <w:vAlign w:val="center"/>
            <w:hideMark/>
          </w:tcPr>
          <w:p w14:paraId="1A81800A"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0.50%</w:t>
            </w:r>
          </w:p>
        </w:tc>
        <w:tc>
          <w:tcPr>
            <w:tcW w:w="1199" w:type="dxa"/>
            <w:tcBorders>
              <w:bottom w:val="single" w:sz="8" w:space="0" w:color="074A75"/>
            </w:tcBorders>
            <w:vAlign w:val="center"/>
            <w:hideMark/>
          </w:tcPr>
          <w:p w14:paraId="7519CD11"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-0.50%</w:t>
            </w:r>
          </w:p>
        </w:tc>
        <w:tc>
          <w:tcPr>
            <w:tcW w:w="947" w:type="dxa"/>
            <w:tcBorders>
              <w:bottom w:val="single" w:sz="8" w:space="0" w:color="074A75"/>
            </w:tcBorders>
            <w:vAlign w:val="center"/>
            <w:hideMark/>
          </w:tcPr>
          <w:p w14:paraId="79DD0E07"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-2.00%</w:t>
            </w:r>
          </w:p>
        </w:tc>
        <w:tc>
          <w:tcPr>
            <w:tcW w:w="1099" w:type="dxa"/>
            <w:tcBorders>
              <w:bottom w:val="single" w:sz="8" w:space="0" w:color="074A75"/>
            </w:tcBorders>
            <w:vAlign w:val="center"/>
            <w:hideMark/>
          </w:tcPr>
          <w:p w14:paraId="30702D16"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1.40%</w:t>
            </w:r>
          </w:p>
        </w:tc>
      </w:tr>
      <w:tr w:rsidR="006330DD" w:rsidRPr="004921B8" w14:paraId="6E1B238B"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val="restart"/>
            <w:tcBorders>
              <w:top w:val="single" w:sz="8" w:space="0" w:color="074A75"/>
              <w:right w:val="single" w:sz="8" w:space="0" w:color="FFFFFF" w:themeColor="background1"/>
            </w:tcBorders>
            <w:vAlign w:val="center"/>
            <w:hideMark/>
          </w:tcPr>
          <w:p w14:paraId="40FFCC9F" w14:textId="77777777" w:rsidR="006330DD" w:rsidRPr="007470CF" w:rsidRDefault="006330DD" w:rsidP="006330DD">
            <w:pPr>
              <w:rPr>
                <w:rFonts w:ascii="Franklin Gothic Book" w:eastAsia="Times New Roman" w:hAnsi="Franklin Gothic Book" w:cs="Arial"/>
                <w:color w:val="074A75"/>
                <w:sz w:val="18"/>
                <w:szCs w:val="18"/>
              </w:rPr>
            </w:pPr>
            <w:r w:rsidRPr="007470CF">
              <w:rPr>
                <w:rFonts w:ascii="Franklin Gothic Book" w:eastAsia="Times New Roman" w:hAnsi="Franklin Gothic Book" w:cs="Arial"/>
                <w:color w:val="074A75"/>
                <w:sz w:val="18"/>
                <w:szCs w:val="18"/>
              </w:rPr>
              <w:t>Total margin</w:t>
            </w:r>
          </w:p>
        </w:tc>
        <w:tc>
          <w:tcPr>
            <w:tcW w:w="858" w:type="dxa"/>
            <w:tcBorders>
              <w:top w:val="single" w:sz="8" w:space="0" w:color="074A75"/>
              <w:left w:val="single" w:sz="8" w:space="0" w:color="FFFFFF" w:themeColor="background1"/>
              <w:right w:val="single" w:sz="18" w:space="0" w:color="F2682A" w:themeColor="accent2"/>
            </w:tcBorders>
            <w:vAlign w:val="center"/>
            <w:hideMark/>
          </w:tcPr>
          <w:p w14:paraId="3059C734"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2018</w:t>
            </w:r>
          </w:p>
        </w:tc>
        <w:tc>
          <w:tcPr>
            <w:tcW w:w="1019" w:type="dxa"/>
            <w:tcBorders>
              <w:top w:val="single" w:sz="8" w:space="0" w:color="074A75"/>
              <w:left w:val="single" w:sz="18" w:space="0" w:color="F2682A" w:themeColor="accent2"/>
              <w:right w:val="single" w:sz="18" w:space="0" w:color="F2682A" w:themeColor="accent2"/>
            </w:tcBorders>
            <w:shd w:val="clear" w:color="auto" w:fill="FDF3ED"/>
            <w:vAlign w:val="center"/>
            <w:hideMark/>
          </w:tcPr>
          <w:p w14:paraId="7F3BEEC1"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6.00%</w:t>
            </w:r>
          </w:p>
        </w:tc>
        <w:tc>
          <w:tcPr>
            <w:tcW w:w="947" w:type="dxa"/>
            <w:tcBorders>
              <w:top w:val="single" w:sz="8" w:space="0" w:color="074A75"/>
              <w:left w:val="single" w:sz="18" w:space="0" w:color="F2682A" w:themeColor="accent2"/>
            </w:tcBorders>
            <w:vAlign w:val="center"/>
            <w:hideMark/>
          </w:tcPr>
          <w:p w14:paraId="39434C4A"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1.70%</w:t>
            </w:r>
          </w:p>
        </w:tc>
        <w:tc>
          <w:tcPr>
            <w:tcW w:w="1199" w:type="dxa"/>
            <w:tcBorders>
              <w:top w:val="single" w:sz="8" w:space="0" w:color="074A75"/>
            </w:tcBorders>
            <w:vAlign w:val="center"/>
            <w:hideMark/>
          </w:tcPr>
          <w:p w14:paraId="65D27531"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2.00%</w:t>
            </w:r>
          </w:p>
        </w:tc>
        <w:tc>
          <w:tcPr>
            <w:tcW w:w="947" w:type="dxa"/>
            <w:tcBorders>
              <w:top w:val="single" w:sz="8" w:space="0" w:color="074A75"/>
            </w:tcBorders>
            <w:vAlign w:val="center"/>
            <w:hideMark/>
          </w:tcPr>
          <w:p w14:paraId="55E6CF7C"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-0.80%</w:t>
            </w:r>
          </w:p>
        </w:tc>
        <w:tc>
          <w:tcPr>
            <w:tcW w:w="1099" w:type="dxa"/>
            <w:tcBorders>
              <w:top w:val="single" w:sz="8" w:space="0" w:color="074A75"/>
            </w:tcBorders>
            <w:vAlign w:val="center"/>
            <w:hideMark/>
          </w:tcPr>
          <w:p w14:paraId="12B2BD76"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2.80%</w:t>
            </w:r>
          </w:p>
        </w:tc>
      </w:tr>
      <w:tr w:rsidR="006330DD" w:rsidRPr="004921B8" w14:paraId="5081D79F" w14:textId="77777777" w:rsidTr="006330DD">
        <w:trPr>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right w:val="single" w:sz="8" w:space="0" w:color="FFFFFF" w:themeColor="background1"/>
            </w:tcBorders>
            <w:shd w:val="clear" w:color="auto" w:fill="FEEDD2" w:themeFill="accent3" w:themeFillTint="33"/>
            <w:vAlign w:val="center"/>
            <w:hideMark/>
          </w:tcPr>
          <w:p w14:paraId="222F76DF" w14:textId="77777777" w:rsidR="006330DD" w:rsidRPr="007470CF" w:rsidRDefault="006330DD" w:rsidP="006330DD">
            <w:pPr>
              <w:jc w:val="center"/>
              <w:rPr>
                <w:rFonts w:ascii="Franklin Gothic Book" w:eastAsia="Times New Roman" w:hAnsi="Franklin Gothic Book" w:cs="Arial"/>
                <w:sz w:val="18"/>
                <w:szCs w:val="18"/>
              </w:rPr>
            </w:pPr>
          </w:p>
        </w:tc>
        <w:tc>
          <w:tcPr>
            <w:tcW w:w="858" w:type="dxa"/>
            <w:tcBorders>
              <w:left w:val="single" w:sz="8" w:space="0" w:color="FFFFFF" w:themeColor="background1"/>
              <w:right w:val="single" w:sz="18" w:space="0" w:color="F2682A" w:themeColor="accent2"/>
            </w:tcBorders>
            <w:vAlign w:val="center"/>
            <w:hideMark/>
          </w:tcPr>
          <w:p w14:paraId="11F007BB"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2019</w:t>
            </w:r>
          </w:p>
        </w:tc>
        <w:tc>
          <w:tcPr>
            <w:tcW w:w="1019" w:type="dxa"/>
            <w:tcBorders>
              <w:left w:val="single" w:sz="18" w:space="0" w:color="F2682A" w:themeColor="accent2"/>
              <w:right w:val="single" w:sz="18" w:space="0" w:color="F2682A" w:themeColor="accent2"/>
            </w:tcBorders>
            <w:shd w:val="clear" w:color="auto" w:fill="FDF3ED"/>
            <w:vAlign w:val="center"/>
            <w:hideMark/>
          </w:tcPr>
          <w:p w14:paraId="406545A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3.50%</w:t>
            </w:r>
          </w:p>
        </w:tc>
        <w:tc>
          <w:tcPr>
            <w:tcW w:w="947" w:type="dxa"/>
            <w:tcBorders>
              <w:left w:val="single" w:sz="18" w:space="0" w:color="F2682A" w:themeColor="accent2"/>
            </w:tcBorders>
            <w:vAlign w:val="center"/>
            <w:hideMark/>
          </w:tcPr>
          <w:p w14:paraId="082F1F9F"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2.80%</w:t>
            </w:r>
          </w:p>
        </w:tc>
        <w:tc>
          <w:tcPr>
            <w:tcW w:w="1199" w:type="dxa"/>
            <w:vAlign w:val="center"/>
            <w:hideMark/>
          </w:tcPr>
          <w:p w14:paraId="12DCD076"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5.90%</w:t>
            </w:r>
          </w:p>
        </w:tc>
        <w:tc>
          <w:tcPr>
            <w:tcW w:w="947" w:type="dxa"/>
            <w:vAlign w:val="center"/>
            <w:hideMark/>
          </w:tcPr>
          <w:p w14:paraId="3C35ED19"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7.50%</w:t>
            </w:r>
          </w:p>
        </w:tc>
        <w:tc>
          <w:tcPr>
            <w:tcW w:w="1099" w:type="dxa"/>
            <w:vAlign w:val="center"/>
            <w:hideMark/>
          </w:tcPr>
          <w:p w14:paraId="7BD5B4B1" w14:textId="77777777" w:rsidR="006330DD" w:rsidRPr="007470CF" w:rsidRDefault="006330DD" w:rsidP="006330DD">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3.00%</w:t>
            </w:r>
          </w:p>
        </w:tc>
      </w:tr>
      <w:tr w:rsidR="006330DD" w:rsidRPr="004921B8" w14:paraId="23128F6D" w14:textId="77777777" w:rsidTr="00633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vMerge/>
            <w:tcBorders>
              <w:bottom w:val="single" w:sz="8" w:space="0" w:color="074A75"/>
              <w:right w:val="single" w:sz="8" w:space="0" w:color="FFFFFF" w:themeColor="background1"/>
            </w:tcBorders>
            <w:vAlign w:val="center"/>
            <w:hideMark/>
          </w:tcPr>
          <w:p w14:paraId="2039C934" w14:textId="77777777" w:rsidR="006330DD" w:rsidRPr="007470CF" w:rsidRDefault="006330DD" w:rsidP="006330DD">
            <w:pPr>
              <w:jc w:val="center"/>
              <w:rPr>
                <w:rFonts w:ascii="Franklin Gothic Book" w:eastAsia="Times New Roman" w:hAnsi="Franklin Gothic Book" w:cs="Arial"/>
                <w:sz w:val="18"/>
                <w:szCs w:val="18"/>
              </w:rPr>
            </w:pPr>
          </w:p>
        </w:tc>
        <w:tc>
          <w:tcPr>
            <w:tcW w:w="858" w:type="dxa"/>
            <w:tcBorders>
              <w:left w:val="single" w:sz="8" w:space="0" w:color="FFFFFF" w:themeColor="background1"/>
              <w:bottom w:val="single" w:sz="8" w:space="0" w:color="074A75"/>
              <w:right w:val="single" w:sz="18" w:space="0" w:color="F2682A" w:themeColor="accent2"/>
            </w:tcBorders>
            <w:vAlign w:val="center"/>
            <w:hideMark/>
          </w:tcPr>
          <w:p w14:paraId="63E88C95"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sz w:val="18"/>
                <w:szCs w:val="18"/>
              </w:rPr>
            </w:pPr>
            <w:r w:rsidRPr="007470CF">
              <w:rPr>
                <w:rFonts w:ascii="Franklin Gothic Book" w:eastAsia="Times New Roman" w:hAnsi="Franklin Gothic Book" w:cs="Arial"/>
                <w:b/>
                <w:bCs/>
                <w:sz w:val="18"/>
                <w:szCs w:val="18"/>
              </w:rPr>
              <w:t>2020</w:t>
            </w:r>
          </w:p>
        </w:tc>
        <w:tc>
          <w:tcPr>
            <w:tcW w:w="1019" w:type="dxa"/>
            <w:tcBorders>
              <w:left w:val="single" w:sz="18" w:space="0" w:color="F2682A" w:themeColor="accent2"/>
              <w:bottom w:val="single" w:sz="18" w:space="0" w:color="F2682A" w:themeColor="accent2"/>
              <w:right w:val="single" w:sz="18" w:space="0" w:color="F2682A" w:themeColor="accent2"/>
            </w:tcBorders>
            <w:shd w:val="clear" w:color="auto" w:fill="FDF3ED"/>
            <w:vAlign w:val="center"/>
            <w:hideMark/>
          </w:tcPr>
          <w:p w14:paraId="6B660EE9"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b/>
                <w:bCs/>
                <w:color w:val="F2682A" w:themeColor="accent2"/>
                <w:sz w:val="18"/>
                <w:szCs w:val="18"/>
              </w:rPr>
            </w:pPr>
            <w:r w:rsidRPr="007470CF">
              <w:rPr>
                <w:rFonts w:ascii="Franklin Gothic Book" w:eastAsia="Times New Roman" w:hAnsi="Franklin Gothic Book" w:cs="Arial"/>
                <w:b/>
                <w:bCs/>
                <w:color w:val="F2682A" w:themeColor="accent2"/>
                <w:sz w:val="18"/>
                <w:szCs w:val="18"/>
              </w:rPr>
              <w:t>1.80%</w:t>
            </w:r>
          </w:p>
        </w:tc>
        <w:tc>
          <w:tcPr>
            <w:tcW w:w="947" w:type="dxa"/>
            <w:tcBorders>
              <w:left w:val="single" w:sz="18" w:space="0" w:color="F2682A" w:themeColor="accent2"/>
              <w:bottom w:val="single" w:sz="8" w:space="0" w:color="074A75"/>
            </w:tcBorders>
            <w:vAlign w:val="center"/>
            <w:hideMark/>
          </w:tcPr>
          <w:p w14:paraId="4556F83B"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1.20%</w:t>
            </w:r>
          </w:p>
        </w:tc>
        <w:tc>
          <w:tcPr>
            <w:tcW w:w="1199" w:type="dxa"/>
            <w:tcBorders>
              <w:bottom w:val="single" w:sz="8" w:space="0" w:color="074A75"/>
            </w:tcBorders>
            <w:vAlign w:val="center"/>
            <w:hideMark/>
          </w:tcPr>
          <w:p w14:paraId="347DC561"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1.40%</w:t>
            </w:r>
          </w:p>
        </w:tc>
        <w:tc>
          <w:tcPr>
            <w:tcW w:w="947" w:type="dxa"/>
            <w:tcBorders>
              <w:bottom w:val="single" w:sz="8" w:space="0" w:color="074A75"/>
            </w:tcBorders>
            <w:vAlign w:val="center"/>
            <w:hideMark/>
          </w:tcPr>
          <w:p w14:paraId="5809DAD3"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-0.80%</w:t>
            </w:r>
          </w:p>
        </w:tc>
        <w:tc>
          <w:tcPr>
            <w:tcW w:w="1099" w:type="dxa"/>
            <w:tcBorders>
              <w:bottom w:val="single" w:sz="8" w:space="0" w:color="074A75"/>
            </w:tcBorders>
            <w:vAlign w:val="center"/>
            <w:hideMark/>
          </w:tcPr>
          <w:p w14:paraId="0D1CC086" w14:textId="77777777" w:rsidR="006330DD" w:rsidRPr="007470CF" w:rsidRDefault="006330DD" w:rsidP="006330DD">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sz w:val="18"/>
                <w:szCs w:val="18"/>
              </w:rPr>
            </w:pPr>
            <w:r w:rsidRPr="007470CF">
              <w:rPr>
                <w:rFonts w:ascii="Franklin Gothic Book" w:eastAsia="Times New Roman" w:hAnsi="Franklin Gothic Book" w:cs="Arial"/>
                <w:sz w:val="18"/>
                <w:szCs w:val="18"/>
              </w:rPr>
              <w:t>1.80%</w:t>
            </w:r>
          </w:p>
        </w:tc>
      </w:tr>
    </w:tbl>
    <w:p w14:paraId="514C69AA" w14:textId="18671985" w:rsidR="007677C1" w:rsidRPr="009C0C39" w:rsidRDefault="007677C1" w:rsidP="00D72996">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 xml:space="preserve">MGB has substantially </w:t>
      </w:r>
      <w:r w:rsidR="00451DF8" w:rsidRPr="009C0C39">
        <w:rPr>
          <w:rFonts w:ascii="Franklin Gothic Book" w:hAnsi="Franklin Gothic Book" w:cs="Times New Roman"/>
          <w:sz w:val="22"/>
          <w:szCs w:val="22"/>
        </w:rPr>
        <w:t xml:space="preserve">greater </w:t>
      </w:r>
      <w:r w:rsidRPr="009C0C39">
        <w:rPr>
          <w:rFonts w:ascii="Franklin Gothic Book" w:hAnsi="Franklin Gothic Book" w:cs="Times New Roman"/>
          <w:sz w:val="22"/>
          <w:szCs w:val="22"/>
        </w:rPr>
        <w:t>financial resources than other Massachusetts provider systems. Based on a review of hospital system financial information for fiscal years 2018 through 2020,</w:t>
      </w:r>
      <w:r w:rsidRPr="009C0C39">
        <w:rPr>
          <w:rStyle w:val="FootnoteReference"/>
          <w:rFonts w:ascii="Franklin Gothic Book" w:hAnsi="Franklin Gothic Book" w:cs="Times New Roman"/>
          <w:sz w:val="22"/>
          <w:szCs w:val="22"/>
        </w:rPr>
        <w:footnoteReference w:id="234"/>
      </w:r>
      <w:r w:rsidRPr="009C0C39">
        <w:rPr>
          <w:rFonts w:ascii="Franklin Gothic Book" w:hAnsi="Franklin Gothic Book" w:cs="Times New Roman"/>
          <w:sz w:val="22"/>
          <w:szCs w:val="22"/>
        </w:rPr>
        <w:t xml:space="preserve"> MGB’s total net assets and operating revenue were consistently greater than the next four largest systems combined.</w:t>
      </w:r>
      <w:r w:rsidRPr="009C0C39">
        <w:rPr>
          <w:rStyle w:val="FootnoteReference"/>
          <w:rFonts w:ascii="Franklin Gothic Book" w:hAnsi="Franklin Gothic Book" w:cs="Times New Roman"/>
          <w:sz w:val="22"/>
          <w:szCs w:val="22"/>
        </w:rPr>
        <w:footnoteReference w:id="235"/>
      </w:r>
      <w:r w:rsidRPr="009C0C39">
        <w:rPr>
          <w:rFonts w:ascii="Franklin Gothic Book" w:hAnsi="Franklin Gothic Book" w:cs="Times New Roman"/>
          <w:sz w:val="22"/>
          <w:szCs w:val="22"/>
        </w:rPr>
        <w:t xml:space="preserve"> Compared to these other large Massachusetts provider systems, MGB also had a higher average total margin over those three fiscal years.</w:t>
      </w:r>
      <w:r w:rsidRPr="009C0C39">
        <w:rPr>
          <w:rStyle w:val="FootnoteReference"/>
          <w:rFonts w:ascii="Franklin Gothic Book" w:hAnsi="Franklin Gothic Book" w:cs="Times New Roman"/>
          <w:sz w:val="22"/>
          <w:szCs w:val="22"/>
        </w:rPr>
        <w:footnoteReference w:id="236"/>
      </w:r>
      <w:r w:rsidRPr="009C0C39">
        <w:rPr>
          <w:rFonts w:ascii="Franklin Gothic Book" w:hAnsi="Franklin Gothic Book" w:cs="Times New Roman"/>
          <w:sz w:val="22"/>
          <w:szCs w:val="22"/>
        </w:rPr>
        <w:t xml:space="preserve"> MGB has publicly stated that its financial position has been improving over the past several years, including in FY20,</w:t>
      </w:r>
      <w:r w:rsidRPr="009C0C39">
        <w:rPr>
          <w:rStyle w:val="FootnoteReference"/>
          <w:rFonts w:ascii="Franklin Gothic Book" w:hAnsi="Franklin Gothic Book" w:cs="Times New Roman"/>
          <w:sz w:val="22"/>
          <w:szCs w:val="22"/>
        </w:rPr>
        <w:footnoteReference w:id="237"/>
      </w:r>
      <w:r w:rsidRPr="009C0C39">
        <w:rPr>
          <w:rFonts w:ascii="Franklin Gothic Book" w:hAnsi="Franklin Gothic Book" w:cs="Times New Roman"/>
          <w:sz w:val="22"/>
          <w:szCs w:val="22"/>
        </w:rPr>
        <w:t xml:space="preserve"> and the system posted a positive operating margin in FY21.</w:t>
      </w:r>
      <w:r w:rsidRPr="009C0C39">
        <w:rPr>
          <w:rStyle w:val="FootnoteReference"/>
          <w:rFonts w:ascii="Franklin Gothic Book" w:hAnsi="Franklin Gothic Book" w:cs="Times New Roman"/>
          <w:sz w:val="22"/>
          <w:szCs w:val="22"/>
        </w:rPr>
        <w:footnoteReference w:id="238"/>
      </w:r>
    </w:p>
    <w:p w14:paraId="229A9D34" w14:textId="77777777" w:rsidR="006330DD" w:rsidRPr="007470CF" w:rsidRDefault="006330DD" w:rsidP="006330DD">
      <w:pPr>
        <w:rPr>
          <w:rFonts w:ascii="Franklin Gothic Book" w:hAnsi="Franklin Gothic Book"/>
          <w:sz w:val="22"/>
          <w:szCs w:val="22"/>
          <w:u w:val="single"/>
        </w:rPr>
      </w:pPr>
      <w:r w:rsidRPr="006330DD">
        <w:rPr>
          <w:rFonts w:ascii="Franklin Gothic Book" w:hAnsi="Franklin Gothic Book" w:cs="Times New Roman"/>
          <w:sz w:val="18"/>
          <w:szCs w:val="18"/>
        </w:rPr>
        <w:t>Source: HPC analysis of CHIA Annual Acute Hospital and Health System Financial Performance Reports, FY2018 – FY2020.</w:t>
      </w:r>
    </w:p>
    <w:p w14:paraId="08F325A4" w14:textId="6DED2AE1" w:rsidR="00FD6060" w:rsidRPr="007470CF" w:rsidRDefault="00FD6060" w:rsidP="00FD6060">
      <w:pPr>
        <w:rPr>
          <w:rFonts w:ascii="Franklin Gothic Book" w:hAnsi="Franklin Gothic Book" w:cs="Times New Roman"/>
          <w:sz w:val="18"/>
          <w:szCs w:val="18"/>
        </w:rPr>
      </w:pPr>
      <w:r w:rsidRPr="007470CF">
        <w:rPr>
          <w:rFonts w:ascii="Franklin Gothic Book" w:hAnsi="Franklin Gothic Book" w:cs="Times New Roman"/>
          <w:sz w:val="18"/>
          <w:szCs w:val="18"/>
        </w:rPr>
        <w:t>Notes: 2020 revenue and margin figures include state and federal COVID-19 relief funding received by each provider organization. 2019 cash flow metrics for BILH represent partial year data from March 1 through Sept. 30. 2018 figures for BILH represent a combination of CareGroup and Lahey predecessor organization financials. Steward Health Care has been omitted due to noncompliance with state reporting requirements.</w:t>
      </w:r>
    </w:p>
    <w:p w14:paraId="13649331" w14:textId="1A150BA9" w:rsidR="00983B01" w:rsidRPr="009C0C39" w:rsidRDefault="00983B01" w:rsidP="00983B01">
      <w:pPr>
        <w:rPr>
          <w:rFonts w:ascii="Franklin Gothic Book" w:hAnsi="Franklin Gothic Book" w:cs="Times New Roman"/>
          <w:b/>
          <w:bCs/>
          <w:sz w:val="22"/>
          <w:szCs w:val="22"/>
        </w:rPr>
      </w:pPr>
      <w:bookmarkStart w:id="130" w:name="Appendix_IVA"/>
      <w:r w:rsidRPr="009C0C39">
        <w:rPr>
          <w:rFonts w:ascii="Franklin Gothic Book" w:hAnsi="Franklin Gothic Book" w:cs="Times New Roman"/>
          <w:b/>
          <w:bCs/>
          <w:sz w:val="22"/>
          <w:szCs w:val="22"/>
        </w:rPr>
        <w:lastRenderedPageBreak/>
        <w:t>Appendix IV.</w:t>
      </w:r>
      <w:r w:rsidR="009249C4" w:rsidRPr="009C0C39">
        <w:rPr>
          <w:rFonts w:ascii="Franklin Gothic Book" w:hAnsi="Franklin Gothic Book" w:cs="Times New Roman"/>
          <w:b/>
          <w:bCs/>
          <w:sz w:val="22"/>
          <w:szCs w:val="22"/>
        </w:rPr>
        <w:t>A</w:t>
      </w:r>
      <w:r w:rsidRPr="009C0C39">
        <w:rPr>
          <w:rFonts w:ascii="Franklin Gothic Book" w:hAnsi="Franklin Gothic Book" w:cs="Times New Roman"/>
          <w:b/>
          <w:bCs/>
          <w:sz w:val="22"/>
          <w:szCs w:val="22"/>
        </w:rPr>
        <w:t>: Impacts of Population Growth and Demographic Change on Utilization</w:t>
      </w:r>
    </w:p>
    <w:p w14:paraId="11CFED34" w14:textId="77777777" w:rsidR="00983B01" w:rsidRPr="009C0C39" w:rsidRDefault="00983B01" w:rsidP="00983B01">
      <w:pPr>
        <w:rPr>
          <w:rFonts w:ascii="Franklin Gothic Book" w:hAnsi="Franklin Gothic Book" w:cs="Times New Roman"/>
          <w:sz w:val="22"/>
          <w:szCs w:val="22"/>
        </w:rPr>
      </w:pPr>
    </w:p>
    <w:p w14:paraId="146F7E58" w14:textId="7865B9BA" w:rsidR="00983B01" w:rsidRPr="009C0C39" w:rsidRDefault="00983B01" w:rsidP="00D72996">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following examples illustrate th</w:t>
      </w:r>
      <w:r w:rsidR="006D700E" w:rsidRPr="009C0C39">
        <w:rPr>
          <w:rFonts w:ascii="Franklin Gothic Book" w:hAnsi="Franklin Gothic Book" w:cs="Times New Roman"/>
          <w:sz w:val="22"/>
          <w:szCs w:val="22"/>
        </w:rPr>
        <w:t xml:space="preserve">at demographic changes alone often cannot be used to predict future utilization. Indeed, </w:t>
      </w:r>
      <w:r w:rsidRPr="009C0C39">
        <w:rPr>
          <w:rFonts w:ascii="Franklin Gothic Book" w:hAnsi="Franklin Gothic Book" w:cs="Times New Roman"/>
          <w:sz w:val="22"/>
          <w:szCs w:val="22"/>
        </w:rPr>
        <w:t xml:space="preserve">health care utilization tends to be driven by </w:t>
      </w:r>
      <w:r w:rsidR="006D700E" w:rsidRPr="009C0C39">
        <w:rPr>
          <w:rFonts w:ascii="Franklin Gothic Book" w:hAnsi="Franklin Gothic Book" w:cs="Times New Roman"/>
          <w:sz w:val="22"/>
          <w:szCs w:val="22"/>
        </w:rPr>
        <w:t xml:space="preserve">a number of other factors such as </w:t>
      </w:r>
      <w:r w:rsidRPr="009C0C39">
        <w:rPr>
          <w:rFonts w:ascii="Franklin Gothic Book" w:hAnsi="Franklin Gothic Book" w:cs="Times New Roman"/>
          <w:sz w:val="22"/>
          <w:szCs w:val="22"/>
        </w:rPr>
        <w:t xml:space="preserve">health care payment policies, technology advances, provider supply, and </w:t>
      </w:r>
      <w:r w:rsidR="00044F4B" w:rsidRPr="009C0C39">
        <w:rPr>
          <w:rFonts w:ascii="Franklin Gothic Book" w:hAnsi="Franklin Gothic Book" w:cs="Times New Roman"/>
          <w:sz w:val="22"/>
          <w:szCs w:val="22"/>
        </w:rPr>
        <w:t xml:space="preserve">physicians’ clinical approaches </w:t>
      </w:r>
      <w:r w:rsidR="006D700E" w:rsidRPr="009C0C39">
        <w:rPr>
          <w:rFonts w:ascii="Franklin Gothic Book" w:hAnsi="Franklin Gothic Book" w:cs="Times New Roman"/>
          <w:sz w:val="22"/>
          <w:szCs w:val="22"/>
        </w:rPr>
        <w:t xml:space="preserve">more </w:t>
      </w:r>
      <w:r w:rsidRPr="009C0C39">
        <w:rPr>
          <w:rFonts w:ascii="Franklin Gothic Book" w:hAnsi="Franklin Gothic Book" w:cs="Times New Roman"/>
          <w:sz w:val="22"/>
          <w:szCs w:val="22"/>
        </w:rPr>
        <w:t>than by changes in total population and aging.</w:t>
      </w:r>
    </w:p>
    <w:p w14:paraId="144EAAA5" w14:textId="77777777" w:rsidR="00983B01" w:rsidRPr="009C0C39" w:rsidRDefault="00983B01" w:rsidP="00983B01">
      <w:pPr>
        <w:rPr>
          <w:rFonts w:ascii="Franklin Gothic Book" w:hAnsi="Franklin Gothic Book" w:cs="Times New Roman"/>
          <w:sz w:val="22"/>
          <w:szCs w:val="22"/>
        </w:rPr>
      </w:pPr>
    </w:p>
    <w:p w14:paraId="28F54A05" w14:textId="55DA4FD4" w:rsidR="00983B01" w:rsidRPr="009C0C39" w:rsidRDefault="00983B01" w:rsidP="00D72996">
      <w:pPr>
        <w:ind w:firstLine="720"/>
        <w:rPr>
          <w:rFonts w:ascii="Franklin Gothic Book" w:hAnsi="Franklin Gothic Book" w:cs="Times New Roman"/>
          <w:sz w:val="22"/>
          <w:szCs w:val="22"/>
        </w:rPr>
      </w:pPr>
      <w:r w:rsidRPr="009C0C39">
        <w:rPr>
          <w:rFonts w:ascii="Franklin Gothic Book" w:hAnsi="Franklin Gothic Book" w:cs="Times New Roman"/>
          <w:sz w:val="22"/>
          <w:szCs w:val="22"/>
        </w:rPr>
        <w:t>The HPC constructed a projection of future demand for total inpatient bed days based on demographic shifts starting in 2010. We started with actual 2010 bed days across all Massachusetts hospitals, segmented by age cohort. We then applied changes in population by age cohort to baseline utilization, similar to the methodology described in the MGH and Faulkner ICAs. As illustrated below, this method would have produced a predicted increase in demand for inpatient beds of over 1</w:t>
      </w:r>
      <w:r w:rsidR="0075374A" w:rsidRPr="009C0C39">
        <w:rPr>
          <w:rFonts w:ascii="Franklin Gothic Book" w:hAnsi="Franklin Gothic Book" w:cs="Times New Roman"/>
          <w:sz w:val="22"/>
          <w:szCs w:val="22"/>
        </w:rPr>
        <w:t>9</w:t>
      </w:r>
      <w:r w:rsidRPr="009C0C39">
        <w:rPr>
          <w:rFonts w:ascii="Franklin Gothic Book" w:hAnsi="Franklin Gothic Book" w:cs="Times New Roman"/>
          <w:sz w:val="22"/>
          <w:szCs w:val="22"/>
        </w:rPr>
        <w:t>%</w:t>
      </w:r>
      <w:r w:rsidR="006D700E" w:rsidRPr="009C0C39">
        <w:rPr>
          <w:rFonts w:ascii="Franklin Gothic Book" w:hAnsi="Franklin Gothic Book" w:cs="Times New Roman"/>
          <w:sz w:val="22"/>
          <w:szCs w:val="22"/>
        </w:rPr>
        <w:t xml:space="preserve">. However, </w:t>
      </w:r>
      <w:r w:rsidRPr="009C0C39">
        <w:rPr>
          <w:rFonts w:ascii="Franklin Gothic Book" w:hAnsi="Franklin Gothic Book" w:cs="Times New Roman"/>
          <w:sz w:val="22"/>
          <w:szCs w:val="22"/>
        </w:rPr>
        <w:t xml:space="preserve">actual </w:t>
      </w:r>
      <w:r w:rsidR="005B041E" w:rsidRPr="009C0C39">
        <w:rPr>
          <w:rFonts w:ascii="Franklin Gothic Book" w:hAnsi="Franklin Gothic Book" w:cs="Times New Roman"/>
          <w:sz w:val="22"/>
          <w:szCs w:val="22"/>
        </w:rPr>
        <w:t xml:space="preserve">inpatient bed days </w:t>
      </w:r>
      <w:r w:rsidRPr="009C0C39">
        <w:rPr>
          <w:rFonts w:ascii="Franklin Gothic Book" w:hAnsi="Franklin Gothic Book" w:cs="Times New Roman"/>
          <w:sz w:val="22"/>
          <w:szCs w:val="22"/>
        </w:rPr>
        <w:t xml:space="preserve">statewide increased by </w:t>
      </w:r>
      <w:r w:rsidR="005B041E" w:rsidRPr="009C0C39">
        <w:rPr>
          <w:rFonts w:ascii="Franklin Gothic Book" w:hAnsi="Franklin Gothic Book" w:cs="Times New Roman"/>
          <w:sz w:val="22"/>
          <w:szCs w:val="22"/>
        </w:rPr>
        <w:t>0.7</w:t>
      </w:r>
      <w:r w:rsidRPr="009C0C39">
        <w:rPr>
          <w:rFonts w:ascii="Franklin Gothic Book" w:hAnsi="Franklin Gothic Book" w:cs="Times New Roman"/>
          <w:sz w:val="22"/>
          <w:szCs w:val="22"/>
        </w:rPr>
        <w:t>%</w:t>
      </w:r>
      <w:r w:rsidR="006D700E" w:rsidRPr="009C0C39">
        <w:rPr>
          <w:rFonts w:ascii="Franklin Gothic Book" w:hAnsi="Franklin Gothic Book" w:cs="Times New Roman"/>
          <w:sz w:val="22"/>
          <w:szCs w:val="22"/>
        </w:rPr>
        <w:t xml:space="preserve"> </w:t>
      </w:r>
      <w:r w:rsidR="006F3297" w:rsidRPr="009C0C39">
        <w:rPr>
          <w:rFonts w:ascii="Franklin Gothic Book" w:hAnsi="Franklin Gothic Book" w:cs="Times New Roman"/>
          <w:sz w:val="22"/>
          <w:szCs w:val="22"/>
        </w:rPr>
        <w:t>through 2019</w:t>
      </w:r>
      <w:r w:rsidR="006D700E" w:rsidRPr="009C0C39">
        <w:rPr>
          <w:rFonts w:ascii="Franklin Gothic Book" w:hAnsi="Franklin Gothic Book" w:cs="Times New Roman"/>
          <w:sz w:val="22"/>
          <w:szCs w:val="22"/>
        </w:rPr>
        <w:t>.</w:t>
      </w:r>
      <w:r w:rsidR="0021732D" w:rsidRPr="009C0C39">
        <w:rPr>
          <w:rFonts w:ascii="Franklin Gothic Book" w:hAnsi="Franklin Gothic Book" w:cs="Times New Roman"/>
          <w:noProof/>
          <w:sz w:val="22"/>
          <w:szCs w:val="22"/>
        </w:rPr>
        <w:t xml:space="preserve"> </w:t>
      </w:r>
    </w:p>
    <w:p w14:paraId="37299926" w14:textId="5450BB34" w:rsidR="006D700E" w:rsidRPr="009C0C39" w:rsidRDefault="006D700E" w:rsidP="00983B01">
      <w:pPr>
        <w:rPr>
          <w:rFonts w:ascii="Franklin Gothic Book" w:hAnsi="Franklin Gothic Book" w:cs="Times New Roman"/>
          <w:sz w:val="22"/>
          <w:szCs w:val="22"/>
        </w:rPr>
      </w:pPr>
    </w:p>
    <w:p w14:paraId="65D29E12" w14:textId="12566323" w:rsidR="00983B01" w:rsidRPr="009C0C39" w:rsidRDefault="00983B01" w:rsidP="00075FC9">
      <w:pPr>
        <w:jc w:val="center"/>
        <w:rPr>
          <w:rFonts w:ascii="Franklin Gothic Book" w:hAnsi="Franklin Gothic Book"/>
          <w:sz w:val="22"/>
          <w:szCs w:val="22"/>
        </w:rPr>
      </w:pPr>
      <w:r w:rsidRPr="009C0C39">
        <w:rPr>
          <w:rFonts w:ascii="Franklin Gothic Book" w:hAnsi="Franklin Gothic Book" w:cs="Times New Roman"/>
          <w:b/>
          <w:bCs/>
          <w:sz w:val="22"/>
          <w:szCs w:val="22"/>
        </w:rPr>
        <w:t xml:space="preserve">Predicted Inpatient Bed Day Growth Based on Demographic Trends Compared to Actual Growth </w:t>
      </w:r>
      <w:r w:rsidR="007C1978" w:rsidRPr="009C0C39">
        <w:rPr>
          <w:rFonts w:ascii="Franklin Gothic Book" w:hAnsi="Franklin Gothic Book" w:cs="Times New Roman"/>
          <w:b/>
          <w:bCs/>
          <w:sz w:val="22"/>
          <w:szCs w:val="22"/>
        </w:rPr>
        <w:t>(</w:t>
      </w:r>
      <w:r w:rsidRPr="009C0C39">
        <w:rPr>
          <w:rFonts w:ascii="Franklin Gothic Book" w:hAnsi="Franklin Gothic Book" w:cs="Times New Roman"/>
          <w:b/>
          <w:bCs/>
          <w:sz w:val="22"/>
          <w:szCs w:val="22"/>
        </w:rPr>
        <w:t>2010-2020</w:t>
      </w:r>
      <w:r w:rsidR="007C1978" w:rsidRPr="009C0C39">
        <w:rPr>
          <w:rFonts w:ascii="Franklin Gothic Book" w:hAnsi="Franklin Gothic Book" w:cs="Times New Roman"/>
          <w:b/>
          <w:bCs/>
          <w:sz w:val="22"/>
          <w:szCs w:val="22"/>
        </w:rPr>
        <w:t>)</w:t>
      </w:r>
      <w:r w:rsidR="0075374A" w:rsidRPr="009C0C39">
        <w:rPr>
          <w:rFonts w:ascii="Franklin Gothic Book" w:hAnsi="Franklin Gothic Book"/>
          <w:noProof/>
          <w:sz w:val="22"/>
          <w:szCs w:val="22"/>
        </w:rPr>
        <w:t xml:space="preserve"> </w:t>
      </w:r>
      <w:r w:rsidR="000878AA" w:rsidRPr="009C0C39">
        <w:rPr>
          <w:rFonts w:ascii="Franklin Gothic Book" w:hAnsi="Franklin Gothic Book"/>
          <w:noProof/>
          <w:sz w:val="22"/>
          <w:szCs w:val="22"/>
        </w:rPr>
        <w:drawing>
          <wp:inline distT="0" distB="0" distL="0" distR="0" wp14:anchorId="6EA2D2CF" wp14:editId="4A19673F">
            <wp:extent cx="5943600" cy="3574415"/>
            <wp:effectExtent l="0" t="0" r="0" b="6985"/>
            <wp:docPr id="2061" name="Picture 20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2061" descr="Chart, line 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3574415"/>
                    </a:xfrm>
                    <a:prstGeom prst="rect">
                      <a:avLst/>
                    </a:prstGeom>
                  </pic:spPr>
                </pic:pic>
              </a:graphicData>
            </a:graphic>
          </wp:inline>
        </w:drawing>
      </w:r>
    </w:p>
    <w:p w14:paraId="5C06F8AC" w14:textId="1DBDD02A" w:rsidR="00983B01" w:rsidRPr="009C0C39" w:rsidRDefault="00983B01" w:rsidP="00983B01">
      <w:pPr>
        <w:rPr>
          <w:rFonts w:ascii="Franklin Gothic Book" w:hAnsi="Franklin Gothic Book" w:cs="Times New Roman"/>
          <w:sz w:val="18"/>
          <w:szCs w:val="18"/>
        </w:rPr>
      </w:pPr>
      <w:r w:rsidRPr="009C0C39">
        <w:rPr>
          <w:rFonts w:ascii="Franklin Gothic Book" w:hAnsi="Franklin Gothic Book" w:cs="Times New Roman"/>
          <w:sz w:val="18"/>
          <w:szCs w:val="18"/>
        </w:rPr>
        <w:t>Source:</w:t>
      </w:r>
      <w:r w:rsidRPr="009C0C39">
        <w:rPr>
          <w:rFonts w:ascii="Franklin Gothic Book" w:hAnsi="Franklin Gothic Book" w:cs="Times New Roman"/>
          <w:sz w:val="22"/>
          <w:szCs w:val="22"/>
        </w:rPr>
        <w:t xml:space="preserve"> </w:t>
      </w:r>
      <w:r w:rsidRPr="009C0C39">
        <w:rPr>
          <w:rFonts w:ascii="Franklin Gothic Book" w:hAnsi="Franklin Gothic Book" w:cs="Times New Roman"/>
          <w:sz w:val="18"/>
          <w:szCs w:val="18"/>
        </w:rPr>
        <w:t xml:space="preserve">HPC analysis of CHIA </w:t>
      </w:r>
      <w:r w:rsidR="00D72996" w:rsidRPr="009C0C39">
        <w:rPr>
          <w:rFonts w:ascii="Franklin Gothic Book" w:hAnsi="Franklin Gothic Book" w:cs="Times New Roman"/>
          <w:sz w:val="18"/>
          <w:szCs w:val="18"/>
        </w:rPr>
        <w:t>h</w:t>
      </w:r>
      <w:r w:rsidRPr="009C0C39">
        <w:rPr>
          <w:rFonts w:ascii="Franklin Gothic Book" w:hAnsi="Franklin Gothic Book" w:cs="Times New Roman"/>
          <w:sz w:val="18"/>
          <w:szCs w:val="18"/>
        </w:rPr>
        <w:t xml:space="preserve">ospital </w:t>
      </w:r>
      <w:r w:rsidR="00D72996" w:rsidRPr="009C0C39">
        <w:rPr>
          <w:rFonts w:ascii="Franklin Gothic Book" w:hAnsi="Franklin Gothic Book" w:cs="Times New Roman"/>
          <w:sz w:val="18"/>
          <w:szCs w:val="18"/>
        </w:rPr>
        <w:t>d</w:t>
      </w:r>
      <w:r w:rsidRPr="009C0C39">
        <w:rPr>
          <w:rFonts w:ascii="Franklin Gothic Book" w:hAnsi="Franklin Gothic Book" w:cs="Times New Roman"/>
          <w:sz w:val="18"/>
          <w:szCs w:val="18"/>
        </w:rPr>
        <w:t xml:space="preserve">ischarge </w:t>
      </w:r>
      <w:r w:rsidR="00D72996" w:rsidRPr="009C0C39">
        <w:rPr>
          <w:rFonts w:ascii="Franklin Gothic Book" w:hAnsi="Franklin Gothic Book" w:cs="Times New Roman"/>
          <w:sz w:val="18"/>
          <w:szCs w:val="18"/>
        </w:rPr>
        <w:t>d</w:t>
      </w:r>
      <w:r w:rsidRPr="009C0C39">
        <w:rPr>
          <w:rFonts w:ascii="Franklin Gothic Book" w:hAnsi="Franklin Gothic Book" w:cs="Times New Roman"/>
          <w:sz w:val="18"/>
          <w:szCs w:val="18"/>
        </w:rPr>
        <w:t>ata 20</w:t>
      </w:r>
      <w:r w:rsidR="0075374A" w:rsidRPr="009C0C39">
        <w:rPr>
          <w:rFonts w:ascii="Franklin Gothic Book" w:hAnsi="Franklin Gothic Book" w:cs="Times New Roman"/>
          <w:sz w:val="18"/>
          <w:szCs w:val="18"/>
        </w:rPr>
        <w:t>10</w:t>
      </w:r>
      <w:r w:rsidRPr="009C0C39">
        <w:rPr>
          <w:rFonts w:ascii="Franklin Gothic Book" w:hAnsi="Franklin Gothic Book" w:cs="Times New Roman"/>
          <w:sz w:val="18"/>
          <w:szCs w:val="18"/>
        </w:rPr>
        <w:t xml:space="preserve">-2019 and UMass Donahue Institute population projections (2018), </w:t>
      </w:r>
      <w:r w:rsidR="006075CB">
        <w:rPr>
          <w:rFonts w:ascii="Franklin Gothic Book" w:hAnsi="Franklin Gothic Book" w:cs="Times New Roman"/>
          <w:i/>
          <w:iCs/>
          <w:sz w:val="18"/>
          <w:szCs w:val="18"/>
        </w:rPr>
        <w:t>available</w:t>
      </w:r>
      <w:r w:rsidRPr="009C0C39">
        <w:rPr>
          <w:rFonts w:ascii="Franklin Gothic Book" w:hAnsi="Franklin Gothic Book" w:cs="Times New Roman"/>
          <w:sz w:val="18"/>
          <w:szCs w:val="18"/>
        </w:rPr>
        <w:t xml:space="preserve"> </w:t>
      </w:r>
      <w:hyperlink r:id="rId28" w:history="1">
        <w:r w:rsidR="006075CB">
          <w:rPr>
            <w:rStyle w:val="Hyperlink"/>
            <w:rFonts w:ascii="Franklin Gothic Book" w:hAnsi="Franklin Gothic Book" w:cs="Times New Roman"/>
            <w:sz w:val="18"/>
            <w:szCs w:val="18"/>
          </w:rPr>
          <w:t>at https://donahue.umass.edu/business-groups/economic-public-policy-research/massachusetts-population-estimates-program/population-projections</w:t>
        </w:r>
      </w:hyperlink>
      <w:r w:rsidRPr="009C0C39">
        <w:rPr>
          <w:rFonts w:ascii="Franklin Gothic Book" w:hAnsi="Franklin Gothic Book" w:cs="Times New Roman"/>
          <w:sz w:val="18"/>
          <w:szCs w:val="18"/>
        </w:rPr>
        <w:t>.</w:t>
      </w:r>
    </w:p>
    <w:p w14:paraId="127EBA0D" w14:textId="77777777" w:rsidR="00983B01" w:rsidRPr="009C0C39" w:rsidRDefault="00983B01" w:rsidP="00983B01">
      <w:pPr>
        <w:rPr>
          <w:rFonts w:ascii="Franklin Gothic Book" w:hAnsi="Franklin Gothic Book" w:cs="Times New Roman"/>
          <w:sz w:val="22"/>
          <w:szCs w:val="22"/>
        </w:rPr>
      </w:pPr>
    </w:p>
    <w:p w14:paraId="227DC4E3" w14:textId="77777777" w:rsidR="00324DDD" w:rsidRDefault="00324DDD">
      <w:pPr>
        <w:spacing w:after="160" w:line="259" w:lineRule="auto"/>
        <w:rPr>
          <w:rFonts w:ascii="Franklin Gothic Book" w:hAnsi="Franklin Gothic Book" w:cs="Times New Roman"/>
          <w:sz w:val="22"/>
          <w:szCs w:val="22"/>
        </w:rPr>
      </w:pPr>
      <w:r>
        <w:rPr>
          <w:rFonts w:ascii="Franklin Gothic Book" w:hAnsi="Franklin Gothic Book" w:cs="Times New Roman"/>
          <w:sz w:val="22"/>
          <w:szCs w:val="22"/>
        </w:rPr>
        <w:br w:type="page"/>
      </w:r>
    </w:p>
    <w:p w14:paraId="4EEBE1E2" w14:textId="4B893E7E" w:rsidR="00983B01" w:rsidRPr="009C0C39" w:rsidRDefault="00983B01" w:rsidP="00835D3E">
      <w:pPr>
        <w:ind w:firstLine="720"/>
        <w:rPr>
          <w:rFonts w:ascii="Franklin Gothic Book" w:hAnsi="Franklin Gothic Book"/>
          <w:sz w:val="18"/>
          <w:szCs w:val="18"/>
        </w:rPr>
      </w:pPr>
      <w:r w:rsidRPr="009C0C39">
        <w:rPr>
          <w:rFonts w:ascii="Franklin Gothic Book" w:hAnsi="Franklin Gothic Book" w:cs="Times New Roman"/>
          <w:sz w:val="22"/>
          <w:szCs w:val="22"/>
        </w:rPr>
        <w:lastRenderedPageBreak/>
        <w:t>A recent Brookings Institute paper examining trends in utilization of advanced imaging (including MRIs, CT scans, and nuclear scans) among Medicare beneficiaries illustrates that changes in utilization due to demographic changes are far outweighed by supply-side factors. Total imaging utilization was roughly 17.6 million among 40 million Medicare beneficiaries in 2000.</w:t>
      </w:r>
      <w:r w:rsidRPr="009C0C39">
        <w:rPr>
          <w:rFonts w:ascii="Franklin Gothic Book" w:hAnsi="Franklin Gothic Book" w:cs="Times New Roman"/>
          <w:sz w:val="22"/>
          <w:szCs w:val="22"/>
          <w:vertAlign w:val="superscript"/>
        </w:rPr>
        <w:footnoteReference w:id="239"/>
      </w:r>
      <w:r w:rsidRPr="009C0C39">
        <w:rPr>
          <w:rFonts w:ascii="Franklin Gothic Book" w:hAnsi="Franklin Gothic Book" w:cs="Times New Roman"/>
          <w:sz w:val="22"/>
          <w:szCs w:val="22"/>
        </w:rPr>
        <w:t xml:space="preserve"> Imaging use grew rapidly over the decade (by 85%, or 59% per beneficiary) to nearly 33 million scans in 2009. Over the next decade, from 2009 to 2018, the Medicare population grew 25%. Thus simple demand projections based on demographic change, performed in 2009, would have likely projected demand, and thus utilization of advanced imaging, in Medicare to grow at least 25% by 2018, to more than 40 million scans. Yet, in fact, total imaging utilization </w:t>
      </w:r>
      <w:r w:rsidRPr="009C0C39">
        <w:rPr>
          <w:rFonts w:ascii="Franklin Gothic Book" w:hAnsi="Franklin Gothic Book" w:cs="Times New Roman"/>
          <w:i/>
          <w:iCs/>
          <w:sz w:val="22"/>
          <w:szCs w:val="22"/>
        </w:rPr>
        <w:t>fell</w:t>
      </w:r>
      <w:r w:rsidRPr="009C0C39">
        <w:rPr>
          <w:rFonts w:ascii="Franklin Gothic Book" w:hAnsi="Franklin Gothic Book" w:cs="Times New Roman"/>
          <w:sz w:val="22"/>
          <w:szCs w:val="22"/>
        </w:rPr>
        <w:t xml:space="preserve"> by 21% over this period (37% on a per-beneficiary basis), to under 26 million scans in 2018. The drop largely stems from a series of policy decisions made by CMS that reduced payment rates for imaging and changed the basis of payment, along with changing technology.</w:t>
      </w:r>
      <w:r w:rsidR="00835D3E" w:rsidRPr="009C0C39">
        <w:rPr>
          <w:rFonts w:ascii="Franklin Gothic Book" w:hAnsi="Franklin Gothic Book"/>
          <w:sz w:val="18"/>
          <w:szCs w:val="18"/>
        </w:rPr>
        <w:t xml:space="preserve"> </w:t>
      </w:r>
    </w:p>
    <w:p w14:paraId="4F50C926" w14:textId="77777777" w:rsidR="00983B01" w:rsidRPr="009C0C39" w:rsidRDefault="00983B01">
      <w:pPr>
        <w:spacing w:after="160" w:line="259" w:lineRule="auto"/>
        <w:rPr>
          <w:rFonts w:ascii="Franklin Gothic Book" w:hAnsi="Franklin Gothic Book" w:cs="Times New Roman"/>
          <w:b/>
          <w:bCs/>
          <w:sz w:val="22"/>
          <w:szCs w:val="22"/>
        </w:rPr>
      </w:pPr>
      <w:r w:rsidRPr="009C0C39">
        <w:rPr>
          <w:rFonts w:ascii="Franklin Gothic Book" w:hAnsi="Franklin Gothic Book" w:cs="Times New Roman"/>
          <w:b/>
          <w:bCs/>
          <w:sz w:val="22"/>
          <w:szCs w:val="22"/>
        </w:rPr>
        <w:br w:type="page"/>
      </w:r>
    </w:p>
    <w:p w14:paraId="46C0EEE5" w14:textId="27C3E3C0" w:rsidR="00FA122B" w:rsidRPr="009C0C39" w:rsidRDefault="004C5D6A" w:rsidP="00FA122B">
      <w:pPr>
        <w:spacing w:before="240"/>
        <w:rPr>
          <w:rFonts w:ascii="Franklin Gothic Book" w:hAnsi="Franklin Gothic Book" w:cs="Times New Roman"/>
          <w:b/>
          <w:bCs/>
          <w:sz w:val="22"/>
          <w:szCs w:val="22"/>
        </w:rPr>
      </w:pPr>
      <w:bookmarkStart w:id="131" w:name="Appendix_IAB"/>
      <w:bookmarkStart w:id="132" w:name="Appendix_IVB"/>
      <w:bookmarkEnd w:id="130"/>
      <w:bookmarkEnd w:id="131"/>
      <w:r w:rsidRPr="009C0C39">
        <w:rPr>
          <w:rFonts w:ascii="Franklin Gothic Book" w:hAnsi="Franklin Gothic Book" w:cs="Times New Roman"/>
          <w:b/>
          <w:bCs/>
          <w:sz w:val="22"/>
          <w:szCs w:val="22"/>
        </w:rPr>
        <w:lastRenderedPageBreak/>
        <w:t>Appendix IV.B</w:t>
      </w:r>
      <w:bookmarkEnd w:id="132"/>
      <w:r w:rsidRPr="009C0C39">
        <w:rPr>
          <w:rFonts w:ascii="Franklin Gothic Book" w:hAnsi="Franklin Gothic Book" w:cs="Times New Roman"/>
          <w:b/>
          <w:bCs/>
          <w:sz w:val="22"/>
          <w:szCs w:val="22"/>
        </w:rPr>
        <w:t xml:space="preserve">: </w:t>
      </w:r>
      <w:r w:rsidR="00FA122B" w:rsidRPr="009C0C39">
        <w:rPr>
          <w:rFonts w:ascii="Franklin Gothic Book" w:hAnsi="Franklin Gothic Book" w:cs="Times New Roman"/>
          <w:b/>
          <w:bCs/>
          <w:sz w:val="22"/>
          <w:szCs w:val="22"/>
        </w:rPr>
        <w:t xml:space="preserve">Ambulatory Sites Indicia of Social Need </w:t>
      </w:r>
    </w:p>
    <w:p w14:paraId="7299AD34" w14:textId="77777777" w:rsidR="00FA122B" w:rsidRPr="009C0C39" w:rsidRDefault="00FA122B" w:rsidP="00D72996">
      <w:pPr>
        <w:spacing w:before="240"/>
        <w:ind w:firstLine="720"/>
        <w:rPr>
          <w:rFonts w:ascii="Franklin Gothic Book" w:hAnsi="Franklin Gothic Book" w:cs="Times New Roman"/>
          <w:sz w:val="28"/>
          <w:szCs w:val="28"/>
        </w:rPr>
      </w:pPr>
      <w:r w:rsidRPr="009C0C39">
        <w:rPr>
          <w:rFonts w:ascii="Franklin Gothic Book" w:hAnsi="Franklin Gothic Book" w:cs="Times New Roman"/>
          <w:sz w:val="22"/>
          <w:szCs w:val="22"/>
        </w:rPr>
        <w:t>The immediate areas around the proposed ambulatory sites generally have relatively lower indicia of social need as compared to the Commonwealth as a whole and as compared to the region in which those sites are proposed to be located.</w:t>
      </w:r>
    </w:p>
    <w:tbl>
      <w:tblPr>
        <w:tblStyle w:val="ListTable4-Accent3"/>
        <w:tblW w:w="9540" w:type="dxa"/>
        <w:tblBorders>
          <w:top w:val="none" w:sz="0" w:space="0" w:color="auto"/>
          <w:left w:val="none" w:sz="0" w:space="0" w:color="auto"/>
          <w:bottom w:val="none" w:sz="0" w:space="0" w:color="auto"/>
          <w:right w:val="none" w:sz="0" w:space="0" w:color="auto"/>
          <w:insideH w:val="none" w:sz="0" w:space="0" w:color="auto"/>
        </w:tblBorders>
        <w:tblLayout w:type="fixed"/>
        <w:tblCellMar>
          <w:top w:w="29" w:type="dxa"/>
          <w:bottom w:w="29" w:type="dxa"/>
        </w:tblCellMar>
        <w:tblLook w:val="04A0" w:firstRow="1" w:lastRow="0" w:firstColumn="1" w:lastColumn="0" w:noHBand="0" w:noVBand="1"/>
        <w:tblCaption w:val="Appendix IV.B: Ambulatory Sites Indicia of Social Need "/>
        <w:tblDescription w:val="Appendix IV.B: Ambulatory Sites Indicia of Social Need "/>
      </w:tblPr>
      <w:tblGrid>
        <w:gridCol w:w="512"/>
        <w:gridCol w:w="5248"/>
        <w:gridCol w:w="1440"/>
        <w:gridCol w:w="1170"/>
        <w:gridCol w:w="1170"/>
      </w:tblGrid>
      <w:tr w:rsidR="009E6CBA" w:rsidRPr="000652B0" w14:paraId="4C6B03A1" w14:textId="77777777" w:rsidTr="006B6365">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512" w:type="dxa"/>
            <w:shd w:val="clear" w:color="auto" w:fill="074A75"/>
            <w:noWrap/>
            <w:vAlign w:val="center"/>
            <w:hideMark/>
          </w:tcPr>
          <w:p w14:paraId="30B26F20" w14:textId="77777777" w:rsidR="009E6CBA" w:rsidRPr="000652B0" w:rsidRDefault="009E6CBA" w:rsidP="00E33B00">
            <w:pPr>
              <w:jc w:val="center"/>
              <w:rPr>
                <w:rFonts w:ascii="Franklin Gothic Demi Cond" w:eastAsia="Times New Roman" w:hAnsi="Franklin Gothic Demi Cond" w:cs="Arial"/>
                <w:b w:val="0"/>
                <w:bCs w:val="0"/>
                <w:sz w:val="22"/>
                <w:szCs w:val="22"/>
              </w:rPr>
            </w:pPr>
          </w:p>
        </w:tc>
        <w:tc>
          <w:tcPr>
            <w:tcW w:w="5248" w:type="dxa"/>
            <w:shd w:val="clear" w:color="auto" w:fill="074A75"/>
            <w:noWrap/>
            <w:vAlign w:val="center"/>
            <w:hideMark/>
          </w:tcPr>
          <w:p w14:paraId="485DE249" w14:textId="77777777" w:rsidR="009E6CBA" w:rsidRPr="000652B0" w:rsidRDefault="009E6CBA" w:rsidP="00E33B00">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2"/>
                <w:szCs w:val="22"/>
              </w:rPr>
            </w:pPr>
            <w:r w:rsidRPr="000652B0">
              <w:rPr>
                <w:rFonts w:ascii="Franklin Gothic Demi Cond" w:eastAsia="Times New Roman" w:hAnsi="Franklin Gothic Demi Cond" w:cs="Arial"/>
                <w:b w:val="0"/>
                <w:bCs w:val="0"/>
                <w:sz w:val="22"/>
                <w:szCs w:val="22"/>
              </w:rPr>
              <w:t>Social Determinant of Health Indicators</w:t>
            </w:r>
          </w:p>
        </w:tc>
        <w:tc>
          <w:tcPr>
            <w:tcW w:w="1440" w:type="dxa"/>
            <w:shd w:val="clear" w:color="auto" w:fill="074A75"/>
            <w:noWrap/>
            <w:vAlign w:val="center"/>
            <w:hideMark/>
          </w:tcPr>
          <w:p w14:paraId="54BEE52F" w14:textId="77777777" w:rsidR="009E6CBA" w:rsidRPr="000652B0" w:rsidRDefault="009E6CBA" w:rsidP="00E33B00">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2"/>
                <w:szCs w:val="22"/>
              </w:rPr>
            </w:pPr>
            <w:r w:rsidRPr="000652B0">
              <w:rPr>
                <w:rFonts w:ascii="Franklin Gothic Demi Cond" w:eastAsia="Times New Roman" w:hAnsi="Franklin Gothic Demi Cond" w:cs="Arial"/>
                <w:b w:val="0"/>
                <w:bCs w:val="0"/>
                <w:sz w:val="22"/>
                <w:szCs w:val="22"/>
              </w:rPr>
              <w:t>Zip codes ≤10 min drive</w:t>
            </w:r>
          </w:p>
        </w:tc>
        <w:tc>
          <w:tcPr>
            <w:tcW w:w="1170" w:type="dxa"/>
            <w:shd w:val="clear" w:color="auto" w:fill="074A75"/>
            <w:noWrap/>
            <w:vAlign w:val="center"/>
            <w:hideMark/>
          </w:tcPr>
          <w:p w14:paraId="3A6B0DAC" w14:textId="77777777" w:rsidR="009E6CBA" w:rsidRPr="000652B0" w:rsidRDefault="009E6CBA" w:rsidP="00E33B00">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2"/>
                <w:szCs w:val="22"/>
              </w:rPr>
            </w:pPr>
            <w:r w:rsidRPr="000652B0">
              <w:rPr>
                <w:rFonts w:ascii="Franklin Gothic Demi Cond" w:eastAsia="Times New Roman" w:hAnsi="Franklin Gothic Demi Cond" w:cs="Arial"/>
                <w:b w:val="0"/>
                <w:bCs w:val="0"/>
                <w:sz w:val="22"/>
                <w:szCs w:val="22"/>
              </w:rPr>
              <w:t xml:space="preserve">HPC Region </w:t>
            </w:r>
          </w:p>
        </w:tc>
        <w:tc>
          <w:tcPr>
            <w:tcW w:w="1170" w:type="dxa"/>
            <w:shd w:val="clear" w:color="auto" w:fill="074A75"/>
            <w:noWrap/>
            <w:vAlign w:val="center"/>
            <w:hideMark/>
          </w:tcPr>
          <w:p w14:paraId="37F851E8" w14:textId="77777777" w:rsidR="009E6CBA" w:rsidRPr="000652B0" w:rsidRDefault="009E6CBA" w:rsidP="00E33B00">
            <w:pPr>
              <w:jc w:val="center"/>
              <w:cnfStyle w:val="100000000000" w:firstRow="1" w:lastRow="0" w:firstColumn="0" w:lastColumn="0" w:oddVBand="0" w:evenVBand="0" w:oddHBand="0" w:evenHBand="0" w:firstRowFirstColumn="0" w:firstRowLastColumn="0" w:lastRowFirstColumn="0" w:lastRowLastColumn="0"/>
              <w:rPr>
                <w:rFonts w:ascii="Franklin Gothic Demi Cond" w:eastAsia="Times New Roman" w:hAnsi="Franklin Gothic Demi Cond" w:cs="Arial"/>
                <w:b w:val="0"/>
                <w:bCs w:val="0"/>
                <w:sz w:val="22"/>
                <w:szCs w:val="22"/>
              </w:rPr>
            </w:pPr>
            <w:r w:rsidRPr="000652B0">
              <w:rPr>
                <w:rFonts w:ascii="Franklin Gothic Demi Cond" w:eastAsia="Times New Roman" w:hAnsi="Franklin Gothic Demi Cond" w:cs="Arial"/>
                <w:b w:val="0"/>
                <w:bCs w:val="0"/>
                <w:sz w:val="22"/>
                <w:szCs w:val="22"/>
              </w:rPr>
              <w:t>Statewide</w:t>
            </w:r>
          </w:p>
        </w:tc>
      </w:tr>
      <w:tr w:rsidR="009E6CBA" w:rsidRPr="000652B0" w14:paraId="02503ED5" w14:textId="77777777" w:rsidTr="009E6CB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 w:type="dxa"/>
            <w:vMerge w:val="restart"/>
            <w:tcBorders>
              <w:right w:val="single" w:sz="8" w:space="0" w:color="FFFFFF" w:themeColor="background1"/>
            </w:tcBorders>
            <w:noWrap/>
            <w:textDirection w:val="btLr"/>
            <w:vAlign w:val="center"/>
            <w:hideMark/>
          </w:tcPr>
          <w:p w14:paraId="407702DE" w14:textId="77777777" w:rsidR="009E6CBA" w:rsidRPr="000652B0" w:rsidRDefault="009E6CBA" w:rsidP="00E33B00">
            <w:pPr>
              <w:jc w:val="center"/>
              <w:rPr>
                <w:rFonts w:ascii="Franklin Gothic Book" w:eastAsia="Times New Roman" w:hAnsi="Franklin Gothic Book" w:cs="Arial"/>
                <w:color w:val="074A75"/>
                <w:sz w:val="20"/>
                <w:szCs w:val="20"/>
              </w:rPr>
            </w:pPr>
            <w:r w:rsidRPr="000652B0">
              <w:rPr>
                <w:rFonts w:ascii="Franklin Gothic Book" w:eastAsia="Times New Roman" w:hAnsi="Franklin Gothic Book" w:cs="Arial"/>
                <w:color w:val="074A75"/>
                <w:sz w:val="20"/>
                <w:szCs w:val="20"/>
              </w:rPr>
              <w:t>WESTWOOD</w:t>
            </w:r>
          </w:p>
        </w:tc>
        <w:tc>
          <w:tcPr>
            <w:tcW w:w="5248" w:type="dxa"/>
            <w:tcBorders>
              <w:left w:val="single" w:sz="8" w:space="0" w:color="FFFFFF" w:themeColor="background1"/>
            </w:tcBorders>
            <w:shd w:val="clear" w:color="auto" w:fill="FFFFFF" w:themeFill="background1"/>
            <w:noWrap/>
            <w:vAlign w:val="center"/>
            <w:hideMark/>
          </w:tcPr>
          <w:p w14:paraId="30B5CE26"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Limited English Speaking Households</w:t>
            </w:r>
          </w:p>
        </w:tc>
        <w:tc>
          <w:tcPr>
            <w:tcW w:w="1440" w:type="dxa"/>
            <w:shd w:val="clear" w:color="auto" w:fill="FFFFFF" w:themeFill="background1"/>
            <w:noWrap/>
            <w:vAlign w:val="center"/>
            <w:hideMark/>
          </w:tcPr>
          <w:p w14:paraId="49B256EE"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2%</w:t>
            </w:r>
          </w:p>
        </w:tc>
        <w:tc>
          <w:tcPr>
            <w:tcW w:w="1170" w:type="dxa"/>
            <w:tcBorders>
              <w:bottom w:val="single" w:sz="8" w:space="0" w:color="FFFFFF" w:themeColor="background1"/>
            </w:tcBorders>
            <w:shd w:val="clear" w:color="auto" w:fill="FFFFFF" w:themeFill="background1"/>
            <w:noWrap/>
            <w:vAlign w:val="center"/>
            <w:hideMark/>
          </w:tcPr>
          <w:p w14:paraId="59BDBB1B"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2%</w:t>
            </w:r>
          </w:p>
        </w:tc>
        <w:tc>
          <w:tcPr>
            <w:tcW w:w="1170" w:type="dxa"/>
            <w:tcBorders>
              <w:bottom w:val="single" w:sz="8" w:space="0" w:color="FFFFFF" w:themeColor="background1"/>
            </w:tcBorders>
            <w:shd w:val="clear" w:color="auto" w:fill="F9C2A9" w:themeFill="accent2" w:themeFillTint="66"/>
            <w:noWrap/>
            <w:vAlign w:val="center"/>
            <w:hideMark/>
          </w:tcPr>
          <w:p w14:paraId="5EBFE20F"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6%</w:t>
            </w:r>
          </w:p>
        </w:tc>
      </w:tr>
      <w:tr w:rsidR="009E6CBA" w:rsidRPr="000652B0" w14:paraId="2BC5F082" w14:textId="77777777" w:rsidTr="009E6CBA">
        <w:trPr>
          <w:trHeight w:val="276"/>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5B871BA3"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tcBorders>
            <w:noWrap/>
            <w:vAlign w:val="center"/>
            <w:hideMark/>
          </w:tcPr>
          <w:p w14:paraId="693C2723"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Reporting as Non-White Race</w:t>
            </w:r>
          </w:p>
        </w:tc>
        <w:tc>
          <w:tcPr>
            <w:tcW w:w="1440" w:type="dxa"/>
            <w:noWrap/>
            <w:vAlign w:val="center"/>
            <w:hideMark/>
          </w:tcPr>
          <w:p w14:paraId="43B66246"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15%</w:t>
            </w:r>
          </w:p>
        </w:tc>
        <w:tc>
          <w:tcPr>
            <w:tcW w:w="1170" w:type="dxa"/>
            <w:tcBorders>
              <w:top w:val="single" w:sz="8" w:space="0" w:color="FFFFFF" w:themeColor="background1"/>
              <w:bottom w:val="single" w:sz="8" w:space="0" w:color="FFFFFF" w:themeColor="background1"/>
            </w:tcBorders>
            <w:shd w:val="clear" w:color="auto" w:fill="E2E8F1" w:themeFill="background2" w:themeFillTint="33"/>
            <w:noWrap/>
            <w:vAlign w:val="center"/>
            <w:hideMark/>
          </w:tcPr>
          <w:p w14:paraId="46E4FB3C"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4472C4"/>
                <w:sz w:val="20"/>
                <w:szCs w:val="20"/>
              </w:rPr>
            </w:pPr>
            <w:r w:rsidRPr="000652B0">
              <w:rPr>
                <w:rFonts w:ascii="Franklin Gothic Book" w:eastAsia="Times New Roman" w:hAnsi="Franklin Gothic Book" w:cs="Arial"/>
                <w:color w:val="094975" w:themeColor="accent1"/>
                <w:sz w:val="20"/>
                <w:szCs w:val="20"/>
              </w:rPr>
              <w:t>12%</w:t>
            </w:r>
          </w:p>
        </w:tc>
        <w:tc>
          <w:tcPr>
            <w:tcW w:w="1170" w:type="dxa"/>
            <w:tcBorders>
              <w:top w:val="single" w:sz="8" w:space="0" w:color="FFFFFF" w:themeColor="background1"/>
              <w:bottom w:val="single" w:sz="8" w:space="0" w:color="FFFFFF" w:themeColor="background1"/>
            </w:tcBorders>
            <w:shd w:val="clear" w:color="auto" w:fill="F9C2A9" w:themeFill="accent2" w:themeFillTint="66"/>
            <w:noWrap/>
            <w:vAlign w:val="center"/>
            <w:hideMark/>
          </w:tcPr>
          <w:p w14:paraId="59870489"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22%</w:t>
            </w:r>
          </w:p>
        </w:tc>
      </w:tr>
      <w:tr w:rsidR="009E6CBA" w:rsidRPr="000652B0" w14:paraId="13D91BEF" w14:textId="77777777" w:rsidTr="009E6CB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63A884EA"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tcBorders>
            <w:shd w:val="clear" w:color="auto" w:fill="FFFFFF" w:themeFill="background1"/>
            <w:noWrap/>
            <w:vAlign w:val="center"/>
            <w:hideMark/>
          </w:tcPr>
          <w:p w14:paraId="52FFEF1B"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that was Unemployed (Ages 16+)</w:t>
            </w:r>
          </w:p>
        </w:tc>
        <w:tc>
          <w:tcPr>
            <w:tcW w:w="1440" w:type="dxa"/>
            <w:shd w:val="clear" w:color="auto" w:fill="FFFFFF" w:themeFill="background1"/>
            <w:noWrap/>
            <w:vAlign w:val="center"/>
            <w:hideMark/>
          </w:tcPr>
          <w:p w14:paraId="3F84C071"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3%</w:t>
            </w:r>
          </w:p>
        </w:tc>
        <w:tc>
          <w:tcPr>
            <w:tcW w:w="1170" w:type="dxa"/>
            <w:tcBorders>
              <w:top w:val="single" w:sz="8" w:space="0" w:color="FFFFFF" w:themeColor="background1"/>
              <w:bottom w:val="single" w:sz="8" w:space="0" w:color="FFFFFF" w:themeColor="background1"/>
            </w:tcBorders>
            <w:shd w:val="clear" w:color="auto" w:fill="FFFFFF" w:themeFill="background1"/>
            <w:noWrap/>
            <w:vAlign w:val="center"/>
            <w:hideMark/>
          </w:tcPr>
          <w:p w14:paraId="62D77C86"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3%</w:t>
            </w:r>
          </w:p>
        </w:tc>
        <w:tc>
          <w:tcPr>
            <w:tcW w:w="1170" w:type="dxa"/>
            <w:tcBorders>
              <w:top w:val="single" w:sz="8" w:space="0" w:color="FFFFFF" w:themeColor="background1"/>
              <w:bottom w:val="single" w:sz="8" w:space="0" w:color="FFFFFF" w:themeColor="background1"/>
            </w:tcBorders>
            <w:shd w:val="clear" w:color="auto" w:fill="F9C2A9" w:themeFill="accent2" w:themeFillTint="66"/>
            <w:noWrap/>
            <w:vAlign w:val="center"/>
            <w:hideMark/>
          </w:tcPr>
          <w:p w14:paraId="7FD119D6"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4%</w:t>
            </w:r>
          </w:p>
        </w:tc>
      </w:tr>
      <w:tr w:rsidR="009E6CBA" w:rsidRPr="000652B0" w14:paraId="727C1F3F" w14:textId="77777777" w:rsidTr="009E6CBA">
        <w:trPr>
          <w:trHeight w:val="519"/>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0B11569A"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tcBorders>
            <w:vAlign w:val="center"/>
            <w:hideMark/>
          </w:tcPr>
          <w:p w14:paraId="3333FCF5"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with any Medicaid/Means-Tested Public Coverage (Ages ≤64)</w:t>
            </w:r>
          </w:p>
        </w:tc>
        <w:tc>
          <w:tcPr>
            <w:tcW w:w="1440" w:type="dxa"/>
            <w:noWrap/>
            <w:vAlign w:val="center"/>
            <w:hideMark/>
          </w:tcPr>
          <w:p w14:paraId="6C7C0085"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9%</w:t>
            </w:r>
          </w:p>
        </w:tc>
        <w:tc>
          <w:tcPr>
            <w:tcW w:w="1170" w:type="dxa"/>
            <w:tcBorders>
              <w:top w:val="single" w:sz="8" w:space="0" w:color="FFFFFF" w:themeColor="background1"/>
              <w:bottom w:val="single" w:sz="8" w:space="0" w:color="FFFFFF" w:themeColor="background1"/>
            </w:tcBorders>
            <w:shd w:val="clear" w:color="auto" w:fill="F9C2A9" w:themeFill="accent2" w:themeFillTint="66"/>
            <w:noWrap/>
            <w:vAlign w:val="center"/>
            <w:hideMark/>
          </w:tcPr>
          <w:p w14:paraId="6C2CCD06"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10%</w:t>
            </w:r>
          </w:p>
        </w:tc>
        <w:tc>
          <w:tcPr>
            <w:tcW w:w="1170" w:type="dxa"/>
            <w:tcBorders>
              <w:top w:val="single" w:sz="8" w:space="0" w:color="FFFFFF" w:themeColor="background1"/>
              <w:bottom w:val="single" w:sz="8" w:space="0" w:color="FFFFFF" w:themeColor="background1"/>
            </w:tcBorders>
            <w:shd w:val="clear" w:color="auto" w:fill="F9C2A9" w:themeFill="accent2" w:themeFillTint="66"/>
            <w:noWrap/>
            <w:vAlign w:val="center"/>
            <w:hideMark/>
          </w:tcPr>
          <w:p w14:paraId="0DC24FCD"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20%</w:t>
            </w:r>
          </w:p>
        </w:tc>
      </w:tr>
      <w:tr w:rsidR="009E6CBA" w:rsidRPr="000652B0" w14:paraId="417AE0FC" w14:textId="77777777" w:rsidTr="009E6CB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12" w:type="dxa"/>
            <w:vMerge/>
            <w:tcBorders>
              <w:bottom w:val="single" w:sz="18" w:space="0" w:color="074A75"/>
              <w:right w:val="single" w:sz="8" w:space="0" w:color="FFFFFF" w:themeColor="background1"/>
            </w:tcBorders>
            <w:vAlign w:val="center"/>
            <w:hideMark/>
          </w:tcPr>
          <w:p w14:paraId="1EC7A16F"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bottom w:val="single" w:sz="18" w:space="0" w:color="074A75"/>
            </w:tcBorders>
            <w:shd w:val="clear" w:color="auto" w:fill="FFFFFF" w:themeFill="background1"/>
            <w:noWrap/>
            <w:vAlign w:val="center"/>
            <w:hideMark/>
          </w:tcPr>
          <w:p w14:paraId="6B88E861"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with Income to Poverty Ratio &lt;1.24 (%)</w:t>
            </w:r>
          </w:p>
        </w:tc>
        <w:tc>
          <w:tcPr>
            <w:tcW w:w="1440" w:type="dxa"/>
            <w:tcBorders>
              <w:bottom w:val="single" w:sz="18" w:space="0" w:color="074A75"/>
            </w:tcBorders>
            <w:shd w:val="clear" w:color="auto" w:fill="FFFFFF" w:themeFill="background1"/>
            <w:noWrap/>
            <w:vAlign w:val="center"/>
            <w:hideMark/>
          </w:tcPr>
          <w:p w14:paraId="7E47AEE5"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5%</w:t>
            </w:r>
          </w:p>
        </w:tc>
        <w:tc>
          <w:tcPr>
            <w:tcW w:w="1170" w:type="dxa"/>
            <w:tcBorders>
              <w:top w:val="single" w:sz="8" w:space="0" w:color="FFFFFF" w:themeColor="background1"/>
              <w:bottom w:val="single" w:sz="18" w:space="0" w:color="074A75"/>
            </w:tcBorders>
            <w:shd w:val="clear" w:color="auto" w:fill="F9C2A9" w:themeFill="accent2" w:themeFillTint="66"/>
            <w:noWrap/>
            <w:vAlign w:val="center"/>
            <w:hideMark/>
          </w:tcPr>
          <w:p w14:paraId="1F0D897E"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7%</w:t>
            </w:r>
          </w:p>
        </w:tc>
        <w:tc>
          <w:tcPr>
            <w:tcW w:w="1170" w:type="dxa"/>
            <w:tcBorders>
              <w:top w:val="single" w:sz="8" w:space="0" w:color="FFFFFF" w:themeColor="background1"/>
              <w:bottom w:val="single" w:sz="18" w:space="0" w:color="074A75"/>
            </w:tcBorders>
            <w:shd w:val="clear" w:color="auto" w:fill="F9C2A9" w:themeFill="accent2" w:themeFillTint="66"/>
            <w:noWrap/>
            <w:vAlign w:val="center"/>
            <w:hideMark/>
          </w:tcPr>
          <w:p w14:paraId="65607BD1"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14%</w:t>
            </w:r>
          </w:p>
        </w:tc>
      </w:tr>
      <w:tr w:rsidR="009E6CBA" w:rsidRPr="000652B0" w14:paraId="221FF235" w14:textId="77777777" w:rsidTr="009E6CBA">
        <w:trPr>
          <w:trHeight w:val="281"/>
        </w:trPr>
        <w:tc>
          <w:tcPr>
            <w:cnfStyle w:val="001000000000" w:firstRow="0" w:lastRow="0" w:firstColumn="1" w:lastColumn="0" w:oddVBand="0" w:evenVBand="0" w:oddHBand="0" w:evenHBand="0" w:firstRowFirstColumn="0" w:firstRowLastColumn="0" w:lastRowFirstColumn="0" w:lastRowLastColumn="0"/>
            <w:tcW w:w="512" w:type="dxa"/>
            <w:vMerge w:val="restart"/>
            <w:tcBorders>
              <w:top w:val="single" w:sz="18" w:space="0" w:color="074A75"/>
              <w:right w:val="single" w:sz="8" w:space="0" w:color="FFFFFF" w:themeColor="background1"/>
            </w:tcBorders>
            <w:shd w:val="clear" w:color="auto" w:fill="FEEDD2" w:themeFill="accent3" w:themeFillTint="33"/>
            <w:textDirection w:val="btLr"/>
            <w:vAlign w:val="center"/>
            <w:hideMark/>
          </w:tcPr>
          <w:p w14:paraId="2215F825" w14:textId="77777777" w:rsidR="009E6CBA" w:rsidRPr="000652B0" w:rsidRDefault="009E6CBA" w:rsidP="00E33B00">
            <w:pPr>
              <w:jc w:val="center"/>
              <w:rPr>
                <w:rFonts w:ascii="Franklin Gothic Book" w:eastAsia="Times New Roman" w:hAnsi="Franklin Gothic Book" w:cs="Arial"/>
                <w:color w:val="074A75"/>
                <w:sz w:val="20"/>
                <w:szCs w:val="20"/>
              </w:rPr>
            </w:pPr>
            <w:r w:rsidRPr="000652B0">
              <w:rPr>
                <w:rFonts w:ascii="Franklin Gothic Book" w:eastAsia="Times New Roman" w:hAnsi="Franklin Gothic Book" w:cs="Arial"/>
                <w:color w:val="074A75"/>
                <w:sz w:val="20"/>
                <w:szCs w:val="20"/>
              </w:rPr>
              <w:t>WOBURN</w:t>
            </w:r>
          </w:p>
        </w:tc>
        <w:tc>
          <w:tcPr>
            <w:tcW w:w="5248" w:type="dxa"/>
            <w:tcBorders>
              <w:top w:val="single" w:sz="18" w:space="0" w:color="074A75"/>
              <w:left w:val="single" w:sz="8" w:space="0" w:color="FFFFFF" w:themeColor="background1"/>
            </w:tcBorders>
            <w:vAlign w:val="center"/>
            <w:hideMark/>
          </w:tcPr>
          <w:p w14:paraId="3FDD59B1"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Limited English Speaking Households</w:t>
            </w:r>
          </w:p>
        </w:tc>
        <w:tc>
          <w:tcPr>
            <w:tcW w:w="1440" w:type="dxa"/>
            <w:tcBorders>
              <w:top w:val="single" w:sz="18" w:space="0" w:color="074A75"/>
            </w:tcBorders>
            <w:vAlign w:val="center"/>
            <w:hideMark/>
          </w:tcPr>
          <w:p w14:paraId="29C6A242"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4%</w:t>
            </w:r>
          </w:p>
        </w:tc>
        <w:tc>
          <w:tcPr>
            <w:tcW w:w="1170" w:type="dxa"/>
            <w:tcBorders>
              <w:top w:val="single" w:sz="18" w:space="0" w:color="074A75"/>
              <w:bottom w:val="single" w:sz="8" w:space="0" w:color="FFFFFF" w:themeColor="background1"/>
            </w:tcBorders>
            <w:vAlign w:val="center"/>
            <w:hideMark/>
          </w:tcPr>
          <w:p w14:paraId="444B9857"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4%</w:t>
            </w:r>
          </w:p>
        </w:tc>
        <w:tc>
          <w:tcPr>
            <w:tcW w:w="1170" w:type="dxa"/>
            <w:tcBorders>
              <w:top w:val="single" w:sz="18" w:space="0" w:color="074A75"/>
              <w:bottom w:val="single" w:sz="8" w:space="0" w:color="FFFFFF" w:themeColor="background1"/>
            </w:tcBorders>
            <w:shd w:val="clear" w:color="auto" w:fill="F9C2A9" w:themeFill="accent2" w:themeFillTint="66"/>
            <w:vAlign w:val="center"/>
            <w:hideMark/>
          </w:tcPr>
          <w:p w14:paraId="23201DB2"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6%</w:t>
            </w:r>
          </w:p>
        </w:tc>
      </w:tr>
      <w:tr w:rsidR="009E6CBA" w:rsidRPr="000652B0" w14:paraId="59274957" w14:textId="77777777" w:rsidTr="009E6CB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3E9BAC1A"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tcBorders>
            <w:shd w:val="clear" w:color="auto" w:fill="FFFFFF" w:themeFill="background1"/>
            <w:vAlign w:val="center"/>
            <w:hideMark/>
          </w:tcPr>
          <w:p w14:paraId="75263AE8"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Reporting as Non-White Race</w:t>
            </w:r>
          </w:p>
        </w:tc>
        <w:tc>
          <w:tcPr>
            <w:tcW w:w="1440" w:type="dxa"/>
            <w:shd w:val="clear" w:color="auto" w:fill="FFFFFF" w:themeFill="background1"/>
            <w:vAlign w:val="center"/>
            <w:hideMark/>
          </w:tcPr>
          <w:p w14:paraId="56AED1D6"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17%</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0BB4ECD1"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20%</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36EDBAE2"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22%</w:t>
            </w:r>
          </w:p>
        </w:tc>
      </w:tr>
      <w:tr w:rsidR="009E6CBA" w:rsidRPr="000652B0" w14:paraId="6A4C0F8B" w14:textId="77777777" w:rsidTr="009E6CBA">
        <w:trPr>
          <w:trHeight w:val="276"/>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shd w:val="clear" w:color="auto" w:fill="FEEDD2" w:themeFill="accent3" w:themeFillTint="33"/>
            <w:vAlign w:val="center"/>
            <w:hideMark/>
          </w:tcPr>
          <w:p w14:paraId="53357542"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tcBorders>
            <w:shd w:val="clear" w:color="auto" w:fill="FFFFFF" w:themeFill="background1"/>
            <w:vAlign w:val="center"/>
            <w:hideMark/>
          </w:tcPr>
          <w:p w14:paraId="44E038F9"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that was Unemployed (Ages 16+)</w:t>
            </w:r>
          </w:p>
        </w:tc>
        <w:tc>
          <w:tcPr>
            <w:tcW w:w="1440" w:type="dxa"/>
            <w:shd w:val="clear" w:color="auto" w:fill="FFFFFF" w:themeFill="background1"/>
            <w:vAlign w:val="center"/>
            <w:hideMark/>
          </w:tcPr>
          <w:p w14:paraId="68F673AF"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2%</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51C0E880"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3%</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70A44DDD"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40%</w:t>
            </w:r>
          </w:p>
        </w:tc>
      </w:tr>
      <w:tr w:rsidR="009E6CBA" w:rsidRPr="000652B0" w14:paraId="4087926C" w14:textId="77777777" w:rsidTr="009E6CB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02FD35DF"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tcBorders>
            <w:shd w:val="clear" w:color="auto" w:fill="FFFFFF" w:themeFill="background1"/>
            <w:vAlign w:val="center"/>
            <w:hideMark/>
          </w:tcPr>
          <w:p w14:paraId="47084E7B"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with any Medicaid/Means-Tested Public Coverage (Ages ≤64)</w:t>
            </w:r>
          </w:p>
        </w:tc>
        <w:tc>
          <w:tcPr>
            <w:tcW w:w="1440" w:type="dxa"/>
            <w:shd w:val="clear" w:color="auto" w:fill="FFFFFF" w:themeFill="background1"/>
            <w:vAlign w:val="center"/>
            <w:hideMark/>
          </w:tcPr>
          <w:p w14:paraId="24B78D71"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10%</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30BA00D8"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13%</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6ABF1B4F"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21%</w:t>
            </w:r>
          </w:p>
        </w:tc>
      </w:tr>
      <w:tr w:rsidR="009E6CBA" w:rsidRPr="000652B0" w14:paraId="73CDC3CB" w14:textId="77777777" w:rsidTr="009E6CBA">
        <w:trPr>
          <w:trHeight w:val="281"/>
        </w:trPr>
        <w:tc>
          <w:tcPr>
            <w:cnfStyle w:val="001000000000" w:firstRow="0" w:lastRow="0" w:firstColumn="1" w:lastColumn="0" w:oddVBand="0" w:evenVBand="0" w:oddHBand="0" w:evenHBand="0" w:firstRowFirstColumn="0" w:firstRowLastColumn="0" w:lastRowFirstColumn="0" w:lastRowLastColumn="0"/>
            <w:tcW w:w="512" w:type="dxa"/>
            <w:vMerge/>
            <w:tcBorders>
              <w:bottom w:val="single" w:sz="18" w:space="0" w:color="074A75"/>
              <w:right w:val="single" w:sz="8" w:space="0" w:color="FFFFFF" w:themeColor="background1"/>
            </w:tcBorders>
            <w:shd w:val="clear" w:color="auto" w:fill="FEEDD2" w:themeFill="accent3" w:themeFillTint="33"/>
            <w:vAlign w:val="center"/>
            <w:hideMark/>
          </w:tcPr>
          <w:p w14:paraId="2C090237" w14:textId="77777777" w:rsidR="009E6CBA" w:rsidRPr="000652B0" w:rsidRDefault="009E6CBA" w:rsidP="00E33B00">
            <w:pPr>
              <w:jc w:val="center"/>
              <w:rPr>
                <w:rFonts w:ascii="Franklin Gothic Book" w:eastAsia="Times New Roman" w:hAnsi="Franklin Gothic Book" w:cs="Arial"/>
                <w:color w:val="074A75"/>
                <w:sz w:val="20"/>
                <w:szCs w:val="20"/>
              </w:rPr>
            </w:pPr>
          </w:p>
        </w:tc>
        <w:tc>
          <w:tcPr>
            <w:tcW w:w="5248" w:type="dxa"/>
            <w:tcBorders>
              <w:left w:val="single" w:sz="8" w:space="0" w:color="FFFFFF" w:themeColor="background1"/>
              <w:bottom w:val="single" w:sz="18" w:space="0" w:color="074A75"/>
            </w:tcBorders>
            <w:vAlign w:val="center"/>
            <w:hideMark/>
          </w:tcPr>
          <w:p w14:paraId="70A6CEAB"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with Income to Poverty Ratio &lt;1.24 (%)</w:t>
            </w:r>
          </w:p>
        </w:tc>
        <w:tc>
          <w:tcPr>
            <w:tcW w:w="1440" w:type="dxa"/>
            <w:tcBorders>
              <w:bottom w:val="single" w:sz="18" w:space="0" w:color="074A75"/>
            </w:tcBorders>
            <w:vAlign w:val="center"/>
            <w:hideMark/>
          </w:tcPr>
          <w:p w14:paraId="4A537C64"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8%</w:t>
            </w:r>
          </w:p>
        </w:tc>
        <w:tc>
          <w:tcPr>
            <w:tcW w:w="1170" w:type="dxa"/>
            <w:tcBorders>
              <w:top w:val="single" w:sz="8" w:space="0" w:color="FFFFFF" w:themeColor="background1"/>
              <w:bottom w:val="single" w:sz="18" w:space="0" w:color="074A75"/>
            </w:tcBorders>
            <w:shd w:val="clear" w:color="auto" w:fill="F9C2A9" w:themeFill="accent2" w:themeFillTint="66"/>
            <w:vAlign w:val="center"/>
            <w:hideMark/>
          </w:tcPr>
          <w:p w14:paraId="7FD7F558"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9%</w:t>
            </w:r>
          </w:p>
        </w:tc>
        <w:tc>
          <w:tcPr>
            <w:tcW w:w="1170" w:type="dxa"/>
            <w:tcBorders>
              <w:top w:val="single" w:sz="8" w:space="0" w:color="FFFFFF" w:themeColor="background1"/>
              <w:bottom w:val="single" w:sz="18" w:space="0" w:color="074A75"/>
            </w:tcBorders>
            <w:shd w:val="clear" w:color="auto" w:fill="F9C2A9" w:themeFill="accent2" w:themeFillTint="66"/>
            <w:vAlign w:val="center"/>
            <w:hideMark/>
          </w:tcPr>
          <w:p w14:paraId="1AEC3C30"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14%</w:t>
            </w:r>
          </w:p>
        </w:tc>
      </w:tr>
      <w:tr w:rsidR="009E6CBA" w:rsidRPr="000652B0" w14:paraId="31E844C2" w14:textId="77777777" w:rsidTr="009E6CB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12" w:type="dxa"/>
            <w:vMerge w:val="restart"/>
            <w:tcBorders>
              <w:top w:val="single" w:sz="18" w:space="0" w:color="074A75"/>
              <w:right w:val="single" w:sz="8" w:space="0" w:color="FFFFFF" w:themeColor="background1"/>
            </w:tcBorders>
            <w:textDirection w:val="btLr"/>
            <w:vAlign w:val="center"/>
            <w:hideMark/>
          </w:tcPr>
          <w:p w14:paraId="37DD3217" w14:textId="77777777" w:rsidR="009E6CBA" w:rsidRPr="000652B0" w:rsidRDefault="009E6CBA" w:rsidP="00E33B00">
            <w:pPr>
              <w:jc w:val="center"/>
              <w:rPr>
                <w:rFonts w:ascii="Franklin Gothic Book" w:eastAsia="Times New Roman" w:hAnsi="Franklin Gothic Book" w:cs="Arial"/>
                <w:color w:val="074A75"/>
                <w:sz w:val="20"/>
                <w:szCs w:val="20"/>
              </w:rPr>
            </w:pPr>
            <w:r w:rsidRPr="000652B0">
              <w:rPr>
                <w:rFonts w:ascii="Franklin Gothic Book" w:eastAsia="Times New Roman" w:hAnsi="Franklin Gothic Book" w:cs="Arial"/>
                <w:color w:val="074A75"/>
                <w:sz w:val="20"/>
                <w:szCs w:val="20"/>
              </w:rPr>
              <w:t>WESTBOROUGH</w:t>
            </w:r>
          </w:p>
        </w:tc>
        <w:tc>
          <w:tcPr>
            <w:tcW w:w="5248" w:type="dxa"/>
            <w:tcBorders>
              <w:top w:val="single" w:sz="18" w:space="0" w:color="074A75"/>
              <w:left w:val="single" w:sz="8" w:space="0" w:color="FFFFFF" w:themeColor="background1"/>
            </w:tcBorders>
            <w:shd w:val="clear" w:color="auto" w:fill="FFFFFF" w:themeFill="background1"/>
            <w:vAlign w:val="center"/>
            <w:hideMark/>
          </w:tcPr>
          <w:p w14:paraId="3BD77333"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Limited English Speaking Households</w:t>
            </w:r>
          </w:p>
        </w:tc>
        <w:tc>
          <w:tcPr>
            <w:tcW w:w="1440" w:type="dxa"/>
            <w:tcBorders>
              <w:top w:val="single" w:sz="18" w:space="0" w:color="074A75"/>
            </w:tcBorders>
            <w:shd w:val="clear" w:color="auto" w:fill="FFFFFF" w:themeFill="background1"/>
            <w:vAlign w:val="center"/>
            <w:hideMark/>
          </w:tcPr>
          <w:p w14:paraId="536B3302"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3%</w:t>
            </w:r>
          </w:p>
        </w:tc>
        <w:tc>
          <w:tcPr>
            <w:tcW w:w="1170" w:type="dxa"/>
            <w:tcBorders>
              <w:top w:val="single" w:sz="18" w:space="0" w:color="074A75"/>
              <w:bottom w:val="single" w:sz="8" w:space="0" w:color="FFFFFF" w:themeColor="background1"/>
            </w:tcBorders>
            <w:shd w:val="clear" w:color="auto" w:fill="F9C2A9" w:themeFill="accent2" w:themeFillTint="66"/>
            <w:vAlign w:val="center"/>
            <w:hideMark/>
          </w:tcPr>
          <w:p w14:paraId="5290B881"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5%</w:t>
            </w:r>
          </w:p>
        </w:tc>
        <w:tc>
          <w:tcPr>
            <w:tcW w:w="1170" w:type="dxa"/>
            <w:tcBorders>
              <w:top w:val="single" w:sz="18" w:space="0" w:color="074A75"/>
              <w:bottom w:val="single" w:sz="8" w:space="0" w:color="FFFFFF" w:themeColor="background1"/>
            </w:tcBorders>
            <w:shd w:val="clear" w:color="auto" w:fill="F9C2A9" w:themeFill="accent2" w:themeFillTint="66"/>
            <w:vAlign w:val="center"/>
            <w:hideMark/>
          </w:tcPr>
          <w:p w14:paraId="15031278"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6%</w:t>
            </w:r>
          </w:p>
        </w:tc>
      </w:tr>
      <w:tr w:rsidR="009E6CBA" w:rsidRPr="000652B0" w14:paraId="38DE5319" w14:textId="77777777" w:rsidTr="009E6CBA">
        <w:trPr>
          <w:trHeight w:val="281"/>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36A2A509" w14:textId="77777777" w:rsidR="009E6CBA" w:rsidRPr="000652B0" w:rsidRDefault="009E6CBA" w:rsidP="00E33B00">
            <w:pPr>
              <w:jc w:val="center"/>
              <w:rPr>
                <w:rFonts w:ascii="Franklin Gothic Book" w:eastAsia="Times New Roman" w:hAnsi="Franklin Gothic Book" w:cs="Arial"/>
                <w:color w:val="000000"/>
                <w:sz w:val="20"/>
                <w:szCs w:val="20"/>
              </w:rPr>
            </w:pPr>
          </w:p>
        </w:tc>
        <w:tc>
          <w:tcPr>
            <w:tcW w:w="5248" w:type="dxa"/>
            <w:tcBorders>
              <w:left w:val="single" w:sz="8" w:space="0" w:color="FFFFFF" w:themeColor="background1"/>
            </w:tcBorders>
            <w:shd w:val="clear" w:color="auto" w:fill="FFFFFF" w:themeFill="background1"/>
            <w:vAlign w:val="center"/>
            <w:hideMark/>
          </w:tcPr>
          <w:p w14:paraId="18A22CF4"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Reporting as Non-White Race</w:t>
            </w:r>
          </w:p>
        </w:tc>
        <w:tc>
          <w:tcPr>
            <w:tcW w:w="1440" w:type="dxa"/>
            <w:shd w:val="clear" w:color="auto" w:fill="FFFFFF" w:themeFill="background1"/>
            <w:vAlign w:val="center"/>
            <w:hideMark/>
          </w:tcPr>
          <w:p w14:paraId="20A34896"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26%</w:t>
            </w:r>
          </w:p>
        </w:tc>
        <w:tc>
          <w:tcPr>
            <w:tcW w:w="1170" w:type="dxa"/>
            <w:tcBorders>
              <w:top w:val="single" w:sz="8" w:space="0" w:color="FFFFFF" w:themeColor="background1"/>
              <w:bottom w:val="single" w:sz="8" w:space="0" w:color="FFFFFF" w:themeColor="background1"/>
            </w:tcBorders>
            <w:shd w:val="clear" w:color="auto" w:fill="E2E8F1" w:themeFill="background2" w:themeFillTint="33"/>
            <w:vAlign w:val="center"/>
            <w:hideMark/>
          </w:tcPr>
          <w:p w14:paraId="332461F5"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94975" w:themeColor="accent1"/>
                <w:sz w:val="20"/>
                <w:szCs w:val="20"/>
              </w:rPr>
            </w:pPr>
            <w:r w:rsidRPr="000652B0">
              <w:rPr>
                <w:rFonts w:ascii="Franklin Gothic Book" w:eastAsia="Times New Roman" w:hAnsi="Franklin Gothic Book" w:cs="Arial"/>
                <w:color w:val="094975" w:themeColor="accent1"/>
                <w:sz w:val="20"/>
                <w:szCs w:val="20"/>
              </w:rPr>
              <w:t>16%</w:t>
            </w:r>
          </w:p>
        </w:tc>
        <w:tc>
          <w:tcPr>
            <w:tcW w:w="1170" w:type="dxa"/>
            <w:tcBorders>
              <w:top w:val="single" w:sz="8" w:space="0" w:color="FFFFFF" w:themeColor="background1"/>
              <w:bottom w:val="single" w:sz="8" w:space="0" w:color="FFFFFF" w:themeColor="background1"/>
            </w:tcBorders>
            <w:shd w:val="clear" w:color="auto" w:fill="E2E8F1" w:themeFill="background2" w:themeFillTint="33"/>
            <w:vAlign w:val="center"/>
            <w:hideMark/>
          </w:tcPr>
          <w:p w14:paraId="15CEC814"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94975" w:themeColor="accent1"/>
                <w:sz w:val="20"/>
                <w:szCs w:val="20"/>
              </w:rPr>
            </w:pPr>
            <w:r w:rsidRPr="000652B0">
              <w:rPr>
                <w:rFonts w:ascii="Franklin Gothic Book" w:eastAsia="Times New Roman" w:hAnsi="Franklin Gothic Book" w:cs="Arial"/>
                <w:color w:val="094975" w:themeColor="accent1"/>
                <w:sz w:val="20"/>
                <w:szCs w:val="20"/>
              </w:rPr>
              <w:t>22%</w:t>
            </w:r>
          </w:p>
        </w:tc>
      </w:tr>
      <w:tr w:rsidR="009E6CBA" w:rsidRPr="000652B0" w14:paraId="6C2437AF" w14:textId="77777777" w:rsidTr="009E6CB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4426C9E3" w14:textId="77777777" w:rsidR="009E6CBA" w:rsidRPr="000652B0" w:rsidRDefault="009E6CBA" w:rsidP="00E33B00">
            <w:pPr>
              <w:jc w:val="center"/>
              <w:rPr>
                <w:rFonts w:ascii="Franklin Gothic Book" w:eastAsia="Times New Roman" w:hAnsi="Franklin Gothic Book" w:cs="Arial"/>
                <w:color w:val="000000"/>
                <w:sz w:val="20"/>
                <w:szCs w:val="20"/>
              </w:rPr>
            </w:pPr>
          </w:p>
        </w:tc>
        <w:tc>
          <w:tcPr>
            <w:tcW w:w="5248" w:type="dxa"/>
            <w:tcBorders>
              <w:left w:val="single" w:sz="8" w:space="0" w:color="FFFFFF" w:themeColor="background1"/>
            </w:tcBorders>
            <w:shd w:val="clear" w:color="auto" w:fill="FFFFFF" w:themeFill="background1"/>
            <w:vAlign w:val="center"/>
            <w:hideMark/>
          </w:tcPr>
          <w:p w14:paraId="1F1BE135"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that was Unemployed (Ages 16+)</w:t>
            </w:r>
          </w:p>
        </w:tc>
        <w:tc>
          <w:tcPr>
            <w:tcW w:w="1440" w:type="dxa"/>
            <w:shd w:val="clear" w:color="auto" w:fill="FFFFFF" w:themeFill="background1"/>
            <w:vAlign w:val="center"/>
            <w:hideMark/>
          </w:tcPr>
          <w:p w14:paraId="0B9B7CA2"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2%</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6709062D"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4%</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603ED672"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4%</w:t>
            </w:r>
          </w:p>
        </w:tc>
      </w:tr>
      <w:tr w:rsidR="009E6CBA" w:rsidRPr="000652B0" w14:paraId="068BB388" w14:textId="77777777" w:rsidTr="009E6CBA">
        <w:trPr>
          <w:trHeight w:val="519"/>
        </w:trPr>
        <w:tc>
          <w:tcPr>
            <w:cnfStyle w:val="001000000000" w:firstRow="0" w:lastRow="0" w:firstColumn="1" w:lastColumn="0" w:oddVBand="0" w:evenVBand="0" w:oddHBand="0" w:evenHBand="0" w:firstRowFirstColumn="0" w:firstRowLastColumn="0" w:lastRowFirstColumn="0" w:lastRowLastColumn="0"/>
            <w:tcW w:w="512" w:type="dxa"/>
            <w:vMerge/>
            <w:tcBorders>
              <w:right w:val="single" w:sz="8" w:space="0" w:color="FFFFFF" w:themeColor="background1"/>
            </w:tcBorders>
            <w:vAlign w:val="center"/>
            <w:hideMark/>
          </w:tcPr>
          <w:p w14:paraId="06EF5AD7" w14:textId="77777777" w:rsidR="009E6CBA" w:rsidRPr="000652B0" w:rsidRDefault="009E6CBA" w:rsidP="00E33B00">
            <w:pPr>
              <w:jc w:val="center"/>
              <w:rPr>
                <w:rFonts w:ascii="Franklin Gothic Book" w:eastAsia="Times New Roman" w:hAnsi="Franklin Gothic Book" w:cs="Arial"/>
                <w:color w:val="000000"/>
                <w:sz w:val="20"/>
                <w:szCs w:val="20"/>
              </w:rPr>
            </w:pPr>
          </w:p>
        </w:tc>
        <w:tc>
          <w:tcPr>
            <w:tcW w:w="5248" w:type="dxa"/>
            <w:tcBorders>
              <w:left w:val="single" w:sz="8" w:space="0" w:color="FFFFFF" w:themeColor="background1"/>
            </w:tcBorders>
            <w:shd w:val="clear" w:color="auto" w:fill="FFFFFF" w:themeFill="background1"/>
            <w:vAlign w:val="center"/>
            <w:hideMark/>
          </w:tcPr>
          <w:p w14:paraId="277C968A" w14:textId="77777777" w:rsidR="009E6CBA" w:rsidRPr="000652B0" w:rsidRDefault="009E6CBA" w:rsidP="00E33B00">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with any Medicaid/Means-Tested Public Coverage (Ages ≤64)</w:t>
            </w:r>
          </w:p>
        </w:tc>
        <w:tc>
          <w:tcPr>
            <w:tcW w:w="1440" w:type="dxa"/>
            <w:shd w:val="clear" w:color="auto" w:fill="FFFFFF" w:themeFill="background1"/>
            <w:vAlign w:val="center"/>
            <w:hideMark/>
          </w:tcPr>
          <w:p w14:paraId="71A7FAF4" w14:textId="77777777" w:rsidR="009E6CBA" w:rsidRPr="000652B0"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7%</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54536624"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21%</w:t>
            </w:r>
          </w:p>
        </w:tc>
        <w:tc>
          <w:tcPr>
            <w:tcW w:w="1170" w:type="dxa"/>
            <w:tcBorders>
              <w:top w:val="single" w:sz="8" w:space="0" w:color="FFFFFF" w:themeColor="background1"/>
              <w:bottom w:val="single" w:sz="8" w:space="0" w:color="FFFFFF" w:themeColor="background1"/>
            </w:tcBorders>
            <w:shd w:val="clear" w:color="auto" w:fill="F9C2A9" w:themeFill="accent2" w:themeFillTint="66"/>
            <w:vAlign w:val="center"/>
            <w:hideMark/>
          </w:tcPr>
          <w:p w14:paraId="1E824487" w14:textId="77777777" w:rsidR="009E6CBA" w:rsidRPr="00A91CD3" w:rsidRDefault="009E6CBA" w:rsidP="00E33B00">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20%</w:t>
            </w:r>
          </w:p>
        </w:tc>
      </w:tr>
      <w:tr w:rsidR="009E6CBA" w:rsidRPr="000652B0" w14:paraId="52015A4B" w14:textId="77777777" w:rsidTr="009E6CB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 w:type="dxa"/>
            <w:vMerge/>
            <w:tcBorders>
              <w:bottom w:val="single" w:sz="18" w:space="0" w:color="074A75"/>
              <w:right w:val="single" w:sz="8" w:space="0" w:color="FFFFFF" w:themeColor="background1"/>
            </w:tcBorders>
            <w:vAlign w:val="center"/>
            <w:hideMark/>
          </w:tcPr>
          <w:p w14:paraId="38731CA2" w14:textId="77777777" w:rsidR="009E6CBA" w:rsidRPr="000652B0" w:rsidRDefault="009E6CBA" w:rsidP="00E33B00">
            <w:pPr>
              <w:jc w:val="center"/>
              <w:rPr>
                <w:rFonts w:ascii="Franklin Gothic Book" w:eastAsia="Times New Roman" w:hAnsi="Franklin Gothic Book" w:cs="Arial"/>
                <w:color w:val="000000"/>
                <w:sz w:val="20"/>
                <w:szCs w:val="20"/>
              </w:rPr>
            </w:pPr>
          </w:p>
        </w:tc>
        <w:tc>
          <w:tcPr>
            <w:tcW w:w="5248" w:type="dxa"/>
            <w:tcBorders>
              <w:left w:val="single" w:sz="8" w:space="0" w:color="FFFFFF" w:themeColor="background1"/>
              <w:bottom w:val="single" w:sz="18" w:space="0" w:color="074A75"/>
            </w:tcBorders>
            <w:shd w:val="clear" w:color="auto" w:fill="FFFFFF" w:themeFill="background1"/>
            <w:vAlign w:val="center"/>
            <w:hideMark/>
          </w:tcPr>
          <w:p w14:paraId="331E3D7B" w14:textId="77777777" w:rsidR="009E6CBA" w:rsidRPr="000652B0" w:rsidRDefault="009E6CBA" w:rsidP="00E33B00">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Population with Income to Poverty Ratio &lt;1.24 (%)</w:t>
            </w:r>
          </w:p>
        </w:tc>
        <w:tc>
          <w:tcPr>
            <w:tcW w:w="1440" w:type="dxa"/>
            <w:tcBorders>
              <w:bottom w:val="single" w:sz="18" w:space="0" w:color="074A75"/>
            </w:tcBorders>
            <w:shd w:val="clear" w:color="auto" w:fill="FFFFFF" w:themeFill="background1"/>
            <w:vAlign w:val="center"/>
            <w:hideMark/>
          </w:tcPr>
          <w:p w14:paraId="2A296E3A" w14:textId="77777777" w:rsidR="009E6CBA" w:rsidRPr="000652B0"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000000"/>
                <w:sz w:val="20"/>
                <w:szCs w:val="20"/>
              </w:rPr>
            </w:pPr>
            <w:r w:rsidRPr="000652B0">
              <w:rPr>
                <w:rFonts w:ascii="Franklin Gothic Book" w:eastAsia="Times New Roman" w:hAnsi="Franklin Gothic Book" w:cs="Arial"/>
                <w:color w:val="000000"/>
                <w:sz w:val="20"/>
                <w:szCs w:val="20"/>
              </w:rPr>
              <w:t>6%</w:t>
            </w:r>
          </w:p>
        </w:tc>
        <w:tc>
          <w:tcPr>
            <w:tcW w:w="1170" w:type="dxa"/>
            <w:tcBorders>
              <w:top w:val="single" w:sz="8" w:space="0" w:color="FFFFFF" w:themeColor="background1"/>
              <w:bottom w:val="single" w:sz="18" w:space="0" w:color="074A75"/>
            </w:tcBorders>
            <w:shd w:val="clear" w:color="auto" w:fill="F9C2A9" w:themeFill="accent2" w:themeFillTint="66"/>
            <w:vAlign w:val="center"/>
            <w:hideMark/>
          </w:tcPr>
          <w:p w14:paraId="1276790C"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14%</w:t>
            </w:r>
          </w:p>
        </w:tc>
        <w:tc>
          <w:tcPr>
            <w:tcW w:w="1170" w:type="dxa"/>
            <w:tcBorders>
              <w:top w:val="single" w:sz="8" w:space="0" w:color="FFFFFF" w:themeColor="background1"/>
              <w:bottom w:val="single" w:sz="18" w:space="0" w:color="074A75"/>
            </w:tcBorders>
            <w:shd w:val="clear" w:color="auto" w:fill="F9C2A9" w:themeFill="accent2" w:themeFillTint="66"/>
            <w:vAlign w:val="center"/>
            <w:hideMark/>
          </w:tcPr>
          <w:p w14:paraId="660E69E5" w14:textId="77777777" w:rsidR="009E6CBA" w:rsidRPr="00A91CD3" w:rsidRDefault="009E6CBA" w:rsidP="00E33B00">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Arial"/>
                <w:color w:val="C8460C" w:themeColor="accent2" w:themeShade="BF"/>
                <w:sz w:val="20"/>
                <w:szCs w:val="20"/>
              </w:rPr>
            </w:pPr>
            <w:r w:rsidRPr="00A91CD3">
              <w:rPr>
                <w:rFonts w:ascii="Franklin Gothic Book" w:eastAsia="Times New Roman" w:hAnsi="Franklin Gothic Book" w:cs="Arial"/>
                <w:color w:val="C8460C" w:themeColor="accent2" w:themeShade="BF"/>
                <w:sz w:val="20"/>
                <w:szCs w:val="20"/>
              </w:rPr>
              <w:t>14%</w:t>
            </w:r>
          </w:p>
        </w:tc>
      </w:tr>
    </w:tbl>
    <w:p w14:paraId="0C969C87" w14:textId="4F96D1F5" w:rsidR="00FA122B" w:rsidRPr="009C0C39" w:rsidRDefault="00FA122B" w:rsidP="00FA122B">
      <w:pPr>
        <w:spacing w:before="240"/>
        <w:rPr>
          <w:rFonts w:ascii="Franklin Gothic Book" w:hAnsi="Franklin Gothic Book"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Caption w:val="Social Determinant of Health Indicators"/>
        <w:tblDescription w:val="Social Determinant of Health Indicators&#10;Higher % Represents Greater SDOH Burden&#10;Statewide or regional indicator higher than immediate area near site &#10;Statewide or regional indicator lower than immediate area near site&#10;"/>
      </w:tblPr>
      <w:tblGrid>
        <w:gridCol w:w="5670"/>
      </w:tblGrid>
      <w:tr w:rsidR="009E6CBA" w:rsidRPr="000652B0" w14:paraId="55CB89D3" w14:textId="77777777" w:rsidTr="006B6365">
        <w:trPr>
          <w:tblHeader/>
        </w:trPr>
        <w:tc>
          <w:tcPr>
            <w:tcW w:w="5670" w:type="dxa"/>
          </w:tcPr>
          <w:p w14:paraId="29379E95" w14:textId="77777777" w:rsidR="009E6CBA" w:rsidRPr="000652B0" w:rsidRDefault="009E6CBA" w:rsidP="00E33B00">
            <w:pPr>
              <w:rPr>
                <w:rFonts w:ascii="Franklin Gothic Book" w:hAnsi="Franklin Gothic Book" w:cs="Arial"/>
                <w:i/>
                <w:iCs/>
                <w:sz w:val="18"/>
                <w:szCs w:val="18"/>
              </w:rPr>
            </w:pPr>
            <w:r w:rsidRPr="000652B0">
              <w:rPr>
                <w:rFonts w:ascii="Franklin Gothic Book" w:hAnsi="Franklin Gothic Book" w:cs="Arial"/>
                <w:sz w:val="18"/>
                <w:szCs w:val="18"/>
                <w:u w:val="single"/>
              </w:rPr>
              <w:t>Social Determinant of Health Indicators</w:t>
            </w:r>
          </w:p>
        </w:tc>
      </w:tr>
      <w:tr w:rsidR="009E6CBA" w:rsidRPr="000652B0" w14:paraId="6C7537A8" w14:textId="77777777" w:rsidTr="00E33B00">
        <w:tc>
          <w:tcPr>
            <w:tcW w:w="5670" w:type="dxa"/>
          </w:tcPr>
          <w:p w14:paraId="7C734043" w14:textId="77777777" w:rsidR="009E6CBA" w:rsidRPr="000652B0" w:rsidRDefault="009E6CBA" w:rsidP="00E33B00">
            <w:pPr>
              <w:rPr>
                <w:rFonts w:ascii="Franklin Gothic Book" w:hAnsi="Franklin Gothic Book" w:cs="Arial"/>
                <w:i/>
                <w:iCs/>
                <w:sz w:val="18"/>
                <w:szCs w:val="18"/>
              </w:rPr>
            </w:pPr>
            <w:r w:rsidRPr="000652B0">
              <w:rPr>
                <w:rFonts w:ascii="Franklin Gothic Book" w:hAnsi="Franklin Gothic Book" w:cs="Arial"/>
                <w:i/>
                <w:iCs/>
                <w:sz w:val="18"/>
                <w:szCs w:val="18"/>
              </w:rPr>
              <w:t>Higher % Represents Greater SDOH Burden</w:t>
            </w:r>
          </w:p>
        </w:tc>
      </w:tr>
      <w:tr w:rsidR="009E6CBA" w:rsidRPr="000652B0" w14:paraId="5D5C5682" w14:textId="77777777" w:rsidTr="00E33B00">
        <w:tc>
          <w:tcPr>
            <w:tcW w:w="5670" w:type="dxa"/>
            <w:tcBorders>
              <w:bottom w:val="single" w:sz="18" w:space="0" w:color="FFFFFF" w:themeColor="background1"/>
            </w:tcBorders>
            <w:shd w:val="clear" w:color="auto" w:fill="F9C2A9" w:themeFill="accent2" w:themeFillTint="66"/>
          </w:tcPr>
          <w:p w14:paraId="67E528D5" w14:textId="77777777" w:rsidR="009E6CBA" w:rsidRPr="00551306" w:rsidRDefault="009E6CBA" w:rsidP="00E33B00">
            <w:pPr>
              <w:rPr>
                <w:rFonts w:ascii="Franklin Gothic Book" w:hAnsi="Franklin Gothic Book" w:cs="Arial"/>
                <w:i/>
                <w:iCs/>
                <w:color w:val="C8460C" w:themeColor="accent2" w:themeShade="BF"/>
                <w:sz w:val="18"/>
                <w:szCs w:val="18"/>
              </w:rPr>
            </w:pPr>
            <w:r w:rsidRPr="00551306">
              <w:rPr>
                <w:rFonts w:ascii="Franklin Gothic Book" w:hAnsi="Franklin Gothic Book" w:cs="Arial"/>
                <w:i/>
                <w:iCs/>
                <w:color w:val="C8460C" w:themeColor="accent2" w:themeShade="BF"/>
                <w:sz w:val="18"/>
                <w:szCs w:val="18"/>
              </w:rPr>
              <w:t xml:space="preserve">Statewide or regional indicator higher than immediate area near site </w:t>
            </w:r>
          </w:p>
        </w:tc>
      </w:tr>
      <w:tr w:rsidR="009E6CBA" w:rsidRPr="000652B0" w14:paraId="6732D048" w14:textId="77777777" w:rsidTr="00E33B00">
        <w:tc>
          <w:tcPr>
            <w:tcW w:w="5670" w:type="dxa"/>
            <w:tcBorders>
              <w:top w:val="single" w:sz="18" w:space="0" w:color="FFFFFF" w:themeColor="background1"/>
            </w:tcBorders>
            <w:shd w:val="clear" w:color="auto" w:fill="E2E8F1" w:themeFill="background2" w:themeFillTint="33"/>
          </w:tcPr>
          <w:p w14:paraId="3A6F9EFB" w14:textId="77777777" w:rsidR="009E6CBA" w:rsidRPr="000652B0" w:rsidRDefault="009E6CBA" w:rsidP="00E33B00">
            <w:pPr>
              <w:rPr>
                <w:rFonts w:ascii="Franklin Gothic Book" w:hAnsi="Franklin Gothic Book" w:cs="Arial"/>
                <w:i/>
                <w:iCs/>
                <w:color w:val="094975" w:themeColor="accent1"/>
                <w:sz w:val="18"/>
                <w:szCs w:val="18"/>
              </w:rPr>
            </w:pPr>
            <w:r w:rsidRPr="000652B0">
              <w:rPr>
                <w:rFonts w:ascii="Franklin Gothic Book" w:hAnsi="Franklin Gothic Book" w:cs="Arial"/>
                <w:i/>
                <w:iCs/>
                <w:color w:val="094975" w:themeColor="accent1"/>
                <w:sz w:val="18"/>
                <w:szCs w:val="18"/>
              </w:rPr>
              <w:t>Statewide or regional indicator lower than immediate area near site</w:t>
            </w:r>
          </w:p>
        </w:tc>
      </w:tr>
    </w:tbl>
    <w:p w14:paraId="08FFAB9B" w14:textId="5FE18C72" w:rsidR="00FA122B" w:rsidRPr="009C0C39" w:rsidRDefault="00FA122B" w:rsidP="00FA122B">
      <w:pPr>
        <w:spacing w:before="240"/>
        <w:rPr>
          <w:rFonts w:ascii="Franklin Gothic Book" w:hAnsi="Franklin Gothic Book" w:cs="Times New Roman"/>
          <w:sz w:val="18"/>
          <w:szCs w:val="18"/>
        </w:rPr>
      </w:pPr>
      <w:r w:rsidRPr="009C0C39">
        <w:rPr>
          <w:rFonts w:ascii="Franklin Gothic Book" w:hAnsi="Franklin Gothic Book" w:cs="Times New Roman"/>
          <w:sz w:val="18"/>
          <w:szCs w:val="18"/>
        </w:rPr>
        <w:t xml:space="preserve">Source: HPC analysis of </w:t>
      </w:r>
      <w:r w:rsidRPr="009C0C39">
        <w:rPr>
          <w:rFonts w:ascii="Franklin Gothic Book" w:hAnsi="Franklin Gothic Book" w:cs="Times New Roman"/>
          <w:smallCaps/>
          <w:sz w:val="18"/>
          <w:szCs w:val="18"/>
        </w:rPr>
        <w:t>Agency for Healthcare Research and Quality</w:t>
      </w:r>
      <w:r w:rsidR="004C5D6A" w:rsidRPr="009C0C39">
        <w:rPr>
          <w:rFonts w:ascii="Franklin Gothic Book" w:hAnsi="Franklin Gothic Book" w:cs="Times New Roman"/>
          <w:sz w:val="18"/>
          <w:szCs w:val="18"/>
        </w:rPr>
        <w:t>,</w:t>
      </w:r>
      <w:r w:rsidRPr="009C0C39">
        <w:rPr>
          <w:rFonts w:ascii="Franklin Gothic Book" w:hAnsi="Franklin Gothic Book" w:cs="Times New Roman"/>
          <w:sz w:val="18"/>
          <w:szCs w:val="18"/>
        </w:rPr>
        <w:t xml:space="preserve"> </w:t>
      </w:r>
      <w:r w:rsidRPr="009C0C39">
        <w:rPr>
          <w:rFonts w:ascii="Franklin Gothic Book" w:hAnsi="Franklin Gothic Book" w:cs="Times New Roman"/>
          <w:smallCaps/>
          <w:sz w:val="18"/>
          <w:szCs w:val="18"/>
        </w:rPr>
        <w:t>Social Determinants of Health Database (Beta Version)</w:t>
      </w:r>
      <w:r w:rsidR="004C5D6A" w:rsidRPr="009C0C39">
        <w:rPr>
          <w:rFonts w:ascii="Franklin Gothic Book" w:hAnsi="Franklin Gothic Book" w:cs="Times New Roman"/>
          <w:sz w:val="18"/>
          <w:szCs w:val="18"/>
        </w:rPr>
        <w:t xml:space="preserve">, </w:t>
      </w:r>
      <w:r w:rsidR="004C5D6A" w:rsidRPr="009C0C39">
        <w:rPr>
          <w:rFonts w:ascii="Franklin Gothic Book" w:hAnsi="Franklin Gothic Book" w:cs="Times New Roman"/>
          <w:i/>
          <w:iCs/>
          <w:sz w:val="18"/>
          <w:szCs w:val="18"/>
        </w:rPr>
        <w:t>available</w:t>
      </w:r>
      <w:r w:rsidRPr="009C0C39">
        <w:rPr>
          <w:rFonts w:ascii="Franklin Gothic Book" w:hAnsi="Franklin Gothic Book" w:cs="Times New Roman"/>
          <w:sz w:val="18"/>
          <w:szCs w:val="18"/>
        </w:rPr>
        <w:t xml:space="preserve"> </w:t>
      </w:r>
      <w:hyperlink r:id="rId29" w:history="1">
        <w:r w:rsidR="006075CB">
          <w:rPr>
            <w:rStyle w:val="Hyperlink"/>
            <w:rFonts w:ascii="Franklin Gothic Book" w:hAnsi="Franklin Gothic Book" w:cs="Times New Roman"/>
            <w:sz w:val="18"/>
            <w:szCs w:val="18"/>
          </w:rPr>
          <w:t>at https://www.ahrq.gov/sdoh/data-analytics/sdoh-data.html</w:t>
        </w:r>
      </w:hyperlink>
      <w:r w:rsidR="00866D83" w:rsidRPr="009C0C39">
        <w:rPr>
          <w:rFonts w:ascii="Franklin Gothic Book" w:hAnsi="Franklin Gothic Book" w:cs="Times New Roman"/>
          <w:sz w:val="18"/>
          <w:szCs w:val="18"/>
        </w:rPr>
        <w:t xml:space="preserve">. </w:t>
      </w:r>
      <w:r w:rsidRPr="009C0C39">
        <w:rPr>
          <w:rFonts w:ascii="Franklin Gothic Book" w:hAnsi="Franklin Gothic Book" w:cs="Times New Roman"/>
          <w:sz w:val="18"/>
          <w:szCs w:val="18"/>
        </w:rPr>
        <w:t>Measures assessed included Sum of Households with Limited English Speaking, Sum of Population Reporting as Non-White Race, Sum of Population that was Unemployed (Age 16 Years +), Sum of Population with Any Medicaid/Means-Tested Public Coverage (Ages 64 and Under) and Sum of Population with Income to Poverty Ration &lt; 1.24. We compared the communities within a 10-minute drive of the Westwood site to the HPC’s Norwood/Attleboro region; communities within a 10-minute drive of Woburn to the Merrimack/Middlesex region; and communities within a 10-minute drive of the Westborough site to the HPC’s Central MA region.</w:t>
      </w:r>
      <w:r w:rsidR="007C1978" w:rsidRPr="009C0C39">
        <w:rPr>
          <w:rFonts w:ascii="Franklin Gothic Book" w:hAnsi="Franklin Gothic Book" w:cs="Times New Roman"/>
          <w:sz w:val="22"/>
          <w:szCs w:val="22"/>
        </w:rPr>
        <w:t xml:space="preserve"> </w:t>
      </w:r>
      <w:r w:rsidR="007C1978" w:rsidRPr="009C0C39">
        <w:rPr>
          <w:rFonts w:ascii="Franklin Gothic Book" w:hAnsi="Franklin Gothic Book" w:cs="Times New Roman"/>
          <w:sz w:val="18"/>
          <w:szCs w:val="18"/>
        </w:rPr>
        <w:t xml:space="preserve">For further information on HPC regions, </w:t>
      </w:r>
      <w:r w:rsidR="007C1978" w:rsidRPr="009C0C39">
        <w:rPr>
          <w:rFonts w:ascii="Franklin Gothic Book" w:hAnsi="Franklin Gothic Book" w:cs="Times New Roman"/>
          <w:i/>
          <w:iCs/>
          <w:sz w:val="18"/>
          <w:szCs w:val="18"/>
        </w:rPr>
        <w:t xml:space="preserve">see </w:t>
      </w:r>
      <w:r w:rsidR="007C1978" w:rsidRPr="009C0C39">
        <w:rPr>
          <w:rFonts w:ascii="Franklin Gothic Book" w:hAnsi="Franklin Gothic Book" w:cs="Times New Roman"/>
          <w:smallCaps/>
          <w:sz w:val="18"/>
          <w:szCs w:val="18"/>
        </w:rPr>
        <w:t>Mass. Health Policy Comm’n</w:t>
      </w:r>
      <w:r w:rsidR="007C1978" w:rsidRPr="009C0C39">
        <w:rPr>
          <w:rFonts w:ascii="Franklin Gothic Book" w:hAnsi="Franklin Gothic Book" w:cs="Times New Roman"/>
          <w:sz w:val="18"/>
          <w:szCs w:val="18"/>
        </w:rPr>
        <w:t xml:space="preserve">, </w:t>
      </w:r>
      <w:r w:rsidR="007C1978" w:rsidRPr="009C0C39">
        <w:rPr>
          <w:rFonts w:ascii="Franklin Gothic Book" w:hAnsi="Franklin Gothic Book" w:cs="Times New Roman"/>
          <w:smallCaps/>
          <w:sz w:val="18"/>
          <w:szCs w:val="18"/>
        </w:rPr>
        <w:t>2013 Cost Trends Report Technical Appendix</w:t>
      </w:r>
      <w:r w:rsidR="007C1978" w:rsidRPr="009C0C39">
        <w:rPr>
          <w:rFonts w:ascii="Franklin Gothic Book" w:hAnsi="Franklin Gothic Book" w:cs="Times New Roman"/>
          <w:sz w:val="18"/>
          <w:szCs w:val="18"/>
        </w:rPr>
        <w:t xml:space="preserve"> (Jan. 2014), </w:t>
      </w:r>
      <w:r w:rsidR="00224D1C">
        <w:rPr>
          <w:rFonts w:ascii="Franklin Gothic Book" w:hAnsi="Franklin Gothic Book" w:cs="Times New Roman"/>
          <w:i/>
          <w:iCs/>
          <w:sz w:val="18"/>
          <w:szCs w:val="18"/>
        </w:rPr>
        <w:t>available</w:t>
      </w:r>
      <w:r w:rsidR="007C1978" w:rsidRPr="009C0C39">
        <w:rPr>
          <w:rFonts w:ascii="Franklin Gothic Book" w:hAnsi="Franklin Gothic Book" w:cs="Times New Roman"/>
          <w:i/>
          <w:iCs/>
          <w:sz w:val="18"/>
          <w:szCs w:val="18"/>
        </w:rPr>
        <w:t xml:space="preserve"> </w:t>
      </w:r>
      <w:hyperlink r:id="rId30" w:history="1">
        <w:r w:rsidR="00224D1C">
          <w:rPr>
            <w:rStyle w:val="Hyperlink"/>
            <w:rFonts w:ascii="Franklin Gothic Book" w:hAnsi="Franklin Gothic Book" w:cs="Times New Roman"/>
            <w:sz w:val="18"/>
            <w:szCs w:val="18"/>
          </w:rPr>
          <w:t>at https://www.mass.gov/doc/b3-regions-of-massachusetts/download</w:t>
        </w:r>
      </w:hyperlink>
      <w:r w:rsidR="007C1978" w:rsidRPr="009C0C39">
        <w:rPr>
          <w:rFonts w:ascii="Franklin Gothic Book" w:hAnsi="Franklin Gothic Book" w:cs="Times New Roman"/>
          <w:sz w:val="18"/>
          <w:szCs w:val="18"/>
        </w:rPr>
        <w:t>.</w:t>
      </w:r>
      <w:r w:rsidRPr="009C0C39">
        <w:rPr>
          <w:rFonts w:ascii="Franklin Gothic Book" w:hAnsi="Franklin Gothic Book" w:cs="Times New Roman"/>
          <w:sz w:val="18"/>
          <w:szCs w:val="18"/>
        </w:rPr>
        <w:t xml:space="preserve"> </w:t>
      </w:r>
    </w:p>
    <w:p w14:paraId="1084C489" w14:textId="53671480" w:rsidR="00871984" w:rsidRPr="009C0C39" w:rsidRDefault="00871984">
      <w:pPr>
        <w:rPr>
          <w:rFonts w:ascii="Franklin Gothic Book" w:hAnsi="Franklin Gothic Book"/>
          <w:sz w:val="22"/>
          <w:szCs w:val="22"/>
        </w:rPr>
      </w:pPr>
    </w:p>
    <w:sectPr w:rsidR="00871984" w:rsidRPr="009C0C39" w:rsidSect="00804A4E">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B035F" w14:textId="77777777" w:rsidR="004226D4" w:rsidRDefault="004226D4" w:rsidP="00871984">
      <w:r>
        <w:separator/>
      </w:r>
    </w:p>
  </w:endnote>
  <w:endnote w:type="continuationSeparator" w:id="0">
    <w:p w14:paraId="14A28B53" w14:textId="77777777" w:rsidR="004226D4" w:rsidRDefault="004226D4" w:rsidP="00871984">
      <w:r>
        <w:continuationSeparator/>
      </w:r>
    </w:p>
  </w:endnote>
  <w:endnote w:type="continuationNotice" w:id="1">
    <w:p w14:paraId="16DC55FE" w14:textId="77777777" w:rsidR="004226D4" w:rsidRDefault="0042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Franklin Gothic Book" w:hAnsi="Franklin Gothic Book" w:cs="Times New Roman"/>
        <w:sz w:val="18"/>
        <w:szCs w:val="18"/>
      </w:rPr>
      <w:id w:val="-330910373"/>
      <w:docPartObj>
        <w:docPartGallery w:val="Page Numbers (Bottom of Page)"/>
        <w:docPartUnique/>
      </w:docPartObj>
    </w:sdtPr>
    <w:sdtEndPr>
      <w:rPr>
        <w:noProof/>
      </w:rPr>
    </w:sdtEndPr>
    <w:sdtContent>
      <w:p w14:paraId="4E66B034" w14:textId="77777777" w:rsidR="00415812" w:rsidRDefault="00415812" w:rsidP="00415812">
        <w:pPr>
          <w:pStyle w:val="Footer"/>
          <w:jc w:val="center"/>
          <w:rPr>
            <w:rFonts w:ascii="Franklin Gothic Book" w:hAnsi="Franklin Gothic Book" w:cs="Times New Roman"/>
            <w:sz w:val="18"/>
            <w:szCs w:val="18"/>
          </w:rPr>
        </w:pPr>
      </w:p>
      <w:p w14:paraId="1B6046AA" w14:textId="11AC30C1" w:rsidR="00636ED2" w:rsidRPr="00415812" w:rsidRDefault="00804A4E" w:rsidP="00415812">
        <w:pPr>
          <w:pStyle w:val="Footer"/>
          <w:jc w:val="center"/>
          <w:rPr>
            <w:rFonts w:ascii="Franklin Gothic Book" w:hAnsi="Franklin Gothic Book" w:cs="Times New Roman"/>
            <w:sz w:val="18"/>
            <w:szCs w:val="18"/>
          </w:rPr>
        </w:pPr>
        <w:r w:rsidRPr="00804A4E">
          <w:rPr>
            <w:rFonts w:ascii="Franklin Gothic Book" w:hAnsi="Franklin Gothic Book" w:cs="Times New Roman"/>
            <w:sz w:val="18"/>
            <w:szCs w:val="18"/>
          </w:rPr>
          <w:t xml:space="preserve">- </w:t>
        </w:r>
        <w:r w:rsidR="00636ED2" w:rsidRPr="00804A4E">
          <w:rPr>
            <w:rFonts w:ascii="Franklin Gothic Book" w:hAnsi="Franklin Gothic Book" w:cs="Times New Roman"/>
            <w:sz w:val="18"/>
            <w:szCs w:val="18"/>
          </w:rPr>
          <w:fldChar w:fldCharType="begin"/>
        </w:r>
        <w:r w:rsidR="00636ED2" w:rsidRPr="00804A4E">
          <w:rPr>
            <w:rFonts w:ascii="Franklin Gothic Book" w:hAnsi="Franklin Gothic Book" w:cs="Times New Roman"/>
            <w:sz w:val="18"/>
            <w:szCs w:val="18"/>
          </w:rPr>
          <w:instrText xml:space="preserve"> PAGE   \* MERGEFORMAT </w:instrText>
        </w:r>
        <w:r w:rsidR="00636ED2" w:rsidRPr="00804A4E">
          <w:rPr>
            <w:rFonts w:ascii="Franklin Gothic Book" w:hAnsi="Franklin Gothic Book" w:cs="Times New Roman"/>
            <w:sz w:val="18"/>
            <w:szCs w:val="18"/>
          </w:rPr>
          <w:fldChar w:fldCharType="separate"/>
        </w:r>
        <w:r w:rsidR="00A350B4">
          <w:rPr>
            <w:rFonts w:ascii="Franklin Gothic Book" w:hAnsi="Franklin Gothic Book" w:cs="Times New Roman"/>
            <w:noProof/>
            <w:sz w:val="18"/>
            <w:szCs w:val="18"/>
          </w:rPr>
          <w:t>1</w:t>
        </w:r>
        <w:r w:rsidR="00636ED2" w:rsidRPr="00804A4E">
          <w:rPr>
            <w:rFonts w:ascii="Franklin Gothic Book" w:hAnsi="Franklin Gothic Book" w:cs="Times New Roman"/>
            <w:noProof/>
            <w:sz w:val="18"/>
            <w:szCs w:val="18"/>
          </w:rPr>
          <w:fldChar w:fldCharType="end"/>
        </w:r>
        <w:r w:rsidRPr="00804A4E">
          <w:rPr>
            <w:rFonts w:ascii="Franklin Gothic Book" w:hAnsi="Franklin Gothic Book" w:cs="Times New Roman"/>
            <w:noProof/>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B9175" w14:textId="77777777" w:rsidR="004226D4" w:rsidRDefault="004226D4" w:rsidP="00871984">
      <w:r>
        <w:separator/>
      </w:r>
    </w:p>
  </w:footnote>
  <w:footnote w:type="continuationSeparator" w:id="0">
    <w:p w14:paraId="2BA7E6AD" w14:textId="77777777" w:rsidR="004226D4" w:rsidRDefault="004226D4" w:rsidP="00871984">
      <w:r>
        <w:continuationSeparator/>
      </w:r>
    </w:p>
  </w:footnote>
  <w:footnote w:type="continuationNotice" w:id="1">
    <w:p w14:paraId="0BBC1E39" w14:textId="77777777" w:rsidR="004226D4" w:rsidRDefault="004226D4"/>
  </w:footnote>
  <w:footnote w:id="2">
    <w:p w14:paraId="2F01EEA7" w14:textId="253E3F0C" w:rsidR="00760AF0" w:rsidRPr="00804A4E" w:rsidRDefault="00760A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50260" w:rsidRPr="00804A4E">
        <w:rPr>
          <w:rFonts w:ascii="Franklin Gothic Book" w:hAnsi="Franklin Gothic Book" w:cs="Times New Roman"/>
          <w:smallCaps/>
          <w:sz w:val="18"/>
          <w:szCs w:val="18"/>
        </w:rPr>
        <w:t>Mass. Gen. Laws</w:t>
      </w:r>
      <w:r w:rsidR="00F50260" w:rsidRPr="00804A4E">
        <w:rPr>
          <w:rFonts w:ascii="Franklin Gothic Book" w:hAnsi="Franklin Gothic Book" w:cs="Times New Roman"/>
          <w:sz w:val="18"/>
          <w:szCs w:val="18"/>
        </w:rPr>
        <w:t xml:space="preserve"> c</w:t>
      </w:r>
      <w:r w:rsidR="00B422DF" w:rsidRPr="00804A4E">
        <w:rPr>
          <w:rFonts w:ascii="Franklin Gothic Book" w:hAnsi="Franklin Gothic Book" w:cs="Times New Roman"/>
          <w:sz w:val="18"/>
          <w:szCs w:val="18"/>
        </w:rPr>
        <w:t>h</w:t>
      </w:r>
      <w:r w:rsidR="00F50260" w:rsidRPr="00804A4E">
        <w:rPr>
          <w:rFonts w:ascii="Franklin Gothic Book" w:hAnsi="Franklin Gothic Book" w:cs="Times New Roman"/>
          <w:sz w:val="18"/>
          <w:szCs w:val="18"/>
        </w:rPr>
        <w:t>. 111, § 25C(g)</w:t>
      </w:r>
      <w:r w:rsidR="00EA043F" w:rsidRPr="00804A4E">
        <w:rPr>
          <w:rFonts w:ascii="Franklin Gothic Book" w:hAnsi="Franklin Gothic Book" w:cs="Times New Roman"/>
          <w:sz w:val="18"/>
          <w:szCs w:val="18"/>
        </w:rPr>
        <w:t>, (h),</w:t>
      </w:r>
      <w:r w:rsidR="00F50260" w:rsidRPr="00804A4E">
        <w:rPr>
          <w:rFonts w:ascii="Franklin Gothic Book" w:hAnsi="Franklin Gothic Book" w:cs="Times New Roman"/>
          <w:sz w:val="18"/>
          <w:szCs w:val="18"/>
        </w:rPr>
        <w:t xml:space="preserve"> and (i). </w:t>
      </w:r>
      <w:r w:rsidR="00F50260" w:rsidRPr="00804A4E">
        <w:rPr>
          <w:rFonts w:ascii="Franklin Gothic Book" w:hAnsi="Franklin Gothic Book" w:cs="Times New Roman"/>
          <w:i/>
          <w:iCs/>
          <w:sz w:val="18"/>
          <w:szCs w:val="18"/>
        </w:rPr>
        <w:t xml:space="preserve">See also </w:t>
      </w:r>
      <w:r w:rsidRPr="00804A4E">
        <w:rPr>
          <w:rFonts w:ascii="Franklin Gothic Book" w:hAnsi="Franklin Gothic Book" w:cs="Times New Roman"/>
          <w:sz w:val="18"/>
          <w:szCs w:val="18"/>
        </w:rPr>
        <w:t>105 CMR 100.100, definition of “Party of Record” stating that a Party of Record may provide written comment for consideration by the Department, “including written comment by the…HPC as it relates to any independent cost-analyses made pursuant to 106 CMR 100.405”. Upon release of the ICAs for the above-referenced applications, DPH further emphasized this important role</w:t>
      </w:r>
      <w:r w:rsidR="00D94B82" w:rsidRPr="00804A4E">
        <w:rPr>
          <w:rFonts w:ascii="Franklin Gothic Book" w:hAnsi="Franklin Gothic Book" w:cs="Times New Roman"/>
          <w:sz w:val="18"/>
          <w:szCs w:val="18"/>
        </w:rPr>
        <w:t xml:space="preserve">. </w:t>
      </w:r>
      <w:r w:rsidR="00D94B82" w:rsidRPr="00804A4E">
        <w:rPr>
          <w:rFonts w:ascii="Franklin Gothic Book" w:hAnsi="Franklin Gothic Book" w:cs="Times New Roman"/>
          <w:i/>
          <w:iCs/>
          <w:sz w:val="18"/>
          <w:szCs w:val="18"/>
        </w:rPr>
        <w:t xml:space="preserve">See </w:t>
      </w:r>
      <w:r w:rsidR="00FD3F16" w:rsidRPr="00804A4E">
        <w:rPr>
          <w:rFonts w:ascii="Franklin Gothic Book" w:hAnsi="Franklin Gothic Book" w:cs="Times New Roman"/>
          <w:i/>
          <w:iCs/>
          <w:sz w:val="18"/>
          <w:szCs w:val="18"/>
        </w:rPr>
        <w:t>Independent Cost Analysis Reports for the Mass General Brigham Applications</w:t>
      </w:r>
      <w:r w:rsidR="00FD3F16" w:rsidRPr="00804A4E">
        <w:rPr>
          <w:rFonts w:ascii="Franklin Gothic Book" w:hAnsi="Franklin Gothic Book" w:cs="Times New Roman"/>
          <w:sz w:val="18"/>
          <w:szCs w:val="18"/>
        </w:rPr>
        <w:t xml:space="preserve">, </w:t>
      </w:r>
      <w:r w:rsidR="00FD3F16" w:rsidRPr="00804A4E">
        <w:rPr>
          <w:rFonts w:ascii="Franklin Gothic Book" w:hAnsi="Franklin Gothic Book" w:cs="Times New Roman"/>
          <w:smallCaps/>
          <w:sz w:val="18"/>
          <w:szCs w:val="18"/>
        </w:rPr>
        <w:t>Mass. Dept. of Pub. Health</w:t>
      </w:r>
      <w:r w:rsidR="00FD3F16" w:rsidRPr="00804A4E">
        <w:rPr>
          <w:rFonts w:ascii="Franklin Gothic Book" w:hAnsi="Franklin Gothic Book" w:cs="Times New Roman"/>
          <w:sz w:val="18"/>
          <w:szCs w:val="18"/>
        </w:rPr>
        <w:t xml:space="preserve">, </w:t>
      </w:r>
      <w:hyperlink r:id="rId1" w:anchor="2093871" w:history="1">
        <w:r w:rsidR="00FD3F16" w:rsidRPr="00804A4E">
          <w:rPr>
            <w:rStyle w:val="Hyperlink"/>
            <w:rFonts w:ascii="Franklin Gothic Book" w:hAnsi="Franklin Gothic Book" w:cs="Times New Roman"/>
            <w:sz w:val="18"/>
            <w:szCs w:val="18"/>
          </w:rPr>
          <w:t>https://www.mass.gov/alerts/independent-cost-analysis-reports-for-the-mass-general-brigham-applications#2093871</w:t>
        </w:r>
      </w:hyperlink>
      <w:r w:rsidR="00FD3F16" w:rsidRPr="00804A4E">
        <w:rPr>
          <w:rFonts w:ascii="Franklin Gothic Book" w:hAnsi="Franklin Gothic Book" w:cs="Times New Roman"/>
          <w:sz w:val="18"/>
          <w:szCs w:val="18"/>
        </w:rPr>
        <w:t xml:space="preserve"> (last visited Jan 23, 2022)</w:t>
      </w:r>
      <w:r w:rsidR="00AC57C3" w:rsidRPr="00804A4E">
        <w:rPr>
          <w:rFonts w:ascii="Franklin Gothic Book" w:hAnsi="Franklin Gothic Book" w:cs="Times New Roman"/>
          <w:sz w:val="18"/>
          <w:szCs w:val="18"/>
        </w:rPr>
        <w:t xml:space="preserve">. </w:t>
      </w:r>
    </w:p>
  </w:footnote>
  <w:footnote w:id="3">
    <w:p w14:paraId="18D331D9" w14:textId="5C570F12" w:rsidR="004532F5" w:rsidRPr="00804A4E" w:rsidRDefault="004532F5"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E455C">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Mass. Health Policy Comm’n</w:t>
      </w:r>
      <w:r w:rsidRPr="00804A4E">
        <w:rPr>
          <w:rFonts w:ascii="Franklin Gothic Book" w:hAnsi="Franklin Gothic Book" w:cs="Times New Roman"/>
          <w:sz w:val="18"/>
          <w:szCs w:val="18"/>
        </w:rPr>
        <w:t xml:space="preserve">, Presentation by David Seltz and Dr. David Auerbach: </w:t>
      </w:r>
      <w:r w:rsidRPr="00804A4E">
        <w:rPr>
          <w:rFonts w:ascii="Franklin Gothic Book" w:hAnsi="Franklin Gothic Book" w:cs="Times New Roman"/>
          <w:i/>
          <w:iCs/>
          <w:sz w:val="18"/>
          <w:szCs w:val="18"/>
        </w:rPr>
        <w:t>Health Care Spending and Affordability in Massachusetts</w:t>
      </w:r>
      <w:r w:rsidRPr="00804A4E">
        <w:rPr>
          <w:rFonts w:ascii="Franklin Gothic Book" w:hAnsi="Franklin Gothic Book" w:cs="Times New Roman"/>
          <w:sz w:val="18"/>
          <w:szCs w:val="18"/>
        </w:rPr>
        <w:t xml:space="preserve"> 11-18 (Nov. 17, 2021), </w:t>
      </w:r>
      <w:r w:rsidR="006C4088">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2" w:history="1">
        <w:r w:rsidR="006C4088">
          <w:rPr>
            <w:rStyle w:val="Hyperlink"/>
            <w:rFonts w:ascii="Franklin Gothic Book" w:hAnsi="Franklin Gothic Book" w:cs="Times New Roman"/>
            <w:sz w:val="18"/>
            <w:szCs w:val="18"/>
          </w:rPr>
          <w:t>at https://www.mass.gov/doc/full-2021-cost-trends-hearing-presentation/download</w:t>
        </w:r>
      </w:hyperlink>
      <w:r w:rsidRPr="00804A4E">
        <w:rPr>
          <w:rFonts w:ascii="Franklin Gothic Book" w:hAnsi="Franklin Gothic Book" w:cs="Times New Roman"/>
          <w:sz w:val="18"/>
          <w:szCs w:val="18"/>
        </w:rPr>
        <w:t xml:space="preserve">. </w:t>
      </w:r>
    </w:p>
  </w:footnote>
  <w:footnote w:id="4">
    <w:p w14:paraId="09B4417A" w14:textId="3BD956D6" w:rsidR="009D36C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B64433" w:rsidRPr="00804A4E">
        <w:rPr>
          <w:rFonts w:ascii="Franklin Gothic Book" w:hAnsi="Franklin Gothic Book" w:cs="Times New Roman"/>
          <w:i/>
          <w:iCs/>
          <w:sz w:val="18"/>
          <w:szCs w:val="18"/>
        </w:rPr>
        <w:t>See</w:t>
      </w:r>
      <w:r w:rsidR="00B64433" w:rsidRPr="00804A4E">
        <w:rPr>
          <w:rFonts w:ascii="Franklin Gothic Book" w:hAnsi="Franklin Gothic Book" w:cs="Times New Roman"/>
          <w:sz w:val="18"/>
          <w:szCs w:val="18"/>
        </w:rPr>
        <w:t xml:space="preserve"> Determination of Need for Substantial Capital Expenditure and Substantial Change in Service</w:t>
      </w:r>
      <w:r w:rsidR="006575CD" w:rsidRPr="00804A4E">
        <w:rPr>
          <w:rFonts w:ascii="Franklin Gothic Book" w:hAnsi="Franklin Gothic Book" w:cs="Times New Roman"/>
          <w:sz w:val="18"/>
          <w:szCs w:val="18"/>
        </w:rPr>
        <w:t xml:space="preserve"> at MGH</w:t>
      </w:r>
      <w:r w:rsidR="00B64433" w:rsidRPr="00804A4E">
        <w:rPr>
          <w:rFonts w:ascii="Franklin Gothic Book" w:hAnsi="Franklin Gothic Book" w:cs="Times New Roman"/>
          <w:sz w:val="18"/>
          <w:szCs w:val="18"/>
        </w:rPr>
        <w:t xml:space="preserve"> </w:t>
      </w:r>
      <w:r w:rsidR="00084311" w:rsidRPr="00804A4E">
        <w:rPr>
          <w:rFonts w:ascii="Franklin Gothic Book" w:hAnsi="Franklin Gothic Book" w:cs="Times New Roman"/>
          <w:sz w:val="18"/>
          <w:szCs w:val="18"/>
        </w:rPr>
        <w:t xml:space="preserve">(Jan. 21, 2021), </w:t>
      </w:r>
      <w:r w:rsidR="00FE2903">
        <w:rPr>
          <w:rFonts w:ascii="Franklin Gothic Book" w:hAnsi="Franklin Gothic Book" w:cs="Times New Roman"/>
          <w:i/>
          <w:iCs/>
          <w:sz w:val="18"/>
          <w:szCs w:val="18"/>
        </w:rPr>
        <w:t>available</w:t>
      </w:r>
      <w:r w:rsidR="00B64433" w:rsidRPr="00804A4E">
        <w:rPr>
          <w:rFonts w:ascii="Franklin Gothic Book" w:hAnsi="Franklin Gothic Book" w:cs="Times New Roman"/>
          <w:sz w:val="18"/>
          <w:szCs w:val="18"/>
        </w:rPr>
        <w:t xml:space="preserve"> </w:t>
      </w:r>
      <w:hyperlink r:id="rId3" w:history="1">
        <w:r w:rsidR="00FE2903">
          <w:rPr>
            <w:rStyle w:val="Hyperlink"/>
            <w:rFonts w:ascii="Franklin Gothic Book" w:hAnsi="Franklin Gothic Book" w:cs="Times New Roman"/>
            <w:sz w:val="18"/>
            <w:szCs w:val="18"/>
          </w:rPr>
          <w:t>at https://www.mass.gov/doc/mass-general-brigham-incorporated-mgh-application-form-and-attachments/download</w:t>
        </w:r>
      </w:hyperlink>
      <w:r w:rsidR="00B64433" w:rsidRPr="00804A4E">
        <w:rPr>
          <w:rFonts w:ascii="Franklin Gothic Book" w:hAnsi="Franklin Gothic Book" w:cs="Times New Roman"/>
          <w:sz w:val="18"/>
          <w:szCs w:val="18"/>
        </w:rPr>
        <w:t>; Determination of Need for Substantial Capital Expenditure and Substantial Change in Service at Brigham and Women’s Faulkner Hospital</w:t>
      </w:r>
      <w:r w:rsidR="00084311" w:rsidRPr="00804A4E">
        <w:rPr>
          <w:rFonts w:ascii="Franklin Gothic Book" w:hAnsi="Franklin Gothic Book" w:cs="Times New Roman"/>
          <w:sz w:val="18"/>
          <w:szCs w:val="18"/>
        </w:rPr>
        <w:t xml:space="preserve"> (Jan. 21, 2021)</w:t>
      </w:r>
      <w:r w:rsidR="00B64433" w:rsidRPr="00804A4E">
        <w:rPr>
          <w:rFonts w:ascii="Franklin Gothic Book" w:hAnsi="Franklin Gothic Book" w:cs="Times New Roman"/>
          <w:sz w:val="18"/>
          <w:szCs w:val="18"/>
        </w:rPr>
        <w:t xml:space="preserve">, </w:t>
      </w:r>
      <w:r w:rsidR="00103966">
        <w:rPr>
          <w:rFonts w:ascii="Franklin Gothic Book" w:hAnsi="Franklin Gothic Book" w:cs="Times New Roman"/>
          <w:i/>
          <w:iCs/>
          <w:sz w:val="18"/>
          <w:szCs w:val="18"/>
        </w:rPr>
        <w:t>available</w:t>
      </w:r>
      <w:r w:rsidR="00B64433" w:rsidRPr="00804A4E">
        <w:rPr>
          <w:rFonts w:ascii="Franklin Gothic Book" w:hAnsi="Franklin Gothic Book" w:cs="Times New Roman"/>
          <w:sz w:val="18"/>
          <w:szCs w:val="18"/>
        </w:rPr>
        <w:t xml:space="preserve"> </w:t>
      </w:r>
      <w:hyperlink r:id="rId4" w:history="1">
        <w:r w:rsidR="00103966">
          <w:rPr>
            <w:rStyle w:val="Hyperlink"/>
            <w:rFonts w:ascii="Franklin Gothic Book" w:hAnsi="Franklin Gothic Book" w:cs="Times New Roman"/>
            <w:sz w:val="18"/>
            <w:szCs w:val="18"/>
          </w:rPr>
          <w:t>at https://www.mass.gov/doc/mass-general-brigham-incorporated-bwfh-application-form-and-attachments/download</w:t>
        </w:r>
      </w:hyperlink>
      <w:r w:rsidR="00B64433" w:rsidRPr="00804A4E">
        <w:rPr>
          <w:rFonts w:ascii="Franklin Gothic Book" w:hAnsi="Franklin Gothic Book" w:cs="Times New Roman"/>
          <w:sz w:val="18"/>
          <w:szCs w:val="18"/>
        </w:rPr>
        <w:t xml:space="preserve">; </w:t>
      </w:r>
      <w:bookmarkStart w:id="2" w:name="_Hlk93412272"/>
      <w:r w:rsidR="00B64433" w:rsidRPr="00804A4E">
        <w:rPr>
          <w:rFonts w:ascii="Franklin Gothic Book" w:hAnsi="Franklin Gothic Book" w:cs="Times New Roman"/>
          <w:sz w:val="18"/>
          <w:szCs w:val="18"/>
        </w:rPr>
        <w:t>Determination of Need for Ambulatory Surgery, Clinic Substantial Capital Expenditure</w:t>
      </w:r>
      <w:r w:rsidR="006575CD" w:rsidRPr="00804A4E">
        <w:rPr>
          <w:rFonts w:ascii="Franklin Gothic Book" w:hAnsi="Franklin Gothic Book" w:cs="Times New Roman"/>
          <w:sz w:val="18"/>
          <w:szCs w:val="18"/>
        </w:rPr>
        <w:t>, and purchase of DoN-required equipment</w:t>
      </w:r>
      <w:r w:rsidR="00084311" w:rsidRPr="00804A4E">
        <w:rPr>
          <w:rFonts w:ascii="Franklin Gothic Book" w:hAnsi="Franklin Gothic Book" w:cs="Times New Roman"/>
          <w:sz w:val="18"/>
          <w:szCs w:val="18"/>
        </w:rPr>
        <w:t xml:space="preserve"> (Jan. 21, 2021)</w:t>
      </w:r>
      <w:r w:rsidR="00B64433" w:rsidRPr="00804A4E">
        <w:rPr>
          <w:rFonts w:ascii="Franklin Gothic Book" w:hAnsi="Franklin Gothic Book" w:cs="Times New Roman"/>
          <w:sz w:val="18"/>
          <w:szCs w:val="18"/>
        </w:rPr>
        <w:t xml:space="preserve">, </w:t>
      </w:r>
      <w:r w:rsidR="00B64433" w:rsidRPr="00804A4E">
        <w:rPr>
          <w:rFonts w:ascii="Franklin Gothic Book" w:hAnsi="Franklin Gothic Book" w:cs="Times New Roman"/>
          <w:i/>
          <w:iCs/>
          <w:sz w:val="18"/>
          <w:szCs w:val="18"/>
        </w:rPr>
        <w:t>available</w:t>
      </w:r>
      <w:r w:rsidR="00B64433" w:rsidRPr="00804A4E">
        <w:rPr>
          <w:rFonts w:ascii="Franklin Gothic Book" w:hAnsi="Franklin Gothic Book" w:cs="Times New Roman"/>
          <w:sz w:val="18"/>
          <w:szCs w:val="18"/>
        </w:rPr>
        <w:t xml:space="preserve"> </w:t>
      </w:r>
      <w:bookmarkEnd w:id="2"/>
      <w:r w:rsidR="009D36CA" w:rsidRPr="00804A4E">
        <w:rPr>
          <w:rFonts w:ascii="Franklin Gothic Book" w:hAnsi="Franklin Gothic Book" w:cs="Times New Roman"/>
          <w:sz w:val="18"/>
          <w:szCs w:val="18"/>
        </w:rPr>
        <w:fldChar w:fldCharType="begin"/>
      </w:r>
      <w:r w:rsidR="00DF5E8A">
        <w:rPr>
          <w:rFonts w:ascii="Franklin Gothic Book" w:hAnsi="Franklin Gothic Book" w:cs="Times New Roman"/>
          <w:sz w:val="18"/>
          <w:szCs w:val="18"/>
        </w:rPr>
        <w:instrText>HYPERLINK "https://www.mass.gov/doc/mass-general-brigham-incorporated-multisite-application/download"</w:instrText>
      </w:r>
      <w:r w:rsidR="009D36CA" w:rsidRPr="00804A4E">
        <w:rPr>
          <w:rFonts w:ascii="Franklin Gothic Book" w:hAnsi="Franklin Gothic Book" w:cs="Times New Roman"/>
          <w:sz w:val="18"/>
          <w:szCs w:val="18"/>
        </w:rPr>
        <w:fldChar w:fldCharType="separate"/>
      </w:r>
      <w:r w:rsidR="00DF5E8A">
        <w:rPr>
          <w:rStyle w:val="Hyperlink"/>
          <w:rFonts w:ascii="Franklin Gothic Book" w:hAnsi="Franklin Gothic Book" w:cs="Times New Roman"/>
          <w:sz w:val="18"/>
          <w:szCs w:val="18"/>
        </w:rPr>
        <w:t>at https://www.mass.gov/doc/mass-general-brigham-incorporated-multisite-application/download</w:t>
      </w:r>
      <w:r w:rsidR="009D36CA" w:rsidRPr="00804A4E">
        <w:rPr>
          <w:rFonts w:ascii="Franklin Gothic Book" w:hAnsi="Franklin Gothic Book" w:cs="Times New Roman"/>
          <w:sz w:val="18"/>
          <w:szCs w:val="18"/>
        </w:rPr>
        <w:fldChar w:fldCharType="end"/>
      </w:r>
      <w:bookmarkStart w:id="3" w:name="_Hlk93655275"/>
      <w:r w:rsidR="005E59C6" w:rsidRPr="00804A4E">
        <w:rPr>
          <w:rFonts w:ascii="Franklin Gothic Book" w:hAnsi="Franklin Gothic Book" w:cs="Times New Roman"/>
          <w:sz w:val="18"/>
          <w:szCs w:val="18"/>
        </w:rPr>
        <w:t xml:space="preserve"> </w:t>
      </w:r>
      <w:r w:rsidR="005E59C6" w:rsidRPr="006C0EDD">
        <w:rPr>
          <w:rFonts w:ascii="Franklin Gothic Book" w:hAnsi="Franklin Gothic Book" w:cs="Times New Roman"/>
          <w:i/>
          <w:iCs/>
          <w:sz w:val="18"/>
          <w:szCs w:val="18"/>
        </w:rPr>
        <w:t>and</w:t>
      </w:r>
      <w:r w:rsidR="007F2D21" w:rsidRPr="00804A4E">
        <w:rPr>
          <w:rFonts w:ascii="Franklin Gothic Book" w:hAnsi="Franklin Gothic Book" w:cs="Times New Roman"/>
          <w:sz w:val="18"/>
          <w:szCs w:val="18"/>
        </w:rPr>
        <w:t xml:space="preserve"> </w:t>
      </w:r>
      <w:hyperlink r:id="rId5" w:history="1">
        <w:r w:rsidR="00AA7123">
          <w:rPr>
            <w:rStyle w:val="Hyperlink"/>
            <w:rFonts w:ascii="Franklin Gothic Book" w:hAnsi="Franklin Gothic Book" w:cs="Times New Roman"/>
            <w:sz w:val="18"/>
            <w:szCs w:val="18"/>
          </w:rPr>
          <w:t>at https://www.mass.gov/doc/mass-general-brigham-incorporated-multisite-application-attachments/download</w:t>
        </w:r>
      </w:hyperlink>
      <w:r w:rsidR="007F2D21" w:rsidRPr="00804A4E">
        <w:rPr>
          <w:rFonts w:ascii="Franklin Gothic Book" w:hAnsi="Franklin Gothic Book" w:cs="Times New Roman"/>
          <w:sz w:val="18"/>
          <w:szCs w:val="18"/>
        </w:rPr>
        <w:t>.</w:t>
      </w:r>
      <w:bookmarkEnd w:id="3"/>
    </w:p>
  </w:footnote>
  <w:footnote w:id="5">
    <w:p w14:paraId="1BA36CEA" w14:textId="29BDDDE6"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6C3573" w:rsidRPr="00804A4E">
        <w:rPr>
          <w:rFonts w:ascii="Franklin Gothic Book" w:hAnsi="Franklin Gothic Book" w:cs="Times New Roman"/>
          <w:sz w:val="18"/>
          <w:szCs w:val="18"/>
        </w:rPr>
        <w:t xml:space="preserve">MGB simultaneously announced the creation of a </w:t>
      </w:r>
      <w:r w:rsidR="000E68A2" w:rsidRPr="00804A4E">
        <w:rPr>
          <w:rFonts w:ascii="Franklin Gothic Book" w:hAnsi="Franklin Gothic Book" w:cs="Times New Roman"/>
          <w:sz w:val="18"/>
          <w:szCs w:val="18"/>
        </w:rPr>
        <w:t xml:space="preserve">similar </w:t>
      </w:r>
      <w:r w:rsidR="006C3573" w:rsidRPr="00804A4E">
        <w:rPr>
          <w:rFonts w:ascii="Franklin Gothic Book" w:hAnsi="Franklin Gothic Book" w:cs="Times New Roman"/>
          <w:sz w:val="18"/>
          <w:szCs w:val="18"/>
        </w:rPr>
        <w:t xml:space="preserve">ambulatory </w:t>
      </w:r>
      <w:r w:rsidR="000E68A2" w:rsidRPr="00804A4E">
        <w:rPr>
          <w:rFonts w:ascii="Franklin Gothic Book" w:hAnsi="Franklin Gothic Book" w:cs="Times New Roman"/>
          <w:sz w:val="18"/>
          <w:szCs w:val="18"/>
        </w:rPr>
        <w:t xml:space="preserve">site </w:t>
      </w:r>
      <w:r w:rsidR="006C3573" w:rsidRPr="00804A4E">
        <w:rPr>
          <w:rFonts w:ascii="Franklin Gothic Book" w:hAnsi="Franklin Gothic Book" w:cs="Times New Roman"/>
          <w:sz w:val="18"/>
          <w:szCs w:val="18"/>
        </w:rPr>
        <w:t>in Salem, NH</w:t>
      </w:r>
      <w:r w:rsidR="00FD3F16" w:rsidRPr="00804A4E">
        <w:rPr>
          <w:rFonts w:ascii="Franklin Gothic Book" w:hAnsi="Franklin Gothic Book" w:cs="Times New Roman"/>
          <w:sz w:val="18"/>
          <w:szCs w:val="18"/>
        </w:rPr>
        <w:t xml:space="preserve">, stating that the Salem site and the three Massachusetts sites would cost nearly $400 </w:t>
      </w:r>
      <w:r w:rsidR="001A00DA" w:rsidRPr="00804A4E">
        <w:rPr>
          <w:rFonts w:ascii="Franklin Gothic Book" w:hAnsi="Franklin Gothic Book" w:cs="Times New Roman"/>
          <w:sz w:val="18"/>
          <w:szCs w:val="18"/>
        </w:rPr>
        <w:t>million</w:t>
      </w:r>
      <w:r w:rsidR="00FD3F16" w:rsidRPr="00804A4E">
        <w:rPr>
          <w:rFonts w:ascii="Franklin Gothic Book" w:hAnsi="Franklin Gothic Book" w:cs="Times New Roman"/>
          <w:sz w:val="18"/>
          <w:szCs w:val="18"/>
        </w:rPr>
        <w:t xml:space="preserve"> in total</w:t>
      </w:r>
      <w:r w:rsidR="006C3573" w:rsidRPr="00804A4E">
        <w:rPr>
          <w:rFonts w:ascii="Franklin Gothic Book" w:hAnsi="Franklin Gothic Book" w:cs="Times New Roman"/>
          <w:sz w:val="18"/>
          <w:szCs w:val="18"/>
        </w:rPr>
        <w:t xml:space="preserve">. </w:t>
      </w:r>
      <w:r w:rsidR="00F54A81">
        <w:rPr>
          <w:rFonts w:ascii="Franklin Gothic Book" w:hAnsi="Franklin Gothic Book" w:cs="Times New Roman"/>
          <w:sz w:val="18"/>
          <w:szCs w:val="18"/>
        </w:rPr>
        <w:t>T</w:t>
      </w:r>
      <w:r w:rsidR="006C3573" w:rsidRPr="00804A4E">
        <w:rPr>
          <w:rFonts w:ascii="Franklin Gothic Book" w:hAnsi="Franklin Gothic Book" w:cs="Times New Roman"/>
          <w:sz w:val="18"/>
          <w:szCs w:val="18"/>
        </w:rPr>
        <w:t>he Salem site is not subject to review by the Massachusetts DoN program.</w:t>
      </w:r>
      <w:r w:rsidR="001A00DA" w:rsidRPr="00804A4E">
        <w:rPr>
          <w:rFonts w:ascii="Franklin Gothic Book" w:hAnsi="Franklin Gothic Book" w:cs="Times New Roman"/>
          <w:sz w:val="18"/>
          <w:szCs w:val="18"/>
        </w:rPr>
        <w:t xml:space="preserve"> </w:t>
      </w:r>
      <w:r w:rsidR="001A00DA" w:rsidRPr="00804A4E">
        <w:rPr>
          <w:rFonts w:ascii="Franklin Gothic Book" w:hAnsi="Franklin Gothic Book" w:cs="Times New Roman"/>
          <w:i/>
          <w:iCs/>
          <w:sz w:val="18"/>
          <w:szCs w:val="18"/>
        </w:rPr>
        <w:t xml:space="preserve">See </w:t>
      </w:r>
      <w:r w:rsidR="001A00DA" w:rsidRPr="00804A4E">
        <w:rPr>
          <w:rFonts w:ascii="Franklin Gothic Book" w:hAnsi="Franklin Gothic Book" w:cs="Times New Roman"/>
          <w:sz w:val="18"/>
          <w:szCs w:val="18"/>
        </w:rPr>
        <w:t xml:space="preserve">Madeline Hughes, </w:t>
      </w:r>
      <w:r w:rsidR="001A00DA" w:rsidRPr="00804A4E">
        <w:rPr>
          <w:rFonts w:ascii="Franklin Gothic Book" w:hAnsi="Franklin Gothic Book" w:cs="Times New Roman"/>
          <w:smallCaps/>
          <w:sz w:val="18"/>
          <w:szCs w:val="18"/>
        </w:rPr>
        <w:t>Eagle Tribune</w:t>
      </w:r>
      <w:r w:rsidR="001A00DA" w:rsidRPr="00804A4E">
        <w:rPr>
          <w:rFonts w:ascii="Franklin Gothic Book" w:hAnsi="Franklin Gothic Book" w:cs="Times New Roman"/>
          <w:sz w:val="18"/>
          <w:szCs w:val="18"/>
        </w:rPr>
        <w:t xml:space="preserve">, </w:t>
      </w:r>
      <w:r w:rsidR="001A00DA" w:rsidRPr="00804A4E">
        <w:rPr>
          <w:rFonts w:ascii="Franklin Gothic Book" w:hAnsi="Franklin Gothic Book" w:cs="Times New Roman"/>
          <w:i/>
          <w:iCs/>
          <w:sz w:val="18"/>
          <w:szCs w:val="18"/>
        </w:rPr>
        <w:t>Partners Healthcare announces Salem location</w:t>
      </w:r>
      <w:r w:rsidR="001A00DA" w:rsidRPr="00804A4E">
        <w:rPr>
          <w:rFonts w:ascii="Franklin Gothic Book" w:hAnsi="Franklin Gothic Book" w:cs="Times New Roman"/>
          <w:sz w:val="18"/>
          <w:szCs w:val="18"/>
        </w:rPr>
        <w:t xml:space="preserve">, </w:t>
      </w:r>
      <w:hyperlink r:id="rId6" w:history="1">
        <w:r w:rsidR="00AA7123">
          <w:rPr>
            <w:rStyle w:val="Hyperlink"/>
            <w:rFonts w:ascii="Franklin Gothic Book" w:hAnsi="Franklin Gothic Book" w:cs="Times New Roman"/>
            <w:sz w:val="18"/>
            <w:szCs w:val="18"/>
          </w:rPr>
          <w:t>at https://www.eagletribune.com/news/new_hampshire/partners-healthcare-announces-salem-location/article_7b9838b3-4176-59bf-b538-36c11efc3cc0.html</w:t>
        </w:r>
      </w:hyperlink>
      <w:r w:rsidR="001A00DA" w:rsidRPr="00804A4E">
        <w:rPr>
          <w:rFonts w:ascii="Franklin Gothic Book" w:hAnsi="Franklin Gothic Book" w:cs="Times New Roman"/>
          <w:sz w:val="18"/>
          <w:szCs w:val="18"/>
        </w:rPr>
        <w:t xml:space="preserve"> (Dec. 2019).</w:t>
      </w:r>
    </w:p>
  </w:footnote>
  <w:footnote w:id="6">
    <w:p w14:paraId="67960C2C" w14:textId="5861A0B8"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Mass. Gen. Laws</w:t>
      </w:r>
      <w:r w:rsidRPr="00804A4E">
        <w:rPr>
          <w:rFonts w:ascii="Franklin Gothic Book" w:hAnsi="Franklin Gothic Book" w:cs="Times New Roman"/>
          <w:sz w:val="18"/>
          <w:szCs w:val="18"/>
        </w:rPr>
        <w:t xml:space="preserve"> c</w:t>
      </w:r>
      <w:r w:rsidR="009D36CA" w:rsidRPr="00804A4E">
        <w:rPr>
          <w:rFonts w:ascii="Franklin Gothic Book" w:hAnsi="Franklin Gothic Book" w:cs="Times New Roman"/>
          <w:sz w:val="18"/>
          <w:szCs w:val="18"/>
        </w:rPr>
        <w:t>h</w:t>
      </w:r>
      <w:r w:rsidRPr="00804A4E">
        <w:rPr>
          <w:rFonts w:ascii="Franklin Gothic Book" w:hAnsi="Franklin Gothic Book" w:cs="Times New Roman"/>
          <w:sz w:val="18"/>
          <w:szCs w:val="18"/>
        </w:rPr>
        <w:t>. 111, § 25C(h).</w:t>
      </w:r>
    </w:p>
  </w:footnote>
  <w:footnote w:id="7">
    <w:p w14:paraId="69F31656" w14:textId="3DD6C165" w:rsidR="001E74C3" w:rsidRPr="00804A4E" w:rsidRDefault="001E74C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These figures assume that MGB will achieve approximately 50% of its expected market share increases from its larger multiyear ambulatory expansion plan through the three ambulatory sites currently proposed</w:t>
      </w:r>
      <w:r w:rsidR="006C0EDD">
        <w:rPr>
          <w:rFonts w:ascii="Franklin Gothic Book" w:hAnsi="Franklin Gothic Book" w:cs="Times New Roman"/>
          <w:sz w:val="18"/>
          <w:szCs w:val="18"/>
        </w:rPr>
        <w:t>, as detailed in Section III.A.2</w:t>
      </w:r>
      <w:r w:rsidRPr="00804A4E">
        <w:rPr>
          <w:rFonts w:ascii="Franklin Gothic Book" w:hAnsi="Franklin Gothic Book" w:cs="Times New Roman"/>
          <w:sz w:val="18"/>
          <w:szCs w:val="18"/>
        </w:rPr>
        <w:t xml:space="preserve">. The HPC does not have </w:t>
      </w:r>
      <w:r w:rsidR="006C0EDD">
        <w:rPr>
          <w:rFonts w:ascii="Franklin Gothic Book" w:hAnsi="Franklin Gothic Book" w:cs="Times New Roman"/>
          <w:sz w:val="18"/>
          <w:szCs w:val="18"/>
        </w:rPr>
        <w:t>sufficient</w:t>
      </w:r>
      <w:r w:rsidR="006C0EDD"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information about</w:t>
      </w:r>
      <w:r w:rsidR="004E33CF" w:rsidRPr="00804A4E">
        <w:rPr>
          <w:rFonts w:ascii="Franklin Gothic Book" w:hAnsi="Franklin Gothic Book" w:cs="Times New Roman"/>
          <w:sz w:val="18"/>
          <w:szCs w:val="18"/>
        </w:rPr>
        <w:t xml:space="preserve"> the multiyear ambulatory expansion plan to assess whether 50% is a reasonable expectation for the three proposed sites. </w:t>
      </w:r>
      <w:bookmarkStart w:id="6" w:name="_Hlk93866294"/>
      <w:r w:rsidR="004E33CF" w:rsidRPr="00804A4E">
        <w:rPr>
          <w:rFonts w:ascii="Franklin Gothic Book" w:hAnsi="Franklin Gothic Book" w:cs="Times New Roman"/>
          <w:sz w:val="18"/>
          <w:szCs w:val="18"/>
        </w:rPr>
        <w:t xml:space="preserve">If MGB achieves 25% of its expected market share increases instead of 50%, the </w:t>
      </w:r>
      <w:r w:rsidR="00B314A3" w:rsidRPr="00804A4E">
        <w:rPr>
          <w:rFonts w:ascii="Franklin Gothic Book" w:hAnsi="Franklin Gothic Book" w:cs="Times New Roman"/>
          <w:sz w:val="18"/>
          <w:szCs w:val="18"/>
        </w:rPr>
        <w:t xml:space="preserve">commercial </w:t>
      </w:r>
      <w:r w:rsidR="004E33CF" w:rsidRPr="00804A4E">
        <w:rPr>
          <w:rFonts w:ascii="Franklin Gothic Book" w:hAnsi="Franklin Gothic Book" w:cs="Times New Roman"/>
          <w:sz w:val="18"/>
          <w:szCs w:val="18"/>
        </w:rPr>
        <w:t xml:space="preserve">spending impact from the ambulatory expansion would </w:t>
      </w:r>
      <w:r w:rsidR="00B314A3" w:rsidRPr="00804A4E">
        <w:rPr>
          <w:rFonts w:ascii="Franklin Gothic Book" w:hAnsi="Franklin Gothic Book" w:cs="Times New Roman"/>
          <w:sz w:val="18"/>
          <w:szCs w:val="18"/>
        </w:rPr>
        <w:t xml:space="preserve">be </w:t>
      </w:r>
      <w:r w:rsidR="004E33CF" w:rsidRPr="00804A4E">
        <w:rPr>
          <w:rFonts w:ascii="Franklin Gothic Book" w:hAnsi="Franklin Gothic Book" w:cs="Times New Roman"/>
          <w:sz w:val="18"/>
          <w:szCs w:val="18"/>
        </w:rPr>
        <w:t>$</w:t>
      </w:r>
      <w:r w:rsidR="008F60D0" w:rsidRPr="00804A4E">
        <w:rPr>
          <w:rFonts w:ascii="Franklin Gothic Book" w:hAnsi="Franklin Gothic Book" w:cs="Times New Roman"/>
          <w:sz w:val="18"/>
          <w:szCs w:val="18"/>
        </w:rPr>
        <w:t>7.1</w:t>
      </w:r>
      <w:r w:rsidR="00C1271D" w:rsidRPr="00804A4E">
        <w:rPr>
          <w:rFonts w:ascii="Franklin Gothic Book" w:hAnsi="Franklin Gothic Book" w:cs="Times New Roman"/>
          <w:sz w:val="18"/>
          <w:szCs w:val="18"/>
        </w:rPr>
        <w:t xml:space="preserve"> million</w:t>
      </w:r>
      <w:r w:rsidR="00E4086D" w:rsidRPr="00804A4E">
        <w:rPr>
          <w:rFonts w:ascii="Franklin Gothic Book" w:hAnsi="Franklin Gothic Book" w:cs="Times New Roman"/>
          <w:sz w:val="18"/>
          <w:szCs w:val="18"/>
        </w:rPr>
        <w:t xml:space="preserve"> </w:t>
      </w:r>
      <w:r w:rsidR="004E33CF" w:rsidRPr="00804A4E">
        <w:rPr>
          <w:rFonts w:ascii="Franklin Gothic Book" w:hAnsi="Franklin Gothic Book" w:cs="Times New Roman"/>
          <w:sz w:val="18"/>
          <w:szCs w:val="18"/>
        </w:rPr>
        <w:t>to $</w:t>
      </w:r>
      <w:r w:rsidR="008F60D0" w:rsidRPr="00804A4E">
        <w:rPr>
          <w:rFonts w:ascii="Franklin Gothic Book" w:hAnsi="Franklin Gothic Book" w:cs="Times New Roman"/>
          <w:sz w:val="18"/>
          <w:szCs w:val="18"/>
        </w:rPr>
        <w:t>18.9</w:t>
      </w:r>
      <w:r w:rsidR="00C1271D" w:rsidRPr="00804A4E">
        <w:rPr>
          <w:rFonts w:ascii="Franklin Gothic Book" w:hAnsi="Franklin Gothic Book" w:cs="Times New Roman"/>
          <w:sz w:val="18"/>
          <w:szCs w:val="18"/>
        </w:rPr>
        <w:t xml:space="preserve"> million</w:t>
      </w:r>
      <w:r w:rsidR="004E33CF" w:rsidRPr="00804A4E">
        <w:rPr>
          <w:rFonts w:ascii="Franklin Gothic Book" w:hAnsi="Franklin Gothic Book" w:cs="Times New Roman"/>
          <w:sz w:val="18"/>
          <w:szCs w:val="18"/>
        </w:rPr>
        <w:t xml:space="preserve">, the total </w:t>
      </w:r>
      <w:r w:rsidR="00B314A3" w:rsidRPr="00804A4E">
        <w:rPr>
          <w:rFonts w:ascii="Franklin Gothic Book" w:hAnsi="Franklin Gothic Book" w:cs="Times New Roman"/>
          <w:sz w:val="18"/>
          <w:szCs w:val="18"/>
        </w:rPr>
        <w:t xml:space="preserve">commercial spending impact </w:t>
      </w:r>
      <w:r w:rsidR="004E33CF" w:rsidRPr="00804A4E">
        <w:rPr>
          <w:rFonts w:ascii="Franklin Gothic Book" w:hAnsi="Franklin Gothic Book" w:cs="Times New Roman"/>
          <w:sz w:val="18"/>
          <w:szCs w:val="18"/>
        </w:rPr>
        <w:t xml:space="preserve">across the projects would </w:t>
      </w:r>
      <w:r w:rsidR="00B314A3" w:rsidRPr="00804A4E">
        <w:rPr>
          <w:rFonts w:ascii="Franklin Gothic Book" w:hAnsi="Franklin Gothic Book" w:cs="Times New Roman"/>
          <w:sz w:val="18"/>
          <w:szCs w:val="18"/>
        </w:rPr>
        <w:t xml:space="preserve">be </w:t>
      </w:r>
      <w:r w:rsidR="004E33CF" w:rsidRPr="00804A4E">
        <w:rPr>
          <w:rFonts w:ascii="Franklin Gothic Book" w:hAnsi="Franklin Gothic Book" w:cs="Times New Roman"/>
          <w:sz w:val="18"/>
          <w:szCs w:val="18"/>
        </w:rPr>
        <w:t>$</w:t>
      </w:r>
      <w:r w:rsidR="008F60D0" w:rsidRPr="00804A4E">
        <w:rPr>
          <w:rFonts w:ascii="Franklin Gothic Book" w:hAnsi="Franklin Gothic Book" w:cs="Times New Roman"/>
          <w:sz w:val="18"/>
          <w:szCs w:val="18"/>
        </w:rPr>
        <w:t>43.8</w:t>
      </w:r>
      <w:r w:rsidR="00C1271D" w:rsidRPr="00804A4E">
        <w:rPr>
          <w:rFonts w:ascii="Franklin Gothic Book" w:hAnsi="Franklin Gothic Book" w:cs="Times New Roman"/>
          <w:sz w:val="18"/>
          <w:szCs w:val="18"/>
        </w:rPr>
        <w:t xml:space="preserve"> million</w:t>
      </w:r>
      <w:r w:rsidR="004E33CF" w:rsidRPr="00804A4E">
        <w:rPr>
          <w:rFonts w:ascii="Franklin Gothic Book" w:hAnsi="Franklin Gothic Book" w:cs="Times New Roman"/>
          <w:sz w:val="18"/>
          <w:szCs w:val="18"/>
        </w:rPr>
        <w:t xml:space="preserve"> to $8</w:t>
      </w:r>
      <w:r w:rsidR="008F60D0" w:rsidRPr="00804A4E">
        <w:rPr>
          <w:rFonts w:ascii="Franklin Gothic Book" w:hAnsi="Franklin Gothic Book" w:cs="Times New Roman"/>
          <w:sz w:val="18"/>
          <w:szCs w:val="18"/>
        </w:rPr>
        <w:t>1.2</w:t>
      </w:r>
      <w:r w:rsidR="00C1271D" w:rsidRPr="00804A4E">
        <w:rPr>
          <w:rFonts w:ascii="Franklin Gothic Book" w:hAnsi="Franklin Gothic Book" w:cs="Times New Roman"/>
          <w:sz w:val="18"/>
          <w:szCs w:val="18"/>
        </w:rPr>
        <w:t xml:space="preserve"> million</w:t>
      </w:r>
      <w:r w:rsidR="004E33CF" w:rsidRPr="00804A4E">
        <w:rPr>
          <w:rFonts w:ascii="Franklin Gothic Book" w:hAnsi="Franklin Gothic Book" w:cs="Times New Roman"/>
          <w:sz w:val="18"/>
          <w:szCs w:val="18"/>
        </w:rPr>
        <w:t xml:space="preserve"> each year</w:t>
      </w:r>
      <w:r w:rsidR="00B314A3" w:rsidRPr="00804A4E">
        <w:rPr>
          <w:rFonts w:ascii="Franklin Gothic Book" w:hAnsi="Franklin Gothic Book" w:cs="Times New Roman"/>
          <w:sz w:val="18"/>
          <w:szCs w:val="18"/>
        </w:rPr>
        <w:t xml:space="preserve">, and the loss of commercial revenue at non-MGB providers would be </w:t>
      </w:r>
      <w:r w:rsidR="004F42EE" w:rsidRPr="00804A4E">
        <w:rPr>
          <w:rFonts w:ascii="Franklin Gothic Book" w:hAnsi="Franklin Gothic Book" w:cs="Times New Roman"/>
          <w:sz w:val="18"/>
          <w:szCs w:val="18"/>
        </w:rPr>
        <w:t>$14</w:t>
      </w:r>
      <w:r w:rsidR="00E4086D" w:rsidRPr="00804A4E">
        <w:rPr>
          <w:rFonts w:ascii="Franklin Gothic Book" w:hAnsi="Franklin Gothic Book" w:cs="Times New Roman"/>
          <w:sz w:val="18"/>
          <w:szCs w:val="18"/>
        </w:rPr>
        <w:t>5.</w:t>
      </w:r>
      <w:r w:rsidR="00C1271D" w:rsidRPr="00804A4E">
        <w:rPr>
          <w:rFonts w:ascii="Franklin Gothic Book" w:hAnsi="Franklin Gothic Book" w:cs="Times New Roman"/>
          <w:sz w:val="18"/>
          <w:szCs w:val="18"/>
        </w:rPr>
        <w:t xml:space="preserve">6 million </w:t>
      </w:r>
      <w:r w:rsidR="004F42EE" w:rsidRPr="00804A4E">
        <w:rPr>
          <w:rFonts w:ascii="Franklin Gothic Book" w:hAnsi="Franklin Gothic Book" w:cs="Times New Roman"/>
          <w:sz w:val="18"/>
          <w:szCs w:val="18"/>
        </w:rPr>
        <w:t>to $23</w:t>
      </w:r>
      <w:r w:rsidR="00E4086D" w:rsidRPr="00804A4E">
        <w:rPr>
          <w:rFonts w:ascii="Franklin Gothic Book" w:hAnsi="Franklin Gothic Book" w:cs="Times New Roman"/>
          <w:sz w:val="18"/>
          <w:szCs w:val="18"/>
        </w:rPr>
        <w:t>1.8</w:t>
      </w:r>
      <w:r w:rsidR="00C1271D" w:rsidRPr="00804A4E">
        <w:rPr>
          <w:rFonts w:ascii="Franklin Gothic Book" w:hAnsi="Franklin Gothic Book" w:cs="Times New Roman"/>
          <w:sz w:val="18"/>
          <w:szCs w:val="18"/>
        </w:rPr>
        <w:t xml:space="preserve"> million</w:t>
      </w:r>
      <w:r w:rsidR="004F42EE" w:rsidRPr="00804A4E">
        <w:rPr>
          <w:rFonts w:ascii="Franklin Gothic Book" w:hAnsi="Franklin Gothic Book" w:cs="Times New Roman"/>
          <w:sz w:val="18"/>
          <w:szCs w:val="18"/>
        </w:rPr>
        <w:t xml:space="preserve"> each year.</w:t>
      </w:r>
      <w:bookmarkEnd w:id="6"/>
    </w:p>
  </w:footnote>
  <w:footnote w:id="8">
    <w:p w14:paraId="6F7609D4" w14:textId="183AC5AD"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410ED" w:rsidRPr="00804A4E">
        <w:rPr>
          <w:rFonts w:ascii="Franklin Gothic Book" w:hAnsi="Franklin Gothic Book" w:cs="Times New Roman"/>
          <w:sz w:val="18"/>
          <w:szCs w:val="18"/>
        </w:rPr>
        <w:t>Independent cost</w:t>
      </w:r>
      <w:r w:rsidR="00B33CCE" w:rsidRPr="00804A4E">
        <w:rPr>
          <w:rFonts w:ascii="Franklin Gothic Book" w:hAnsi="Franklin Gothic Book" w:cs="Times New Roman"/>
          <w:sz w:val="18"/>
          <w:szCs w:val="18"/>
        </w:rPr>
        <w:t>-</w:t>
      </w:r>
      <w:r w:rsidR="00F410ED" w:rsidRPr="00804A4E">
        <w:rPr>
          <w:rFonts w:ascii="Franklin Gothic Book" w:hAnsi="Franklin Gothic Book" w:cs="Times New Roman"/>
          <w:sz w:val="18"/>
          <w:szCs w:val="18"/>
        </w:rPr>
        <w:t xml:space="preserve">analysis for MGB DoN application for Substantial Capital Expenditure and Substantial Change in Service at MGH, </w:t>
      </w:r>
      <w:r w:rsidR="00AA7123">
        <w:rPr>
          <w:rFonts w:ascii="Franklin Gothic Book" w:hAnsi="Franklin Gothic Book" w:cs="Times New Roman"/>
          <w:i/>
          <w:iCs/>
          <w:sz w:val="18"/>
          <w:szCs w:val="18"/>
        </w:rPr>
        <w:t xml:space="preserve">available </w:t>
      </w:r>
      <w:hyperlink r:id="rId7" w:history="1">
        <w:r w:rsidR="00AA7123">
          <w:rPr>
            <w:rStyle w:val="Hyperlink"/>
            <w:rFonts w:ascii="Franklin Gothic Book" w:hAnsi="Franklin Gothic Book" w:cs="Times New Roman"/>
            <w:sz w:val="18"/>
            <w:szCs w:val="18"/>
          </w:rPr>
          <w:t>at https://www.mass.gov/doc/independent-cost-analysis-2/download</w:t>
        </w:r>
      </w:hyperlink>
      <w:r w:rsidR="00EF76FA" w:rsidRPr="00804A4E">
        <w:rPr>
          <w:rFonts w:ascii="Franklin Gothic Book" w:hAnsi="Franklin Gothic Book" w:cs="Times New Roman"/>
          <w:sz w:val="18"/>
          <w:szCs w:val="18"/>
        </w:rPr>
        <w:t xml:space="preserve">; </w:t>
      </w:r>
      <w:r w:rsidR="008E5864" w:rsidRPr="00804A4E">
        <w:rPr>
          <w:rFonts w:ascii="Franklin Gothic Book" w:hAnsi="Franklin Gothic Book" w:cs="Times New Roman"/>
          <w:sz w:val="18"/>
          <w:szCs w:val="18"/>
        </w:rPr>
        <w:t>Independent cost</w:t>
      </w:r>
      <w:r w:rsidR="00B33CCE" w:rsidRPr="00804A4E">
        <w:rPr>
          <w:rFonts w:ascii="Franklin Gothic Book" w:hAnsi="Franklin Gothic Book" w:cs="Times New Roman"/>
          <w:sz w:val="18"/>
          <w:szCs w:val="18"/>
        </w:rPr>
        <w:t>-</w:t>
      </w:r>
      <w:r w:rsidR="008E5864" w:rsidRPr="00804A4E">
        <w:rPr>
          <w:rFonts w:ascii="Franklin Gothic Book" w:hAnsi="Franklin Gothic Book" w:cs="Times New Roman"/>
          <w:sz w:val="18"/>
          <w:szCs w:val="18"/>
        </w:rPr>
        <w:t xml:space="preserve">analysis for MGB </w:t>
      </w:r>
      <w:r w:rsidR="00F410ED" w:rsidRPr="00804A4E">
        <w:rPr>
          <w:rFonts w:ascii="Franklin Gothic Book" w:hAnsi="Franklin Gothic Book" w:cs="Times New Roman"/>
          <w:sz w:val="18"/>
          <w:szCs w:val="18"/>
        </w:rPr>
        <w:t xml:space="preserve">DoN application for Substantial Capital Expenditure and Substantial Change in Service at Brigham and Women’s Faulkner Hospital, </w:t>
      </w:r>
      <w:r w:rsidR="004312BC">
        <w:rPr>
          <w:rFonts w:ascii="Franklin Gothic Book" w:hAnsi="Franklin Gothic Book" w:cs="Times New Roman"/>
          <w:i/>
          <w:iCs/>
          <w:sz w:val="18"/>
          <w:szCs w:val="18"/>
        </w:rPr>
        <w:t>available</w:t>
      </w:r>
      <w:r w:rsidR="00EF76FA" w:rsidRPr="00804A4E">
        <w:rPr>
          <w:rFonts w:ascii="Franklin Gothic Book" w:hAnsi="Franklin Gothic Book" w:cs="Times New Roman"/>
          <w:sz w:val="18"/>
          <w:szCs w:val="18"/>
        </w:rPr>
        <w:t xml:space="preserve"> </w:t>
      </w:r>
      <w:hyperlink r:id="rId8" w:history="1">
        <w:r w:rsidR="004312BC">
          <w:rPr>
            <w:rStyle w:val="Hyperlink"/>
            <w:rFonts w:ascii="Franklin Gothic Book" w:hAnsi="Franklin Gothic Book" w:cs="Times New Roman"/>
            <w:sz w:val="18"/>
            <w:szCs w:val="18"/>
          </w:rPr>
          <w:t>at https://www.mass.gov/doc/independent-cost-analysis-1/download</w:t>
        </w:r>
      </w:hyperlink>
      <w:r w:rsidR="00B870E0" w:rsidRPr="00804A4E">
        <w:rPr>
          <w:rFonts w:ascii="Franklin Gothic Book" w:hAnsi="Franklin Gothic Book" w:cs="Times New Roman"/>
          <w:sz w:val="18"/>
          <w:szCs w:val="18"/>
        </w:rPr>
        <w:t xml:space="preserve">; </w:t>
      </w:r>
      <w:r w:rsidR="008E5864" w:rsidRPr="00804A4E">
        <w:rPr>
          <w:rFonts w:ascii="Franklin Gothic Book" w:hAnsi="Franklin Gothic Book" w:cs="Times New Roman"/>
          <w:sz w:val="18"/>
          <w:szCs w:val="18"/>
        </w:rPr>
        <w:t>Independent cost</w:t>
      </w:r>
      <w:r w:rsidR="00B33CCE" w:rsidRPr="00804A4E">
        <w:rPr>
          <w:rFonts w:ascii="Franklin Gothic Book" w:hAnsi="Franklin Gothic Book" w:cs="Times New Roman"/>
          <w:sz w:val="18"/>
          <w:szCs w:val="18"/>
        </w:rPr>
        <w:t>-</w:t>
      </w:r>
      <w:r w:rsidR="008E5864" w:rsidRPr="00804A4E">
        <w:rPr>
          <w:rFonts w:ascii="Franklin Gothic Book" w:hAnsi="Franklin Gothic Book" w:cs="Times New Roman"/>
          <w:sz w:val="18"/>
          <w:szCs w:val="18"/>
        </w:rPr>
        <w:t xml:space="preserve">analysis for MGB </w:t>
      </w:r>
      <w:r w:rsidR="00F410ED" w:rsidRPr="00804A4E">
        <w:rPr>
          <w:rFonts w:ascii="Franklin Gothic Book" w:hAnsi="Franklin Gothic Book" w:cs="Times New Roman"/>
          <w:sz w:val="18"/>
          <w:szCs w:val="18"/>
        </w:rPr>
        <w:t xml:space="preserve">DoN application for Ambulatory Surgery, Clinic Substantial Capital Expenditure, and </w:t>
      </w:r>
      <w:r w:rsidR="006575CD" w:rsidRPr="00804A4E">
        <w:rPr>
          <w:rFonts w:ascii="Franklin Gothic Book" w:hAnsi="Franklin Gothic Book" w:cs="Times New Roman"/>
          <w:sz w:val="18"/>
          <w:szCs w:val="18"/>
        </w:rPr>
        <w:t xml:space="preserve">purchase of DoN-required equipment, </w:t>
      </w:r>
      <w:r w:rsidR="0073645E">
        <w:rPr>
          <w:rFonts w:ascii="Franklin Gothic Book" w:hAnsi="Franklin Gothic Book" w:cs="Times New Roman"/>
          <w:i/>
          <w:iCs/>
          <w:sz w:val="18"/>
          <w:szCs w:val="18"/>
        </w:rPr>
        <w:t>available</w:t>
      </w:r>
      <w:r w:rsidR="00F410ED" w:rsidRPr="00804A4E">
        <w:rPr>
          <w:rFonts w:ascii="Franklin Gothic Book" w:hAnsi="Franklin Gothic Book" w:cs="Times New Roman"/>
          <w:sz w:val="18"/>
          <w:szCs w:val="18"/>
        </w:rPr>
        <w:t xml:space="preserve"> </w:t>
      </w:r>
      <w:hyperlink r:id="rId9" w:history="1">
        <w:r w:rsidR="0073645E">
          <w:rPr>
            <w:rStyle w:val="Hyperlink"/>
            <w:rFonts w:ascii="Franklin Gothic Book" w:hAnsi="Franklin Gothic Book" w:cs="Times New Roman"/>
            <w:sz w:val="18"/>
            <w:szCs w:val="18"/>
          </w:rPr>
          <w:t>at https://www.mass.gov/doc/independent-cost-analysis-4/download</w:t>
        </w:r>
      </w:hyperlink>
      <w:r w:rsidR="00140FC8" w:rsidRPr="00804A4E">
        <w:rPr>
          <w:rStyle w:val="Hyperlink"/>
          <w:rFonts w:ascii="Franklin Gothic Book" w:hAnsi="Franklin Gothic Book" w:cs="Times New Roman"/>
          <w:color w:val="auto"/>
          <w:sz w:val="18"/>
          <w:szCs w:val="18"/>
          <w:u w:val="none"/>
        </w:rPr>
        <w:t>.</w:t>
      </w:r>
    </w:p>
  </w:footnote>
  <w:footnote w:id="9">
    <w:p w14:paraId="509904B5" w14:textId="148221A7" w:rsidR="006420DA" w:rsidRPr="00804A4E" w:rsidRDefault="006420D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7" w:name="_Hlk93992014"/>
      <w:r w:rsidRPr="00804A4E">
        <w:rPr>
          <w:rFonts w:ascii="Franklin Gothic Book" w:hAnsi="Franklin Gothic Book" w:cs="Times New Roman"/>
          <w:sz w:val="18"/>
          <w:szCs w:val="18"/>
        </w:rPr>
        <w:t xml:space="preserve">MGB reports that approximately 30 to 50 beds are “blocked” in semi-private rooms daily due to patient need. Determination of Need for Substantial Capital Expenditure and Substantial Change in Service at MGH, Narrative at 11, </w:t>
      </w:r>
      <w:r w:rsidR="00A85A47" w:rsidRPr="00804A4E">
        <w:rPr>
          <w:rFonts w:ascii="Franklin Gothic Book" w:hAnsi="Franklin Gothic Book" w:cs="Times New Roman"/>
          <w:sz w:val="18"/>
          <w:szCs w:val="18"/>
        </w:rPr>
        <w:t>(Jan</w:t>
      </w:r>
      <w:r w:rsidR="00DB4F60" w:rsidRPr="00804A4E">
        <w:rPr>
          <w:rFonts w:ascii="Franklin Gothic Book" w:hAnsi="Franklin Gothic Book" w:cs="Times New Roman"/>
          <w:sz w:val="18"/>
          <w:szCs w:val="18"/>
        </w:rPr>
        <w:t>.</w:t>
      </w:r>
      <w:r w:rsidR="00A85A47" w:rsidRPr="00804A4E">
        <w:rPr>
          <w:rFonts w:ascii="Franklin Gothic Book" w:hAnsi="Franklin Gothic Book" w:cs="Times New Roman"/>
          <w:sz w:val="18"/>
          <w:szCs w:val="18"/>
        </w:rPr>
        <w:t xml:space="preserve"> 21, 2021) [hereinafter MGH DoN Application], </w:t>
      </w:r>
      <w:r w:rsidR="00C17BED">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10" w:history="1">
        <w:r w:rsidR="00C17BED">
          <w:rPr>
            <w:rStyle w:val="Hyperlink"/>
            <w:rFonts w:ascii="Franklin Gothic Book" w:hAnsi="Franklin Gothic Book" w:cs="Times New Roman"/>
            <w:sz w:val="18"/>
            <w:szCs w:val="18"/>
          </w:rPr>
          <w:t>at https://www.mass.gov/doc/mass-general-brigham-incorporated-mgh-application-form-and-attachments/download</w:t>
        </w:r>
      </w:hyperlink>
      <w:r w:rsidR="00087099" w:rsidRPr="00804A4E">
        <w:rPr>
          <w:rStyle w:val="Hyperlink"/>
          <w:rFonts w:ascii="Franklin Gothic Book" w:hAnsi="Franklin Gothic Book" w:cs="Times New Roman"/>
          <w:color w:val="auto"/>
          <w:sz w:val="18"/>
          <w:szCs w:val="18"/>
          <w:u w:val="none"/>
        </w:rPr>
        <w:t>.</w:t>
      </w:r>
      <w:bookmarkEnd w:id="17"/>
    </w:p>
  </w:footnote>
  <w:footnote w:id="10">
    <w:p w14:paraId="43C94E86" w14:textId="5923C91D" w:rsidR="003349D7"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9" w:name="_Hlk93439211"/>
      <w:bookmarkStart w:id="20" w:name="_Hlk93488941"/>
      <w:r w:rsidR="00DB4F60" w:rsidRPr="00804A4E">
        <w:rPr>
          <w:rFonts w:ascii="Franklin Gothic Book" w:hAnsi="Franklin Gothic Book" w:cs="Times New Roman"/>
          <w:i/>
          <w:iCs/>
          <w:sz w:val="18"/>
          <w:szCs w:val="18"/>
        </w:rPr>
        <w:t>Id.</w:t>
      </w:r>
      <w:r w:rsidR="0074761D" w:rsidRPr="00804A4E">
        <w:rPr>
          <w:rFonts w:ascii="Franklin Gothic Book" w:hAnsi="Franklin Gothic Book" w:cs="Times New Roman"/>
          <w:sz w:val="18"/>
          <w:szCs w:val="18"/>
        </w:rPr>
        <w:t xml:space="preserve"> </w:t>
      </w:r>
      <w:bookmarkEnd w:id="19"/>
      <w:bookmarkEnd w:id="20"/>
    </w:p>
  </w:footnote>
  <w:footnote w:id="11">
    <w:p w14:paraId="14C8D93B" w14:textId="7BE75676"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5B7088" w:rsidRPr="00804A4E">
        <w:rPr>
          <w:rFonts w:ascii="Franklin Gothic Book" w:hAnsi="Franklin Gothic Book" w:cs="Times New Roman"/>
          <w:i/>
          <w:iCs/>
          <w:sz w:val="18"/>
          <w:szCs w:val="18"/>
        </w:rPr>
        <w:t>See</w:t>
      </w:r>
      <w:r w:rsidR="005B7088" w:rsidRPr="00804A4E">
        <w:rPr>
          <w:rFonts w:ascii="Franklin Gothic Book" w:hAnsi="Franklin Gothic Book" w:cs="Times New Roman"/>
          <w:sz w:val="18"/>
          <w:szCs w:val="18"/>
        </w:rPr>
        <w:t xml:space="preserve"> Determination of Need for Substantial Capital Expenditure and Substantial Change in Service at Brigham and Women’s Faulkner Hospital, </w:t>
      </w:r>
      <w:r w:rsidR="00DB4F60" w:rsidRPr="00804A4E">
        <w:rPr>
          <w:rFonts w:ascii="Franklin Gothic Book" w:hAnsi="Franklin Gothic Book" w:cs="Times New Roman"/>
          <w:sz w:val="18"/>
          <w:szCs w:val="18"/>
        </w:rPr>
        <w:t xml:space="preserve">(Jan. 21, 2021), [hereinafter Faulkner DoN Application], </w:t>
      </w:r>
      <w:r w:rsidR="00D50111">
        <w:rPr>
          <w:rFonts w:ascii="Franklin Gothic Book" w:hAnsi="Franklin Gothic Book" w:cs="Times New Roman"/>
          <w:i/>
          <w:iCs/>
          <w:sz w:val="18"/>
          <w:szCs w:val="18"/>
        </w:rPr>
        <w:t>available</w:t>
      </w:r>
      <w:r w:rsidR="005B7088" w:rsidRPr="00804A4E">
        <w:rPr>
          <w:rFonts w:ascii="Franklin Gothic Book" w:hAnsi="Franklin Gothic Book" w:cs="Times New Roman"/>
          <w:sz w:val="18"/>
          <w:szCs w:val="18"/>
        </w:rPr>
        <w:t xml:space="preserve"> </w:t>
      </w:r>
      <w:hyperlink r:id="rId11" w:history="1">
        <w:r w:rsidR="00D50111">
          <w:rPr>
            <w:rStyle w:val="Hyperlink"/>
            <w:rFonts w:ascii="Franklin Gothic Book" w:hAnsi="Franklin Gothic Book" w:cs="Times New Roman"/>
            <w:sz w:val="18"/>
            <w:szCs w:val="18"/>
          </w:rPr>
          <w:t>at https://www.mass.gov/doc/mass-general-brigham-incorporated-bwfh-application-form-and-attachments/download</w:t>
        </w:r>
      </w:hyperlink>
    </w:p>
  </w:footnote>
  <w:footnote w:id="12">
    <w:p w14:paraId="7842587D" w14:textId="0235FEDF"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5B7088" w:rsidRPr="00804A4E">
        <w:rPr>
          <w:rFonts w:ascii="Franklin Gothic Book" w:hAnsi="Franklin Gothic Book" w:cs="Times New Roman"/>
          <w:i/>
          <w:iCs/>
          <w:sz w:val="18"/>
          <w:szCs w:val="18"/>
        </w:rPr>
        <w:t>See</w:t>
      </w:r>
      <w:r w:rsidR="005B7088" w:rsidRPr="00804A4E">
        <w:rPr>
          <w:rFonts w:ascii="Franklin Gothic Book" w:hAnsi="Franklin Gothic Book" w:cs="Times New Roman"/>
          <w:sz w:val="18"/>
          <w:szCs w:val="18"/>
        </w:rPr>
        <w:t xml:space="preserve"> </w:t>
      </w:r>
      <w:bookmarkStart w:id="23" w:name="_Hlk93489497"/>
      <w:r w:rsidR="005B7088" w:rsidRPr="00804A4E">
        <w:rPr>
          <w:rFonts w:ascii="Franklin Gothic Book" w:hAnsi="Franklin Gothic Book" w:cs="Times New Roman"/>
          <w:sz w:val="18"/>
          <w:szCs w:val="18"/>
        </w:rPr>
        <w:t>Determination of Need for Ambulatory Surgery, Clinic Substantial Capital Expenditure, and purchase of DoN-required equipment</w:t>
      </w:r>
      <w:bookmarkEnd w:id="23"/>
      <w:r w:rsidR="005B7088" w:rsidRPr="00804A4E">
        <w:rPr>
          <w:rFonts w:ascii="Franklin Gothic Book" w:hAnsi="Franklin Gothic Book" w:cs="Times New Roman"/>
          <w:sz w:val="18"/>
          <w:szCs w:val="18"/>
        </w:rPr>
        <w:t xml:space="preserve">, </w:t>
      </w:r>
      <w:r w:rsidR="007502BC" w:rsidRPr="00804A4E">
        <w:rPr>
          <w:rFonts w:ascii="Franklin Gothic Book" w:hAnsi="Franklin Gothic Book" w:cs="Times New Roman"/>
          <w:sz w:val="18"/>
          <w:szCs w:val="18"/>
        </w:rPr>
        <w:t>(Jan. 21, 2021), [hereinafter Ambulatory DoN Application],</w:t>
      </w:r>
      <w:r w:rsidR="007502BC" w:rsidRPr="00804A4E">
        <w:rPr>
          <w:rFonts w:ascii="Franklin Gothic Book" w:hAnsi="Franklin Gothic Book" w:cs="Times New Roman"/>
          <w:i/>
          <w:iCs/>
          <w:sz w:val="18"/>
          <w:szCs w:val="18"/>
        </w:rPr>
        <w:t xml:space="preserve"> </w:t>
      </w:r>
      <w:r w:rsidR="00F7407A">
        <w:rPr>
          <w:rFonts w:ascii="Franklin Gothic Book" w:hAnsi="Franklin Gothic Book" w:cs="Times New Roman"/>
          <w:i/>
          <w:iCs/>
          <w:sz w:val="18"/>
          <w:szCs w:val="18"/>
        </w:rPr>
        <w:t xml:space="preserve">available </w:t>
      </w:r>
      <w:hyperlink r:id="rId12" w:history="1">
        <w:r w:rsidR="00F7407A">
          <w:rPr>
            <w:rStyle w:val="Hyperlink"/>
            <w:rFonts w:ascii="Franklin Gothic Book" w:hAnsi="Franklin Gothic Book" w:cs="Times New Roman"/>
            <w:sz w:val="18"/>
            <w:szCs w:val="18"/>
          </w:rPr>
          <w:t>at https://www.mass.gov/doc/mass-general-brigham-incorporated-multisite-application/download</w:t>
        </w:r>
      </w:hyperlink>
      <w:r w:rsidR="007502BC" w:rsidRPr="00804A4E">
        <w:rPr>
          <w:rFonts w:ascii="Franklin Gothic Book" w:hAnsi="Franklin Gothic Book" w:cs="Times New Roman"/>
          <w:sz w:val="18"/>
          <w:szCs w:val="18"/>
        </w:rPr>
        <w:t xml:space="preserve">; </w:t>
      </w:r>
      <w:r w:rsidR="007A5C53" w:rsidRPr="00804A4E">
        <w:rPr>
          <w:rFonts w:ascii="Franklin Gothic Book" w:hAnsi="Franklin Gothic Book" w:cs="Times New Roman"/>
          <w:sz w:val="18"/>
          <w:szCs w:val="18"/>
        </w:rPr>
        <w:t xml:space="preserve">Application by Mass General Brigham for Determination of Need – Multisite 21012113-AS, Narrative 3 (Jan. 21, 2021) [hereinafter Ambulatory Narrative], </w:t>
      </w:r>
      <w:r w:rsidR="00127D22">
        <w:rPr>
          <w:rFonts w:ascii="Franklin Gothic Book" w:hAnsi="Franklin Gothic Book" w:cs="Times New Roman"/>
          <w:i/>
          <w:iCs/>
          <w:sz w:val="18"/>
          <w:szCs w:val="18"/>
        </w:rPr>
        <w:t>available</w:t>
      </w:r>
      <w:r w:rsidR="007A5C53" w:rsidRPr="00804A4E">
        <w:rPr>
          <w:rFonts w:ascii="Franklin Gothic Book" w:hAnsi="Franklin Gothic Book" w:cs="Times New Roman"/>
          <w:sz w:val="18"/>
          <w:szCs w:val="18"/>
        </w:rPr>
        <w:t xml:space="preserve"> </w:t>
      </w:r>
      <w:hyperlink r:id="rId13" w:history="1">
        <w:r w:rsidR="00127D22">
          <w:rPr>
            <w:rStyle w:val="Hyperlink"/>
            <w:rFonts w:ascii="Franklin Gothic Book" w:hAnsi="Franklin Gothic Book" w:cs="Times New Roman"/>
            <w:sz w:val="18"/>
            <w:szCs w:val="18"/>
          </w:rPr>
          <w:t>at https://www.mass.gov/doc/mass-general-brigham-incorporated-multisite-application-attachments/download</w:t>
        </w:r>
      </w:hyperlink>
      <w:r w:rsidR="007A5C53" w:rsidRPr="00804A4E">
        <w:rPr>
          <w:rFonts w:ascii="Franklin Gothic Book" w:hAnsi="Franklin Gothic Book" w:cs="Times New Roman"/>
          <w:sz w:val="18"/>
          <w:szCs w:val="18"/>
        </w:rPr>
        <w:t>.</w:t>
      </w:r>
    </w:p>
  </w:footnote>
  <w:footnote w:id="13">
    <w:p w14:paraId="40E1E822" w14:textId="7772A70C" w:rsidR="00226A5C" w:rsidRPr="00804A4E" w:rsidRDefault="00226A5C"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0964CB" w:rsidRPr="00804A4E">
        <w:rPr>
          <w:rFonts w:ascii="Franklin Gothic Book" w:hAnsi="Franklin Gothic Book" w:cs="Times New Roman"/>
          <w:sz w:val="18"/>
          <w:szCs w:val="18"/>
        </w:rPr>
        <w:t>MGH DoN Application</w:t>
      </w:r>
      <w:r w:rsidR="0046597C" w:rsidRPr="00804A4E">
        <w:rPr>
          <w:rFonts w:ascii="Franklin Gothic Book" w:hAnsi="Franklin Gothic Book" w:cs="Times New Roman"/>
          <w:sz w:val="18"/>
          <w:szCs w:val="18"/>
        </w:rPr>
        <w:t xml:space="preserve">, </w:t>
      </w:r>
      <w:r w:rsidR="00324105" w:rsidRPr="00804A4E">
        <w:rPr>
          <w:rFonts w:ascii="Franklin Gothic Book" w:hAnsi="Franklin Gothic Book" w:cs="Times New Roman"/>
          <w:i/>
          <w:iCs/>
          <w:sz w:val="18"/>
          <w:szCs w:val="18"/>
        </w:rPr>
        <w:t>s</w:t>
      </w:r>
      <w:r w:rsidR="0046597C" w:rsidRPr="00804A4E">
        <w:rPr>
          <w:rFonts w:ascii="Franklin Gothic Book" w:hAnsi="Franklin Gothic Book" w:cs="Times New Roman"/>
          <w:i/>
          <w:iCs/>
          <w:sz w:val="18"/>
          <w:szCs w:val="18"/>
        </w:rPr>
        <w:t>upra</w:t>
      </w:r>
      <w:r w:rsidR="0046597C" w:rsidRPr="00804A4E">
        <w:rPr>
          <w:rFonts w:ascii="Franklin Gothic Book" w:hAnsi="Franklin Gothic Book" w:cs="Times New Roman"/>
          <w:sz w:val="18"/>
          <w:szCs w:val="18"/>
        </w:rPr>
        <w:t xml:space="preserve"> note </w:t>
      </w:r>
      <w:r w:rsidR="00A85A47" w:rsidRPr="00804A4E">
        <w:rPr>
          <w:rFonts w:ascii="Franklin Gothic Book" w:hAnsi="Franklin Gothic Book" w:cs="Times New Roman"/>
          <w:sz w:val="18"/>
          <w:szCs w:val="18"/>
        </w:rPr>
        <w:fldChar w:fldCharType="begin"/>
      </w:r>
      <w:r w:rsidR="00A85A47" w:rsidRPr="00804A4E">
        <w:rPr>
          <w:rFonts w:ascii="Franklin Gothic Book" w:hAnsi="Franklin Gothic Book" w:cs="Times New Roman"/>
          <w:sz w:val="18"/>
          <w:szCs w:val="18"/>
        </w:rPr>
        <w:instrText xml:space="preserve"> NOTEREF _Ref93624434 \h </w:instrText>
      </w:r>
      <w:r w:rsidR="00804A4E" w:rsidRPr="00804A4E">
        <w:rPr>
          <w:rFonts w:ascii="Franklin Gothic Book" w:hAnsi="Franklin Gothic Book" w:cs="Times New Roman"/>
          <w:sz w:val="18"/>
          <w:szCs w:val="18"/>
        </w:rPr>
        <w:instrText xml:space="preserve"> \* MERGEFORMAT </w:instrText>
      </w:r>
      <w:r w:rsidR="00A85A47" w:rsidRPr="00804A4E">
        <w:rPr>
          <w:rFonts w:ascii="Franklin Gothic Book" w:hAnsi="Franklin Gothic Book" w:cs="Times New Roman"/>
          <w:sz w:val="18"/>
          <w:szCs w:val="18"/>
        </w:rPr>
      </w:r>
      <w:r w:rsidR="00A85A4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A85A47" w:rsidRPr="00804A4E">
        <w:rPr>
          <w:rFonts w:ascii="Franklin Gothic Book" w:hAnsi="Franklin Gothic Book" w:cs="Times New Roman"/>
          <w:sz w:val="18"/>
          <w:szCs w:val="18"/>
        </w:rPr>
        <w:fldChar w:fldCharType="end"/>
      </w:r>
      <w:r w:rsidR="00A85A47" w:rsidRPr="00804A4E">
        <w:rPr>
          <w:rFonts w:ascii="Franklin Gothic Book" w:hAnsi="Franklin Gothic Book" w:cs="Times New Roman"/>
          <w:sz w:val="18"/>
          <w:szCs w:val="18"/>
        </w:rPr>
        <w:t xml:space="preserve">, </w:t>
      </w:r>
      <w:r w:rsidR="0046597C" w:rsidRPr="00804A4E">
        <w:rPr>
          <w:rFonts w:ascii="Franklin Gothic Book" w:hAnsi="Franklin Gothic Book" w:cs="Times New Roman"/>
          <w:sz w:val="18"/>
          <w:szCs w:val="18"/>
        </w:rPr>
        <w:t>Appendix 2, DoN Narrative</w:t>
      </w:r>
      <w:r w:rsidR="000964CB" w:rsidRPr="00804A4E">
        <w:rPr>
          <w:rFonts w:ascii="Franklin Gothic Book" w:hAnsi="Franklin Gothic Book" w:cs="Times New Roman"/>
          <w:sz w:val="18"/>
          <w:szCs w:val="18"/>
        </w:rPr>
        <w:t xml:space="preserve"> at </w:t>
      </w:r>
      <w:r w:rsidR="003039D0" w:rsidRPr="00804A4E">
        <w:rPr>
          <w:rFonts w:ascii="Franklin Gothic Book" w:hAnsi="Franklin Gothic Book" w:cs="Times New Roman"/>
          <w:sz w:val="18"/>
          <w:szCs w:val="18"/>
        </w:rPr>
        <w:t>1</w:t>
      </w:r>
      <w:r w:rsidR="000964CB" w:rsidRPr="00804A4E">
        <w:rPr>
          <w:rFonts w:ascii="Franklin Gothic Book" w:hAnsi="Franklin Gothic Book" w:cs="Times New Roman"/>
          <w:sz w:val="18"/>
          <w:szCs w:val="18"/>
        </w:rPr>
        <w:t>.</w:t>
      </w:r>
      <w:r w:rsidR="003039D0" w:rsidRPr="00804A4E">
        <w:rPr>
          <w:rFonts w:ascii="Franklin Gothic Book" w:hAnsi="Franklin Gothic Book" w:cs="Times New Roman"/>
          <w:sz w:val="18"/>
          <w:szCs w:val="18"/>
        </w:rPr>
        <w:t xml:space="preserve"> </w:t>
      </w:r>
    </w:p>
  </w:footnote>
  <w:footnote w:id="14">
    <w:p w14:paraId="5DA5FEC1" w14:textId="24C6B138" w:rsidR="00D94B82" w:rsidRPr="00804A4E" w:rsidRDefault="00D94B82" w:rsidP="00142DCC">
      <w:pPr>
        <w:pStyle w:val="FootnoteText"/>
        <w:widowControl w:val="0"/>
        <w:rPr>
          <w:rFonts w:ascii="Franklin Gothic Book" w:hAnsi="Franklin Gothic Book" w:cs="Times New Roman"/>
          <w:i/>
          <w:iCs/>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Note that “patient panel”, as used by the Determination of Need program, means all patients seen by the applicant over the past 36 months. </w:t>
      </w:r>
      <w:r w:rsidRPr="00804A4E">
        <w:rPr>
          <w:rFonts w:ascii="Franklin Gothic Book" w:hAnsi="Franklin Gothic Book" w:cs="Times New Roman"/>
          <w:i/>
          <w:iCs/>
          <w:sz w:val="18"/>
          <w:szCs w:val="18"/>
        </w:rPr>
        <w:t xml:space="preserve">See </w:t>
      </w:r>
      <w:r w:rsidRPr="00804A4E">
        <w:rPr>
          <w:rFonts w:ascii="Franklin Gothic Book" w:hAnsi="Franklin Gothic Book" w:cs="Times New Roman"/>
          <w:sz w:val="18"/>
          <w:szCs w:val="18"/>
        </w:rPr>
        <w:t>105 CMR 100.100.</w:t>
      </w:r>
    </w:p>
  </w:footnote>
  <w:footnote w:id="15">
    <w:p w14:paraId="1C82C288" w14:textId="28A1E67E" w:rsidR="003A1DDE" w:rsidRPr="00804A4E" w:rsidRDefault="003A1DD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0964CB" w:rsidRPr="00804A4E">
        <w:rPr>
          <w:rFonts w:ascii="Franklin Gothic Book" w:hAnsi="Franklin Gothic Book" w:cs="Times New Roman"/>
          <w:sz w:val="18"/>
          <w:szCs w:val="18"/>
        </w:rPr>
        <w:t xml:space="preserve">Ambulatory </w:t>
      </w:r>
      <w:r w:rsidR="0046597C" w:rsidRPr="00804A4E">
        <w:rPr>
          <w:rFonts w:ascii="Franklin Gothic Book" w:hAnsi="Franklin Gothic Book" w:cs="Times New Roman"/>
          <w:sz w:val="18"/>
          <w:szCs w:val="18"/>
        </w:rPr>
        <w:t xml:space="preserve">Narrative, </w:t>
      </w:r>
      <w:r w:rsidR="00324105" w:rsidRPr="00804A4E">
        <w:rPr>
          <w:rFonts w:ascii="Franklin Gothic Book" w:hAnsi="Franklin Gothic Book" w:cs="Times New Roman"/>
          <w:i/>
          <w:iCs/>
          <w:sz w:val="18"/>
          <w:szCs w:val="18"/>
        </w:rPr>
        <w:t>s</w:t>
      </w:r>
      <w:r w:rsidR="0046597C" w:rsidRPr="00804A4E">
        <w:rPr>
          <w:rFonts w:ascii="Franklin Gothic Book" w:hAnsi="Franklin Gothic Book" w:cs="Times New Roman"/>
          <w:i/>
          <w:iCs/>
          <w:sz w:val="18"/>
          <w:szCs w:val="18"/>
        </w:rPr>
        <w:t>upra</w:t>
      </w:r>
      <w:r w:rsidR="0046597C"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000964CB" w:rsidRPr="00804A4E">
        <w:rPr>
          <w:rFonts w:ascii="Franklin Gothic Book" w:hAnsi="Franklin Gothic Book" w:cs="Times New Roman"/>
          <w:sz w:val="18"/>
          <w:szCs w:val="18"/>
        </w:rPr>
        <w:t xml:space="preserve"> at </w:t>
      </w:r>
      <w:r w:rsidR="00155CF0" w:rsidRPr="00804A4E">
        <w:rPr>
          <w:rFonts w:ascii="Franklin Gothic Book" w:hAnsi="Franklin Gothic Book" w:cs="Times New Roman"/>
          <w:sz w:val="18"/>
          <w:szCs w:val="18"/>
        </w:rPr>
        <w:t>15</w:t>
      </w:r>
      <w:r w:rsidR="00087099" w:rsidRPr="00804A4E">
        <w:rPr>
          <w:rFonts w:ascii="Franklin Gothic Book" w:hAnsi="Franklin Gothic Book" w:cs="Times New Roman"/>
          <w:sz w:val="18"/>
          <w:szCs w:val="18"/>
        </w:rPr>
        <w:t>.</w:t>
      </w:r>
    </w:p>
  </w:footnote>
  <w:footnote w:id="16">
    <w:p w14:paraId="5AF47B67" w14:textId="318452CA" w:rsidR="003A1DDE" w:rsidRPr="00804A4E" w:rsidRDefault="003A1DD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0964CB" w:rsidRPr="00804A4E">
        <w:rPr>
          <w:rFonts w:ascii="Franklin Gothic Book" w:hAnsi="Franklin Gothic Book" w:cs="Times New Roman"/>
          <w:sz w:val="18"/>
          <w:szCs w:val="18"/>
        </w:rPr>
        <w:t>Faulkner DoN Application</w:t>
      </w:r>
      <w:r w:rsidR="00CA5E56" w:rsidRPr="00804A4E">
        <w:rPr>
          <w:rFonts w:ascii="Franklin Gothic Book" w:hAnsi="Franklin Gothic Book" w:cs="Times New Roman"/>
          <w:sz w:val="18"/>
          <w:szCs w:val="18"/>
        </w:rPr>
        <w:t xml:space="preserve">, </w:t>
      </w:r>
      <w:r w:rsidR="00324105" w:rsidRPr="00804A4E">
        <w:rPr>
          <w:rFonts w:ascii="Franklin Gothic Book" w:hAnsi="Franklin Gothic Book" w:cs="Times New Roman"/>
          <w:i/>
          <w:iCs/>
          <w:sz w:val="18"/>
          <w:szCs w:val="18"/>
        </w:rPr>
        <w:t>s</w:t>
      </w:r>
      <w:r w:rsidR="00CA5E56" w:rsidRPr="00804A4E">
        <w:rPr>
          <w:rFonts w:ascii="Franklin Gothic Book" w:hAnsi="Franklin Gothic Book" w:cs="Times New Roman"/>
          <w:i/>
          <w:iCs/>
          <w:sz w:val="18"/>
          <w:szCs w:val="18"/>
        </w:rPr>
        <w:t>upra</w:t>
      </w:r>
      <w:r w:rsidR="00CA5E56" w:rsidRPr="00804A4E">
        <w:rPr>
          <w:rFonts w:ascii="Franklin Gothic Book" w:hAnsi="Franklin Gothic Book" w:cs="Times New Roman"/>
          <w:sz w:val="18"/>
          <w:szCs w:val="18"/>
        </w:rPr>
        <w:t xml:space="preserve"> note </w:t>
      </w:r>
      <w:r w:rsidR="00DB4F60" w:rsidRPr="00804A4E">
        <w:rPr>
          <w:rFonts w:ascii="Franklin Gothic Book" w:hAnsi="Franklin Gothic Book" w:cs="Times New Roman"/>
          <w:sz w:val="18"/>
          <w:szCs w:val="18"/>
        </w:rPr>
        <w:fldChar w:fldCharType="begin"/>
      </w:r>
      <w:r w:rsidR="00DB4F60" w:rsidRPr="00804A4E">
        <w:rPr>
          <w:rFonts w:ascii="Franklin Gothic Book" w:hAnsi="Franklin Gothic Book" w:cs="Times New Roman"/>
          <w:sz w:val="18"/>
          <w:szCs w:val="18"/>
        </w:rPr>
        <w:instrText xml:space="preserve"> NOTEREF _Ref93654856 \h </w:instrText>
      </w:r>
      <w:r w:rsidR="00804A4E" w:rsidRPr="00804A4E">
        <w:rPr>
          <w:rFonts w:ascii="Franklin Gothic Book" w:hAnsi="Franklin Gothic Book" w:cs="Times New Roman"/>
          <w:sz w:val="18"/>
          <w:szCs w:val="18"/>
        </w:rPr>
        <w:instrText xml:space="preserve"> \* MERGEFORMAT </w:instrText>
      </w:r>
      <w:r w:rsidR="00DB4F60" w:rsidRPr="00804A4E">
        <w:rPr>
          <w:rFonts w:ascii="Franklin Gothic Book" w:hAnsi="Franklin Gothic Book" w:cs="Times New Roman"/>
          <w:sz w:val="18"/>
          <w:szCs w:val="18"/>
        </w:rPr>
      </w:r>
      <w:r w:rsidR="00DB4F6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DB4F60" w:rsidRPr="00804A4E">
        <w:rPr>
          <w:rFonts w:ascii="Franklin Gothic Book" w:hAnsi="Franklin Gothic Book" w:cs="Times New Roman"/>
          <w:sz w:val="18"/>
          <w:szCs w:val="18"/>
        </w:rPr>
        <w:fldChar w:fldCharType="end"/>
      </w:r>
      <w:r w:rsidR="00CA5E56" w:rsidRPr="00804A4E">
        <w:rPr>
          <w:rFonts w:ascii="Franklin Gothic Book" w:hAnsi="Franklin Gothic Book" w:cs="Times New Roman"/>
          <w:sz w:val="18"/>
          <w:szCs w:val="18"/>
        </w:rPr>
        <w:t>, Appendix 2</w:t>
      </w:r>
      <w:r w:rsidR="00C53394" w:rsidRPr="00804A4E">
        <w:rPr>
          <w:rFonts w:ascii="Franklin Gothic Book" w:hAnsi="Franklin Gothic Book" w:cs="Times New Roman"/>
          <w:sz w:val="18"/>
          <w:szCs w:val="18"/>
        </w:rPr>
        <w:t>,</w:t>
      </w:r>
      <w:r w:rsidR="00CA5E56" w:rsidRPr="00804A4E">
        <w:rPr>
          <w:rFonts w:ascii="Franklin Gothic Book" w:hAnsi="Franklin Gothic Book" w:cs="Times New Roman"/>
          <w:sz w:val="18"/>
          <w:szCs w:val="18"/>
        </w:rPr>
        <w:t xml:space="preserve"> DoN Narrative</w:t>
      </w:r>
      <w:r w:rsidR="000964CB" w:rsidRPr="00804A4E">
        <w:rPr>
          <w:rFonts w:ascii="Franklin Gothic Book" w:hAnsi="Franklin Gothic Book" w:cs="Times New Roman"/>
          <w:sz w:val="18"/>
          <w:szCs w:val="18"/>
        </w:rPr>
        <w:t xml:space="preserve"> at </w:t>
      </w:r>
      <w:r w:rsidR="002A1032" w:rsidRPr="00804A4E">
        <w:rPr>
          <w:rFonts w:ascii="Franklin Gothic Book" w:hAnsi="Franklin Gothic Book" w:cs="Times New Roman"/>
          <w:sz w:val="18"/>
          <w:szCs w:val="18"/>
        </w:rPr>
        <w:t>24</w:t>
      </w:r>
      <w:r w:rsidR="000964CB" w:rsidRPr="00804A4E">
        <w:rPr>
          <w:rFonts w:ascii="Franklin Gothic Book" w:hAnsi="Franklin Gothic Book" w:cs="Times New Roman"/>
          <w:sz w:val="18"/>
          <w:szCs w:val="18"/>
        </w:rPr>
        <w:t>.</w:t>
      </w:r>
    </w:p>
  </w:footnote>
  <w:footnote w:id="17">
    <w:p w14:paraId="3F3636DC" w14:textId="1CE5429E" w:rsidR="00356EA0" w:rsidRPr="00804A4E" w:rsidRDefault="00356EA0" w:rsidP="00142DCC">
      <w:pPr>
        <w:widowControl w:val="0"/>
        <w:rPr>
          <w:rFonts w:ascii="Franklin Gothic Book" w:eastAsia="Times New Roman"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25" w:name="_Hlk93442951"/>
      <w:r w:rsidRPr="00804A4E">
        <w:rPr>
          <w:rFonts w:ascii="Franklin Gothic Book" w:eastAsia="Times New Roman" w:hAnsi="Franklin Gothic Book" w:cs="Times New Roman"/>
          <w:sz w:val="18"/>
          <w:szCs w:val="18"/>
        </w:rPr>
        <w:t xml:space="preserve">While MGB describes these projects as consistent with the Commonwealth’s cost containment goals, it misstates that those goals are related solely to TME. </w:t>
      </w:r>
      <w:r w:rsidRPr="00804A4E">
        <w:rPr>
          <w:rFonts w:ascii="Franklin Gothic Book" w:eastAsia="Times New Roman" w:hAnsi="Franklin Gothic Book" w:cs="Times New Roman"/>
          <w:i/>
          <w:iCs/>
          <w:sz w:val="18"/>
          <w:szCs w:val="18"/>
        </w:rPr>
        <w:t xml:space="preserve">See </w:t>
      </w:r>
      <w:r w:rsidRPr="00804A4E">
        <w:rPr>
          <w:rFonts w:ascii="Franklin Gothic Book" w:eastAsia="Times New Roman" w:hAnsi="Franklin Gothic Book" w:cs="Times New Roman"/>
          <w:sz w:val="18"/>
          <w:szCs w:val="18"/>
        </w:rPr>
        <w:t xml:space="preserve">Ambulatory </w:t>
      </w:r>
      <w:r w:rsidR="00AE2222" w:rsidRPr="00804A4E">
        <w:rPr>
          <w:rFonts w:ascii="Franklin Gothic Book" w:eastAsia="Times New Roman" w:hAnsi="Franklin Gothic Book" w:cs="Times New Roman"/>
          <w:sz w:val="18"/>
          <w:szCs w:val="18"/>
        </w:rPr>
        <w:t>Narrative</w:t>
      </w:r>
      <w:r w:rsidR="00BE51FF" w:rsidRPr="00804A4E">
        <w:rPr>
          <w:rFonts w:ascii="Franklin Gothic Book" w:eastAsia="Times New Roman" w:hAnsi="Franklin Gothic Book" w:cs="Times New Roman"/>
          <w:sz w:val="18"/>
          <w:szCs w:val="18"/>
        </w:rPr>
        <w:t xml:space="preserve">, </w:t>
      </w:r>
      <w:r w:rsidR="00BE51FF" w:rsidRPr="00804A4E">
        <w:rPr>
          <w:rFonts w:ascii="Franklin Gothic Book" w:eastAsia="Times New Roman" w:hAnsi="Franklin Gothic Book" w:cs="Times New Roman"/>
          <w:i/>
          <w:iCs/>
          <w:sz w:val="18"/>
          <w:szCs w:val="18"/>
        </w:rPr>
        <w:t xml:space="preserve">supra </w:t>
      </w:r>
      <w:r w:rsidR="00BE51FF" w:rsidRPr="00804A4E">
        <w:rPr>
          <w:rFonts w:ascii="Franklin Gothic Book" w:eastAsia="Times New Roman" w:hAnsi="Franklin Gothic Book" w:cs="Times New Roman"/>
          <w:sz w:val="18"/>
          <w:szCs w:val="18"/>
        </w:rPr>
        <w:t xml:space="preserve">note </w:t>
      </w:r>
      <w:r w:rsidR="007A5C53" w:rsidRPr="00804A4E">
        <w:rPr>
          <w:rFonts w:ascii="Franklin Gothic Book" w:eastAsia="Times New Roman" w:hAnsi="Franklin Gothic Book" w:cs="Times New Roman"/>
          <w:sz w:val="18"/>
          <w:szCs w:val="18"/>
        </w:rPr>
        <w:fldChar w:fldCharType="begin"/>
      </w:r>
      <w:r w:rsidR="007A5C53" w:rsidRPr="00804A4E">
        <w:rPr>
          <w:rFonts w:ascii="Franklin Gothic Book" w:eastAsia="Times New Roman" w:hAnsi="Franklin Gothic Book" w:cs="Times New Roman"/>
          <w:sz w:val="18"/>
          <w:szCs w:val="18"/>
        </w:rPr>
        <w:instrText xml:space="preserve"> NOTEREF _Ref93655328 \h </w:instrText>
      </w:r>
      <w:r w:rsidR="00804A4E" w:rsidRPr="00804A4E">
        <w:rPr>
          <w:rFonts w:ascii="Franklin Gothic Book" w:eastAsia="Times New Roman" w:hAnsi="Franklin Gothic Book" w:cs="Times New Roman"/>
          <w:sz w:val="18"/>
          <w:szCs w:val="18"/>
        </w:rPr>
        <w:instrText xml:space="preserve"> \* MERGEFORMAT </w:instrText>
      </w:r>
      <w:r w:rsidR="007A5C53" w:rsidRPr="00804A4E">
        <w:rPr>
          <w:rFonts w:ascii="Franklin Gothic Book" w:eastAsia="Times New Roman" w:hAnsi="Franklin Gothic Book" w:cs="Times New Roman"/>
          <w:sz w:val="18"/>
          <w:szCs w:val="18"/>
        </w:rPr>
      </w:r>
      <w:r w:rsidR="007A5C53" w:rsidRPr="00804A4E">
        <w:rPr>
          <w:rFonts w:ascii="Franklin Gothic Book" w:eastAsia="Times New Roman" w:hAnsi="Franklin Gothic Book" w:cs="Times New Roman"/>
          <w:sz w:val="18"/>
          <w:szCs w:val="18"/>
        </w:rPr>
        <w:fldChar w:fldCharType="separate"/>
      </w:r>
      <w:r w:rsidR="00036554">
        <w:rPr>
          <w:rFonts w:ascii="Franklin Gothic Book" w:eastAsia="Times New Roman" w:hAnsi="Franklin Gothic Book" w:cs="Times New Roman"/>
          <w:sz w:val="18"/>
          <w:szCs w:val="18"/>
        </w:rPr>
        <w:t>11</w:t>
      </w:r>
      <w:r w:rsidR="007A5C53" w:rsidRPr="00804A4E">
        <w:rPr>
          <w:rFonts w:ascii="Franklin Gothic Book" w:eastAsia="Times New Roman" w:hAnsi="Franklin Gothic Book" w:cs="Times New Roman"/>
          <w:sz w:val="18"/>
          <w:szCs w:val="18"/>
        </w:rPr>
        <w:fldChar w:fldCharType="end"/>
      </w:r>
      <w:r w:rsidR="000715EF">
        <w:rPr>
          <w:rFonts w:ascii="Franklin Gothic Book" w:eastAsia="Times New Roman" w:hAnsi="Franklin Gothic Book" w:cs="Times New Roman"/>
          <w:sz w:val="18"/>
          <w:szCs w:val="18"/>
        </w:rPr>
        <w:t>,</w:t>
      </w:r>
      <w:r w:rsidR="00AE2222" w:rsidRPr="00804A4E">
        <w:rPr>
          <w:rFonts w:ascii="Franklin Gothic Book" w:eastAsia="Times New Roman" w:hAnsi="Franklin Gothic Book" w:cs="Times New Roman"/>
          <w:sz w:val="18"/>
          <w:szCs w:val="18"/>
        </w:rPr>
        <w:t xml:space="preserve"> </w:t>
      </w:r>
      <w:r w:rsidRPr="00804A4E">
        <w:rPr>
          <w:rFonts w:ascii="Franklin Gothic Book" w:eastAsia="Times New Roman" w:hAnsi="Franklin Gothic Book" w:cs="Times New Roman"/>
          <w:sz w:val="18"/>
          <w:szCs w:val="18"/>
        </w:rPr>
        <w:t xml:space="preserve">at 3. TME is a measure reflecting all medical spending for a provider’s primary care patients, and it can be a useful accountability tool for understanding spending for a given provider’s patient population. However, because it is expressed as a per-member-per-month amount, it does not generally reflect </w:t>
      </w:r>
      <w:r w:rsidRPr="00804A4E">
        <w:rPr>
          <w:rFonts w:ascii="Franklin Gothic Book" w:eastAsia="Times New Roman" w:hAnsi="Franklin Gothic Book" w:cs="Times New Roman"/>
          <w:i/>
          <w:iCs/>
          <w:sz w:val="18"/>
          <w:szCs w:val="18"/>
        </w:rPr>
        <w:t>growth</w:t>
      </w:r>
      <w:r w:rsidRPr="00804A4E">
        <w:rPr>
          <w:rFonts w:ascii="Franklin Gothic Book" w:eastAsia="Times New Roman" w:hAnsi="Franklin Gothic Book" w:cs="Times New Roman"/>
          <w:sz w:val="18"/>
          <w:szCs w:val="18"/>
        </w:rPr>
        <w:t xml:space="preserve"> in a provider’s patient population over time. While the movement of patients from a lower</w:t>
      </w:r>
      <w:r w:rsidR="001A5A44" w:rsidRPr="00804A4E">
        <w:rPr>
          <w:rFonts w:ascii="Franklin Gothic Book" w:eastAsia="Times New Roman" w:hAnsi="Franklin Gothic Book" w:cs="Times New Roman"/>
          <w:sz w:val="18"/>
          <w:szCs w:val="18"/>
        </w:rPr>
        <w:t>-</w:t>
      </w:r>
      <w:r w:rsidRPr="00804A4E">
        <w:rPr>
          <w:rFonts w:ascii="Franklin Gothic Book" w:eastAsia="Times New Roman" w:hAnsi="Franklin Gothic Book" w:cs="Times New Roman"/>
          <w:sz w:val="18"/>
          <w:szCs w:val="18"/>
        </w:rPr>
        <w:t>cost provider system to a higher</w:t>
      </w:r>
      <w:r w:rsidR="001A5A44" w:rsidRPr="00804A4E">
        <w:rPr>
          <w:rFonts w:ascii="Franklin Gothic Book" w:eastAsia="Times New Roman" w:hAnsi="Franklin Gothic Book" w:cs="Times New Roman"/>
          <w:sz w:val="18"/>
          <w:szCs w:val="18"/>
        </w:rPr>
        <w:t>-</w:t>
      </w:r>
      <w:r w:rsidRPr="00804A4E">
        <w:rPr>
          <w:rFonts w:ascii="Franklin Gothic Book" w:eastAsia="Times New Roman" w:hAnsi="Franklin Gothic Book" w:cs="Times New Roman"/>
          <w:sz w:val="18"/>
          <w:szCs w:val="18"/>
        </w:rPr>
        <w:t xml:space="preserve">cost provider system may not impact those providers’ TME, it could have a significant impact on total health care </w:t>
      </w:r>
      <w:r w:rsidR="001A5A44" w:rsidRPr="00804A4E">
        <w:rPr>
          <w:rFonts w:ascii="Franklin Gothic Book" w:eastAsia="Times New Roman" w:hAnsi="Franklin Gothic Book" w:cs="Times New Roman"/>
          <w:sz w:val="18"/>
          <w:szCs w:val="18"/>
        </w:rPr>
        <w:t xml:space="preserve">expenditures (THCE) </w:t>
      </w:r>
      <w:r w:rsidRPr="00804A4E">
        <w:rPr>
          <w:rFonts w:ascii="Franklin Gothic Book" w:eastAsia="Times New Roman" w:hAnsi="Franklin Gothic Book" w:cs="Times New Roman"/>
          <w:sz w:val="18"/>
          <w:szCs w:val="18"/>
        </w:rPr>
        <w:t>in the state.</w:t>
      </w:r>
      <w:bookmarkEnd w:id="25"/>
    </w:p>
  </w:footnote>
  <w:footnote w:id="18">
    <w:p w14:paraId="2449AC1F" w14:textId="398312FD"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Mass. Gen. Laws</w:t>
      </w:r>
      <w:r w:rsidRPr="00804A4E">
        <w:rPr>
          <w:rFonts w:ascii="Franklin Gothic Book" w:hAnsi="Franklin Gothic Book" w:cs="Times New Roman"/>
          <w:sz w:val="18"/>
          <w:szCs w:val="18"/>
        </w:rPr>
        <w:t xml:space="preserve"> c</w:t>
      </w:r>
      <w:r w:rsidR="00C416EF" w:rsidRPr="00804A4E">
        <w:rPr>
          <w:rFonts w:ascii="Franklin Gothic Book" w:hAnsi="Franklin Gothic Book" w:cs="Times New Roman"/>
          <w:sz w:val="18"/>
          <w:szCs w:val="18"/>
        </w:rPr>
        <w:t>h</w:t>
      </w:r>
      <w:r w:rsidRPr="00804A4E">
        <w:rPr>
          <w:rFonts w:ascii="Franklin Gothic Book" w:hAnsi="Franklin Gothic Book" w:cs="Times New Roman"/>
          <w:sz w:val="18"/>
          <w:szCs w:val="18"/>
        </w:rPr>
        <w:t>. 111, § 25C(h).</w:t>
      </w:r>
    </w:p>
  </w:footnote>
  <w:footnote w:id="19">
    <w:p w14:paraId="395CECB7" w14:textId="3F47F82F"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independent cost</w:t>
      </w:r>
      <w:r w:rsidR="00B33CCE"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analyses were conducted by a team led by </w:t>
      </w:r>
      <w:r w:rsidR="009A77F3" w:rsidRPr="00804A4E">
        <w:rPr>
          <w:rFonts w:ascii="Franklin Gothic Book" w:hAnsi="Franklin Gothic Book" w:cs="Times New Roman"/>
          <w:sz w:val="18"/>
          <w:szCs w:val="18"/>
        </w:rPr>
        <w:t xml:space="preserve">Dr. </w:t>
      </w:r>
      <w:r w:rsidRPr="00804A4E">
        <w:rPr>
          <w:rFonts w:ascii="Franklin Gothic Book" w:hAnsi="Franklin Gothic Book" w:cs="Times New Roman"/>
          <w:sz w:val="18"/>
          <w:szCs w:val="18"/>
        </w:rPr>
        <w:t>Sean May</w:t>
      </w:r>
      <w:r w:rsidRPr="00804A4E">
        <w:rPr>
          <w:rFonts w:ascii="Franklin Gothic Book" w:hAnsi="Franklin Gothic Book" w:cs="Times New Roman"/>
          <w:sz w:val="18"/>
          <w:szCs w:val="18"/>
          <w:shd w:val="clear" w:color="auto" w:fill="FEFEFE"/>
        </w:rPr>
        <w:t>.</w:t>
      </w:r>
    </w:p>
  </w:footnote>
  <w:footnote w:id="20">
    <w:p w14:paraId="3CF1FEF3" w14:textId="77777777" w:rsidR="0062704A" w:rsidRPr="00804A4E" w:rsidRDefault="0062704A" w:rsidP="00142DCC">
      <w:pPr>
        <w:pStyle w:val="FootnoteText"/>
        <w:widowControl w:val="0"/>
        <w:rPr>
          <w:rFonts w:ascii="Franklin Gothic Book" w:hAnsi="Franklin Gothic Book" w:cs="Times New Roman"/>
          <w:smallCaps/>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Office of Atty. Gen. Maura Healey</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Examination of Health Care Cost Trends and Cost Drivers</w:t>
      </w:r>
    </w:p>
    <w:p w14:paraId="4E5C4C2D" w14:textId="1CD788C6" w:rsidR="0062704A" w:rsidRPr="00804A4E" w:rsidRDefault="0062704A" w:rsidP="00142DCC">
      <w:pPr>
        <w:pStyle w:val="FootnoteText"/>
        <w:widowControl w:val="0"/>
        <w:rPr>
          <w:rFonts w:ascii="Franklin Gothic Book" w:hAnsi="Franklin Gothic Book" w:cs="Times New Roman"/>
          <w:sz w:val="18"/>
          <w:szCs w:val="18"/>
        </w:rPr>
      </w:pPr>
      <w:r w:rsidRPr="00804A4E">
        <w:rPr>
          <w:rFonts w:ascii="Franklin Gothic Book" w:hAnsi="Franklin Gothic Book" w:cs="Times New Roman"/>
          <w:smallCaps/>
          <w:sz w:val="18"/>
          <w:szCs w:val="18"/>
        </w:rPr>
        <w:t>Pursuant to G.L. c. 12C, § 17</w:t>
      </w:r>
      <w:r w:rsidR="002D2DEB" w:rsidRPr="00804A4E">
        <w:rPr>
          <w:rFonts w:ascii="Franklin Gothic Book" w:hAnsi="Franklin Gothic Book" w:cs="Times New Roman"/>
          <w:smallCaps/>
          <w:sz w:val="18"/>
          <w:szCs w:val="18"/>
        </w:rPr>
        <w:t xml:space="preserve">. </w:t>
      </w:r>
      <w:r w:rsidRPr="00804A4E">
        <w:rPr>
          <w:rFonts w:ascii="Franklin Gothic Book" w:hAnsi="Franklin Gothic Book" w:cs="Times New Roman"/>
          <w:smallCaps/>
          <w:sz w:val="18"/>
          <w:szCs w:val="18"/>
        </w:rPr>
        <w:t>Report for Annual Public Hearing Under G.L. c. 6D, § 8</w:t>
      </w:r>
      <w:r w:rsidRPr="00804A4E">
        <w:rPr>
          <w:rFonts w:ascii="Franklin Gothic Book" w:hAnsi="Franklin Gothic Book" w:cs="Times New Roman"/>
          <w:sz w:val="18"/>
          <w:szCs w:val="18"/>
        </w:rPr>
        <w:t xml:space="preserve"> (Nov. 17, 2021) [hereinafter MGB Internal Document Disclosures], </w:t>
      </w:r>
      <w:r w:rsidR="008F5980">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14" w:history="1">
        <w:r w:rsidR="008F5980">
          <w:rPr>
            <w:rStyle w:val="Hyperlink"/>
            <w:rFonts w:ascii="Franklin Gothic Book" w:hAnsi="Franklin Gothic Book" w:cs="Times New Roman"/>
            <w:sz w:val="18"/>
            <w:szCs w:val="18"/>
          </w:rPr>
          <w:t>at https://www.mass.gov/doc/ago-examination-into-cost-drivers/download</w:t>
        </w:r>
      </w:hyperlink>
      <w:r w:rsidRPr="00804A4E">
        <w:rPr>
          <w:rFonts w:ascii="Franklin Gothic Book" w:hAnsi="Franklin Gothic Book" w:cs="Times New Roman"/>
          <w:sz w:val="18"/>
          <w:szCs w:val="18"/>
        </w:rPr>
        <w:t xml:space="preserve">. </w:t>
      </w:r>
      <w:bookmarkStart w:id="27" w:name="_Hlk93645786"/>
      <w:r w:rsidR="00061F38" w:rsidRPr="00804A4E">
        <w:rPr>
          <w:rFonts w:ascii="Franklin Gothic Book" w:hAnsi="Franklin Gothic Book" w:cs="Times New Roman"/>
          <w:sz w:val="18"/>
          <w:szCs w:val="18"/>
        </w:rPr>
        <w:t>These materials were released publicly at a summary level. The underlying documents have not been made publicly available, and the HPC did not have access to any underlying documents. The HPC sought to make reasonable assumptions based on the information disclosed</w:t>
      </w:r>
      <w:r w:rsidR="002203F6">
        <w:rPr>
          <w:rFonts w:ascii="Franklin Gothic Book" w:hAnsi="Franklin Gothic Book" w:cs="Times New Roman"/>
          <w:sz w:val="18"/>
          <w:szCs w:val="18"/>
        </w:rPr>
        <w:t>.</w:t>
      </w:r>
      <w:r w:rsidR="00061F38" w:rsidRPr="00804A4E">
        <w:rPr>
          <w:rFonts w:ascii="Franklin Gothic Book" w:hAnsi="Franklin Gothic Book" w:cs="Times New Roman"/>
          <w:sz w:val="18"/>
          <w:szCs w:val="18"/>
        </w:rPr>
        <w:t xml:space="preserve"> </w:t>
      </w:r>
      <w:r w:rsidR="002203F6">
        <w:rPr>
          <w:rFonts w:ascii="Franklin Gothic Book" w:hAnsi="Franklin Gothic Book" w:cs="Times New Roman"/>
          <w:sz w:val="18"/>
          <w:szCs w:val="18"/>
        </w:rPr>
        <w:t xml:space="preserve">The </w:t>
      </w:r>
      <w:r w:rsidR="00061F38" w:rsidRPr="00804A4E">
        <w:rPr>
          <w:rFonts w:ascii="Franklin Gothic Book" w:hAnsi="Franklin Gothic Book" w:cs="Times New Roman"/>
          <w:sz w:val="18"/>
          <w:szCs w:val="18"/>
        </w:rPr>
        <w:t>HPC’s assumptions are noted throughout this document</w:t>
      </w:r>
      <w:bookmarkEnd w:id="27"/>
      <w:r w:rsidR="00061F38" w:rsidRPr="00804A4E">
        <w:rPr>
          <w:rFonts w:ascii="Franklin Gothic Book" w:hAnsi="Franklin Gothic Book" w:cs="Times New Roman"/>
          <w:sz w:val="18"/>
          <w:szCs w:val="18"/>
        </w:rPr>
        <w:t>.</w:t>
      </w:r>
    </w:p>
  </w:footnote>
  <w:footnote w:id="21">
    <w:p w14:paraId="45E33E14" w14:textId="77777777"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As a party of record to the DoN review process, but without having separate authority to review the proposals, the HPC did not have the authority to pose questions to the applicant directly or to solicit confidential data or information as part of its review.</w:t>
      </w:r>
    </w:p>
  </w:footnote>
  <w:footnote w:id="22">
    <w:p w14:paraId="39D1560A" w14:textId="7011F67B"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B870E0" w:rsidRPr="00804A4E">
        <w:rPr>
          <w:rFonts w:ascii="Franklin Gothic Book" w:hAnsi="Franklin Gothic Book" w:cs="Times New Roman"/>
          <w:sz w:val="18"/>
          <w:szCs w:val="18"/>
        </w:rPr>
        <w:t>Independent cost</w:t>
      </w:r>
      <w:r w:rsidR="00B33CCE" w:rsidRPr="00804A4E">
        <w:rPr>
          <w:rFonts w:ascii="Franklin Gothic Book" w:hAnsi="Franklin Gothic Book" w:cs="Times New Roman"/>
          <w:sz w:val="18"/>
          <w:szCs w:val="18"/>
        </w:rPr>
        <w:t>-</w:t>
      </w:r>
      <w:r w:rsidR="00B870E0" w:rsidRPr="00804A4E">
        <w:rPr>
          <w:rFonts w:ascii="Franklin Gothic Book" w:hAnsi="Franklin Gothic Book" w:cs="Times New Roman"/>
          <w:sz w:val="18"/>
          <w:szCs w:val="18"/>
        </w:rPr>
        <w:t xml:space="preserve">analysis for MGB DoN application for Substantial Capital Expenditure and Substantial Change in Service at MGH [hereinafter MGH ICA], </w:t>
      </w:r>
      <w:r w:rsidR="001A115C">
        <w:rPr>
          <w:rFonts w:ascii="Franklin Gothic Book" w:hAnsi="Franklin Gothic Book" w:cs="Times New Roman"/>
          <w:i/>
          <w:iCs/>
          <w:sz w:val="18"/>
          <w:szCs w:val="18"/>
        </w:rPr>
        <w:t>available</w:t>
      </w:r>
      <w:r w:rsidR="00B870E0" w:rsidRPr="00804A4E">
        <w:rPr>
          <w:rFonts w:ascii="Franklin Gothic Book" w:hAnsi="Franklin Gothic Book" w:cs="Times New Roman"/>
          <w:sz w:val="18"/>
          <w:szCs w:val="18"/>
        </w:rPr>
        <w:t xml:space="preserve"> </w:t>
      </w:r>
      <w:hyperlink r:id="rId15" w:history="1">
        <w:r w:rsidR="001A115C">
          <w:rPr>
            <w:rStyle w:val="Hyperlink"/>
            <w:rFonts w:ascii="Franklin Gothic Book" w:hAnsi="Franklin Gothic Book" w:cs="Times New Roman"/>
            <w:sz w:val="18"/>
            <w:szCs w:val="18"/>
          </w:rPr>
          <w:t>at https://www.mass.gov/doc/independent-cost-analysis-2/download</w:t>
        </w:r>
      </w:hyperlink>
      <w:r w:rsidR="00A45E38" w:rsidRPr="00804A4E">
        <w:rPr>
          <w:rStyle w:val="Hyperlink"/>
          <w:rFonts w:ascii="Franklin Gothic Book" w:hAnsi="Franklin Gothic Book" w:cs="Times New Roman"/>
          <w:sz w:val="18"/>
          <w:szCs w:val="18"/>
        </w:rPr>
        <w:t xml:space="preserve">, </w:t>
      </w:r>
      <w:hyperlink r:id="rId16" w:history="1">
        <w:r w:rsidR="00CA1FAF">
          <w:rPr>
            <w:rStyle w:val="Hyperlink"/>
            <w:rFonts w:ascii="Franklin Gothic Book" w:hAnsi="Franklin Gothic Book" w:cs="Times New Roman"/>
            <w:sz w:val="18"/>
            <w:szCs w:val="18"/>
          </w:rPr>
          <w:t>at https://www.mass.gov/doc/tables-2/download</w:t>
        </w:r>
      </w:hyperlink>
      <w:r w:rsidR="00A45E38" w:rsidRPr="00804A4E">
        <w:rPr>
          <w:rStyle w:val="Hyperlink"/>
          <w:rFonts w:ascii="Franklin Gothic Book" w:hAnsi="Franklin Gothic Book" w:cs="Times New Roman"/>
          <w:sz w:val="18"/>
          <w:szCs w:val="18"/>
        </w:rPr>
        <w:t>, https://www.mass.gov/doc/maps-3/download</w:t>
      </w:r>
      <w:r w:rsidR="00B870E0" w:rsidRPr="00804A4E">
        <w:rPr>
          <w:rFonts w:ascii="Franklin Gothic Book" w:hAnsi="Franklin Gothic Book" w:cs="Times New Roman"/>
          <w:sz w:val="18"/>
          <w:szCs w:val="18"/>
        </w:rPr>
        <w:t>; Independent cost</w:t>
      </w:r>
      <w:r w:rsidR="00B33CCE" w:rsidRPr="00804A4E">
        <w:rPr>
          <w:rFonts w:ascii="Franklin Gothic Book" w:hAnsi="Franklin Gothic Book" w:cs="Times New Roman"/>
          <w:sz w:val="18"/>
          <w:szCs w:val="18"/>
        </w:rPr>
        <w:t>-</w:t>
      </w:r>
      <w:r w:rsidR="00B870E0" w:rsidRPr="00804A4E">
        <w:rPr>
          <w:rFonts w:ascii="Franklin Gothic Book" w:hAnsi="Franklin Gothic Book" w:cs="Times New Roman"/>
          <w:sz w:val="18"/>
          <w:szCs w:val="18"/>
        </w:rPr>
        <w:t xml:space="preserve">analysis for MGB DoN application for Substantial Capital Expenditure and Substantial Change in Service at Brigham and Women’s Faulkner Hospital [hereinafter Faulkner ICA], </w:t>
      </w:r>
      <w:r w:rsidR="00CA1FAF">
        <w:rPr>
          <w:rFonts w:ascii="Franklin Gothic Book" w:hAnsi="Franklin Gothic Book" w:cs="Times New Roman"/>
          <w:i/>
          <w:iCs/>
          <w:sz w:val="18"/>
          <w:szCs w:val="18"/>
        </w:rPr>
        <w:t>available</w:t>
      </w:r>
      <w:r w:rsidR="00B870E0" w:rsidRPr="00804A4E">
        <w:rPr>
          <w:rFonts w:ascii="Franklin Gothic Book" w:hAnsi="Franklin Gothic Book" w:cs="Times New Roman"/>
          <w:sz w:val="18"/>
          <w:szCs w:val="18"/>
        </w:rPr>
        <w:t xml:space="preserve"> </w:t>
      </w:r>
      <w:hyperlink r:id="rId17" w:history="1">
        <w:r w:rsidR="00CA1FAF">
          <w:rPr>
            <w:rStyle w:val="Hyperlink"/>
            <w:rFonts w:ascii="Franklin Gothic Book" w:hAnsi="Franklin Gothic Book" w:cs="Times New Roman"/>
            <w:sz w:val="18"/>
            <w:szCs w:val="18"/>
          </w:rPr>
          <w:t>at https://www.mass.gov/doc/independent-cost-analysis-1/download</w:t>
        </w:r>
      </w:hyperlink>
      <w:r w:rsidR="00B33CCE" w:rsidRPr="00804A4E">
        <w:rPr>
          <w:rStyle w:val="Hyperlink"/>
          <w:rFonts w:ascii="Franklin Gothic Book" w:hAnsi="Franklin Gothic Book" w:cs="Times New Roman"/>
          <w:sz w:val="18"/>
          <w:szCs w:val="18"/>
        </w:rPr>
        <w:t xml:space="preserve">, </w:t>
      </w:r>
      <w:hyperlink r:id="rId18" w:history="1">
        <w:r w:rsidR="00DC65FC">
          <w:rPr>
            <w:rStyle w:val="Hyperlink"/>
            <w:rFonts w:ascii="Franklin Gothic Book" w:hAnsi="Franklin Gothic Book" w:cs="Times New Roman"/>
            <w:sz w:val="18"/>
            <w:szCs w:val="18"/>
          </w:rPr>
          <w:t>at https://www.mass.gov/doc/tables-0/download</w:t>
        </w:r>
      </w:hyperlink>
      <w:r w:rsidR="00A45E38" w:rsidRPr="00804A4E">
        <w:rPr>
          <w:rStyle w:val="Hyperlink"/>
          <w:rFonts w:ascii="Franklin Gothic Book" w:hAnsi="Franklin Gothic Book" w:cs="Times New Roman"/>
          <w:sz w:val="18"/>
          <w:szCs w:val="18"/>
        </w:rPr>
        <w:t>, https://www.mass.gov/doc/maps-1/download</w:t>
      </w:r>
      <w:r w:rsidR="00B870E0" w:rsidRPr="00804A4E">
        <w:rPr>
          <w:rFonts w:ascii="Franklin Gothic Book" w:hAnsi="Franklin Gothic Book" w:cs="Times New Roman"/>
          <w:sz w:val="18"/>
          <w:szCs w:val="18"/>
        </w:rPr>
        <w:t>; Independent cost</w:t>
      </w:r>
      <w:r w:rsidR="00B33CCE" w:rsidRPr="00804A4E">
        <w:rPr>
          <w:rFonts w:ascii="Franklin Gothic Book" w:hAnsi="Franklin Gothic Book" w:cs="Times New Roman"/>
          <w:sz w:val="18"/>
          <w:szCs w:val="18"/>
        </w:rPr>
        <w:t>-</w:t>
      </w:r>
      <w:r w:rsidR="00B870E0" w:rsidRPr="00804A4E">
        <w:rPr>
          <w:rFonts w:ascii="Franklin Gothic Book" w:hAnsi="Franklin Gothic Book" w:cs="Times New Roman"/>
          <w:sz w:val="18"/>
          <w:szCs w:val="18"/>
        </w:rPr>
        <w:t xml:space="preserve">analysis for MGB DoN application for Ambulatory Surgery, Clinic Substantial Capital Expenditure, and purchase of DoN-required equipment [hereinafter Ambulatory ICA], </w:t>
      </w:r>
      <w:r w:rsidR="00C252B0">
        <w:rPr>
          <w:rFonts w:ascii="Franklin Gothic Book" w:hAnsi="Franklin Gothic Book" w:cs="Times New Roman"/>
          <w:i/>
          <w:iCs/>
          <w:sz w:val="18"/>
          <w:szCs w:val="18"/>
        </w:rPr>
        <w:t>available</w:t>
      </w:r>
      <w:r w:rsidR="00B870E0" w:rsidRPr="00804A4E">
        <w:rPr>
          <w:rFonts w:ascii="Franklin Gothic Book" w:hAnsi="Franklin Gothic Book" w:cs="Times New Roman"/>
          <w:sz w:val="18"/>
          <w:szCs w:val="18"/>
        </w:rPr>
        <w:t xml:space="preserve"> </w:t>
      </w:r>
      <w:hyperlink r:id="rId19" w:history="1">
        <w:r w:rsidR="00C252B0">
          <w:rPr>
            <w:rStyle w:val="Hyperlink"/>
            <w:rFonts w:ascii="Franklin Gothic Book" w:hAnsi="Franklin Gothic Book" w:cs="Times New Roman"/>
            <w:sz w:val="18"/>
            <w:szCs w:val="18"/>
          </w:rPr>
          <w:t>at https://www.mass.gov/doc/independent-cost-analysis-4/download</w:t>
        </w:r>
      </w:hyperlink>
      <w:r w:rsidR="00A45E38" w:rsidRPr="00804A4E">
        <w:rPr>
          <w:rStyle w:val="Hyperlink"/>
          <w:rFonts w:ascii="Franklin Gothic Book" w:hAnsi="Franklin Gothic Book" w:cs="Times New Roman"/>
          <w:sz w:val="18"/>
          <w:szCs w:val="18"/>
        </w:rPr>
        <w:t xml:space="preserve">, </w:t>
      </w:r>
      <w:hyperlink r:id="rId20" w:history="1">
        <w:r w:rsidR="0090367E">
          <w:rPr>
            <w:rStyle w:val="Hyperlink"/>
            <w:rFonts w:ascii="Franklin Gothic Book" w:hAnsi="Franklin Gothic Book" w:cs="Times New Roman"/>
            <w:sz w:val="18"/>
            <w:szCs w:val="18"/>
          </w:rPr>
          <w:t>at https://www.mass.gov/doc/tables-4/download</w:t>
        </w:r>
      </w:hyperlink>
      <w:r w:rsidR="00A45E38" w:rsidRPr="00804A4E">
        <w:rPr>
          <w:rStyle w:val="Hyperlink"/>
          <w:rFonts w:ascii="Franklin Gothic Book" w:hAnsi="Franklin Gothic Book" w:cs="Times New Roman"/>
          <w:sz w:val="18"/>
          <w:szCs w:val="18"/>
        </w:rPr>
        <w:t>, https://www.mass.gov/doc/maps-5/download</w:t>
      </w:r>
      <w:r w:rsidR="00B870E0" w:rsidRPr="00804A4E">
        <w:rPr>
          <w:rFonts w:ascii="Franklin Gothic Book" w:hAnsi="Franklin Gothic Book" w:cs="Times New Roman"/>
          <w:sz w:val="18"/>
          <w:szCs w:val="18"/>
        </w:rPr>
        <w:t>.</w:t>
      </w:r>
    </w:p>
  </w:footnote>
  <w:footnote w:id="23">
    <w:p w14:paraId="28D4EC03" w14:textId="1757B3B7" w:rsidR="002D50A5" w:rsidRPr="00804A4E" w:rsidRDefault="002D50A5"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 Internal Document Disclosures</w:t>
      </w:r>
      <w:r w:rsidR="005D58D2" w:rsidRPr="00804A4E">
        <w:rPr>
          <w:rFonts w:ascii="Franklin Gothic Book" w:hAnsi="Franklin Gothic Book" w:cs="Times New Roman"/>
          <w:sz w:val="18"/>
          <w:szCs w:val="18"/>
        </w:rPr>
        <w:t>,</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w:t>
      </w:r>
      <w:r w:rsidR="005D58D2" w:rsidRPr="00804A4E">
        <w:rPr>
          <w:rFonts w:ascii="Franklin Gothic Book" w:hAnsi="Franklin Gothic Book" w:cs="Times New Roman"/>
          <w:sz w:val="18"/>
          <w:szCs w:val="18"/>
        </w:rPr>
        <w:t>n</w:t>
      </w:r>
      <w:r w:rsidRPr="00804A4E">
        <w:rPr>
          <w:rFonts w:ascii="Franklin Gothic Book" w:hAnsi="Franklin Gothic Book" w:cs="Times New Roman"/>
          <w:sz w:val="18"/>
          <w:szCs w:val="18"/>
        </w:rPr>
        <w:t xml:space="preserve">ote </w:t>
      </w:r>
      <w:r w:rsidR="005D58D2" w:rsidRPr="00804A4E">
        <w:rPr>
          <w:rFonts w:ascii="Franklin Gothic Book" w:hAnsi="Franklin Gothic Book" w:cs="Times New Roman"/>
          <w:sz w:val="18"/>
          <w:szCs w:val="18"/>
        </w:rPr>
        <w:fldChar w:fldCharType="begin"/>
      </w:r>
      <w:r w:rsidR="005D58D2" w:rsidRPr="00804A4E">
        <w:rPr>
          <w:rFonts w:ascii="Franklin Gothic Book" w:hAnsi="Franklin Gothic Book" w:cs="Times New Roman"/>
          <w:sz w:val="18"/>
          <w:szCs w:val="18"/>
        </w:rPr>
        <w:instrText xml:space="preserve"> NOTEREF _Ref93071831 \h </w:instrText>
      </w:r>
      <w:r w:rsidR="00804A4E" w:rsidRPr="00804A4E">
        <w:rPr>
          <w:rFonts w:ascii="Franklin Gothic Book" w:hAnsi="Franklin Gothic Book" w:cs="Times New Roman"/>
          <w:sz w:val="18"/>
          <w:szCs w:val="18"/>
        </w:rPr>
        <w:instrText xml:space="preserve"> \* MERGEFORMAT </w:instrText>
      </w:r>
      <w:r w:rsidR="005D58D2" w:rsidRPr="00804A4E">
        <w:rPr>
          <w:rFonts w:ascii="Franklin Gothic Book" w:hAnsi="Franklin Gothic Book" w:cs="Times New Roman"/>
          <w:sz w:val="18"/>
          <w:szCs w:val="18"/>
        </w:rPr>
      </w:r>
      <w:r w:rsidR="005D58D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5D58D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(also describing that MGH expects that the new hospital margin from the ambulatory sites would outweigh any losses from diverting care to the ambulatory sites).</w:t>
      </w:r>
    </w:p>
  </w:footnote>
  <w:footnote w:id="24">
    <w:p w14:paraId="6022F6F9" w14:textId="0EDFA57B"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8E5864" w:rsidRPr="00804A4E">
        <w:rPr>
          <w:rFonts w:ascii="Franklin Gothic Book" w:hAnsi="Franklin Gothic Book" w:cs="Times New Roman"/>
          <w:sz w:val="18"/>
          <w:szCs w:val="18"/>
        </w:rPr>
        <w:t xml:space="preserve">MGH ICA, </w:t>
      </w:r>
      <w:r w:rsidR="008E5864" w:rsidRPr="00804A4E">
        <w:rPr>
          <w:rFonts w:ascii="Franklin Gothic Book" w:hAnsi="Franklin Gothic Book" w:cs="Times New Roman"/>
          <w:i/>
          <w:iCs/>
          <w:sz w:val="18"/>
          <w:szCs w:val="18"/>
        </w:rPr>
        <w:t>supra</w:t>
      </w:r>
      <w:r w:rsidR="008E5864"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00736C83" w:rsidRPr="00804A4E">
        <w:rPr>
          <w:rFonts w:ascii="Franklin Gothic Book" w:hAnsi="Franklin Gothic Book" w:cs="Times New Roman"/>
          <w:sz w:val="18"/>
          <w:szCs w:val="18"/>
        </w:rPr>
        <w:t>, Figure MGH22</w:t>
      </w:r>
      <w:r w:rsidR="00087099" w:rsidRPr="00804A4E">
        <w:rPr>
          <w:rFonts w:ascii="Franklin Gothic Book" w:hAnsi="Franklin Gothic Book" w:cs="Times New Roman"/>
          <w:sz w:val="18"/>
          <w:szCs w:val="18"/>
        </w:rPr>
        <w:t>.</w:t>
      </w:r>
    </w:p>
  </w:footnote>
  <w:footnote w:id="25">
    <w:p w14:paraId="53DEFFB6" w14:textId="7820115A" w:rsidR="0062704A" w:rsidRPr="00804A4E" w:rsidRDefault="0062704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8E5864" w:rsidRPr="00804A4E">
        <w:rPr>
          <w:rFonts w:ascii="Franklin Gothic Book" w:hAnsi="Franklin Gothic Book" w:cs="Times New Roman"/>
          <w:sz w:val="18"/>
          <w:szCs w:val="18"/>
        </w:rPr>
        <w:t xml:space="preserve">Faulkner ICA, </w:t>
      </w:r>
      <w:r w:rsidR="008E5864" w:rsidRPr="00804A4E">
        <w:rPr>
          <w:rFonts w:ascii="Franklin Gothic Book" w:hAnsi="Franklin Gothic Book" w:cs="Times New Roman"/>
          <w:i/>
          <w:iCs/>
          <w:sz w:val="18"/>
          <w:szCs w:val="18"/>
        </w:rPr>
        <w:t>supra</w:t>
      </w:r>
      <w:r w:rsidR="008E5864"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00736C83" w:rsidRPr="00804A4E">
        <w:rPr>
          <w:rFonts w:ascii="Franklin Gothic Book" w:hAnsi="Franklin Gothic Book" w:cs="Times New Roman"/>
          <w:sz w:val="18"/>
          <w:szCs w:val="18"/>
        </w:rPr>
        <w:t>, Figure BWFH14</w:t>
      </w:r>
      <w:r w:rsidR="00087099" w:rsidRPr="00804A4E">
        <w:rPr>
          <w:rFonts w:ascii="Franklin Gothic Book" w:hAnsi="Franklin Gothic Book" w:cs="Times New Roman"/>
          <w:sz w:val="18"/>
          <w:szCs w:val="18"/>
        </w:rPr>
        <w:t>.</w:t>
      </w:r>
    </w:p>
  </w:footnote>
  <w:footnote w:id="26">
    <w:p w14:paraId="39E72DC1" w14:textId="014693CC" w:rsidR="00BD3BE7" w:rsidRPr="00804A4E" w:rsidRDefault="00BD3BE7"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 xml:space="preserve">See </w:t>
      </w:r>
      <w:hyperlink w:anchor="Appendix_IIA" w:history="1">
        <w:r w:rsidRPr="00804A4E">
          <w:rPr>
            <w:rStyle w:val="Hyperlink"/>
            <w:rFonts w:ascii="Franklin Gothic Book" w:hAnsi="Franklin Gothic Book" w:cs="Times New Roman"/>
            <w:sz w:val="18"/>
            <w:szCs w:val="18"/>
          </w:rPr>
          <w:t>Appendix II.A</w:t>
        </w:r>
      </w:hyperlink>
      <w:r w:rsidR="00445C4B" w:rsidRPr="00445C4B">
        <w:rPr>
          <w:rStyle w:val="Hyperlink"/>
          <w:rFonts w:ascii="Franklin Gothic Book" w:hAnsi="Franklin Gothic Book" w:cs="Times New Roman"/>
          <w:color w:val="auto"/>
          <w:sz w:val="18"/>
          <w:szCs w:val="18"/>
          <w:u w:val="none"/>
        </w:rPr>
        <w:t>.</w:t>
      </w:r>
    </w:p>
  </w:footnote>
  <w:footnote w:id="27">
    <w:p w14:paraId="0B74C7B3" w14:textId="533349CD"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5F0C2E" w:rsidRPr="00804A4E">
        <w:rPr>
          <w:rFonts w:ascii="Franklin Gothic Book" w:hAnsi="Franklin Gothic Book" w:cs="Times New Roman"/>
          <w:sz w:val="18"/>
          <w:szCs w:val="18"/>
        </w:rPr>
        <w:t xml:space="preserve">HPC analyses </w:t>
      </w:r>
      <w:r w:rsidR="00460C3D" w:rsidRPr="00804A4E">
        <w:rPr>
          <w:rFonts w:ascii="Franklin Gothic Book" w:hAnsi="Franklin Gothic Book" w:cs="Times New Roman"/>
          <w:sz w:val="18"/>
          <w:szCs w:val="18"/>
        </w:rPr>
        <w:t xml:space="preserve">of market share </w:t>
      </w:r>
      <w:r w:rsidR="005F0C2E" w:rsidRPr="00804A4E">
        <w:rPr>
          <w:rFonts w:ascii="Franklin Gothic Book" w:hAnsi="Franklin Gothic Book" w:cs="Times New Roman"/>
          <w:sz w:val="18"/>
          <w:szCs w:val="18"/>
        </w:rPr>
        <w:t>are generally in line with those of the ICAs. The ICAs</w:t>
      </w:r>
      <w:r w:rsidRPr="00804A4E">
        <w:rPr>
          <w:rFonts w:ascii="Franklin Gothic Book" w:hAnsi="Franklin Gothic Book" w:cs="Times New Roman"/>
          <w:sz w:val="18"/>
          <w:szCs w:val="18"/>
        </w:rPr>
        <w:t xml:space="preserve"> report that MGB </w:t>
      </w:r>
      <w:r w:rsidR="00F2726D" w:rsidRPr="00804A4E">
        <w:rPr>
          <w:rFonts w:ascii="Franklin Gothic Book" w:hAnsi="Franklin Gothic Book" w:cs="Times New Roman"/>
          <w:sz w:val="18"/>
          <w:szCs w:val="18"/>
        </w:rPr>
        <w:t xml:space="preserve">has </w:t>
      </w:r>
      <w:r w:rsidRPr="00804A4E">
        <w:rPr>
          <w:rFonts w:ascii="Franklin Gothic Book" w:hAnsi="Franklin Gothic Book" w:cs="Times New Roman"/>
          <w:sz w:val="18"/>
          <w:szCs w:val="18"/>
        </w:rPr>
        <w:t xml:space="preserve">the highest share in MGH’s service area for overall inpatient services, </w:t>
      </w:r>
      <w:r w:rsidR="00164F43" w:rsidRPr="00804A4E">
        <w:rPr>
          <w:rFonts w:ascii="Franklin Gothic Book" w:hAnsi="Franklin Gothic Book" w:cs="Times New Roman"/>
          <w:sz w:val="18"/>
          <w:szCs w:val="18"/>
        </w:rPr>
        <w:t xml:space="preserve">including across </w:t>
      </w:r>
      <w:r w:rsidRPr="00804A4E">
        <w:rPr>
          <w:rFonts w:ascii="Franklin Gothic Book" w:hAnsi="Franklin Gothic Book" w:cs="Times New Roman"/>
          <w:sz w:val="18"/>
          <w:szCs w:val="18"/>
        </w:rPr>
        <w:t xml:space="preserve">cancer services, heart and vascular services, and other services, with shares ranging from 32% (other inpatient services) to 45% (inpatient cancer services).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003D4851" w:rsidRPr="00804A4E">
        <w:rPr>
          <w:rFonts w:ascii="Franklin Gothic Book" w:hAnsi="Franklin Gothic Book" w:cs="Times New Roman"/>
          <w:sz w:val="18"/>
          <w:szCs w:val="18"/>
        </w:rPr>
        <w:t xml:space="preserve">MGH ICA, </w:t>
      </w:r>
      <w:r w:rsidR="003D4851" w:rsidRPr="00804A4E">
        <w:rPr>
          <w:rFonts w:ascii="Franklin Gothic Book" w:hAnsi="Franklin Gothic Book" w:cs="Times New Roman"/>
          <w:i/>
          <w:iCs/>
          <w:sz w:val="18"/>
          <w:szCs w:val="18"/>
        </w:rPr>
        <w:t xml:space="preserve">supra </w:t>
      </w:r>
      <w:r w:rsidR="003D4851" w:rsidRPr="00804A4E">
        <w:rPr>
          <w:rFonts w:ascii="Franklin Gothic Book" w:hAnsi="Franklin Gothic Book" w:cs="Times New Roman"/>
          <w:sz w:val="18"/>
          <w:szCs w:val="18"/>
        </w:rPr>
        <w:t xml:space="preserve">note </w:t>
      </w:r>
      <w:r w:rsidR="003D4851" w:rsidRPr="00804A4E">
        <w:rPr>
          <w:rFonts w:ascii="Franklin Gothic Book" w:hAnsi="Franklin Gothic Book" w:cs="Times New Roman"/>
          <w:sz w:val="18"/>
          <w:szCs w:val="18"/>
        </w:rPr>
        <w:fldChar w:fldCharType="begin"/>
      </w:r>
      <w:r w:rsidR="003D4851"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D4851" w:rsidRPr="00804A4E">
        <w:rPr>
          <w:rFonts w:ascii="Franklin Gothic Book" w:hAnsi="Franklin Gothic Book" w:cs="Times New Roman"/>
          <w:sz w:val="18"/>
          <w:szCs w:val="18"/>
        </w:rPr>
      </w:r>
      <w:r w:rsidR="003D485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D4851" w:rsidRPr="00804A4E">
        <w:rPr>
          <w:rFonts w:ascii="Franklin Gothic Book" w:hAnsi="Franklin Gothic Book" w:cs="Times New Roman"/>
          <w:sz w:val="18"/>
          <w:szCs w:val="18"/>
        </w:rPr>
        <w:fldChar w:fldCharType="end"/>
      </w:r>
      <w:r w:rsidR="003D4851" w:rsidRPr="00804A4E">
        <w:rPr>
          <w:rFonts w:ascii="Franklin Gothic Book" w:hAnsi="Franklin Gothic Book" w:cs="Times New Roman"/>
          <w:sz w:val="18"/>
          <w:szCs w:val="18"/>
        </w:rPr>
        <w:t xml:space="preserve">, at </w:t>
      </w:r>
      <w:r w:rsidRPr="00804A4E">
        <w:rPr>
          <w:rFonts w:ascii="Franklin Gothic Book" w:hAnsi="Franklin Gothic Book" w:cs="Times New Roman"/>
          <w:sz w:val="18"/>
          <w:szCs w:val="18"/>
        </w:rPr>
        <w:t xml:space="preserve">Figure MGH15. </w:t>
      </w:r>
      <w:r w:rsidR="002D50A5" w:rsidRPr="00804A4E">
        <w:rPr>
          <w:rFonts w:ascii="Franklin Gothic Book" w:hAnsi="Franklin Gothic Book" w:cs="Times New Roman"/>
          <w:sz w:val="18"/>
          <w:szCs w:val="18"/>
        </w:rPr>
        <w:t>Similarly, the ICA reports MGH and other MGB facilities consistently have the highest combined shares in MGH’s service areas for all outpatient services examined (outpatient CT scans, MR scans, PET/CT scans, cardiovascular procedures, and oncology visits).</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003D4851" w:rsidRPr="00804A4E">
        <w:rPr>
          <w:rFonts w:ascii="Franklin Gothic Book" w:hAnsi="Franklin Gothic Book" w:cs="Times New Roman"/>
          <w:sz w:val="18"/>
          <w:szCs w:val="18"/>
        </w:rPr>
        <w:t xml:space="preserve">MGH ICA, </w:t>
      </w:r>
      <w:r w:rsidR="003D4851" w:rsidRPr="00804A4E">
        <w:rPr>
          <w:rFonts w:ascii="Franklin Gothic Book" w:hAnsi="Franklin Gothic Book" w:cs="Times New Roman"/>
          <w:i/>
          <w:iCs/>
          <w:sz w:val="18"/>
          <w:szCs w:val="18"/>
        </w:rPr>
        <w:t xml:space="preserve">supra </w:t>
      </w:r>
      <w:r w:rsidR="003D4851" w:rsidRPr="00804A4E">
        <w:rPr>
          <w:rFonts w:ascii="Franklin Gothic Book" w:hAnsi="Franklin Gothic Book" w:cs="Times New Roman"/>
          <w:sz w:val="18"/>
          <w:szCs w:val="18"/>
        </w:rPr>
        <w:t xml:space="preserve">note </w:t>
      </w:r>
      <w:r w:rsidR="003D4851" w:rsidRPr="00804A4E">
        <w:rPr>
          <w:rFonts w:ascii="Franklin Gothic Book" w:hAnsi="Franklin Gothic Book" w:cs="Times New Roman"/>
          <w:sz w:val="18"/>
          <w:szCs w:val="18"/>
        </w:rPr>
        <w:fldChar w:fldCharType="begin"/>
      </w:r>
      <w:r w:rsidR="003D4851"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D4851" w:rsidRPr="00804A4E">
        <w:rPr>
          <w:rFonts w:ascii="Franklin Gothic Book" w:hAnsi="Franklin Gothic Book" w:cs="Times New Roman"/>
          <w:sz w:val="18"/>
          <w:szCs w:val="18"/>
        </w:rPr>
      </w:r>
      <w:r w:rsidR="003D485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D4851" w:rsidRPr="00804A4E">
        <w:rPr>
          <w:rFonts w:ascii="Franklin Gothic Book" w:hAnsi="Franklin Gothic Book" w:cs="Times New Roman"/>
          <w:sz w:val="18"/>
          <w:szCs w:val="18"/>
        </w:rPr>
        <w:fldChar w:fldCharType="end"/>
      </w:r>
      <w:r w:rsidR="003D4851" w:rsidRPr="00804A4E">
        <w:rPr>
          <w:rFonts w:ascii="Franklin Gothic Book" w:hAnsi="Franklin Gothic Book" w:cs="Times New Roman"/>
          <w:sz w:val="18"/>
          <w:szCs w:val="18"/>
        </w:rPr>
        <w:t xml:space="preserve">, at </w:t>
      </w:r>
      <w:r w:rsidRPr="00804A4E">
        <w:rPr>
          <w:rFonts w:ascii="Franklin Gothic Book" w:hAnsi="Franklin Gothic Book" w:cs="Times New Roman"/>
          <w:sz w:val="18"/>
          <w:szCs w:val="18"/>
        </w:rPr>
        <w:t>Figures MGH17</w:t>
      </w:r>
      <w:r w:rsidR="002D50A5" w:rsidRPr="00804A4E">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MGH21.</w:t>
      </w:r>
      <w:r w:rsidR="0022418A" w:rsidRPr="00804A4E">
        <w:rPr>
          <w:rFonts w:ascii="Franklin Gothic Book" w:hAnsi="Franklin Gothic Book" w:cs="Times New Roman"/>
          <w:sz w:val="18"/>
          <w:szCs w:val="18"/>
        </w:rPr>
        <w:t xml:space="preserve"> The ICA also reports that MGB ha</w:t>
      </w:r>
      <w:r w:rsidR="00F2726D" w:rsidRPr="00804A4E">
        <w:rPr>
          <w:rFonts w:ascii="Franklin Gothic Book" w:hAnsi="Franklin Gothic Book" w:cs="Times New Roman"/>
          <w:sz w:val="18"/>
          <w:szCs w:val="18"/>
        </w:rPr>
        <w:t>s</w:t>
      </w:r>
      <w:r w:rsidR="0022418A" w:rsidRPr="00804A4E">
        <w:rPr>
          <w:rFonts w:ascii="Franklin Gothic Book" w:hAnsi="Franklin Gothic Book" w:cs="Times New Roman"/>
          <w:sz w:val="18"/>
          <w:szCs w:val="18"/>
        </w:rPr>
        <w:t xml:space="preserve"> the largest share in Faulkner’s service area for inpatient services with 38% and MR scans with 32.6%. </w:t>
      </w:r>
      <w:r w:rsidR="0022418A" w:rsidRPr="00804A4E">
        <w:rPr>
          <w:rFonts w:ascii="Franklin Gothic Book" w:hAnsi="Franklin Gothic Book" w:cs="Times New Roman"/>
          <w:i/>
          <w:iCs/>
          <w:sz w:val="18"/>
          <w:szCs w:val="18"/>
        </w:rPr>
        <w:t xml:space="preserve">See </w:t>
      </w:r>
      <w:r w:rsidR="003D4851" w:rsidRPr="00804A4E">
        <w:rPr>
          <w:rFonts w:ascii="Franklin Gothic Book" w:hAnsi="Franklin Gothic Book" w:cs="Times New Roman"/>
          <w:sz w:val="18"/>
          <w:szCs w:val="18"/>
        </w:rPr>
        <w:t xml:space="preserve">Faulkner ICA, </w:t>
      </w:r>
      <w:r w:rsidR="003D4851" w:rsidRPr="00804A4E">
        <w:rPr>
          <w:rFonts w:ascii="Franklin Gothic Book" w:hAnsi="Franklin Gothic Book" w:cs="Times New Roman"/>
          <w:i/>
          <w:iCs/>
          <w:sz w:val="18"/>
          <w:szCs w:val="18"/>
        </w:rPr>
        <w:t xml:space="preserve">supra </w:t>
      </w:r>
      <w:r w:rsidR="003D4851" w:rsidRPr="00804A4E">
        <w:rPr>
          <w:rFonts w:ascii="Franklin Gothic Book" w:hAnsi="Franklin Gothic Book" w:cs="Times New Roman"/>
          <w:sz w:val="18"/>
          <w:szCs w:val="18"/>
        </w:rPr>
        <w:t xml:space="preserve">note </w:t>
      </w:r>
      <w:r w:rsidR="003D4851" w:rsidRPr="00804A4E">
        <w:rPr>
          <w:rFonts w:ascii="Franklin Gothic Book" w:hAnsi="Franklin Gothic Book" w:cs="Times New Roman"/>
          <w:sz w:val="18"/>
          <w:szCs w:val="18"/>
        </w:rPr>
        <w:fldChar w:fldCharType="begin"/>
      </w:r>
      <w:r w:rsidR="003D4851"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D4851" w:rsidRPr="00804A4E">
        <w:rPr>
          <w:rFonts w:ascii="Franklin Gothic Book" w:hAnsi="Franklin Gothic Book" w:cs="Times New Roman"/>
          <w:sz w:val="18"/>
          <w:szCs w:val="18"/>
        </w:rPr>
      </w:r>
      <w:r w:rsidR="003D485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D4851" w:rsidRPr="00804A4E">
        <w:rPr>
          <w:rFonts w:ascii="Franklin Gothic Book" w:hAnsi="Franklin Gothic Book" w:cs="Times New Roman"/>
          <w:sz w:val="18"/>
          <w:szCs w:val="18"/>
        </w:rPr>
        <w:fldChar w:fldCharType="end"/>
      </w:r>
      <w:r w:rsidR="003D4851" w:rsidRPr="00804A4E">
        <w:rPr>
          <w:rFonts w:ascii="Franklin Gothic Book" w:hAnsi="Franklin Gothic Book" w:cs="Times New Roman"/>
          <w:sz w:val="18"/>
          <w:szCs w:val="18"/>
        </w:rPr>
        <w:t xml:space="preserve">, at </w:t>
      </w:r>
      <w:r w:rsidR="0022418A" w:rsidRPr="00804A4E">
        <w:rPr>
          <w:rFonts w:ascii="Franklin Gothic Book" w:hAnsi="Franklin Gothic Book" w:cs="Times New Roman"/>
          <w:sz w:val="18"/>
          <w:szCs w:val="18"/>
        </w:rPr>
        <w:t xml:space="preserve">Figures BWFH10 and BWFH12. </w:t>
      </w:r>
      <w:r w:rsidR="0060583B" w:rsidRPr="00804A4E">
        <w:rPr>
          <w:rFonts w:ascii="Franklin Gothic Book" w:hAnsi="Franklin Gothic Book" w:cs="Times New Roman"/>
          <w:sz w:val="18"/>
          <w:szCs w:val="18"/>
        </w:rPr>
        <w:t xml:space="preserve">The </w:t>
      </w:r>
      <w:r w:rsidR="00F77F97" w:rsidRPr="00804A4E">
        <w:rPr>
          <w:rFonts w:ascii="Franklin Gothic Book" w:hAnsi="Franklin Gothic Book" w:cs="Times New Roman"/>
          <w:sz w:val="18"/>
          <w:szCs w:val="18"/>
        </w:rPr>
        <w:t>A</w:t>
      </w:r>
      <w:r w:rsidR="0060583B" w:rsidRPr="00804A4E">
        <w:rPr>
          <w:rFonts w:ascii="Franklin Gothic Book" w:hAnsi="Franklin Gothic Book" w:cs="Times New Roman"/>
          <w:sz w:val="18"/>
          <w:szCs w:val="18"/>
        </w:rPr>
        <w:t>mbulatory ICA similarly finds that MGB already has the largest or second-largest share for all services examined in all three ambulatory service areas (largest share of CT scans, MR scans, and surgical procedures for Westwood and MR scans for Woburn; second largest share for CT and surgical procedures for Woburn and for CT scans, MR scans, and surgical procedures for Westborough).</w:t>
      </w:r>
      <w:r w:rsidR="00926A9C" w:rsidRPr="00804A4E">
        <w:rPr>
          <w:rFonts w:ascii="Franklin Gothic Book" w:hAnsi="Franklin Gothic Book" w:cs="Times New Roman"/>
          <w:sz w:val="18"/>
          <w:szCs w:val="18"/>
        </w:rPr>
        <w:t xml:space="preserve"> </w:t>
      </w:r>
      <w:r w:rsidR="00926A9C" w:rsidRPr="00804A4E">
        <w:rPr>
          <w:rFonts w:ascii="Franklin Gothic Book" w:hAnsi="Franklin Gothic Book" w:cs="Times New Roman"/>
          <w:i/>
          <w:iCs/>
          <w:sz w:val="18"/>
          <w:szCs w:val="18"/>
        </w:rPr>
        <w:t xml:space="preserve">See </w:t>
      </w:r>
      <w:r w:rsidR="003D4851" w:rsidRPr="00804A4E">
        <w:rPr>
          <w:rFonts w:ascii="Franklin Gothic Book" w:hAnsi="Franklin Gothic Book" w:cs="Times New Roman"/>
          <w:sz w:val="18"/>
          <w:szCs w:val="18"/>
        </w:rPr>
        <w:t xml:space="preserve">Ambulatory ICA, </w:t>
      </w:r>
      <w:r w:rsidR="003D4851" w:rsidRPr="00804A4E">
        <w:rPr>
          <w:rFonts w:ascii="Franklin Gothic Book" w:hAnsi="Franklin Gothic Book" w:cs="Times New Roman"/>
          <w:i/>
          <w:iCs/>
          <w:sz w:val="18"/>
          <w:szCs w:val="18"/>
        </w:rPr>
        <w:t xml:space="preserve">supra </w:t>
      </w:r>
      <w:r w:rsidR="003D4851" w:rsidRPr="00804A4E">
        <w:rPr>
          <w:rFonts w:ascii="Franklin Gothic Book" w:hAnsi="Franklin Gothic Book" w:cs="Times New Roman"/>
          <w:sz w:val="18"/>
          <w:szCs w:val="18"/>
        </w:rPr>
        <w:t xml:space="preserve">note </w:t>
      </w:r>
      <w:r w:rsidR="003D4851" w:rsidRPr="00804A4E">
        <w:rPr>
          <w:rFonts w:ascii="Franklin Gothic Book" w:hAnsi="Franklin Gothic Book" w:cs="Times New Roman"/>
          <w:sz w:val="18"/>
          <w:szCs w:val="18"/>
        </w:rPr>
        <w:fldChar w:fldCharType="begin"/>
      </w:r>
      <w:r w:rsidR="003D4851"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D4851" w:rsidRPr="00804A4E">
        <w:rPr>
          <w:rFonts w:ascii="Franklin Gothic Book" w:hAnsi="Franklin Gothic Book" w:cs="Times New Roman"/>
          <w:sz w:val="18"/>
          <w:szCs w:val="18"/>
        </w:rPr>
      </w:r>
      <w:r w:rsidR="003D485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D4851" w:rsidRPr="00804A4E">
        <w:rPr>
          <w:rFonts w:ascii="Franklin Gothic Book" w:hAnsi="Franklin Gothic Book" w:cs="Times New Roman"/>
          <w:sz w:val="18"/>
          <w:szCs w:val="18"/>
        </w:rPr>
        <w:fldChar w:fldCharType="end"/>
      </w:r>
      <w:r w:rsidR="003D4851" w:rsidRPr="00804A4E">
        <w:rPr>
          <w:rFonts w:ascii="Franklin Gothic Book" w:hAnsi="Franklin Gothic Book" w:cs="Times New Roman"/>
          <w:sz w:val="18"/>
          <w:szCs w:val="18"/>
        </w:rPr>
        <w:t xml:space="preserve">, at </w:t>
      </w:r>
      <w:r w:rsidR="00926A9C" w:rsidRPr="00804A4E">
        <w:rPr>
          <w:rFonts w:ascii="Franklin Gothic Book" w:hAnsi="Franklin Gothic Book" w:cs="Times New Roman"/>
          <w:sz w:val="18"/>
          <w:szCs w:val="18"/>
        </w:rPr>
        <w:t xml:space="preserve">Figures ICC9 through ICC17. </w:t>
      </w:r>
    </w:p>
  </w:footnote>
  <w:footnote w:id="28">
    <w:p w14:paraId="64560A7C" w14:textId="562C09C2"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5F0C2E" w:rsidRPr="00804A4E">
        <w:rPr>
          <w:rFonts w:ascii="Franklin Gothic Book" w:hAnsi="Franklin Gothic Book" w:cs="Times New Roman"/>
          <w:sz w:val="18"/>
          <w:szCs w:val="18"/>
        </w:rPr>
        <w:t>MGB has surpassed all other providers in new outpatient locations and expansions in recent years</w:t>
      </w:r>
      <w:r w:rsidR="0060583B" w:rsidRPr="00804A4E">
        <w:rPr>
          <w:rFonts w:ascii="Franklin Gothic Book" w:hAnsi="Franklin Gothic Book" w:cs="Times New Roman"/>
          <w:sz w:val="18"/>
          <w:szCs w:val="18"/>
        </w:rPr>
        <w:t xml:space="preserve">. </w:t>
      </w:r>
      <w:r w:rsidR="005F0C2E" w:rsidRPr="00804A4E">
        <w:rPr>
          <w:rFonts w:ascii="Franklin Gothic Book" w:hAnsi="Franklin Gothic Book" w:cs="Times New Roman"/>
          <w:sz w:val="18"/>
          <w:szCs w:val="18"/>
        </w:rPr>
        <w:t xml:space="preserve">Between 2014 and 2019, MGB created or was approved for construction of 17 new facilities (nine </w:t>
      </w:r>
      <w:r w:rsidR="0060583B" w:rsidRPr="00804A4E">
        <w:rPr>
          <w:rFonts w:ascii="Franklin Gothic Book" w:hAnsi="Franklin Gothic Book" w:cs="Times New Roman"/>
          <w:sz w:val="18"/>
          <w:szCs w:val="18"/>
        </w:rPr>
        <w:t xml:space="preserve">for </w:t>
      </w:r>
      <w:r w:rsidR="005F0C2E" w:rsidRPr="00804A4E">
        <w:rPr>
          <w:rFonts w:ascii="Franklin Gothic Book" w:hAnsi="Franklin Gothic Book" w:cs="Times New Roman"/>
          <w:sz w:val="18"/>
          <w:szCs w:val="18"/>
        </w:rPr>
        <w:t xml:space="preserve">urgent care centers), </w:t>
      </w:r>
      <w:r w:rsidR="0060583B" w:rsidRPr="00804A4E">
        <w:rPr>
          <w:rFonts w:ascii="Franklin Gothic Book" w:hAnsi="Franklin Gothic Book" w:cs="Times New Roman"/>
          <w:sz w:val="18"/>
          <w:szCs w:val="18"/>
        </w:rPr>
        <w:t xml:space="preserve">while </w:t>
      </w:r>
      <w:r w:rsidR="005F0C2E" w:rsidRPr="00804A4E">
        <w:rPr>
          <w:rFonts w:ascii="Franklin Gothic Book" w:hAnsi="Franklin Gothic Book" w:cs="Times New Roman"/>
          <w:sz w:val="18"/>
          <w:szCs w:val="18"/>
        </w:rPr>
        <w:t>the system with the next highest number of new facilities</w:t>
      </w:r>
      <w:r w:rsidR="0060583B" w:rsidRPr="00804A4E">
        <w:rPr>
          <w:rFonts w:ascii="Franklin Gothic Book" w:hAnsi="Franklin Gothic Book" w:cs="Times New Roman"/>
          <w:sz w:val="18"/>
          <w:szCs w:val="18"/>
        </w:rPr>
        <w:t xml:space="preserve"> was approved for six</w:t>
      </w:r>
      <w:r w:rsidR="005F0C2E" w:rsidRPr="00804A4E">
        <w:rPr>
          <w:rFonts w:ascii="Franklin Gothic Book" w:hAnsi="Franklin Gothic Book" w:cs="Times New Roman"/>
          <w:sz w:val="18"/>
          <w:szCs w:val="18"/>
        </w:rPr>
        <w:t xml:space="preserve">. MGB also had seven expansion projects during this time that </w:t>
      </w:r>
      <w:r w:rsidR="00370BE4" w:rsidRPr="00804A4E">
        <w:rPr>
          <w:rFonts w:ascii="Franklin Gothic Book" w:hAnsi="Franklin Gothic Book" w:cs="Times New Roman"/>
          <w:sz w:val="18"/>
          <w:szCs w:val="18"/>
        </w:rPr>
        <w:t xml:space="preserve">were </w:t>
      </w:r>
      <w:r w:rsidR="005F0C2E" w:rsidRPr="00804A4E">
        <w:rPr>
          <w:rFonts w:ascii="Franklin Gothic Book" w:hAnsi="Franklin Gothic Book" w:cs="Times New Roman"/>
          <w:sz w:val="18"/>
          <w:szCs w:val="18"/>
        </w:rPr>
        <w:t>subject to DoN review (four for advanced imaging services).</w:t>
      </w:r>
      <w:r w:rsidR="005F0C2E" w:rsidRPr="00804A4E">
        <w:rPr>
          <w:rFonts w:ascii="Franklin Gothic Book" w:eastAsia="Calibri" w:hAnsi="Franklin Gothic Book" w:cs="Times New Roman"/>
          <w:i/>
          <w:smallCaps/>
          <w:sz w:val="18"/>
          <w:szCs w:val="18"/>
        </w:rPr>
        <w:t xml:space="preserve"> MA-RPO data</w:t>
      </w:r>
      <w:r w:rsidR="005F0C2E" w:rsidRPr="00804A4E">
        <w:rPr>
          <w:rFonts w:ascii="Franklin Gothic Book" w:eastAsia="Calibri" w:hAnsi="Franklin Gothic Book" w:cs="Times New Roman"/>
          <w:i/>
          <w:sz w:val="18"/>
          <w:szCs w:val="18"/>
        </w:rPr>
        <w:t xml:space="preserve">, </w:t>
      </w:r>
      <w:r w:rsidR="005403F1" w:rsidRPr="00804A4E">
        <w:rPr>
          <w:rFonts w:ascii="Franklin Gothic Book" w:eastAsia="Calibri" w:hAnsi="Franklin Gothic Book" w:cs="Times New Roman"/>
          <w:i/>
          <w:sz w:val="18"/>
          <w:szCs w:val="18"/>
        </w:rPr>
        <w:t xml:space="preserve">infra </w:t>
      </w:r>
      <w:r w:rsidR="005F0C2E" w:rsidRPr="00804A4E">
        <w:rPr>
          <w:rFonts w:ascii="Franklin Gothic Book" w:eastAsia="Calibri" w:hAnsi="Franklin Gothic Book" w:cs="Times New Roman"/>
          <w:iCs/>
          <w:sz w:val="18"/>
          <w:szCs w:val="18"/>
        </w:rPr>
        <w:t>note</w:t>
      </w:r>
      <w:r w:rsidR="005403F1" w:rsidRPr="00804A4E">
        <w:rPr>
          <w:rFonts w:ascii="Franklin Gothic Book" w:eastAsia="Calibri" w:hAnsi="Franklin Gothic Book" w:cs="Times New Roman"/>
          <w:sz w:val="18"/>
          <w:szCs w:val="18"/>
        </w:rPr>
        <w:t xml:space="preserve"> </w:t>
      </w:r>
      <w:r w:rsidR="005403F1" w:rsidRPr="00804A4E">
        <w:rPr>
          <w:rFonts w:ascii="Franklin Gothic Book" w:eastAsia="Calibri" w:hAnsi="Franklin Gothic Book" w:cs="Times New Roman"/>
          <w:sz w:val="18"/>
          <w:szCs w:val="18"/>
        </w:rPr>
        <w:fldChar w:fldCharType="begin"/>
      </w:r>
      <w:r w:rsidR="005403F1" w:rsidRPr="00804A4E">
        <w:rPr>
          <w:rFonts w:ascii="Franklin Gothic Book" w:eastAsia="Calibri" w:hAnsi="Franklin Gothic Book" w:cs="Times New Roman"/>
          <w:sz w:val="18"/>
          <w:szCs w:val="18"/>
        </w:rPr>
        <w:instrText xml:space="preserve"> NOTEREF _Ref93625088 \h </w:instrText>
      </w:r>
      <w:r w:rsidR="00804A4E" w:rsidRPr="00804A4E">
        <w:rPr>
          <w:rFonts w:ascii="Franklin Gothic Book" w:eastAsia="Calibri" w:hAnsi="Franklin Gothic Book" w:cs="Times New Roman"/>
          <w:sz w:val="18"/>
          <w:szCs w:val="18"/>
        </w:rPr>
        <w:instrText xml:space="preserve"> \* MERGEFORMAT </w:instrText>
      </w:r>
      <w:r w:rsidR="005403F1" w:rsidRPr="00804A4E">
        <w:rPr>
          <w:rFonts w:ascii="Franklin Gothic Book" w:eastAsia="Calibri" w:hAnsi="Franklin Gothic Book" w:cs="Times New Roman"/>
          <w:sz w:val="18"/>
          <w:szCs w:val="18"/>
        </w:rPr>
      </w:r>
      <w:r w:rsidR="005403F1" w:rsidRPr="00804A4E">
        <w:rPr>
          <w:rFonts w:ascii="Franklin Gothic Book" w:eastAsia="Calibri" w:hAnsi="Franklin Gothic Book" w:cs="Times New Roman"/>
          <w:sz w:val="18"/>
          <w:szCs w:val="18"/>
        </w:rPr>
        <w:fldChar w:fldCharType="separate"/>
      </w:r>
      <w:r w:rsidR="00036554">
        <w:rPr>
          <w:rFonts w:ascii="Franklin Gothic Book" w:eastAsia="Calibri" w:hAnsi="Franklin Gothic Book" w:cs="Times New Roman"/>
          <w:sz w:val="18"/>
          <w:szCs w:val="18"/>
        </w:rPr>
        <w:t>166</w:t>
      </w:r>
      <w:r w:rsidR="005403F1" w:rsidRPr="00804A4E">
        <w:rPr>
          <w:rFonts w:ascii="Franklin Gothic Book" w:eastAsia="Calibri" w:hAnsi="Franklin Gothic Book" w:cs="Times New Roman"/>
          <w:sz w:val="18"/>
          <w:szCs w:val="18"/>
        </w:rPr>
        <w:fldChar w:fldCharType="end"/>
      </w:r>
      <w:r w:rsidR="005F0C2E" w:rsidRPr="00804A4E">
        <w:rPr>
          <w:rFonts w:ascii="Franklin Gothic Book" w:eastAsia="Calibri" w:hAnsi="Franklin Gothic Book" w:cs="Times New Roman"/>
          <w:sz w:val="18"/>
          <w:szCs w:val="18"/>
        </w:rPr>
        <w:t xml:space="preserve">; </w:t>
      </w:r>
      <w:r w:rsidR="005F0C2E" w:rsidRPr="00804A4E">
        <w:rPr>
          <w:rFonts w:ascii="Franklin Gothic Book" w:eastAsia="Calibri" w:hAnsi="Franklin Gothic Book" w:cs="Times New Roman"/>
          <w:i/>
          <w:sz w:val="18"/>
          <w:szCs w:val="18"/>
        </w:rPr>
        <w:t>DoN</w:t>
      </w:r>
      <w:r w:rsidR="005F0C2E" w:rsidRPr="00804A4E">
        <w:rPr>
          <w:rFonts w:ascii="Franklin Gothic Book" w:eastAsia="Calibri" w:hAnsi="Franklin Gothic Book" w:cs="Times New Roman"/>
          <w:sz w:val="18"/>
          <w:szCs w:val="18"/>
        </w:rPr>
        <w:t xml:space="preserve"> </w:t>
      </w:r>
      <w:r w:rsidR="005F0C2E" w:rsidRPr="00804A4E">
        <w:rPr>
          <w:rFonts w:ascii="Franklin Gothic Book" w:eastAsia="Calibri" w:hAnsi="Franklin Gothic Book" w:cs="Times New Roman"/>
          <w:i/>
          <w:sz w:val="18"/>
          <w:szCs w:val="18"/>
        </w:rPr>
        <w:t>Completed Projects</w:t>
      </w:r>
      <w:r w:rsidR="005F0C2E" w:rsidRPr="00804A4E">
        <w:rPr>
          <w:rFonts w:ascii="Franklin Gothic Book" w:eastAsia="Calibri" w:hAnsi="Franklin Gothic Book" w:cs="Times New Roman"/>
          <w:sz w:val="18"/>
          <w:szCs w:val="18"/>
        </w:rPr>
        <w:t xml:space="preserve">, </w:t>
      </w:r>
      <w:r w:rsidR="005F0C2E" w:rsidRPr="00804A4E">
        <w:rPr>
          <w:rFonts w:ascii="Franklin Gothic Book" w:eastAsia="Calibri" w:hAnsi="Franklin Gothic Book" w:cs="Times New Roman"/>
          <w:smallCaps/>
          <w:sz w:val="18"/>
          <w:szCs w:val="18"/>
        </w:rPr>
        <w:t>Mass. Dept. of Public Health</w:t>
      </w:r>
      <w:r w:rsidR="005F0C2E" w:rsidRPr="00804A4E">
        <w:rPr>
          <w:rFonts w:ascii="Franklin Gothic Book" w:eastAsia="Calibri" w:hAnsi="Franklin Gothic Book" w:cs="Times New Roman"/>
          <w:sz w:val="18"/>
          <w:szCs w:val="18"/>
        </w:rPr>
        <w:t xml:space="preserve">, </w:t>
      </w:r>
      <w:hyperlink r:id="rId21" w:history="1">
        <w:r w:rsidR="00FA1459">
          <w:rPr>
            <w:rFonts w:ascii="Franklin Gothic Book" w:eastAsia="Calibri" w:hAnsi="Franklin Gothic Book" w:cs="Times New Roman"/>
            <w:color w:val="0563C1"/>
            <w:sz w:val="18"/>
            <w:szCs w:val="18"/>
            <w:u w:val="single"/>
          </w:rPr>
          <w:t>at https://www.mass.gov/info-details/don-completed-projects</w:t>
        </w:r>
      </w:hyperlink>
      <w:r w:rsidR="005F0C2E" w:rsidRPr="00804A4E">
        <w:rPr>
          <w:rFonts w:ascii="Franklin Gothic Book" w:eastAsia="Calibri" w:hAnsi="Franklin Gothic Book" w:cs="Times New Roman"/>
          <w:sz w:val="18"/>
          <w:szCs w:val="18"/>
        </w:rPr>
        <w:t xml:space="preserve"> (last visited Dec. 17, 2021); </w:t>
      </w:r>
      <w:r w:rsidR="005F0C2E" w:rsidRPr="00804A4E">
        <w:rPr>
          <w:rFonts w:ascii="Franklin Gothic Book" w:eastAsia="Calibri" w:hAnsi="Franklin Gothic Book" w:cs="Times New Roman"/>
          <w:i/>
          <w:sz w:val="18"/>
          <w:szCs w:val="18"/>
        </w:rPr>
        <w:t>DoN Pending Projects and Applications</w:t>
      </w:r>
      <w:r w:rsidR="005F0C2E" w:rsidRPr="00804A4E">
        <w:rPr>
          <w:rFonts w:ascii="Franklin Gothic Book" w:eastAsia="Calibri" w:hAnsi="Franklin Gothic Book" w:cs="Times New Roman"/>
          <w:sz w:val="18"/>
          <w:szCs w:val="18"/>
        </w:rPr>
        <w:t xml:space="preserve">, </w:t>
      </w:r>
      <w:r w:rsidR="005F0C2E" w:rsidRPr="00804A4E">
        <w:rPr>
          <w:rFonts w:ascii="Franklin Gothic Book" w:eastAsia="Calibri" w:hAnsi="Franklin Gothic Book" w:cs="Times New Roman"/>
          <w:smallCaps/>
          <w:sz w:val="18"/>
          <w:szCs w:val="18"/>
        </w:rPr>
        <w:t>Mass. Dept. of Public Health</w:t>
      </w:r>
      <w:r w:rsidR="005F0C2E" w:rsidRPr="00804A4E">
        <w:rPr>
          <w:rFonts w:ascii="Franklin Gothic Book" w:eastAsia="Calibri" w:hAnsi="Franklin Gothic Book" w:cs="Times New Roman"/>
          <w:sz w:val="18"/>
          <w:szCs w:val="18"/>
        </w:rPr>
        <w:t xml:space="preserve">, </w:t>
      </w:r>
      <w:hyperlink r:id="rId22" w:history="1">
        <w:r w:rsidR="00A21E85">
          <w:rPr>
            <w:rFonts w:ascii="Franklin Gothic Book" w:eastAsia="Calibri" w:hAnsi="Franklin Gothic Book" w:cs="Times New Roman"/>
            <w:color w:val="0563C1"/>
            <w:sz w:val="18"/>
            <w:szCs w:val="18"/>
            <w:u w:val="single"/>
          </w:rPr>
          <w:t>at https://www.mass.gov/info-details/don-pending-projects-and-applications</w:t>
        </w:r>
      </w:hyperlink>
      <w:r w:rsidR="005F0C2E" w:rsidRPr="00804A4E">
        <w:rPr>
          <w:rFonts w:ascii="Franklin Gothic Book" w:eastAsia="Calibri" w:hAnsi="Franklin Gothic Book" w:cs="Times New Roman"/>
          <w:sz w:val="18"/>
          <w:szCs w:val="18"/>
        </w:rPr>
        <w:t xml:space="preserve"> (last visited Dec. 17, 2021).</w:t>
      </w:r>
    </w:p>
  </w:footnote>
  <w:footnote w:id="29">
    <w:p w14:paraId="25BC0D62" w14:textId="47B72461" w:rsidR="00DE2A53" w:rsidRPr="00804A4E" w:rsidRDefault="00DE2A53" w:rsidP="00142DCC">
      <w:pPr>
        <w:pStyle w:val="FootnoteText"/>
        <w:widowControl w:val="0"/>
        <w:rPr>
          <w:rStyle w:val="Hyperlink"/>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6E2996" w:rsidRPr="00804A4E">
        <w:rPr>
          <w:rFonts w:ascii="Franklin Gothic Book" w:hAnsi="Franklin Gothic Book" w:cs="Times New Roman"/>
          <w:i/>
          <w:iCs/>
          <w:sz w:val="18"/>
          <w:szCs w:val="18"/>
        </w:rPr>
        <w:t xml:space="preserve">See </w:t>
      </w:r>
      <w:r w:rsidR="006E2996" w:rsidRPr="00804A4E">
        <w:rPr>
          <w:rFonts w:ascii="Franklin Gothic Book" w:hAnsi="Franklin Gothic Book" w:cs="Times New Roman"/>
          <w:sz w:val="18"/>
          <w:szCs w:val="18"/>
        </w:rPr>
        <w:t>MGB Internal Document Disclosures</w:t>
      </w:r>
      <w:r w:rsidR="005D58D2" w:rsidRPr="00804A4E">
        <w:rPr>
          <w:rFonts w:ascii="Franklin Gothic Book" w:hAnsi="Franklin Gothic Book" w:cs="Times New Roman"/>
          <w:sz w:val="18"/>
          <w:szCs w:val="18"/>
        </w:rPr>
        <w:t xml:space="preserve">, </w:t>
      </w:r>
      <w:r w:rsidR="005D58D2" w:rsidRPr="00804A4E">
        <w:rPr>
          <w:rFonts w:ascii="Franklin Gothic Book" w:hAnsi="Franklin Gothic Book" w:cs="Times New Roman"/>
          <w:i/>
          <w:iCs/>
          <w:sz w:val="18"/>
          <w:szCs w:val="18"/>
        </w:rPr>
        <w:t>supra</w:t>
      </w:r>
      <w:r w:rsidR="005D58D2" w:rsidRPr="00804A4E">
        <w:rPr>
          <w:rFonts w:ascii="Franklin Gothic Book" w:hAnsi="Franklin Gothic Book" w:cs="Times New Roman"/>
          <w:sz w:val="18"/>
          <w:szCs w:val="18"/>
        </w:rPr>
        <w:t xml:space="preserve"> note </w:t>
      </w:r>
      <w:r w:rsidR="005D58D2" w:rsidRPr="00804A4E">
        <w:rPr>
          <w:rFonts w:ascii="Franklin Gothic Book" w:hAnsi="Franklin Gothic Book" w:cs="Times New Roman"/>
          <w:sz w:val="18"/>
          <w:szCs w:val="18"/>
        </w:rPr>
        <w:fldChar w:fldCharType="begin"/>
      </w:r>
      <w:r w:rsidR="005D58D2" w:rsidRPr="00804A4E">
        <w:rPr>
          <w:rFonts w:ascii="Franklin Gothic Book" w:hAnsi="Franklin Gothic Book" w:cs="Times New Roman"/>
          <w:sz w:val="18"/>
          <w:szCs w:val="18"/>
        </w:rPr>
        <w:instrText xml:space="preserve"> NOTEREF _Ref93071831 \h </w:instrText>
      </w:r>
      <w:r w:rsidR="00804A4E" w:rsidRPr="00804A4E">
        <w:rPr>
          <w:rFonts w:ascii="Franklin Gothic Book" w:hAnsi="Franklin Gothic Book" w:cs="Times New Roman"/>
          <w:sz w:val="18"/>
          <w:szCs w:val="18"/>
        </w:rPr>
        <w:instrText xml:space="preserve"> \* MERGEFORMAT </w:instrText>
      </w:r>
      <w:r w:rsidR="005D58D2" w:rsidRPr="00804A4E">
        <w:rPr>
          <w:rFonts w:ascii="Franklin Gothic Book" w:hAnsi="Franklin Gothic Book" w:cs="Times New Roman"/>
          <w:sz w:val="18"/>
          <w:szCs w:val="18"/>
        </w:rPr>
      </w:r>
      <w:r w:rsidR="005D58D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5D58D2" w:rsidRPr="00804A4E">
        <w:rPr>
          <w:rFonts w:ascii="Franklin Gothic Book" w:hAnsi="Franklin Gothic Book" w:cs="Times New Roman"/>
          <w:sz w:val="18"/>
          <w:szCs w:val="18"/>
        </w:rPr>
        <w:fldChar w:fldCharType="end"/>
      </w:r>
      <w:r w:rsidR="005D58D2" w:rsidRPr="00804A4E">
        <w:rPr>
          <w:rFonts w:ascii="Franklin Gothic Book" w:hAnsi="Franklin Gothic Book" w:cs="Times New Roman"/>
          <w:sz w:val="18"/>
          <w:szCs w:val="18"/>
        </w:rPr>
        <w:t>,</w:t>
      </w:r>
      <w:r w:rsidR="006E2996" w:rsidRPr="00804A4E">
        <w:rPr>
          <w:rFonts w:ascii="Franklin Gothic Book" w:hAnsi="Franklin Gothic Book" w:cs="Times New Roman"/>
          <w:sz w:val="18"/>
          <w:szCs w:val="18"/>
        </w:rPr>
        <w:t xml:space="preserve"> detailing expected market share increases </w:t>
      </w:r>
      <w:r w:rsidR="006E2996" w:rsidRPr="00804A4E">
        <w:rPr>
          <w:rFonts w:ascii="Franklin Gothic Book" w:eastAsia="Times New Roman" w:hAnsi="Franklin Gothic Book" w:cs="Times New Roman"/>
          <w:sz w:val="18"/>
          <w:szCs w:val="18"/>
        </w:rPr>
        <w:t>i</w:t>
      </w:r>
      <w:r w:rsidR="43F57732" w:rsidRPr="00804A4E">
        <w:rPr>
          <w:rFonts w:ascii="Franklin Gothic Book" w:eastAsia="Times New Roman" w:hAnsi="Franklin Gothic Book" w:cs="Times New Roman"/>
          <w:sz w:val="18"/>
          <w:szCs w:val="18"/>
        </w:rPr>
        <w:t xml:space="preserve">n connection with MGB’s </w:t>
      </w:r>
      <w:r w:rsidR="006E2996" w:rsidRPr="00804A4E">
        <w:rPr>
          <w:rFonts w:ascii="Franklin Gothic Book" w:eastAsia="Times New Roman" w:hAnsi="Franklin Gothic Book" w:cs="Times New Roman"/>
          <w:sz w:val="18"/>
          <w:szCs w:val="18"/>
        </w:rPr>
        <w:t xml:space="preserve">larger </w:t>
      </w:r>
      <w:r w:rsidR="43F57732" w:rsidRPr="00804A4E">
        <w:rPr>
          <w:rFonts w:ascii="Franklin Gothic Book" w:eastAsia="Times New Roman" w:hAnsi="Franklin Gothic Book" w:cs="Times New Roman"/>
          <w:sz w:val="18"/>
          <w:szCs w:val="18"/>
        </w:rPr>
        <w:t>multi-year ambulatory expansion plan</w:t>
      </w:r>
      <w:r w:rsidR="006E2996" w:rsidRPr="00804A4E">
        <w:rPr>
          <w:rFonts w:ascii="Franklin Gothic Book" w:eastAsia="Times New Roman" w:hAnsi="Franklin Gothic Book" w:cs="Times New Roman"/>
          <w:sz w:val="18"/>
          <w:szCs w:val="18"/>
        </w:rPr>
        <w:t>.</w:t>
      </w:r>
      <w:r w:rsidR="43F57732" w:rsidRPr="00804A4E">
        <w:rPr>
          <w:rFonts w:ascii="Franklin Gothic Book" w:eastAsia="Times New Roman" w:hAnsi="Franklin Gothic Book" w:cs="Times New Roman"/>
          <w:sz w:val="18"/>
          <w:szCs w:val="18"/>
        </w:rPr>
        <w:t xml:space="preserve"> </w:t>
      </w:r>
      <w:r w:rsidR="0060583B" w:rsidRPr="00804A4E">
        <w:rPr>
          <w:rFonts w:ascii="Franklin Gothic Book" w:eastAsia="Times New Roman" w:hAnsi="Franklin Gothic Book" w:cs="Times New Roman"/>
          <w:sz w:val="18"/>
          <w:szCs w:val="18"/>
        </w:rPr>
        <w:t>T</w:t>
      </w:r>
      <w:r w:rsidR="006E2996" w:rsidRPr="00804A4E">
        <w:rPr>
          <w:rFonts w:ascii="Franklin Gothic Book" w:eastAsia="Times New Roman" w:hAnsi="Franklin Gothic Book" w:cs="Times New Roman"/>
          <w:sz w:val="18"/>
          <w:szCs w:val="18"/>
        </w:rPr>
        <w:t>he DoN applications and ICAs also reinforce that MGB expects its market share to grow as</w:t>
      </w:r>
      <w:r w:rsidR="008A06E2" w:rsidRPr="00804A4E">
        <w:rPr>
          <w:rFonts w:ascii="Franklin Gothic Book" w:eastAsia="Times New Roman" w:hAnsi="Franklin Gothic Book" w:cs="Times New Roman"/>
          <w:sz w:val="18"/>
          <w:szCs w:val="18"/>
        </w:rPr>
        <w:t xml:space="preserve"> </w:t>
      </w:r>
      <w:r w:rsidR="00200763" w:rsidRPr="00804A4E">
        <w:rPr>
          <w:rFonts w:ascii="Franklin Gothic Book" w:eastAsia="Times New Roman" w:hAnsi="Franklin Gothic Book" w:cs="Times New Roman"/>
          <w:sz w:val="18"/>
          <w:szCs w:val="18"/>
        </w:rPr>
        <w:t>MGB projects far higher increases in volume in its DoN</w:t>
      </w:r>
      <w:r w:rsidR="00DC2AC6" w:rsidRPr="00804A4E">
        <w:rPr>
          <w:rFonts w:ascii="Franklin Gothic Book" w:eastAsia="Times New Roman" w:hAnsi="Franklin Gothic Book" w:cs="Times New Roman"/>
          <w:sz w:val="18"/>
          <w:szCs w:val="18"/>
        </w:rPr>
        <w:t xml:space="preserve"> applications</w:t>
      </w:r>
      <w:r w:rsidR="00200763" w:rsidRPr="00804A4E">
        <w:rPr>
          <w:rFonts w:ascii="Franklin Gothic Book" w:eastAsia="Times New Roman" w:hAnsi="Franklin Gothic Book" w:cs="Times New Roman"/>
          <w:sz w:val="18"/>
          <w:szCs w:val="18"/>
        </w:rPr>
        <w:t xml:space="preserve"> than those predicted by demographics alone</w:t>
      </w:r>
      <w:r w:rsidR="006E2996" w:rsidRPr="00804A4E">
        <w:rPr>
          <w:rFonts w:ascii="Franklin Gothic Book" w:eastAsia="Times New Roman" w:hAnsi="Franklin Gothic Book" w:cs="Times New Roman"/>
          <w:sz w:val="18"/>
          <w:szCs w:val="18"/>
        </w:rPr>
        <w:t xml:space="preserve">. For example, </w:t>
      </w:r>
      <w:r w:rsidR="00200763" w:rsidRPr="00804A4E">
        <w:rPr>
          <w:rFonts w:ascii="Franklin Gothic Book" w:eastAsia="Times New Roman" w:hAnsi="Franklin Gothic Book" w:cs="Times New Roman"/>
          <w:sz w:val="18"/>
          <w:szCs w:val="18"/>
        </w:rPr>
        <w:t xml:space="preserve">the </w:t>
      </w:r>
      <w:r w:rsidR="00DC2AC6" w:rsidRPr="00804A4E">
        <w:rPr>
          <w:rFonts w:ascii="Franklin Gothic Book" w:eastAsia="Times New Roman" w:hAnsi="Franklin Gothic Book" w:cs="Times New Roman"/>
          <w:sz w:val="18"/>
          <w:szCs w:val="18"/>
        </w:rPr>
        <w:t xml:space="preserve">MGH </w:t>
      </w:r>
      <w:r w:rsidR="00200763" w:rsidRPr="00804A4E">
        <w:rPr>
          <w:rFonts w:ascii="Franklin Gothic Book" w:eastAsia="Times New Roman" w:hAnsi="Franklin Gothic Book" w:cs="Times New Roman"/>
          <w:sz w:val="18"/>
          <w:szCs w:val="18"/>
        </w:rPr>
        <w:t>ICA</w:t>
      </w:r>
      <w:r w:rsidR="00DC2AC6" w:rsidRPr="00804A4E">
        <w:rPr>
          <w:rFonts w:ascii="Franklin Gothic Book" w:eastAsia="Times New Roman" w:hAnsi="Franklin Gothic Book" w:cs="Times New Roman"/>
          <w:sz w:val="18"/>
          <w:szCs w:val="18"/>
        </w:rPr>
        <w:t xml:space="preserve"> projects an increase in CT volume of 16% and an increase in PET/CT volume of 17% by 2030 based on demographics alone</w:t>
      </w:r>
      <w:r w:rsidR="006E2996" w:rsidRPr="00804A4E">
        <w:rPr>
          <w:rFonts w:ascii="Franklin Gothic Book" w:eastAsia="Times New Roman" w:hAnsi="Franklin Gothic Book" w:cs="Times New Roman"/>
          <w:sz w:val="18"/>
          <w:szCs w:val="18"/>
        </w:rPr>
        <w:t>,</w:t>
      </w:r>
      <w:r w:rsidR="00F01DA8" w:rsidRPr="00804A4E">
        <w:rPr>
          <w:rFonts w:ascii="Franklin Gothic Book" w:eastAsia="Times New Roman" w:hAnsi="Franklin Gothic Book" w:cs="Times New Roman"/>
          <w:sz w:val="18"/>
          <w:szCs w:val="18"/>
        </w:rPr>
        <w:t xml:space="preserve"> </w:t>
      </w:r>
      <w:r w:rsidR="006E2996" w:rsidRPr="00804A4E">
        <w:rPr>
          <w:rFonts w:ascii="Franklin Gothic Book" w:eastAsia="Times New Roman" w:hAnsi="Franklin Gothic Book" w:cs="Times New Roman"/>
          <w:sz w:val="18"/>
          <w:szCs w:val="18"/>
        </w:rPr>
        <w:t xml:space="preserve">whereas </w:t>
      </w:r>
      <w:r w:rsidR="00F01DA8" w:rsidRPr="00804A4E">
        <w:rPr>
          <w:rFonts w:ascii="Franklin Gothic Book" w:eastAsia="Times New Roman" w:hAnsi="Franklin Gothic Book" w:cs="Times New Roman"/>
          <w:sz w:val="18"/>
          <w:szCs w:val="18"/>
        </w:rPr>
        <w:t>MG</w:t>
      </w:r>
      <w:r w:rsidR="006E2996" w:rsidRPr="00804A4E">
        <w:rPr>
          <w:rFonts w:ascii="Franklin Gothic Book" w:eastAsia="Times New Roman" w:hAnsi="Franklin Gothic Book" w:cs="Times New Roman"/>
          <w:sz w:val="18"/>
          <w:szCs w:val="18"/>
        </w:rPr>
        <w:t>B</w:t>
      </w:r>
      <w:r w:rsidR="00F01DA8" w:rsidRPr="00804A4E">
        <w:rPr>
          <w:rFonts w:ascii="Franklin Gothic Book" w:eastAsia="Times New Roman" w:hAnsi="Franklin Gothic Book" w:cs="Times New Roman"/>
          <w:sz w:val="18"/>
          <w:szCs w:val="18"/>
        </w:rPr>
        <w:t xml:space="preserve"> projects an increase of CT volume of 77% and an increase in PET/CT volume of 112%</w:t>
      </w:r>
      <w:r w:rsidR="006E2996" w:rsidRPr="00804A4E">
        <w:rPr>
          <w:rFonts w:ascii="Franklin Gothic Book" w:eastAsia="Times New Roman" w:hAnsi="Franklin Gothic Book" w:cs="Times New Roman"/>
          <w:sz w:val="18"/>
          <w:szCs w:val="18"/>
        </w:rPr>
        <w:t xml:space="preserve"> at MGH</w:t>
      </w:r>
      <w:r w:rsidR="00F01DA8" w:rsidRPr="00804A4E">
        <w:rPr>
          <w:rFonts w:ascii="Franklin Gothic Book" w:eastAsia="Times New Roman" w:hAnsi="Franklin Gothic Book" w:cs="Times New Roman"/>
          <w:sz w:val="18"/>
          <w:szCs w:val="18"/>
        </w:rPr>
        <w:t xml:space="preserve">. </w:t>
      </w:r>
      <w:r w:rsidR="00DC2AC6" w:rsidRPr="00804A4E">
        <w:rPr>
          <w:rFonts w:ascii="Franklin Gothic Book" w:eastAsia="Times New Roman" w:hAnsi="Franklin Gothic Book" w:cs="Times New Roman"/>
          <w:i/>
          <w:iCs/>
          <w:sz w:val="18"/>
          <w:szCs w:val="18"/>
        </w:rPr>
        <w:t xml:space="preserve">See </w:t>
      </w:r>
      <w:r w:rsidR="00F01DA8" w:rsidRPr="00804A4E">
        <w:rPr>
          <w:rFonts w:ascii="Franklin Gothic Book" w:eastAsia="Times New Roman" w:hAnsi="Franklin Gothic Book" w:cs="Times New Roman"/>
          <w:sz w:val="18"/>
          <w:szCs w:val="18"/>
        </w:rPr>
        <w:t>MGH ICA</w:t>
      </w:r>
      <w:r w:rsidR="00D21C70" w:rsidRPr="00804A4E">
        <w:rPr>
          <w:rFonts w:ascii="Franklin Gothic Book" w:eastAsia="Times New Roman" w:hAnsi="Franklin Gothic Book" w:cs="Times New Roman"/>
          <w:sz w:val="18"/>
          <w:szCs w:val="18"/>
        </w:rPr>
        <w:t xml:space="preserve">, </w:t>
      </w:r>
      <w:r w:rsidR="00D21C70" w:rsidRPr="00804A4E">
        <w:rPr>
          <w:rFonts w:ascii="Franklin Gothic Book" w:eastAsia="Times New Roman" w:hAnsi="Franklin Gothic Book" w:cs="Times New Roman"/>
          <w:i/>
          <w:iCs/>
          <w:sz w:val="18"/>
          <w:szCs w:val="18"/>
        </w:rPr>
        <w:t xml:space="preserve">supra </w:t>
      </w:r>
      <w:r w:rsidR="00D21C70" w:rsidRPr="00804A4E">
        <w:rPr>
          <w:rFonts w:ascii="Franklin Gothic Book" w:eastAsia="Times New Roman" w:hAnsi="Franklin Gothic Book" w:cs="Times New Roman"/>
          <w:sz w:val="18"/>
          <w:szCs w:val="18"/>
        </w:rPr>
        <w:t xml:space="preserve">note </w:t>
      </w:r>
      <w:r w:rsidR="00D21C70" w:rsidRPr="00804A4E">
        <w:rPr>
          <w:rFonts w:ascii="Franklin Gothic Book" w:eastAsia="Times New Roman" w:hAnsi="Franklin Gothic Book" w:cs="Times New Roman"/>
          <w:sz w:val="18"/>
          <w:szCs w:val="18"/>
        </w:rPr>
        <w:fldChar w:fldCharType="begin"/>
      </w:r>
      <w:r w:rsidR="00D21C70" w:rsidRPr="00804A4E">
        <w:rPr>
          <w:rFonts w:ascii="Franklin Gothic Book" w:eastAsia="Times New Roman" w:hAnsi="Franklin Gothic Book" w:cs="Times New Roman"/>
          <w:sz w:val="18"/>
          <w:szCs w:val="18"/>
        </w:rPr>
        <w:instrText xml:space="preserve"> NOTEREF _Ref93656068 \h </w:instrText>
      </w:r>
      <w:r w:rsidR="00804A4E" w:rsidRPr="00804A4E">
        <w:rPr>
          <w:rFonts w:ascii="Franklin Gothic Book" w:eastAsia="Times New Roman" w:hAnsi="Franklin Gothic Book" w:cs="Times New Roman"/>
          <w:sz w:val="18"/>
          <w:szCs w:val="18"/>
        </w:rPr>
        <w:instrText xml:space="preserve"> \* MERGEFORMAT </w:instrText>
      </w:r>
      <w:r w:rsidR="00D21C70" w:rsidRPr="00804A4E">
        <w:rPr>
          <w:rFonts w:ascii="Franklin Gothic Book" w:eastAsia="Times New Roman" w:hAnsi="Franklin Gothic Book" w:cs="Times New Roman"/>
          <w:sz w:val="18"/>
          <w:szCs w:val="18"/>
        </w:rPr>
      </w:r>
      <w:r w:rsidR="00D21C70" w:rsidRPr="00804A4E">
        <w:rPr>
          <w:rFonts w:ascii="Franklin Gothic Book" w:eastAsia="Times New Roman" w:hAnsi="Franklin Gothic Book" w:cs="Times New Roman"/>
          <w:sz w:val="18"/>
          <w:szCs w:val="18"/>
        </w:rPr>
        <w:fldChar w:fldCharType="separate"/>
      </w:r>
      <w:r w:rsidR="00036554">
        <w:rPr>
          <w:rFonts w:ascii="Franklin Gothic Book" w:eastAsia="Times New Roman" w:hAnsi="Franklin Gothic Book" w:cs="Times New Roman"/>
          <w:sz w:val="18"/>
          <w:szCs w:val="18"/>
        </w:rPr>
        <w:t>21</w:t>
      </w:r>
      <w:r w:rsidR="00D21C70" w:rsidRPr="00804A4E">
        <w:rPr>
          <w:rFonts w:ascii="Franklin Gothic Book" w:eastAsia="Times New Roman" w:hAnsi="Franklin Gothic Book" w:cs="Times New Roman"/>
          <w:sz w:val="18"/>
          <w:szCs w:val="18"/>
        </w:rPr>
        <w:fldChar w:fldCharType="end"/>
      </w:r>
      <w:r w:rsidR="00F01DA8" w:rsidRPr="00804A4E">
        <w:rPr>
          <w:rFonts w:ascii="Franklin Gothic Book" w:eastAsia="Times New Roman" w:hAnsi="Franklin Gothic Book" w:cs="Times New Roman"/>
          <w:sz w:val="18"/>
          <w:szCs w:val="18"/>
        </w:rPr>
        <w:t xml:space="preserve"> at </w:t>
      </w:r>
      <w:r w:rsidR="00952C13" w:rsidRPr="00804A4E">
        <w:rPr>
          <w:rFonts w:ascii="Franklin Gothic Book" w:eastAsia="Times New Roman" w:hAnsi="Franklin Gothic Book" w:cs="Times New Roman"/>
          <w:sz w:val="18"/>
          <w:szCs w:val="18"/>
        </w:rPr>
        <w:t>45</w:t>
      </w:r>
      <w:r w:rsidR="003D4851" w:rsidRPr="00804A4E">
        <w:rPr>
          <w:rFonts w:ascii="Franklin Gothic Book" w:eastAsia="Times New Roman" w:hAnsi="Franklin Gothic Book" w:cs="Times New Roman"/>
          <w:sz w:val="18"/>
          <w:szCs w:val="18"/>
        </w:rPr>
        <w:t xml:space="preserve"> and Figure MGH14</w:t>
      </w:r>
      <w:r w:rsidR="00DC2AC6" w:rsidRPr="00804A4E">
        <w:rPr>
          <w:rFonts w:ascii="Franklin Gothic Book" w:eastAsia="Times New Roman" w:hAnsi="Franklin Gothic Book" w:cs="Times New Roman"/>
          <w:sz w:val="18"/>
          <w:szCs w:val="18"/>
        </w:rPr>
        <w:t xml:space="preserve">. </w:t>
      </w:r>
      <w:r w:rsidR="04778739" w:rsidRPr="00804A4E">
        <w:rPr>
          <w:rStyle w:val="Hyperlink"/>
          <w:rFonts w:ascii="Franklin Gothic Book" w:eastAsia="Times New Roman" w:hAnsi="Franklin Gothic Book" w:cs="Times New Roman"/>
          <w:sz w:val="18"/>
          <w:szCs w:val="18"/>
        </w:rPr>
        <w:t xml:space="preserve"> </w:t>
      </w:r>
    </w:p>
  </w:footnote>
  <w:footnote w:id="30">
    <w:p w14:paraId="702B4456" w14:textId="07F331B5" w:rsidR="007E1CD4" w:rsidRPr="00804A4E" w:rsidRDefault="007E1CD4" w:rsidP="00142DCC">
      <w:pPr>
        <w:widowControl w:val="0"/>
        <w:rPr>
          <w:rFonts w:ascii="Franklin Gothic Book" w:eastAsia="Times New Roman" w:hAnsi="Franklin Gothic Book" w:cs="Times New Roman"/>
          <w:sz w:val="18"/>
          <w:szCs w:val="18"/>
        </w:rPr>
      </w:pPr>
      <w:r w:rsidRPr="00804A4E">
        <w:rPr>
          <w:rStyle w:val="FootnoteReference"/>
          <w:rFonts w:ascii="Franklin Gothic Book" w:hAnsi="Franklin Gothic Book" w:cs="Times New Roman"/>
          <w:sz w:val="18"/>
          <w:szCs w:val="18"/>
        </w:rPr>
        <w:footnoteRef/>
      </w:r>
      <w:r w:rsidR="00445C4B">
        <w:rPr>
          <w:rFonts w:ascii="Franklin Gothic Book" w:eastAsia="Times New Roman" w:hAnsi="Franklin Gothic Book" w:cs="Times New Roman"/>
          <w:sz w:val="18"/>
          <w:szCs w:val="18"/>
        </w:rPr>
        <w:t xml:space="preserve"> </w:t>
      </w:r>
      <w:r w:rsidR="47072CBF" w:rsidRPr="00804A4E">
        <w:rPr>
          <w:rFonts w:ascii="Franklin Gothic Book" w:eastAsia="Times New Roman" w:hAnsi="Franklin Gothic Book" w:cs="Times New Roman"/>
          <w:i/>
          <w:iCs/>
          <w:sz w:val="18"/>
          <w:szCs w:val="18"/>
        </w:rPr>
        <w:t>See</w:t>
      </w:r>
      <w:r w:rsidR="00445C4B">
        <w:rPr>
          <w:rFonts w:ascii="Franklin Gothic Book" w:eastAsia="Times New Roman" w:hAnsi="Franklin Gothic Book" w:cs="Times New Roman"/>
          <w:sz w:val="18"/>
          <w:szCs w:val="18"/>
        </w:rPr>
        <w:t>,</w:t>
      </w:r>
      <w:r w:rsidR="47072CBF" w:rsidRPr="00804A4E">
        <w:rPr>
          <w:rFonts w:ascii="Franklin Gothic Book" w:eastAsia="Times New Roman" w:hAnsi="Franklin Gothic Book" w:cs="Times New Roman"/>
          <w:sz w:val="18"/>
          <w:szCs w:val="18"/>
        </w:rPr>
        <w:t xml:space="preserve"> </w:t>
      </w:r>
      <w:r w:rsidR="47072CBF" w:rsidRPr="00445C4B">
        <w:rPr>
          <w:rFonts w:ascii="Franklin Gothic Book" w:eastAsia="Times New Roman" w:hAnsi="Franklin Gothic Book" w:cs="Times New Roman"/>
          <w:i/>
          <w:iCs/>
          <w:sz w:val="18"/>
          <w:szCs w:val="18"/>
        </w:rPr>
        <w:t>e.g</w:t>
      </w:r>
      <w:r w:rsidR="47072CBF" w:rsidRPr="00445C4B">
        <w:rPr>
          <w:rFonts w:ascii="Franklin Gothic Book" w:hAnsi="Franklin Gothic Book" w:cs="Times New Roman"/>
          <w:i/>
          <w:iCs/>
          <w:sz w:val="18"/>
          <w:szCs w:val="18"/>
        </w:rPr>
        <w:t>.</w:t>
      </w:r>
      <w:r w:rsidR="47072CBF" w:rsidRPr="00804A4E">
        <w:rPr>
          <w:rFonts w:ascii="Franklin Gothic Book" w:hAnsi="Franklin Gothic Book" w:cs="Times New Roman"/>
          <w:sz w:val="18"/>
          <w:szCs w:val="18"/>
        </w:rPr>
        <w:t xml:space="preserve">, </w:t>
      </w:r>
      <w:r w:rsidR="47072CBF" w:rsidRPr="00804A4E">
        <w:rPr>
          <w:rFonts w:ascii="Franklin Gothic Book" w:hAnsi="Franklin Gothic Book" w:cs="Times New Roman"/>
          <w:smallCaps/>
          <w:sz w:val="18"/>
          <w:szCs w:val="18"/>
        </w:rPr>
        <w:t>Office Of Att’y Gen. Martha Coakley, Examination Of Health Care Cost Trends And Cost Drivers Pursuant To G.L. c. 118G, § 6 ½(B): Report For Annual Public Hearing</w:t>
      </w:r>
      <w:r w:rsidR="47072CBF" w:rsidRPr="00804A4E">
        <w:rPr>
          <w:rFonts w:ascii="Franklin Gothic Book" w:hAnsi="Franklin Gothic Book" w:cs="Times New Roman"/>
          <w:sz w:val="18"/>
          <w:szCs w:val="18"/>
        </w:rPr>
        <w:t xml:space="preserve"> (Mar. 2010</w:t>
      </w:r>
      <w:r w:rsidR="47072CBF" w:rsidRPr="00804A4E">
        <w:rPr>
          <w:rFonts w:ascii="Franklin Gothic Book" w:eastAsia="Times New Roman" w:hAnsi="Franklin Gothic Book" w:cs="Times New Roman"/>
          <w:sz w:val="18"/>
          <w:szCs w:val="18"/>
        </w:rPr>
        <w:t xml:space="preserve">), </w:t>
      </w:r>
      <w:r w:rsidR="00675F28">
        <w:rPr>
          <w:rFonts w:ascii="Franklin Gothic Book" w:eastAsia="Times New Roman" w:hAnsi="Franklin Gothic Book" w:cs="Times New Roman"/>
          <w:i/>
          <w:iCs/>
          <w:sz w:val="18"/>
          <w:szCs w:val="18"/>
        </w:rPr>
        <w:t xml:space="preserve">available </w:t>
      </w:r>
      <w:hyperlink r:id="rId23" w:history="1">
        <w:r w:rsidR="00675F28">
          <w:rPr>
            <w:rStyle w:val="Hyperlink"/>
            <w:rFonts w:ascii="Franklin Gothic Book" w:eastAsia="Times New Roman" w:hAnsi="Franklin Gothic Book" w:cs="Times New Roman"/>
            <w:sz w:val="18"/>
            <w:szCs w:val="18"/>
          </w:rPr>
          <w:t>at https://www.mass.gov/doc/2010-examination-of-health-care-cost-trends-and-cost-drivers-with-appendix/download</w:t>
        </w:r>
      </w:hyperlink>
      <w:r w:rsidR="47072CBF" w:rsidRPr="00804A4E">
        <w:rPr>
          <w:rFonts w:ascii="Franklin Gothic Book" w:eastAsia="Times New Roman" w:hAnsi="Franklin Gothic Book" w:cs="Times New Roman"/>
          <w:sz w:val="18"/>
          <w:szCs w:val="18"/>
        </w:rPr>
        <w:t xml:space="preserve">; </w:t>
      </w:r>
      <w:bookmarkStart w:id="34" w:name="_Hlk93824161"/>
      <w:r w:rsidR="192C7D30" w:rsidRPr="00804A4E">
        <w:rPr>
          <w:rFonts w:ascii="Franklin Gothic Book" w:hAnsi="Franklin Gothic Book" w:cs="Times New Roman"/>
          <w:smallCaps/>
          <w:sz w:val="18"/>
          <w:szCs w:val="18"/>
        </w:rPr>
        <w:t>MA Health Policy Comm’n,</w:t>
      </w:r>
      <w:bookmarkEnd w:id="34"/>
      <w:r w:rsidR="192C7D30" w:rsidRPr="00804A4E">
        <w:rPr>
          <w:rFonts w:ascii="Franklin Gothic Book" w:hAnsi="Franklin Gothic Book" w:cs="Times New Roman"/>
          <w:smallCaps/>
          <w:sz w:val="18"/>
          <w:szCs w:val="18"/>
        </w:rPr>
        <w:t xml:space="preserve"> </w:t>
      </w:r>
      <w:r w:rsidR="00275541" w:rsidRPr="00804A4E">
        <w:rPr>
          <w:rFonts w:ascii="Franklin Gothic Book" w:hAnsi="Franklin Gothic Book" w:cs="Times New Roman"/>
          <w:smallCaps/>
          <w:sz w:val="18"/>
          <w:szCs w:val="18"/>
        </w:rPr>
        <w:t xml:space="preserve">2015 Cost Trends Report </w:t>
      </w:r>
      <w:r w:rsidR="2A0031AF" w:rsidRPr="00804A4E">
        <w:rPr>
          <w:rFonts w:ascii="Franklin Gothic Book" w:hAnsi="Franklin Gothic Book" w:cs="Times New Roman"/>
          <w:smallCaps/>
          <w:sz w:val="18"/>
          <w:szCs w:val="18"/>
        </w:rPr>
        <w:t>Provider Price Variation</w:t>
      </w:r>
      <w:r w:rsidR="2A0031AF" w:rsidRPr="00804A4E">
        <w:rPr>
          <w:rFonts w:ascii="Franklin Gothic Book" w:hAnsi="Franklin Gothic Book" w:cs="Times New Roman"/>
          <w:sz w:val="18"/>
          <w:szCs w:val="18"/>
        </w:rPr>
        <w:t xml:space="preserve"> </w:t>
      </w:r>
      <w:r w:rsidR="143B6AB4" w:rsidRPr="00804A4E">
        <w:rPr>
          <w:rFonts w:ascii="Franklin Gothic Book" w:hAnsi="Franklin Gothic Book" w:cs="Times New Roman"/>
          <w:sz w:val="18"/>
          <w:szCs w:val="18"/>
        </w:rPr>
        <w:t>(Jan.</w:t>
      </w:r>
      <w:r w:rsidR="192C7D30" w:rsidRPr="00804A4E">
        <w:rPr>
          <w:rFonts w:ascii="Franklin Gothic Book" w:hAnsi="Franklin Gothic Book" w:cs="Times New Roman"/>
          <w:sz w:val="18"/>
          <w:szCs w:val="18"/>
        </w:rPr>
        <w:t xml:space="preserve"> 201</w:t>
      </w:r>
      <w:r w:rsidR="008671A6" w:rsidRPr="00804A4E">
        <w:rPr>
          <w:rFonts w:ascii="Franklin Gothic Book" w:hAnsi="Franklin Gothic Book" w:cs="Times New Roman"/>
          <w:sz w:val="18"/>
          <w:szCs w:val="18"/>
        </w:rPr>
        <w:t>6</w:t>
      </w:r>
      <w:r w:rsidR="192C7D30" w:rsidRPr="00804A4E">
        <w:rPr>
          <w:rFonts w:ascii="Franklin Gothic Book" w:eastAsia="Times New Roman" w:hAnsi="Franklin Gothic Book" w:cs="Times New Roman"/>
          <w:sz w:val="18"/>
          <w:szCs w:val="18"/>
        </w:rPr>
        <w:t>)</w:t>
      </w:r>
      <w:r w:rsidR="00F6356A" w:rsidRPr="00804A4E">
        <w:rPr>
          <w:rFonts w:ascii="Franklin Gothic Book" w:hAnsi="Franklin Gothic Book" w:cs="Times New Roman"/>
          <w:sz w:val="18"/>
          <w:szCs w:val="18"/>
        </w:rPr>
        <w:t xml:space="preserve"> </w:t>
      </w:r>
      <w:r w:rsidR="00F6356A" w:rsidRPr="00804A4E">
        <w:rPr>
          <w:rFonts w:ascii="Franklin Gothic Book" w:eastAsia="Times New Roman" w:hAnsi="Franklin Gothic Book" w:cs="Times New Roman"/>
          <w:sz w:val="18"/>
          <w:szCs w:val="18"/>
        </w:rPr>
        <w:t xml:space="preserve">[hereinafter </w:t>
      </w:r>
      <w:r w:rsidR="00F6356A" w:rsidRPr="00804A4E">
        <w:rPr>
          <w:rFonts w:ascii="Franklin Gothic Book" w:eastAsia="Times New Roman" w:hAnsi="Franklin Gothic Book" w:cs="Times New Roman"/>
          <w:smallCaps/>
          <w:sz w:val="18"/>
          <w:szCs w:val="18"/>
        </w:rPr>
        <w:t>HPC Provider Price Variation Report</w:t>
      </w:r>
      <w:r w:rsidR="00F6356A" w:rsidRPr="00804A4E">
        <w:rPr>
          <w:rFonts w:ascii="Franklin Gothic Book" w:eastAsia="Times New Roman" w:hAnsi="Franklin Gothic Book" w:cs="Times New Roman"/>
          <w:sz w:val="18"/>
          <w:szCs w:val="18"/>
        </w:rPr>
        <w:t>]</w:t>
      </w:r>
      <w:r w:rsidR="192C7D30" w:rsidRPr="00804A4E">
        <w:rPr>
          <w:rFonts w:ascii="Franklin Gothic Book" w:eastAsia="Times New Roman" w:hAnsi="Franklin Gothic Book" w:cs="Times New Roman"/>
          <w:sz w:val="18"/>
          <w:szCs w:val="18"/>
        </w:rPr>
        <w:t xml:space="preserve">, </w:t>
      </w:r>
      <w:r w:rsidR="008A7813">
        <w:rPr>
          <w:rFonts w:ascii="Franklin Gothic Book" w:eastAsia="Times New Roman" w:hAnsi="Franklin Gothic Book" w:cs="Times New Roman"/>
          <w:i/>
          <w:iCs/>
          <w:sz w:val="18"/>
          <w:szCs w:val="18"/>
        </w:rPr>
        <w:t>available</w:t>
      </w:r>
      <w:r w:rsidR="00DD13B4" w:rsidRPr="00804A4E">
        <w:rPr>
          <w:rFonts w:ascii="Franklin Gothic Book" w:eastAsia="Times New Roman" w:hAnsi="Franklin Gothic Book" w:cs="Times New Roman"/>
          <w:i/>
          <w:iCs/>
          <w:sz w:val="18"/>
          <w:szCs w:val="18"/>
        </w:rPr>
        <w:t xml:space="preserve"> </w:t>
      </w:r>
      <w:hyperlink r:id="rId24" w:history="1">
        <w:r w:rsidR="005475B6">
          <w:rPr>
            <w:rStyle w:val="Hyperlink"/>
            <w:rFonts w:ascii="Franklin Gothic Book" w:hAnsi="Franklin Gothic Book" w:cs="Times New Roman"/>
            <w:sz w:val="18"/>
            <w:szCs w:val="18"/>
          </w:rPr>
          <w:t>at http://www.mass.gov/ago/docs/healthcare/cctcd5.pdf</w:t>
        </w:r>
      </w:hyperlink>
      <w:r w:rsidR="008671A6" w:rsidRPr="00804A4E">
        <w:rPr>
          <w:rFonts w:ascii="Franklin Gothic Book" w:eastAsia="Times New Roman" w:hAnsi="Franklin Gothic Book" w:cs="Times New Roman"/>
          <w:sz w:val="18"/>
          <w:szCs w:val="18"/>
        </w:rPr>
        <w:t xml:space="preserve"> </w:t>
      </w:r>
      <w:hyperlink r:id="rId25" w:history="1">
        <w:r w:rsidR="008A7813">
          <w:rPr>
            <w:rStyle w:val="Hyperlink"/>
            <w:rFonts w:ascii="Franklin Gothic Book" w:eastAsia="Times New Roman" w:hAnsi="Franklin Gothic Book" w:cs="Times New Roman"/>
            <w:sz w:val="18"/>
            <w:szCs w:val="18"/>
          </w:rPr>
          <w:t>at https://www.mass.gov/doc/2015-cost-trends-report-provider-price-variation/download</w:t>
        </w:r>
      </w:hyperlink>
      <w:r w:rsidR="00B72D6E" w:rsidRPr="00804A4E">
        <w:rPr>
          <w:rFonts w:ascii="Franklin Gothic Book" w:eastAsia="Times New Roman" w:hAnsi="Franklin Gothic Book" w:cs="Times New Roman"/>
          <w:sz w:val="18"/>
          <w:szCs w:val="18"/>
        </w:rPr>
        <w:t xml:space="preserve">; </w:t>
      </w:r>
      <w:r w:rsidR="00952C13" w:rsidRPr="00804A4E">
        <w:rPr>
          <w:rFonts w:ascii="Franklin Gothic Book" w:eastAsia="Times New Roman" w:hAnsi="Franklin Gothic Book" w:cs="Times New Roman"/>
          <w:smallCaps/>
          <w:sz w:val="18"/>
          <w:szCs w:val="18"/>
        </w:rPr>
        <w:t>Massachusetts Health Policy Commission, Review of Partners HealthCare System’s Proposed Acquisition of Massachusetts Eye and Ear Infirmary, Massachusetts Eye and Ear</w:t>
      </w:r>
      <w:r w:rsidR="002B79AB" w:rsidRPr="00804A4E">
        <w:rPr>
          <w:rFonts w:ascii="Franklin Gothic Book" w:eastAsia="Times New Roman" w:hAnsi="Franklin Gothic Book" w:cs="Times New Roman"/>
          <w:smallCaps/>
          <w:sz w:val="18"/>
          <w:szCs w:val="18"/>
        </w:rPr>
        <w:t xml:space="preserve"> </w:t>
      </w:r>
      <w:r w:rsidR="00952C13" w:rsidRPr="00804A4E">
        <w:rPr>
          <w:rFonts w:ascii="Franklin Gothic Book" w:eastAsia="Times New Roman" w:hAnsi="Franklin Gothic Book" w:cs="Times New Roman"/>
          <w:smallCaps/>
          <w:sz w:val="18"/>
          <w:szCs w:val="18"/>
        </w:rPr>
        <w:t>Associates, and Affiliates</w:t>
      </w:r>
      <w:r w:rsidR="002B79AB" w:rsidRPr="00804A4E">
        <w:rPr>
          <w:rFonts w:ascii="Franklin Gothic Book" w:eastAsia="Times New Roman" w:hAnsi="Franklin Gothic Book" w:cs="Times New Roman"/>
          <w:sz w:val="18"/>
          <w:szCs w:val="18"/>
        </w:rPr>
        <w:t xml:space="preserve"> </w:t>
      </w:r>
      <w:r w:rsidR="002B79AB" w:rsidRPr="00804A4E">
        <w:rPr>
          <w:rFonts w:ascii="Franklin Gothic Book" w:eastAsia="Times New Roman" w:hAnsi="Franklin Gothic Book" w:cs="Times New Roman"/>
          <w:smallCaps/>
          <w:sz w:val="18"/>
          <w:szCs w:val="18"/>
        </w:rPr>
        <w:t xml:space="preserve">(HPC-CMIR-2017-1) </w:t>
      </w:r>
      <w:r w:rsidR="002B79AB" w:rsidRPr="00804A4E">
        <w:rPr>
          <w:rFonts w:ascii="Franklin Gothic Book" w:eastAsia="Times New Roman" w:hAnsi="Franklin Gothic Book" w:cs="Times New Roman"/>
          <w:sz w:val="18"/>
          <w:szCs w:val="18"/>
        </w:rPr>
        <w:t>(</w:t>
      </w:r>
      <w:r w:rsidR="00445C4B" w:rsidRPr="00804A4E">
        <w:rPr>
          <w:rFonts w:ascii="Franklin Gothic Book" w:eastAsia="Times New Roman" w:hAnsi="Franklin Gothic Book" w:cs="Times New Roman"/>
          <w:sz w:val="18"/>
          <w:szCs w:val="18"/>
        </w:rPr>
        <w:t>Jan</w:t>
      </w:r>
      <w:r w:rsidR="00445C4B">
        <w:rPr>
          <w:rFonts w:ascii="Franklin Gothic Book" w:eastAsia="Times New Roman" w:hAnsi="Franklin Gothic Book" w:cs="Times New Roman"/>
          <w:sz w:val="18"/>
          <w:szCs w:val="18"/>
        </w:rPr>
        <w:t>.</w:t>
      </w:r>
      <w:r w:rsidR="00445C4B" w:rsidRPr="00804A4E">
        <w:rPr>
          <w:rFonts w:ascii="Franklin Gothic Book" w:eastAsia="Times New Roman" w:hAnsi="Franklin Gothic Book" w:cs="Times New Roman"/>
          <w:sz w:val="18"/>
          <w:szCs w:val="18"/>
        </w:rPr>
        <w:t xml:space="preserve"> </w:t>
      </w:r>
      <w:r w:rsidR="002B79AB" w:rsidRPr="00804A4E">
        <w:rPr>
          <w:rFonts w:ascii="Franklin Gothic Book" w:eastAsia="Times New Roman" w:hAnsi="Franklin Gothic Book" w:cs="Times New Roman"/>
          <w:sz w:val="18"/>
          <w:szCs w:val="18"/>
        </w:rPr>
        <w:t>2018)</w:t>
      </w:r>
      <w:r w:rsidR="00C87B0F" w:rsidRPr="00804A4E">
        <w:rPr>
          <w:rFonts w:ascii="Franklin Gothic Book" w:eastAsia="Times New Roman" w:hAnsi="Franklin Gothic Book" w:cs="Times New Roman"/>
          <w:sz w:val="18"/>
          <w:szCs w:val="18"/>
        </w:rPr>
        <w:t xml:space="preserve"> [hereinafter </w:t>
      </w:r>
      <w:r w:rsidR="00C87B0F" w:rsidRPr="00804A4E">
        <w:rPr>
          <w:rFonts w:ascii="Franklin Gothic Book" w:eastAsia="Times New Roman" w:hAnsi="Franklin Gothic Book" w:cs="Times New Roman"/>
          <w:smallCaps/>
          <w:sz w:val="18"/>
          <w:szCs w:val="18"/>
        </w:rPr>
        <w:t>PHS-MEE Final CMIR Report</w:t>
      </w:r>
      <w:r w:rsidR="00C87B0F" w:rsidRPr="00804A4E">
        <w:rPr>
          <w:rFonts w:ascii="Franklin Gothic Book" w:eastAsia="Times New Roman" w:hAnsi="Franklin Gothic Book" w:cs="Times New Roman"/>
          <w:sz w:val="18"/>
          <w:szCs w:val="18"/>
        </w:rPr>
        <w:t>]</w:t>
      </w:r>
      <w:r w:rsidR="002B79AB" w:rsidRPr="00804A4E">
        <w:rPr>
          <w:rFonts w:ascii="Franklin Gothic Book" w:eastAsia="Times New Roman" w:hAnsi="Franklin Gothic Book" w:cs="Times New Roman"/>
          <w:sz w:val="18"/>
          <w:szCs w:val="18"/>
        </w:rPr>
        <w:t xml:space="preserve">, </w:t>
      </w:r>
      <w:r w:rsidR="006C49BE">
        <w:rPr>
          <w:rFonts w:ascii="Franklin Gothic Book" w:eastAsia="Times New Roman" w:hAnsi="Franklin Gothic Book" w:cs="Times New Roman"/>
          <w:i/>
          <w:iCs/>
          <w:sz w:val="18"/>
          <w:szCs w:val="18"/>
        </w:rPr>
        <w:t>available</w:t>
      </w:r>
      <w:r w:rsidR="002B79AB" w:rsidRPr="00804A4E">
        <w:rPr>
          <w:rFonts w:ascii="Franklin Gothic Book" w:eastAsia="Times New Roman" w:hAnsi="Franklin Gothic Book" w:cs="Times New Roman"/>
          <w:i/>
          <w:iCs/>
          <w:sz w:val="18"/>
          <w:szCs w:val="18"/>
        </w:rPr>
        <w:t xml:space="preserve"> </w:t>
      </w:r>
      <w:hyperlink r:id="rId26" w:history="1">
        <w:r w:rsidR="006C49BE">
          <w:rPr>
            <w:rStyle w:val="Hyperlink"/>
            <w:rFonts w:ascii="Franklin Gothic Book" w:eastAsia="Times New Roman" w:hAnsi="Franklin Gothic Book" w:cs="Times New Roman"/>
            <w:sz w:val="18"/>
            <w:szCs w:val="18"/>
          </w:rPr>
          <w:t>at https://www.mass.gov/doc/final-cmir-report-phs-mee-0/download</w:t>
        </w:r>
      </w:hyperlink>
      <w:r w:rsidR="002B79AB" w:rsidRPr="00804A4E">
        <w:rPr>
          <w:rFonts w:ascii="Franklin Gothic Book" w:eastAsia="Times New Roman" w:hAnsi="Franklin Gothic Book" w:cs="Times New Roman"/>
          <w:sz w:val="18"/>
          <w:szCs w:val="18"/>
        </w:rPr>
        <w:t xml:space="preserve">. </w:t>
      </w:r>
    </w:p>
  </w:footnote>
  <w:footnote w:id="31">
    <w:p w14:paraId="61915A38" w14:textId="5A270BEC" w:rsidR="00F94B78" w:rsidRPr="00804A4E" w:rsidRDefault="00F94B78"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991062" w:rsidRPr="00804A4E">
        <w:rPr>
          <w:rFonts w:ascii="Franklin Gothic Book" w:hAnsi="Franklin Gothic Book" w:cs="Times New Roman"/>
          <w:i/>
          <w:iCs/>
          <w:sz w:val="18"/>
          <w:szCs w:val="18"/>
        </w:rPr>
        <w:t xml:space="preserve">See </w:t>
      </w:r>
      <w:hyperlink w:anchor="Appendix_IIB" w:history="1">
        <w:r w:rsidR="00991062" w:rsidRPr="00804A4E">
          <w:rPr>
            <w:rStyle w:val="Hyperlink"/>
            <w:rFonts w:ascii="Franklin Gothic Book" w:hAnsi="Franklin Gothic Book" w:cs="Times New Roman"/>
            <w:sz w:val="18"/>
            <w:szCs w:val="18"/>
          </w:rPr>
          <w:t>Appendix II.B</w:t>
        </w:r>
      </w:hyperlink>
      <w:r w:rsidR="00CB0907" w:rsidRPr="00804A4E">
        <w:rPr>
          <w:rStyle w:val="Hyperlink"/>
          <w:rFonts w:ascii="Franklin Gothic Book" w:hAnsi="Franklin Gothic Book" w:cs="Times New Roman"/>
          <w:color w:val="auto"/>
          <w:sz w:val="18"/>
          <w:szCs w:val="18"/>
          <w:u w:val="none"/>
        </w:rPr>
        <w:t>.</w:t>
      </w:r>
    </w:p>
  </w:footnote>
  <w:footnote w:id="32">
    <w:p w14:paraId="091CF3EB" w14:textId="270130CE" w:rsidR="00F94B78" w:rsidRPr="00804A4E" w:rsidRDefault="00F94B78"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C87B0F" w:rsidRPr="00804A4E">
        <w:rPr>
          <w:rFonts w:ascii="Franklin Gothic Book" w:hAnsi="Franklin Gothic Book" w:cs="Times New Roman"/>
          <w:i/>
          <w:iCs/>
          <w:sz w:val="18"/>
          <w:szCs w:val="18"/>
        </w:rPr>
        <w:t>See</w:t>
      </w:r>
      <w:r w:rsidR="00C87B0F" w:rsidRPr="00804A4E">
        <w:rPr>
          <w:rFonts w:ascii="Franklin Gothic Book" w:hAnsi="Franklin Gothic Book" w:cs="Times New Roman"/>
          <w:sz w:val="18"/>
          <w:szCs w:val="18"/>
        </w:rPr>
        <w:t xml:space="preserve"> </w:t>
      </w:r>
      <w:hyperlink w:anchor="Section_IIIA3" w:history="1">
        <w:r w:rsidR="00C87B0F" w:rsidRPr="00804A4E">
          <w:rPr>
            <w:rStyle w:val="Hyperlink"/>
            <w:rFonts w:ascii="Franklin Gothic Book" w:hAnsi="Franklin Gothic Book" w:cs="Times New Roman"/>
            <w:sz w:val="18"/>
            <w:szCs w:val="18"/>
          </w:rPr>
          <w:t>Section III.A.3</w:t>
        </w:r>
        <w:r w:rsidR="00C87B0F" w:rsidRPr="00804A4E">
          <w:rPr>
            <w:rStyle w:val="Hyperlink"/>
            <w:rFonts w:ascii="Franklin Gothic Book" w:hAnsi="Franklin Gothic Book" w:cs="Times New Roman"/>
            <w:color w:val="auto"/>
            <w:sz w:val="18"/>
            <w:szCs w:val="18"/>
            <w:u w:val="none"/>
          </w:rPr>
          <w:t>.</w:t>
        </w:r>
      </w:hyperlink>
    </w:p>
  </w:footnote>
  <w:footnote w:id="33">
    <w:p w14:paraId="13C4F923" w14:textId="4B6A7EC5" w:rsidR="00A00C2D" w:rsidRPr="00804A4E" w:rsidRDefault="00A00C2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w:t>
      </w:r>
      <w:hyperlink w:anchor="Appendix_IIC" w:history="1">
        <w:r w:rsidRPr="00804A4E">
          <w:rPr>
            <w:rStyle w:val="Hyperlink"/>
            <w:rFonts w:ascii="Franklin Gothic Book" w:hAnsi="Franklin Gothic Book" w:cs="Times New Roman"/>
            <w:sz w:val="18"/>
            <w:szCs w:val="18"/>
          </w:rPr>
          <w:t>Appendix II.C</w:t>
        </w:r>
      </w:hyperlink>
      <w:r w:rsidRPr="00804A4E">
        <w:rPr>
          <w:rFonts w:ascii="Franklin Gothic Book" w:hAnsi="Franklin Gothic Book" w:cs="Times New Roman"/>
          <w:sz w:val="18"/>
          <w:szCs w:val="18"/>
        </w:rPr>
        <w:t xml:space="preserve"> for a comparison of the acuity mix of MGB hospitals compared to other Massachusetts hospitals. As described in the DoN applications, MGB is proposing to expand oncology, cardiology, and radiology services at MGH; endoscopy and imaging services at Faulkner; and surgical, imaging, and physician services at three new ambulatory sites in Massachusetts. Across all services examined in the MGH and Faulkner ICAs, MGH’s and Faulkner’s respective market shares in their services areas are expected to increase, with new volume drawn from other providers. This implies that there are currently other providers in the service areas that can and do provide these services. Likewise, the Ambulatory ICA shows the predicted increases to MGB’s market share for CT scans, MR scans, and surgical procedures in the Westborough, Westwood, and Woburn service areas, predicting that the proposed facilities will draw patients from other provider organizations. Other providers also provided extensive testimony that they have available capacity to provide the services proposed in the Ambulatory DoN. </w:t>
      </w:r>
      <w:r w:rsidRPr="00804A4E">
        <w:rPr>
          <w:rFonts w:ascii="Franklin Gothic Book" w:hAnsi="Franklin Gothic Book" w:cs="Times New Roman"/>
          <w:i/>
          <w:iCs/>
          <w:sz w:val="18"/>
          <w:szCs w:val="18"/>
        </w:rPr>
        <w:t>See, e.g.,</w:t>
      </w:r>
      <w:r w:rsidRPr="00804A4E">
        <w:rPr>
          <w:rFonts w:ascii="Franklin Gothic Book" w:hAnsi="Franklin Gothic Book" w:cs="Times New Roman"/>
          <w:sz w:val="18"/>
          <w:szCs w:val="18"/>
        </w:rPr>
        <w:t xml:space="preserve"> </w:t>
      </w:r>
      <w:r w:rsidR="00A9502B">
        <w:rPr>
          <w:rFonts w:ascii="Franklin Gothic Book" w:hAnsi="Franklin Gothic Book" w:cs="Times New Roman"/>
          <w:sz w:val="18"/>
          <w:szCs w:val="18"/>
        </w:rPr>
        <w:t>C</w:t>
      </w:r>
      <w:r w:rsidRPr="00804A4E">
        <w:rPr>
          <w:rFonts w:ascii="Franklin Gothic Book" w:hAnsi="Franklin Gothic Book" w:cs="Times New Roman"/>
          <w:sz w:val="18"/>
          <w:szCs w:val="18"/>
        </w:rPr>
        <w:t xml:space="preserve">omments on MGB Multisite DoN Application by Robert Andrew Wilkinson, Director of Finance for Ambulatory Surgery at Shields Health Care Group at 14 (April 6, 2021) </w:t>
      </w:r>
      <w:r w:rsidRPr="00A9502B">
        <w:rPr>
          <w:rFonts w:ascii="Franklin Gothic Book" w:hAnsi="Franklin Gothic Book" w:cs="Times New Roman"/>
          <w:i/>
          <w:iCs/>
          <w:sz w:val="18"/>
          <w:szCs w:val="18"/>
        </w:rPr>
        <w:t>and</w:t>
      </w:r>
      <w:r w:rsidRPr="00804A4E">
        <w:rPr>
          <w:rFonts w:ascii="Franklin Gothic Book" w:hAnsi="Franklin Gothic Book" w:cs="Times New Roman"/>
          <w:sz w:val="18"/>
          <w:szCs w:val="18"/>
        </w:rPr>
        <w:t xml:space="preserve"> </w:t>
      </w:r>
      <w:r w:rsidR="00A9502B">
        <w:rPr>
          <w:rFonts w:ascii="Franklin Gothic Book" w:hAnsi="Franklin Gothic Book" w:cs="Times New Roman"/>
          <w:sz w:val="18"/>
          <w:szCs w:val="18"/>
        </w:rPr>
        <w:t>C</w:t>
      </w:r>
      <w:r w:rsidRPr="00804A4E">
        <w:rPr>
          <w:rFonts w:ascii="Franklin Gothic Book" w:hAnsi="Franklin Gothic Book" w:cs="Times New Roman"/>
          <w:sz w:val="18"/>
          <w:szCs w:val="18"/>
        </w:rPr>
        <w:t xml:space="preserve">omments on MGB Multisite DoN Application by Douglas Brown, President of UMass Memorial Community Hospitals at 29 (April 16, 2021), </w:t>
      </w:r>
      <w:r w:rsidR="008F5C2A">
        <w:rPr>
          <w:rFonts w:ascii="Franklin Gothic Book" w:hAnsi="Franklin Gothic Book" w:cs="Times New Roman"/>
          <w:i/>
          <w:iCs/>
          <w:sz w:val="18"/>
          <w:szCs w:val="18"/>
        </w:rPr>
        <w:t xml:space="preserve">available </w:t>
      </w:r>
      <w:hyperlink r:id="rId27" w:history="1">
        <w:r w:rsidR="008F5C2A">
          <w:rPr>
            <w:rStyle w:val="Hyperlink"/>
            <w:rFonts w:ascii="Franklin Gothic Book" w:hAnsi="Franklin Gothic Book" w:cs="Times New Roman"/>
            <w:sz w:val="18"/>
            <w:szCs w:val="18"/>
          </w:rPr>
          <w:t>at https://www.mass.gov/doc/mass-general-brigham-public-comments-all-locations-batch-1/download</w:t>
        </w:r>
      </w:hyperlink>
      <w:r w:rsidRPr="00804A4E">
        <w:rPr>
          <w:rFonts w:ascii="Franklin Gothic Book" w:hAnsi="Franklin Gothic Book" w:cs="Times New Roman"/>
          <w:sz w:val="18"/>
          <w:szCs w:val="18"/>
        </w:rPr>
        <w:t>.</w:t>
      </w:r>
    </w:p>
  </w:footnote>
  <w:footnote w:id="34">
    <w:p w14:paraId="2ABC6908" w14:textId="2A76AEDC" w:rsidR="00293B8F" w:rsidRPr="00804A4E" w:rsidRDefault="00293B8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60583B" w:rsidRPr="00804A4E">
        <w:rPr>
          <w:rFonts w:ascii="Franklin Gothic Book" w:eastAsia="Times New Roman" w:hAnsi="Franklin Gothic Book" w:cs="Times New Roman"/>
          <w:smallCaps/>
          <w:sz w:val="18"/>
          <w:szCs w:val="18"/>
        </w:rPr>
        <w:t>Massachusetts Health Policy Commission, Review of Partners HealthCare System’s Proposed Acquisitions of South Shore Hospital (HPC-CMIR-2013-1) and Harbor Medical Associates (HPC-CMIR-2013-2) Pursuant to M.G.L. c. 6D, § 13</w:t>
      </w:r>
      <w:r w:rsidR="0060583B" w:rsidRPr="00804A4E">
        <w:rPr>
          <w:rFonts w:ascii="Franklin Gothic Book" w:eastAsia="Times New Roman" w:hAnsi="Franklin Gothic Book" w:cs="Times New Roman"/>
          <w:sz w:val="18"/>
          <w:szCs w:val="18"/>
        </w:rPr>
        <w:t xml:space="preserve"> (February 2014), </w:t>
      </w:r>
      <w:r w:rsidR="002A0417">
        <w:rPr>
          <w:rFonts w:ascii="Franklin Gothic Book" w:eastAsia="Times New Roman" w:hAnsi="Franklin Gothic Book" w:cs="Times New Roman"/>
          <w:i/>
          <w:iCs/>
          <w:sz w:val="18"/>
          <w:szCs w:val="18"/>
        </w:rPr>
        <w:t>available</w:t>
      </w:r>
      <w:r w:rsidR="0060583B" w:rsidRPr="00804A4E">
        <w:rPr>
          <w:rFonts w:ascii="Franklin Gothic Book" w:eastAsia="Times New Roman" w:hAnsi="Franklin Gothic Book" w:cs="Times New Roman"/>
          <w:sz w:val="18"/>
          <w:szCs w:val="18"/>
        </w:rPr>
        <w:t xml:space="preserve"> </w:t>
      </w:r>
      <w:hyperlink r:id="rId28" w:history="1">
        <w:r w:rsidR="002A0417">
          <w:rPr>
            <w:rStyle w:val="Hyperlink"/>
            <w:rFonts w:ascii="Franklin Gothic Book" w:eastAsia="Times New Roman" w:hAnsi="Franklin Gothic Book" w:cs="Times New Roman"/>
            <w:sz w:val="18"/>
            <w:szCs w:val="18"/>
          </w:rPr>
          <w:t>at https://www.mass.gov/doc/final-cmir-report-partners-south-shore-harbor/download</w:t>
        </w:r>
      </w:hyperlink>
      <w:r w:rsidR="0060583B" w:rsidRPr="00804A4E">
        <w:rPr>
          <w:rFonts w:ascii="Franklin Gothic Book" w:eastAsia="Times New Roman" w:hAnsi="Franklin Gothic Book" w:cs="Times New Roman"/>
          <w:sz w:val="18"/>
          <w:szCs w:val="18"/>
        </w:rPr>
        <w:t xml:space="preserve">; </w:t>
      </w:r>
      <w:r w:rsidR="003D4851" w:rsidRPr="00804A4E">
        <w:rPr>
          <w:rFonts w:ascii="Franklin Gothic Book" w:eastAsia="Times New Roman" w:hAnsi="Franklin Gothic Book" w:cs="Times New Roman"/>
          <w:smallCaps/>
          <w:sz w:val="18"/>
          <w:szCs w:val="18"/>
        </w:rPr>
        <w:t xml:space="preserve">PHS-MEE Final CMIR Report, </w:t>
      </w:r>
      <w:r w:rsidR="003D4851" w:rsidRPr="00804A4E">
        <w:rPr>
          <w:rFonts w:ascii="Franklin Gothic Book" w:eastAsia="Times New Roman" w:hAnsi="Franklin Gothic Book" w:cs="Times New Roman"/>
          <w:i/>
          <w:iCs/>
          <w:sz w:val="18"/>
          <w:szCs w:val="18"/>
        </w:rPr>
        <w:t xml:space="preserve">supra </w:t>
      </w:r>
      <w:r w:rsidR="003D4851" w:rsidRPr="00804A4E">
        <w:rPr>
          <w:rFonts w:ascii="Franklin Gothic Book" w:eastAsia="Times New Roman" w:hAnsi="Franklin Gothic Book" w:cs="Times New Roman"/>
          <w:sz w:val="18"/>
          <w:szCs w:val="18"/>
        </w:rPr>
        <w:t xml:space="preserve">note </w:t>
      </w:r>
      <w:r w:rsidR="003D4851" w:rsidRPr="00804A4E">
        <w:rPr>
          <w:rFonts w:ascii="Franklin Gothic Book" w:eastAsia="Times New Roman" w:hAnsi="Franklin Gothic Book" w:cs="Times New Roman"/>
          <w:sz w:val="18"/>
          <w:szCs w:val="18"/>
        </w:rPr>
        <w:fldChar w:fldCharType="begin"/>
      </w:r>
      <w:r w:rsidR="003D4851" w:rsidRPr="00804A4E">
        <w:rPr>
          <w:rFonts w:ascii="Franklin Gothic Book" w:eastAsia="Times New Roman" w:hAnsi="Franklin Gothic Book" w:cs="Times New Roman"/>
          <w:sz w:val="18"/>
          <w:szCs w:val="18"/>
        </w:rPr>
        <w:instrText xml:space="preserve"> NOTEREF _Ref93003264 \h </w:instrText>
      </w:r>
      <w:r w:rsidR="00804A4E" w:rsidRPr="00804A4E">
        <w:rPr>
          <w:rFonts w:ascii="Franklin Gothic Book" w:eastAsia="Times New Roman" w:hAnsi="Franklin Gothic Book" w:cs="Times New Roman"/>
          <w:sz w:val="18"/>
          <w:szCs w:val="18"/>
        </w:rPr>
        <w:instrText xml:space="preserve"> \* MERGEFORMAT </w:instrText>
      </w:r>
      <w:r w:rsidR="003D4851" w:rsidRPr="00804A4E">
        <w:rPr>
          <w:rFonts w:ascii="Franklin Gothic Book" w:eastAsia="Times New Roman" w:hAnsi="Franklin Gothic Book" w:cs="Times New Roman"/>
          <w:sz w:val="18"/>
          <w:szCs w:val="18"/>
        </w:rPr>
      </w:r>
      <w:r w:rsidR="003D4851" w:rsidRPr="00804A4E">
        <w:rPr>
          <w:rFonts w:ascii="Franklin Gothic Book" w:eastAsia="Times New Roman" w:hAnsi="Franklin Gothic Book" w:cs="Times New Roman"/>
          <w:sz w:val="18"/>
          <w:szCs w:val="18"/>
        </w:rPr>
        <w:fldChar w:fldCharType="separate"/>
      </w:r>
      <w:r w:rsidR="00036554">
        <w:rPr>
          <w:rFonts w:ascii="Franklin Gothic Book" w:eastAsia="Times New Roman" w:hAnsi="Franklin Gothic Book" w:cs="Times New Roman"/>
          <w:sz w:val="18"/>
          <w:szCs w:val="18"/>
        </w:rPr>
        <w:t>29</w:t>
      </w:r>
      <w:r w:rsidR="003D4851" w:rsidRPr="00804A4E">
        <w:rPr>
          <w:rFonts w:ascii="Franklin Gothic Book" w:eastAsia="Times New Roman" w:hAnsi="Franklin Gothic Book" w:cs="Times New Roman"/>
          <w:sz w:val="18"/>
          <w:szCs w:val="18"/>
        </w:rPr>
        <w:fldChar w:fldCharType="end"/>
      </w:r>
      <w:r w:rsidR="003D4851" w:rsidRPr="00804A4E">
        <w:rPr>
          <w:rFonts w:ascii="Franklin Gothic Book" w:eastAsia="Times New Roman" w:hAnsi="Franklin Gothic Book" w:cs="Times New Roman"/>
          <w:sz w:val="18"/>
          <w:szCs w:val="18"/>
        </w:rPr>
        <w:t xml:space="preserve">. </w:t>
      </w:r>
    </w:p>
  </w:footnote>
  <w:footnote w:id="35">
    <w:p w14:paraId="408B8924" w14:textId="706FC072" w:rsidR="00A916B0" w:rsidRPr="00804A4E" w:rsidRDefault="00A916B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60583B" w:rsidRPr="00804A4E">
        <w:rPr>
          <w:rFonts w:ascii="Franklin Gothic Book" w:hAnsi="Franklin Gothic Book" w:cs="Times New Roman"/>
          <w:sz w:val="18"/>
          <w:szCs w:val="18"/>
        </w:rPr>
        <w:t xml:space="preserve">See </w:t>
      </w:r>
      <w:hyperlink w:anchor="Appendix_IIC" w:history="1">
        <w:r w:rsidR="0060583B" w:rsidRPr="00804A4E">
          <w:rPr>
            <w:rStyle w:val="Hyperlink"/>
            <w:rFonts w:ascii="Franklin Gothic Book" w:hAnsi="Franklin Gothic Book" w:cs="Times New Roman"/>
            <w:sz w:val="18"/>
            <w:szCs w:val="18"/>
          </w:rPr>
          <w:t>Appendix II.C</w:t>
        </w:r>
      </w:hyperlink>
      <w:r w:rsidR="00CB0907" w:rsidRPr="00804A4E">
        <w:rPr>
          <w:rStyle w:val="Hyperlink"/>
          <w:rFonts w:ascii="Franklin Gothic Book" w:hAnsi="Franklin Gothic Book" w:cs="Times New Roman"/>
          <w:color w:val="auto"/>
          <w:sz w:val="18"/>
          <w:szCs w:val="18"/>
          <w:u w:val="none"/>
        </w:rPr>
        <w:t>.</w:t>
      </w:r>
    </w:p>
  </w:footnote>
  <w:footnote w:id="36">
    <w:p w14:paraId="469A6C01" w14:textId="0A36D52C" w:rsidR="00C87B0F" w:rsidRPr="00804A4E" w:rsidRDefault="00C87B0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hyperlink w:anchor="Appendix_IID" w:history="1">
        <w:r w:rsidRPr="00804A4E">
          <w:rPr>
            <w:rStyle w:val="Hyperlink"/>
            <w:rFonts w:ascii="Franklin Gothic Book" w:hAnsi="Franklin Gothic Book" w:cs="Times New Roman"/>
            <w:sz w:val="18"/>
            <w:szCs w:val="18"/>
          </w:rPr>
          <w:t>Appendix II.</w:t>
        </w:r>
        <w:r w:rsidR="00BD2493" w:rsidRPr="00804A4E">
          <w:rPr>
            <w:rStyle w:val="Hyperlink"/>
            <w:rFonts w:ascii="Franklin Gothic Book" w:hAnsi="Franklin Gothic Book" w:cs="Times New Roman"/>
            <w:sz w:val="18"/>
            <w:szCs w:val="18"/>
          </w:rPr>
          <w:t>D</w:t>
        </w:r>
      </w:hyperlink>
      <w:r w:rsidR="00E56ACE" w:rsidRPr="00804A4E">
        <w:rPr>
          <w:rStyle w:val="Hyperlink"/>
          <w:rFonts w:ascii="Franklin Gothic Book" w:hAnsi="Franklin Gothic Book" w:cs="Times New Roman"/>
          <w:color w:val="auto"/>
          <w:sz w:val="18"/>
          <w:szCs w:val="18"/>
          <w:u w:val="none"/>
        </w:rPr>
        <w:t>.</w:t>
      </w:r>
    </w:p>
  </w:footnote>
  <w:footnote w:id="37">
    <w:p w14:paraId="5F71FAD5" w14:textId="44C22652" w:rsidR="00955EB9" w:rsidRPr="00804A4E" w:rsidRDefault="00955EB9"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0370DC" w:rsidRPr="00804A4E">
        <w:rPr>
          <w:rFonts w:ascii="Franklin Gothic Book" w:hAnsi="Franklin Gothic Book" w:cs="Times New Roman"/>
          <w:sz w:val="18"/>
          <w:szCs w:val="18"/>
        </w:rPr>
        <w:t>TME is expressed as a per member per month dollar figure that reflects the average monthly covered medical expenses paid by the payer and the member for all of the health care services the payer’s members receive in a year.</w:t>
      </w:r>
      <w:r w:rsidR="002B79AB" w:rsidRPr="00804A4E">
        <w:rPr>
          <w:rFonts w:ascii="Franklin Gothic Book" w:hAnsi="Franklin Gothic Book" w:cs="Times New Roman"/>
          <w:sz w:val="18"/>
          <w:szCs w:val="18"/>
        </w:rPr>
        <w:t xml:space="preserve"> TME includes the amounts paid by the payer and patient cost-sharing, and covers all categories of medical expenses </w:t>
      </w:r>
      <w:r w:rsidR="00705790" w:rsidRPr="00804A4E">
        <w:rPr>
          <w:rFonts w:ascii="Franklin Gothic Book" w:hAnsi="Franklin Gothic Book" w:cs="Times New Roman"/>
          <w:sz w:val="18"/>
          <w:szCs w:val="18"/>
        </w:rPr>
        <w:t xml:space="preserve">(e.g., hospital, physician, and pharmacy expenditures) </w:t>
      </w:r>
      <w:r w:rsidR="002B79AB" w:rsidRPr="00804A4E">
        <w:rPr>
          <w:rFonts w:ascii="Franklin Gothic Book" w:hAnsi="Franklin Gothic Book" w:cs="Times New Roman"/>
          <w:sz w:val="18"/>
          <w:szCs w:val="18"/>
        </w:rPr>
        <w:t>and all non-claims related payments to providers, including provider performance payments.</w:t>
      </w:r>
    </w:p>
  </w:footnote>
  <w:footnote w:id="38">
    <w:p w14:paraId="1F982958" w14:textId="3E20C422" w:rsidR="00293B8F" w:rsidRPr="00804A4E" w:rsidRDefault="00293B8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A11E0E" w:rsidRPr="00804A4E">
        <w:rPr>
          <w:rFonts w:ascii="Franklin Gothic Book" w:hAnsi="Franklin Gothic Book" w:cs="Times New Roman"/>
          <w:i/>
          <w:iCs/>
          <w:sz w:val="18"/>
          <w:szCs w:val="18"/>
        </w:rPr>
        <w:t xml:space="preserve">See </w:t>
      </w:r>
      <w:hyperlink w:anchor="Appendix_IIE" w:history="1">
        <w:r w:rsidR="00777AFF" w:rsidRPr="00804A4E">
          <w:rPr>
            <w:rStyle w:val="Hyperlink"/>
            <w:rFonts w:ascii="Franklin Gothic Book" w:hAnsi="Franklin Gothic Book" w:cs="Times New Roman"/>
            <w:sz w:val="18"/>
            <w:szCs w:val="18"/>
          </w:rPr>
          <w:t>Appendix II.E</w:t>
        </w:r>
      </w:hyperlink>
      <w:r w:rsidR="00321ECA" w:rsidRPr="00804A4E">
        <w:rPr>
          <w:rStyle w:val="Hyperlink"/>
          <w:rFonts w:ascii="Franklin Gothic Book" w:hAnsi="Franklin Gothic Book" w:cs="Times New Roman"/>
          <w:sz w:val="18"/>
          <w:szCs w:val="18"/>
        </w:rPr>
        <w:t xml:space="preserve"> </w:t>
      </w:r>
      <w:r w:rsidR="00321ECA" w:rsidRPr="00804A4E">
        <w:rPr>
          <w:rStyle w:val="Hyperlink"/>
          <w:rFonts w:ascii="Franklin Gothic Book" w:hAnsi="Franklin Gothic Book" w:cs="Times New Roman"/>
          <w:color w:val="auto"/>
          <w:sz w:val="18"/>
          <w:szCs w:val="18"/>
          <w:u w:val="none"/>
        </w:rPr>
        <w:t>and</w:t>
      </w:r>
      <w:r w:rsidR="006B5223" w:rsidRPr="00804A4E">
        <w:rPr>
          <w:rStyle w:val="Hyperlink"/>
          <w:rFonts w:ascii="Franklin Gothic Book" w:hAnsi="Franklin Gothic Book" w:cs="Times New Roman"/>
          <w:color w:val="auto"/>
          <w:sz w:val="18"/>
          <w:szCs w:val="18"/>
          <w:u w:val="none"/>
        </w:rPr>
        <w:t xml:space="preserve"> </w:t>
      </w:r>
      <w:r w:rsidR="00321ECA" w:rsidRPr="00804A4E">
        <w:rPr>
          <w:rFonts w:ascii="Franklin Gothic Book" w:hAnsi="Franklin Gothic Book" w:cs="Times New Roman"/>
          <w:smallCaps/>
          <w:sz w:val="18"/>
          <w:szCs w:val="18"/>
        </w:rPr>
        <w:t>Mass. Health Policy Comm’n</w:t>
      </w:r>
      <w:r w:rsidR="00321ECA" w:rsidRPr="00804A4E">
        <w:rPr>
          <w:rFonts w:ascii="Franklin Gothic Book" w:hAnsi="Franklin Gothic Book" w:cs="Times New Roman"/>
          <w:sz w:val="18"/>
          <w:szCs w:val="18"/>
        </w:rPr>
        <w:t xml:space="preserve">, </w:t>
      </w:r>
      <w:r w:rsidR="00321ECA" w:rsidRPr="00804A4E">
        <w:rPr>
          <w:rFonts w:ascii="Franklin Gothic Book" w:hAnsi="Franklin Gothic Book" w:cs="Times New Roman"/>
          <w:smallCaps/>
          <w:sz w:val="18"/>
          <w:szCs w:val="18"/>
        </w:rPr>
        <w:t>2018 Cost Trends Report: Chartpack</w:t>
      </w:r>
      <w:r w:rsidR="00321ECA" w:rsidRPr="00804A4E">
        <w:rPr>
          <w:rFonts w:ascii="Franklin Gothic Book" w:hAnsi="Franklin Gothic Book" w:cs="Times New Roman"/>
          <w:sz w:val="18"/>
          <w:szCs w:val="18"/>
        </w:rPr>
        <w:t xml:space="preserve"> 32 (Feb. 2019)</w:t>
      </w:r>
      <w:r w:rsidR="006B5223" w:rsidRPr="00804A4E">
        <w:rPr>
          <w:rStyle w:val="Hyperlink"/>
          <w:rFonts w:ascii="Franklin Gothic Book" w:hAnsi="Franklin Gothic Book" w:cs="Times New Roman"/>
          <w:color w:val="auto"/>
          <w:sz w:val="18"/>
          <w:szCs w:val="18"/>
          <w:u w:val="none"/>
        </w:rPr>
        <w:t xml:space="preserve">, </w:t>
      </w:r>
      <w:r w:rsidR="00BF6470">
        <w:rPr>
          <w:rStyle w:val="Hyperlink"/>
          <w:rFonts w:ascii="Franklin Gothic Book" w:hAnsi="Franklin Gothic Book" w:cs="Times New Roman"/>
          <w:i/>
          <w:iCs/>
          <w:color w:val="auto"/>
          <w:sz w:val="18"/>
          <w:szCs w:val="18"/>
          <w:u w:val="none"/>
        </w:rPr>
        <w:t xml:space="preserve">available </w:t>
      </w:r>
      <w:hyperlink r:id="rId29" w:history="1">
        <w:r w:rsidR="00BF6470">
          <w:rPr>
            <w:rStyle w:val="Hyperlink"/>
            <w:rFonts w:ascii="Franklin Gothic Book" w:hAnsi="Franklin Gothic Book" w:cs="Times New Roman"/>
            <w:sz w:val="18"/>
            <w:szCs w:val="18"/>
          </w:rPr>
          <w:t>at https://www.mass.gov/doc/2018-cost-trends-report-chartpack/download</w:t>
        </w:r>
      </w:hyperlink>
      <w:r w:rsidR="00E56ACE" w:rsidRPr="00DA7551">
        <w:rPr>
          <w:rStyle w:val="Hyperlink"/>
          <w:rFonts w:ascii="Franklin Gothic Book" w:hAnsi="Franklin Gothic Book" w:cs="Times New Roman"/>
          <w:color w:val="auto"/>
          <w:sz w:val="18"/>
          <w:szCs w:val="18"/>
          <w:u w:val="none"/>
        </w:rPr>
        <w:t>.</w:t>
      </w:r>
      <w:r w:rsidR="00321ECA" w:rsidRPr="00DA7551">
        <w:rPr>
          <w:rStyle w:val="Hyperlink"/>
          <w:rFonts w:ascii="Franklin Gothic Book" w:hAnsi="Franklin Gothic Book" w:cs="Times New Roman"/>
          <w:color w:val="auto"/>
          <w:sz w:val="18"/>
          <w:szCs w:val="18"/>
          <w:u w:val="none"/>
        </w:rPr>
        <w:t xml:space="preserve"> </w:t>
      </w:r>
    </w:p>
  </w:footnote>
  <w:footnote w:id="39">
    <w:p w14:paraId="4D2F16DD" w14:textId="0403F30F" w:rsidR="00E57D2C" w:rsidRPr="00804A4E" w:rsidRDefault="00E57D2C" w:rsidP="00142DCC">
      <w:pPr>
        <w:pStyle w:val="xxxmsonormal"/>
        <w:widowControl w:val="0"/>
        <w:rPr>
          <w:rFonts w:ascii="Franklin Gothic Book" w:eastAsiaTheme="minorEastAsia"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5A4ACB" w:rsidRPr="00804A4E">
        <w:rPr>
          <w:rFonts w:ascii="Franklin Gothic Book" w:hAnsi="Franklin Gothic Book" w:cs="Times New Roman"/>
          <w:sz w:val="18"/>
          <w:szCs w:val="18"/>
        </w:rPr>
        <w:t>In 2019, MGB’s Health Status Adjusted (HSA) TME was 4% higher than the network average for comparable providers in Eastern Massachusetts for Tufts Medicare Advantage</w:t>
      </w:r>
      <w:r w:rsidR="00DA7551">
        <w:rPr>
          <w:rFonts w:ascii="Franklin Gothic Book" w:hAnsi="Franklin Gothic Book" w:cs="Times New Roman"/>
          <w:sz w:val="18"/>
          <w:szCs w:val="18"/>
        </w:rPr>
        <w:t xml:space="preserve">, as described in </w:t>
      </w:r>
      <w:hyperlink w:anchor="Appendix_IIE" w:history="1">
        <w:r w:rsidR="00DA7551" w:rsidRPr="00DA7551">
          <w:rPr>
            <w:rStyle w:val="Hyperlink"/>
            <w:rFonts w:ascii="Franklin Gothic Book" w:hAnsi="Franklin Gothic Book" w:cs="Times New Roman"/>
            <w:sz w:val="18"/>
            <w:szCs w:val="18"/>
          </w:rPr>
          <w:t>Appendix II.E</w:t>
        </w:r>
      </w:hyperlink>
      <w:r w:rsidRPr="00804A4E">
        <w:rPr>
          <w:rFonts w:ascii="Franklin Gothic Book" w:eastAsiaTheme="minorEastAsia" w:hAnsi="Franklin Gothic Book" w:cs="Times New Roman"/>
          <w:sz w:val="18"/>
          <w:szCs w:val="18"/>
        </w:rPr>
        <w:t>.</w:t>
      </w:r>
    </w:p>
  </w:footnote>
  <w:footnote w:id="40">
    <w:p w14:paraId="46A5F6B0" w14:textId="6E16AE58" w:rsidR="005059A9" w:rsidRPr="00804A4E" w:rsidRDefault="005059A9"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9870A6" w:rsidRPr="00804A4E">
        <w:rPr>
          <w:rFonts w:ascii="Franklin Gothic Book" w:hAnsi="Franklin Gothic Book" w:cs="Times New Roman"/>
          <w:i/>
          <w:iCs/>
          <w:sz w:val="18"/>
          <w:szCs w:val="18"/>
        </w:rPr>
        <w:t xml:space="preserve">See generally </w:t>
      </w:r>
      <w:r w:rsidR="00C53394" w:rsidRPr="00804A4E">
        <w:rPr>
          <w:rFonts w:ascii="Franklin Gothic Book" w:hAnsi="Franklin Gothic Book" w:cs="Times New Roman"/>
          <w:smallCaps/>
          <w:sz w:val="18"/>
          <w:szCs w:val="18"/>
        </w:rPr>
        <w:t>Mass. Health Policy Comm’n,</w:t>
      </w:r>
      <w:r w:rsidR="009870A6" w:rsidRPr="00804A4E">
        <w:rPr>
          <w:rFonts w:ascii="Franklin Gothic Book" w:hAnsi="Franklin Gothic Book" w:cs="Times New Roman"/>
          <w:sz w:val="18"/>
          <w:szCs w:val="18"/>
        </w:rPr>
        <w:t xml:space="preserve"> </w:t>
      </w:r>
      <w:r w:rsidR="00C53394" w:rsidRPr="00804A4E">
        <w:rPr>
          <w:rFonts w:ascii="Franklin Gothic Book" w:hAnsi="Franklin Gothic Book" w:cs="Times New Roman"/>
          <w:sz w:val="18"/>
          <w:szCs w:val="18"/>
        </w:rPr>
        <w:t xml:space="preserve">Annual </w:t>
      </w:r>
      <w:r w:rsidR="009870A6" w:rsidRPr="00804A4E">
        <w:rPr>
          <w:rFonts w:ascii="Franklin Gothic Book" w:hAnsi="Franklin Gothic Book" w:cs="Times New Roman"/>
          <w:sz w:val="18"/>
          <w:szCs w:val="18"/>
        </w:rPr>
        <w:t>Cost Trends Hearing</w:t>
      </w:r>
      <w:r w:rsidR="00C53394" w:rsidRPr="00804A4E">
        <w:rPr>
          <w:rFonts w:ascii="Franklin Gothic Book" w:hAnsi="Franklin Gothic Book" w:cs="Times New Roman"/>
          <w:sz w:val="18"/>
          <w:szCs w:val="18"/>
        </w:rPr>
        <w:t>,</w:t>
      </w:r>
      <w:r w:rsidR="009870A6" w:rsidRPr="00804A4E">
        <w:rPr>
          <w:rFonts w:ascii="Franklin Gothic Book" w:hAnsi="Franklin Gothic Book" w:cs="Times New Roman"/>
          <w:sz w:val="18"/>
          <w:szCs w:val="18"/>
        </w:rPr>
        <w:t xml:space="preserve"> Pre-Filed Testimony</w:t>
      </w:r>
      <w:r w:rsidR="00C53394" w:rsidRPr="00804A4E">
        <w:rPr>
          <w:rFonts w:ascii="Franklin Gothic Book" w:hAnsi="Franklin Gothic Book" w:cs="Times New Roman"/>
          <w:sz w:val="18"/>
          <w:szCs w:val="18"/>
        </w:rPr>
        <w:t xml:space="preserve"> of Partners Health Care System and Mass General Brigham</w:t>
      </w:r>
      <w:r w:rsidR="009870A6" w:rsidRPr="00804A4E">
        <w:rPr>
          <w:rFonts w:ascii="Franklin Gothic Book" w:hAnsi="Franklin Gothic Book" w:cs="Times New Roman"/>
          <w:smallCaps/>
          <w:sz w:val="18"/>
          <w:szCs w:val="18"/>
        </w:rPr>
        <w:t xml:space="preserve">, </w:t>
      </w:r>
      <w:r w:rsidR="00E72AB6">
        <w:rPr>
          <w:rFonts w:ascii="Franklin Gothic Book" w:hAnsi="Franklin Gothic Book" w:cs="Times New Roman"/>
          <w:i/>
          <w:iCs/>
          <w:sz w:val="18"/>
          <w:szCs w:val="18"/>
        </w:rPr>
        <w:t xml:space="preserve">available </w:t>
      </w:r>
      <w:r w:rsidR="009870A6" w:rsidRPr="00804A4E">
        <w:rPr>
          <w:rFonts w:ascii="Franklin Gothic Book" w:hAnsi="Franklin Gothic Book" w:cs="Times New Roman"/>
          <w:i/>
          <w:iCs/>
          <w:sz w:val="18"/>
          <w:szCs w:val="18"/>
        </w:rPr>
        <w:t xml:space="preserve"> </w:t>
      </w:r>
      <w:hyperlink r:id="rId30" w:history="1">
        <w:r w:rsidR="00E72AB6">
          <w:rPr>
            <w:rStyle w:val="Hyperlink"/>
            <w:rFonts w:ascii="Franklin Gothic Book" w:hAnsi="Franklin Gothic Book" w:cs="Times New Roman"/>
            <w:sz w:val="18"/>
            <w:szCs w:val="18"/>
          </w:rPr>
          <w:t>at https://www.mass.gov/service-details/annual-health-care-cost-trends-hearings</w:t>
        </w:r>
      </w:hyperlink>
      <w:r w:rsidR="005F5ED8" w:rsidRPr="00804A4E">
        <w:rPr>
          <w:rFonts w:ascii="Franklin Gothic Book" w:hAnsi="Franklin Gothic Book" w:cs="Times New Roman"/>
          <w:sz w:val="18"/>
          <w:szCs w:val="18"/>
        </w:rPr>
        <w:t>.</w:t>
      </w:r>
      <w:r w:rsidR="006C76AA" w:rsidRPr="00804A4E">
        <w:rPr>
          <w:rFonts w:ascii="Franklin Gothic Book" w:hAnsi="Franklin Gothic Book" w:cs="Times New Roman"/>
          <w:sz w:val="18"/>
          <w:szCs w:val="18"/>
        </w:rPr>
        <w:t xml:space="preserve"> </w:t>
      </w:r>
      <w:r w:rsidR="00994698" w:rsidRPr="00804A4E">
        <w:rPr>
          <w:rFonts w:ascii="Franklin Gothic Book" w:hAnsi="Franklin Gothic Book" w:cs="Times New Roman"/>
          <w:sz w:val="18"/>
          <w:szCs w:val="18"/>
        </w:rPr>
        <w:t xml:space="preserve"> </w:t>
      </w:r>
    </w:p>
  </w:footnote>
  <w:footnote w:id="41">
    <w:p w14:paraId="2EBA4B14" w14:textId="1292A06F" w:rsidR="005059A9" w:rsidRPr="00804A4E" w:rsidRDefault="005059A9"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CE55B9" w:rsidRPr="00804A4E">
        <w:rPr>
          <w:rFonts w:ascii="Franklin Gothic Book" w:hAnsi="Franklin Gothic Book" w:cs="Times New Roman"/>
          <w:i/>
          <w:iCs/>
          <w:sz w:val="18"/>
          <w:szCs w:val="18"/>
        </w:rPr>
        <w:t xml:space="preserve">See, e.g., </w:t>
      </w:r>
      <w:r w:rsidR="00CE55B9" w:rsidRPr="00804A4E">
        <w:rPr>
          <w:rFonts w:ascii="Franklin Gothic Book" w:hAnsi="Franklin Gothic Book" w:cs="Times New Roman"/>
          <w:sz w:val="18"/>
          <w:szCs w:val="18"/>
        </w:rPr>
        <w:t>Faulkner DoN application</w:t>
      </w:r>
      <w:r w:rsidR="00DB4F60" w:rsidRPr="00804A4E">
        <w:rPr>
          <w:rFonts w:ascii="Franklin Gothic Book" w:hAnsi="Franklin Gothic Book" w:cs="Times New Roman"/>
          <w:sz w:val="18"/>
          <w:szCs w:val="18"/>
        </w:rPr>
        <w:t xml:space="preserve">, </w:t>
      </w:r>
      <w:r w:rsidR="00DB4F60" w:rsidRPr="00804A4E">
        <w:rPr>
          <w:rFonts w:ascii="Franklin Gothic Book" w:hAnsi="Franklin Gothic Book" w:cs="Times New Roman"/>
          <w:i/>
          <w:iCs/>
          <w:sz w:val="18"/>
          <w:szCs w:val="18"/>
        </w:rPr>
        <w:t xml:space="preserve">supra </w:t>
      </w:r>
      <w:r w:rsidR="00DB4F60" w:rsidRPr="00804A4E">
        <w:rPr>
          <w:rFonts w:ascii="Franklin Gothic Book" w:hAnsi="Franklin Gothic Book" w:cs="Times New Roman"/>
          <w:sz w:val="18"/>
          <w:szCs w:val="18"/>
        </w:rPr>
        <w:t xml:space="preserve">note </w:t>
      </w:r>
      <w:r w:rsidR="00DB4F60" w:rsidRPr="00804A4E">
        <w:rPr>
          <w:rFonts w:ascii="Franklin Gothic Book" w:hAnsi="Franklin Gothic Book" w:cs="Times New Roman"/>
          <w:sz w:val="18"/>
          <w:szCs w:val="18"/>
        </w:rPr>
        <w:fldChar w:fldCharType="begin"/>
      </w:r>
      <w:r w:rsidR="00DB4F60" w:rsidRPr="00804A4E">
        <w:rPr>
          <w:rFonts w:ascii="Franklin Gothic Book" w:hAnsi="Franklin Gothic Book" w:cs="Times New Roman"/>
          <w:sz w:val="18"/>
          <w:szCs w:val="18"/>
        </w:rPr>
        <w:instrText xml:space="preserve"> NOTEREF _Ref93654856 \h </w:instrText>
      </w:r>
      <w:r w:rsidR="00804A4E" w:rsidRPr="00804A4E">
        <w:rPr>
          <w:rFonts w:ascii="Franklin Gothic Book" w:hAnsi="Franklin Gothic Book" w:cs="Times New Roman"/>
          <w:sz w:val="18"/>
          <w:szCs w:val="18"/>
        </w:rPr>
        <w:instrText xml:space="preserve"> \* MERGEFORMAT </w:instrText>
      </w:r>
      <w:r w:rsidR="00DB4F60" w:rsidRPr="00804A4E">
        <w:rPr>
          <w:rFonts w:ascii="Franklin Gothic Book" w:hAnsi="Franklin Gothic Book" w:cs="Times New Roman"/>
          <w:sz w:val="18"/>
          <w:szCs w:val="18"/>
        </w:rPr>
      </w:r>
      <w:r w:rsidR="00DB4F6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DB4F60" w:rsidRPr="00804A4E">
        <w:rPr>
          <w:rFonts w:ascii="Franklin Gothic Book" w:hAnsi="Franklin Gothic Book" w:cs="Times New Roman"/>
          <w:sz w:val="18"/>
          <w:szCs w:val="18"/>
        </w:rPr>
        <w:fldChar w:fldCharType="end"/>
      </w:r>
      <w:r w:rsidR="007502BC" w:rsidRPr="00804A4E">
        <w:rPr>
          <w:rFonts w:ascii="Franklin Gothic Book" w:hAnsi="Franklin Gothic Book" w:cs="Times New Roman"/>
          <w:sz w:val="18"/>
          <w:szCs w:val="18"/>
        </w:rPr>
        <w:t>,</w:t>
      </w:r>
      <w:r w:rsidR="00CE55B9" w:rsidRPr="00804A4E">
        <w:rPr>
          <w:rFonts w:ascii="Franklin Gothic Book" w:hAnsi="Franklin Gothic Book" w:cs="Times New Roman"/>
          <w:sz w:val="18"/>
          <w:szCs w:val="18"/>
        </w:rPr>
        <w:t xml:space="preserve"> attachments at 23 and 24</w:t>
      </w:r>
      <w:r w:rsidR="00E56ACE" w:rsidRPr="00804A4E">
        <w:rPr>
          <w:rFonts w:ascii="Franklin Gothic Book" w:hAnsi="Franklin Gothic Book" w:cs="Times New Roman"/>
          <w:sz w:val="18"/>
          <w:szCs w:val="18"/>
        </w:rPr>
        <w:t>.</w:t>
      </w:r>
    </w:p>
  </w:footnote>
  <w:footnote w:id="42">
    <w:p w14:paraId="5A6172E0" w14:textId="071DEF37" w:rsidR="005059A9" w:rsidRPr="00804A4E" w:rsidRDefault="005059A9"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 xml:space="preserve">See, e.g., </w:t>
      </w:r>
      <w:r w:rsidRPr="00804A4E">
        <w:rPr>
          <w:rFonts w:ascii="Franklin Gothic Book" w:hAnsi="Franklin Gothic Book" w:cs="Times New Roman"/>
          <w:sz w:val="18"/>
          <w:szCs w:val="18"/>
        </w:rPr>
        <w:t>MGH DoN application</w:t>
      </w:r>
      <w:r w:rsidR="007502BC" w:rsidRPr="00804A4E">
        <w:rPr>
          <w:rFonts w:ascii="Franklin Gothic Book" w:hAnsi="Franklin Gothic Book" w:cs="Times New Roman"/>
          <w:sz w:val="18"/>
          <w:szCs w:val="18"/>
        </w:rPr>
        <w:t xml:space="preserve">, </w:t>
      </w:r>
      <w:r w:rsidR="007502BC" w:rsidRPr="00804A4E">
        <w:rPr>
          <w:rFonts w:ascii="Franklin Gothic Book" w:hAnsi="Franklin Gothic Book" w:cs="Times New Roman"/>
          <w:i/>
          <w:iCs/>
          <w:sz w:val="18"/>
          <w:szCs w:val="18"/>
        </w:rPr>
        <w:t xml:space="preserve">supra </w:t>
      </w:r>
      <w:r w:rsidR="007502BC" w:rsidRPr="00804A4E">
        <w:rPr>
          <w:rFonts w:ascii="Franklin Gothic Book" w:hAnsi="Franklin Gothic Book" w:cs="Times New Roman"/>
          <w:sz w:val="18"/>
          <w:szCs w:val="18"/>
        </w:rPr>
        <w:t xml:space="preserve">note </w:t>
      </w:r>
      <w:r w:rsidR="007502BC" w:rsidRPr="00804A4E">
        <w:rPr>
          <w:rFonts w:ascii="Franklin Gothic Book" w:hAnsi="Franklin Gothic Book" w:cs="Times New Roman"/>
          <w:sz w:val="18"/>
          <w:szCs w:val="18"/>
        </w:rPr>
        <w:fldChar w:fldCharType="begin"/>
      </w:r>
      <w:r w:rsidR="007502BC" w:rsidRPr="00804A4E">
        <w:rPr>
          <w:rFonts w:ascii="Franklin Gothic Book" w:hAnsi="Franklin Gothic Book" w:cs="Times New Roman"/>
          <w:sz w:val="18"/>
          <w:szCs w:val="18"/>
        </w:rPr>
        <w:instrText xml:space="preserve"> NOTEREF _Ref93624434 \h </w:instrText>
      </w:r>
      <w:r w:rsidR="00804A4E" w:rsidRPr="00804A4E">
        <w:rPr>
          <w:rFonts w:ascii="Franklin Gothic Book" w:hAnsi="Franklin Gothic Book" w:cs="Times New Roman"/>
          <w:sz w:val="18"/>
          <w:szCs w:val="18"/>
        </w:rPr>
        <w:instrText xml:space="preserve"> \* MERGEFORMAT </w:instrText>
      </w:r>
      <w:r w:rsidR="007502BC" w:rsidRPr="00804A4E">
        <w:rPr>
          <w:rFonts w:ascii="Franklin Gothic Book" w:hAnsi="Franklin Gothic Book" w:cs="Times New Roman"/>
          <w:sz w:val="18"/>
          <w:szCs w:val="18"/>
        </w:rPr>
      </w:r>
      <w:r w:rsidR="007502BC"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7502BC" w:rsidRPr="00804A4E">
        <w:rPr>
          <w:rFonts w:ascii="Franklin Gothic Book" w:hAnsi="Franklin Gothic Book" w:cs="Times New Roman"/>
          <w:sz w:val="18"/>
          <w:szCs w:val="18"/>
        </w:rPr>
        <w:fldChar w:fldCharType="end"/>
      </w:r>
      <w:r w:rsidR="007502BC"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attachments at 27 and 28</w:t>
      </w:r>
      <w:r w:rsidR="00E56ACE" w:rsidRPr="00804A4E">
        <w:rPr>
          <w:rFonts w:ascii="Franklin Gothic Book" w:hAnsi="Franklin Gothic Book" w:cs="Times New Roman"/>
          <w:sz w:val="18"/>
          <w:szCs w:val="18"/>
        </w:rPr>
        <w:t>.</w:t>
      </w:r>
    </w:p>
  </w:footnote>
  <w:footnote w:id="43">
    <w:p w14:paraId="7F570729" w14:textId="226EBC37" w:rsidR="001D405D" w:rsidRPr="00804A4E" w:rsidRDefault="001D405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00E56ACE" w:rsidRPr="00804A4E">
        <w:rPr>
          <w:rFonts w:ascii="Franklin Gothic Book" w:hAnsi="Franklin Gothic Book" w:cs="Times New Roman"/>
          <w:sz w:val="18"/>
          <w:szCs w:val="18"/>
        </w:rPr>
        <w:t xml:space="preserve"> </w:t>
      </w:r>
      <w:hyperlink w:anchor="Appendix_IIF" w:history="1">
        <w:r w:rsidR="00E56ACE" w:rsidRPr="00804A4E">
          <w:rPr>
            <w:rStyle w:val="Hyperlink"/>
            <w:rFonts w:ascii="Franklin Gothic Book" w:hAnsi="Franklin Gothic Book" w:cs="Times New Roman"/>
            <w:sz w:val="18"/>
            <w:szCs w:val="18"/>
          </w:rPr>
          <w:t>Appendix II.F</w:t>
        </w:r>
      </w:hyperlink>
      <w:r w:rsidR="00E56ACE" w:rsidRPr="00804A4E">
        <w:rPr>
          <w:rFonts w:ascii="Franklin Gothic Book" w:hAnsi="Franklin Gothic Book" w:cs="Times New Roman"/>
          <w:sz w:val="18"/>
          <w:szCs w:val="18"/>
        </w:rPr>
        <w:t>.</w:t>
      </w:r>
    </w:p>
  </w:footnote>
  <w:footnote w:id="44">
    <w:p w14:paraId="18FF66DD" w14:textId="0D375C68" w:rsidR="001D405D" w:rsidRPr="00804A4E" w:rsidRDefault="001D405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 xml:space="preserve">See </w:t>
      </w:r>
      <w:hyperlink w:anchor="Appendix_IIG" w:history="1">
        <w:r w:rsidR="009A6490" w:rsidRPr="00804A4E">
          <w:rPr>
            <w:rStyle w:val="Hyperlink"/>
            <w:rFonts w:ascii="Franklin Gothic Book" w:hAnsi="Franklin Gothic Book" w:cs="Times New Roman"/>
            <w:sz w:val="18"/>
            <w:szCs w:val="18"/>
          </w:rPr>
          <w:t>Appendix II.</w:t>
        </w:r>
      </w:hyperlink>
      <w:r w:rsidR="009870A6" w:rsidRPr="00804A4E">
        <w:rPr>
          <w:rStyle w:val="Hyperlink"/>
          <w:rFonts w:ascii="Franklin Gothic Book" w:hAnsi="Franklin Gothic Book" w:cs="Times New Roman"/>
          <w:sz w:val="18"/>
          <w:szCs w:val="18"/>
        </w:rPr>
        <w:t>G</w:t>
      </w:r>
      <w:r w:rsidR="00E56ACE" w:rsidRPr="00804A4E">
        <w:rPr>
          <w:rStyle w:val="Hyperlink"/>
          <w:rFonts w:ascii="Franklin Gothic Book" w:hAnsi="Franklin Gothic Book" w:cs="Times New Roman"/>
          <w:color w:val="auto"/>
          <w:sz w:val="18"/>
          <w:szCs w:val="18"/>
          <w:u w:val="none"/>
        </w:rPr>
        <w:t>.</w:t>
      </w:r>
    </w:p>
  </w:footnote>
  <w:footnote w:id="45">
    <w:p w14:paraId="511CEFC6" w14:textId="1FE0ADC4" w:rsidR="001D405D" w:rsidRPr="00804A4E" w:rsidRDefault="001D405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 xml:space="preserve">See </w:t>
      </w:r>
      <w:hyperlink w:anchor="Appendix_IIH" w:history="1">
        <w:r w:rsidR="009A6490" w:rsidRPr="00804A4E">
          <w:rPr>
            <w:rStyle w:val="Hyperlink"/>
            <w:rFonts w:ascii="Franklin Gothic Book" w:hAnsi="Franklin Gothic Book" w:cs="Times New Roman"/>
            <w:sz w:val="18"/>
            <w:szCs w:val="18"/>
          </w:rPr>
          <w:t>Appendix II.</w:t>
        </w:r>
      </w:hyperlink>
      <w:r w:rsidR="009870A6" w:rsidRPr="00804A4E">
        <w:rPr>
          <w:rStyle w:val="Hyperlink"/>
          <w:rFonts w:ascii="Franklin Gothic Book" w:hAnsi="Franklin Gothic Book" w:cs="Times New Roman"/>
          <w:sz w:val="18"/>
          <w:szCs w:val="18"/>
        </w:rPr>
        <w:t>H</w:t>
      </w:r>
      <w:r w:rsidR="00E56ACE" w:rsidRPr="00804A4E">
        <w:rPr>
          <w:rStyle w:val="Hyperlink"/>
          <w:rFonts w:ascii="Franklin Gothic Book" w:hAnsi="Franklin Gothic Book" w:cs="Times New Roman"/>
          <w:color w:val="auto"/>
          <w:sz w:val="18"/>
          <w:szCs w:val="18"/>
          <w:u w:val="none"/>
        </w:rPr>
        <w:t>.</w:t>
      </w:r>
    </w:p>
  </w:footnote>
  <w:footnote w:id="46">
    <w:p w14:paraId="74BD6376" w14:textId="09770396" w:rsidR="00132907" w:rsidRPr="00804A4E" w:rsidRDefault="00132907"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 xml:space="preserve">See </w:t>
      </w:r>
      <w:hyperlink w:anchor="Appendix_III" w:history="1">
        <w:r w:rsidRPr="00804A4E">
          <w:rPr>
            <w:rStyle w:val="Hyperlink"/>
            <w:rFonts w:ascii="Franklin Gothic Book" w:hAnsi="Franklin Gothic Book" w:cs="Times New Roman"/>
            <w:sz w:val="18"/>
            <w:szCs w:val="18"/>
          </w:rPr>
          <w:t>Appendix II.I</w:t>
        </w:r>
      </w:hyperlink>
      <w:r w:rsidR="00E56ACE" w:rsidRPr="00804A4E">
        <w:rPr>
          <w:rStyle w:val="Hyperlink"/>
          <w:rFonts w:ascii="Franklin Gothic Book" w:hAnsi="Franklin Gothic Book" w:cs="Times New Roman"/>
          <w:color w:val="auto"/>
          <w:sz w:val="18"/>
          <w:szCs w:val="18"/>
          <w:u w:val="none"/>
        </w:rPr>
        <w:t>.</w:t>
      </w:r>
    </w:p>
  </w:footnote>
  <w:footnote w:id="47">
    <w:p w14:paraId="35DFF42D" w14:textId="3B28908C" w:rsidR="00DA7A9D" w:rsidRPr="00804A4E" w:rsidRDefault="00DA7A9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Some aspects of the proposed projects, e.g.</w:t>
      </w:r>
      <w:r w:rsidR="006D39EE"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renovations and conversion of double-bedded rooms to single-bedded rooms absent the addition of capacity, are less likely to impact health care spending. The spending effects discussed in this section are specifically focus on those aspects of the proposed projects that will increase capacity at MGB facilities.</w:t>
      </w:r>
    </w:p>
  </w:footnote>
  <w:footnote w:id="48">
    <w:p w14:paraId="3C3891BB" w14:textId="36C3019D"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865F0" w:rsidRPr="00804A4E">
        <w:rPr>
          <w:rFonts w:ascii="Franklin Gothic Book" w:hAnsi="Franklin Gothic Book" w:cs="Times New Roman"/>
          <w:i/>
          <w:iCs/>
          <w:sz w:val="18"/>
          <w:szCs w:val="18"/>
        </w:rPr>
        <w:t>See</w:t>
      </w:r>
      <w:r w:rsidR="00F865F0" w:rsidRPr="00804A4E">
        <w:rPr>
          <w:rFonts w:ascii="Franklin Gothic Book" w:hAnsi="Franklin Gothic Book" w:cs="Times New Roman"/>
          <w:sz w:val="18"/>
          <w:szCs w:val="18"/>
        </w:rPr>
        <w:t xml:space="preserve"> note </w:t>
      </w:r>
      <w:r w:rsidR="00F865F0" w:rsidRPr="00804A4E">
        <w:rPr>
          <w:rFonts w:ascii="Franklin Gothic Book" w:hAnsi="Franklin Gothic Book" w:cs="Times New Roman"/>
          <w:sz w:val="18"/>
          <w:szCs w:val="18"/>
          <w:highlight w:val="yellow"/>
        </w:rPr>
        <w:fldChar w:fldCharType="begin"/>
      </w:r>
      <w:r w:rsidR="00F865F0" w:rsidRPr="00804A4E">
        <w:rPr>
          <w:rFonts w:ascii="Franklin Gothic Book" w:hAnsi="Franklin Gothic Book" w:cs="Times New Roman"/>
          <w:sz w:val="18"/>
          <w:szCs w:val="18"/>
        </w:rPr>
        <w:instrText xml:space="preserve"> NOTEREF _Ref92966057 \h </w:instrText>
      </w:r>
      <w:r w:rsidR="001B237D" w:rsidRPr="00804A4E">
        <w:rPr>
          <w:rFonts w:ascii="Franklin Gothic Book" w:hAnsi="Franklin Gothic Book" w:cs="Times New Roman"/>
          <w:sz w:val="18"/>
          <w:szCs w:val="18"/>
          <w:highlight w:val="yellow"/>
        </w:rPr>
        <w:instrText xml:space="preserve"> \* MERGEFORMAT </w:instrText>
      </w:r>
      <w:r w:rsidR="00F865F0" w:rsidRPr="00804A4E">
        <w:rPr>
          <w:rFonts w:ascii="Franklin Gothic Book" w:hAnsi="Franklin Gothic Book" w:cs="Times New Roman"/>
          <w:sz w:val="18"/>
          <w:szCs w:val="18"/>
          <w:highlight w:val="yellow"/>
        </w:rPr>
      </w:r>
      <w:r w:rsidR="00F865F0" w:rsidRPr="00804A4E">
        <w:rPr>
          <w:rFonts w:ascii="Franklin Gothic Book" w:hAnsi="Franklin Gothic Book" w:cs="Times New Roman"/>
          <w:sz w:val="18"/>
          <w:szCs w:val="18"/>
          <w:highlight w:val="yellow"/>
        </w:rPr>
        <w:fldChar w:fldCharType="separate"/>
      </w:r>
      <w:r w:rsidR="00036554">
        <w:rPr>
          <w:rFonts w:ascii="Franklin Gothic Book" w:hAnsi="Franklin Gothic Book" w:cs="Times New Roman"/>
          <w:sz w:val="18"/>
          <w:szCs w:val="18"/>
        </w:rPr>
        <w:t>50</w:t>
      </w:r>
      <w:r w:rsidR="00F865F0" w:rsidRPr="00804A4E">
        <w:rPr>
          <w:rFonts w:ascii="Franklin Gothic Book" w:hAnsi="Franklin Gothic Book" w:cs="Times New Roman"/>
          <w:sz w:val="18"/>
          <w:szCs w:val="18"/>
          <w:highlight w:val="yellow"/>
        </w:rPr>
        <w:fldChar w:fldCharType="end"/>
      </w:r>
      <w:r w:rsidR="00F865F0" w:rsidRPr="00804A4E">
        <w:rPr>
          <w:rFonts w:ascii="Franklin Gothic Book" w:hAnsi="Franklin Gothic Book" w:cs="Times New Roman"/>
          <w:sz w:val="18"/>
          <w:szCs w:val="18"/>
        </w:rPr>
        <w:t xml:space="preserve">, </w:t>
      </w:r>
      <w:r w:rsidR="00F865F0" w:rsidRPr="00804A4E">
        <w:rPr>
          <w:rFonts w:ascii="Franklin Gothic Book" w:hAnsi="Franklin Gothic Book" w:cs="Times New Roman"/>
          <w:i/>
          <w:iCs/>
          <w:sz w:val="18"/>
          <w:szCs w:val="18"/>
        </w:rPr>
        <w:t>infra</w:t>
      </w:r>
      <w:r w:rsidR="00F865F0" w:rsidRPr="00804A4E">
        <w:rPr>
          <w:rFonts w:ascii="Franklin Gothic Book" w:hAnsi="Franklin Gothic Book" w:cs="Times New Roman"/>
          <w:sz w:val="18"/>
          <w:szCs w:val="18"/>
        </w:rPr>
        <w:t>.</w:t>
      </w:r>
    </w:p>
  </w:footnote>
  <w:footnote w:id="49">
    <w:p w14:paraId="613B8547" w14:textId="3CEBC1E3"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We focus primarily on impacts on commercial market spending since</w:t>
      </w:r>
      <w:r w:rsidR="00200FBA" w:rsidRPr="00804A4E">
        <w:rPr>
          <w:rFonts w:ascii="Franklin Gothic Book" w:hAnsi="Franklin Gothic Book" w:cs="Times New Roman"/>
          <w:sz w:val="18"/>
          <w:szCs w:val="18"/>
        </w:rPr>
        <w:t xml:space="preserve">, as discussed in </w:t>
      </w:r>
      <w:hyperlink w:anchor="Appendix_IA" w:history="1">
        <w:r w:rsidR="00200FBA" w:rsidRPr="00804A4E">
          <w:rPr>
            <w:rStyle w:val="Hyperlink"/>
            <w:rFonts w:ascii="Franklin Gothic Book" w:hAnsi="Franklin Gothic Book" w:cs="Times New Roman"/>
            <w:sz w:val="18"/>
            <w:szCs w:val="18"/>
          </w:rPr>
          <w:t>Appendix I.A</w:t>
        </w:r>
      </w:hyperlink>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fldChar w:fldCharType="begin"/>
      </w:r>
      <w:r w:rsidR="00200FBA" w:rsidRPr="00804A4E">
        <w:rPr>
          <w:rFonts w:ascii="Franklin Gothic Book" w:hAnsi="Franklin Gothic Book" w:cs="Times New Roman"/>
          <w:sz w:val="18"/>
          <w:szCs w:val="18"/>
        </w:rPr>
        <w:instrText xml:space="preserve"> REF Appendix_IA \h </w:instrText>
      </w:r>
      <w:r w:rsidR="008840D4" w:rsidRPr="00804A4E">
        <w:rPr>
          <w:rFonts w:ascii="Franklin Gothic Book" w:hAnsi="Franklin Gothic Book" w:cs="Times New Roman"/>
          <w:sz w:val="18"/>
          <w:szCs w:val="18"/>
        </w:rPr>
        <w:instrText xml:space="preserve"> \* MERGEFORMAT </w:instrText>
      </w:r>
      <w:r w:rsidR="00200FBA" w:rsidRPr="00804A4E">
        <w:rPr>
          <w:rFonts w:ascii="Franklin Gothic Book" w:hAnsi="Franklin Gothic Book" w:cs="Times New Roman"/>
          <w:sz w:val="18"/>
          <w:szCs w:val="18"/>
        </w:rPr>
      </w:r>
      <w:r w:rsidR="00200FBA" w:rsidRPr="00804A4E">
        <w:rPr>
          <w:rFonts w:ascii="Franklin Gothic Book" w:hAnsi="Franklin Gothic Book" w:cs="Times New Roman"/>
          <w:sz w:val="18"/>
          <w:szCs w:val="18"/>
        </w:rPr>
        <w:fldChar w:fldCharType="end"/>
      </w:r>
      <w:r w:rsidR="00200FBA"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r w:rsidR="00F036C3" w:rsidRPr="00804A4E">
        <w:rPr>
          <w:rFonts w:ascii="Franklin Gothic Book" w:hAnsi="Franklin Gothic Book" w:cs="Times New Roman"/>
          <w:sz w:val="18"/>
          <w:szCs w:val="18"/>
        </w:rPr>
        <w:t xml:space="preserve">the commercial market has a greater degree of price variation that drives spending impacts, and because </w:t>
      </w:r>
      <w:r w:rsidR="00200FBA" w:rsidRPr="00804A4E">
        <w:rPr>
          <w:rFonts w:ascii="Franklin Gothic Book" w:hAnsi="Franklin Gothic Book" w:cs="Times New Roman"/>
          <w:sz w:val="18"/>
          <w:szCs w:val="18"/>
        </w:rPr>
        <w:t xml:space="preserve">commercial spending </w:t>
      </w:r>
      <w:r w:rsidR="00E42D6C" w:rsidRPr="00804A4E">
        <w:rPr>
          <w:rFonts w:ascii="Franklin Gothic Book" w:hAnsi="Franklin Gothic Book" w:cs="Times New Roman"/>
          <w:sz w:val="18"/>
          <w:szCs w:val="18"/>
        </w:rPr>
        <w:t>increases are expected to translate into higher commercial insurance premiums for Massachusetts residents and businesses</w:t>
      </w:r>
      <w:r w:rsidRPr="00804A4E">
        <w:rPr>
          <w:rFonts w:ascii="Franklin Gothic Book" w:hAnsi="Franklin Gothic Book" w:cs="Times New Roman"/>
          <w:sz w:val="18"/>
          <w:szCs w:val="18"/>
        </w:rPr>
        <w:t xml:space="preserve">. The HPC also reviews potential spending impacts for managed and non-managed Medicare and MassHealth identified </w:t>
      </w:r>
      <w:r w:rsidR="000437C5" w:rsidRPr="00804A4E">
        <w:rPr>
          <w:rFonts w:ascii="Franklin Gothic Book" w:hAnsi="Franklin Gothic Book" w:cs="Times New Roman"/>
          <w:sz w:val="18"/>
          <w:szCs w:val="18"/>
        </w:rPr>
        <w:t xml:space="preserve">in ICA analyses </w:t>
      </w:r>
      <w:r w:rsidRPr="00804A4E">
        <w:rPr>
          <w:rFonts w:ascii="Franklin Gothic Book" w:hAnsi="Franklin Gothic Book" w:cs="Times New Roman"/>
          <w:sz w:val="18"/>
          <w:szCs w:val="18"/>
        </w:rPr>
        <w:t xml:space="preserve">throughout this section.  </w:t>
      </w:r>
    </w:p>
  </w:footnote>
  <w:footnote w:id="50">
    <w:p w14:paraId="4374E689" w14:textId="4FEA452F"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expects significant spending and revenue impacts that it was not able to quantify at this time from: increased market share for MGB and increased market concentration </w:t>
      </w:r>
      <w:r w:rsidR="00BC4179" w:rsidRPr="00804A4E">
        <w:rPr>
          <w:rFonts w:ascii="Franklin Gothic Book" w:hAnsi="Franklin Gothic Book" w:cs="Times New Roman"/>
          <w:sz w:val="18"/>
          <w:szCs w:val="18"/>
        </w:rPr>
        <w:t xml:space="preserve">for outpatient services </w:t>
      </w:r>
      <w:r w:rsidRPr="00804A4E">
        <w:rPr>
          <w:rFonts w:ascii="Franklin Gothic Book" w:hAnsi="Franklin Gothic Book" w:cs="Times New Roman"/>
          <w:sz w:val="18"/>
          <w:szCs w:val="18"/>
        </w:rPr>
        <w:t>that would allow it to negotiate even higher prices, net new utilization for supply-sensitive care (i.e. supply-induced demand and practice pattern shifts), increased outpatient referrals to MGB hospitals as a result of the ambulatory expansions, spending and revenue impacts from specialist physician services provided at the proposed ambulatory sites, and shifts of patients to higher-priced providers if projected revenue losses disrupt the operations of lower-priced providers. The HPC’s calculations are also likely to be conservative. For example, the HPC models commercial market spending impacts for outpatient services on data for BCBS, HPHC, and THP due to APCD data quality concerns for other payers; however, price differentials (and therefore spending impacts) are likely larger for smaller payers, meaning that commercial spending impacts are likely understated. Data for smaller and independent outpatient providers (which are generally lower</w:t>
      </w:r>
      <w:r w:rsidR="006C27AC">
        <w:rPr>
          <w:rFonts w:ascii="Franklin Gothic Book" w:hAnsi="Franklin Gothic Book" w:cs="Times New Roman"/>
          <w:sz w:val="18"/>
          <w:szCs w:val="18"/>
        </w:rPr>
        <w:t>-</w:t>
      </w:r>
      <w:r w:rsidRPr="00804A4E">
        <w:rPr>
          <w:rFonts w:ascii="Franklin Gothic Book" w:hAnsi="Franklin Gothic Book" w:cs="Times New Roman"/>
          <w:sz w:val="18"/>
          <w:szCs w:val="18"/>
        </w:rPr>
        <w:t xml:space="preserve">cost) are also often more limited and less reliable in the APCD, likely resulting in underrepresentation of those providers in our analyses. Finally, as described in </w:t>
      </w:r>
      <w:r w:rsidR="00D652EF" w:rsidRPr="00804A4E">
        <w:rPr>
          <w:rFonts w:ascii="Franklin Gothic Book" w:hAnsi="Franklin Gothic Book" w:cs="Times New Roman"/>
          <w:sz w:val="18"/>
          <w:szCs w:val="18"/>
        </w:rPr>
        <w:t xml:space="preserve">note </w:t>
      </w:r>
      <w:r w:rsidR="00D652EF" w:rsidRPr="00804A4E">
        <w:rPr>
          <w:rFonts w:ascii="Franklin Gothic Book" w:hAnsi="Franklin Gothic Book" w:cs="Times New Roman"/>
          <w:sz w:val="18"/>
          <w:szCs w:val="18"/>
        </w:rPr>
        <w:fldChar w:fldCharType="begin"/>
      </w:r>
      <w:r w:rsidR="00D652EF" w:rsidRPr="00804A4E">
        <w:rPr>
          <w:rFonts w:ascii="Franklin Gothic Book" w:hAnsi="Franklin Gothic Book" w:cs="Times New Roman"/>
          <w:sz w:val="18"/>
          <w:szCs w:val="18"/>
        </w:rPr>
        <w:instrText xml:space="preserve"> NOTEREF _Ref93004588 \h </w:instrText>
      </w:r>
      <w:r w:rsidR="001B237D" w:rsidRPr="00804A4E">
        <w:rPr>
          <w:rFonts w:ascii="Franklin Gothic Book" w:hAnsi="Franklin Gothic Book" w:cs="Times New Roman"/>
          <w:sz w:val="18"/>
          <w:szCs w:val="18"/>
        </w:rPr>
        <w:instrText xml:space="preserve"> \* MERGEFORMAT </w:instrText>
      </w:r>
      <w:r w:rsidR="00D652EF" w:rsidRPr="00804A4E">
        <w:rPr>
          <w:rFonts w:ascii="Franklin Gothic Book" w:hAnsi="Franklin Gothic Book" w:cs="Times New Roman"/>
          <w:sz w:val="18"/>
          <w:szCs w:val="18"/>
        </w:rPr>
      </w:r>
      <w:r w:rsidR="00D652EF"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48</w:t>
      </w:r>
      <w:r w:rsidR="00D652EF" w:rsidRPr="00804A4E">
        <w:rPr>
          <w:rFonts w:ascii="Franklin Gothic Book" w:hAnsi="Franklin Gothic Book" w:cs="Times New Roman"/>
          <w:sz w:val="18"/>
          <w:szCs w:val="18"/>
        </w:rPr>
        <w:fldChar w:fldCharType="end"/>
      </w:r>
      <w:r w:rsidR="00D652EF" w:rsidRPr="00804A4E">
        <w:rPr>
          <w:rFonts w:ascii="Franklin Gothic Book" w:hAnsi="Franklin Gothic Book" w:cs="Times New Roman"/>
          <w:sz w:val="18"/>
          <w:szCs w:val="18"/>
        </w:rPr>
        <w:t xml:space="preserve">, </w:t>
      </w:r>
      <w:r w:rsidR="00D652EF"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the HPC primarily modeled impacts for commercially insured patients where price differentials (which drive much of the spending increases) are the greatest; however, additional spending impacts are likely for other payer categories, particularly for Medicare plans and MassHealth Managed Care Organizations, which do not operate with standardized fee schedule</w:t>
      </w:r>
      <w:r w:rsidR="00CB5A79">
        <w:rPr>
          <w:rFonts w:ascii="Franklin Gothic Book" w:hAnsi="Franklin Gothic Book" w:cs="Times New Roman"/>
          <w:sz w:val="18"/>
          <w:szCs w:val="18"/>
        </w:rPr>
        <w:t>s</w:t>
      </w:r>
      <w:r w:rsidRPr="00804A4E">
        <w:rPr>
          <w:rFonts w:ascii="Franklin Gothic Book" w:hAnsi="Franklin Gothic Book" w:cs="Times New Roman"/>
          <w:sz w:val="18"/>
          <w:szCs w:val="18"/>
        </w:rPr>
        <w:t>.</w:t>
      </w:r>
    </w:p>
  </w:footnote>
  <w:footnote w:id="51">
    <w:p w14:paraId="47B45731" w14:textId="41D1BB0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E85DF7"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007141AC" w:rsidRPr="00804A4E">
        <w:rPr>
          <w:rFonts w:ascii="Franklin Gothic Book" w:hAnsi="Franklin Gothic Book" w:cs="Times New Roman"/>
          <w:sz w:val="18"/>
          <w:szCs w:val="18"/>
        </w:rPr>
        <w:t>MGB Internal Document Disclosures</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5D58D2" w:rsidRPr="00804A4E">
        <w:rPr>
          <w:rFonts w:ascii="Franklin Gothic Book" w:hAnsi="Franklin Gothic Book" w:cs="Times New Roman"/>
          <w:sz w:val="18"/>
          <w:szCs w:val="18"/>
        </w:rPr>
        <w:fldChar w:fldCharType="begin"/>
      </w:r>
      <w:r w:rsidR="005D58D2" w:rsidRPr="00804A4E">
        <w:rPr>
          <w:rFonts w:ascii="Franklin Gothic Book" w:hAnsi="Franklin Gothic Book" w:cs="Times New Roman"/>
          <w:sz w:val="18"/>
          <w:szCs w:val="18"/>
        </w:rPr>
        <w:instrText xml:space="preserve"> NOTEREF _Ref93071831 \h </w:instrText>
      </w:r>
      <w:r w:rsidR="00804A4E" w:rsidRPr="00804A4E">
        <w:rPr>
          <w:rFonts w:ascii="Franklin Gothic Book" w:hAnsi="Franklin Gothic Book" w:cs="Times New Roman"/>
          <w:sz w:val="18"/>
          <w:szCs w:val="18"/>
        </w:rPr>
        <w:instrText xml:space="preserve"> \* MERGEFORMAT </w:instrText>
      </w:r>
      <w:r w:rsidR="005D58D2" w:rsidRPr="00804A4E">
        <w:rPr>
          <w:rFonts w:ascii="Franklin Gothic Book" w:hAnsi="Franklin Gothic Book" w:cs="Times New Roman"/>
          <w:sz w:val="18"/>
          <w:szCs w:val="18"/>
        </w:rPr>
      </w:r>
      <w:r w:rsidR="005D58D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5D58D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2-3. MGB’s presentations to bond investors regarding its ambulatory expansions explicitly refer to the expectation for increased “secondary and tertiary commercial referral volume.” </w:t>
      </w:r>
      <w:r w:rsidR="00FB23B5" w:rsidRPr="00804A4E">
        <w:rPr>
          <w:rFonts w:ascii="Franklin Gothic Book" w:hAnsi="Franklin Gothic Book" w:cs="Times New Roman"/>
          <w:sz w:val="18"/>
          <w:szCs w:val="18"/>
        </w:rPr>
        <w:t>Mass. General Brigham, Presentation by Dr. Anne Klibanski and Peter Markell at J.P. Morgan Healthcare Conference at 12</w:t>
      </w:r>
      <w:r w:rsidRPr="00804A4E">
        <w:rPr>
          <w:rFonts w:ascii="Franklin Gothic Book" w:hAnsi="Franklin Gothic Book" w:cs="Times New Roman"/>
          <w:sz w:val="18"/>
          <w:szCs w:val="18"/>
        </w:rPr>
        <w:t xml:space="preserve"> (</w:t>
      </w:r>
      <w:r w:rsidR="00FB23B5" w:rsidRPr="00804A4E">
        <w:rPr>
          <w:rFonts w:ascii="Franklin Gothic Book" w:hAnsi="Franklin Gothic Book" w:cs="Times New Roman"/>
          <w:sz w:val="18"/>
          <w:szCs w:val="18"/>
        </w:rPr>
        <w:t>Jan. 13, 2020</w:t>
      </w:r>
      <w:r w:rsidRPr="00804A4E">
        <w:rPr>
          <w:rFonts w:ascii="Franklin Gothic Book" w:hAnsi="Franklin Gothic Book" w:cs="Times New Roman"/>
          <w:sz w:val="18"/>
          <w:szCs w:val="18"/>
        </w:rPr>
        <w:t xml:space="preserve">) [hereinafter MGB J.P. Morgan Presentation], </w:t>
      </w:r>
      <w:r w:rsidR="004D76F5">
        <w:rPr>
          <w:rFonts w:ascii="Franklin Gothic Book" w:hAnsi="Franklin Gothic Book" w:cs="Times New Roman"/>
          <w:i/>
          <w:iCs/>
          <w:sz w:val="18"/>
          <w:szCs w:val="18"/>
        </w:rPr>
        <w:t>available</w:t>
      </w:r>
      <w:r w:rsidR="00FB23B5" w:rsidRPr="00804A4E">
        <w:rPr>
          <w:rFonts w:ascii="Franklin Gothic Book" w:hAnsi="Franklin Gothic Book" w:cs="Times New Roman"/>
          <w:sz w:val="18"/>
          <w:szCs w:val="18"/>
        </w:rPr>
        <w:t xml:space="preserve"> </w:t>
      </w:r>
      <w:hyperlink r:id="rId31" w:history="1">
        <w:r w:rsidR="004D76F5">
          <w:rPr>
            <w:rStyle w:val="Hyperlink"/>
            <w:rFonts w:ascii="Franklin Gothic Book" w:hAnsi="Franklin Gothic Book" w:cs="Times New Roman"/>
            <w:sz w:val="18"/>
            <w:szCs w:val="18"/>
          </w:rPr>
          <w:t>at https://emma.msrb.org/ER1298616-ER1012536-ER1417697.pdf</w:t>
        </w:r>
      </w:hyperlink>
      <w:r w:rsidRPr="00804A4E">
        <w:rPr>
          <w:rFonts w:ascii="Franklin Gothic Book" w:hAnsi="Franklin Gothic Book" w:cs="Times New Roman"/>
          <w:sz w:val="18"/>
          <w:szCs w:val="18"/>
        </w:rPr>
        <w:t>.</w:t>
      </w:r>
    </w:p>
  </w:footnote>
  <w:footnote w:id="52">
    <w:p w14:paraId="63C79849" w14:textId="4DCCDAC4"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BE51FF" w:rsidRPr="00804A4E">
        <w:rPr>
          <w:rFonts w:ascii="Franklin Gothic Book" w:hAnsi="Franklin Gothic Book" w:cs="Times New Roman"/>
          <w:sz w:val="18"/>
          <w:szCs w:val="18"/>
        </w:rPr>
        <w:t xml:space="preserve">Ambulatory Narrative, </w:t>
      </w:r>
      <w:r w:rsidR="00BE51FF" w:rsidRPr="00804A4E">
        <w:rPr>
          <w:rFonts w:ascii="Franklin Gothic Book" w:hAnsi="Franklin Gothic Book" w:cs="Times New Roman"/>
          <w:i/>
          <w:iCs/>
          <w:sz w:val="18"/>
          <w:szCs w:val="18"/>
        </w:rPr>
        <w:t xml:space="preserve">supra </w:t>
      </w:r>
      <w:r w:rsidR="00BE51FF" w:rsidRPr="00804A4E">
        <w:rPr>
          <w:rFonts w:ascii="Franklin Gothic Book" w:hAnsi="Franklin Gothic Book" w:cs="Times New Roman"/>
          <w:sz w:val="18"/>
          <w:szCs w:val="18"/>
        </w:rPr>
        <w:t xml:space="preserve">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00BC6F21">
        <w:rPr>
          <w:rFonts w:ascii="Franklin Gothic Book" w:hAnsi="Franklin Gothic Book" w:cs="Times New Roman"/>
          <w:sz w:val="18"/>
          <w:szCs w:val="18"/>
        </w:rPr>
        <w:t xml:space="preserve"> at 1</w:t>
      </w:r>
      <w:r w:rsidR="00FB23B5" w:rsidRPr="00804A4E">
        <w:rPr>
          <w:rFonts w:ascii="Franklin Gothic Book" w:hAnsi="Franklin Gothic Book" w:cs="Times New Roman"/>
          <w:sz w:val="18"/>
          <w:szCs w:val="18"/>
        </w:rPr>
        <w:t>.</w:t>
      </w:r>
    </w:p>
  </w:footnote>
  <w:footnote w:id="53">
    <w:p w14:paraId="165E6CF3" w14:textId="394DA37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3055CB" w:rsidRPr="00804A4E">
        <w:rPr>
          <w:rFonts w:ascii="Franklin Gothic Book" w:hAnsi="Franklin Gothic Book" w:cs="Times New Roman"/>
          <w:i/>
          <w:iCs/>
          <w:sz w:val="18"/>
          <w:szCs w:val="18"/>
        </w:rPr>
        <w:t>See</w:t>
      </w:r>
      <w:r w:rsidR="003055CB" w:rsidRPr="00804A4E">
        <w:rPr>
          <w:rFonts w:ascii="Franklin Gothic Book" w:hAnsi="Franklin Gothic Book" w:cs="Times New Roman"/>
          <w:sz w:val="18"/>
          <w:szCs w:val="18"/>
        </w:rPr>
        <w:t xml:space="preserve"> footnote </w:t>
      </w:r>
      <w:r w:rsidR="003055CB" w:rsidRPr="00804A4E">
        <w:rPr>
          <w:rFonts w:ascii="Franklin Gothic Book" w:hAnsi="Franklin Gothic Book" w:cs="Times New Roman"/>
          <w:sz w:val="18"/>
          <w:szCs w:val="18"/>
        </w:rPr>
        <w:fldChar w:fldCharType="begin"/>
      </w:r>
      <w:r w:rsidR="003055CB" w:rsidRPr="00804A4E">
        <w:rPr>
          <w:rFonts w:ascii="Franklin Gothic Book" w:hAnsi="Franklin Gothic Book" w:cs="Times New Roman"/>
          <w:sz w:val="18"/>
          <w:szCs w:val="18"/>
        </w:rPr>
        <w:instrText xml:space="preserve"> NOTEREF _Ref92966057 \h </w:instrText>
      </w:r>
      <w:r w:rsidR="001B237D" w:rsidRPr="00804A4E">
        <w:rPr>
          <w:rFonts w:ascii="Franklin Gothic Book" w:hAnsi="Franklin Gothic Book" w:cs="Times New Roman"/>
          <w:sz w:val="18"/>
          <w:szCs w:val="18"/>
        </w:rPr>
        <w:instrText xml:space="preserve"> \* MERGEFORMAT </w:instrText>
      </w:r>
      <w:r w:rsidR="003055CB" w:rsidRPr="00804A4E">
        <w:rPr>
          <w:rFonts w:ascii="Franklin Gothic Book" w:hAnsi="Franklin Gothic Book" w:cs="Times New Roman"/>
          <w:sz w:val="18"/>
          <w:szCs w:val="18"/>
        </w:rPr>
      </w:r>
      <w:r w:rsidR="003055CB"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50</w:t>
      </w:r>
      <w:r w:rsidR="003055CB" w:rsidRPr="00804A4E">
        <w:rPr>
          <w:rFonts w:ascii="Franklin Gothic Book" w:hAnsi="Franklin Gothic Book" w:cs="Times New Roman"/>
          <w:sz w:val="18"/>
          <w:szCs w:val="18"/>
        </w:rPr>
        <w:fldChar w:fldCharType="end"/>
      </w:r>
      <w:r w:rsidR="003055CB" w:rsidRPr="00804A4E">
        <w:rPr>
          <w:rFonts w:ascii="Franklin Gothic Book" w:hAnsi="Franklin Gothic Book" w:cs="Times New Roman"/>
          <w:sz w:val="18"/>
          <w:szCs w:val="18"/>
        </w:rPr>
        <w:t xml:space="preserve">, </w:t>
      </w:r>
      <w:r w:rsidR="003055CB" w:rsidRPr="00804A4E">
        <w:rPr>
          <w:rFonts w:ascii="Franklin Gothic Book" w:hAnsi="Franklin Gothic Book" w:cs="Times New Roman"/>
          <w:i/>
          <w:iCs/>
          <w:sz w:val="18"/>
          <w:szCs w:val="18"/>
        </w:rPr>
        <w:t>supra</w:t>
      </w:r>
      <w:r w:rsidR="003055CB" w:rsidRPr="00804A4E">
        <w:rPr>
          <w:rFonts w:ascii="Franklin Gothic Book" w:hAnsi="Franklin Gothic Book" w:cs="Times New Roman"/>
          <w:sz w:val="18"/>
          <w:szCs w:val="18"/>
        </w:rPr>
        <w:t>.</w:t>
      </w:r>
    </w:p>
  </w:footnote>
  <w:footnote w:id="54">
    <w:p w14:paraId="3F86624C" w14:textId="08517425"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This is consistent with MGB’s expectation for its multi-year ambulatory expansion plans that “New hospital margin from patient referrals from the ambulatory sites to MGB hospitals was projected to outweigh losses resulting from the shift of visits from MGB hospitals to the ambulatory sites.” </w:t>
      </w:r>
      <w:r w:rsidR="007141AC" w:rsidRPr="00804A4E">
        <w:rPr>
          <w:rFonts w:ascii="Franklin Gothic Book" w:hAnsi="Franklin Gothic Book" w:cs="Times New Roman"/>
          <w:sz w:val="18"/>
          <w:szCs w:val="18"/>
        </w:rPr>
        <w:t>MGB Internal Document Disclosures</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A42FFD" w:rsidRPr="00804A4E">
        <w:rPr>
          <w:rFonts w:ascii="Franklin Gothic Book" w:hAnsi="Franklin Gothic Book" w:cs="Times New Roman"/>
          <w:sz w:val="18"/>
          <w:szCs w:val="18"/>
        </w:rPr>
        <w:t xml:space="preserv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_Ref93071831 \h </w:instrText>
      </w:r>
      <w:r w:rsidR="00947FD1"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2.</w:t>
      </w:r>
    </w:p>
  </w:footnote>
  <w:footnote w:id="55">
    <w:p w14:paraId="2175C40B" w14:textId="5EC48A36"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A42FFD" w:rsidRPr="00804A4E">
        <w:rPr>
          <w:rFonts w:ascii="Franklin Gothic Book" w:hAnsi="Franklin Gothic Book" w:cs="Times New Roman"/>
          <w:sz w:val="18"/>
          <w:szCs w:val="18"/>
        </w:rPr>
        <w:t xml:space="preserv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2548C7"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10.</w:t>
      </w:r>
    </w:p>
  </w:footnote>
  <w:footnote w:id="56">
    <w:p w14:paraId="3DEEA9F2" w14:textId="721984B3"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2548C7" w:rsidRPr="00804A4E">
        <w:rPr>
          <w:rFonts w:ascii="Franklin Gothic Book" w:hAnsi="Franklin Gothic Book" w:cs="Times New Roman"/>
          <w:sz w:val="18"/>
          <w:szCs w:val="18"/>
        </w:rPr>
        <w:fldChar w:fldCharType="begin"/>
      </w:r>
      <w:r w:rsidR="002548C7" w:rsidRPr="00804A4E">
        <w:rPr>
          <w:rFonts w:ascii="Franklin Gothic Book" w:hAnsi="Franklin Gothic Book" w:cs="Times New Roman"/>
          <w:sz w:val="18"/>
          <w:szCs w:val="18"/>
        </w:rPr>
        <w:instrText xml:space="preserve"> NOTEREF _Ref93656068 \h  \* MERGEFORMAT </w:instrText>
      </w:r>
      <w:r w:rsidR="002548C7" w:rsidRPr="00804A4E">
        <w:rPr>
          <w:rFonts w:ascii="Franklin Gothic Book" w:hAnsi="Franklin Gothic Book" w:cs="Times New Roman"/>
          <w:sz w:val="18"/>
          <w:szCs w:val="18"/>
        </w:rPr>
      </w:r>
      <w:r w:rsidR="002548C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548C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83 and </w:t>
      </w:r>
      <w:r w:rsidR="00BC6F21">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 xml:space="preserve">ICC28; </w:t>
      </w:r>
      <w:r w:rsidR="007141AC" w:rsidRPr="00804A4E">
        <w:rPr>
          <w:rFonts w:ascii="Franklin Gothic Book" w:hAnsi="Franklin Gothic Book" w:cs="Times New Roman"/>
          <w:sz w:val="18"/>
          <w:szCs w:val="18"/>
        </w:rPr>
        <w:t>MGB Internal Document Disclosures</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BE51FF" w:rsidRPr="00804A4E">
        <w:rPr>
          <w:rFonts w:ascii="Franklin Gothic Book" w:hAnsi="Franklin Gothic Book" w:cs="Times New Roman"/>
          <w:sz w:val="18"/>
          <w:szCs w:val="18"/>
        </w:rPr>
        <w:t xml:space="preserve"> </w:t>
      </w:r>
      <w:r w:rsidR="00000AD3" w:rsidRPr="00804A4E">
        <w:rPr>
          <w:rFonts w:ascii="Franklin Gothic Book" w:hAnsi="Franklin Gothic Book" w:cs="Times New Roman"/>
          <w:sz w:val="18"/>
          <w:szCs w:val="18"/>
        </w:rPr>
        <w:fldChar w:fldCharType="begin"/>
      </w:r>
      <w:r w:rsidR="00000AD3" w:rsidRPr="00804A4E">
        <w:rPr>
          <w:rFonts w:ascii="Franklin Gothic Book" w:hAnsi="Franklin Gothic Book" w:cs="Times New Roman"/>
          <w:sz w:val="18"/>
          <w:szCs w:val="18"/>
        </w:rPr>
        <w:instrText xml:space="preserve"> NOTEREF _Ref93071831 \h </w:instrText>
      </w:r>
      <w:r w:rsidR="002548C7" w:rsidRPr="00804A4E">
        <w:rPr>
          <w:rFonts w:ascii="Franklin Gothic Book" w:hAnsi="Franklin Gothic Book" w:cs="Times New Roman"/>
          <w:sz w:val="18"/>
          <w:szCs w:val="18"/>
        </w:rPr>
        <w:instrText xml:space="preserve"> \* MERGEFORMAT </w:instrText>
      </w:r>
      <w:r w:rsidR="00000AD3" w:rsidRPr="00804A4E">
        <w:rPr>
          <w:rFonts w:ascii="Franklin Gothic Book" w:hAnsi="Franklin Gothic Book" w:cs="Times New Roman"/>
          <w:sz w:val="18"/>
          <w:szCs w:val="18"/>
        </w:rPr>
      </w:r>
      <w:r w:rsidR="00000A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000AD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3. The reason for the difference in estimates is unclear, and not addressed in the ICA. MGB’s plans for staffing may have changed subsequent to the creati</w:t>
      </w:r>
      <w:r w:rsidR="00BC6F21">
        <w:rPr>
          <w:rFonts w:ascii="Franklin Gothic Book" w:hAnsi="Franklin Gothic Book" w:cs="Times New Roman"/>
          <w:sz w:val="18"/>
          <w:szCs w:val="18"/>
        </w:rPr>
        <w:t>on</w:t>
      </w:r>
      <w:r w:rsidRPr="00804A4E">
        <w:rPr>
          <w:rFonts w:ascii="Franklin Gothic Book" w:hAnsi="Franklin Gothic Book" w:cs="Times New Roman"/>
          <w:sz w:val="18"/>
          <w:szCs w:val="18"/>
        </w:rPr>
        <w:t xml:space="preserve"> of </w:t>
      </w:r>
      <w:r w:rsidR="00BC6F21">
        <w:rPr>
          <w:rFonts w:ascii="Franklin Gothic Book" w:hAnsi="Franklin Gothic Book" w:cs="Times New Roman"/>
          <w:sz w:val="18"/>
          <w:szCs w:val="18"/>
        </w:rPr>
        <w:t xml:space="preserve">the </w:t>
      </w:r>
      <w:r w:rsidRPr="00804A4E">
        <w:rPr>
          <w:rFonts w:ascii="Franklin Gothic Book" w:hAnsi="Franklin Gothic Book" w:cs="Times New Roman"/>
          <w:sz w:val="18"/>
          <w:szCs w:val="18"/>
        </w:rPr>
        <w:t xml:space="preserve">documents </w:t>
      </w:r>
      <w:r w:rsidR="00C77A10" w:rsidRPr="00804A4E">
        <w:rPr>
          <w:rFonts w:ascii="Franklin Gothic Book" w:hAnsi="Franklin Gothic Book" w:cs="Times New Roman"/>
          <w:sz w:val="18"/>
          <w:szCs w:val="18"/>
        </w:rPr>
        <w:t>described in the MGB Internal Document Disclosures</w:t>
      </w:r>
      <w:r w:rsidRPr="00804A4E">
        <w:rPr>
          <w:rFonts w:ascii="Franklin Gothic Book" w:hAnsi="Franklin Gothic Book" w:cs="Times New Roman"/>
          <w:sz w:val="18"/>
          <w:szCs w:val="18"/>
        </w:rPr>
        <w:t xml:space="preserve">, </w:t>
      </w:r>
      <w:r w:rsidR="00000AD3" w:rsidRPr="00804A4E">
        <w:rPr>
          <w:rFonts w:ascii="Franklin Gothic Book" w:hAnsi="Franklin Gothic Book" w:cs="Times New Roman"/>
          <w:i/>
          <w:iCs/>
          <w:sz w:val="18"/>
          <w:szCs w:val="18"/>
        </w:rPr>
        <w:t>supra</w:t>
      </w:r>
      <w:r w:rsidR="00000AD3" w:rsidRPr="00804A4E">
        <w:rPr>
          <w:rFonts w:ascii="Franklin Gothic Book" w:hAnsi="Franklin Gothic Book" w:cs="Times New Roman"/>
          <w:sz w:val="18"/>
          <w:szCs w:val="18"/>
        </w:rPr>
        <w:t xml:space="preserve"> note </w:t>
      </w:r>
      <w:r w:rsidR="00000AD3" w:rsidRPr="00804A4E">
        <w:rPr>
          <w:rFonts w:ascii="Franklin Gothic Book" w:hAnsi="Franklin Gothic Book" w:cs="Times New Roman"/>
          <w:sz w:val="18"/>
          <w:szCs w:val="18"/>
        </w:rPr>
        <w:fldChar w:fldCharType="begin"/>
      </w:r>
      <w:r w:rsidR="00000AD3" w:rsidRPr="00804A4E">
        <w:rPr>
          <w:rFonts w:ascii="Franklin Gothic Book" w:hAnsi="Franklin Gothic Book" w:cs="Times New Roman"/>
          <w:sz w:val="18"/>
          <w:szCs w:val="18"/>
        </w:rPr>
        <w:instrText xml:space="preserve"> NOTEREF _Ref93071831 \h </w:instrText>
      </w:r>
      <w:r w:rsidR="002548C7" w:rsidRPr="00804A4E">
        <w:rPr>
          <w:rFonts w:ascii="Franklin Gothic Book" w:hAnsi="Franklin Gothic Book" w:cs="Times New Roman"/>
          <w:sz w:val="18"/>
          <w:szCs w:val="18"/>
        </w:rPr>
        <w:instrText xml:space="preserve"> \* MERGEFORMAT </w:instrText>
      </w:r>
      <w:r w:rsidR="00000AD3" w:rsidRPr="00804A4E">
        <w:rPr>
          <w:rFonts w:ascii="Franklin Gothic Book" w:hAnsi="Franklin Gothic Book" w:cs="Times New Roman"/>
          <w:sz w:val="18"/>
          <w:szCs w:val="18"/>
        </w:rPr>
      </w:r>
      <w:r w:rsidR="00000A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000AD3" w:rsidRPr="00804A4E">
        <w:rPr>
          <w:rFonts w:ascii="Franklin Gothic Book" w:hAnsi="Franklin Gothic Book" w:cs="Times New Roman"/>
          <w:sz w:val="18"/>
          <w:szCs w:val="18"/>
        </w:rPr>
        <w:fldChar w:fldCharType="end"/>
      </w:r>
      <w:r w:rsidR="00000AD3"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MGB may have already hired the PCPs that would be associated with the Westwood site, or MGB may have chosen not to disclose staffing increases planned for physician services at the Westwood site to </w:t>
      </w:r>
      <w:r w:rsidR="00C77A10" w:rsidRPr="00804A4E">
        <w:rPr>
          <w:rFonts w:ascii="Franklin Gothic Book" w:hAnsi="Franklin Gothic Book" w:cs="Times New Roman"/>
          <w:sz w:val="18"/>
          <w:szCs w:val="18"/>
        </w:rPr>
        <w:t>the firm conducting the ICAs</w:t>
      </w:r>
      <w:r w:rsidRPr="00804A4E">
        <w:rPr>
          <w:rFonts w:ascii="Franklin Gothic Book" w:hAnsi="Franklin Gothic Book" w:cs="Times New Roman"/>
          <w:sz w:val="18"/>
          <w:szCs w:val="18"/>
        </w:rPr>
        <w:t xml:space="preserve"> because those services are provided by existing MGB practices and MGB does not consider them part of the proposed project, as described in the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A42FFD" w:rsidRPr="00804A4E">
        <w:rPr>
          <w:rFonts w:ascii="Franklin Gothic Book" w:hAnsi="Franklin Gothic Book" w:cs="Times New Roman"/>
          <w:sz w:val="18"/>
          <w:szCs w:val="18"/>
        </w:rPr>
        <w:t xml:space="preserv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2548C7"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2 and 10. The Ambulatory ICA describes the expected staffing at the sites, but does not quantify the potential spending impacts associated with changes in TME for primary care patients, referrals by specialists to other MGB facilities, or the professional component of services at the ambulatory sites.</w:t>
      </w:r>
    </w:p>
  </w:footnote>
  <w:footnote w:id="57">
    <w:p w14:paraId="07FA7B7D" w14:textId="601A546E"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48" w:name="_Hlk93439258"/>
      <w:r w:rsidR="00B33E68" w:rsidRPr="00804A4E">
        <w:rPr>
          <w:rFonts w:ascii="Franklin Gothic Book" w:hAnsi="Franklin Gothic Book" w:cs="Times New Roman"/>
          <w:smallCaps/>
          <w:sz w:val="18"/>
          <w:szCs w:val="18"/>
        </w:rPr>
        <w:t>Application by Mass General Brigham for Determination of Need – Multisite 21012113-AS</w:t>
      </w:r>
      <w:r w:rsidR="00B33E68" w:rsidRPr="00804A4E">
        <w:rPr>
          <w:rFonts w:ascii="Franklin Gothic Book" w:hAnsi="Franklin Gothic Book" w:cs="Times New Roman"/>
          <w:sz w:val="18"/>
          <w:szCs w:val="18"/>
        </w:rPr>
        <w:t xml:space="preserve">, Responses to DoN Questions 9 (Oct. 2021) [hereinafter Ambulatory Q&amp;A], </w:t>
      </w:r>
      <w:r w:rsidR="00FB756E">
        <w:rPr>
          <w:rFonts w:ascii="Franklin Gothic Book" w:hAnsi="Franklin Gothic Book" w:cs="Times New Roman"/>
          <w:i/>
          <w:iCs/>
          <w:sz w:val="18"/>
          <w:szCs w:val="18"/>
        </w:rPr>
        <w:t>available</w:t>
      </w:r>
      <w:r w:rsidR="00B33E68" w:rsidRPr="00804A4E">
        <w:rPr>
          <w:rFonts w:ascii="Franklin Gothic Book" w:hAnsi="Franklin Gothic Book" w:cs="Times New Roman"/>
          <w:sz w:val="18"/>
          <w:szCs w:val="18"/>
        </w:rPr>
        <w:t xml:space="preserve"> </w:t>
      </w:r>
      <w:hyperlink r:id="rId32" w:history="1">
        <w:r w:rsidR="00FB756E">
          <w:rPr>
            <w:rStyle w:val="Hyperlink"/>
            <w:rFonts w:ascii="Franklin Gothic Book" w:hAnsi="Franklin Gothic Book" w:cs="Times New Roman"/>
            <w:sz w:val="18"/>
            <w:szCs w:val="18"/>
          </w:rPr>
          <w:t>at https://www.mass.gov/lists/don-mass-general-brigham-incorporated-multisite-21012113-as#mass-general-brigham-incorporated-%E2%80%93-mgh-%E2%80%93-responses-to-don-questions</w:t>
        </w:r>
      </w:hyperlink>
      <w:r w:rsidR="00A11E3B" w:rsidRPr="00804A4E">
        <w:rPr>
          <w:rFonts w:ascii="Franklin Gothic Book" w:hAnsi="Franklin Gothic Book" w:cs="Times New Roman"/>
          <w:sz w:val="18"/>
          <w:szCs w:val="18"/>
        </w:rPr>
        <w:t xml:space="preserve"> at</w:t>
      </w:r>
      <w:r w:rsidR="003E0059" w:rsidRPr="00804A4E">
        <w:rPr>
          <w:rFonts w:ascii="Franklin Gothic Book" w:hAnsi="Franklin Gothic Book" w:cs="Times New Roman"/>
          <w:sz w:val="18"/>
          <w:szCs w:val="18"/>
        </w:rPr>
        <w:t xml:space="preserve"> </w:t>
      </w:r>
      <w:r w:rsidR="00A11E3B" w:rsidRPr="00804A4E">
        <w:rPr>
          <w:rFonts w:ascii="Franklin Gothic Book" w:hAnsi="Franklin Gothic Book" w:cs="Times New Roman"/>
          <w:sz w:val="18"/>
          <w:szCs w:val="18"/>
        </w:rPr>
        <w:t>38</w:t>
      </w:r>
      <w:r w:rsidR="00FB23B5" w:rsidRPr="00804A4E">
        <w:rPr>
          <w:rFonts w:ascii="Franklin Gothic Book" w:hAnsi="Franklin Gothic Book" w:cs="Times New Roman"/>
          <w:sz w:val="18"/>
          <w:szCs w:val="18"/>
        </w:rPr>
        <w:t>-</w:t>
      </w:r>
      <w:r w:rsidR="003E0059" w:rsidRPr="00804A4E">
        <w:rPr>
          <w:rFonts w:ascii="Franklin Gothic Book" w:hAnsi="Franklin Gothic Book" w:cs="Times New Roman"/>
          <w:sz w:val="18"/>
          <w:szCs w:val="18"/>
        </w:rPr>
        <w:t>39</w:t>
      </w:r>
      <w:bookmarkEnd w:id="48"/>
      <w:r w:rsidR="00FB23B5"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(“Mass General Brigham opened a new primary care practice in 2018 in the Westwood Site’s primary service area…. Primary care physicians were hired from existing practices in the area;” “Mass General Brigham added approximately 11 FTE primary care physicians in the Woburn Site’s primary service area between 2017 and 2020, by hiring primary care physicians from existing practices in the area”).</w:t>
      </w:r>
    </w:p>
  </w:footnote>
  <w:footnote w:id="58">
    <w:p w14:paraId="45612DB4" w14:textId="09F91F21"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calculated the differential in </w:t>
      </w:r>
      <w:r w:rsidR="00BC6F21">
        <w:rPr>
          <w:rFonts w:ascii="Franklin Gothic Book" w:hAnsi="Franklin Gothic Book" w:cs="Times New Roman"/>
          <w:sz w:val="18"/>
          <w:szCs w:val="18"/>
        </w:rPr>
        <w:t xml:space="preserve">2018 </w:t>
      </w:r>
      <w:r w:rsidRPr="00804A4E">
        <w:rPr>
          <w:rFonts w:ascii="Franklin Gothic Book" w:hAnsi="Franklin Gothic Book" w:cs="Times New Roman"/>
          <w:sz w:val="18"/>
          <w:szCs w:val="18"/>
        </w:rPr>
        <w:t>CHIA commercial health status adjusted (HSA) TME between Partners Community Physician Organization (PCPO) and each other physician group for BCBS, HPHC, and THP. We applied the resulting differential to each physician group’s payer-specific unadjusted TME to calculate an estimated spending impact per patient transitioning to an MGB PCP. The HPC then weighted the spending impact for each provider group by the group’s share of primary care visits within each proposed service area to calculate a blended spending differential for an average patient in each service area transitioning to an MGB PCP. We applied this spending differential to the average unadjusted TME for non-MGB physician groups in each service area, weighted by the groups’ primary care visits within each service area.</w:t>
      </w:r>
    </w:p>
  </w:footnote>
  <w:footnote w:id="59">
    <w:p w14:paraId="3C231A79" w14:textId="1907012B"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51" w:name="_Hlk93447156"/>
      <w:r w:rsidRPr="00804A4E">
        <w:rPr>
          <w:rFonts w:ascii="Franklin Gothic Book" w:hAnsi="Franklin Gothic Book" w:cs="Times New Roman"/>
          <w:sz w:val="18"/>
          <w:szCs w:val="18"/>
        </w:rPr>
        <w:t xml:space="preserve">MGB did not specify the expected size or payer mix of new PCP patient panels in its DoN application or supplemental filings. The HPC assumed a commercial payer mix of 47.5% based on the </w:t>
      </w:r>
      <w:r w:rsidR="003055CB" w:rsidRPr="00804A4E">
        <w:rPr>
          <w:rFonts w:ascii="Franklin Gothic Book" w:hAnsi="Franklin Gothic Book" w:cs="Times New Roman"/>
          <w:sz w:val="18"/>
          <w:szCs w:val="18"/>
        </w:rPr>
        <w:t xml:space="preserve">percent </w:t>
      </w:r>
      <w:r w:rsidRPr="00804A4E">
        <w:rPr>
          <w:rFonts w:ascii="Franklin Gothic Book" w:hAnsi="Franklin Gothic Book" w:cs="Times New Roman"/>
          <w:sz w:val="18"/>
          <w:szCs w:val="18"/>
        </w:rPr>
        <w:t>of commercial gross patient service revenue (charges</w:t>
      </w:r>
      <w:r w:rsidR="00BC6F21">
        <w:rPr>
          <w:rFonts w:ascii="Franklin Gothic Book" w:hAnsi="Franklin Gothic Book" w:cs="Times New Roman"/>
          <w:sz w:val="18"/>
          <w:szCs w:val="18"/>
        </w:rPr>
        <w:t>)</w:t>
      </w:r>
      <w:r w:rsidR="00473E38" w:rsidRPr="00804A4E">
        <w:rPr>
          <w:rFonts w:ascii="Franklin Gothic Book" w:hAnsi="Franklin Gothic Book" w:cs="Times New Roman"/>
          <w:sz w:val="18"/>
          <w:szCs w:val="18"/>
        </w:rPr>
        <w:t>, which does not generally vary by payer,</w:t>
      </w:r>
      <w:r w:rsidRPr="00804A4E">
        <w:rPr>
          <w:rFonts w:ascii="Franklin Gothic Book" w:hAnsi="Franklin Gothic Book" w:cs="Times New Roman"/>
          <w:sz w:val="18"/>
          <w:szCs w:val="18"/>
        </w:rPr>
        <w:t xml:space="preserve"> </w:t>
      </w:r>
      <w:r w:rsidR="003055CB" w:rsidRPr="00804A4E">
        <w:rPr>
          <w:rFonts w:ascii="Franklin Gothic Book" w:hAnsi="Franklin Gothic Book" w:cs="Times New Roman"/>
          <w:sz w:val="18"/>
          <w:szCs w:val="18"/>
        </w:rPr>
        <w:t xml:space="preserve">for MGB’s physician groups </w:t>
      </w:r>
      <w:r w:rsidRPr="00804A4E">
        <w:rPr>
          <w:rFonts w:ascii="Franklin Gothic Book" w:hAnsi="Franklin Gothic Book" w:cs="Times New Roman"/>
          <w:sz w:val="18"/>
          <w:szCs w:val="18"/>
        </w:rPr>
        <w:t xml:space="preserve">reported by MGB to the </w:t>
      </w:r>
      <w:r w:rsidR="00840146" w:rsidRPr="00804A4E">
        <w:rPr>
          <w:rFonts w:ascii="Franklin Gothic Book" w:hAnsi="Franklin Gothic Book" w:cs="Times New Roman"/>
          <w:sz w:val="18"/>
          <w:szCs w:val="18"/>
        </w:rPr>
        <w:t>MA-RPO program</w:t>
      </w:r>
      <w:r w:rsidRPr="00804A4E">
        <w:rPr>
          <w:rFonts w:ascii="Franklin Gothic Book" w:hAnsi="Franklin Gothic Book" w:cs="Times New Roman"/>
          <w:sz w:val="18"/>
          <w:szCs w:val="18"/>
        </w:rPr>
        <w:t xml:space="preserve"> in 2021. This is likely to be an underestimate of the commercial mix for new MGB PCPs given that the commercial mix of MGB’s patients from the ambulatory PSAs is currently higher, as shown in the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BE51FF" w:rsidRPr="00804A4E">
        <w:rPr>
          <w:rFonts w:ascii="Franklin Gothic Book" w:hAnsi="Franklin Gothic Book" w:cs="Times New Roman"/>
          <w:sz w:val="18"/>
          <w:szCs w:val="18"/>
        </w:rPr>
        <w:t xml:space="preserv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947FD1"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Attachment 4, and people living in the service areas for the proposed ambulatory sites tend to have relatively high incomes and lower rates of public assistance.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hyperlink w:anchor="Section_IVD" w:history="1">
        <w:r w:rsidR="003055CB" w:rsidRPr="00804A4E">
          <w:rPr>
            <w:rStyle w:val="Hyperlink"/>
            <w:rFonts w:ascii="Franklin Gothic Book" w:hAnsi="Franklin Gothic Book" w:cs="Times New Roman"/>
            <w:sz w:val="18"/>
            <w:szCs w:val="18"/>
          </w:rPr>
          <w:t>Section IV.</w:t>
        </w:r>
        <w:r w:rsidR="00560AEB" w:rsidRPr="00804A4E">
          <w:rPr>
            <w:rStyle w:val="Hyperlink"/>
            <w:rFonts w:ascii="Franklin Gothic Book" w:hAnsi="Franklin Gothic Book" w:cs="Times New Roman"/>
            <w:sz w:val="18"/>
            <w:szCs w:val="18"/>
          </w:rPr>
          <w:t>D</w:t>
        </w:r>
      </w:hyperlink>
      <w:r w:rsidRPr="00804A4E">
        <w:rPr>
          <w:rFonts w:ascii="Franklin Gothic Book" w:hAnsi="Franklin Gothic Book" w:cs="Times New Roman"/>
          <w:sz w:val="18"/>
          <w:szCs w:val="18"/>
        </w:rPr>
        <w:t>. The HPC assumes an average primary care patient panel size of approximately 2,000 patients based on a review of relevant literature</w:t>
      </w:r>
      <w:bookmarkEnd w:id="51"/>
      <w:r w:rsidRPr="00804A4E">
        <w:rPr>
          <w:rFonts w:ascii="Franklin Gothic Book" w:hAnsi="Franklin Gothic Book" w:cs="Times New Roman"/>
          <w:sz w:val="18"/>
          <w:szCs w:val="18"/>
        </w:rPr>
        <w:t>.</w:t>
      </w:r>
    </w:p>
  </w:footnote>
  <w:footnote w:id="60">
    <w:p w14:paraId="1CD82BE1" w14:textId="59EBACDA" w:rsidR="0028354B" w:rsidRPr="00804A4E" w:rsidRDefault="0028354B"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w:t>
      </w:r>
      <w:r w:rsidR="00052C0E" w:rsidRPr="00804A4E">
        <w:rPr>
          <w:rFonts w:ascii="Franklin Gothic Book" w:hAnsi="Franklin Gothic Book" w:cs="Times New Roman"/>
          <w:sz w:val="18"/>
          <w:szCs w:val="18"/>
        </w:rPr>
        <w:t xml:space="preserve">analysis of CHIA 2018 TME data, multiplying differences in TME (see </w:t>
      </w:r>
      <w:r w:rsidR="001A6FFE" w:rsidRPr="00804A4E">
        <w:rPr>
          <w:rFonts w:ascii="Franklin Gothic Book" w:hAnsi="Franklin Gothic Book" w:cs="Times New Roman"/>
          <w:i/>
          <w:iCs/>
          <w:sz w:val="18"/>
          <w:szCs w:val="18"/>
        </w:rPr>
        <w:t xml:space="preserve">supra </w:t>
      </w:r>
      <w:r w:rsidR="00052C0E" w:rsidRPr="00804A4E">
        <w:rPr>
          <w:rFonts w:ascii="Franklin Gothic Book" w:hAnsi="Franklin Gothic Book" w:cs="Times New Roman"/>
          <w:sz w:val="18"/>
          <w:szCs w:val="18"/>
        </w:rPr>
        <w:t xml:space="preserve">note </w:t>
      </w:r>
      <w:r w:rsidR="00052C0E" w:rsidRPr="00804A4E">
        <w:rPr>
          <w:rFonts w:ascii="Franklin Gothic Book" w:hAnsi="Franklin Gothic Book" w:cs="Times New Roman"/>
          <w:sz w:val="18"/>
          <w:szCs w:val="18"/>
        </w:rPr>
        <w:fldChar w:fldCharType="begin"/>
      </w:r>
      <w:r w:rsidR="00052C0E" w:rsidRPr="00804A4E">
        <w:rPr>
          <w:rFonts w:ascii="Franklin Gothic Book" w:hAnsi="Franklin Gothic Book" w:cs="Times New Roman"/>
          <w:sz w:val="18"/>
          <w:szCs w:val="18"/>
        </w:rPr>
        <w:instrText xml:space="preserve"> NOTEREF _Ref92489214 \h </w:instrText>
      </w:r>
      <w:r w:rsidR="001056B7" w:rsidRPr="00804A4E">
        <w:rPr>
          <w:rFonts w:ascii="Franklin Gothic Book" w:hAnsi="Franklin Gothic Book" w:cs="Times New Roman"/>
          <w:sz w:val="18"/>
          <w:szCs w:val="18"/>
        </w:rPr>
        <w:instrText xml:space="preserve"> \* MERGEFORMAT </w:instrText>
      </w:r>
      <w:r w:rsidR="00052C0E" w:rsidRPr="00804A4E">
        <w:rPr>
          <w:rFonts w:ascii="Franklin Gothic Book" w:hAnsi="Franklin Gothic Book" w:cs="Times New Roman"/>
          <w:sz w:val="18"/>
          <w:szCs w:val="18"/>
        </w:rPr>
      </w:r>
      <w:r w:rsidR="00052C0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57</w:t>
      </w:r>
      <w:r w:rsidR="00052C0E" w:rsidRPr="00804A4E">
        <w:rPr>
          <w:rFonts w:ascii="Franklin Gothic Book" w:hAnsi="Franklin Gothic Book" w:cs="Times New Roman"/>
          <w:sz w:val="18"/>
          <w:szCs w:val="18"/>
        </w:rPr>
        <w:fldChar w:fldCharType="end"/>
      </w:r>
      <w:r w:rsidR="00052C0E" w:rsidRPr="00804A4E">
        <w:rPr>
          <w:rFonts w:ascii="Franklin Gothic Book" w:hAnsi="Franklin Gothic Book" w:cs="Times New Roman"/>
          <w:sz w:val="18"/>
          <w:szCs w:val="18"/>
        </w:rPr>
        <w:t xml:space="preserve">) by estimated number of new PCPs and MGB commercial mix (see </w:t>
      </w:r>
      <w:r w:rsidR="001A6FFE" w:rsidRPr="00804A4E">
        <w:rPr>
          <w:rFonts w:ascii="Franklin Gothic Book" w:hAnsi="Franklin Gothic Book" w:cs="Times New Roman"/>
          <w:i/>
          <w:iCs/>
          <w:sz w:val="18"/>
          <w:szCs w:val="18"/>
        </w:rPr>
        <w:t xml:space="preserve">supra </w:t>
      </w:r>
      <w:r w:rsidR="00052C0E" w:rsidRPr="00804A4E">
        <w:rPr>
          <w:rFonts w:ascii="Franklin Gothic Book" w:hAnsi="Franklin Gothic Book" w:cs="Times New Roman"/>
          <w:sz w:val="18"/>
          <w:szCs w:val="18"/>
        </w:rPr>
        <w:t xml:space="preserve">note </w:t>
      </w:r>
      <w:r w:rsidR="00052C0E" w:rsidRPr="00804A4E">
        <w:rPr>
          <w:rFonts w:ascii="Franklin Gothic Book" w:hAnsi="Franklin Gothic Book" w:cs="Times New Roman"/>
          <w:sz w:val="18"/>
          <w:szCs w:val="18"/>
        </w:rPr>
        <w:fldChar w:fldCharType="begin"/>
      </w:r>
      <w:r w:rsidR="00052C0E" w:rsidRPr="00804A4E">
        <w:rPr>
          <w:rFonts w:ascii="Franklin Gothic Book" w:hAnsi="Franklin Gothic Book" w:cs="Times New Roman"/>
          <w:sz w:val="18"/>
          <w:szCs w:val="18"/>
        </w:rPr>
        <w:instrText xml:space="preserve"> NOTEREF _Ref92983330 \h </w:instrText>
      </w:r>
      <w:r w:rsidR="001056B7" w:rsidRPr="00804A4E">
        <w:rPr>
          <w:rFonts w:ascii="Franklin Gothic Book" w:hAnsi="Franklin Gothic Book" w:cs="Times New Roman"/>
          <w:sz w:val="18"/>
          <w:szCs w:val="18"/>
        </w:rPr>
        <w:instrText xml:space="preserve"> \* MERGEFORMAT </w:instrText>
      </w:r>
      <w:r w:rsidR="00052C0E" w:rsidRPr="00804A4E">
        <w:rPr>
          <w:rFonts w:ascii="Franklin Gothic Book" w:hAnsi="Franklin Gothic Book" w:cs="Times New Roman"/>
          <w:sz w:val="18"/>
          <w:szCs w:val="18"/>
        </w:rPr>
      </w:r>
      <w:r w:rsidR="00052C0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58</w:t>
      </w:r>
      <w:r w:rsidR="00052C0E" w:rsidRPr="00804A4E">
        <w:rPr>
          <w:rFonts w:ascii="Franklin Gothic Book" w:hAnsi="Franklin Gothic Book" w:cs="Times New Roman"/>
          <w:sz w:val="18"/>
          <w:szCs w:val="18"/>
        </w:rPr>
        <w:fldChar w:fldCharType="end"/>
      </w:r>
      <w:r w:rsidR="00052C0E" w:rsidRPr="00804A4E">
        <w:rPr>
          <w:rFonts w:ascii="Franklin Gothic Book" w:hAnsi="Franklin Gothic Book" w:cs="Times New Roman"/>
          <w:sz w:val="18"/>
          <w:szCs w:val="18"/>
        </w:rPr>
        <w:t>).</w:t>
      </w:r>
      <w:r w:rsidR="007E01D1" w:rsidRPr="00804A4E">
        <w:rPr>
          <w:rFonts w:ascii="Franklin Gothic Book" w:hAnsi="Franklin Gothic Book" w:cs="Times New Roman"/>
          <w:sz w:val="18"/>
          <w:szCs w:val="18"/>
        </w:rPr>
        <w:t xml:space="preserve"> </w:t>
      </w:r>
      <w:r w:rsidR="00FB23B5" w:rsidRPr="00804A4E">
        <w:rPr>
          <w:rFonts w:ascii="Franklin Gothic Book" w:hAnsi="Franklin Gothic Book" w:cs="Times New Roman"/>
          <w:sz w:val="18"/>
          <w:szCs w:val="18"/>
        </w:rPr>
        <w:t>When totaling spending impacts, the HPC discounts the spending impact in row 1 by the portion of TME for MGB’s primary care patients that represents spending on inpatient care received at MGB hospitals.</w:t>
      </w:r>
      <w:r w:rsidR="007E01D1" w:rsidRPr="00804A4E">
        <w:rPr>
          <w:rFonts w:ascii="Franklin Gothic Book" w:hAnsi="Franklin Gothic Book" w:cs="Times New Roman"/>
          <w:sz w:val="18"/>
          <w:szCs w:val="18"/>
        </w:rPr>
        <w:t xml:space="preserve"> </w:t>
      </w:r>
      <w:r w:rsidR="00FB23B5" w:rsidRPr="00804A4E">
        <w:rPr>
          <w:rFonts w:ascii="Franklin Gothic Book" w:hAnsi="Franklin Gothic Book" w:cs="Times New Roman"/>
          <w:sz w:val="18"/>
          <w:szCs w:val="18"/>
        </w:rPr>
        <w:t xml:space="preserve">This is due to the fact that </w:t>
      </w:r>
      <w:r w:rsidR="007E01D1" w:rsidRPr="00804A4E">
        <w:rPr>
          <w:rFonts w:ascii="Franklin Gothic Book" w:hAnsi="Franklin Gothic Book" w:cs="Times New Roman"/>
          <w:sz w:val="18"/>
          <w:szCs w:val="18"/>
        </w:rPr>
        <w:t>that some proportion of the spending differentials between the primary care patients of MGB and those of other systems reflect increased use of MGB's higher-priced hospitals, which overlaps with the expectation described in Section III.A.3 of increased patient volume going to MGB hospitals as a result of the ambulatory expansion.</w:t>
      </w:r>
    </w:p>
  </w:footnote>
  <w:footnote w:id="61">
    <w:p w14:paraId="14EECE1D" w14:textId="0EEAB98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As an example, Tufts Medicare Advantage is the only managed Medicare payer for which CHIA TME data are available for PCPO. </w:t>
      </w:r>
      <w:r w:rsidR="00BC6F21">
        <w:rPr>
          <w:rFonts w:ascii="Franklin Gothic Book" w:hAnsi="Franklin Gothic Book" w:cs="Times New Roman"/>
          <w:sz w:val="18"/>
          <w:szCs w:val="18"/>
        </w:rPr>
        <w:t>T</w:t>
      </w:r>
      <w:r w:rsidRPr="00804A4E">
        <w:rPr>
          <w:rFonts w:ascii="Franklin Gothic Book" w:hAnsi="Franklin Gothic Book" w:cs="Times New Roman"/>
          <w:sz w:val="18"/>
          <w:szCs w:val="18"/>
        </w:rPr>
        <w:t xml:space="preserve">he HPC compared PCPO’s HSA TME for Tufts Medicare Advantage to the average HSA TME of all other provider groups serving Eastern Massachusetts, weighted by total member months. The HPC found that PCPO’s HSA TME for </w:t>
      </w:r>
      <w:r w:rsidR="00BC6F21">
        <w:rPr>
          <w:rFonts w:ascii="Franklin Gothic Book" w:hAnsi="Franklin Gothic Book" w:cs="Times New Roman"/>
          <w:sz w:val="18"/>
          <w:szCs w:val="18"/>
        </w:rPr>
        <w:t xml:space="preserve">Tufts </w:t>
      </w:r>
      <w:r w:rsidRPr="00804A4E">
        <w:rPr>
          <w:rFonts w:ascii="Franklin Gothic Book" w:hAnsi="Franklin Gothic Book" w:cs="Times New Roman"/>
          <w:sz w:val="18"/>
          <w:szCs w:val="18"/>
        </w:rPr>
        <w:t>Medicare Advantage is approximately 4% higher than the average for other groups, suggesting that spending for these patients would increase as they join the patient panels of new MGB PCPs.</w:t>
      </w:r>
    </w:p>
  </w:footnote>
  <w:footnote w:id="62">
    <w:p w14:paraId="69CFC569" w14:textId="415311BE"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used 2018 CHIA All-Payer Claims Database </w:t>
      </w:r>
      <w:r w:rsidR="00BC6F21">
        <w:rPr>
          <w:rFonts w:ascii="Franklin Gothic Book" w:hAnsi="Franklin Gothic Book" w:cs="Times New Roman"/>
          <w:sz w:val="18"/>
          <w:szCs w:val="18"/>
        </w:rPr>
        <w:t xml:space="preserve">(APCD) </w:t>
      </w:r>
      <w:r w:rsidRPr="00804A4E">
        <w:rPr>
          <w:rFonts w:ascii="Franklin Gothic Book" w:hAnsi="Franklin Gothic Book" w:cs="Times New Roman"/>
          <w:sz w:val="18"/>
          <w:szCs w:val="18"/>
        </w:rPr>
        <w:t>and Hospital Inpatient Discharge Database data to examine patient</w:t>
      </w:r>
      <w:r w:rsidR="00C2185A" w:rsidRPr="00804A4E">
        <w:rPr>
          <w:rFonts w:ascii="Franklin Gothic Book" w:hAnsi="Franklin Gothic Book" w:cs="Times New Roman"/>
          <w:sz w:val="18"/>
          <w:szCs w:val="18"/>
        </w:rPr>
        <w:t>s’</w:t>
      </w:r>
      <w:r w:rsidRPr="00804A4E">
        <w:rPr>
          <w:rFonts w:ascii="Franklin Gothic Book" w:hAnsi="Franklin Gothic Book" w:cs="Times New Roman"/>
          <w:sz w:val="18"/>
          <w:szCs w:val="18"/>
        </w:rPr>
        <w:t xml:space="preserve"> choice</w:t>
      </w:r>
      <w:r w:rsidR="00C2185A" w:rsidRPr="00804A4E">
        <w:rPr>
          <w:rFonts w:ascii="Franklin Gothic Book" w:hAnsi="Franklin Gothic Book" w:cs="Times New Roman"/>
          <w:sz w:val="18"/>
          <w:szCs w:val="18"/>
        </w:rPr>
        <w:t>s</w:t>
      </w:r>
      <w:r w:rsidRPr="00804A4E">
        <w:rPr>
          <w:rFonts w:ascii="Franklin Gothic Book" w:hAnsi="Franklin Gothic Book" w:cs="Times New Roman"/>
          <w:sz w:val="18"/>
          <w:szCs w:val="18"/>
        </w:rPr>
        <w:t xml:space="preserve"> of hospitals for inpatient care. The HPC’s inpatient choice model is described in more detail in </w:t>
      </w:r>
      <w:hyperlink w:anchor="Appendix_IA" w:history="1">
        <w:r w:rsidR="00BC6F21" w:rsidRPr="00BC6F21">
          <w:rPr>
            <w:rStyle w:val="Hyperlink"/>
            <w:rFonts w:ascii="Franklin Gothic Book" w:hAnsi="Franklin Gothic Book" w:cs="Times New Roman"/>
            <w:sz w:val="18"/>
            <w:szCs w:val="18"/>
          </w:rPr>
          <w:t>Appendix I.A</w:t>
        </w:r>
      </w:hyperlink>
      <w:r w:rsidRPr="00804A4E">
        <w:rPr>
          <w:rFonts w:ascii="Franklin Gothic Book" w:hAnsi="Franklin Gothic Book" w:cs="Times New Roman"/>
          <w:sz w:val="18"/>
          <w:szCs w:val="18"/>
        </w:rPr>
        <w:t xml:space="preserve">. Adjusting for patient and hospital characteristics, the HPC found a statistically significant relationship between a hospital system’s shares of commercial adult physician visits and patient choice of hospitals of that system. This effect was found for both primary care and secondary care visits. </w:t>
      </w:r>
      <w:r w:rsidR="00C2185A" w:rsidRPr="00804A4E">
        <w:rPr>
          <w:rFonts w:ascii="Franklin Gothic Book" w:hAnsi="Franklin Gothic Book" w:cs="Times New Roman"/>
          <w:sz w:val="18"/>
          <w:szCs w:val="18"/>
        </w:rPr>
        <w:t>T</w:t>
      </w:r>
      <w:r w:rsidR="00CD47F6" w:rsidRPr="00804A4E">
        <w:rPr>
          <w:rFonts w:ascii="Franklin Gothic Book" w:hAnsi="Franklin Gothic Book" w:cs="Times New Roman"/>
          <w:sz w:val="18"/>
          <w:szCs w:val="18"/>
        </w:rPr>
        <w:t>he</w:t>
      </w:r>
      <w:r w:rsidR="002617EC"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model </w:t>
      </w:r>
      <w:r w:rsidR="007A091F" w:rsidRPr="00804A4E">
        <w:rPr>
          <w:rFonts w:ascii="Franklin Gothic Book" w:hAnsi="Franklin Gothic Book" w:cs="Times New Roman"/>
          <w:sz w:val="18"/>
          <w:szCs w:val="18"/>
        </w:rPr>
        <w:t xml:space="preserve">estimates this effect only for </w:t>
      </w:r>
      <w:r w:rsidRPr="00804A4E">
        <w:rPr>
          <w:rFonts w:ascii="Franklin Gothic Book" w:hAnsi="Franklin Gothic Book" w:cs="Times New Roman"/>
          <w:sz w:val="18"/>
          <w:szCs w:val="18"/>
        </w:rPr>
        <w:t xml:space="preserve">patients living </w:t>
      </w:r>
      <w:r w:rsidR="007A091F" w:rsidRPr="00804A4E">
        <w:rPr>
          <w:rFonts w:ascii="Franklin Gothic Book" w:hAnsi="Franklin Gothic Book" w:cs="Times New Roman"/>
          <w:sz w:val="18"/>
          <w:szCs w:val="18"/>
        </w:rPr>
        <w:t xml:space="preserve">more than </w:t>
      </w:r>
      <w:r w:rsidRPr="00804A4E">
        <w:rPr>
          <w:rFonts w:ascii="Franklin Gothic Book" w:hAnsi="Franklin Gothic Book" w:cs="Times New Roman"/>
          <w:sz w:val="18"/>
          <w:szCs w:val="18"/>
        </w:rPr>
        <w:t xml:space="preserve">15 minutes </w:t>
      </w:r>
      <w:r w:rsidR="007A091F" w:rsidRPr="00804A4E">
        <w:rPr>
          <w:rFonts w:ascii="Franklin Gothic Book" w:hAnsi="Franklin Gothic Book" w:cs="Times New Roman"/>
          <w:sz w:val="18"/>
          <w:szCs w:val="18"/>
        </w:rPr>
        <w:t xml:space="preserve">away from </w:t>
      </w:r>
      <w:r w:rsidRPr="00804A4E">
        <w:rPr>
          <w:rFonts w:ascii="Franklin Gothic Book" w:hAnsi="Franklin Gothic Book" w:cs="Times New Roman"/>
          <w:sz w:val="18"/>
          <w:szCs w:val="18"/>
        </w:rPr>
        <w:t xml:space="preserve">any </w:t>
      </w:r>
      <w:r w:rsidR="007A091F" w:rsidRPr="00804A4E">
        <w:rPr>
          <w:rFonts w:ascii="Franklin Gothic Book" w:hAnsi="Franklin Gothic Book" w:cs="Times New Roman"/>
          <w:sz w:val="18"/>
          <w:szCs w:val="18"/>
        </w:rPr>
        <w:t xml:space="preserve">chosen </w:t>
      </w:r>
      <w:r w:rsidRPr="00804A4E">
        <w:rPr>
          <w:rFonts w:ascii="Franklin Gothic Book" w:hAnsi="Franklin Gothic Book" w:cs="Times New Roman"/>
          <w:sz w:val="18"/>
          <w:szCs w:val="18"/>
        </w:rPr>
        <w:t>system hospital in order to minimize the confounding effect of physician visits conducted on hospital campuses.</w:t>
      </w:r>
    </w:p>
  </w:footnote>
  <w:footnote w:id="63">
    <w:p w14:paraId="62D54ACC" w14:textId="2ADC8B1A"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53" w:name="_Hlk93442924"/>
      <w:r w:rsidRPr="00804A4E">
        <w:rPr>
          <w:rFonts w:ascii="Franklin Gothic Book" w:hAnsi="Franklin Gothic Book" w:cs="Times New Roman"/>
          <w:sz w:val="18"/>
          <w:szCs w:val="18"/>
        </w:rPr>
        <w:t>The HPC used the model described</w:t>
      </w:r>
      <w:r w:rsidR="008B49DB" w:rsidRPr="00804A4E">
        <w:rPr>
          <w:rFonts w:ascii="Franklin Gothic Book" w:hAnsi="Franklin Gothic Book" w:cs="Times New Roman"/>
          <w:sz w:val="18"/>
          <w:szCs w:val="18"/>
        </w:rPr>
        <w:t xml:space="preserve"> </w:t>
      </w:r>
      <w:r w:rsidR="008B49DB" w:rsidRPr="00804A4E">
        <w:rPr>
          <w:rFonts w:ascii="Franklin Gothic Book" w:hAnsi="Franklin Gothic Book" w:cs="Times New Roman"/>
          <w:i/>
          <w:iCs/>
          <w:sz w:val="18"/>
          <w:szCs w:val="18"/>
        </w:rPr>
        <w:t>id</w:t>
      </w:r>
      <w:r w:rsidR="008B49DB"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to estimate that a 25% </w:t>
      </w:r>
      <w:r w:rsidR="00C77A10" w:rsidRPr="00804A4E">
        <w:rPr>
          <w:rFonts w:ascii="Franklin Gothic Book" w:hAnsi="Franklin Gothic Book" w:cs="Times New Roman"/>
          <w:sz w:val="18"/>
          <w:szCs w:val="18"/>
        </w:rPr>
        <w:t>to</w:t>
      </w:r>
      <w:r w:rsidRPr="00804A4E">
        <w:rPr>
          <w:rFonts w:ascii="Franklin Gothic Book" w:hAnsi="Franklin Gothic Book" w:cs="Times New Roman"/>
          <w:sz w:val="18"/>
          <w:szCs w:val="18"/>
        </w:rPr>
        <w:t xml:space="preserve"> 50% </w:t>
      </w:r>
      <w:r w:rsidR="00C77A10" w:rsidRPr="00804A4E">
        <w:rPr>
          <w:rFonts w:ascii="Franklin Gothic Book" w:hAnsi="Franklin Gothic Book" w:cs="Times New Roman"/>
          <w:sz w:val="18"/>
          <w:szCs w:val="18"/>
        </w:rPr>
        <w:t xml:space="preserve">increase </w:t>
      </w:r>
      <w:r w:rsidRPr="00804A4E">
        <w:rPr>
          <w:rFonts w:ascii="Franklin Gothic Book" w:hAnsi="Franklin Gothic Book" w:cs="Times New Roman"/>
          <w:sz w:val="18"/>
          <w:szCs w:val="18"/>
        </w:rPr>
        <w:t xml:space="preserve">in MGB’s market share for specialist physician services in the service areas of the proposed ambulatory sites would result in the diversion of approximately 200 to 400 additional </w:t>
      </w:r>
      <w:r w:rsidR="00C77A10" w:rsidRPr="00804A4E">
        <w:rPr>
          <w:rFonts w:ascii="Franklin Gothic Book" w:hAnsi="Franklin Gothic Book" w:cs="Times New Roman"/>
          <w:sz w:val="18"/>
          <w:szCs w:val="18"/>
        </w:rPr>
        <w:t xml:space="preserve">commercial </w:t>
      </w:r>
      <w:r w:rsidRPr="00804A4E">
        <w:rPr>
          <w:rFonts w:ascii="Franklin Gothic Book" w:hAnsi="Franklin Gothic Book" w:cs="Times New Roman"/>
          <w:sz w:val="18"/>
          <w:szCs w:val="18"/>
        </w:rPr>
        <w:t xml:space="preserve">discharges </w:t>
      </w:r>
      <w:r w:rsidR="00BC6F21">
        <w:rPr>
          <w:rFonts w:ascii="Franklin Gothic Book" w:hAnsi="Franklin Gothic Book" w:cs="Times New Roman"/>
          <w:sz w:val="18"/>
          <w:szCs w:val="18"/>
        </w:rPr>
        <w:t>to</w:t>
      </w:r>
      <w:r w:rsidR="00BC6F21"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MGB hospitals per year, increasing annual commercial spending by approximately $1.</w:t>
      </w:r>
      <w:r w:rsidR="00EA780B" w:rsidRPr="00804A4E">
        <w:rPr>
          <w:rFonts w:ascii="Franklin Gothic Book" w:hAnsi="Franklin Gothic Book" w:cs="Times New Roman"/>
          <w:sz w:val="18"/>
          <w:szCs w:val="18"/>
        </w:rPr>
        <w:t>3</w:t>
      </w:r>
      <w:r w:rsidRPr="00804A4E">
        <w:rPr>
          <w:rFonts w:ascii="Franklin Gothic Book" w:hAnsi="Franklin Gothic Book" w:cs="Times New Roman"/>
          <w:sz w:val="18"/>
          <w:szCs w:val="18"/>
        </w:rPr>
        <w:t xml:space="preserve"> million to $2.</w:t>
      </w:r>
      <w:r w:rsidR="00EA780B" w:rsidRPr="00804A4E">
        <w:rPr>
          <w:rFonts w:ascii="Franklin Gothic Book" w:hAnsi="Franklin Gothic Book" w:cs="Times New Roman"/>
          <w:sz w:val="18"/>
          <w:szCs w:val="18"/>
        </w:rPr>
        <w:t>6</w:t>
      </w:r>
      <w:r w:rsidRPr="00804A4E">
        <w:rPr>
          <w:rFonts w:ascii="Franklin Gothic Book" w:hAnsi="Franklin Gothic Book" w:cs="Times New Roman"/>
          <w:sz w:val="18"/>
          <w:szCs w:val="18"/>
        </w:rPr>
        <w:t xml:space="preserve"> million</w:t>
      </w:r>
      <w:r w:rsidR="00945453" w:rsidRPr="00804A4E">
        <w:rPr>
          <w:rFonts w:ascii="Franklin Gothic Book" w:hAnsi="Franklin Gothic Book" w:cs="Times New Roman"/>
          <w:sz w:val="18"/>
          <w:szCs w:val="18"/>
        </w:rPr>
        <w:t xml:space="preserve"> based on hospital and professional price differentials as described </w:t>
      </w:r>
      <w:r w:rsidR="00BC6F21">
        <w:rPr>
          <w:rFonts w:ascii="Franklin Gothic Book" w:hAnsi="Franklin Gothic Book" w:cs="Times New Roman"/>
          <w:sz w:val="18"/>
          <w:szCs w:val="18"/>
        </w:rPr>
        <w:t xml:space="preserve">in </w:t>
      </w:r>
      <w:hyperlink w:anchor="Appendix_IA" w:history="1">
        <w:r w:rsidR="00BC6F21" w:rsidRPr="00337C76">
          <w:rPr>
            <w:rStyle w:val="Hyperlink"/>
            <w:rFonts w:ascii="Franklin Gothic Book" w:hAnsi="Franklin Gothic Book" w:cs="Times New Roman"/>
            <w:sz w:val="18"/>
            <w:szCs w:val="18"/>
          </w:rPr>
          <w:t>Appendix I.A</w:t>
        </w:r>
      </w:hyperlink>
      <w:r w:rsidRPr="00804A4E">
        <w:rPr>
          <w:rFonts w:ascii="Franklin Gothic Book" w:hAnsi="Franklin Gothic Book" w:cs="Times New Roman"/>
          <w:sz w:val="18"/>
          <w:szCs w:val="18"/>
        </w:rPr>
        <w:t>. The Ambulatory ICA tables (</w:t>
      </w:r>
      <w:r w:rsidR="00BC6F21">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ICC9</w:t>
      </w:r>
      <w:r w:rsidR="00BC6F21">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 xml:space="preserve">ICC17) show predicted increases in MGB’s share of visits in the ambulatory service areas of greater than 25% across most service lines, supporting the range of modeled share increases. </w:t>
      </w:r>
      <w:r w:rsidR="00C77A10" w:rsidRPr="00804A4E">
        <w:rPr>
          <w:rFonts w:ascii="Franklin Gothic Book" w:hAnsi="Franklin Gothic Book" w:cs="Times New Roman"/>
          <w:sz w:val="18"/>
          <w:szCs w:val="18"/>
        </w:rPr>
        <w:t>However, this model</w:t>
      </w:r>
      <w:r w:rsidR="004D3198"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likely do</w:t>
      </w:r>
      <w:r w:rsidR="004D3198" w:rsidRPr="00804A4E">
        <w:rPr>
          <w:rFonts w:ascii="Franklin Gothic Book" w:hAnsi="Franklin Gothic Book" w:cs="Times New Roman"/>
          <w:sz w:val="18"/>
          <w:szCs w:val="18"/>
        </w:rPr>
        <w:t>es</w:t>
      </w:r>
      <w:r w:rsidRPr="00804A4E">
        <w:rPr>
          <w:rFonts w:ascii="Franklin Gothic Book" w:hAnsi="Franklin Gothic Book" w:cs="Times New Roman"/>
          <w:sz w:val="18"/>
          <w:szCs w:val="18"/>
        </w:rPr>
        <w:t xml:space="preserve"> not capture the full effect that ambulatory expansions may have on hospital volume and spending. </w:t>
      </w:r>
      <w:r w:rsidR="004D3198" w:rsidRPr="00804A4E">
        <w:rPr>
          <w:rFonts w:ascii="Franklin Gothic Book" w:hAnsi="Franklin Gothic Book" w:cs="Times New Roman"/>
          <w:sz w:val="18"/>
          <w:szCs w:val="18"/>
        </w:rPr>
        <w:t>First</w:t>
      </w:r>
      <w:r w:rsidRPr="00804A4E">
        <w:rPr>
          <w:rFonts w:ascii="Franklin Gothic Book" w:hAnsi="Franklin Gothic Book" w:cs="Times New Roman"/>
          <w:sz w:val="18"/>
          <w:szCs w:val="18"/>
        </w:rPr>
        <w:t xml:space="preserve">, our approach models only the effect of interactions between patients and physicians, rather than the broader potential impact of </w:t>
      </w:r>
      <w:r w:rsidR="00CD47F6" w:rsidRPr="00804A4E">
        <w:rPr>
          <w:rFonts w:ascii="Franklin Gothic Book" w:hAnsi="Franklin Gothic Book" w:cs="Times New Roman"/>
          <w:sz w:val="18"/>
          <w:szCs w:val="18"/>
        </w:rPr>
        <w:t xml:space="preserve">MGB activities, such as </w:t>
      </w:r>
      <w:r w:rsidRPr="00804A4E">
        <w:rPr>
          <w:rFonts w:ascii="Franklin Gothic Book" w:hAnsi="Franklin Gothic Book" w:cs="Times New Roman"/>
          <w:sz w:val="18"/>
          <w:szCs w:val="18"/>
        </w:rPr>
        <w:t xml:space="preserve">advertising, </w:t>
      </w:r>
      <w:r w:rsidR="00CD47F6" w:rsidRPr="00804A4E">
        <w:rPr>
          <w:rFonts w:ascii="Franklin Gothic Book" w:hAnsi="Franklin Gothic Book" w:cs="Times New Roman"/>
          <w:sz w:val="18"/>
          <w:szCs w:val="18"/>
        </w:rPr>
        <w:t xml:space="preserve">that may accompany </w:t>
      </w:r>
      <w:r w:rsidRPr="00804A4E">
        <w:rPr>
          <w:rFonts w:ascii="Franklin Gothic Book" w:hAnsi="Franklin Gothic Book" w:cs="Times New Roman"/>
          <w:sz w:val="18"/>
          <w:szCs w:val="18"/>
        </w:rPr>
        <w:t xml:space="preserve">the ambulatory centers. </w:t>
      </w:r>
      <w:r w:rsidR="004D3198" w:rsidRPr="00804A4E">
        <w:rPr>
          <w:rFonts w:ascii="Franklin Gothic Book" w:hAnsi="Franklin Gothic Book" w:cs="Times New Roman"/>
          <w:sz w:val="18"/>
          <w:szCs w:val="18"/>
        </w:rPr>
        <w:t>Second</w:t>
      </w:r>
      <w:r w:rsidRPr="00804A4E">
        <w:rPr>
          <w:rFonts w:ascii="Franklin Gothic Book" w:hAnsi="Franklin Gothic Book" w:cs="Times New Roman"/>
          <w:sz w:val="18"/>
          <w:szCs w:val="18"/>
        </w:rPr>
        <w:t xml:space="preserve">, we only measure the effect </w:t>
      </w:r>
      <w:r w:rsidR="00FC476E" w:rsidRPr="00804A4E">
        <w:rPr>
          <w:rFonts w:ascii="Franklin Gothic Book" w:hAnsi="Franklin Gothic Book" w:cs="Times New Roman"/>
          <w:sz w:val="18"/>
          <w:szCs w:val="18"/>
        </w:rPr>
        <w:t xml:space="preserve">of hospital system physician share </w:t>
      </w:r>
      <w:r w:rsidRPr="00804A4E">
        <w:rPr>
          <w:rFonts w:ascii="Franklin Gothic Book" w:hAnsi="Franklin Gothic Book" w:cs="Times New Roman"/>
          <w:sz w:val="18"/>
          <w:szCs w:val="18"/>
        </w:rPr>
        <w:t xml:space="preserve">for patients residing more than 15 minutes away from a chosen system hospital because at lesser distances we cannot cleanly distinguish the effect </w:t>
      </w:r>
      <w:r w:rsidR="00FC476E" w:rsidRPr="00804A4E">
        <w:rPr>
          <w:rFonts w:ascii="Franklin Gothic Book" w:hAnsi="Franklin Gothic Book" w:cs="Times New Roman"/>
          <w:sz w:val="18"/>
          <w:szCs w:val="18"/>
        </w:rPr>
        <w:t xml:space="preserve">of physician share </w:t>
      </w:r>
      <w:r w:rsidRPr="00804A4E">
        <w:rPr>
          <w:rFonts w:ascii="Franklin Gothic Book" w:hAnsi="Franklin Gothic Book" w:cs="Times New Roman"/>
          <w:sz w:val="18"/>
          <w:szCs w:val="18"/>
        </w:rPr>
        <w:t xml:space="preserve">from mere proximity to that hospital. </w:t>
      </w:r>
      <w:r w:rsidR="004D3198" w:rsidRPr="00804A4E">
        <w:rPr>
          <w:rFonts w:ascii="Franklin Gothic Book" w:hAnsi="Franklin Gothic Book" w:cs="Times New Roman"/>
          <w:sz w:val="18"/>
          <w:szCs w:val="18"/>
        </w:rPr>
        <w:t>Finally</w:t>
      </w:r>
      <w:r w:rsidRPr="00804A4E">
        <w:rPr>
          <w:rFonts w:ascii="Franklin Gothic Book" w:hAnsi="Franklin Gothic Book" w:cs="Times New Roman"/>
          <w:sz w:val="18"/>
          <w:szCs w:val="18"/>
        </w:rPr>
        <w:t>, we were not able to model similar potential impacts of the expansions on outpatient hospital volume.</w:t>
      </w:r>
      <w:bookmarkEnd w:id="53"/>
    </w:p>
  </w:footnote>
  <w:footnote w:id="64">
    <w:p w14:paraId="2BA36567" w14:textId="1B8025FF"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007141AC" w:rsidRPr="00804A4E">
        <w:rPr>
          <w:rFonts w:ascii="Franklin Gothic Book" w:hAnsi="Franklin Gothic Book" w:cs="Times New Roman"/>
          <w:sz w:val="18"/>
          <w:szCs w:val="18"/>
        </w:rPr>
        <w:t xml:space="preserve"> </w:t>
      </w:r>
      <w:r w:rsidR="006D010C" w:rsidRPr="00804A4E">
        <w:rPr>
          <w:rFonts w:ascii="Franklin Gothic Book" w:hAnsi="Franklin Gothic Book" w:cs="Times New Roman"/>
          <w:sz w:val="18"/>
          <w:szCs w:val="18"/>
        </w:rPr>
        <w:t xml:space="preserve">MGH Internal Document Disclosures, </w:t>
      </w:r>
      <w:r w:rsidR="002617EC" w:rsidRPr="00804A4E">
        <w:rPr>
          <w:rFonts w:ascii="Franklin Gothic Book" w:hAnsi="Franklin Gothic Book" w:cs="Times New Roman"/>
          <w:i/>
          <w:iCs/>
          <w:sz w:val="18"/>
          <w:szCs w:val="18"/>
        </w:rPr>
        <w:t>supra</w:t>
      </w:r>
      <w:r w:rsidR="00946527" w:rsidRPr="00804A4E">
        <w:rPr>
          <w:rFonts w:ascii="Franklin Gothic Book" w:hAnsi="Franklin Gothic Book" w:cs="Times New Roman"/>
          <w:i/>
          <w:iCs/>
          <w:sz w:val="18"/>
          <w:szCs w:val="18"/>
        </w:rPr>
        <w:t xml:space="preserve"> </w:t>
      </w:r>
      <w:r w:rsidR="00946527" w:rsidRPr="00804A4E">
        <w:rPr>
          <w:rFonts w:ascii="Franklin Gothic Book" w:hAnsi="Franklin Gothic Book" w:cs="Times New Roman"/>
          <w:sz w:val="18"/>
          <w:szCs w:val="18"/>
        </w:rPr>
        <w:t>note</w:t>
      </w:r>
      <w:r w:rsidR="00FA2FDB" w:rsidRPr="00804A4E">
        <w:rPr>
          <w:rFonts w:ascii="Franklin Gothic Book" w:hAnsi="Franklin Gothic Book" w:cs="Times New Roman"/>
          <w:sz w:val="18"/>
          <w:szCs w:val="18"/>
        </w:rPr>
        <w:t xml:space="preserve"> </w:t>
      </w:r>
      <w:r w:rsidR="00000AD3" w:rsidRPr="00804A4E">
        <w:rPr>
          <w:rFonts w:ascii="Franklin Gothic Book" w:hAnsi="Franklin Gothic Book" w:cs="Times New Roman"/>
          <w:sz w:val="18"/>
          <w:szCs w:val="18"/>
        </w:rPr>
        <w:fldChar w:fldCharType="begin"/>
      </w:r>
      <w:r w:rsidR="00000AD3" w:rsidRPr="00804A4E">
        <w:rPr>
          <w:rFonts w:ascii="Franklin Gothic Book" w:hAnsi="Franklin Gothic Book" w:cs="Times New Roman"/>
          <w:sz w:val="18"/>
          <w:szCs w:val="18"/>
        </w:rPr>
        <w:instrText xml:space="preserve"> NOTEREF _Ref93071831 \h </w:instrText>
      </w:r>
      <w:r w:rsidR="00804A4E" w:rsidRPr="00804A4E">
        <w:rPr>
          <w:rFonts w:ascii="Franklin Gothic Book" w:hAnsi="Franklin Gothic Book" w:cs="Times New Roman"/>
          <w:sz w:val="18"/>
          <w:szCs w:val="18"/>
        </w:rPr>
        <w:instrText xml:space="preserve"> \* MERGEFORMAT </w:instrText>
      </w:r>
      <w:r w:rsidR="00000AD3" w:rsidRPr="00804A4E">
        <w:rPr>
          <w:rFonts w:ascii="Franklin Gothic Book" w:hAnsi="Franklin Gothic Book" w:cs="Times New Roman"/>
          <w:sz w:val="18"/>
          <w:szCs w:val="18"/>
        </w:rPr>
      </w:r>
      <w:r w:rsidR="00000A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000AD3" w:rsidRPr="00804A4E">
        <w:rPr>
          <w:rFonts w:ascii="Franklin Gothic Book" w:hAnsi="Franklin Gothic Book" w:cs="Times New Roman"/>
          <w:sz w:val="18"/>
          <w:szCs w:val="18"/>
        </w:rPr>
        <w:fldChar w:fldCharType="end"/>
      </w:r>
      <w:r w:rsidR="002617EC"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MGB’s public submissions do not provide specific definitions of secondary and tertiary care</w:t>
      </w:r>
      <w:r w:rsidR="009A77F3" w:rsidRPr="00804A4E">
        <w:rPr>
          <w:rFonts w:ascii="Franklin Gothic Book" w:hAnsi="Franklin Gothic Book" w:cs="Times New Roman"/>
          <w:sz w:val="18"/>
          <w:szCs w:val="18"/>
        </w:rPr>
        <w:t xml:space="preserve">. </w:t>
      </w:r>
      <w:r w:rsidR="00606C2E" w:rsidRPr="00804A4E">
        <w:rPr>
          <w:rFonts w:ascii="Franklin Gothic Book" w:hAnsi="Franklin Gothic Book" w:cs="Times New Roman"/>
          <w:sz w:val="18"/>
          <w:szCs w:val="18"/>
        </w:rPr>
        <w:t>MGB</w:t>
      </w:r>
      <w:r w:rsidR="009A77F3" w:rsidRPr="00804A4E">
        <w:rPr>
          <w:rFonts w:ascii="Franklin Gothic Book" w:hAnsi="Franklin Gothic Book" w:cs="Times New Roman"/>
          <w:sz w:val="18"/>
          <w:szCs w:val="18"/>
        </w:rPr>
        <w:t>’s</w:t>
      </w:r>
      <w:r w:rsidR="00430795" w:rsidRPr="00804A4E">
        <w:rPr>
          <w:rFonts w:ascii="Franklin Gothic Book" w:hAnsi="Franklin Gothic Book" w:cs="Times New Roman"/>
          <w:sz w:val="18"/>
          <w:szCs w:val="18"/>
        </w:rPr>
        <w:t xml:space="preserve"> focus in investor presentations on the potential of its multi-year ambulatory expansion to build commercial hospital referral volume, coupled with the use of the term “market share”</w:t>
      </w:r>
      <w:r w:rsidR="009A77F3" w:rsidRPr="00804A4E">
        <w:rPr>
          <w:rFonts w:ascii="Franklin Gothic Book" w:hAnsi="Franklin Gothic Book" w:cs="Times New Roman"/>
          <w:sz w:val="18"/>
          <w:szCs w:val="18"/>
        </w:rPr>
        <w:t xml:space="preserve"> in the Internal Document Disclosure</w:t>
      </w:r>
      <w:r w:rsidR="00430795" w:rsidRPr="00804A4E">
        <w:rPr>
          <w:rFonts w:ascii="Franklin Gothic Book" w:hAnsi="Franklin Gothic Book" w:cs="Times New Roman"/>
          <w:sz w:val="18"/>
          <w:szCs w:val="18"/>
        </w:rPr>
        <w:t>, lead the HPC to believe that the projections relate primarily, if not exclusively</w:t>
      </w:r>
      <w:r w:rsidR="009A77F3" w:rsidRPr="00804A4E">
        <w:rPr>
          <w:rFonts w:ascii="Franklin Gothic Book" w:hAnsi="Franklin Gothic Book" w:cs="Times New Roman"/>
          <w:sz w:val="18"/>
          <w:szCs w:val="18"/>
        </w:rPr>
        <w:t>,</w:t>
      </w:r>
      <w:r w:rsidR="00430795" w:rsidRPr="00804A4E">
        <w:rPr>
          <w:rFonts w:ascii="Franklin Gothic Book" w:hAnsi="Franklin Gothic Book" w:cs="Times New Roman"/>
          <w:sz w:val="18"/>
          <w:szCs w:val="18"/>
        </w:rPr>
        <w:t xml:space="preserve"> to commercial care.</w:t>
      </w:r>
    </w:p>
  </w:footnote>
  <w:footnote w:id="65">
    <w:p w14:paraId="3675EC79" w14:textId="2F968FFA"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calculated the number of discharges needed to increase MGB’s commercial market share by 1% and 4% based on analysis of current shares in the CHIA 2019 Hospital Inpatient Discharge Database.</w:t>
      </w:r>
      <w:r w:rsidR="009A77F3" w:rsidRPr="00804A4E">
        <w:rPr>
          <w:rFonts w:ascii="Franklin Gothic Book" w:hAnsi="Franklin Gothic Book" w:cs="Times New Roman"/>
          <w:sz w:val="18"/>
          <w:szCs w:val="18"/>
        </w:rPr>
        <w:t xml:space="preserve"> </w:t>
      </w:r>
      <w:r w:rsidR="00384F0E" w:rsidRPr="00804A4E">
        <w:rPr>
          <w:rFonts w:ascii="Franklin Gothic Book" w:hAnsi="Franklin Gothic Book" w:cs="Times New Roman"/>
          <w:sz w:val="18"/>
          <w:szCs w:val="18"/>
        </w:rPr>
        <w:t xml:space="preserve">This increase in commercial discharges may not represent net new volume </w:t>
      </w:r>
      <w:r w:rsidR="00EB7E78" w:rsidRPr="00804A4E">
        <w:rPr>
          <w:rFonts w:ascii="Franklin Gothic Book" w:hAnsi="Franklin Gothic Book" w:cs="Times New Roman"/>
          <w:sz w:val="18"/>
          <w:szCs w:val="18"/>
        </w:rPr>
        <w:t xml:space="preserve">of discharges, but rather a shift toward a higher mix of commercial patients at MGB hospitals as MGB draws patients from communities with higher rates of commercially insured patients. To the extent </w:t>
      </w:r>
      <w:r w:rsidR="00A72B08" w:rsidRPr="00804A4E">
        <w:rPr>
          <w:rFonts w:ascii="Franklin Gothic Book" w:hAnsi="Franklin Gothic Book" w:cs="Times New Roman"/>
          <w:sz w:val="18"/>
          <w:szCs w:val="18"/>
        </w:rPr>
        <w:t xml:space="preserve">the change in market share would be driven by new discharges, </w:t>
      </w:r>
      <w:r w:rsidR="00C60A76" w:rsidRPr="00804A4E">
        <w:rPr>
          <w:rFonts w:ascii="Franklin Gothic Book" w:hAnsi="Franklin Gothic Book" w:cs="Times New Roman"/>
          <w:sz w:val="18"/>
          <w:szCs w:val="18"/>
        </w:rPr>
        <w:t xml:space="preserve">they would increase </w:t>
      </w:r>
      <w:r w:rsidR="00384F0E" w:rsidRPr="00804A4E">
        <w:rPr>
          <w:rFonts w:ascii="Franklin Gothic Book" w:hAnsi="Franklin Gothic Book" w:cs="Times New Roman"/>
          <w:sz w:val="18"/>
          <w:szCs w:val="18"/>
        </w:rPr>
        <w:t xml:space="preserve">the occupancy rate of MGB hospitals system-wide </w:t>
      </w:r>
      <w:r w:rsidR="00C60A76" w:rsidRPr="00804A4E">
        <w:rPr>
          <w:rFonts w:ascii="Franklin Gothic Book" w:hAnsi="Franklin Gothic Book" w:cs="Times New Roman"/>
          <w:sz w:val="18"/>
          <w:szCs w:val="18"/>
        </w:rPr>
        <w:t xml:space="preserve">from </w:t>
      </w:r>
      <w:r w:rsidR="00384F0E" w:rsidRPr="00804A4E">
        <w:rPr>
          <w:rFonts w:ascii="Franklin Gothic Book" w:hAnsi="Franklin Gothic Book" w:cs="Times New Roman"/>
          <w:sz w:val="18"/>
          <w:szCs w:val="18"/>
        </w:rPr>
        <w:t>64.8%</w:t>
      </w:r>
      <w:r w:rsidR="00C60A76" w:rsidRPr="00804A4E">
        <w:rPr>
          <w:rFonts w:ascii="Franklin Gothic Book" w:hAnsi="Franklin Gothic Book" w:cs="Times New Roman"/>
          <w:sz w:val="18"/>
          <w:szCs w:val="18"/>
        </w:rPr>
        <w:t xml:space="preserve"> to between 75.8% to 77.1%, and capacity constraints at MGB’s AMCs could result in more of the new care being provided in MGB’s community hospitals where occupancy rates are lower. HPC analysis of CHIA 2019 hospital discharge data and 2019 Hospital Profiles. </w:t>
      </w:r>
      <w:r w:rsidR="00C60A76" w:rsidRPr="00804A4E">
        <w:rPr>
          <w:rFonts w:ascii="Franklin Gothic Book" w:hAnsi="Franklin Gothic Book" w:cs="Times New Roman"/>
          <w:smallCaps/>
          <w:sz w:val="18"/>
          <w:szCs w:val="18"/>
        </w:rPr>
        <w:t>C</w:t>
      </w:r>
      <w:bookmarkStart w:id="55" w:name="_Hlk93737703"/>
      <w:r w:rsidR="00C60A76" w:rsidRPr="00804A4E">
        <w:rPr>
          <w:rFonts w:ascii="Franklin Gothic Book" w:hAnsi="Franklin Gothic Book" w:cs="Times New Roman"/>
          <w:smallCaps/>
          <w:sz w:val="18"/>
          <w:szCs w:val="18"/>
        </w:rPr>
        <w:t>tr. For Health Info. &amp; Analysis</w:t>
      </w:r>
      <w:r w:rsidR="00C60A76" w:rsidRPr="00804A4E">
        <w:rPr>
          <w:rFonts w:ascii="Franklin Gothic Book" w:hAnsi="Franklin Gothic Book" w:cs="Times New Roman"/>
          <w:sz w:val="18"/>
          <w:szCs w:val="18"/>
        </w:rPr>
        <w:t xml:space="preserve">, </w:t>
      </w:r>
      <w:r w:rsidR="00C60A76" w:rsidRPr="00804A4E">
        <w:rPr>
          <w:rFonts w:ascii="Franklin Gothic Book" w:hAnsi="Franklin Gothic Book" w:cs="Times New Roman"/>
          <w:smallCaps/>
          <w:sz w:val="18"/>
          <w:szCs w:val="18"/>
        </w:rPr>
        <w:t>Massachusetts Hospital Profiles Databook</w:t>
      </w:r>
      <w:bookmarkEnd w:id="55"/>
      <w:r w:rsidR="00C60A76" w:rsidRPr="00804A4E">
        <w:rPr>
          <w:rFonts w:ascii="Franklin Gothic Book" w:hAnsi="Franklin Gothic Book" w:cs="Times New Roman"/>
          <w:sz w:val="18"/>
          <w:szCs w:val="18"/>
        </w:rPr>
        <w:t xml:space="preserve"> (Mar. 2021) [hereinafter </w:t>
      </w:r>
      <w:r w:rsidR="00C60A76" w:rsidRPr="00804A4E">
        <w:rPr>
          <w:rFonts w:ascii="Franklin Gothic Book" w:hAnsi="Franklin Gothic Book" w:cs="Times New Roman"/>
          <w:smallCaps/>
          <w:sz w:val="18"/>
          <w:szCs w:val="18"/>
        </w:rPr>
        <w:t>CHIA Hospital Profiles Databook</w:t>
      </w:r>
      <w:r w:rsidR="00C60A76" w:rsidRPr="00804A4E">
        <w:rPr>
          <w:rFonts w:ascii="Franklin Gothic Book" w:hAnsi="Franklin Gothic Book" w:cs="Times New Roman"/>
          <w:sz w:val="18"/>
          <w:szCs w:val="18"/>
        </w:rPr>
        <w:t xml:space="preserve">], </w:t>
      </w:r>
      <w:r w:rsidR="00D37FB7">
        <w:rPr>
          <w:rFonts w:ascii="Franklin Gothic Book" w:hAnsi="Franklin Gothic Book" w:cs="Times New Roman"/>
          <w:i/>
          <w:iCs/>
          <w:sz w:val="18"/>
          <w:szCs w:val="18"/>
        </w:rPr>
        <w:t>available</w:t>
      </w:r>
      <w:r w:rsidR="00C60A76" w:rsidRPr="00804A4E">
        <w:rPr>
          <w:rFonts w:ascii="Franklin Gothic Book" w:hAnsi="Franklin Gothic Book" w:cs="Times New Roman"/>
          <w:sz w:val="18"/>
          <w:szCs w:val="18"/>
        </w:rPr>
        <w:t xml:space="preserve"> </w:t>
      </w:r>
      <w:hyperlink r:id="rId33" w:history="1">
        <w:r w:rsidR="00D37FB7">
          <w:rPr>
            <w:rStyle w:val="Hyperlink"/>
            <w:rFonts w:ascii="Franklin Gothic Book" w:hAnsi="Franklin Gothic Book" w:cs="Times New Roman"/>
            <w:sz w:val="18"/>
            <w:szCs w:val="18"/>
          </w:rPr>
          <w:t>at https://www.chiamass.gov/hospital-profiles/</w:t>
        </w:r>
      </w:hyperlink>
      <w:r w:rsidR="00C60A76" w:rsidRPr="00804A4E">
        <w:rPr>
          <w:rFonts w:ascii="Franklin Gothic Book" w:hAnsi="Franklin Gothic Book" w:cs="Times New Roman"/>
          <w:sz w:val="18"/>
          <w:szCs w:val="18"/>
        </w:rPr>
        <w:t>.</w:t>
      </w:r>
    </w:p>
  </w:footnote>
  <w:footnote w:id="66">
    <w:p w14:paraId="4F10E199" w14:textId="41EBE15B" w:rsidR="0055211D" w:rsidRPr="00804A4E" w:rsidRDefault="0055211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This shift would result in increased annual commercial revenue for MGB ($</w:t>
      </w:r>
      <w:r w:rsidR="00DA0FF1" w:rsidRPr="00804A4E">
        <w:rPr>
          <w:rFonts w:ascii="Franklin Gothic Book" w:hAnsi="Franklin Gothic Book" w:cs="Times New Roman"/>
          <w:sz w:val="18"/>
          <w:szCs w:val="18"/>
        </w:rPr>
        <w:t>19.1</w:t>
      </w:r>
      <w:r w:rsidRPr="00804A4E">
        <w:rPr>
          <w:rFonts w:ascii="Franklin Gothic Book" w:hAnsi="Franklin Gothic Book" w:cs="Times New Roman"/>
          <w:sz w:val="18"/>
          <w:szCs w:val="18"/>
        </w:rPr>
        <w:t xml:space="preserve"> million to $</w:t>
      </w:r>
      <w:r w:rsidR="00DA0FF1" w:rsidRPr="00804A4E">
        <w:rPr>
          <w:rFonts w:ascii="Franklin Gothic Book" w:hAnsi="Franklin Gothic Book" w:cs="Times New Roman"/>
          <w:sz w:val="18"/>
          <w:szCs w:val="18"/>
        </w:rPr>
        <w:t>76.5</w:t>
      </w:r>
      <w:r w:rsidRPr="00804A4E">
        <w:rPr>
          <w:rFonts w:ascii="Franklin Gothic Book" w:hAnsi="Franklin Gothic Book" w:cs="Times New Roman"/>
          <w:sz w:val="18"/>
          <w:szCs w:val="18"/>
        </w:rPr>
        <w:t xml:space="preserve"> million for </w:t>
      </w:r>
      <w:r w:rsidR="00D6026A" w:rsidRPr="00804A4E">
        <w:rPr>
          <w:rFonts w:ascii="Franklin Gothic Book" w:hAnsi="Franklin Gothic Book" w:cs="Times New Roman"/>
          <w:sz w:val="18"/>
          <w:szCs w:val="18"/>
        </w:rPr>
        <w:t>half of the expected market share growth from the larger multiyear ambulatory expansion</w:t>
      </w:r>
      <w:r w:rsidRPr="00804A4E">
        <w:rPr>
          <w:rFonts w:ascii="Franklin Gothic Book" w:hAnsi="Franklin Gothic Book" w:cs="Times New Roman"/>
          <w:sz w:val="18"/>
          <w:szCs w:val="18"/>
        </w:rPr>
        <w:t>) and decreased revenue for other hospitals (-$</w:t>
      </w:r>
      <w:r w:rsidR="00DA0FF1" w:rsidRPr="00804A4E">
        <w:rPr>
          <w:rFonts w:ascii="Franklin Gothic Book" w:hAnsi="Franklin Gothic Book" w:cs="Times New Roman"/>
          <w:sz w:val="18"/>
          <w:szCs w:val="18"/>
        </w:rPr>
        <w:t>14.6</w:t>
      </w:r>
      <w:r w:rsidRPr="00804A4E">
        <w:rPr>
          <w:rFonts w:ascii="Franklin Gothic Book" w:hAnsi="Franklin Gothic Book" w:cs="Times New Roman"/>
          <w:sz w:val="18"/>
          <w:szCs w:val="18"/>
        </w:rPr>
        <w:t xml:space="preserve"> million to -$</w:t>
      </w:r>
      <w:r w:rsidR="00DA0FF1" w:rsidRPr="00804A4E">
        <w:rPr>
          <w:rFonts w:ascii="Franklin Gothic Book" w:hAnsi="Franklin Gothic Book" w:cs="Times New Roman"/>
          <w:sz w:val="18"/>
          <w:szCs w:val="18"/>
        </w:rPr>
        <w:t>58.6</w:t>
      </w:r>
      <w:r w:rsidRPr="00804A4E">
        <w:rPr>
          <w:rFonts w:ascii="Franklin Gothic Book" w:hAnsi="Franklin Gothic Book" w:cs="Times New Roman"/>
          <w:sz w:val="18"/>
          <w:szCs w:val="18"/>
        </w:rPr>
        <w:t xml:space="preserve"> million).</w:t>
      </w:r>
      <w:r w:rsidR="0009007C" w:rsidRPr="00804A4E">
        <w:rPr>
          <w:rFonts w:ascii="Franklin Gothic Book" w:hAnsi="Franklin Gothic Book" w:cs="Times New Roman"/>
          <w:sz w:val="18"/>
          <w:szCs w:val="18"/>
        </w:rPr>
        <w:t xml:space="preserve"> If MGB achieved only a quarter of its projected market share increase</w:t>
      </w:r>
      <w:r w:rsidR="008C0E2A" w:rsidRPr="00804A4E">
        <w:rPr>
          <w:rFonts w:ascii="Franklin Gothic Book" w:hAnsi="Franklin Gothic Book" w:cs="Times New Roman"/>
          <w:sz w:val="18"/>
          <w:szCs w:val="18"/>
        </w:rPr>
        <w:t xml:space="preserve"> rather than half,</w:t>
      </w:r>
      <w:r w:rsidR="0009007C" w:rsidRPr="00804A4E">
        <w:rPr>
          <w:rFonts w:ascii="Franklin Gothic Book" w:hAnsi="Franklin Gothic Book" w:cs="Times New Roman"/>
          <w:sz w:val="18"/>
          <w:szCs w:val="18"/>
        </w:rPr>
        <w:t xml:space="preserve"> this would translate into an annual commercial spending increase of $2.2 million to $8.9 million, with MGB gaining $9.6 million to $38.2 million in annual commercial revenue and other providers losing $7.3 million to $29.3 million.</w:t>
      </w:r>
      <w:r w:rsidR="00D6026A" w:rsidRPr="00804A4E">
        <w:rPr>
          <w:rFonts w:ascii="Franklin Gothic Book" w:hAnsi="Franklin Gothic Book" w:cs="Times New Roman"/>
          <w:sz w:val="18"/>
          <w:szCs w:val="18"/>
        </w:rPr>
        <w:t xml:space="preserve"> Note that these ranges are large </w:t>
      </w:r>
      <w:r w:rsidR="00B27F4E" w:rsidRPr="00804A4E">
        <w:rPr>
          <w:rFonts w:ascii="Franklin Gothic Book" w:hAnsi="Franklin Gothic Book" w:cs="Times New Roman"/>
          <w:sz w:val="18"/>
          <w:szCs w:val="18"/>
        </w:rPr>
        <w:t xml:space="preserve">due to </w:t>
      </w:r>
      <w:r w:rsidR="00D6026A" w:rsidRPr="00804A4E">
        <w:rPr>
          <w:rFonts w:ascii="Franklin Gothic Book" w:hAnsi="Franklin Gothic Book" w:cs="Times New Roman"/>
          <w:sz w:val="18"/>
          <w:szCs w:val="18"/>
        </w:rPr>
        <w:t xml:space="preserve">uncertainty </w:t>
      </w:r>
      <w:r w:rsidR="00B27F4E" w:rsidRPr="00804A4E">
        <w:rPr>
          <w:rFonts w:ascii="Franklin Gothic Book" w:hAnsi="Franklin Gothic Book" w:cs="Times New Roman"/>
          <w:sz w:val="18"/>
          <w:szCs w:val="18"/>
        </w:rPr>
        <w:t>about the scope of MGB’s multiyear plan and estimates</w:t>
      </w:r>
      <w:r w:rsidR="00D6026A" w:rsidRPr="00804A4E">
        <w:rPr>
          <w:rFonts w:ascii="Franklin Gothic Book" w:hAnsi="Franklin Gothic Book" w:cs="Times New Roman"/>
          <w:sz w:val="18"/>
          <w:szCs w:val="18"/>
        </w:rPr>
        <w:t xml:space="preserve">, as </w:t>
      </w:r>
      <w:r w:rsidR="00497791" w:rsidRPr="00804A4E">
        <w:rPr>
          <w:rFonts w:ascii="Franklin Gothic Book" w:hAnsi="Franklin Gothic Book" w:cs="Times New Roman"/>
          <w:sz w:val="18"/>
          <w:szCs w:val="18"/>
        </w:rPr>
        <w:t xml:space="preserve">HPC did not have access to the </w:t>
      </w:r>
      <w:r w:rsidR="00D6026A" w:rsidRPr="00804A4E">
        <w:rPr>
          <w:rFonts w:ascii="Franklin Gothic Book" w:hAnsi="Franklin Gothic Book" w:cs="Times New Roman"/>
          <w:sz w:val="18"/>
          <w:szCs w:val="18"/>
        </w:rPr>
        <w:t xml:space="preserve">underlying assumptions </w:t>
      </w:r>
      <w:r w:rsidR="00497791" w:rsidRPr="00804A4E">
        <w:rPr>
          <w:rFonts w:ascii="Franklin Gothic Book" w:hAnsi="Franklin Gothic Book" w:cs="Times New Roman"/>
          <w:sz w:val="18"/>
          <w:szCs w:val="18"/>
        </w:rPr>
        <w:t xml:space="preserve">and calculations </w:t>
      </w:r>
      <w:r w:rsidR="00D6026A" w:rsidRPr="00804A4E">
        <w:rPr>
          <w:rFonts w:ascii="Franklin Gothic Book" w:hAnsi="Franklin Gothic Book" w:cs="Times New Roman"/>
          <w:sz w:val="18"/>
          <w:szCs w:val="18"/>
        </w:rPr>
        <w:t>upon which the market share changes in the MGB Internal Document Disclosu</w:t>
      </w:r>
      <w:r w:rsidR="00497791" w:rsidRPr="00804A4E">
        <w:rPr>
          <w:rFonts w:ascii="Franklin Gothic Book" w:hAnsi="Franklin Gothic Book" w:cs="Times New Roman"/>
          <w:sz w:val="18"/>
          <w:szCs w:val="18"/>
        </w:rPr>
        <w:t>re</w:t>
      </w:r>
      <w:r w:rsidR="00D6026A" w:rsidRPr="00804A4E">
        <w:rPr>
          <w:rFonts w:ascii="Franklin Gothic Book" w:hAnsi="Franklin Gothic Book" w:cs="Times New Roman"/>
          <w:sz w:val="18"/>
          <w:szCs w:val="18"/>
        </w:rPr>
        <w:t>s</w:t>
      </w:r>
      <w:r w:rsidR="00497791" w:rsidRPr="00804A4E">
        <w:rPr>
          <w:rFonts w:ascii="Franklin Gothic Book" w:hAnsi="Franklin Gothic Book" w:cs="Times New Roman"/>
          <w:sz w:val="18"/>
          <w:szCs w:val="18"/>
        </w:rPr>
        <w:t xml:space="preserve"> were based.</w:t>
      </w:r>
    </w:p>
  </w:footnote>
  <w:footnote w:id="67">
    <w:p w14:paraId="64FD9F71" w14:textId="5A28CE79"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calculated commercial spending and revenue impacts of increases in MGB commercial inpatient market shares by calculating revenue per discharge at each MGB hospital, using BCBS, THP, and HPHC 2019 hospital </w:t>
      </w:r>
      <w:r w:rsidR="007A091F" w:rsidRPr="00804A4E">
        <w:rPr>
          <w:rFonts w:ascii="Franklin Gothic Book" w:hAnsi="Franklin Gothic Book" w:cs="Times New Roman"/>
          <w:sz w:val="18"/>
          <w:szCs w:val="18"/>
        </w:rPr>
        <w:t>revenue</w:t>
      </w:r>
      <w:r w:rsidRPr="00804A4E">
        <w:rPr>
          <w:rFonts w:ascii="Franklin Gothic Book" w:hAnsi="Franklin Gothic Book" w:cs="Times New Roman"/>
          <w:sz w:val="18"/>
          <w:szCs w:val="18"/>
        </w:rPr>
        <w:t xml:space="preserve"> in CHIA’s Relative Price Databook. After weighting discharges and revenue by the proportion of discharges from Eastern Massachusetts at each MGB hospital, we applied several econometric models of hospital choice for inpatient care to determine which other hospitals would </w:t>
      </w:r>
      <w:r w:rsidR="007A091F" w:rsidRPr="00804A4E">
        <w:rPr>
          <w:rFonts w:ascii="Franklin Gothic Book" w:hAnsi="Franklin Gothic Book" w:cs="Times New Roman"/>
          <w:sz w:val="18"/>
          <w:szCs w:val="18"/>
        </w:rPr>
        <w:t xml:space="preserve">otherwise </w:t>
      </w:r>
      <w:r w:rsidRPr="00804A4E">
        <w:rPr>
          <w:rFonts w:ascii="Franklin Gothic Book" w:hAnsi="Franklin Gothic Book" w:cs="Times New Roman"/>
          <w:sz w:val="18"/>
          <w:szCs w:val="18"/>
        </w:rPr>
        <w:t>likely have served the discharges</w:t>
      </w:r>
      <w:r w:rsidR="00421A87" w:rsidRPr="00804A4E">
        <w:rPr>
          <w:rFonts w:ascii="Franklin Gothic Book" w:hAnsi="Franklin Gothic Book" w:cs="Times New Roman"/>
          <w:sz w:val="18"/>
          <w:szCs w:val="18"/>
        </w:rPr>
        <w:t xml:space="preserve"> and estimated spending and revenue shifts as described in </w:t>
      </w:r>
      <w:hyperlink w:anchor="Appendix_IA" w:history="1">
        <w:r w:rsidR="00421A87" w:rsidRPr="00804A4E">
          <w:rPr>
            <w:rStyle w:val="Hyperlink"/>
            <w:rFonts w:ascii="Franklin Gothic Book" w:hAnsi="Franklin Gothic Book" w:cs="Times New Roman"/>
            <w:sz w:val="18"/>
            <w:szCs w:val="18"/>
          </w:rPr>
          <w:t>Appendix I.A</w:t>
        </w:r>
      </w:hyperlink>
      <w:r w:rsidRPr="00804A4E">
        <w:rPr>
          <w:rFonts w:ascii="Franklin Gothic Book" w:hAnsi="Franklin Gothic Book" w:cs="Times New Roman"/>
          <w:sz w:val="18"/>
          <w:szCs w:val="18"/>
        </w:rPr>
        <w:t xml:space="preserve">. The spending and revenue shift figures </w:t>
      </w:r>
      <w:r w:rsidR="007A091F" w:rsidRPr="00804A4E">
        <w:rPr>
          <w:rFonts w:ascii="Franklin Gothic Book" w:hAnsi="Franklin Gothic Book" w:cs="Times New Roman"/>
          <w:sz w:val="18"/>
          <w:szCs w:val="18"/>
        </w:rPr>
        <w:t xml:space="preserve">above </w:t>
      </w:r>
      <w:r w:rsidRPr="00804A4E">
        <w:rPr>
          <w:rFonts w:ascii="Franklin Gothic Book" w:hAnsi="Franklin Gothic Book" w:cs="Times New Roman"/>
          <w:sz w:val="18"/>
          <w:szCs w:val="18"/>
        </w:rPr>
        <w:t xml:space="preserve">represent the most conservative model, generally assuming that MGB hospitals would divert care more often from higher-priced hospitals and assuming payment on a case mix of 1.0 rather than assuming MGB </w:t>
      </w:r>
      <w:r w:rsidR="0055211D" w:rsidRPr="00804A4E">
        <w:rPr>
          <w:rFonts w:ascii="Franklin Gothic Book" w:hAnsi="Franklin Gothic Book" w:cs="Times New Roman"/>
          <w:sz w:val="18"/>
          <w:szCs w:val="18"/>
        </w:rPr>
        <w:t xml:space="preserve">would </w:t>
      </w:r>
      <w:r w:rsidR="00C34842" w:rsidRPr="00804A4E">
        <w:rPr>
          <w:rFonts w:ascii="Franklin Gothic Book" w:hAnsi="Franklin Gothic Book" w:cs="Times New Roman"/>
          <w:sz w:val="18"/>
          <w:szCs w:val="18"/>
        </w:rPr>
        <w:t>attract higher case mix patients</w:t>
      </w:r>
      <w:r w:rsidR="0055211D" w:rsidRPr="00804A4E">
        <w:rPr>
          <w:rFonts w:ascii="Franklin Gothic Book" w:hAnsi="Franklin Gothic Book" w:cs="Times New Roman"/>
          <w:sz w:val="18"/>
          <w:szCs w:val="18"/>
        </w:rPr>
        <w:t xml:space="preserve"> more </w:t>
      </w:r>
      <w:r w:rsidR="00C34842" w:rsidRPr="00804A4E">
        <w:rPr>
          <w:rFonts w:ascii="Franklin Gothic Book" w:hAnsi="Franklin Gothic Book" w:cs="Times New Roman"/>
          <w:sz w:val="18"/>
          <w:szCs w:val="18"/>
        </w:rPr>
        <w:t xml:space="preserve">similar to the </w:t>
      </w:r>
      <w:r w:rsidR="00853AF7">
        <w:rPr>
          <w:rFonts w:ascii="Franklin Gothic Book" w:hAnsi="Franklin Gothic Book" w:cs="Times New Roman"/>
          <w:sz w:val="18"/>
          <w:szCs w:val="18"/>
        </w:rPr>
        <w:t>acuity</w:t>
      </w:r>
      <w:r w:rsidR="00853AF7" w:rsidRPr="00804A4E">
        <w:rPr>
          <w:rFonts w:ascii="Franklin Gothic Book" w:hAnsi="Franklin Gothic Book" w:cs="Times New Roman"/>
          <w:sz w:val="18"/>
          <w:szCs w:val="18"/>
        </w:rPr>
        <w:t xml:space="preserve"> </w:t>
      </w:r>
      <w:r w:rsidR="00C34842" w:rsidRPr="00804A4E">
        <w:rPr>
          <w:rFonts w:ascii="Franklin Gothic Book" w:hAnsi="Franklin Gothic Book" w:cs="Times New Roman"/>
          <w:sz w:val="18"/>
          <w:szCs w:val="18"/>
        </w:rPr>
        <w:t>of current MGB hospital patients</w:t>
      </w:r>
      <w:r w:rsidR="0055211D" w:rsidRPr="00804A4E">
        <w:rPr>
          <w:rFonts w:ascii="Franklin Gothic Book" w:hAnsi="Franklin Gothic Book" w:cs="Times New Roman"/>
          <w:sz w:val="18"/>
          <w:szCs w:val="18"/>
        </w:rPr>
        <w:t>, for which payment rates are higher</w:t>
      </w:r>
      <w:r w:rsidRPr="00804A4E">
        <w:rPr>
          <w:rFonts w:ascii="Franklin Gothic Book" w:hAnsi="Franklin Gothic Book" w:cs="Times New Roman"/>
          <w:sz w:val="18"/>
          <w:szCs w:val="18"/>
        </w:rPr>
        <w:t>.</w:t>
      </w:r>
    </w:p>
  </w:footnote>
  <w:footnote w:id="68">
    <w:p w14:paraId="0F8B0995" w14:textId="6BDD4C16"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MGH and Faulkner ICAs predict spending </w:t>
      </w:r>
      <w:r w:rsidR="00853AF7">
        <w:rPr>
          <w:rFonts w:ascii="Franklin Gothic Book" w:hAnsi="Franklin Gothic Book" w:cs="Times New Roman"/>
          <w:sz w:val="18"/>
          <w:szCs w:val="18"/>
        </w:rPr>
        <w:t>increases</w:t>
      </w:r>
      <w:r w:rsidR="00853AF7"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for managed and non-managed Medicare and MassHealth care as patients divert to fill new beds at </w:t>
      </w:r>
      <w:r w:rsidR="00853AF7">
        <w:rPr>
          <w:rFonts w:ascii="Franklin Gothic Book" w:hAnsi="Franklin Gothic Book" w:cs="Times New Roman"/>
          <w:sz w:val="18"/>
          <w:szCs w:val="18"/>
        </w:rPr>
        <w:t>MGH and new outpatient capacity at both hospitals</w:t>
      </w:r>
      <w:r w:rsidRPr="00804A4E">
        <w:rPr>
          <w:rFonts w:ascii="Franklin Gothic Book" w:hAnsi="Franklin Gothic Book" w:cs="Times New Roman"/>
          <w:sz w:val="18"/>
          <w:szCs w:val="18"/>
        </w:rPr>
        <w:t>. MGH ICA,</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w:t>
      </w:r>
      <w:r w:rsidR="00D21C70" w:rsidRPr="00804A4E">
        <w:rPr>
          <w:rFonts w:ascii="Franklin Gothic Book" w:hAnsi="Franklin Gothic Book" w:cs="Times New Roman"/>
          <w:sz w:val="18"/>
          <w:szCs w:val="18"/>
        </w:rPr>
        <w:t xml:space="preserv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736C83"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853AF7">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MGH22</w:t>
      </w:r>
      <w:r w:rsidR="00853AF7">
        <w:rPr>
          <w:rFonts w:ascii="Franklin Gothic Book" w:hAnsi="Franklin Gothic Book" w:cs="Times New Roman"/>
          <w:sz w:val="18"/>
          <w:szCs w:val="18"/>
        </w:rPr>
        <w:t xml:space="preserve"> through MGH27</w:t>
      </w:r>
      <w:r w:rsidR="004D1558"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E101A7" w:rsidRPr="00804A4E">
        <w:rPr>
          <w:rFonts w:ascii="Franklin Gothic Book" w:hAnsi="Franklin Gothic Book" w:cs="Times New Roman"/>
          <w:sz w:val="18"/>
          <w:szCs w:val="18"/>
        </w:rPr>
        <w:t xml:space="preserv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736C83"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BWFH13. Because we would expect the majority of new commercial discharges to go to MGH and BWH as MGB’s market share grows, we would expect net spending increases for non-commercial payers across the MGB system based on the spending increases modeled in the MGH ICA.</w:t>
      </w:r>
    </w:p>
  </w:footnote>
  <w:footnote w:id="69">
    <w:p w14:paraId="63FB60AF" w14:textId="1D8F72E1"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853AF7">
        <w:rPr>
          <w:rFonts w:ascii="Franklin Gothic Book" w:hAnsi="Franklin Gothic Book" w:cs="Times New Roman"/>
          <w:sz w:val="18"/>
          <w:szCs w:val="18"/>
        </w:rPr>
        <w:t xml:space="preserve">Ambulatory Narrative, </w:t>
      </w:r>
      <w:r w:rsidR="00853AF7" w:rsidRPr="004D5E6E">
        <w:rPr>
          <w:rFonts w:ascii="Franklin Gothic Book" w:hAnsi="Franklin Gothic Book" w:cs="Times New Roman"/>
          <w:i/>
          <w:iCs/>
          <w:sz w:val="18"/>
          <w:szCs w:val="18"/>
        </w:rPr>
        <w:t>supra</w:t>
      </w:r>
      <w:r w:rsidR="00853AF7">
        <w:rPr>
          <w:rFonts w:ascii="Franklin Gothic Book" w:hAnsi="Franklin Gothic Book" w:cs="Times New Roman"/>
          <w:sz w:val="18"/>
          <w:szCs w:val="18"/>
        </w:rPr>
        <w:t xml:space="preserve"> note </w:t>
      </w:r>
      <w:r w:rsidR="00853AF7">
        <w:rPr>
          <w:rFonts w:ascii="Franklin Gothic Book" w:hAnsi="Franklin Gothic Book" w:cs="Times New Roman"/>
          <w:sz w:val="18"/>
          <w:szCs w:val="18"/>
        </w:rPr>
        <w:fldChar w:fldCharType="begin"/>
      </w:r>
      <w:r w:rsidR="00853AF7">
        <w:rPr>
          <w:rFonts w:ascii="Franklin Gothic Book" w:hAnsi="Franklin Gothic Book" w:cs="Times New Roman"/>
          <w:sz w:val="18"/>
          <w:szCs w:val="18"/>
        </w:rPr>
        <w:instrText xml:space="preserve"> NOTEREF _Ref93655328 \h </w:instrText>
      </w:r>
      <w:r w:rsidR="00853AF7">
        <w:rPr>
          <w:rFonts w:ascii="Franklin Gothic Book" w:hAnsi="Franklin Gothic Book" w:cs="Times New Roman"/>
          <w:sz w:val="18"/>
          <w:szCs w:val="18"/>
        </w:rPr>
      </w:r>
      <w:r w:rsidR="00853AF7">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853AF7">
        <w:rPr>
          <w:rFonts w:ascii="Franklin Gothic Book" w:hAnsi="Franklin Gothic Book" w:cs="Times New Roman"/>
          <w:sz w:val="18"/>
          <w:szCs w:val="18"/>
        </w:rPr>
        <w:fldChar w:fldCharType="end"/>
      </w:r>
      <w:r w:rsidR="00853AF7">
        <w:rPr>
          <w:rFonts w:ascii="Franklin Gothic Book" w:hAnsi="Franklin Gothic Book" w:cs="Times New Roman"/>
          <w:sz w:val="18"/>
          <w:szCs w:val="18"/>
        </w:rPr>
        <w:t>, at 15 and footnote 44</w:t>
      </w:r>
      <w:r w:rsidRPr="00804A4E">
        <w:rPr>
          <w:rFonts w:ascii="Franklin Gothic Book" w:hAnsi="Franklin Gothic Book" w:cs="Times New Roman"/>
          <w:sz w:val="18"/>
          <w:szCs w:val="18"/>
        </w:rPr>
        <w:t xml:space="preserve">. Although MGB states in response to questions from the DoN program that </w:t>
      </w:r>
      <w:r w:rsidR="00C34842" w:rsidRPr="00804A4E">
        <w:rPr>
          <w:rFonts w:ascii="Franklin Gothic Book" w:hAnsi="Franklin Gothic Book" w:cs="Times New Roman"/>
          <w:sz w:val="18"/>
          <w:szCs w:val="18"/>
        </w:rPr>
        <w:t>its</w:t>
      </w:r>
      <w:r w:rsidRPr="00804A4E">
        <w:rPr>
          <w:rFonts w:ascii="Franklin Gothic Book" w:hAnsi="Franklin Gothic Book" w:cs="Times New Roman"/>
          <w:sz w:val="18"/>
          <w:szCs w:val="18"/>
        </w:rPr>
        <w:t xml:space="preserve"> goal is for ambulatory site rates to be “50% less than Mass General Brigham AMC rates and 25% less than Mass General Brigham community hospital rates” (</w:t>
      </w:r>
      <w:bookmarkStart w:id="60" w:name="_Hlk93444055"/>
      <w:bookmarkStart w:id="61" w:name="_Hlk93446028"/>
      <w:r w:rsidRPr="00804A4E">
        <w:rPr>
          <w:rFonts w:ascii="Franklin Gothic Book" w:hAnsi="Franklin Gothic Book" w:cs="Times New Roman"/>
          <w:sz w:val="18"/>
          <w:szCs w:val="18"/>
        </w:rPr>
        <w:t>Ambulatory Q&amp;A</w:t>
      </w:r>
      <w:bookmarkEnd w:id="60"/>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bookmarkEnd w:id="61"/>
      <w:r w:rsidR="00A42FFD" w:rsidRPr="00804A4E">
        <w:rPr>
          <w:rFonts w:ascii="Franklin Gothic Book" w:hAnsi="Franklin Gothic Book" w:cs="Times New Roman"/>
          <w:sz w:val="18"/>
          <w:szCs w:val="18"/>
        </w:rPr>
        <w:t xml:space="preserve"> </w:t>
      </w:r>
      <w:r w:rsidR="00C257CE" w:rsidRPr="00804A4E">
        <w:rPr>
          <w:rFonts w:ascii="Franklin Gothic Book" w:hAnsi="Franklin Gothic Book" w:cs="Times New Roman"/>
          <w:sz w:val="18"/>
          <w:szCs w:val="18"/>
        </w:rPr>
        <w:fldChar w:fldCharType="begin"/>
      </w:r>
      <w:r w:rsidR="00C257CE" w:rsidRPr="00804A4E">
        <w:rPr>
          <w:rFonts w:ascii="Franklin Gothic Book" w:hAnsi="Franklin Gothic Book" w:cs="Times New Roman"/>
          <w:sz w:val="18"/>
          <w:szCs w:val="18"/>
        </w:rPr>
        <w:instrText xml:space="preserve"> NOTEREF _Ref93736523 \h </w:instrText>
      </w:r>
      <w:r w:rsidR="0053179E" w:rsidRPr="00804A4E">
        <w:rPr>
          <w:rFonts w:ascii="Franklin Gothic Book" w:hAnsi="Franklin Gothic Book" w:cs="Times New Roman"/>
          <w:sz w:val="18"/>
          <w:szCs w:val="18"/>
        </w:rPr>
        <w:instrText xml:space="preserve"> \* MERGEFORMAT </w:instrText>
      </w:r>
      <w:r w:rsidR="00C257CE" w:rsidRPr="00804A4E">
        <w:rPr>
          <w:rFonts w:ascii="Franklin Gothic Book" w:hAnsi="Franklin Gothic Book" w:cs="Times New Roman"/>
          <w:sz w:val="18"/>
          <w:szCs w:val="18"/>
        </w:rPr>
      </w:r>
      <w:r w:rsidR="00C257C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56</w:t>
      </w:r>
      <w:r w:rsidR="00C257CE"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52), these two calculations would produce substantially different price points, as shown by the separate scenarios using each assumption in the Ambulatory ICA.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2548C7" w:rsidRPr="00804A4E">
        <w:rPr>
          <w:rFonts w:ascii="Franklin Gothic Book" w:hAnsi="Franklin Gothic Book" w:cs="Times New Roman"/>
          <w:sz w:val="18"/>
          <w:szCs w:val="18"/>
        </w:rPr>
        <w:fldChar w:fldCharType="begin"/>
      </w:r>
      <w:r w:rsidR="002548C7" w:rsidRPr="00804A4E">
        <w:rPr>
          <w:rFonts w:ascii="Franklin Gothic Book" w:hAnsi="Franklin Gothic Book" w:cs="Times New Roman"/>
          <w:sz w:val="18"/>
          <w:szCs w:val="18"/>
        </w:rPr>
        <w:instrText xml:space="preserve"> NOTEREF _Ref93656068 \h </w:instrText>
      </w:r>
      <w:r w:rsidR="0053179E" w:rsidRPr="00804A4E">
        <w:rPr>
          <w:rFonts w:ascii="Franklin Gothic Book" w:hAnsi="Franklin Gothic Book" w:cs="Times New Roman"/>
          <w:sz w:val="18"/>
          <w:szCs w:val="18"/>
        </w:rPr>
        <w:instrText xml:space="preserve"> \* MERGEFORMAT </w:instrText>
      </w:r>
      <w:r w:rsidR="002548C7" w:rsidRPr="00804A4E">
        <w:rPr>
          <w:rFonts w:ascii="Franklin Gothic Book" w:hAnsi="Franklin Gothic Book" w:cs="Times New Roman"/>
          <w:sz w:val="18"/>
          <w:szCs w:val="18"/>
        </w:rPr>
      </w:r>
      <w:r w:rsidR="002548C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548C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64 and </w:t>
      </w:r>
      <w:r w:rsidR="00853AF7">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ICC18</w:t>
      </w:r>
      <w:r w:rsidR="00853AF7">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ICC26. We assume ambulatory site rates will be 25% lower than MGB community hospital rates given that this was the differential stated in the Ambulatory DoN application.</w:t>
      </w:r>
      <w:r w:rsidR="00CE4E12" w:rsidRPr="00804A4E">
        <w:rPr>
          <w:rFonts w:ascii="Franklin Gothic Book" w:hAnsi="Franklin Gothic Book" w:cs="Times New Roman"/>
          <w:sz w:val="18"/>
          <w:szCs w:val="18"/>
        </w:rPr>
        <w:t xml:space="preserve"> We estimate prices for the proposed ambulatory sites using an average of prices at Faulkner and Newton-Wellesley </w:t>
      </w:r>
      <w:r w:rsidR="00853AF7">
        <w:rPr>
          <w:rFonts w:ascii="Franklin Gothic Book" w:hAnsi="Franklin Gothic Book" w:cs="Times New Roman"/>
          <w:sz w:val="18"/>
          <w:szCs w:val="18"/>
        </w:rPr>
        <w:t xml:space="preserve">Hospital </w:t>
      </w:r>
      <w:r w:rsidR="00CE4E12" w:rsidRPr="00804A4E">
        <w:rPr>
          <w:rFonts w:ascii="Franklin Gothic Book" w:hAnsi="Franklin Gothic Book" w:cs="Times New Roman"/>
          <w:sz w:val="18"/>
          <w:szCs w:val="18"/>
        </w:rPr>
        <w:t>in the 2018 CHIA All-Payer Claims Database for relevant services, applying a 25% discount to facility rates.</w:t>
      </w:r>
    </w:p>
  </w:footnote>
  <w:footnote w:id="70">
    <w:p w14:paraId="20F63689" w14:textId="0A286A73" w:rsidR="00DD7402" w:rsidRPr="00804A4E" w:rsidRDefault="00DD7402" w:rsidP="00142DCC">
      <w:pPr>
        <w:widowControl w:val="0"/>
        <w:rPr>
          <w:rFonts w:ascii="Franklin Gothic Book" w:eastAsia="Times New Roman" w:hAnsi="Franklin Gothic Book" w:cs="Times New Roman"/>
          <w:sz w:val="22"/>
          <w:szCs w:val="22"/>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eastAsia="Times New Roman" w:hAnsi="Franklin Gothic Book" w:cs="Times New Roman"/>
          <w:sz w:val="18"/>
          <w:szCs w:val="18"/>
        </w:rPr>
        <w:t>MGB describes the ambulatory expansion as reducing TME</w:t>
      </w:r>
      <w:r w:rsidR="00A429E5" w:rsidRPr="00804A4E">
        <w:rPr>
          <w:rFonts w:ascii="Franklin Gothic Book" w:eastAsia="Times New Roman" w:hAnsi="Franklin Gothic Book" w:cs="Times New Roman"/>
          <w:sz w:val="18"/>
          <w:szCs w:val="18"/>
        </w:rPr>
        <w:t xml:space="preserve">. Even if </w:t>
      </w:r>
      <w:r w:rsidR="00864C4A" w:rsidRPr="00804A4E">
        <w:rPr>
          <w:rFonts w:ascii="Franklin Gothic Book" w:eastAsia="Times New Roman" w:hAnsi="Franklin Gothic Book" w:cs="Times New Roman"/>
          <w:sz w:val="18"/>
          <w:szCs w:val="18"/>
        </w:rPr>
        <w:t>it were to reduce MGB’s TME</w:t>
      </w:r>
      <w:r w:rsidR="00A429E5" w:rsidRPr="00804A4E">
        <w:rPr>
          <w:rFonts w:ascii="Franklin Gothic Book" w:eastAsia="Times New Roman" w:hAnsi="Franklin Gothic Book" w:cs="Times New Roman"/>
          <w:sz w:val="18"/>
          <w:szCs w:val="18"/>
        </w:rPr>
        <w:t xml:space="preserve">, the expansion would </w:t>
      </w:r>
      <w:r w:rsidR="00864C4A" w:rsidRPr="00804A4E">
        <w:rPr>
          <w:rFonts w:ascii="Franklin Gothic Book" w:eastAsia="Times New Roman" w:hAnsi="Franklin Gothic Book" w:cs="Times New Roman"/>
          <w:sz w:val="18"/>
          <w:szCs w:val="18"/>
        </w:rPr>
        <w:t xml:space="preserve">not necessarily </w:t>
      </w:r>
      <w:r w:rsidR="00A429E5" w:rsidRPr="00804A4E">
        <w:rPr>
          <w:rFonts w:ascii="Franklin Gothic Book" w:eastAsia="Times New Roman" w:hAnsi="Franklin Gothic Book" w:cs="Times New Roman"/>
          <w:sz w:val="18"/>
          <w:szCs w:val="18"/>
        </w:rPr>
        <w:t xml:space="preserve">reduce total health care expenditures or be consistent with the health care cost containment goals of the Commonwealth. As described in </w:t>
      </w:r>
      <w:r w:rsidRPr="00804A4E">
        <w:rPr>
          <w:rFonts w:ascii="Franklin Gothic Book" w:hAnsi="Franklin Gothic Book" w:cs="Times New Roman"/>
          <w:sz w:val="18"/>
          <w:szCs w:val="18"/>
        </w:rPr>
        <w:t xml:space="preserve">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_Ref93639535 \h </w:instrText>
      </w:r>
      <w:r w:rsidR="00A429E5" w:rsidRPr="00804A4E">
        <w:rPr>
          <w:rFonts w:ascii="Franklin Gothic Book" w:hAnsi="Franklin Gothic Book" w:cs="Times New Roman"/>
          <w:sz w:val="18"/>
          <w:szCs w:val="18"/>
        </w:rPr>
        <w:instrText xml:space="preserve">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16</w:t>
      </w:r>
      <w:r w:rsidRPr="00804A4E">
        <w:rPr>
          <w:rFonts w:ascii="Franklin Gothic Book" w:hAnsi="Franklin Gothic Book" w:cs="Times New Roman"/>
          <w:sz w:val="18"/>
          <w:szCs w:val="18"/>
        </w:rPr>
        <w:fldChar w:fldCharType="end"/>
      </w:r>
      <w:r w:rsidR="00A429E5" w:rsidRPr="00804A4E">
        <w:rPr>
          <w:rFonts w:ascii="Franklin Gothic Book" w:hAnsi="Franklin Gothic Book" w:cs="Times New Roman"/>
          <w:sz w:val="18"/>
          <w:szCs w:val="18"/>
        </w:rPr>
        <w:t xml:space="preserve">, a provider’s TME may not change as members shift in or out of that provider network. However, shifts from a lower-cost to higher-cost provider network, </w:t>
      </w:r>
      <w:r w:rsidR="00591973" w:rsidRPr="00804A4E">
        <w:rPr>
          <w:rFonts w:ascii="Franklin Gothic Book" w:hAnsi="Franklin Gothic Book" w:cs="Times New Roman"/>
          <w:sz w:val="18"/>
          <w:szCs w:val="18"/>
        </w:rPr>
        <w:t xml:space="preserve">as </w:t>
      </w:r>
      <w:r w:rsidR="00A429E5" w:rsidRPr="00804A4E">
        <w:rPr>
          <w:rFonts w:ascii="Franklin Gothic Book" w:hAnsi="Franklin Gothic Book" w:cs="Times New Roman"/>
          <w:sz w:val="18"/>
          <w:szCs w:val="18"/>
        </w:rPr>
        <w:t xml:space="preserve">described here, could nonetheless have a substantial impact on </w:t>
      </w:r>
      <w:r w:rsidR="00591973" w:rsidRPr="00804A4E">
        <w:rPr>
          <w:rFonts w:ascii="Franklin Gothic Book" w:hAnsi="Franklin Gothic Book" w:cs="Times New Roman"/>
          <w:sz w:val="18"/>
          <w:szCs w:val="18"/>
        </w:rPr>
        <w:t>total health care expenditures</w:t>
      </w:r>
      <w:r w:rsidR="00A429E5" w:rsidRPr="00804A4E">
        <w:rPr>
          <w:rFonts w:ascii="Franklin Gothic Book" w:hAnsi="Franklin Gothic Book" w:cs="Times New Roman"/>
          <w:sz w:val="18"/>
          <w:szCs w:val="18"/>
        </w:rPr>
        <w:t xml:space="preserve">. </w:t>
      </w:r>
    </w:p>
  </w:footnote>
  <w:footnote w:id="71">
    <w:p w14:paraId="3DB90552" w14:textId="31F75A5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63" w:name="_Hlk93006401"/>
      <w:r w:rsidRPr="00804A4E">
        <w:rPr>
          <w:rFonts w:ascii="Franklin Gothic Book" w:hAnsi="Franklin Gothic Book" w:cs="Times New Roman"/>
          <w:sz w:val="18"/>
          <w:szCs w:val="18"/>
        </w:rPr>
        <w:t>The HPC calculated commercial prices per visit for each outpatient service cluster</w:t>
      </w:r>
      <w:r w:rsidR="00882DC5" w:rsidRPr="00804A4E">
        <w:rPr>
          <w:rFonts w:ascii="Franklin Gothic Book" w:hAnsi="Franklin Gothic Book" w:cs="Times New Roman"/>
          <w:sz w:val="18"/>
          <w:szCs w:val="18"/>
        </w:rPr>
        <w:t xml:space="preserve">, including both facility and </w:t>
      </w:r>
      <w:r w:rsidR="00CE4E12" w:rsidRPr="00804A4E">
        <w:rPr>
          <w:rFonts w:ascii="Franklin Gothic Book" w:hAnsi="Franklin Gothic Book" w:cs="Times New Roman"/>
          <w:sz w:val="18"/>
          <w:szCs w:val="18"/>
        </w:rPr>
        <w:t xml:space="preserve">professional </w:t>
      </w:r>
      <w:r w:rsidR="00882DC5" w:rsidRPr="00804A4E">
        <w:rPr>
          <w:rFonts w:ascii="Franklin Gothic Book" w:hAnsi="Franklin Gothic Book" w:cs="Times New Roman"/>
          <w:sz w:val="18"/>
          <w:szCs w:val="18"/>
        </w:rPr>
        <w:t>payments</w:t>
      </w:r>
      <w:r w:rsidRPr="00804A4E">
        <w:rPr>
          <w:rFonts w:ascii="Franklin Gothic Book" w:hAnsi="Franklin Gothic Book" w:cs="Times New Roman"/>
          <w:sz w:val="18"/>
          <w:szCs w:val="18"/>
        </w:rPr>
        <w:t xml:space="preserve"> </w:t>
      </w:r>
      <w:r w:rsidR="00882DC5" w:rsidRPr="00804A4E">
        <w:rPr>
          <w:rFonts w:ascii="Franklin Gothic Book" w:hAnsi="Franklin Gothic Book" w:cs="Times New Roman"/>
          <w:sz w:val="18"/>
          <w:szCs w:val="18"/>
        </w:rPr>
        <w:t xml:space="preserve">as described in </w:t>
      </w:r>
      <w:hyperlink w:anchor="Appendix_IA" w:history="1">
        <w:r w:rsidR="00882DC5" w:rsidRPr="00804A4E">
          <w:rPr>
            <w:rStyle w:val="Hyperlink"/>
            <w:rFonts w:ascii="Franklin Gothic Book" w:hAnsi="Franklin Gothic Book" w:cs="Times New Roman"/>
            <w:sz w:val="18"/>
            <w:szCs w:val="18"/>
          </w:rPr>
          <w:t>Appendix I.A</w:t>
        </w:r>
      </w:hyperlink>
      <w:r w:rsidR="00882DC5"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bookmarkEnd w:id="63"/>
      <w:r w:rsidRPr="00804A4E">
        <w:rPr>
          <w:rFonts w:ascii="Franklin Gothic Book" w:hAnsi="Franklin Gothic Book" w:cs="Times New Roman"/>
          <w:sz w:val="18"/>
          <w:szCs w:val="18"/>
        </w:rPr>
        <w:t xml:space="preserve">The HPC calculated weighted average prices under three scenarios: </w:t>
      </w:r>
      <w:r w:rsidR="00C34842" w:rsidRPr="00804A4E">
        <w:rPr>
          <w:rFonts w:ascii="Franklin Gothic Book" w:hAnsi="Franklin Gothic Book" w:cs="Times New Roman"/>
          <w:sz w:val="18"/>
          <w:szCs w:val="18"/>
        </w:rPr>
        <w:t xml:space="preserve">(1) </w:t>
      </w:r>
      <w:r w:rsidRPr="00804A4E">
        <w:rPr>
          <w:rFonts w:ascii="Franklin Gothic Book" w:hAnsi="Franklin Gothic Book" w:cs="Times New Roman"/>
          <w:sz w:val="18"/>
          <w:szCs w:val="18"/>
        </w:rPr>
        <w:t>care would shift only from MGB hospitals proportional to their current shares in the service areas</w:t>
      </w:r>
      <w:r w:rsidR="00C34842"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r w:rsidR="00C34842" w:rsidRPr="00804A4E">
        <w:rPr>
          <w:rFonts w:ascii="Franklin Gothic Book" w:hAnsi="Franklin Gothic Book" w:cs="Times New Roman"/>
          <w:sz w:val="18"/>
          <w:szCs w:val="18"/>
        </w:rPr>
        <w:t xml:space="preserve">(2) </w:t>
      </w:r>
      <w:r w:rsidRPr="00804A4E">
        <w:rPr>
          <w:rFonts w:ascii="Franklin Gothic Book" w:hAnsi="Franklin Gothic Book" w:cs="Times New Roman"/>
          <w:sz w:val="18"/>
          <w:szCs w:val="18"/>
        </w:rPr>
        <w:t>care would shift from all current providers proportional to their current shares</w:t>
      </w:r>
      <w:r w:rsidR="00C34842"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and </w:t>
      </w:r>
      <w:r w:rsidR="00C34842" w:rsidRPr="00804A4E">
        <w:rPr>
          <w:rFonts w:ascii="Franklin Gothic Book" w:hAnsi="Franklin Gothic Book" w:cs="Times New Roman"/>
          <w:sz w:val="18"/>
          <w:szCs w:val="18"/>
        </w:rPr>
        <w:t xml:space="preserve">(3) </w:t>
      </w:r>
      <w:r w:rsidRPr="00804A4E">
        <w:rPr>
          <w:rFonts w:ascii="Franklin Gothic Book" w:hAnsi="Franklin Gothic Book" w:cs="Times New Roman"/>
          <w:sz w:val="18"/>
          <w:szCs w:val="18"/>
        </w:rPr>
        <w:t xml:space="preserve">care would shift only from non-MGB providers proportional to their current shares. </w:t>
      </w:r>
      <w:bookmarkStart w:id="64" w:name="_Hlk93883048"/>
      <w:r w:rsidRPr="00804A4E">
        <w:rPr>
          <w:rFonts w:ascii="Franklin Gothic Book" w:hAnsi="Franklin Gothic Book" w:cs="Times New Roman"/>
          <w:sz w:val="18"/>
          <w:szCs w:val="18"/>
        </w:rPr>
        <w:t xml:space="preserve">For the top five CPTs by volume in each clinical cluster, the HPC observed the average price differential between these weighted prices and an estimated MGB ambulatory site rate, described </w:t>
      </w:r>
      <w:r w:rsidR="00C609A6" w:rsidRPr="00804A4E">
        <w:rPr>
          <w:rFonts w:ascii="Franklin Gothic Book" w:hAnsi="Franklin Gothic Book" w:cs="Times New Roman"/>
          <w:i/>
          <w:iCs/>
          <w:sz w:val="18"/>
          <w:szCs w:val="18"/>
        </w:rPr>
        <w:t>supra</w:t>
      </w:r>
      <w:r w:rsidR="00C609A6" w:rsidRPr="00804A4E">
        <w:rPr>
          <w:rFonts w:ascii="Franklin Gothic Book" w:hAnsi="Franklin Gothic Book" w:cs="Times New Roman"/>
          <w:sz w:val="18"/>
          <w:szCs w:val="18"/>
        </w:rPr>
        <w:t xml:space="preserve"> note </w:t>
      </w:r>
      <w:r w:rsidR="00C609A6" w:rsidRPr="00804A4E">
        <w:rPr>
          <w:rFonts w:ascii="Franklin Gothic Book" w:hAnsi="Franklin Gothic Book" w:cs="Times New Roman"/>
          <w:sz w:val="18"/>
          <w:szCs w:val="18"/>
        </w:rPr>
        <w:fldChar w:fldCharType="begin"/>
      </w:r>
      <w:r w:rsidR="00C609A6" w:rsidRPr="00804A4E">
        <w:rPr>
          <w:rFonts w:ascii="Franklin Gothic Book" w:hAnsi="Franklin Gothic Book" w:cs="Times New Roman"/>
          <w:sz w:val="18"/>
          <w:szCs w:val="18"/>
        </w:rPr>
        <w:instrText xml:space="preserve"> NOTEREF _Ref90406353 \h </w:instrText>
      </w:r>
      <w:r w:rsidR="00804A4E" w:rsidRPr="00804A4E">
        <w:rPr>
          <w:rFonts w:ascii="Franklin Gothic Book" w:hAnsi="Franklin Gothic Book" w:cs="Times New Roman"/>
          <w:sz w:val="18"/>
          <w:szCs w:val="18"/>
        </w:rPr>
        <w:instrText xml:space="preserve"> \* MERGEFORMAT </w:instrText>
      </w:r>
      <w:r w:rsidR="00C609A6" w:rsidRPr="00804A4E">
        <w:rPr>
          <w:rFonts w:ascii="Franklin Gothic Book" w:hAnsi="Franklin Gothic Book" w:cs="Times New Roman"/>
          <w:sz w:val="18"/>
          <w:szCs w:val="18"/>
        </w:rPr>
      </w:r>
      <w:r w:rsidR="00C609A6"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68</w:t>
      </w:r>
      <w:r w:rsidR="00C609A6"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and applied this differential to the weighted average price for the entire cluster to arrive at a service mix adjusted estimate of the MGB ambulatory rate under each scenario.</w:t>
      </w:r>
      <w:bookmarkEnd w:id="64"/>
    </w:p>
  </w:footnote>
  <w:footnote w:id="72">
    <w:p w14:paraId="7993C8F7" w14:textId="79506F59"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 provided only service line level descriptions of services it intends to provide at the proposed ambulatory sites. </w:t>
      </w:r>
      <w:bookmarkStart w:id="66" w:name="_Hlk93006491"/>
      <w:r w:rsidRPr="00804A4E">
        <w:rPr>
          <w:rFonts w:ascii="Franklin Gothic Book" w:hAnsi="Franklin Gothic Book" w:cs="Times New Roman"/>
          <w:sz w:val="18"/>
          <w:szCs w:val="18"/>
        </w:rPr>
        <w:t xml:space="preserve">The HPC defined outpatient service clusters for outpatient </w:t>
      </w:r>
      <w:r w:rsidR="00882DC5" w:rsidRPr="00804A4E">
        <w:rPr>
          <w:rFonts w:ascii="Franklin Gothic Book" w:hAnsi="Franklin Gothic Book" w:cs="Times New Roman"/>
          <w:sz w:val="18"/>
          <w:szCs w:val="18"/>
        </w:rPr>
        <w:t xml:space="preserve">services as described in </w:t>
      </w:r>
      <w:hyperlink w:anchor="Appendix_IA" w:history="1">
        <w:r w:rsidR="00882DC5" w:rsidRPr="00804A4E">
          <w:rPr>
            <w:rStyle w:val="Hyperlink"/>
            <w:rFonts w:ascii="Franklin Gothic Book" w:hAnsi="Franklin Gothic Book" w:cs="Times New Roman"/>
            <w:sz w:val="18"/>
            <w:szCs w:val="18"/>
          </w:rPr>
          <w:t>Appendix I.A</w:t>
        </w:r>
      </w:hyperlink>
      <w:r w:rsidR="00882DC5" w:rsidRPr="00804A4E">
        <w:rPr>
          <w:rFonts w:ascii="Franklin Gothic Book" w:hAnsi="Franklin Gothic Book" w:cs="Times New Roman"/>
          <w:sz w:val="18"/>
          <w:szCs w:val="18"/>
        </w:rPr>
        <w:t>.</w:t>
      </w:r>
      <w:bookmarkEnd w:id="66"/>
    </w:p>
  </w:footnote>
  <w:footnote w:id="73">
    <w:p w14:paraId="3591AD22" w14:textId="64908D59"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 defines the patient panel for the proposed ambulatory sites as all persons who live within the </w:t>
      </w:r>
      <w:r w:rsidR="00853AF7">
        <w:rPr>
          <w:rFonts w:ascii="Franklin Gothic Book" w:hAnsi="Franklin Gothic Book" w:cs="Times New Roman"/>
          <w:sz w:val="18"/>
          <w:szCs w:val="18"/>
        </w:rPr>
        <w:t>proposed</w:t>
      </w:r>
      <w:r w:rsidR="00853AF7"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service areas and received care from one of its hospitals or physician groups in the prior three years. See Ambulatory Narrative</w:t>
      </w:r>
      <w:r w:rsidR="00BE51FF" w:rsidRPr="00804A4E">
        <w:rPr>
          <w:rFonts w:ascii="Franklin Gothic Book" w:hAnsi="Franklin Gothic Book" w:cs="Times New Roman"/>
          <w:sz w:val="18"/>
          <w:szCs w:val="18"/>
        </w:rPr>
        <w:t xml:space="preserve">, </w:t>
      </w:r>
      <w:r w:rsidR="00BE51FF" w:rsidRPr="00804A4E">
        <w:rPr>
          <w:rFonts w:ascii="Franklin Gothic Book" w:hAnsi="Franklin Gothic Book" w:cs="Times New Roman"/>
          <w:i/>
          <w:iCs/>
          <w:sz w:val="18"/>
          <w:szCs w:val="18"/>
        </w:rPr>
        <w:t xml:space="preserve">supra </w:t>
      </w:r>
      <w:r w:rsidR="00BE51FF" w:rsidRPr="00804A4E">
        <w:rPr>
          <w:rFonts w:ascii="Franklin Gothic Book" w:hAnsi="Franklin Gothic Book" w:cs="Times New Roman"/>
          <w:sz w:val="18"/>
          <w:szCs w:val="18"/>
        </w:rPr>
        <w:t xml:space="preserve">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4, footnote 3, for a full description of providers MGB includes in its patient panel for the ambulatory sites. MGB assumes that 100% of these patients who have an MGB PCP and 50% of patients of other PCPs will transfer their care to the proposed sites after a </w:t>
      </w:r>
      <w:r w:rsidR="004D1558" w:rsidRPr="00804A4E">
        <w:rPr>
          <w:rFonts w:ascii="Franklin Gothic Book" w:hAnsi="Franklin Gothic Book" w:cs="Times New Roman"/>
          <w:sz w:val="18"/>
          <w:szCs w:val="18"/>
        </w:rPr>
        <w:t>three-year</w:t>
      </w:r>
      <w:r w:rsidRPr="00804A4E">
        <w:rPr>
          <w:rFonts w:ascii="Franklin Gothic Book" w:hAnsi="Franklin Gothic Book" w:cs="Times New Roman"/>
          <w:sz w:val="18"/>
          <w:szCs w:val="18"/>
        </w:rPr>
        <w:t xml:space="preserve"> ramp-up period.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C93250" w:rsidRPr="00804A4E">
        <w:rPr>
          <w:rFonts w:ascii="Franklin Gothic Book" w:hAnsi="Franklin Gothic Book" w:cs="Times New Roman"/>
          <w:sz w:val="18"/>
          <w:szCs w:val="18"/>
        </w:rPr>
        <w:t xml:space="preserv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1A6FF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8.</w:t>
      </w:r>
    </w:p>
  </w:footnote>
  <w:footnote w:id="74">
    <w:p w14:paraId="30ABBF81" w14:textId="26B68DA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53AF7">
        <w:rPr>
          <w:rFonts w:ascii="Franklin Gothic Book" w:hAnsi="Franklin Gothic Book" w:cs="Times New Roman"/>
          <w:i/>
          <w:iCs/>
          <w:sz w:val="18"/>
          <w:szCs w:val="18"/>
        </w:rPr>
        <w:t>Id</w:t>
      </w:r>
      <w:r w:rsidR="00853AF7">
        <w:rPr>
          <w:rFonts w:ascii="Franklin Gothic Book" w:hAnsi="Franklin Gothic Book" w:cs="Times New Roman"/>
          <w:sz w:val="18"/>
          <w:szCs w:val="18"/>
        </w:rPr>
        <w:t>.</w:t>
      </w:r>
      <w:r w:rsidRPr="00804A4E">
        <w:rPr>
          <w:rFonts w:ascii="Franklin Gothic Book" w:hAnsi="Franklin Gothic Book" w:cs="Times New Roman"/>
          <w:sz w:val="18"/>
          <w:szCs w:val="18"/>
        </w:rPr>
        <w:t xml:space="preserve"> at 16. MGB does not provide expected savings by surgical service line or separately for MRI and CT services. It does not identify the volume of care that would be expected to shift from any specific hospital to the new sites to generate the estimated savings. MGB’s savings estimates do not account for any backfill of volume at its hospitals as patients move to the new site.</w:t>
      </w:r>
    </w:p>
  </w:footnote>
  <w:footnote w:id="75">
    <w:p w14:paraId="47DE7CA6" w14:textId="3BEBF981"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69" w:name="_Hlk93445817"/>
      <w:r w:rsidR="00BF2F9C" w:rsidRPr="00804A4E">
        <w:rPr>
          <w:rFonts w:ascii="Franklin Gothic Book" w:hAnsi="Franklin Gothic Book" w:cs="Times New Roman"/>
          <w:sz w:val="18"/>
          <w:szCs w:val="18"/>
        </w:rPr>
        <w:t xml:space="preserve">Ambulatory Q&amp;A, </w:t>
      </w:r>
      <w:r w:rsidR="00BF2F9C" w:rsidRPr="00804A4E">
        <w:rPr>
          <w:rFonts w:ascii="Franklin Gothic Book" w:hAnsi="Franklin Gothic Book" w:cs="Times New Roman"/>
          <w:i/>
          <w:iCs/>
          <w:sz w:val="18"/>
          <w:szCs w:val="18"/>
        </w:rPr>
        <w:t>supra</w:t>
      </w:r>
      <w:r w:rsidR="00BF2F9C" w:rsidRPr="00804A4E">
        <w:rPr>
          <w:rFonts w:ascii="Franklin Gothic Book" w:hAnsi="Franklin Gothic Book" w:cs="Times New Roman"/>
          <w:sz w:val="18"/>
          <w:szCs w:val="18"/>
        </w:rPr>
        <w:t xml:space="preserve"> note</w:t>
      </w:r>
      <w:r w:rsidR="00BF2F9C" w:rsidRPr="00804A4E" w:rsidDel="00BF2F9C">
        <w:rPr>
          <w:rFonts w:ascii="Franklin Gothic Book" w:hAnsi="Franklin Gothic Book" w:cs="Times New Roman"/>
          <w:sz w:val="18"/>
          <w:szCs w:val="18"/>
        </w:rPr>
        <w:t xml:space="preserve"> </w:t>
      </w:r>
      <w:r w:rsidR="0053179E" w:rsidRPr="00804A4E">
        <w:rPr>
          <w:rFonts w:ascii="Franklin Gothic Book" w:hAnsi="Franklin Gothic Book" w:cs="Times New Roman"/>
          <w:sz w:val="18"/>
          <w:szCs w:val="18"/>
        </w:rPr>
        <w:fldChar w:fldCharType="begin"/>
      </w:r>
      <w:r w:rsidR="0053179E" w:rsidRPr="00804A4E">
        <w:rPr>
          <w:rFonts w:ascii="Franklin Gothic Book" w:hAnsi="Franklin Gothic Book" w:cs="Times New Roman"/>
          <w:sz w:val="18"/>
          <w:szCs w:val="18"/>
        </w:rPr>
        <w:instrText xml:space="preserve"> NOTEREF _Ref93736523 \h  \* MERGEFORMAT </w:instrText>
      </w:r>
      <w:r w:rsidR="0053179E" w:rsidRPr="00804A4E">
        <w:rPr>
          <w:rFonts w:ascii="Franklin Gothic Book" w:hAnsi="Franklin Gothic Book" w:cs="Times New Roman"/>
          <w:sz w:val="18"/>
          <w:szCs w:val="18"/>
        </w:rPr>
      </w:r>
      <w:r w:rsidR="0053179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56</w:t>
      </w:r>
      <w:r w:rsidR="0053179E"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w:t>
      </w:r>
      <w:r w:rsidR="00BF2F9C" w:rsidRPr="00804A4E">
        <w:rPr>
          <w:rFonts w:ascii="Franklin Gothic Book" w:hAnsi="Franklin Gothic Book" w:cs="Times New Roman"/>
          <w:sz w:val="18"/>
          <w:szCs w:val="18"/>
        </w:rPr>
        <w:t>at 9</w:t>
      </w:r>
      <w:r w:rsidR="00FA2FDB" w:rsidRPr="00804A4E">
        <w:rPr>
          <w:rFonts w:ascii="Franklin Gothic Book" w:hAnsi="Franklin Gothic Book" w:cs="Times New Roman"/>
          <w:sz w:val="18"/>
          <w:szCs w:val="18"/>
        </w:rPr>
        <w:t xml:space="preserve"> </w:t>
      </w:r>
      <w:bookmarkEnd w:id="69"/>
      <w:r w:rsidRPr="00804A4E">
        <w:rPr>
          <w:rFonts w:ascii="Franklin Gothic Book" w:hAnsi="Franklin Gothic Book" w:cs="Times New Roman"/>
          <w:sz w:val="18"/>
          <w:szCs w:val="18"/>
        </w:rPr>
        <w:t xml:space="preserve">(“In 2016, Mass General Brigham conducted consumer research to better understand how consumers in Eastern Massachusetts make choices about which healthcare providers and services to use…. The Applicant used this information to inform its projection that 50% of Mass General Brigham patients that do not have a Mass General Brigham PCP would be willing to receive their care at one of the Project Sites – assuming their consumer preferences track with the general market”). </w:t>
      </w:r>
    </w:p>
  </w:footnote>
  <w:footnote w:id="76">
    <w:p w14:paraId="3D60BC67" w14:textId="66CF9D7B"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All-Payer Claims Database 2015 – 2018. </w:t>
      </w:r>
      <w:bookmarkStart w:id="71" w:name="_Hlk93006581"/>
      <w:r w:rsidR="00DE5843" w:rsidRPr="00804A4E">
        <w:rPr>
          <w:rFonts w:ascii="Franklin Gothic Book" w:hAnsi="Franklin Gothic Book" w:cs="Times New Roman"/>
          <w:sz w:val="18"/>
          <w:szCs w:val="18"/>
        </w:rPr>
        <w:t xml:space="preserve">See </w:t>
      </w:r>
      <w:hyperlink w:anchor="Appendix_IA" w:history="1">
        <w:r w:rsidR="00DE5843" w:rsidRPr="00804A4E">
          <w:rPr>
            <w:rStyle w:val="Hyperlink"/>
            <w:rFonts w:ascii="Franklin Gothic Book" w:hAnsi="Franklin Gothic Book" w:cs="Times New Roman"/>
            <w:sz w:val="18"/>
            <w:szCs w:val="18"/>
          </w:rPr>
          <w:t>Appendix I.A</w:t>
        </w:r>
      </w:hyperlink>
      <w:r w:rsidR="00DE5843" w:rsidRPr="00804A4E">
        <w:rPr>
          <w:rFonts w:ascii="Franklin Gothic Book" w:hAnsi="Franklin Gothic Book" w:cs="Times New Roman"/>
          <w:sz w:val="18"/>
          <w:szCs w:val="18"/>
        </w:rPr>
        <w:t xml:space="preserve"> for a description of diagnostic CT and MRI service definitions.</w:t>
      </w:r>
      <w:bookmarkEnd w:id="71"/>
    </w:p>
  </w:footnote>
  <w:footnote w:id="77">
    <w:p w14:paraId="07F2AB24" w14:textId="7777777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This assumption is likely to overstate potential savings, as smaller, lower-priced area providers may be less able to take steps to retain commercial patients than larger, higher-priced providers.</w:t>
      </w:r>
    </w:p>
  </w:footnote>
  <w:footnote w:id="78">
    <w:p w14:paraId="039C47F8" w14:textId="412FA44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last scenario modeled shows that each service provided at the ambulatory sites that would not have been provided at some other location had the ambulatory site not existed would increase total spending. This is an estimate of the per-case impacts of supply-sensitive utilization for these services. The ICAs dismiss the probability that additional capacity will result in additional unwarranted utilization, </w:t>
      </w:r>
      <w:r w:rsidR="00474622" w:rsidRPr="00804A4E">
        <w:rPr>
          <w:rFonts w:ascii="Franklin Gothic Book" w:hAnsi="Franklin Gothic Book" w:cs="Times New Roman"/>
          <w:sz w:val="18"/>
          <w:szCs w:val="18"/>
        </w:rPr>
        <w:t>but examine the question narrowly and ignore documented provider practice variation in Massachusetts, as described in</w:t>
      </w:r>
      <w:r w:rsidR="00C54521" w:rsidRPr="00804A4E">
        <w:rPr>
          <w:rFonts w:ascii="Franklin Gothic Book" w:hAnsi="Franklin Gothic Book" w:cs="Times New Roman"/>
          <w:sz w:val="18"/>
          <w:szCs w:val="18"/>
        </w:rPr>
        <w:t xml:space="preserve"> </w:t>
      </w:r>
      <w:hyperlink w:anchor="Appendix_IB" w:history="1">
        <w:r w:rsidR="00C54521" w:rsidRPr="00804A4E">
          <w:rPr>
            <w:rStyle w:val="Hyperlink"/>
            <w:rFonts w:ascii="Franklin Gothic Book" w:hAnsi="Franklin Gothic Book" w:cs="Times New Roman"/>
            <w:sz w:val="18"/>
            <w:szCs w:val="18"/>
          </w:rPr>
          <w:t>Appendix I.B</w:t>
        </w:r>
      </w:hyperlink>
      <w:r w:rsidR="00474622"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Although we </w:t>
      </w:r>
      <w:r w:rsidR="004E5F87" w:rsidRPr="00804A4E">
        <w:rPr>
          <w:rFonts w:ascii="Franklin Gothic Book" w:hAnsi="Franklin Gothic Book" w:cs="Times New Roman"/>
          <w:sz w:val="18"/>
          <w:szCs w:val="18"/>
        </w:rPr>
        <w:t xml:space="preserve">therefore </w:t>
      </w:r>
      <w:r w:rsidRPr="00804A4E">
        <w:rPr>
          <w:rFonts w:ascii="Franklin Gothic Book" w:hAnsi="Franklin Gothic Book" w:cs="Times New Roman"/>
          <w:sz w:val="18"/>
          <w:szCs w:val="18"/>
        </w:rPr>
        <w:t xml:space="preserve">think it likely that some supply-sensitive utilization of outpatient care would increase spending across all payers as a result of the expansions, we conservatively do not incorporate such increases into our spending impacts except for the TME spending impacts for primary care patients discussed in </w:t>
      </w:r>
      <w:hyperlink w:anchor="Section_IIIA1" w:history="1">
        <w:r w:rsidRPr="00804A4E">
          <w:rPr>
            <w:rStyle w:val="Hyperlink"/>
            <w:rFonts w:ascii="Franklin Gothic Book" w:hAnsi="Franklin Gothic Book" w:cs="Times New Roman"/>
            <w:sz w:val="18"/>
            <w:szCs w:val="18"/>
          </w:rPr>
          <w:t xml:space="preserve">Section </w:t>
        </w:r>
        <w:r w:rsidR="007E0710" w:rsidRPr="00804A4E">
          <w:rPr>
            <w:rStyle w:val="Hyperlink"/>
            <w:rFonts w:ascii="Franklin Gothic Book" w:hAnsi="Franklin Gothic Book" w:cs="Times New Roman"/>
            <w:sz w:val="18"/>
            <w:szCs w:val="18"/>
          </w:rPr>
          <w:t>III</w:t>
        </w:r>
        <w:r w:rsidRPr="00804A4E">
          <w:rPr>
            <w:rStyle w:val="Hyperlink"/>
            <w:rFonts w:ascii="Franklin Gothic Book" w:hAnsi="Franklin Gothic Book" w:cs="Times New Roman"/>
            <w:sz w:val="18"/>
            <w:szCs w:val="18"/>
          </w:rPr>
          <w:t>.A.1</w:t>
        </w:r>
      </w:hyperlink>
      <w:r w:rsidRPr="00804A4E">
        <w:rPr>
          <w:rFonts w:ascii="Franklin Gothic Book" w:hAnsi="Franklin Gothic Book" w:cs="Times New Roman"/>
          <w:sz w:val="18"/>
          <w:szCs w:val="18"/>
        </w:rPr>
        <w:t>, which inherently incorporate practice pattern variation.</w:t>
      </w:r>
    </w:p>
  </w:footnote>
  <w:footnote w:id="79">
    <w:p w14:paraId="1D8197F0" w14:textId="7777777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savings per case estimated by MGB, in many cases, is as great as the entire allowed amount for a visit of the relevant type observed by the HPC in the APCD.</w:t>
      </w:r>
    </w:p>
  </w:footnote>
  <w:footnote w:id="80">
    <w:p w14:paraId="0FAE976D" w14:textId="25108D0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HPC’s estimated commercial savings per case shifting to the ambulatory sites under a proportional diversion model is 22.3% for CT, 28.6% for MR, and 1.6% for ambulatory surgery across all three service areas. The Ambulatory ICA, in </w:t>
      </w:r>
      <w:r w:rsidR="00853AF7">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ICC18 through ICC26, predicts commercial savings per case shifted of 16% to 24% for CT, 24.4% to 27.3% for MR, and 2.6% to a spending increase of 6.1% for ambulatory surgery.</w:t>
      </w:r>
      <w:r w:rsidR="007E0710" w:rsidRPr="00804A4E">
        <w:rPr>
          <w:rFonts w:ascii="Franklin Gothic Book" w:hAnsi="Franklin Gothic Book" w:cs="Times New Roman"/>
          <w:sz w:val="18"/>
          <w:szCs w:val="18"/>
        </w:rPr>
        <w:t xml:space="preserve"> </w:t>
      </w:r>
      <w:r w:rsidR="00EC1EA0" w:rsidRPr="00804A4E">
        <w:rPr>
          <w:rFonts w:ascii="Franklin Gothic Book" w:hAnsi="Franklin Gothic Book" w:cs="Times New Roman"/>
          <w:i/>
          <w:iCs/>
          <w:sz w:val="18"/>
          <w:szCs w:val="18"/>
        </w:rPr>
        <w:t>See</w:t>
      </w:r>
      <w:r w:rsidR="00EC1EA0" w:rsidRPr="00804A4E">
        <w:rPr>
          <w:rFonts w:ascii="Franklin Gothic Book" w:hAnsi="Franklin Gothic Book" w:cs="Times New Roman"/>
          <w:sz w:val="18"/>
          <w:szCs w:val="18"/>
        </w:rPr>
        <w:t xml:space="preserve"> Ambulatory ICA</w:t>
      </w:r>
      <w:r w:rsidR="00C009D2" w:rsidRPr="00804A4E">
        <w:rPr>
          <w:rFonts w:ascii="Franklin Gothic Book" w:hAnsi="Franklin Gothic Book" w:cs="Times New Roman"/>
          <w:i/>
          <w:iCs/>
          <w:sz w:val="18"/>
          <w:szCs w:val="18"/>
        </w:rPr>
        <w:t>, s</w:t>
      </w:r>
      <w:r w:rsidR="00EC1EA0" w:rsidRPr="00804A4E">
        <w:rPr>
          <w:rFonts w:ascii="Franklin Gothic Book" w:hAnsi="Franklin Gothic Book" w:cs="Times New Roman"/>
          <w:i/>
          <w:iCs/>
          <w:sz w:val="18"/>
          <w:szCs w:val="18"/>
        </w:rPr>
        <w:t>upra</w:t>
      </w:r>
      <w:r w:rsidR="00EC1EA0" w:rsidRPr="00804A4E">
        <w:rPr>
          <w:rFonts w:ascii="Franklin Gothic Book" w:hAnsi="Franklin Gothic Book" w:cs="Times New Roman"/>
          <w:sz w:val="18"/>
          <w:szCs w:val="18"/>
        </w:rPr>
        <w:t xml:space="preserve"> note </w:t>
      </w:r>
      <w:r w:rsidR="002548C7" w:rsidRPr="00804A4E">
        <w:rPr>
          <w:rFonts w:ascii="Franklin Gothic Book" w:hAnsi="Franklin Gothic Book" w:cs="Times New Roman"/>
          <w:sz w:val="18"/>
          <w:szCs w:val="18"/>
        </w:rPr>
        <w:fldChar w:fldCharType="begin"/>
      </w:r>
      <w:r w:rsidR="002548C7"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2548C7" w:rsidRPr="00804A4E">
        <w:rPr>
          <w:rFonts w:ascii="Franklin Gothic Book" w:hAnsi="Franklin Gothic Book" w:cs="Times New Roman"/>
          <w:sz w:val="18"/>
          <w:szCs w:val="18"/>
        </w:rPr>
      </w:r>
      <w:r w:rsidR="002548C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548C7" w:rsidRPr="00804A4E">
        <w:rPr>
          <w:rFonts w:ascii="Franklin Gothic Book" w:hAnsi="Franklin Gothic Book" w:cs="Times New Roman"/>
          <w:sz w:val="18"/>
          <w:szCs w:val="18"/>
        </w:rPr>
        <w:fldChar w:fldCharType="end"/>
      </w:r>
      <w:r w:rsidR="001428F7" w:rsidRPr="00804A4E">
        <w:rPr>
          <w:rFonts w:ascii="Franklin Gothic Book" w:hAnsi="Franklin Gothic Book" w:cs="Times New Roman"/>
          <w:sz w:val="18"/>
          <w:szCs w:val="18"/>
        </w:rPr>
        <w:t>,</w:t>
      </w:r>
      <w:r w:rsidR="00EC1EA0" w:rsidRPr="00804A4E">
        <w:rPr>
          <w:rFonts w:ascii="Franklin Gothic Book" w:hAnsi="Franklin Gothic Book" w:cs="Times New Roman"/>
          <w:sz w:val="18"/>
          <w:szCs w:val="18"/>
        </w:rPr>
        <w:t xml:space="preserve"> </w:t>
      </w:r>
      <w:r w:rsidR="00104E28" w:rsidRPr="00804A4E">
        <w:rPr>
          <w:rFonts w:ascii="Franklin Gothic Book" w:hAnsi="Franklin Gothic Book" w:cs="Times New Roman"/>
          <w:sz w:val="18"/>
          <w:szCs w:val="18"/>
        </w:rPr>
        <w:t xml:space="preserve">at </w:t>
      </w:r>
      <w:r w:rsidR="00853AF7">
        <w:rPr>
          <w:rFonts w:ascii="Franklin Gothic Book" w:hAnsi="Franklin Gothic Book" w:cs="Times New Roman"/>
          <w:sz w:val="18"/>
          <w:szCs w:val="18"/>
        </w:rPr>
        <w:t xml:space="preserve">Figures </w:t>
      </w:r>
      <w:r w:rsidR="00FB3AE2" w:rsidRPr="00804A4E">
        <w:rPr>
          <w:rFonts w:ascii="Franklin Gothic Book" w:hAnsi="Franklin Gothic Book" w:cs="Times New Roman"/>
          <w:sz w:val="18"/>
          <w:szCs w:val="18"/>
        </w:rPr>
        <w:t>ICC</w:t>
      </w:r>
      <w:r w:rsidR="00104E28" w:rsidRPr="00804A4E">
        <w:rPr>
          <w:rFonts w:ascii="Franklin Gothic Book" w:hAnsi="Franklin Gothic Book" w:cs="Times New Roman"/>
          <w:sz w:val="18"/>
          <w:szCs w:val="18"/>
        </w:rPr>
        <w:t xml:space="preserve">18 through </w:t>
      </w:r>
      <w:r w:rsidR="00FB3AE2" w:rsidRPr="00804A4E">
        <w:rPr>
          <w:rFonts w:ascii="Franklin Gothic Book" w:hAnsi="Franklin Gothic Book" w:cs="Times New Roman"/>
          <w:sz w:val="18"/>
          <w:szCs w:val="18"/>
        </w:rPr>
        <w:t>ICC</w:t>
      </w:r>
      <w:r w:rsidR="00104E28" w:rsidRPr="00804A4E">
        <w:rPr>
          <w:rFonts w:ascii="Franklin Gothic Book" w:hAnsi="Franklin Gothic Book" w:cs="Times New Roman"/>
          <w:sz w:val="18"/>
          <w:szCs w:val="18"/>
        </w:rPr>
        <w:t>26</w:t>
      </w:r>
      <w:r w:rsidR="00FB3AE2" w:rsidRPr="00804A4E">
        <w:rPr>
          <w:rFonts w:ascii="Franklin Gothic Book" w:hAnsi="Franklin Gothic Book" w:cs="Times New Roman"/>
          <w:sz w:val="18"/>
          <w:szCs w:val="18"/>
        </w:rPr>
        <w:t>.</w:t>
      </w:r>
    </w:p>
  </w:footnote>
  <w:footnote w:id="81">
    <w:p w14:paraId="37F3DDC8" w14:textId="6E2FB7FA"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considers backfill likely given</w:t>
      </w:r>
      <w:r w:rsidR="00491689" w:rsidRPr="00804A4E">
        <w:rPr>
          <w:rFonts w:ascii="Franklin Gothic Book" w:hAnsi="Franklin Gothic Book" w:cs="Times New Roman"/>
          <w:sz w:val="18"/>
          <w:szCs w:val="18"/>
        </w:rPr>
        <w:t>: (1)</w:t>
      </w:r>
      <w:r w:rsidRPr="00804A4E">
        <w:rPr>
          <w:rFonts w:ascii="Franklin Gothic Book" w:hAnsi="Franklin Gothic Book" w:cs="Times New Roman"/>
          <w:sz w:val="18"/>
          <w:szCs w:val="18"/>
        </w:rPr>
        <w:t xml:space="preserve"> the lack of declines in volume at MGB HOPDs for advanced imaging despite its </w:t>
      </w:r>
      <w:r w:rsidR="00491689" w:rsidRPr="00804A4E">
        <w:rPr>
          <w:rFonts w:ascii="Franklin Gothic Book" w:hAnsi="Franklin Gothic Book" w:cs="Times New Roman"/>
          <w:sz w:val="18"/>
          <w:szCs w:val="18"/>
        </w:rPr>
        <w:t xml:space="preserve">current </w:t>
      </w:r>
      <w:r w:rsidRPr="00804A4E">
        <w:rPr>
          <w:rFonts w:ascii="Franklin Gothic Book" w:hAnsi="Franklin Gothic Book" w:cs="Times New Roman"/>
          <w:sz w:val="18"/>
          <w:szCs w:val="18"/>
        </w:rPr>
        <w:t xml:space="preserve">community-based advanced imaging sites, </w:t>
      </w:r>
      <w:r w:rsidR="00491689" w:rsidRPr="00804A4E">
        <w:rPr>
          <w:rFonts w:ascii="Franklin Gothic Book" w:hAnsi="Franklin Gothic Book" w:cs="Times New Roman"/>
          <w:sz w:val="18"/>
          <w:szCs w:val="18"/>
        </w:rPr>
        <w:t xml:space="preserve">(2) </w:t>
      </w:r>
      <w:r w:rsidRPr="00804A4E">
        <w:rPr>
          <w:rFonts w:ascii="Franklin Gothic Book" w:hAnsi="Franklin Gothic Book" w:cs="Times New Roman"/>
          <w:sz w:val="18"/>
          <w:szCs w:val="18"/>
        </w:rPr>
        <w:t xml:space="preserve">MGB’s </w:t>
      </w:r>
      <w:r w:rsidR="006E6D7B" w:rsidRPr="00804A4E">
        <w:rPr>
          <w:rFonts w:ascii="Franklin Gothic Book" w:hAnsi="Franklin Gothic Book" w:cs="Times New Roman"/>
          <w:sz w:val="18"/>
          <w:szCs w:val="18"/>
        </w:rPr>
        <w:t xml:space="preserve">Ambulatory Q&amp;A states </w:t>
      </w:r>
      <w:r w:rsidRPr="00804A4E">
        <w:rPr>
          <w:rFonts w:ascii="Franklin Gothic Book" w:hAnsi="Franklin Gothic Book" w:cs="Times New Roman"/>
          <w:sz w:val="18"/>
          <w:szCs w:val="18"/>
        </w:rPr>
        <w:t xml:space="preserve">that it “did not analyze the… shift of ASC eligible procedures on an origin/destination site-specific basis,” and </w:t>
      </w:r>
      <w:r w:rsidR="00491689" w:rsidRPr="00804A4E">
        <w:rPr>
          <w:rFonts w:ascii="Franklin Gothic Book" w:hAnsi="Franklin Gothic Book" w:cs="Times New Roman"/>
          <w:sz w:val="18"/>
          <w:szCs w:val="18"/>
        </w:rPr>
        <w:t xml:space="preserve">(3) </w:t>
      </w:r>
      <w:r w:rsidRPr="00804A4E">
        <w:rPr>
          <w:rFonts w:ascii="Franklin Gothic Book" w:hAnsi="Franklin Gothic Book" w:cs="Times New Roman"/>
          <w:sz w:val="18"/>
          <w:szCs w:val="18"/>
        </w:rPr>
        <w:t xml:space="preserve">MGB does not identify any expected reduction in volume or capacity at any of its HOPDs as a result of the proposed expansions. Ambulatory Q&amp;A,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86294A" w:rsidRPr="00804A4E">
        <w:rPr>
          <w:rFonts w:ascii="Franklin Gothic Book" w:hAnsi="Franklin Gothic Book" w:cs="Times New Roman"/>
          <w:sz w:val="18"/>
          <w:szCs w:val="18"/>
        </w:rPr>
        <w:t xml:space="preserve"> </w:t>
      </w:r>
      <w:r w:rsidR="0053179E" w:rsidRPr="00804A4E">
        <w:rPr>
          <w:rFonts w:ascii="Franklin Gothic Book" w:hAnsi="Franklin Gothic Book" w:cs="Times New Roman"/>
          <w:sz w:val="18"/>
          <w:szCs w:val="18"/>
        </w:rPr>
        <w:fldChar w:fldCharType="begin"/>
      </w:r>
      <w:r w:rsidR="0053179E" w:rsidRPr="00804A4E">
        <w:rPr>
          <w:rFonts w:ascii="Franklin Gothic Book" w:hAnsi="Franklin Gothic Book" w:cs="Times New Roman"/>
          <w:sz w:val="18"/>
          <w:szCs w:val="18"/>
        </w:rPr>
        <w:instrText xml:space="preserve"> NOTEREF _Ref93736523 \h  \* MERGEFORMAT </w:instrText>
      </w:r>
      <w:r w:rsidR="0053179E" w:rsidRPr="00804A4E">
        <w:rPr>
          <w:rFonts w:ascii="Franklin Gothic Book" w:hAnsi="Franklin Gothic Book" w:cs="Times New Roman"/>
          <w:sz w:val="18"/>
          <w:szCs w:val="18"/>
        </w:rPr>
      </w:r>
      <w:r w:rsidR="0053179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56</w:t>
      </w:r>
      <w:r w:rsidR="0053179E"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12, 15, and 26. </w:t>
      </w:r>
      <w:r w:rsidR="00A1474B" w:rsidRPr="00804A4E">
        <w:rPr>
          <w:rFonts w:ascii="Franklin Gothic Book" w:hAnsi="Franklin Gothic Book" w:cs="Times New Roman"/>
          <w:sz w:val="18"/>
          <w:szCs w:val="18"/>
        </w:rPr>
        <w:t xml:space="preserve">The impact of backfill </w:t>
      </w:r>
      <w:r w:rsidR="00491689" w:rsidRPr="00804A4E">
        <w:rPr>
          <w:rFonts w:ascii="Franklin Gothic Book" w:hAnsi="Franklin Gothic Book" w:cs="Times New Roman"/>
          <w:sz w:val="18"/>
          <w:szCs w:val="18"/>
        </w:rPr>
        <w:t xml:space="preserve">is likely to be more </w:t>
      </w:r>
      <w:r w:rsidR="00A1474B" w:rsidRPr="00804A4E">
        <w:rPr>
          <w:rFonts w:ascii="Franklin Gothic Book" w:hAnsi="Franklin Gothic Book" w:cs="Times New Roman"/>
          <w:sz w:val="18"/>
          <w:szCs w:val="18"/>
        </w:rPr>
        <w:t>substantial than the HPC has quantified, as other providers will also try to backfill any care diverted to the MGB sites, with higher-priced provider organizations with greater resources more likely to succeed. This would lead to the greatest net losses falling to smaller and generally lower-priced providers</w:t>
      </w:r>
      <w:r w:rsidR="00491689" w:rsidRPr="00804A4E">
        <w:rPr>
          <w:rFonts w:ascii="Franklin Gothic Book" w:hAnsi="Franklin Gothic Book" w:cs="Times New Roman"/>
          <w:sz w:val="18"/>
          <w:szCs w:val="18"/>
        </w:rPr>
        <w:t>,</w:t>
      </w:r>
      <w:r w:rsidR="00F85EED" w:rsidRPr="00804A4E">
        <w:rPr>
          <w:rFonts w:ascii="Franklin Gothic Book" w:hAnsi="Franklin Gothic Book" w:cs="Times New Roman"/>
          <w:sz w:val="18"/>
          <w:szCs w:val="18"/>
        </w:rPr>
        <w:t xml:space="preserve"> and further reduc</w:t>
      </w:r>
      <w:r w:rsidR="00491689" w:rsidRPr="00804A4E">
        <w:rPr>
          <w:rFonts w:ascii="Franklin Gothic Book" w:hAnsi="Franklin Gothic Book" w:cs="Times New Roman"/>
          <w:sz w:val="18"/>
          <w:szCs w:val="18"/>
        </w:rPr>
        <w:t>ing</w:t>
      </w:r>
      <w:r w:rsidR="00F85EED" w:rsidRPr="00804A4E">
        <w:rPr>
          <w:rFonts w:ascii="Franklin Gothic Book" w:hAnsi="Franklin Gothic Book" w:cs="Times New Roman"/>
          <w:sz w:val="18"/>
          <w:szCs w:val="18"/>
        </w:rPr>
        <w:t xml:space="preserve"> </w:t>
      </w:r>
      <w:r w:rsidR="004D3198" w:rsidRPr="00804A4E">
        <w:rPr>
          <w:rFonts w:ascii="Franklin Gothic Book" w:hAnsi="Franklin Gothic Book" w:cs="Times New Roman"/>
          <w:sz w:val="18"/>
          <w:szCs w:val="18"/>
        </w:rPr>
        <w:t>or eliminat</w:t>
      </w:r>
      <w:r w:rsidR="00491689" w:rsidRPr="00804A4E">
        <w:rPr>
          <w:rFonts w:ascii="Franklin Gothic Book" w:hAnsi="Franklin Gothic Book" w:cs="Times New Roman"/>
          <w:sz w:val="18"/>
          <w:szCs w:val="18"/>
        </w:rPr>
        <w:t>ing</w:t>
      </w:r>
      <w:r w:rsidR="00F85EED" w:rsidRPr="00804A4E">
        <w:rPr>
          <w:rFonts w:ascii="Franklin Gothic Book" w:hAnsi="Franklin Gothic Book" w:cs="Times New Roman"/>
          <w:sz w:val="18"/>
          <w:szCs w:val="18"/>
        </w:rPr>
        <w:t xml:space="preserve"> </w:t>
      </w:r>
      <w:r w:rsidR="004D3198" w:rsidRPr="00804A4E">
        <w:rPr>
          <w:rFonts w:ascii="Franklin Gothic Book" w:hAnsi="Franklin Gothic Book" w:cs="Times New Roman"/>
          <w:sz w:val="18"/>
          <w:szCs w:val="18"/>
        </w:rPr>
        <w:t xml:space="preserve">any </w:t>
      </w:r>
      <w:r w:rsidR="00F85EED" w:rsidRPr="00804A4E">
        <w:rPr>
          <w:rFonts w:ascii="Franklin Gothic Book" w:hAnsi="Franklin Gothic Book" w:cs="Times New Roman"/>
          <w:sz w:val="18"/>
          <w:szCs w:val="18"/>
        </w:rPr>
        <w:t xml:space="preserve">savings </w:t>
      </w:r>
      <w:r w:rsidR="004D3198" w:rsidRPr="00804A4E">
        <w:rPr>
          <w:rFonts w:ascii="Franklin Gothic Book" w:hAnsi="Franklin Gothic Book" w:cs="Times New Roman"/>
          <w:sz w:val="18"/>
          <w:szCs w:val="18"/>
        </w:rPr>
        <w:t xml:space="preserve">from </w:t>
      </w:r>
      <w:r w:rsidR="00F85EED" w:rsidRPr="00804A4E">
        <w:rPr>
          <w:rFonts w:ascii="Franklin Gothic Book" w:hAnsi="Franklin Gothic Book" w:cs="Times New Roman"/>
          <w:sz w:val="18"/>
          <w:szCs w:val="18"/>
        </w:rPr>
        <w:t>care shifting to the ambulatory sites.</w:t>
      </w:r>
      <w:r w:rsidR="000E7AD2" w:rsidRPr="00804A4E">
        <w:rPr>
          <w:rFonts w:ascii="Franklin Gothic Book" w:hAnsi="Franklin Gothic Book" w:cs="Times New Roman"/>
          <w:sz w:val="18"/>
          <w:szCs w:val="18"/>
        </w:rPr>
        <w:t xml:space="preserve"> The ICAs assume no backfill at MGB hospitals, as discussed in </w:t>
      </w:r>
      <w:r w:rsidR="000E7AD2" w:rsidRPr="00804A4E">
        <w:rPr>
          <w:rFonts w:ascii="Franklin Gothic Book" w:hAnsi="Franklin Gothic Book" w:cs="Times New Roman"/>
          <w:color w:val="0000FF"/>
          <w:sz w:val="18"/>
          <w:szCs w:val="18"/>
          <w:u w:val="single"/>
        </w:rPr>
        <w:fldChar w:fldCharType="begin"/>
      </w:r>
      <w:r w:rsidR="000E7AD2" w:rsidRPr="00804A4E">
        <w:rPr>
          <w:rFonts w:ascii="Franklin Gothic Book" w:hAnsi="Franklin Gothic Book" w:cs="Times New Roman"/>
          <w:color w:val="0000FF"/>
          <w:sz w:val="18"/>
          <w:szCs w:val="18"/>
          <w:u w:val="single"/>
        </w:rPr>
        <w:instrText xml:space="preserve"> REF Appendix_IB \h  \* MERGEFORMAT </w:instrText>
      </w:r>
      <w:r w:rsidR="000E7AD2" w:rsidRPr="00804A4E">
        <w:rPr>
          <w:rFonts w:ascii="Franklin Gothic Book" w:hAnsi="Franklin Gothic Book" w:cs="Times New Roman"/>
          <w:color w:val="0000FF"/>
          <w:sz w:val="18"/>
          <w:szCs w:val="18"/>
          <w:u w:val="single"/>
        </w:rPr>
      </w:r>
      <w:r w:rsidR="000E7AD2" w:rsidRPr="00804A4E">
        <w:rPr>
          <w:rFonts w:ascii="Franklin Gothic Book" w:hAnsi="Franklin Gothic Book" w:cs="Times New Roman"/>
          <w:color w:val="0000FF"/>
          <w:sz w:val="18"/>
          <w:szCs w:val="18"/>
          <w:u w:val="single"/>
        </w:rPr>
        <w:fldChar w:fldCharType="separate"/>
      </w:r>
      <w:r w:rsidR="00036554" w:rsidRPr="00036554">
        <w:rPr>
          <w:rFonts w:ascii="Franklin Gothic Book" w:hAnsi="Franklin Gothic Book" w:cs="Times New Roman"/>
          <w:color w:val="0000FF"/>
          <w:sz w:val="18"/>
          <w:szCs w:val="18"/>
          <w:u w:val="single"/>
        </w:rPr>
        <w:t>Appendix I.B</w:t>
      </w:r>
      <w:r w:rsidR="000E7AD2" w:rsidRPr="00804A4E">
        <w:rPr>
          <w:rFonts w:ascii="Franklin Gothic Book" w:hAnsi="Franklin Gothic Book" w:cs="Times New Roman"/>
          <w:color w:val="0000FF"/>
          <w:sz w:val="18"/>
          <w:szCs w:val="18"/>
          <w:u w:val="single"/>
        </w:rPr>
        <w:fldChar w:fldCharType="end"/>
      </w:r>
      <w:r w:rsidR="000E7AD2" w:rsidRPr="00804A4E">
        <w:rPr>
          <w:rFonts w:ascii="Franklin Gothic Book" w:hAnsi="Franklin Gothic Book" w:cs="Times New Roman"/>
          <w:sz w:val="18"/>
          <w:szCs w:val="18"/>
        </w:rPr>
        <w:t>.</w:t>
      </w:r>
    </w:p>
  </w:footnote>
  <w:footnote w:id="82">
    <w:p w14:paraId="21900971" w14:textId="37B1DA0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73" w:name="_Hlk93882380"/>
      <w:bookmarkStart w:id="74" w:name="_Hlk93008699"/>
      <w:r w:rsidR="00C50EB8" w:rsidRPr="00804A4E">
        <w:rPr>
          <w:rFonts w:ascii="Franklin Gothic Book" w:hAnsi="Franklin Gothic Book" w:cs="Times New Roman"/>
          <w:i/>
          <w:iCs/>
          <w:sz w:val="18"/>
          <w:szCs w:val="18"/>
        </w:rPr>
        <w:t>See</w:t>
      </w:r>
      <w:r w:rsidR="00C50EB8" w:rsidRPr="00804A4E">
        <w:rPr>
          <w:rFonts w:ascii="Franklin Gothic Book" w:hAnsi="Franklin Gothic Book" w:cs="Times New Roman"/>
          <w:sz w:val="18"/>
          <w:szCs w:val="18"/>
        </w:rPr>
        <w:t xml:space="preserve"> </w:t>
      </w:r>
      <w:hyperlink w:anchor="Appendix_IA" w:history="1">
        <w:r w:rsidR="00C50EB8" w:rsidRPr="00804A4E">
          <w:rPr>
            <w:rStyle w:val="Hyperlink"/>
            <w:rFonts w:ascii="Franklin Gothic Book" w:hAnsi="Franklin Gothic Book" w:cs="Times New Roman"/>
            <w:sz w:val="18"/>
            <w:szCs w:val="18"/>
          </w:rPr>
          <w:t>Appendix I.A</w:t>
        </w:r>
      </w:hyperlink>
      <w:r w:rsidR="00C50EB8" w:rsidRPr="00804A4E">
        <w:rPr>
          <w:rFonts w:ascii="Franklin Gothic Book" w:hAnsi="Franklin Gothic Book" w:cs="Times New Roman"/>
          <w:sz w:val="18"/>
          <w:szCs w:val="18"/>
        </w:rPr>
        <w:t xml:space="preserve"> for a description of the HPC’s methodology for calculating MGB hospital backfill spending differentials</w:t>
      </w:r>
      <w:r w:rsidRPr="00804A4E">
        <w:rPr>
          <w:rFonts w:ascii="Franklin Gothic Book" w:hAnsi="Franklin Gothic Book" w:cs="Times New Roman"/>
          <w:sz w:val="18"/>
          <w:szCs w:val="18"/>
        </w:rPr>
        <w:t>.</w:t>
      </w:r>
      <w:bookmarkEnd w:id="73"/>
      <w:bookmarkEnd w:id="74"/>
    </w:p>
  </w:footnote>
  <w:footnote w:id="83">
    <w:p w14:paraId="4E9D8057" w14:textId="64F044C9" w:rsidR="00591973" w:rsidRPr="00804A4E" w:rsidRDefault="0059197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While the HPC only quantified the impact of MGB backfilling diverted volume from its HOPDs, it is likely that other providers that would see a shift in volume to MGB would try to backfill that volume as well. If higher-priced providers were more able to backfill diverted </w:t>
      </w:r>
      <w:r w:rsidR="003A440D" w:rsidRPr="00804A4E">
        <w:rPr>
          <w:rFonts w:ascii="Franklin Gothic Book" w:hAnsi="Franklin Gothic Book" w:cs="Times New Roman"/>
          <w:sz w:val="18"/>
          <w:szCs w:val="18"/>
        </w:rPr>
        <w:t xml:space="preserve">commercial volume as compared to </w:t>
      </w:r>
      <w:r w:rsidRPr="00804A4E">
        <w:rPr>
          <w:rFonts w:ascii="Franklin Gothic Book" w:hAnsi="Franklin Gothic Book" w:cs="Times New Roman"/>
          <w:sz w:val="18"/>
          <w:szCs w:val="18"/>
        </w:rPr>
        <w:t>lower-priced providers</w:t>
      </w:r>
      <w:r w:rsidR="003A440D" w:rsidRPr="00804A4E">
        <w:rPr>
          <w:rFonts w:ascii="Franklin Gothic Book" w:hAnsi="Franklin Gothic Book" w:cs="Times New Roman"/>
          <w:sz w:val="18"/>
          <w:szCs w:val="18"/>
        </w:rPr>
        <w:t>, this dynamic would also increase spending, further reducing or eliminating any savings from diverting care to the proposed ambulatory sites.</w:t>
      </w:r>
    </w:p>
  </w:footnote>
  <w:footnote w:id="84">
    <w:p w14:paraId="2DC6E7FA" w14:textId="3EFA69B9"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based its spending and revenue impact calculations on the total capacity for CT, MRI, and ambulatory surgeries identified by MGB in its DoN application, using the greater of the annual expected throughput per CT or MRI unit or operating room or the expected cases per site at the end of the three-year ramp-up. These figures assume MGB HOPDs backfill cases diverted to the ambulatory sites, and that all care would otherwise have been provided by another provider. MGB did not provide the expected payer mix of cases at the ambulatory sites; the HPC assumed a 40% commercial patient mix across all service lines based on MGB’s hospital outpatient payer mix calculated from gross patient service revenue in CHIA’s FY19 Hospital Profiles Databook.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00C60A76" w:rsidRPr="00804A4E">
        <w:rPr>
          <w:rFonts w:ascii="Franklin Gothic Book" w:hAnsi="Franklin Gothic Book" w:cs="Times New Roman"/>
          <w:smallCaps/>
          <w:sz w:val="18"/>
          <w:szCs w:val="18"/>
        </w:rPr>
        <w:t xml:space="preserve">CHIA Hospital Profiles </w:t>
      </w:r>
      <w:r w:rsidR="00C60A76" w:rsidRPr="00804A4E">
        <w:rPr>
          <w:rFonts w:ascii="Franklin Gothic Book" w:hAnsi="Franklin Gothic Book" w:cs="Times New Roman"/>
          <w:sz w:val="18"/>
          <w:szCs w:val="18"/>
        </w:rPr>
        <w:t xml:space="preserve">Databook, </w:t>
      </w:r>
      <w:r w:rsidR="00C60A76" w:rsidRPr="00804A4E">
        <w:rPr>
          <w:rFonts w:ascii="Franklin Gothic Book" w:hAnsi="Franklin Gothic Book" w:cs="Times New Roman"/>
          <w:i/>
          <w:iCs/>
          <w:sz w:val="18"/>
          <w:szCs w:val="18"/>
        </w:rPr>
        <w:t>supra</w:t>
      </w:r>
      <w:r w:rsidR="00C60A76" w:rsidRPr="00804A4E">
        <w:rPr>
          <w:rFonts w:ascii="Franklin Gothic Book" w:hAnsi="Franklin Gothic Book" w:cs="Times New Roman"/>
          <w:sz w:val="18"/>
          <w:szCs w:val="18"/>
        </w:rPr>
        <w:t xml:space="preserve"> note </w:t>
      </w:r>
      <w:r w:rsidR="00C60A76" w:rsidRPr="00804A4E">
        <w:rPr>
          <w:rFonts w:ascii="Franklin Gothic Book" w:hAnsi="Franklin Gothic Book" w:cs="Times New Roman"/>
          <w:sz w:val="18"/>
          <w:szCs w:val="18"/>
        </w:rPr>
        <w:fldChar w:fldCharType="begin"/>
      </w:r>
      <w:r w:rsidR="00C60A76" w:rsidRPr="00804A4E">
        <w:rPr>
          <w:rFonts w:ascii="Franklin Gothic Book" w:hAnsi="Franklin Gothic Book" w:cs="Times New Roman"/>
          <w:sz w:val="18"/>
          <w:szCs w:val="18"/>
        </w:rPr>
        <w:instrText xml:space="preserve"> NOTEREF _Ref93661797 \h </w:instrText>
      </w:r>
      <w:r w:rsidR="00804A4E" w:rsidRPr="00804A4E">
        <w:rPr>
          <w:rFonts w:ascii="Franklin Gothic Book" w:hAnsi="Franklin Gothic Book" w:cs="Times New Roman"/>
          <w:sz w:val="18"/>
          <w:szCs w:val="18"/>
        </w:rPr>
        <w:instrText xml:space="preserve"> \* MERGEFORMAT </w:instrText>
      </w:r>
      <w:r w:rsidR="00C60A76" w:rsidRPr="00804A4E">
        <w:rPr>
          <w:rFonts w:ascii="Franklin Gothic Book" w:hAnsi="Franklin Gothic Book" w:cs="Times New Roman"/>
          <w:sz w:val="18"/>
          <w:szCs w:val="18"/>
        </w:rPr>
      </w:r>
      <w:r w:rsidR="00C60A76"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64</w:t>
      </w:r>
      <w:r w:rsidR="00C60A76"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This may be an underestimate of the likely commercial mix for the relevant services, as MGB’s patient panel for the proposed ambulatory service areas currently has a higher commercial payer mix.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EE3A3F"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Attachment 4: Patient Panel. </w:t>
      </w:r>
    </w:p>
  </w:footnote>
  <w:footnote w:id="85">
    <w:p w14:paraId="0E18ED6F" w14:textId="012CBA0C" w:rsidR="0055211D" w:rsidRPr="00804A4E" w:rsidRDefault="0055211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This shift would result in increased annual commercial revenue to MGB of approximately $24.</w:t>
      </w:r>
      <w:r w:rsidR="00BC614B" w:rsidRPr="00804A4E">
        <w:rPr>
          <w:rFonts w:ascii="Franklin Gothic Book" w:hAnsi="Franklin Gothic Book" w:cs="Times New Roman"/>
          <w:sz w:val="18"/>
          <w:szCs w:val="18"/>
        </w:rPr>
        <w:t>2</w:t>
      </w:r>
      <w:r w:rsidRPr="00804A4E">
        <w:rPr>
          <w:rFonts w:ascii="Franklin Gothic Book" w:hAnsi="Franklin Gothic Book" w:cs="Times New Roman"/>
          <w:sz w:val="18"/>
          <w:szCs w:val="18"/>
        </w:rPr>
        <w:t xml:space="preserve"> million to $28</w:t>
      </w:r>
      <w:r w:rsidR="003169BF" w:rsidRPr="00804A4E">
        <w:rPr>
          <w:rFonts w:ascii="Franklin Gothic Book" w:hAnsi="Franklin Gothic Book" w:cs="Times New Roman"/>
          <w:sz w:val="18"/>
          <w:szCs w:val="18"/>
        </w:rPr>
        <w:t>.</w:t>
      </w:r>
      <w:r w:rsidR="00BC614B" w:rsidRPr="00804A4E">
        <w:rPr>
          <w:rFonts w:ascii="Franklin Gothic Book" w:hAnsi="Franklin Gothic Book" w:cs="Times New Roman"/>
          <w:sz w:val="18"/>
          <w:szCs w:val="18"/>
        </w:rPr>
        <w:t>2</w:t>
      </w:r>
      <w:r w:rsidRPr="00804A4E">
        <w:rPr>
          <w:rFonts w:ascii="Franklin Gothic Book" w:hAnsi="Franklin Gothic Book" w:cs="Times New Roman"/>
          <w:sz w:val="18"/>
          <w:szCs w:val="18"/>
        </w:rPr>
        <w:t xml:space="preserve"> million and a loss of annual commercial revenue for other providers of $27.</w:t>
      </w:r>
      <w:r w:rsidR="00BC614B" w:rsidRPr="00804A4E">
        <w:rPr>
          <w:rFonts w:ascii="Franklin Gothic Book" w:hAnsi="Franklin Gothic Book" w:cs="Times New Roman"/>
          <w:sz w:val="18"/>
          <w:szCs w:val="18"/>
        </w:rPr>
        <w:t>6</w:t>
      </w:r>
      <w:r w:rsidRPr="00804A4E">
        <w:rPr>
          <w:rFonts w:ascii="Franklin Gothic Book" w:hAnsi="Franklin Gothic Book" w:cs="Times New Roman"/>
          <w:sz w:val="18"/>
          <w:szCs w:val="18"/>
        </w:rPr>
        <w:t xml:space="preserve"> million to $31.</w:t>
      </w:r>
      <w:r w:rsidR="00BC614B" w:rsidRPr="00804A4E">
        <w:rPr>
          <w:rFonts w:ascii="Franklin Gothic Book" w:hAnsi="Franklin Gothic Book" w:cs="Times New Roman"/>
          <w:sz w:val="18"/>
          <w:szCs w:val="18"/>
        </w:rPr>
        <w:t>6</w:t>
      </w:r>
      <w:r w:rsidRPr="00804A4E">
        <w:rPr>
          <w:rFonts w:ascii="Franklin Gothic Book" w:hAnsi="Franklin Gothic Book" w:cs="Times New Roman"/>
          <w:sz w:val="18"/>
          <w:szCs w:val="18"/>
        </w:rPr>
        <w:t xml:space="preserve"> million.</w:t>
      </w:r>
    </w:p>
  </w:footnote>
  <w:footnote w:id="86">
    <w:p w14:paraId="164E7C37" w14:textId="246C9C5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00BF631A" w:rsidRPr="00804A4E">
        <w:rPr>
          <w:rFonts w:ascii="Franklin Gothic Book" w:hAnsi="Franklin Gothic Book" w:cs="Times New Roman"/>
          <w:i/>
          <w:iCs/>
          <w:sz w:val="18"/>
          <w:szCs w:val="18"/>
        </w:rPr>
        <w:t xml:space="preserve">supra </w:t>
      </w:r>
      <w:r w:rsidRPr="00804A4E">
        <w:rPr>
          <w:rFonts w:ascii="Franklin Gothic Book" w:hAnsi="Franklin Gothic Book" w:cs="Times New Roman"/>
          <w:sz w:val="18"/>
          <w:szCs w:val="18"/>
        </w:rPr>
        <w:t xml:space="preserve">note </w:t>
      </w:r>
      <w:r w:rsidR="00F11960" w:rsidRPr="00804A4E">
        <w:rPr>
          <w:rFonts w:ascii="Franklin Gothic Book" w:hAnsi="Franklin Gothic Book" w:cs="Times New Roman"/>
          <w:sz w:val="18"/>
          <w:szCs w:val="18"/>
        </w:rPr>
        <w:fldChar w:fldCharType="begin"/>
      </w:r>
      <w:r w:rsidR="00F11960" w:rsidRPr="00804A4E">
        <w:rPr>
          <w:rFonts w:ascii="Franklin Gothic Book" w:hAnsi="Franklin Gothic Book" w:cs="Times New Roman"/>
          <w:sz w:val="18"/>
          <w:szCs w:val="18"/>
        </w:rPr>
        <w:instrText xml:space="preserve"> NOTEREF _Ref93004588 \h </w:instrText>
      </w:r>
      <w:r w:rsidR="001B237D" w:rsidRPr="00804A4E">
        <w:rPr>
          <w:rFonts w:ascii="Franklin Gothic Book" w:hAnsi="Franklin Gothic Book" w:cs="Times New Roman"/>
          <w:sz w:val="18"/>
          <w:szCs w:val="18"/>
        </w:rPr>
        <w:instrText xml:space="preserve"> \* MERGEFORMAT </w:instrText>
      </w:r>
      <w:r w:rsidR="00F11960" w:rsidRPr="00804A4E">
        <w:rPr>
          <w:rFonts w:ascii="Franklin Gothic Book" w:hAnsi="Franklin Gothic Book" w:cs="Times New Roman"/>
          <w:sz w:val="18"/>
          <w:szCs w:val="18"/>
        </w:rPr>
      </w:r>
      <w:r w:rsidR="00F1196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48</w:t>
      </w:r>
      <w:r w:rsidR="00F1196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87">
    <w:p w14:paraId="5C001A74" w14:textId="3E97CBCF"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In addition to potential commercial spending impacts of patients shifting to the ambulatory sites for other physician services, for which MGB did not provide sufficient information for the HPC to formulate a potential spending impact, other factors include: shifts from lower-priced clinic-based providers more difficult to identify in in THP and HPHC claims data as discussed in note</w:t>
      </w:r>
      <w:r w:rsidR="00596BAD" w:rsidRPr="00804A4E">
        <w:rPr>
          <w:rFonts w:ascii="Franklin Gothic Book" w:hAnsi="Franklin Gothic Book" w:cs="Times New Roman"/>
          <w:sz w:val="18"/>
          <w:szCs w:val="18"/>
        </w:rPr>
        <w:t xml:space="preserve"> </w:t>
      </w:r>
      <w:r w:rsidR="00F11960" w:rsidRPr="00804A4E">
        <w:rPr>
          <w:rFonts w:ascii="Franklin Gothic Book" w:hAnsi="Franklin Gothic Book" w:cs="Times New Roman"/>
          <w:sz w:val="18"/>
          <w:szCs w:val="18"/>
        </w:rPr>
        <w:fldChar w:fldCharType="begin"/>
      </w:r>
      <w:r w:rsidR="00F11960" w:rsidRPr="00804A4E">
        <w:rPr>
          <w:rFonts w:ascii="Franklin Gothic Book" w:hAnsi="Franklin Gothic Book" w:cs="Times New Roman"/>
          <w:sz w:val="18"/>
          <w:szCs w:val="18"/>
        </w:rPr>
        <w:instrText xml:space="preserve"> NOTEREF _Ref92566449 \h </w:instrText>
      </w:r>
      <w:r w:rsidR="001B237D" w:rsidRPr="00804A4E">
        <w:rPr>
          <w:rFonts w:ascii="Franklin Gothic Book" w:hAnsi="Franklin Gothic Book" w:cs="Times New Roman"/>
          <w:sz w:val="18"/>
          <w:szCs w:val="18"/>
        </w:rPr>
        <w:instrText xml:space="preserve"> \* MERGEFORMAT </w:instrText>
      </w:r>
      <w:r w:rsidR="00F11960" w:rsidRPr="00804A4E">
        <w:rPr>
          <w:rFonts w:ascii="Franklin Gothic Book" w:hAnsi="Franklin Gothic Book" w:cs="Times New Roman"/>
          <w:sz w:val="18"/>
          <w:szCs w:val="18"/>
        </w:rPr>
      </w:r>
      <w:r w:rsidR="00F1196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70</w:t>
      </w:r>
      <w:r w:rsidR="00F1196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the likelihood that smaller and non-system affiliated providers, which tend to be lower-priced, may also be less able to take steps to retain or backfill volume than higher-priced providers; and supply-sensitive utilization as discussed in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_Ref92573529 \h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77</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88">
    <w:p w14:paraId="1DDFFFB1" w14:textId="607293B2" w:rsidR="009E59F3" w:rsidRPr="00804A4E" w:rsidRDefault="009E59F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2548C7" w:rsidRPr="00804A4E">
        <w:rPr>
          <w:rFonts w:ascii="Franklin Gothic Book" w:hAnsi="Franklin Gothic Book" w:cs="Times New Roman"/>
          <w:sz w:val="18"/>
          <w:szCs w:val="18"/>
        </w:rPr>
        <w:t>See</w:t>
      </w:r>
      <w:r w:rsidR="00777AFF" w:rsidRPr="00804A4E">
        <w:rPr>
          <w:rFonts w:ascii="Franklin Gothic Book" w:hAnsi="Franklin Gothic Book" w:cs="Times New Roman"/>
          <w:color w:val="0000FF"/>
          <w:sz w:val="18"/>
          <w:szCs w:val="18"/>
        </w:rPr>
        <w:t xml:space="preserve"> </w:t>
      </w:r>
      <w:hyperlink w:anchor="Appendix_IIB" w:history="1">
        <w:r w:rsidR="00777AFF" w:rsidRPr="00804A4E">
          <w:rPr>
            <w:rStyle w:val="Hyperlink"/>
            <w:rFonts w:ascii="Franklin Gothic Book" w:hAnsi="Franklin Gothic Book" w:cs="Times New Roman"/>
            <w:sz w:val="18"/>
            <w:szCs w:val="18"/>
          </w:rPr>
          <w:t>Appendix II.B</w:t>
        </w:r>
      </w:hyperlink>
      <w:r w:rsidRPr="00804A4E">
        <w:rPr>
          <w:rFonts w:ascii="Franklin Gothic Book" w:hAnsi="Franklin Gothic Book" w:cs="Times New Roman"/>
          <w:sz w:val="18"/>
          <w:szCs w:val="18"/>
        </w:rPr>
        <w:t>.</w:t>
      </w:r>
    </w:p>
  </w:footnote>
  <w:footnote w:id="89">
    <w:p w14:paraId="0B03B121" w14:textId="5800EFD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2548C7" w:rsidRPr="00804A4E">
        <w:rPr>
          <w:rFonts w:ascii="Franklin Gothic Book" w:hAnsi="Franklin Gothic Book" w:cs="Times New Roman"/>
          <w:sz w:val="18"/>
          <w:szCs w:val="18"/>
        </w:rPr>
        <w:fldChar w:fldCharType="begin"/>
      </w:r>
      <w:r w:rsidR="002548C7" w:rsidRPr="00804A4E">
        <w:rPr>
          <w:rFonts w:ascii="Franklin Gothic Book" w:hAnsi="Franklin Gothic Book" w:cs="Times New Roman"/>
          <w:sz w:val="18"/>
          <w:szCs w:val="18"/>
        </w:rPr>
        <w:instrText xml:space="preserve"> NOTEREF _Ref93656068 \h </w:instrText>
      </w:r>
      <w:r w:rsidR="00BF631A" w:rsidRPr="00804A4E">
        <w:rPr>
          <w:rFonts w:ascii="Franklin Gothic Book" w:hAnsi="Franklin Gothic Book" w:cs="Times New Roman"/>
          <w:sz w:val="18"/>
          <w:szCs w:val="18"/>
        </w:rPr>
        <w:instrText xml:space="preserve"> \* MERGEFORMAT </w:instrText>
      </w:r>
      <w:r w:rsidR="002548C7" w:rsidRPr="00804A4E">
        <w:rPr>
          <w:rFonts w:ascii="Franklin Gothic Book" w:hAnsi="Franklin Gothic Book" w:cs="Times New Roman"/>
          <w:sz w:val="18"/>
          <w:szCs w:val="18"/>
        </w:rPr>
      </w:r>
      <w:r w:rsidR="002548C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548C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853AF7">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ICC9</w:t>
      </w:r>
      <w:r w:rsidR="00853AF7">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 xml:space="preserve">ICC17. Although the ICA shows predicted changes in shares on an all-payer basis, </w:t>
      </w:r>
      <w:r w:rsidR="00C46CB6" w:rsidRPr="00804A4E">
        <w:rPr>
          <w:rFonts w:ascii="Franklin Gothic Book" w:hAnsi="Franklin Gothic Book" w:cs="Times New Roman"/>
          <w:sz w:val="18"/>
          <w:szCs w:val="18"/>
        </w:rPr>
        <w:t xml:space="preserve">it predicts </w:t>
      </w:r>
      <w:r w:rsidRPr="00804A4E">
        <w:rPr>
          <w:rFonts w:ascii="Franklin Gothic Book" w:hAnsi="Franklin Gothic Book" w:cs="Times New Roman"/>
          <w:sz w:val="18"/>
          <w:szCs w:val="18"/>
        </w:rPr>
        <w:t>commercial</w:t>
      </w:r>
      <w:r w:rsidR="004D3198" w:rsidRPr="00804A4E">
        <w:rPr>
          <w:rFonts w:ascii="Franklin Gothic Book" w:hAnsi="Franklin Gothic Book" w:cs="Times New Roman"/>
          <w:sz w:val="18"/>
          <w:szCs w:val="18"/>
        </w:rPr>
        <w:t xml:space="preserve">ly insured patients </w:t>
      </w:r>
      <w:r w:rsidR="00C46CB6" w:rsidRPr="00804A4E">
        <w:rPr>
          <w:rFonts w:ascii="Franklin Gothic Book" w:hAnsi="Franklin Gothic Book" w:cs="Times New Roman"/>
          <w:sz w:val="18"/>
          <w:szCs w:val="18"/>
        </w:rPr>
        <w:t>would</w:t>
      </w:r>
      <w:r w:rsidRPr="00804A4E">
        <w:rPr>
          <w:rFonts w:ascii="Franklin Gothic Book" w:hAnsi="Franklin Gothic Book" w:cs="Times New Roman"/>
          <w:sz w:val="18"/>
          <w:szCs w:val="18"/>
        </w:rPr>
        <w:t xml:space="preserve"> make up a substantial portion of shifting volume, and MGB would gain commercial market share if the proportion of care shifting from other local providers (see </w:t>
      </w:r>
      <w:r w:rsidR="00853AF7">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ICC18</w:t>
      </w:r>
      <w:r w:rsidR="00853AF7">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ICC26) is higher than the commercial payer mix of those providers.</w:t>
      </w:r>
    </w:p>
  </w:footnote>
  <w:footnote w:id="90">
    <w:p w14:paraId="27AF026D" w14:textId="7777777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All-Payer Claims Database 2018.</w:t>
      </w:r>
    </w:p>
  </w:footnote>
  <w:footnote w:id="91">
    <w:p w14:paraId="7FFCD55A" w14:textId="1A3FEB4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4D3198" w:rsidRPr="00804A4E">
        <w:rPr>
          <w:rFonts w:ascii="Franklin Gothic Book" w:hAnsi="Franklin Gothic Book" w:cs="Times New Roman"/>
          <w:i/>
          <w:iCs/>
          <w:sz w:val="18"/>
          <w:szCs w:val="18"/>
        </w:rPr>
        <w:t xml:space="preserve">See, e.g., </w:t>
      </w:r>
      <w:r w:rsidR="004D3198" w:rsidRPr="00804A4E">
        <w:rPr>
          <w:rFonts w:ascii="Franklin Gothic Book" w:hAnsi="Franklin Gothic Book" w:cs="Times New Roman"/>
          <w:smallCaps/>
          <w:sz w:val="18"/>
          <w:szCs w:val="18"/>
        </w:rPr>
        <w:t>U</w:t>
      </w:r>
      <w:r w:rsidR="004D3198" w:rsidRPr="00804A4E">
        <w:rPr>
          <w:rStyle w:val="markedcontent"/>
          <w:rFonts w:ascii="Franklin Gothic Book" w:hAnsi="Franklin Gothic Book" w:cs="Times New Roman"/>
          <w:smallCaps/>
          <w:sz w:val="18"/>
          <w:szCs w:val="18"/>
        </w:rPr>
        <w:t>.S. Dep’t of Justice &amp; Fed. Trade Comm’n</w:t>
      </w:r>
      <w:r w:rsidR="004D3198" w:rsidRPr="00804A4E">
        <w:rPr>
          <w:rStyle w:val="markedcontent"/>
          <w:rFonts w:ascii="Franklin Gothic Book" w:hAnsi="Franklin Gothic Book" w:cs="Times New Roman"/>
          <w:sz w:val="18"/>
          <w:szCs w:val="18"/>
        </w:rPr>
        <w:t xml:space="preserve">, </w:t>
      </w:r>
      <w:r w:rsidR="004D3198" w:rsidRPr="00804A4E">
        <w:rPr>
          <w:rStyle w:val="markedcontent"/>
          <w:rFonts w:ascii="Franklin Gothic Book" w:hAnsi="Franklin Gothic Book" w:cs="Times New Roman"/>
          <w:smallCaps/>
          <w:sz w:val="18"/>
          <w:szCs w:val="18"/>
        </w:rPr>
        <w:t>Horizontal Merger Guidelines</w:t>
      </w:r>
      <w:r w:rsidR="004D3198" w:rsidRPr="00804A4E">
        <w:rPr>
          <w:rStyle w:val="markedcontent"/>
          <w:rFonts w:ascii="Franklin Gothic Book" w:hAnsi="Franklin Gothic Book" w:cs="Times New Roman"/>
          <w:sz w:val="18"/>
          <w:szCs w:val="18"/>
        </w:rPr>
        <w:t xml:space="preserve"> § 5.3 (2010),</w:t>
      </w:r>
      <w:r w:rsidR="00D113DC">
        <w:rPr>
          <w:rStyle w:val="markedcontent"/>
          <w:rFonts w:ascii="Franklin Gothic Book" w:hAnsi="Franklin Gothic Book" w:cs="Times New Roman"/>
          <w:i/>
          <w:iCs/>
          <w:sz w:val="18"/>
          <w:szCs w:val="18"/>
        </w:rPr>
        <w:t xml:space="preserve"> available</w:t>
      </w:r>
      <w:r w:rsidR="004D3198" w:rsidRPr="00804A4E">
        <w:rPr>
          <w:rStyle w:val="markedcontent"/>
          <w:rFonts w:ascii="Franklin Gothic Book" w:hAnsi="Franklin Gothic Book" w:cs="Times New Roman"/>
          <w:sz w:val="18"/>
          <w:szCs w:val="18"/>
        </w:rPr>
        <w:t xml:space="preserve"> </w:t>
      </w:r>
      <w:hyperlink r:id="rId34" w:history="1">
        <w:r w:rsidR="00D113DC">
          <w:rPr>
            <w:rStyle w:val="Hyperlink"/>
            <w:rFonts w:ascii="Franklin Gothic Book" w:hAnsi="Franklin Gothic Book" w:cs="Times New Roman"/>
            <w:sz w:val="18"/>
            <w:szCs w:val="18"/>
          </w:rPr>
          <w:t>at http://www.justice.gov/atr/public/guidelines/hmg-2010.pdf</w:t>
        </w:r>
      </w:hyperlink>
      <w:r w:rsidR="004D3198" w:rsidRPr="00804A4E">
        <w:rPr>
          <w:rStyle w:val="markedcontent"/>
          <w:rFonts w:ascii="Franklin Gothic Book" w:hAnsi="Franklin Gothic Book" w:cs="Times New Roman"/>
          <w:sz w:val="18"/>
          <w:szCs w:val="18"/>
        </w:rPr>
        <w:t xml:space="preserve"> (</w:t>
      </w:r>
      <w:r w:rsidR="004D3198" w:rsidRPr="00804A4E">
        <w:rPr>
          <w:rFonts w:ascii="Franklin Gothic Book" w:hAnsi="Franklin Gothic Book" w:cs="Times New Roman"/>
          <w:sz w:val="18"/>
          <w:szCs w:val="18"/>
        </w:rPr>
        <w:t xml:space="preserve">describing the use commercial market share and market concentration as key screening tools for market changes that may enhance market power); </w:t>
      </w:r>
      <w:r w:rsidR="004D3198" w:rsidRPr="00804A4E">
        <w:rPr>
          <w:rFonts w:ascii="Franklin Gothic Book" w:hAnsi="Franklin Gothic Book" w:cs="Times New Roman"/>
          <w:i/>
          <w:iCs/>
          <w:sz w:val="18"/>
          <w:szCs w:val="18"/>
        </w:rPr>
        <w:t>see also</w:t>
      </w:r>
      <w:r w:rsidR="004D3198" w:rsidRPr="00804A4E">
        <w:rPr>
          <w:rFonts w:ascii="Franklin Gothic Book" w:hAnsi="Franklin Gothic Book" w:cs="Times New Roman"/>
          <w:sz w:val="18"/>
          <w:szCs w:val="18"/>
        </w:rPr>
        <w:t xml:space="preserve"> </w:t>
      </w:r>
      <w:r w:rsidR="00F6356A" w:rsidRPr="00804A4E">
        <w:rPr>
          <w:rFonts w:ascii="Franklin Gothic Book" w:hAnsi="Franklin Gothic Book" w:cs="Times New Roman"/>
          <w:smallCaps/>
          <w:sz w:val="18"/>
          <w:szCs w:val="18"/>
        </w:rPr>
        <w:t xml:space="preserve">HPC </w:t>
      </w:r>
      <w:r w:rsidR="004D3198" w:rsidRPr="00804A4E">
        <w:rPr>
          <w:rFonts w:ascii="Franklin Gothic Book" w:hAnsi="Franklin Gothic Book" w:cs="Times New Roman"/>
          <w:smallCaps/>
          <w:sz w:val="18"/>
          <w:szCs w:val="18"/>
        </w:rPr>
        <w:t>Provider Price Variation</w:t>
      </w:r>
      <w:r w:rsidR="004D3198" w:rsidRPr="00804A4E">
        <w:rPr>
          <w:rFonts w:ascii="Franklin Gothic Book" w:hAnsi="Franklin Gothic Book" w:cs="Times New Roman"/>
          <w:sz w:val="18"/>
          <w:szCs w:val="18"/>
        </w:rPr>
        <w:t xml:space="preserve"> </w:t>
      </w:r>
      <w:r w:rsidR="00F6356A" w:rsidRPr="00804A4E">
        <w:rPr>
          <w:rFonts w:ascii="Franklin Gothic Book" w:hAnsi="Franklin Gothic Book" w:cs="Times New Roman"/>
          <w:smallCaps/>
          <w:sz w:val="18"/>
          <w:szCs w:val="18"/>
        </w:rPr>
        <w:t>Report</w:t>
      </w:r>
      <w:r w:rsidR="00F6356A" w:rsidRPr="00804A4E">
        <w:rPr>
          <w:rFonts w:ascii="Franklin Gothic Book" w:hAnsi="Franklin Gothic Book" w:cs="Times New Roman"/>
          <w:sz w:val="18"/>
          <w:szCs w:val="18"/>
        </w:rPr>
        <w:t xml:space="preserve">, </w:t>
      </w:r>
      <w:r w:rsidR="00F6356A" w:rsidRPr="00804A4E">
        <w:rPr>
          <w:rFonts w:ascii="Franklin Gothic Book" w:hAnsi="Franklin Gothic Book" w:cs="Times New Roman"/>
          <w:i/>
          <w:iCs/>
          <w:sz w:val="18"/>
          <w:szCs w:val="18"/>
        </w:rPr>
        <w:t>supra</w:t>
      </w:r>
      <w:r w:rsidR="00F6356A" w:rsidRPr="00804A4E">
        <w:rPr>
          <w:rFonts w:ascii="Franklin Gothic Book" w:hAnsi="Franklin Gothic Book" w:cs="Times New Roman"/>
          <w:sz w:val="18"/>
          <w:szCs w:val="18"/>
        </w:rPr>
        <w:t xml:space="preserve"> note </w:t>
      </w:r>
      <w:r w:rsidR="00F6356A" w:rsidRPr="00804A4E">
        <w:rPr>
          <w:rFonts w:ascii="Franklin Gothic Book" w:hAnsi="Franklin Gothic Book" w:cs="Times New Roman"/>
          <w:sz w:val="18"/>
          <w:szCs w:val="18"/>
        </w:rPr>
        <w:fldChar w:fldCharType="begin"/>
      </w:r>
      <w:r w:rsidR="00F6356A" w:rsidRPr="00804A4E">
        <w:rPr>
          <w:rFonts w:ascii="Franklin Gothic Book" w:hAnsi="Franklin Gothic Book" w:cs="Times New Roman"/>
          <w:sz w:val="18"/>
          <w:szCs w:val="18"/>
        </w:rPr>
        <w:instrText xml:space="preserve"> NOTEREF _Ref93003264 \h </w:instrText>
      </w:r>
      <w:r w:rsidR="008840D4" w:rsidRPr="00804A4E">
        <w:rPr>
          <w:rFonts w:ascii="Franklin Gothic Book" w:hAnsi="Franklin Gothic Book" w:cs="Times New Roman"/>
          <w:sz w:val="18"/>
          <w:szCs w:val="18"/>
        </w:rPr>
        <w:instrText xml:space="preserve"> \* MERGEFORMAT </w:instrText>
      </w:r>
      <w:r w:rsidR="00F6356A" w:rsidRPr="00804A4E">
        <w:rPr>
          <w:rFonts w:ascii="Franklin Gothic Book" w:hAnsi="Franklin Gothic Book" w:cs="Times New Roman"/>
          <w:sz w:val="18"/>
          <w:szCs w:val="18"/>
        </w:rPr>
      </w:r>
      <w:r w:rsidR="00F6356A"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29</w:t>
      </w:r>
      <w:r w:rsidR="00F6356A" w:rsidRPr="00804A4E">
        <w:rPr>
          <w:rFonts w:ascii="Franklin Gothic Book" w:hAnsi="Franklin Gothic Book" w:cs="Times New Roman"/>
          <w:sz w:val="18"/>
          <w:szCs w:val="18"/>
        </w:rPr>
        <w:fldChar w:fldCharType="end"/>
      </w:r>
      <w:r w:rsidR="00F6356A" w:rsidRPr="00804A4E">
        <w:rPr>
          <w:rFonts w:ascii="Franklin Gothic Book" w:hAnsi="Franklin Gothic Book" w:cs="Times New Roman"/>
          <w:sz w:val="18"/>
          <w:szCs w:val="18"/>
        </w:rPr>
        <w:t xml:space="preserve">, at </w:t>
      </w:r>
      <w:r w:rsidR="004D3198" w:rsidRPr="00804A4E">
        <w:rPr>
          <w:rFonts w:ascii="Franklin Gothic Book" w:hAnsi="Franklin Gothic Book" w:cs="Times New Roman"/>
          <w:sz w:val="18"/>
          <w:szCs w:val="18"/>
        </w:rPr>
        <w:t xml:space="preserve">12. </w:t>
      </w:r>
    </w:p>
  </w:footnote>
  <w:footnote w:id="92">
    <w:p w14:paraId="7498AB43" w14:textId="4AA902D6"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6356A" w:rsidRPr="00804A4E">
        <w:rPr>
          <w:rFonts w:ascii="Franklin Gothic Book" w:hAnsi="Franklin Gothic Book" w:cs="Times New Roman"/>
          <w:smallCaps/>
          <w:sz w:val="18"/>
          <w:szCs w:val="18"/>
        </w:rPr>
        <w:t>HPC Provider Price Variation</w:t>
      </w:r>
      <w:r w:rsidR="00F6356A" w:rsidRPr="00804A4E">
        <w:rPr>
          <w:rFonts w:ascii="Franklin Gothic Book" w:hAnsi="Franklin Gothic Book" w:cs="Times New Roman"/>
          <w:sz w:val="18"/>
          <w:szCs w:val="18"/>
        </w:rPr>
        <w:t xml:space="preserve"> </w:t>
      </w:r>
      <w:r w:rsidR="00F6356A" w:rsidRPr="00804A4E">
        <w:rPr>
          <w:rFonts w:ascii="Franklin Gothic Book" w:hAnsi="Franklin Gothic Book" w:cs="Times New Roman"/>
          <w:smallCaps/>
          <w:sz w:val="18"/>
          <w:szCs w:val="18"/>
        </w:rPr>
        <w:t>Report</w:t>
      </w:r>
      <w:r w:rsidR="00F6356A" w:rsidRPr="00804A4E">
        <w:rPr>
          <w:rFonts w:ascii="Franklin Gothic Book" w:hAnsi="Franklin Gothic Book" w:cs="Times New Roman"/>
          <w:sz w:val="18"/>
          <w:szCs w:val="18"/>
        </w:rPr>
        <w:t xml:space="preserve">, </w:t>
      </w:r>
      <w:r w:rsidR="00F6356A" w:rsidRPr="00804A4E">
        <w:rPr>
          <w:rFonts w:ascii="Franklin Gothic Book" w:hAnsi="Franklin Gothic Book" w:cs="Times New Roman"/>
          <w:i/>
          <w:iCs/>
          <w:sz w:val="18"/>
          <w:szCs w:val="18"/>
        </w:rPr>
        <w:t>supra</w:t>
      </w:r>
      <w:r w:rsidR="00F6356A" w:rsidRPr="00804A4E">
        <w:rPr>
          <w:rFonts w:ascii="Franklin Gothic Book" w:hAnsi="Franklin Gothic Book" w:cs="Times New Roman"/>
          <w:sz w:val="18"/>
          <w:szCs w:val="18"/>
        </w:rPr>
        <w:t xml:space="preserve"> note </w:t>
      </w:r>
      <w:r w:rsidR="00F6356A" w:rsidRPr="00804A4E">
        <w:rPr>
          <w:rFonts w:ascii="Franklin Gothic Book" w:hAnsi="Franklin Gothic Book" w:cs="Times New Roman"/>
          <w:sz w:val="18"/>
          <w:szCs w:val="18"/>
        </w:rPr>
        <w:fldChar w:fldCharType="begin"/>
      </w:r>
      <w:r w:rsidR="00F6356A" w:rsidRPr="00804A4E">
        <w:rPr>
          <w:rFonts w:ascii="Franklin Gothic Book" w:hAnsi="Franklin Gothic Book" w:cs="Times New Roman"/>
          <w:sz w:val="18"/>
          <w:szCs w:val="18"/>
        </w:rPr>
        <w:instrText xml:space="preserve"> NOTEREF _Ref93003264 \h </w:instrText>
      </w:r>
      <w:r w:rsidR="008840D4" w:rsidRPr="00804A4E">
        <w:rPr>
          <w:rFonts w:ascii="Franklin Gothic Book" w:hAnsi="Franklin Gothic Book" w:cs="Times New Roman"/>
          <w:sz w:val="18"/>
          <w:szCs w:val="18"/>
        </w:rPr>
        <w:instrText xml:space="preserve"> \* MERGEFORMAT </w:instrText>
      </w:r>
      <w:r w:rsidR="00F6356A" w:rsidRPr="00804A4E">
        <w:rPr>
          <w:rFonts w:ascii="Franklin Gothic Book" w:hAnsi="Franklin Gothic Book" w:cs="Times New Roman"/>
          <w:sz w:val="18"/>
          <w:szCs w:val="18"/>
        </w:rPr>
      </w:r>
      <w:r w:rsidR="00F6356A"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29</w:t>
      </w:r>
      <w:r w:rsidR="00F6356A" w:rsidRPr="00804A4E">
        <w:rPr>
          <w:rFonts w:ascii="Franklin Gothic Book" w:hAnsi="Franklin Gothic Book" w:cs="Times New Roman"/>
          <w:sz w:val="18"/>
          <w:szCs w:val="18"/>
        </w:rPr>
        <w:fldChar w:fldCharType="end"/>
      </w:r>
      <w:r w:rsidR="00F6356A" w:rsidRPr="00804A4E">
        <w:rPr>
          <w:rFonts w:ascii="Franklin Gothic Book" w:hAnsi="Franklin Gothic Book" w:cs="Times New Roman"/>
          <w:sz w:val="18"/>
          <w:szCs w:val="18"/>
        </w:rPr>
        <w:t>, at</w:t>
      </w:r>
      <w:r w:rsidRPr="00804A4E">
        <w:rPr>
          <w:rFonts w:ascii="Franklin Gothic Book" w:hAnsi="Franklin Gothic Book" w:cs="Times New Roman"/>
          <w:sz w:val="18"/>
          <w:szCs w:val="18"/>
        </w:rPr>
        <w:t xml:space="preserve"> 13. </w:t>
      </w:r>
    </w:p>
  </w:footnote>
  <w:footnote w:id="93">
    <w:p w14:paraId="1FEF1431" w14:textId="50AFCECE"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5873B7" w:rsidRPr="00804A4E">
        <w:rPr>
          <w:rFonts w:ascii="Franklin Gothic Book" w:hAnsi="Franklin Gothic Book" w:cs="Times New Roman"/>
          <w:sz w:val="18"/>
          <w:szCs w:val="18"/>
        </w:rPr>
        <w:t xml:space="preserve">This finding is in contrast to those of the ICAs, which are addressed in </w:t>
      </w:r>
      <w:r w:rsidR="005873B7" w:rsidRPr="00804A4E">
        <w:rPr>
          <w:rFonts w:ascii="Franklin Gothic Book" w:hAnsi="Franklin Gothic Book" w:cs="Times New Roman"/>
          <w:color w:val="0000FF"/>
          <w:sz w:val="18"/>
          <w:szCs w:val="18"/>
          <w:u w:val="single"/>
        </w:rPr>
        <w:fldChar w:fldCharType="begin"/>
      </w:r>
      <w:r w:rsidR="005873B7" w:rsidRPr="00804A4E">
        <w:rPr>
          <w:rFonts w:ascii="Franklin Gothic Book" w:hAnsi="Franklin Gothic Book" w:cs="Times New Roman"/>
          <w:color w:val="0000FF"/>
          <w:sz w:val="18"/>
          <w:szCs w:val="18"/>
          <w:u w:val="single"/>
        </w:rPr>
        <w:instrText xml:space="preserve"> REF Appendix_IB \h  \* MERGEFORMAT </w:instrText>
      </w:r>
      <w:r w:rsidR="005873B7" w:rsidRPr="00804A4E">
        <w:rPr>
          <w:rFonts w:ascii="Franklin Gothic Book" w:hAnsi="Franklin Gothic Book" w:cs="Times New Roman"/>
          <w:color w:val="0000FF"/>
          <w:sz w:val="18"/>
          <w:szCs w:val="18"/>
          <w:u w:val="single"/>
        </w:rPr>
      </w:r>
      <w:r w:rsidR="005873B7" w:rsidRPr="00804A4E">
        <w:rPr>
          <w:rFonts w:ascii="Franklin Gothic Book" w:hAnsi="Franklin Gothic Book" w:cs="Times New Roman"/>
          <w:color w:val="0000FF"/>
          <w:sz w:val="18"/>
          <w:szCs w:val="18"/>
          <w:u w:val="single"/>
        </w:rPr>
        <w:fldChar w:fldCharType="separate"/>
      </w:r>
      <w:r w:rsidR="00036554" w:rsidRPr="00036554">
        <w:rPr>
          <w:rFonts w:ascii="Franklin Gothic Book" w:hAnsi="Franklin Gothic Book" w:cs="Times New Roman"/>
          <w:color w:val="0000FF"/>
          <w:sz w:val="18"/>
          <w:szCs w:val="18"/>
          <w:u w:val="single"/>
        </w:rPr>
        <w:t>Appendix I.B</w:t>
      </w:r>
      <w:r w:rsidR="005873B7" w:rsidRPr="00804A4E">
        <w:rPr>
          <w:rFonts w:ascii="Franklin Gothic Book" w:hAnsi="Franklin Gothic Book" w:cs="Times New Roman"/>
          <w:color w:val="0000FF"/>
          <w:sz w:val="18"/>
          <w:szCs w:val="18"/>
          <w:u w:val="single"/>
        </w:rPr>
        <w:fldChar w:fldCharType="end"/>
      </w:r>
      <w:r w:rsidR="005873B7" w:rsidRPr="00804A4E">
        <w:rPr>
          <w:rFonts w:ascii="Franklin Gothic Book" w:hAnsi="Franklin Gothic Book" w:cs="Times New Roman"/>
          <w:sz w:val="18"/>
          <w:szCs w:val="18"/>
        </w:rPr>
        <w:t>.</w:t>
      </w:r>
      <w:r w:rsidR="007E5376" w:rsidRPr="00804A4E">
        <w:rPr>
          <w:rFonts w:ascii="Franklin Gothic Book" w:hAnsi="Franklin Gothic Book" w:cs="Times New Roman"/>
          <w:sz w:val="18"/>
          <w:szCs w:val="18"/>
        </w:rPr>
        <w:t xml:space="preserve"> </w:t>
      </w:r>
      <w:r w:rsidR="0033119B" w:rsidRPr="00804A4E">
        <w:rPr>
          <w:rFonts w:ascii="Franklin Gothic Book" w:hAnsi="Franklin Gothic Book" w:cs="Times New Roman"/>
          <w:sz w:val="18"/>
          <w:szCs w:val="18"/>
        </w:rPr>
        <w:t>A</w:t>
      </w:r>
      <w:r w:rsidR="007E5376" w:rsidRPr="00804A4E">
        <w:rPr>
          <w:rFonts w:ascii="Franklin Gothic Book" w:hAnsi="Franklin Gothic Book" w:cs="Times New Roman"/>
          <w:sz w:val="18"/>
          <w:szCs w:val="18"/>
        </w:rPr>
        <w:t xml:space="preserve"> multivariate regression model, </w:t>
      </w:r>
      <w:r w:rsidR="0033119B" w:rsidRPr="00804A4E">
        <w:rPr>
          <w:rFonts w:ascii="Franklin Gothic Book" w:hAnsi="Franklin Gothic Book" w:cs="Times New Roman"/>
          <w:sz w:val="18"/>
          <w:szCs w:val="18"/>
        </w:rPr>
        <w:t xml:space="preserve">described in </w:t>
      </w:r>
      <w:hyperlink w:anchor="Appendix_IA" w:history="1">
        <w:r w:rsidR="0033119B" w:rsidRPr="00804A4E">
          <w:rPr>
            <w:rStyle w:val="Hyperlink"/>
            <w:rFonts w:ascii="Franklin Gothic Book" w:hAnsi="Franklin Gothic Book" w:cs="Times New Roman"/>
            <w:sz w:val="18"/>
            <w:szCs w:val="18"/>
          </w:rPr>
          <w:t>Appendix I.A</w:t>
        </w:r>
      </w:hyperlink>
      <w:r w:rsidR="0033119B" w:rsidRPr="00804A4E">
        <w:rPr>
          <w:rFonts w:ascii="Franklin Gothic Book" w:hAnsi="Franklin Gothic Book" w:cs="Times New Roman"/>
          <w:sz w:val="18"/>
          <w:szCs w:val="18"/>
        </w:rPr>
        <w:t xml:space="preserve">, </w:t>
      </w:r>
      <w:r w:rsidR="007E5376" w:rsidRPr="00804A4E">
        <w:rPr>
          <w:rFonts w:ascii="Franklin Gothic Book" w:hAnsi="Franklin Gothic Book" w:cs="Times New Roman"/>
          <w:sz w:val="18"/>
          <w:szCs w:val="18"/>
        </w:rPr>
        <w:t xml:space="preserve">suggests that if MGB achieves its </w:t>
      </w:r>
      <w:r w:rsidR="00B87174">
        <w:rPr>
          <w:rFonts w:ascii="Franklin Gothic Book" w:hAnsi="Franklin Gothic Book" w:cs="Times New Roman"/>
          <w:sz w:val="18"/>
          <w:szCs w:val="18"/>
        </w:rPr>
        <w:t xml:space="preserve">full </w:t>
      </w:r>
      <w:r w:rsidR="002A3613">
        <w:rPr>
          <w:rFonts w:ascii="Franklin Gothic Book" w:hAnsi="Franklin Gothic Book" w:cs="Times New Roman"/>
          <w:sz w:val="18"/>
          <w:szCs w:val="18"/>
        </w:rPr>
        <w:t xml:space="preserve">expected increase in </w:t>
      </w:r>
      <w:r w:rsidR="007E5376" w:rsidRPr="00804A4E">
        <w:rPr>
          <w:rFonts w:ascii="Franklin Gothic Book" w:hAnsi="Franklin Gothic Book" w:cs="Times New Roman"/>
          <w:sz w:val="18"/>
          <w:szCs w:val="18"/>
        </w:rPr>
        <w:t>inpatient discharges as a result of its mu</w:t>
      </w:r>
      <w:r w:rsidR="00FC476E" w:rsidRPr="00804A4E">
        <w:rPr>
          <w:rFonts w:ascii="Franklin Gothic Book" w:hAnsi="Franklin Gothic Book" w:cs="Times New Roman"/>
          <w:sz w:val="18"/>
          <w:szCs w:val="18"/>
        </w:rPr>
        <w:t>l</w:t>
      </w:r>
      <w:r w:rsidR="007E5376" w:rsidRPr="00804A4E">
        <w:rPr>
          <w:rFonts w:ascii="Franklin Gothic Book" w:hAnsi="Franklin Gothic Book" w:cs="Times New Roman"/>
          <w:sz w:val="18"/>
          <w:szCs w:val="18"/>
        </w:rPr>
        <w:t xml:space="preserve">ti-year ambulatory expansion, </w:t>
      </w:r>
      <w:r w:rsidR="0092576E" w:rsidRPr="00804A4E">
        <w:rPr>
          <w:rFonts w:ascii="Franklin Gothic Book" w:hAnsi="Franklin Gothic Book" w:cs="Times New Roman"/>
          <w:sz w:val="18"/>
          <w:szCs w:val="18"/>
        </w:rPr>
        <w:t xml:space="preserve">it would be expected to have </w:t>
      </w:r>
      <w:r w:rsidR="007E5376" w:rsidRPr="00804A4E">
        <w:rPr>
          <w:rFonts w:ascii="Franklin Gothic Book" w:hAnsi="Franklin Gothic Book" w:cs="Times New Roman"/>
          <w:sz w:val="18"/>
          <w:szCs w:val="18"/>
        </w:rPr>
        <w:t xml:space="preserve">system-wide inpatient prices </w:t>
      </w:r>
      <w:r w:rsidR="0092576E" w:rsidRPr="00804A4E">
        <w:rPr>
          <w:rFonts w:ascii="Franklin Gothic Book" w:hAnsi="Franklin Gothic Book" w:cs="Times New Roman"/>
          <w:sz w:val="18"/>
          <w:szCs w:val="18"/>
        </w:rPr>
        <w:t xml:space="preserve">that are </w:t>
      </w:r>
      <w:r w:rsidR="007E5376" w:rsidRPr="00804A4E">
        <w:rPr>
          <w:rFonts w:ascii="Franklin Gothic Book" w:hAnsi="Franklin Gothic Book" w:cs="Times New Roman"/>
          <w:sz w:val="18"/>
          <w:szCs w:val="18"/>
        </w:rPr>
        <w:t>0.1% to 0.52%</w:t>
      </w:r>
      <w:r w:rsidR="0092576E" w:rsidRPr="00804A4E">
        <w:rPr>
          <w:rFonts w:ascii="Franklin Gothic Book" w:hAnsi="Franklin Gothic Book" w:cs="Times New Roman"/>
          <w:sz w:val="18"/>
          <w:szCs w:val="18"/>
        </w:rPr>
        <w:t xml:space="preserve"> higher than its current prices</w:t>
      </w:r>
      <w:r w:rsidR="007E5376" w:rsidRPr="00804A4E">
        <w:rPr>
          <w:rFonts w:ascii="Franklin Gothic Book" w:hAnsi="Franklin Gothic Book" w:cs="Times New Roman"/>
          <w:sz w:val="18"/>
          <w:szCs w:val="18"/>
        </w:rPr>
        <w:t>. This would translate to an annual increase in commercial spending of $1.0 million to $5.3 million</w:t>
      </w:r>
      <w:r w:rsidR="00173A89" w:rsidRPr="00804A4E">
        <w:rPr>
          <w:rFonts w:ascii="Franklin Gothic Book" w:hAnsi="Franklin Gothic Book" w:cs="Times New Roman"/>
          <w:sz w:val="18"/>
          <w:szCs w:val="18"/>
        </w:rPr>
        <w:t xml:space="preserve">, and reflects </w:t>
      </w:r>
      <w:r w:rsidR="00A81EC8" w:rsidRPr="00804A4E">
        <w:rPr>
          <w:rFonts w:ascii="Franklin Gothic Book" w:hAnsi="Franklin Gothic Book" w:cs="Times New Roman"/>
          <w:sz w:val="18"/>
          <w:szCs w:val="18"/>
        </w:rPr>
        <w:t xml:space="preserve">only </w:t>
      </w:r>
      <w:r w:rsidR="00173A89" w:rsidRPr="00804A4E">
        <w:rPr>
          <w:rFonts w:ascii="Franklin Gothic Book" w:hAnsi="Franklin Gothic Book" w:cs="Times New Roman"/>
          <w:sz w:val="18"/>
          <w:szCs w:val="18"/>
        </w:rPr>
        <w:t xml:space="preserve">the impact of increased </w:t>
      </w:r>
      <w:r w:rsidR="00F66102" w:rsidRPr="00804A4E">
        <w:rPr>
          <w:rFonts w:ascii="Franklin Gothic Book" w:hAnsi="Franklin Gothic Book" w:cs="Times New Roman"/>
          <w:sz w:val="18"/>
          <w:szCs w:val="18"/>
        </w:rPr>
        <w:t xml:space="preserve">commercial </w:t>
      </w:r>
      <w:r w:rsidR="00173A89" w:rsidRPr="00804A4E">
        <w:rPr>
          <w:rFonts w:ascii="Franklin Gothic Book" w:hAnsi="Franklin Gothic Book" w:cs="Times New Roman"/>
          <w:sz w:val="18"/>
          <w:szCs w:val="18"/>
        </w:rPr>
        <w:t xml:space="preserve">inpatient market share on prices. Increased </w:t>
      </w:r>
      <w:r w:rsidR="00F66102" w:rsidRPr="00804A4E">
        <w:rPr>
          <w:rFonts w:ascii="Franklin Gothic Book" w:hAnsi="Franklin Gothic Book" w:cs="Times New Roman"/>
          <w:sz w:val="18"/>
          <w:szCs w:val="18"/>
        </w:rPr>
        <w:t xml:space="preserve">commercial </w:t>
      </w:r>
      <w:r w:rsidR="00173A89" w:rsidRPr="00804A4E">
        <w:rPr>
          <w:rFonts w:ascii="Franklin Gothic Book" w:hAnsi="Franklin Gothic Book" w:cs="Times New Roman"/>
          <w:sz w:val="18"/>
          <w:szCs w:val="18"/>
        </w:rPr>
        <w:t xml:space="preserve">market share for other services (e.g. physician services) would also likely </w:t>
      </w:r>
      <w:r w:rsidR="00F66102" w:rsidRPr="00804A4E">
        <w:rPr>
          <w:rFonts w:ascii="Franklin Gothic Book" w:hAnsi="Franklin Gothic Book" w:cs="Times New Roman"/>
          <w:sz w:val="18"/>
          <w:szCs w:val="18"/>
        </w:rPr>
        <w:t xml:space="preserve">increase </w:t>
      </w:r>
      <w:r w:rsidR="00173A89" w:rsidRPr="00804A4E">
        <w:rPr>
          <w:rFonts w:ascii="Franklin Gothic Book" w:hAnsi="Franklin Gothic Book" w:cs="Times New Roman"/>
          <w:sz w:val="18"/>
          <w:szCs w:val="18"/>
        </w:rPr>
        <w:t xml:space="preserve">MGB’s </w:t>
      </w:r>
      <w:r w:rsidR="00F66102" w:rsidRPr="00804A4E">
        <w:rPr>
          <w:rFonts w:ascii="Franklin Gothic Book" w:hAnsi="Franklin Gothic Book" w:cs="Times New Roman"/>
          <w:sz w:val="18"/>
          <w:szCs w:val="18"/>
        </w:rPr>
        <w:t>bargaining leverage and commercial prices</w:t>
      </w:r>
      <w:r w:rsidR="007E5376" w:rsidRPr="00804A4E">
        <w:rPr>
          <w:rFonts w:ascii="Franklin Gothic Book" w:hAnsi="Franklin Gothic Book" w:cs="Times New Roman"/>
          <w:sz w:val="18"/>
          <w:szCs w:val="18"/>
        </w:rPr>
        <w:t>.</w:t>
      </w:r>
    </w:p>
  </w:footnote>
  <w:footnote w:id="94">
    <w:p w14:paraId="55175A9F" w14:textId="039D9400" w:rsidR="00180499" w:rsidRPr="00804A4E" w:rsidRDefault="00180499"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w:t>
      </w:r>
      <w:hyperlink w:anchor="Section_IVA" w:history="1">
        <w:r w:rsidRPr="00804A4E">
          <w:rPr>
            <w:rStyle w:val="Hyperlink"/>
            <w:rFonts w:ascii="Franklin Gothic Book" w:hAnsi="Franklin Gothic Book" w:cs="Times New Roman"/>
            <w:sz w:val="18"/>
            <w:szCs w:val="18"/>
          </w:rPr>
          <w:t>Section IV.A</w:t>
        </w:r>
      </w:hyperlink>
      <w:r w:rsidRPr="00804A4E">
        <w:rPr>
          <w:rFonts w:ascii="Franklin Gothic Book" w:hAnsi="Franklin Gothic Book" w:cs="Times New Roman"/>
          <w:sz w:val="18"/>
          <w:szCs w:val="18"/>
        </w:rPr>
        <w:t xml:space="preserve"> for a discussion of the implications of these revenue shifts on health equity.</w:t>
      </w:r>
    </w:p>
  </w:footnote>
  <w:footnote w:id="95">
    <w:p w14:paraId="40762D4F" w14:textId="33192023"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w:t>
      </w:r>
      <w:r w:rsidR="003A5D82" w:rsidRPr="00804A4E">
        <w:rPr>
          <w:rFonts w:ascii="Franklin Gothic Book" w:hAnsi="Franklin Gothic Book" w:cs="Times New Roman"/>
          <w:sz w:val="18"/>
          <w:szCs w:val="18"/>
        </w:rPr>
        <w:t>DoN 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A85A47" w:rsidRPr="00804A4E">
        <w:rPr>
          <w:rFonts w:ascii="Franklin Gothic Book" w:hAnsi="Franklin Gothic Book" w:cs="Times New Roman"/>
          <w:sz w:val="18"/>
          <w:szCs w:val="18"/>
        </w:rPr>
        <w:fldChar w:fldCharType="begin"/>
      </w:r>
      <w:r w:rsidR="00A85A47" w:rsidRPr="00804A4E">
        <w:rPr>
          <w:rFonts w:ascii="Franklin Gothic Book" w:hAnsi="Franklin Gothic Book" w:cs="Times New Roman"/>
          <w:sz w:val="18"/>
          <w:szCs w:val="18"/>
        </w:rPr>
        <w:instrText xml:space="preserve"> NOTEREF _Ref93624434 \h </w:instrText>
      </w:r>
      <w:r w:rsidR="00D456CF" w:rsidRPr="00804A4E">
        <w:rPr>
          <w:rFonts w:ascii="Franklin Gothic Book" w:hAnsi="Franklin Gothic Book" w:cs="Times New Roman"/>
          <w:sz w:val="18"/>
          <w:szCs w:val="18"/>
        </w:rPr>
        <w:instrText xml:space="preserve"> \* MERGEFORMAT </w:instrText>
      </w:r>
      <w:r w:rsidR="00A85A47" w:rsidRPr="00804A4E">
        <w:rPr>
          <w:rFonts w:ascii="Franklin Gothic Book" w:hAnsi="Franklin Gothic Book" w:cs="Times New Roman"/>
          <w:sz w:val="18"/>
          <w:szCs w:val="18"/>
        </w:rPr>
      </w:r>
      <w:r w:rsidR="00A85A4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A85A4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Faulkner DoN </w:t>
      </w:r>
      <w:r w:rsidR="001464F7" w:rsidRPr="00804A4E">
        <w:rPr>
          <w:rFonts w:ascii="Franklin Gothic Book" w:hAnsi="Franklin Gothic Book" w:cs="Times New Roman"/>
          <w:sz w:val="18"/>
          <w:szCs w:val="18"/>
        </w:rPr>
        <w:t>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1464F7" w:rsidRPr="00804A4E">
        <w:rPr>
          <w:rFonts w:ascii="Franklin Gothic Book" w:hAnsi="Franklin Gothic Book" w:cs="Times New Roman"/>
          <w:sz w:val="18"/>
          <w:szCs w:val="18"/>
        </w:rPr>
        <w:fldChar w:fldCharType="begin"/>
      </w:r>
      <w:r w:rsidR="001464F7" w:rsidRPr="00804A4E">
        <w:rPr>
          <w:rFonts w:ascii="Franklin Gothic Book" w:hAnsi="Franklin Gothic Book" w:cs="Times New Roman"/>
          <w:sz w:val="18"/>
          <w:szCs w:val="18"/>
        </w:rPr>
        <w:instrText xml:space="preserve"> NOTEREF _Ref93654856 \h </w:instrText>
      </w:r>
      <w:r w:rsidR="00D456CF" w:rsidRPr="00804A4E">
        <w:rPr>
          <w:rFonts w:ascii="Franklin Gothic Book" w:hAnsi="Franklin Gothic Book" w:cs="Times New Roman"/>
          <w:sz w:val="18"/>
          <w:szCs w:val="18"/>
        </w:rPr>
        <w:instrText xml:space="preserve"> \* MERGEFORMAT </w:instrText>
      </w:r>
      <w:r w:rsidR="001464F7" w:rsidRPr="00804A4E">
        <w:rPr>
          <w:rFonts w:ascii="Franklin Gothic Book" w:hAnsi="Franklin Gothic Book" w:cs="Times New Roman"/>
          <w:sz w:val="18"/>
          <w:szCs w:val="18"/>
        </w:rPr>
      </w:r>
      <w:r w:rsidR="001464F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1464F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96">
    <w:p w14:paraId="10B50280" w14:textId="28C4D21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BC07F8" w:rsidRPr="00804A4E">
        <w:rPr>
          <w:rFonts w:ascii="Franklin Gothic Book" w:hAnsi="Franklin Gothic Book" w:cs="Times New Roman"/>
          <w:sz w:val="18"/>
          <w:szCs w:val="18"/>
        </w:rPr>
        <w:t>MGH DoN 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3A5D82" w:rsidRPr="00804A4E">
        <w:rPr>
          <w:rFonts w:ascii="Franklin Gothic Book" w:hAnsi="Franklin Gothic Book" w:cs="Times New Roman"/>
          <w:sz w:val="18"/>
          <w:szCs w:val="18"/>
        </w:rPr>
        <w:t xml:space="preserve"> </w:t>
      </w:r>
      <w:r w:rsidR="00A85A47" w:rsidRPr="00804A4E">
        <w:rPr>
          <w:rFonts w:ascii="Franklin Gothic Book" w:hAnsi="Franklin Gothic Book" w:cs="Times New Roman"/>
          <w:sz w:val="18"/>
          <w:szCs w:val="18"/>
        </w:rPr>
        <w:fldChar w:fldCharType="begin"/>
      </w:r>
      <w:r w:rsidR="00A85A47" w:rsidRPr="00804A4E">
        <w:rPr>
          <w:rFonts w:ascii="Franklin Gothic Book" w:hAnsi="Franklin Gothic Book" w:cs="Times New Roman"/>
          <w:sz w:val="18"/>
          <w:szCs w:val="18"/>
        </w:rPr>
        <w:instrText xml:space="preserve"> NOTEREF _Ref93624434 \h </w:instrText>
      </w:r>
      <w:r w:rsidR="00D456CF" w:rsidRPr="00804A4E">
        <w:rPr>
          <w:rFonts w:ascii="Franklin Gothic Book" w:hAnsi="Franklin Gothic Book" w:cs="Times New Roman"/>
          <w:sz w:val="18"/>
          <w:szCs w:val="18"/>
        </w:rPr>
        <w:instrText xml:space="preserve"> \* MERGEFORMAT </w:instrText>
      </w:r>
      <w:r w:rsidR="00A85A47" w:rsidRPr="00804A4E">
        <w:rPr>
          <w:rFonts w:ascii="Franklin Gothic Book" w:hAnsi="Franklin Gothic Book" w:cs="Times New Roman"/>
          <w:sz w:val="18"/>
          <w:szCs w:val="18"/>
        </w:rPr>
      </w:r>
      <w:r w:rsidR="00A85A4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A85A4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w:t>
      </w:r>
      <w:r w:rsidR="00BC07F8" w:rsidRPr="00804A4E">
        <w:rPr>
          <w:rFonts w:ascii="Franklin Gothic Book" w:hAnsi="Franklin Gothic Book" w:cs="Times New Roman"/>
          <w:sz w:val="18"/>
          <w:szCs w:val="18"/>
        </w:rPr>
        <w:t xml:space="preserve">Appendix 2, DoN Narrative </w:t>
      </w:r>
      <w:r w:rsidRPr="00804A4E">
        <w:rPr>
          <w:rFonts w:ascii="Franklin Gothic Book" w:hAnsi="Franklin Gothic Book" w:cs="Times New Roman"/>
          <w:sz w:val="18"/>
          <w:szCs w:val="18"/>
        </w:rPr>
        <w:t xml:space="preserve">at 11. </w:t>
      </w:r>
    </w:p>
  </w:footnote>
  <w:footnote w:id="97">
    <w:p w14:paraId="0B2D90F7" w14:textId="3930B26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MGB’s responses to questions from DPH regarding bed planning projections mention a further 24 beds currently licensed but not operational that would become operational as part of the proposed project. </w:t>
      </w:r>
      <w:r w:rsidRPr="00804A4E">
        <w:rPr>
          <w:rFonts w:ascii="Franklin Gothic Book" w:hAnsi="Franklin Gothic Book" w:cs="Times New Roman"/>
          <w:smallCaps/>
          <w:sz w:val="18"/>
          <w:szCs w:val="18"/>
        </w:rPr>
        <w:t>Mass General Brigham</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MGH Bed Summary</w:t>
      </w:r>
      <w:r w:rsidRPr="00804A4E">
        <w:rPr>
          <w:rFonts w:ascii="Franklin Gothic Book" w:hAnsi="Franklin Gothic Book" w:cs="Times New Roman"/>
          <w:sz w:val="18"/>
          <w:szCs w:val="18"/>
        </w:rPr>
        <w:t xml:space="preserve"> 2 – 3 (Oct. 2021)</w:t>
      </w:r>
      <w:r w:rsidR="00793CAF" w:rsidRPr="00804A4E">
        <w:rPr>
          <w:rFonts w:ascii="Franklin Gothic Book" w:hAnsi="Franklin Gothic Book" w:cs="Times New Roman"/>
          <w:sz w:val="18"/>
          <w:szCs w:val="18"/>
        </w:rPr>
        <w:t xml:space="preserve"> [hereinafter MGH Bed Summary]</w:t>
      </w:r>
      <w:r w:rsidR="00A81EC8"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r w:rsidR="002F1D38">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35" w:history="1">
        <w:r w:rsidR="002F1D38">
          <w:rPr>
            <w:rStyle w:val="Hyperlink"/>
            <w:rFonts w:ascii="Franklin Gothic Book" w:hAnsi="Franklin Gothic Book" w:cs="Times New Roman"/>
            <w:sz w:val="18"/>
            <w:szCs w:val="18"/>
          </w:rPr>
          <w:t>at https://www.mass.gov/doc/mass-general-brigham-incorporated-mgh-bed-summary-0/download</w:t>
        </w:r>
      </w:hyperlink>
      <w:r w:rsidRPr="00804A4E">
        <w:rPr>
          <w:rFonts w:ascii="Franklin Gothic Book" w:hAnsi="Franklin Gothic Book" w:cs="Times New Roman"/>
          <w:sz w:val="18"/>
          <w:szCs w:val="18"/>
        </w:rPr>
        <w:t xml:space="preserve">. </w:t>
      </w:r>
      <w:r w:rsidR="00D11956" w:rsidRPr="00804A4E">
        <w:rPr>
          <w:rFonts w:ascii="Franklin Gothic Book" w:hAnsi="Franklin Gothic Book" w:cs="Times New Roman"/>
          <w:sz w:val="18"/>
          <w:szCs w:val="18"/>
        </w:rPr>
        <w:t xml:space="preserve">These </w:t>
      </w:r>
      <w:r w:rsidRPr="00804A4E">
        <w:rPr>
          <w:rFonts w:ascii="Franklin Gothic Book" w:hAnsi="Franklin Gothic Book" w:cs="Times New Roman"/>
          <w:sz w:val="18"/>
          <w:szCs w:val="18"/>
        </w:rPr>
        <w:t xml:space="preserve">beds </w:t>
      </w:r>
      <w:r w:rsidR="00D11956" w:rsidRPr="00804A4E">
        <w:rPr>
          <w:rFonts w:ascii="Franklin Gothic Book" w:hAnsi="Franklin Gothic Book" w:cs="Times New Roman"/>
          <w:sz w:val="18"/>
          <w:szCs w:val="18"/>
        </w:rPr>
        <w:t xml:space="preserve">are not discussed </w:t>
      </w:r>
      <w:r w:rsidRPr="00804A4E">
        <w:rPr>
          <w:rFonts w:ascii="Franklin Gothic Book" w:hAnsi="Franklin Gothic Book" w:cs="Times New Roman"/>
          <w:sz w:val="18"/>
          <w:szCs w:val="18"/>
        </w:rPr>
        <w:t xml:space="preserve">in any other part of </w:t>
      </w:r>
      <w:r w:rsidR="00D11956" w:rsidRPr="00804A4E">
        <w:rPr>
          <w:rFonts w:ascii="Franklin Gothic Book" w:hAnsi="Franklin Gothic Book" w:cs="Times New Roman"/>
          <w:sz w:val="18"/>
          <w:szCs w:val="18"/>
        </w:rPr>
        <w:t xml:space="preserve">the </w:t>
      </w:r>
      <w:r w:rsidRPr="00804A4E">
        <w:rPr>
          <w:rFonts w:ascii="Franklin Gothic Book" w:hAnsi="Franklin Gothic Book" w:cs="Times New Roman"/>
          <w:sz w:val="18"/>
          <w:szCs w:val="18"/>
        </w:rPr>
        <w:t xml:space="preserve">application and do not appear on MGB’s Change in Service filed with </w:t>
      </w:r>
      <w:r w:rsidR="00D11956" w:rsidRPr="00804A4E">
        <w:rPr>
          <w:rFonts w:ascii="Franklin Gothic Book" w:hAnsi="Franklin Gothic Book" w:cs="Times New Roman"/>
          <w:sz w:val="18"/>
          <w:szCs w:val="18"/>
        </w:rPr>
        <w:t xml:space="preserve">the </w:t>
      </w:r>
      <w:r w:rsidRPr="00804A4E">
        <w:rPr>
          <w:rFonts w:ascii="Franklin Gothic Book" w:hAnsi="Franklin Gothic Book" w:cs="Times New Roman"/>
          <w:sz w:val="18"/>
          <w:szCs w:val="18"/>
        </w:rPr>
        <w:t xml:space="preserve">DoN application. These beds appear to be distinct from currently blocked beds, which are discussed </w:t>
      </w:r>
      <w:r w:rsidR="00A81EC8" w:rsidRPr="00804A4E">
        <w:rPr>
          <w:rFonts w:ascii="Franklin Gothic Book" w:hAnsi="Franklin Gothic Book" w:cs="Times New Roman"/>
          <w:sz w:val="18"/>
          <w:szCs w:val="18"/>
        </w:rPr>
        <w:t xml:space="preserve">separately </w:t>
      </w:r>
      <w:r w:rsidRPr="00804A4E">
        <w:rPr>
          <w:rFonts w:ascii="Franklin Gothic Book" w:hAnsi="Franklin Gothic Book" w:cs="Times New Roman"/>
          <w:sz w:val="18"/>
          <w:szCs w:val="18"/>
        </w:rPr>
        <w:t xml:space="preserve">in MGH’s </w:t>
      </w:r>
      <w:r w:rsidR="00A81EC8" w:rsidRPr="00804A4E">
        <w:rPr>
          <w:rFonts w:ascii="Franklin Gothic Book" w:hAnsi="Franklin Gothic Book" w:cs="Times New Roman"/>
          <w:sz w:val="18"/>
          <w:szCs w:val="18"/>
        </w:rPr>
        <w:t>Bed Summary</w:t>
      </w:r>
      <w:r w:rsidRPr="00804A4E">
        <w:rPr>
          <w:rFonts w:ascii="Franklin Gothic Book" w:hAnsi="Franklin Gothic Book" w:cs="Times New Roman"/>
          <w:sz w:val="18"/>
          <w:szCs w:val="18"/>
        </w:rPr>
        <w:t xml:space="preserve">. </w:t>
      </w:r>
      <w:bookmarkStart w:id="83" w:name="_Hlk93582429"/>
      <w:r w:rsidRPr="00804A4E">
        <w:rPr>
          <w:rFonts w:ascii="Franklin Gothic Book" w:hAnsi="Franklin Gothic Book" w:cs="Times New Roman"/>
          <w:sz w:val="18"/>
          <w:szCs w:val="18"/>
        </w:rPr>
        <w:t xml:space="preserve">The MGH ICA includes these 24 beds in its </w:t>
      </w:r>
      <w:r w:rsidR="00793CAF" w:rsidRPr="00804A4E">
        <w:rPr>
          <w:rFonts w:ascii="Franklin Gothic Book" w:hAnsi="Franklin Gothic Book" w:cs="Times New Roman"/>
          <w:sz w:val="18"/>
          <w:szCs w:val="18"/>
        </w:rPr>
        <w:t>modeling but</w:t>
      </w:r>
      <w:r w:rsidRPr="00804A4E">
        <w:rPr>
          <w:rFonts w:ascii="Franklin Gothic Book" w:hAnsi="Franklin Gothic Book" w:cs="Times New Roman"/>
          <w:sz w:val="18"/>
          <w:szCs w:val="18"/>
        </w:rPr>
        <w:t xml:space="preserve"> omits consideration of capacity that would become available as blocked beds are decompressed.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736C83"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2 (“a net increase in the number of licensed beds at MGH of 94 and a ne</w:t>
      </w:r>
      <w:r w:rsidR="00A81EC8" w:rsidRPr="00804A4E">
        <w:rPr>
          <w:rFonts w:ascii="Franklin Gothic Book" w:hAnsi="Franklin Gothic Book" w:cs="Times New Roman"/>
          <w:sz w:val="18"/>
          <w:szCs w:val="18"/>
        </w:rPr>
        <w:t>t</w:t>
      </w:r>
      <w:r w:rsidRPr="00804A4E">
        <w:rPr>
          <w:rFonts w:ascii="Franklin Gothic Book" w:hAnsi="Franklin Gothic Book" w:cs="Times New Roman"/>
          <w:sz w:val="18"/>
          <w:szCs w:val="18"/>
        </w:rPr>
        <w:t xml:space="preserve"> increase in the number of operational beds at MGH of 118”).</w:t>
      </w:r>
      <w:bookmarkEnd w:id="83"/>
      <w:r w:rsidRPr="00804A4E">
        <w:rPr>
          <w:rFonts w:ascii="Franklin Gothic Book" w:hAnsi="Franklin Gothic Book" w:cs="Times New Roman"/>
          <w:sz w:val="18"/>
          <w:szCs w:val="18"/>
        </w:rPr>
        <w:t xml:space="preserve"> </w:t>
      </w:r>
    </w:p>
  </w:footnote>
  <w:footnote w:id="98">
    <w:p w14:paraId="6E1F0A80" w14:textId="41ACA6C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percent increase in medical/surgical beds based on a denominator of 889 operational beds as described in </w:t>
      </w:r>
      <w:r w:rsidRPr="00804A4E">
        <w:rPr>
          <w:rFonts w:ascii="Franklin Gothic Book" w:hAnsi="Franklin Gothic Book" w:cs="Times New Roman"/>
          <w:iCs/>
          <w:sz w:val="18"/>
          <w:szCs w:val="18"/>
        </w:rPr>
        <w:t>MGH Bed Summary</w:t>
      </w:r>
      <w:r w:rsidRPr="00804A4E">
        <w:rPr>
          <w:rFonts w:ascii="Franklin Gothic Book" w:hAnsi="Franklin Gothic Book" w:cs="Times New Roman"/>
          <w:sz w:val="18"/>
          <w:szCs w:val="18"/>
        </w:rPr>
        <w:t xml:space="preserve">, </w:t>
      </w:r>
      <w:r w:rsidR="00F66102" w:rsidRPr="00804A4E">
        <w:rPr>
          <w:rFonts w:ascii="Franklin Gothic Book" w:hAnsi="Franklin Gothic Book" w:cs="Times New Roman"/>
          <w:sz w:val="18"/>
          <w:szCs w:val="18"/>
        </w:rPr>
        <w:t>s</w:t>
      </w:r>
      <w:r w:rsidR="005C5C2F" w:rsidRPr="00804A4E">
        <w:rPr>
          <w:rFonts w:ascii="Franklin Gothic Book" w:hAnsi="Franklin Gothic Book" w:cs="Times New Roman"/>
          <w:i/>
          <w:iCs/>
          <w:sz w:val="18"/>
          <w:szCs w:val="18"/>
        </w:rPr>
        <w:t>upra</w:t>
      </w:r>
      <w:r w:rsidR="005C5C2F" w:rsidRPr="00804A4E">
        <w:rPr>
          <w:rFonts w:ascii="Franklin Gothic Book" w:hAnsi="Franklin Gothic Book" w:cs="Times New Roman"/>
          <w:sz w:val="18"/>
          <w:szCs w:val="18"/>
        </w:rPr>
        <w:t xml:space="preserve"> note </w:t>
      </w:r>
      <w:r w:rsidR="00D456CF" w:rsidRPr="00804A4E">
        <w:rPr>
          <w:rFonts w:ascii="Franklin Gothic Book" w:hAnsi="Franklin Gothic Book" w:cs="Times New Roman"/>
          <w:sz w:val="18"/>
          <w:szCs w:val="18"/>
        </w:rPr>
        <w:fldChar w:fldCharType="begin"/>
      </w:r>
      <w:r w:rsidR="00D456CF" w:rsidRPr="00804A4E">
        <w:rPr>
          <w:rFonts w:ascii="Franklin Gothic Book" w:hAnsi="Franklin Gothic Book" w:cs="Times New Roman"/>
          <w:sz w:val="18"/>
          <w:szCs w:val="18"/>
        </w:rPr>
        <w:instrText xml:space="preserve"> NOTEREF _Ref93738224 \h  \* MERGEFORMAT </w:instrText>
      </w:r>
      <w:r w:rsidR="00D456CF" w:rsidRPr="00804A4E">
        <w:rPr>
          <w:rFonts w:ascii="Franklin Gothic Book" w:hAnsi="Franklin Gothic Book" w:cs="Times New Roman"/>
          <w:sz w:val="18"/>
          <w:szCs w:val="18"/>
        </w:rPr>
      </w:r>
      <w:r w:rsidR="00D456CF"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96</w:t>
      </w:r>
      <w:r w:rsidR="00D456CF" w:rsidRPr="00804A4E">
        <w:rPr>
          <w:rFonts w:ascii="Franklin Gothic Book" w:hAnsi="Franklin Gothic Book" w:cs="Times New Roman"/>
          <w:sz w:val="18"/>
          <w:szCs w:val="18"/>
        </w:rPr>
        <w:fldChar w:fldCharType="end"/>
      </w:r>
      <w:r w:rsidR="005C5C2F" w:rsidRPr="00804A4E">
        <w:rPr>
          <w:rFonts w:ascii="Franklin Gothic Book" w:hAnsi="Franklin Gothic Book" w:cs="Times New Roman"/>
          <w:sz w:val="18"/>
          <w:szCs w:val="18"/>
        </w:rPr>
        <w:t xml:space="preserve"> at 3. </w:t>
      </w:r>
    </w:p>
  </w:footnote>
  <w:footnote w:id="99">
    <w:p w14:paraId="37E2C83C" w14:textId="09E6F549"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projected utilization in MGH </w:t>
      </w:r>
      <w:r w:rsidR="001464F7" w:rsidRPr="00804A4E">
        <w:rPr>
          <w:rFonts w:ascii="Franklin Gothic Book" w:hAnsi="Franklin Gothic Book" w:cs="Times New Roman"/>
          <w:sz w:val="18"/>
          <w:szCs w:val="18"/>
        </w:rPr>
        <w:t>DoN 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5C5C2F" w:rsidRPr="00804A4E">
        <w:rPr>
          <w:rFonts w:ascii="Franklin Gothic Book" w:hAnsi="Franklin Gothic Book" w:cs="Times New Roman"/>
          <w:sz w:val="18"/>
          <w:szCs w:val="18"/>
        </w:rPr>
        <w:t>11</w:t>
      </w:r>
      <w:r w:rsidRPr="00804A4E">
        <w:rPr>
          <w:rFonts w:ascii="Franklin Gothic Book" w:hAnsi="Franklin Gothic Book" w:cs="Times New Roman"/>
          <w:sz w:val="18"/>
          <w:szCs w:val="18"/>
        </w:rPr>
        <w:t xml:space="preserve">; Faulkner DoN </w:t>
      </w:r>
      <w:r w:rsidR="001464F7" w:rsidRPr="00804A4E">
        <w:rPr>
          <w:rFonts w:ascii="Franklin Gothic Book" w:hAnsi="Franklin Gothic Book" w:cs="Times New Roman"/>
          <w:sz w:val="18"/>
          <w:szCs w:val="18"/>
        </w:rPr>
        <w:t>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1464F7" w:rsidRPr="00804A4E">
        <w:rPr>
          <w:rFonts w:ascii="Franklin Gothic Book" w:hAnsi="Franklin Gothic Book" w:cs="Times New Roman"/>
          <w:sz w:val="18"/>
          <w:szCs w:val="18"/>
        </w:rPr>
        <w:fldChar w:fldCharType="begin"/>
      </w:r>
      <w:r w:rsidR="001464F7" w:rsidRPr="00804A4E">
        <w:rPr>
          <w:rFonts w:ascii="Franklin Gothic Book" w:hAnsi="Franklin Gothic Book" w:cs="Times New Roman"/>
          <w:sz w:val="18"/>
          <w:szCs w:val="18"/>
        </w:rPr>
        <w:instrText xml:space="preserve"> NOTEREF _Ref93654856 \h </w:instrText>
      </w:r>
      <w:r w:rsidR="00736C83" w:rsidRPr="00804A4E">
        <w:rPr>
          <w:rFonts w:ascii="Franklin Gothic Book" w:hAnsi="Franklin Gothic Book" w:cs="Times New Roman"/>
          <w:sz w:val="18"/>
          <w:szCs w:val="18"/>
        </w:rPr>
        <w:instrText xml:space="preserve"> \* MERGEFORMAT </w:instrText>
      </w:r>
      <w:r w:rsidR="001464F7" w:rsidRPr="00804A4E">
        <w:rPr>
          <w:rFonts w:ascii="Franklin Gothic Book" w:hAnsi="Franklin Gothic Book" w:cs="Times New Roman"/>
          <w:sz w:val="18"/>
          <w:szCs w:val="18"/>
        </w:rPr>
      </w:r>
      <w:r w:rsidR="001464F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1464F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00">
    <w:p w14:paraId="122889D4" w14:textId="7C5CB8A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examined the acuity mix of patient care delivered at MGB hospitals as compared to all other hospitals in Massachusetts using the CHIA 2019 HDD and found that MGB hospitals, like all other Massachusetts hospitals, treat substantial amounts of lower-acuity inpatient care in addition to higher-acuity car</w:t>
      </w:r>
      <w:r w:rsidR="00ED2074" w:rsidRPr="00804A4E">
        <w:rPr>
          <w:rFonts w:ascii="Franklin Gothic Book" w:hAnsi="Franklin Gothic Book" w:cs="Times New Roman"/>
          <w:sz w:val="18"/>
          <w:szCs w:val="18"/>
        </w:rPr>
        <w:t>e</w:t>
      </w:r>
      <w:r w:rsidRPr="00804A4E">
        <w:rPr>
          <w:rFonts w:ascii="Franklin Gothic Book" w:hAnsi="Franklin Gothic Book" w:cs="Times New Roman"/>
          <w:sz w:val="18"/>
          <w:szCs w:val="18"/>
        </w:rPr>
        <w:t>.</w:t>
      </w:r>
      <w:r w:rsidR="00ED2074" w:rsidRPr="00804A4E">
        <w:rPr>
          <w:rFonts w:ascii="Franklin Gothic Book" w:hAnsi="Franklin Gothic Book" w:cs="Times New Roman"/>
          <w:sz w:val="18"/>
          <w:szCs w:val="18"/>
        </w:rPr>
        <w:t xml:space="preserve"> </w:t>
      </w:r>
      <w:r w:rsidR="00ED2074" w:rsidRPr="00804A4E">
        <w:rPr>
          <w:rFonts w:ascii="Franklin Gothic Book" w:hAnsi="Franklin Gothic Book" w:cs="Times New Roman"/>
          <w:i/>
          <w:iCs/>
          <w:sz w:val="18"/>
          <w:szCs w:val="18"/>
        </w:rPr>
        <w:t>See</w:t>
      </w:r>
      <w:r w:rsidR="00ED2074" w:rsidRPr="00804A4E">
        <w:rPr>
          <w:rFonts w:ascii="Franklin Gothic Book" w:hAnsi="Franklin Gothic Book" w:cs="Times New Roman"/>
          <w:sz w:val="18"/>
          <w:szCs w:val="18"/>
        </w:rPr>
        <w:t xml:space="preserve"> </w:t>
      </w:r>
      <w:hyperlink w:anchor="Appendix_IIC" w:history="1">
        <w:r w:rsidR="00ED2074" w:rsidRPr="00804A4E">
          <w:rPr>
            <w:rStyle w:val="Hyperlink"/>
            <w:rFonts w:ascii="Franklin Gothic Book" w:hAnsi="Franklin Gothic Book" w:cs="Times New Roman"/>
            <w:sz w:val="18"/>
            <w:szCs w:val="18"/>
          </w:rPr>
          <w:t>Appendix II.C.</w:t>
        </w:r>
      </w:hyperlink>
    </w:p>
  </w:footnote>
  <w:footnote w:id="101">
    <w:p w14:paraId="383C504D" w14:textId="51B3BB71"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MGH and Faulkner ICAs support this assumption, as </w:t>
      </w:r>
      <w:r w:rsidR="00ED2074" w:rsidRPr="00804A4E">
        <w:rPr>
          <w:rFonts w:ascii="Franklin Gothic Book" w:hAnsi="Franklin Gothic Book" w:cs="Times New Roman"/>
          <w:sz w:val="18"/>
          <w:szCs w:val="18"/>
        </w:rPr>
        <w:t>the</w:t>
      </w:r>
      <w:r w:rsidRPr="00804A4E">
        <w:rPr>
          <w:rFonts w:ascii="Franklin Gothic Book" w:hAnsi="Franklin Gothic Book" w:cs="Times New Roman"/>
          <w:sz w:val="18"/>
          <w:szCs w:val="18"/>
        </w:rPr>
        <w:t xml:space="preserve"> diversion model </w:t>
      </w:r>
      <w:r w:rsidR="00ED2074" w:rsidRPr="00804A4E">
        <w:rPr>
          <w:rFonts w:ascii="Franklin Gothic Book" w:hAnsi="Franklin Gothic Book" w:cs="Times New Roman"/>
          <w:sz w:val="18"/>
          <w:szCs w:val="18"/>
        </w:rPr>
        <w:t xml:space="preserve">used in the ICAs </w:t>
      </w:r>
      <w:r w:rsidRPr="00804A4E">
        <w:rPr>
          <w:rFonts w:ascii="Franklin Gothic Book" w:hAnsi="Franklin Gothic Book" w:cs="Times New Roman"/>
          <w:sz w:val="18"/>
          <w:szCs w:val="18"/>
        </w:rPr>
        <w:t xml:space="preserve">assumes patients filling new MGH and Faulkner capacity could use other hospitals.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736C83" w:rsidRPr="00804A4E">
        <w:rPr>
          <w:rFonts w:ascii="Franklin Gothic Book" w:hAnsi="Franklin Gothic Book" w:cs="Times New Roman"/>
          <w:sz w:val="18"/>
          <w:szCs w:val="18"/>
        </w:rPr>
        <w:fldChar w:fldCharType="begin"/>
      </w:r>
      <w:r w:rsidR="00736C83" w:rsidRPr="00804A4E">
        <w:rPr>
          <w:rFonts w:ascii="Franklin Gothic Book" w:hAnsi="Franklin Gothic Book" w:cs="Times New Roman"/>
          <w:sz w:val="18"/>
          <w:szCs w:val="18"/>
        </w:rPr>
        <w:instrText xml:space="preserve"> NOTEREF _Ref93656068 \h  \* MERGEFORMAT </w:instrText>
      </w:r>
      <w:r w:rsidR="00736C83" w:rsidRPr="00804A4E">
        <w:rPr>
          <w:rFonts w:ascii="Franklin Gothic Book" w:hAnsi="Franklin Gothic Book" w:cs="Times New Roman"/>
          <w:sz w:val="18"/>
          <w:szCs w:val="18"/>
        </w:rPr>
      </w:r>
      <w:r w:rsidR="00736C8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736C8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44 to 46 (Indicating that diversion ratios “can be used to predict which competing hospitals BWFH would attract patients from if the proposed project…were approved” and that </w:t>
      </w:r>
      <w:r w:rsidR="00ED2074" w:rsidRPr="00804A4E">
        <w:rPr>
          <w:rFonts w:ascii="Franklin Gothic Book" w:hAnsi="Franklin Gothic Book" w:cs="Times New Roman"/>
          <w:sz w:val="18"/>
          <w:szCs w:val="18"/>
        </w:rPr>
        <w:t xml:space="preserve">the ICAs </w:t>
      </w:r>
      <w:r w:rsidRPr="00804A4E">
        <w:rPr>
          <w:rFonts w:ascii="Franklin Gothic Book" w:hAnsi="Franklin Gothic Book" w:cs="Times New Roman"/>
          <w:sz w:val="18"/>
          <w:szCs w:val="18"/>
        </w:rPr>
        <w:t xml:space="preserve">“calibrate the demand model so that the predicted increase in inpatient volume at BWFH exactly matches MGB’s inpatient volume projections…”). </w:t>
      </w:r>
    </w:p>
  </w:footnote>
  <w:footnote w:id="102">
    <w:p w14:paraId="7CE15BFB" w14:textId="054672A5"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166561" w:rsidRPr="00804A4E">
        <w:rPr>
          <w:rFonts w:ascii="Franklin Gothic Book" w:hAnsi="Franklin Gothic Book" w:cs="Times New Roman"/>
          <w:i/>
          <w:iCs/>
          <w:sz w:val="18"/>
          <w:szCs w:val="18"/>
        </w:rPr>
        <w:t>See</w:t>
      </w:r>
      <w:r w:rsidR="00166561" w:rsidRPr="00804A4E">
        <w:rPr>
          <w:rFonts w:ascii="Franklin Gothic Book" w:hAnsi="Franklin Gothic Book" w:cs="Times New Roman"/>
          <w:sz w:val="18"/>
          <w:szCs w:val="18"/>
        </w:rPr>
        <w:t xml:space="preserve"> </w:t>
      </w:r>
      <w:hyperlink w:anchor="Section_IVC" w:history="1">
        <w:r w:rsidR="00166561" w:rsidRPr="00804A4E">
          <w:rPr>
            <w:rStyle w:val="Hyperlink"/>
            <w:rFonts w:ascii="Franklin Gothic Book" w:hAnsi="Franklin Gothic Book" w:cs="Times New Roman"/>
            <w:sz w:val="18"/>
            <w:szCs w:val="18"/>
          </w:rPr>
          <w:t>Section IV.C</w:t>
        </w:r>
      </w:hyperlink>
      <w:r w:rsidR="00166561" w:rsidRPr="00804A4E">
        <w:rPr>
          <w:rFonts w:ascii="Franklin Gothic Book" w:hAnsi="Franklin Gothic Book" w:cs="Times New Roman"/>
          <w:sz w:val="18"/>
          <w:szCs w:val="18"/>
        </w:rPr>
        <w:t xml:space="preserve">. The models used by both the HPC and ICAs predict shifts specifically for Massachusetts patients, although the HPC’s model assumes that some proportion of new care at MGH and Faulkner would be for patients from outside Massachusetts, as described in note </w:t>
      </w:r>
      <w:r w:rsidR="00166561" w:rsidRPr="00804A4E">
        <w:rPr>
          <w:rFonts w:ascii="Franklin Gothic Book" w:hAnsi="Franklin Gothic Book" w:cs="Times New Roman"/>
          <w:sz w:val="18"/>
          <w:szCs w:val="18"/>
        </w:rPr>
        <w:fldChar w:fldCharType="begin"/>
      </w:r>
      <w:r w:rsidR="00166561" w:rsidRPr="00804A4E">
        <w:rPr>
          <w:rFonts w:ascii="Franklin Gothic Book" w:hAnsi="Franklin Gothic Book" w:cs="Times New Roman"/>
          <w:sz w:val="18"/>
          <w:szCs w:val="18"/>
        </w:rPr>
        <w:instrText xml:space="preserve"> NOTEREF _Ref90814000 \h </w:instrText>
      </w:r>
      <w:r w:rsidR="001B237D" w:rsidRPr="00804A4E">
        <w:rPr>
          <w:rFonts w:ascii="Franklin Gothic Book" w:hAnsi="Franklin Gothic Book" w:cs="Times New Roman"/>
          <w:sz w:val="18"/>
          <w:szCs w:val="18"/>
        </w:rPr>
        <w:instrText xml:space="preserve"> \* MERGEFORMAT </w:instrText>
      </w:r>
      <w:r w:rsidR="00166561" w:rsidRPr="00804A4E">
        <w:rPr>
          <w:rFonts w:ascii="Franklin Gothic Book" w:hAnsi="Franklin Gothic Book" w:cs="Times New Roman"/>
          <w:sz w:val="18"/>
          <w:szCs w:val="18"/>
        </w:rPr>
      </w:r>
      <w:r w:rsidR="0016656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103</w:t>
      </w:r>
      <w:r w:rsidR="00166561" w:rsidRPr="00804A4E">
        <w:rPr>
          <w:rFonts w:ascii="Franklin Gothic Book" w:hAnsi="Franklin Gothic Book" w:cs="Times New Roman"/>
          <w:sz w:val="18"/>
          <w:szCs w:val="18"/>
        </w:rPr>
        <w:fldChar w:fldCharType="end"/>
      </w:r>
      <w:r w:rsidR="00166561" w:rsidRPr="00804A4E">
        <w:rPr>
          <w:rFonts w:ascii="Franklin Gothic Book" w:hAnsi="Franklin Gothic Book" w:cs="Times New Roman"/>
          <w:sz w:val="18"/>
          <w:szCs w:val="18"/>
        </w:rPr>
        <w:t>, and thus have no impact on spending for Massachusetts payers.</w:t>
      </w:r>
    </w:p>
  </w:footnote>
  <w:footnote w:id="103">
    <w:p w14:paraId="6C92AD5C" w14:textId="401E48F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HPC’s preferred model of inpatient diversion assumes that newly proposed capacity would be filled by patients who would otherwise have received care at non-MGB hospitals, or that other MGB hospitals would backfill any care shifting to MGH and Faulkner. We consider this likely given </w:t>
      </w:r>
      <w:r w:rsidR="0015152D" w:rsidRPr="00804A4E">
        <w:rPr>
          <w:rFonts w:ascii="Franklin Gothic Book" w:hAnsi="Franklin Gothic Book" w:cs="Times New Roman"/>
          <w:sz w:val="18"/>
          <w:szCs w:val="18"/>
        </w:rPr>
        <w:t xml:space="preserve">that </w:t>
      </w:r>
      <w:r w:rsidRPr="00804A4E">
        <w:rPr>
          <w:rFonts w:ascii="Franklin Gothic Book" w:hAnsi="Franklin Gothic Book" w:cs="Times New Roman"/>
          <w:sz w:val="18"/>
          <w:szCs w:val="18"/>
        </w:rPr>
        <w:t xml:space="preserve">MGB has not suggested that the projects will reduce the total volume of inpatient care at its other hospitals, despite extensive discussion in the Faulkner Narrative of opportunities to provide care at Faulkner that otherwise would be provided at BWH. Such shifts from AMCs to Faulkner would reduce spending, with the HPC estimating annual commercial savings of up to $1.2 million if Faulkner drew inpatients from MGB hospitals (excluding MGH); however, </w:t>
      </w:r>
      <w:r w:rsidR="0015152D" w:rsidRPr="00804A4E">
        <w:rPr>
          <w:rFonts w:ascii="Franklin Gothic Book" w:hAnsi="Franklin Gothic Book" w:cs="Times New Roman"/>
          <w:sz w:val="18"/>
          <w:szCs w:val="18"/>
        </w:rPr>
        <w:t xml:space="preserve">absent </w:t>
      </w:r>
      <w:r w:rsidRPr="00804A4E">
        <w:rPr>
          <w:rFonts w:ascii="Franklin Gothic Book" w:hAnsi="Franklin Gothic Book" w:cs="Times New Roman"/>
          <w:sz w:val="18"/>
          <w:szCs w:val="18"/>
        </w:rPr>
        <w:t xml:space="preserve">evidence that total volume will fall at other MGB hospitals, we consider this scenario less likely. </w:t>
      </w:r>
      <w:r w:rsidR="000E7AD2" w:rsidRPr="00804A4E">
        <w:rPr>
          <w:rFonts w:ascii="Franklin Gothic Book" w:hAnsi="Franklin Gothic Book" w:cs="Times New Roman"/>
          <w:sz w:val="18"/>
          <w:szCs w:val="18"/>
        </w:rPr>
        <w:t xml:space="preserve">The ICAs assume no backfill at other MGB sites, as described in </w:t>
      </w:r>
      <w:r w:rsidR="000E7AD2" w:rsidRPr="00804A4E">
        <w:rPr>
          <w:rFonts w:ascii="Franklin Gothic Book" w:hAnsi="Franklin Gothic Book" w:cs="Times New Roman"/>
          <w:color w:val="0000FF"/>
          <w:sz w:val="18"/>
          <w:szCs w:val="18"/>
          <w:u w:val="single"/>
        </w:rPr>
        <w:fldChar w:fldCharType="begin"/>
      </w:r>
      <w:r w:rsidR="000E7AD2" w:rsidRPr="00804A4E">
        <w:rPr>
          <w:rFonts w:ascii="Franklin Gothic Book" w:hAnsi="Franklin Gothic Book" w:cs="Times New Roman"/>
          <w:color w:val="0000FF"/>
          <w:sz w:val="18"/>
          <w:szCs w:val="18"/>
          <w:u w:val="single"/>
        </w:rPr>
        <w:instrText xml:space="preserve"> REF Appendix_IB \h  \* MERGEFORMAT </w:instrText>
      </w:r>
      <w:r w:rsidR="000E7AD2" w:rsidRPr="00804A4E">
        <w:rPr>
          <w:rFonts w:ascii="Franklin Gothic Book" w:hAnsi="Franklin Gothic Book" w:cs="Times New Roman"/>
          <w:color w:val="0000FF"/>
          <w:sz w:val="18"/>
          <w:szCs w:val="18"/>
          <w:u w:val="single"/>
        </w:rPr>
      </w:r>
      <w:r w:rsidR="000E7AD2" w:rsidRPr="00804A4E">
        <w:rPr>
          <w:rFonts w:ascii="Franklin Gothic Book" w:hAnsi="Franklin Gothic Book" w:cs="Times New Roman"/>
          <w:color w:val="0000FF"/>
          <w:sz w:val="18"/>
          <w:szCs w:val="18"/>
          <w:u w:val="single"/>
        </w:rPr>
        <w:fldChar w:fldCharType="separate"/>
      </w:r>
      <w:r w:rsidR="00036554" w:rsidRPr="00036554">
        <w:rPr>
          <w:rFonts w:ascii="Franklin Gothic Book" w:hAnsi="Franklin Gothic Book" w:cs="Times New Roman"/>
          <w:color w:val="0000FF"/>
          <w:sz w:val="18"/>
          <w:szCs w:val="18"/>
          <w:u w:val="single"/>
        </w:rPr>
        <w:t>Appendix I.B</w:t>
      </w:r>
      <w:r w:rsidR="000E7AD2" w:rsidRPr="00804A4E">
        <w:rPr>
          <w:rFonts w:ascii="Franklin Gothic Book" w:hAnsi="Franklin Gothic Book" w:cs="Times New Roman"/>
          <w:color w:val="0000FF"/>
          <w:sz w:val="18"/>
          <w:szCs w:val="18"/>
          <w:u w:val="single"/>
        </w:rPr>
        <w:fldChar w:fldCharType="end"/>
      </w:r>
      <w:r w:rsidR="000E7AD2" w:rsidRPr="00804A4E">
        <w:rPr>
          <w:rFonts w:ascii="Franklin Gothic Book" w:hAnsi="Franklin Gothic Book" w:cs="Times New Roman"/>
          <w:sz w:val="18"/>
          <w:szCs w:val="18"/>
        </w:rPr>
        <w:t>.</w:t>
      </w:r>
    </w:p>
  </w:footnote>
  <w:footnote w:id="104">
    <w:p w14:paraId="521181F4" w14:textId="3C6E3400"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16580" w:rsidRPr="00804A4E">
        <w:rPr>
          <w:rFonts w:ascii="Franklin Gothic Book" w:hAnsi="Franklin Gothic Book" w:cs="Times New Roman"/>
          <w:sz w:val="18"/>
          <w:szCs w:val="18"/>
        </w:rPr>
        <w:t xml:space="preserve">See </w:t>
      </w:r>
      <w:hyperlink w:anchor="Appendix_IA" w:history="1">
        <w:r w:rsidR="00F16580" w:rsidRPr="00804A4E">
          <w:rPr>
            <w:rStyle w:val="Hyperlink"/>
            <w:rFonts w:ascii="Franklin Gothic Book" w:hAnsi="Franklin Gothic Book" w:cs="Times New Roman"/>
            <w:sz w:val="18"/>
            <w:szCs w:val="18"/>
          </w:rPr>
          <w:t>Appendix I.A</w:t>
        </w:r>
      </w:hyperlink>
      <w:r w:rsidR="00F16580" w:rsidRPr="00804A4E">
        <w:rPr>
          <w:rFonts w:ascii="Franklin Gothic Book" w:hAnsi="Franklin Gothic Book" w:cs="Times New Roman"/>
          <w:sz w:val="18"/>
          <w:szCs w:val="18"/>
        </w:rPr>
        <w:t xml:space="preserve"> for detail on the HPC’s methodology for calculating volume and spending impacts.</w:t>
      </w:r>
      <w:r w:rsidR="001350E7"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The HPC’s higher volume model assumes an increase in bed capacity of 144 at MGH </w:t>
      </w:r>
      <w:r w:rsidR="001350E7" w:rsidRPr="00804A4E">
        <w:rPr>
          <w:rFonts w:ascii="Franklin Gothic Book" w:hAnsi="Franklin Gothic Book" w:cs="Times New Roman"/>
          <w:sz w:val="18"/>
          <w:szCs w:val="18"/>
        </w:rPr>
        <w:t>(including 50</w:t>
      </w:r>
      <w:r w:rsidR="002D3DCC" w:rsidRPr="00804A4E">
        <w:rPr>
          <w:rFonts w:ascii="Franklin Gothic Book" w:hAnsi="Franklin Gothic Book" w:cs="Times New Roman"/>
          <w:sz w:val="18"/>
          <w:szCs w:val="18"/>
        </w:rPr>
        <w:t xml:space="preserve"> beds no longer blocked) </w:t>
      </w:r>
      <w:r w:rsidRPr="00804A4E">
        <w:rPr>
          <w:rFonts w:ascii="Franklin Gothic Book" w:hAnsi="Franklin Gothic Book" w:cs="Times New Roman"/>
          <w:sz w:val="18"/>
          <w:szCs w:val="18"/>
        </w:rPr>
        <w:t xml:space="preserve">and 78 beds at Faulkner, with commercial mix, out-of-state patient mix, and length of stay equal to current levels. The HPC’s lower volume model assumes </w:t>
      </w:r>
      <w:r w:rsidR="002D3DCC" w:rsidRPr="00804A4E">
        <w:rPr>
          <w:rFonts w:ascii="Franklin Gothic Book" w:hAnsi="Franklin Gothic Book" w:cs="Times New Roman"/>
          <w:sz w:val="18"/>
          <w:szCs w:val="18"/>
        </w:rPr>
        <w:t xml:space="preserve">30 beds no longer blocked at MGH for a net increase in capacity of 124, and </w:t>
      </w:r>
      <w:r w:rsidRPr="00804A4E">
        <w:rPr>
          <w:rFonts w:ascii="Franklin Gothic Book" w:hAnsi="Franklin Gothic Book" w:cs="Times New Roman"/>
          <w:sz w:val="18"/>
          <w:szCs w:val="18"/>
        </w:rPr>
        <w:t xml:space="preserve">a decrease in commercial mix and increase in out-of-state patient days equal to the changes </w:t>
      </w:r>
      <w:r w:rsidR="002648DC" w:rsidRPr="00804A4E">
        <w:rPr>
          <w:rFonts w:ascii="Franklin Gothic Book" w:hAnsi="Franklin Gothic Book" w:cs="Times New Roman"/>
          <w:sz w:val="18"/>
          <w:szCs w:val="18"/>
        </w:rPr>
        <w:t>at</w:t>
      </w:r>
      <w:r w:rsidRPr="00804A4E">
        <w:rPr>
          <w:rFonts w:ascii="Franklin Gothic Book" w:hAnsi="Franklin Gothic Book" w:cs="Times New Roman"/>
          <w:sz w:val="18"/>
          <w:szCs w:val="18"/>
        </w:rPr>
        <w:t xml:space="preserve"> each hospital from 2009 to 2019, adjusting rates for ICU beds separately for MGH projections. The lower volume model also assumes an increase in average length of stay for all patients equal to statewide increases from 2009 to 2019. Both models assume utilization rates equal to those provided in MGB’s Change in Service forms; this may represent a conservative approach for MGH, as some supplemental filings indicate a higher projected utilization rate. </w:t>
      </w:r>
      <w:r w:rsidRPr="00804A4E">
        <w:rPr>
          <w:rFonts w:ascii="Franklin Gothic Book" w:hAnsi="Franklin Gothic Book" w:cs="Times New Roman"/>
          <w:smallCaps/>
          <w:sz w:val="18"/>
          <w:szCs w:val="18"/>
        </w:rPr>
        <w:t>Mass General Brigham</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MGH – Applicant Response Submission Excel File</w:t>
      </w:r>
      <w:r w:rsidRPr="00804A4E">
        <w:rPr>
          <w:rFonts w:ascii="Franklin Gothic Book" w:hAnsi="Franklin Gothic Book" w:cs="Times New Roman"/>
          <w:sz w:val="18"/>
          <w:szCs w:val="18"/>
        </w:rPr>
        <w:t xml:space="preserve"> tab 3.a (Oct. 2021), </w:t>
      </w:r>
      <w:r w:rsidR="00D36307">
        <w:rPr>
          <w:rFonts w:ascii="Franklin Gothic Book" w:hAnsi="Franklin Gothic Book" w:cs="Times New Roman"/>
          <w:i/>
          <w:iCs/>
          <w:sz w:val="18"/>
          <w:szCs w:val="18"/>
        </w:rPr>
        <w:t xml:space="preserve">available </w:t>
      </w:r>
      <w:hyperlink r:id="rId36" w:history="1">
        <w:r w:rsidR="00D36307">
          <w:rPr>
            <w:rStyle w:val="Hyperlink"/>
            <w:rFonts w:ascii="Franklin Gothic Book" w:hAnsi="Franklin Gothic Book" w:cs="Times New Roman"/>
            <w:sz w:val="18"/>
            <w:szCs w:val="18"/>
          </w:rPr>
          <w:t>at https://www.mass.gov/doc/mass-general-brigham-incorporated-mgh-applicant-response-submission-excel-file-1/download</w:t>
        </w:r>
      </w:hyperlink>
      <w:r w:rsidRPr="00804A4E">
        <w:rPr>
          <w:rFonts w:ascii="Franklin Gothic Book" w:hAnsi="Franklin Gothic Book" w:cs="Times New Roman"/>
          <w:sz w:val="18"/>
          <w:szCs w:val="18"/>
        </w:rPr>
        <w:t xml:space="preserve"> (showing projected occupancy rates of 94% for med/surg beds and 81% for ICU beds).</w:t>
      </w:r>
      <w:r w:rsidR="001350E7" w:rsidRPr="00804A4E">
        <w:rPr>
          <w:rFonts w:ascii="Franklin Gothic Book" w:hAnsi="Franklin Gothic Book" w:cs="Times New Roman"/>
          <w:sz w:val="18"/>
          <w:szCs w:val="18"/>
        </w:rPr>
        <w:t xml:space="preserve"> Due to the lack of clarity from MGB regarding the 24 beds discussed supra note </w:t>
      </w:r>
      <w:r w:rsidR="001350E7" w:rsidRPr="00804A4E">
        <w:rPr>
          <w:rFonts w:ascii="Franklin Gothic Book" w:hAnsi="Franklin Gothic Book" w:cs="Times New Roman"/>
          <w:sz w:val="18"/>
          <w:szCs w:val="18"/>
        </w:rPr>
        <w:fldChar w:fldCharType="begin"/>
      </w:r>
      <w:r w:rsidR="001350E7" w:rsidRPr="00804A4E">
        <w:rPr>
          <w:rFonts w:ascii="Franklin Gothic Book" w:hAnsi="Franklin Gothic Book" w:cs="Times New Roman"/>
          <w:sz w:val="18"/>
          <w:szCs w:val="18"/>
        </w:rPr>
        <w:instrText xml:space="preserve"> NOTEREF _Ref93738224 \h </w:instrText>
      </w:r>
      <w:r w:rsidR="00804A4E" w:rsidRPr="00804A4E">
        <w:rPr>
          <w:rFonts w:ascii="Franklin Gothic Book" w:hAnsi="Franklin Gothic Book" w:cs="Times New Roman"/>
          <w:sz w:val="18"/>
          <w:szCs w:val="18"/>
        </w:rPr>
        <w:instrText xml:space="preserve"> \* MERGEFORMAT </w:instrText>
      </w:r>
      <w:r w:rsidR="001350E7" w:rsidRPr="00804A4E">
        <w:rPr>
          <w:rFonts w:ascii="Franklin Gothic Book" w:hAnsi="Franklin Gothic Book" w:cs="Times New Roman"/>
          <w:sz w:val="18"/>
          <w:szCs w:val="18"/>
        </w:rPr>
      </w:r>
      <w:r w:rsidR="001350E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96</w:t>
      </w:r>
      <w:r w:rsidR="001350E7" w:rsidRPr="00804A4E">
        <w:rPr>
          <w:rFonts w:ascii="Franklin Gothic Book" w:hAnsi="Franklin Gothic Book" w:cs="Times New Roman"/>
          <w:sz w:val="18"/>
          <w:szCs w:val="18"/>
        </w:rPr>
        <w:fldChar w:fldCharType="end"/>
      </w:r>
      <w:r w:rsidR="001350E7" w:rsidRPr="00804A4E">
        <w:rPr>
          <w:rFonts w:ascii="Franklin Gothic Book" w:hAnsi="Franklin Gothic Book" w:cs="Times New Roman"/>
          <w:sz w:val="18"/>
          <w:szCs w:val="18"/>
        </w:rPr>
        <w:t xml:space="preserve">, the HPC did not include these beds in its diversion models of new volume at MGH. However, since the further addition of 24 beds to the proposed capacity increase of 124 – 144 beds at MGH would represent a 16% to 19% greater inpatient expansion, we estimate ranges of </w:t>
      </w:r>
      <w:r w:rsidR="002D3DCC" w:rsidRPr="00804A4E">
        <w:rPr>
          <w:rFonts w:ascii="Franklin Gothic Book" w:hAnsi="Franklin Gothic Book" w:cs="Times New Roman"/>
          <w:sz w:val="18"/>
          <w:szCs w:val="18"/>
        </w:rPr>
        <w:t>volume</w:t>
      </w:r>
      <w:r w:rsidR="001350E7" w:rsidRPr="00804A4E">
        <w:rPr>
          <w:rFonts w:ascii="Franklin Gothic Book" w:hAnsi="Franklin Gothic Book" w:cs="Times New Roman"/>
          <w:sz w:val="18"/>
          <w:szCs w:val="18"/>
        </w:rPr>
        <w:t xml:space="preserve"> and spending impacts for MGH based on an increase of this scale.</w:t>
      </w:r>
    </w:p>
  </w:footnote>
  <w:footnote w:id="105">
    <w:p w14:paraId="1A61827E" w14:textId="17E85635" w:rsidR="00400316" w:rsidRPr="00804A4E" w:rsidRDefault="0040031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8D235C" w:rsidRPr="00804A4E">
        <w:rPr>
          <w:rFonts w:ascii="Franklin Gothic Book" w:hAnsi="Franklin Gothic Book" w:cs="Times New Roman"/>
          <w:sz w:val="18"/>
          <w:szCs w:val="18"/>
        </w:rPr>
        <w:t>These s</w:t>
      </w:r>
      <w:r w:rsidRPr="00804A4E">
        <w:rPr>
          <w:rFonts w:ascii="Franklin Gothic Book" w:hAnsi="Franklin Gothic Book" w:cs="Times New Roman"/>
          <w:sz w:val="18"/>
          <w:szCs w:val="18"/>
        </w:rPr>
        <w:t>hifts in discharges would result in increased annual commercial revenue to MGB of between $</w:t>
      </w:r>
      <w:r w:rsidR="00A54A61" w:rsidRPr="00804A4E">
        <w:rPr>
          <w:rFonts w:ascii="Franklin Gothic Book" w:hAnsi="Franklin Gothic Book" w:cs="Times New Roman"/>
          <w:sz w:val="18"/>
          <w:szCs w:val="18"/>
        </w:rPr>
        <w:t>133.1</w:t>
      </w:r>
      <w:r w:rsidRPr="00804A4E">
        <w:rPr>
          <w:rFonts w:ascii="Franklin Gothic Book" w:hAnsi="Franklin Gothic Book" w:cs="Times New Roman"/>
          <w:sz w:val="18"/>
          <w:szCs w:val="18"/>
        </w:rPr>
        <w:t xml:space="preserve"> million and $</w:t>
      </w:r>
      <w:r w:rsidR="00A54A61" w:rsidRPr="00804A4E">
        <w:rPr>
          <w:rFonts w:ascii="Franklin Gothic Book" w:hAnsi="Franklin Gothic Book" w:cs="Times New Roman"/>
          <w:sz w:val="18"/>
          <w:szCs w:val="18"/>
        </w:rPr>
        <w:t>211.2</w:t>
      </w:r>
      <w:r w:rsidRPr="00804A4E">
        <w:rPr>
          <w:rFonts w:ascii="Franklin Gothic Book" w:hAnsi="Franklin Gothic Book" w:cs="Times New Roman"/>
          <w:sz w:val="18"/>
          <w:szCs w:val="18"/>
        </w:rPr>
        <w:t xml:space="preserve"> million and a loss of annual commercial revenue for other providers of $</w:t>
      </w:r>
      <w:r w:rsidR="00A54A61" w:rsidRPr="00804A4E">
        <w:rPr>
          <w:rFonts w:ascii="Franklin Gothic Book" w:hAnsi="Franklin Gothic Book" w:cs="Times New Roman"/>
          <w:sz w:val="18"/>
          <w:szCs w:val="18"/>
        </w:rPr>
        <w:t>106.6</w:t>
      </w:r>
      <w:r w:rsidRPr="00804A4E">
        <w:rPr>
          <w:rFonts w:ascii="Franklin Gothic Book" w:hAnsi="Franklin Gothic Book" w:cs="Times New Roman"/>
          <w:sz w:val="18"/>
          <w:szCs w:val="18"/>
        </w:rPr>
        <w:t xml:space="preserve"> million to $</w:t>
      </w:r>
      <w:r w:rsidR="00A54A61" w:rsidRPr="00804A4E">
        <w:rPr>
          <w:rFonts w:ascii="Franklin Gothic Book" w:hAnsi="Franklin Gothic Book" w:cs="Times New Roman"/>
          <w:sz w:val="18"/>
          <w:szCs w:val="18"/>
        </w:rPr>
        <w:t>166.8</w:t>
      </w:r>
      <w:r w:rsidRPr="00804A4E">
        <w:rPr>
          <w:rFonts w:ascii="Franklin Gothic Book" w:hAnsi="Franklin Gothic Book" w:cs="Times New Roman"/>
          <w:sz w:val="18"/>
          <w:szCs w:val="18"/>
        </w:rPr>
        <w:t xml:space="preserve"> million.</w:t>
      </w:r>
    </w:p>
  </w:footnote>
  <w:footnote w:id="106">
    <w:p w14:paraId="7033E40A" w14:textId="5AD794FD"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E87FD3"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853AF7">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 xml:space="preserve">MGH22;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E87FD3"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bookmarkStart w:id="88" w:name="_Hlk93998324"/>
      <w:r w:rsidR="00853AF7">
        <w:rPr>
          <w:rFonts w:ascii="Franklin Gothic Book" w:hAnsi="Franklin Gothic Book" w:cs="Times New Roman"/>
          <w:sz w:val="18"/>
          <w:szCs w:val="18"/>
        </w:rPr>
        <w:t xml:space="preserve">Figure </w:t>
      </w:r>
      <w:bookmarkEnd w:id="88"/>
      <w:r w:rsidRPr="00804A4E">
        <w:rPr>
          <w:rFonts w:ascii="Franklin Gothic Book" w:hAnsi="Franklin Gothic Book" w:cs="Times New Roman"/>
          <w:sz w:val="18"/>
          <w:szCs w:val="18"/>
        </w:rPr>
        <w:t xml:space="preserve">BWFH13. As discussed in </w:t>
      </w:r>
      <w:r w:rsidR="00E96209" w:rsidRPr="00804A4E">
        <w:rPr>
          <w:rFonts w:ascii="Franklin Gothic Book" w:hAnsi="Franklin Gothic Book" w:cs="Times New Roman"/>
          <w:i/>
          <w:iCs/>
          <w:sz w:val="18"/>
          <w:szCs w:val="18"/>
        </w:rPr>
        <w:t xml:space="preserve">supra </w:t>
      </w:r>
      <w:r w:rsidRPr="00804A4E">
        <w:rPr>
          <w:rFonts w:ascii="Franklin Gothic Book" w:hAnsi="Franklin Gothic Book" w:cs="Times New Roman"/>
          <w:sz w:val="18"/>
          <w:szCs w:val="18"/>
        </w:rPr>
        <w:t xml:space="preserve">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_Ref92629268 \h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102</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because the ICAs assume MGH and Faulkner would draw care from other MGB hospitals with no backfill, the they likely predict lower spending increases for MGH and greater savings for </w:t>
      </w:r>
      <w:r w:rsidR="00853AF7">
        <w:rPr>
          <w:rFonts w:ascii="Franklin Gothic Book" w:hAnsi="Franklin Gothic Book" w:cs="Times New Roman"/>
          <w:sz w:val="18"/>
          <w:szCs w:val="18"/>
        </w:rPr>
        <w:t>Faulkner</w:t>
      </w:r>
      <w:r w:rsidR="00853AF7"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across all payers than if one assumes MGB would try to divert care preferentially from competitors or backfill newly-available capacity.</w:t>
      </w:r>
    </w:p>
  </w:footnote>
  <w:footnote w:id="107">
    <w:p w14:paraId="11C03A36" w14:textId="3325FBDB"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w:t>
      </w:r>
      <w:r w:rsidR="00471E04" w:rsidRPr="00804A4E">
        <w:rPr>
          <w:rFonts w:ascii="Franklin Gothic Book" w:hAnsi="Franklin Gothic Book" w:cs="Times New Roman"/>
          <w:sz w:val="18"/>
          <w:szCs w:val="18"/>
        </w:rPr>
        <w:t xml:space="preserve">DoN </w:t>
      </w:r>
      <w:r w:rsidR="001464F7" w:rsidRPr="00804A4E">
        <w:rPr>
          <w:rFonts w:ascii="Franklin Gothic Book" w:hAnsi="Franklin Gothic Book" w:cs="Times New Roman"/>
          <w:sz w:val="18"/>
          <w:szCs w:val="18"/>
        </w:rPr>
        <w:t>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1464F7" w:rsidRPr="00804A4E">
        <w:rPr>
          <w:rFonts w:ascii="Franklin Gothic Book" w:hAnsi="Franklin Gothic Book" w:cs="Times New Roman"/>
          <w:sz w:val="18"/>
          <w:szCs w:val="18"/>
        </w:rPr>
        <w:fldChar w:fldCharType="begin"/>
      </w:r>
      <w:r w:rsidR="001464F7" w:rsidRPr="00804A4E">
        <w:rPr>
          <w:rFonts w:ascii="Franklin Gothic Book" w:hAnsi="Franklin Gothic Book" w:cs="Times New Roman"/>
          <w:sz w:val="18"/>
          <w:szCs w:val="18"/>
        </w:rPr>
        <w:instrText xml:space="preserve"> NOTEREF _Ref93624434 \h </w:instrText>
      </w:r>
      <w:r w:rsidR="00E87FD3" w:rsidRPr="00804A4E">
        <w:rPr>
          <w:rFonts w:ascii="Franklin Gothic Book" w:hAnsi="Franklin Gothic Book" w:cs="Times New Roman"/>
          <w:sz w:val="18"/>
          <w:szCs w:val="18"/>
        </w:rPr>
        <w:instrText xml:space="preserve"> \* MERGEFORMAT </w:instrText>
      </w:r>
      <w:r w:rsidR="001464F7" w:rsidRPr="00804A4E">
        <w:rPr>
          <w:rFonts w:ascii="Franklin Gothic Book" w:hAnsi="Franklin Gothic Book" w:cs="Times New Roman"/>
          <w:sz w:val="18"/>
          <w:szCs w:val="18"/>
        </w:rPr>
      </w:r>
      <w:r w:rsidR="001464F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1464F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Faulkner DoN </w:t>
      </w:r>
      <w:r w:rsidR="001464F7" w:rsidRPr="00804A4E">
        <w:rPr>
          <w:rFonts w:ascii="Franklin Gothic Book" w:hAnsi="Franklin Gothic Book" w:cs="Times New Roman"/>
          <w:sz w:val="18"/>
          <w:szCs w:val="18"/>
        </w:rPr>
        <w:t>Application</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w:t>
      </w:r>
      <w:r w:rsidR="001464F7" w:rsidRPr="00804A4E">
        <w:rPr>
          <w:rFonts w:ascii="Franklin Gothic Book" w:hAnsi="Franklin Gothic Book" w:cs="Times New Roman"/>
          <w:sz w:val="18"/>
          <w:szCs w:val="18"/>
        </w:rPr>
        <w:t xml:space="preserve">e </w:t>
      </w:r>
      <w:r w:rsidR="001464F7" w:rsidRPr="00804A4E">
        <w:rPr>
          <w:rFonts w:ascii="Franklin Gothic Book" w:hAnsi="Franklin Gothic Book" w:cs="Times New Roman"/>
          <w:sz w:val="18"/>
          <w:szCs w:val="18"/>
        </w:rPr>
        <w:fldChar w:fldCharType="begin"/>
      </w:r>
      <w:r w:rsidR="001464F7" w:rsidRPr="00804A4E">
        <w:rPr>
          <w:rFonts w:ascii="Franklin Gothic Book" w:hAnsi="Franklin Gothic Book" w:cs="Times New Roman"/>
          <w:sz w:val="18"/>
          <w:szCs w:val="18"/>
        </w:rPr>
        <w:instrText xml:space="preserve"> NOTEREF _Ref93654856 \h </w:instrText>
      </w:r>
      <w:r w:rsidR="00E87FD3" w:rsidRPr="00804A4E">
        <w:rPr>
          <w:rFonts w:ascii="Franklin Gothic Book" w:hAnsi="Franklin Gothic Book" w:cs="Times New Roman"/>
          <w:sz w:val="18"/>
          <w:szCs w:val="18"/>
        </w:rPr>
        <w:instrText xml:space="preserve"> \* MERGEFORMAT </w:instrText>
      </w:r>
      <w:r w:rsidR="001464F7" w:rsidRPr="00804A4E">
        <w:rPr>
          <w:rFonts w:ascii="Franklin Gothic Book" w:hAnsi="Franklin Gothic Book" w:cs="Times New Roman"/>
          <w:sz w:val="18"/>
          <w:szCs w:val="18"/>
        </w:rPr>
      </w:r>
      <w:r w:rsidR="001464F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1464F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MGH ICA,</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E87FD3"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24-26;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E87FD3" w:rsidRPr="00804A4E">
        <w:rPr>
          <w:rFonts w:ascii="Franklin Gothic Book" w:hAnsi="Franklin Gothic Book" w:cs="Times New Roman"/>
          <w:sz w:val="18"/>
          <w:szCs w:val="18"/>
        </w:rPr>
        <w:fldChar w:fldCharType="begin"/>
      </w:r>
      <w:r w:rsidR="00E87FD3" w:rsidRPr="00804A4E">
        <w:rPr>
          <w:rFonts w:ascii="Franklin Gothic Book" w:hAnsi="Franklin Gothic Book" w:cs="Times New Roman"/>
          <w:sz w:val="18"/>
          <w:szCs w:val="18"/>
        </w:rPr>
        <w:instrText xml:space="preserve"> NOTEREF _Ref93656068 \h  \* MERGEFORMAT </w:instrText>
      </w:r>
      <w:r w:rsidR="00E87FD3" w:rsidRPr="00804A4E">
        <w:rPr>
          <w:rFonts w:ascii="Franklin Gothic Book" w:hAnsi="Franklin Gothic Book" w:cs="Times New Roman"/>
          <w:sz w:val="18"/>
          <w:szCs w:val="18"/>
        </w:rPr>
      </w:r>
      <w:r w:rsidR="00E87F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87FD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26-27.</w:t>
      </w:r>
    </w:p>
  </w:footnote>
  <w:footnote w:id="108">
    <w:p w14:paraId="1685F6B9" w14:textId="37286FE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As discussed in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_Ref92630210 \h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100</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the approach used in the ICAs to model patient diversion assumes, as we do, that patients could choose other providers for the relevant services. Both the MGH and Faulkner applications state that some of the proposed capacity across some of these expanded services would support inpatients, particularly patients filling proposed new inpatient capacity. The proportion of new capacity expected to be devoted to inpatient and outpatient care is not always clear from the project descriptions provided by MGB.</w:t>
      </w:r>
    </w:p>
  </w:footnote>
  <w:footnote w:id="109">
    <w:p w14:paraId="2C56C72A" w14:textId="77777777"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We note that the ICA finds a likelihood that MRI scans shifting to Faulkner would increase commercial spending slightly rather than decreasing it as the HPC’s model predicts. This likely due to differences in the providers from which the ICA predicts Faulkner would divert care and the HPC’s assumption that diversion would be proportional to current market shares in Faulkner’s 75% outpatient hospital service area.</w:t>
      </w:r>
    </w:p>
  </w:footnote>
  <w:footnote w:id="110">
    <w:p w14:paraId="18235354" w14:textId="4AD4F6E2"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00CF1302" w:rsidRPr="00804A4E">
        <w:rPr>
          <w:rFonts w:ascii="Franklin Gothic Book" w:hAnsi="Franklin Gothic Book" w:cs="Times New Roman"/>
          <w:sz w:val="18"/>
          <w:szCs w:val="18"/>
        </w:rPr>
        <w:t xml:space="preserve"> </w:t>
      </w:r>
      <w:r w:rsidR="00CF1302" w:rsidRPr="00804A4E">
        <w:rPr>
          <w:rFonts w:ascii="Franklin Gothic Book" w:hAnsi="Franklin Gothic Book" w:cs="Times New Roman"/>
          <w:color w:val="0000FF"/>
          <w:sz w:val="18"/>
          <w:szCs w:val="18"/>
          <w:u w:val="single"/>
        </w:rPr>
        <w:fldChar w:fldCharType="begin"/>
      </w:r>
      <w:r w:rsidR="00CF1302" w:rsidRPr="00804A4E">
        <w:rPr>
          <w:rFonts w:ascii="Franklin Gothic Book" w:hAnsi="Franklin Gothic Book" w:cs="Times New Roman"/>
          <w:color w:val="0000FF"/>
          <w:sz w:val="18"/>
          <w:szCs w:val="18"/>
          <w:u w:val="single"/>
        </w:rPr>
        <w:instrText xml:space="preserve"> REF Appendix_IIB \h  \* MERGEFORMAT </w:instrText>
      </w:r>
      <w:r w:rsidR="00CF1302" w:rsidRPr="00804A4E">
        <w:rPr>
          <w:rFonts w:ascii="Franklin Gothic Book" w:hAnsi="Franklin Gothic Book" w:cs="Times New Roman"/>
          <w:color w:val="0000FF"/>
          <w:sz w:val="18"/>
          <w:szCs w:val="18"/>
          <w:u w:val="single"/>
        </w:rPr>
      </w:r>
      <w:r w:rsidR="00CF1302" w:rsidRPr="00804A4E">
        <w:rPr>
          <w:rFonts w:ascii="Franklin Gothic Book" w:hAnsi="Franklin Gothic Book" w:cs="Times New Roman"/>
          <w:color w:val="0000FF"/>
          <w:sz w:val="18"/>
          <w:szCs w:val="18"/>
          <w:u w:val="single"/>
        </w:rPr>
        <w:fldChar w:fldCharType="separate"/>
      </w:r>
      <w:r w:rsidR="00036554" w:rsidRPr="00036554">
        <w:rPr>
          <w:rFonts w:ascii="Franklin Gothic Book" w:hAnsi="Franklin Gothic Book" w:cs="Times New Roman"/>
          <w:color w:val="0000FF"/>
          <w:sz w:val="18"/>
          <w:szCs w:val="18"/>
          <w:u w:val="single"/>
        </w:rPr>
        <w:t>Appendix II.B</w:t>
      </w:r>
      <w:r w:rsidR="00CF1302" w:rsidRPr="00804A4E">
        <w:rPr>
          <w:rFonts w:ascii="Franklin Gothic Book" w:hAnsi="Franklin Gothic Book" w:cs="Times New Roman"/>
          <w:color w:val="0000FF"/>
          <w:sz w:val="18"/>
          <w:szCs w:val="18"/>
          <w:u w:val="single"/>
        </w:rPr>
        <w:fldChar w:fldCharType="end"/>
      </w:r>
      <w:r w:rsidRPr="00804A4E">
        <w:rPr>
          <w:rFonts w:ascii="Franklin Gothic Book" w:hAnsi="Franklin Gothic Book" w:cs="Times New Roman"/>
          <w:sz w:val="18"/>
          <w:szCs w:val="18"/>
        </w:rPr>
        <w:t xml:space="preserve"> (showing Faulkner having the fourth highest commercial hospital price for outpatient GI endoscopy procedures in 2018, 12% higher than the statewide average). The HPC did not examine whether Faulkner’s prices for advanced endoscopy, specifically, were similarly high, given the limited volume in the relevant codes.</w:t>
      </w:r>
    </w:p>
  </w:footnote>
  <w:footnote w:id="111">
    <w:p w14:paraId="1E40726B" w14:textId="72094EFC"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estimated outpatient capacity increases for new advanced imaging units at MGH and Faulkner based on MGB projected annual outpatient scan volume per MRI and CT unit in the Ambulatory Narrative, reduced by 32%   for Faulkner based on the proportion of Faulkner MRI capacity currently serving outpatient referrals. </w:t>
      </w:r>
      <w:r w:rsidR="002B50EF" w:rsidRPr="00804A4E">
        <w:rPr>
          <w:rFonts w:ascii="Franklin Gothic Book" w:hAnsi="Franklin Gothic Book" w:cs="Times New Roman"/>
          <w:sz w:val="18"/>
          <w:szCs w:val="18"/>
        </w:rPr>
        <w:t xml:space="preserve">Faulkner DoN Application, </w:t>
      </w:r>
      <w:r w:rsidR="009F04FF" w:rsidRPr="00804A4E">
        <w:rPr>
          <w:rFonts w:ascii="Franklin Gothic Book" w:hAnsi="Franklin Gothic Book" w:cs="Times New Roman"/>
          <w:i/>
          <w:iCs/>
          <w:sz w:val="18"/>
          <w:szCs w:val="18"/>
        </w:rPr>
        <w:t>s</w:t>
      </w:r>
      <w:r w:rsidR="002B50EF" w:rsidRPr="00804A4E">
        <w:rPr>
          <w:rFonts w:ascii="Franklin Gothic Book" w:hAnsi="Franklin Gothic Book" w:cs="Times New Roman"/>
          <w:i/>
          <w:iCs/>
          <w:sz w:val="18"/>
          <w:szCs w:val="18"/>
        </w:rPr>
        <w:t>upra</w:t>
      </w:r>
      <w:r w:rsidR="002B50EF" w:rsidRPr="00804A4E">
        <w:rPr>
          <w:rFonts w:ascii="Franklin Gothic Book" w:hAnsi="Franklin Gothic Book" w:cs="Times New Roman"/>
          <w:sz w:val="18"/>
          <w:szCs w:val="18"/>
        </w:rPr>
        <w:t xml:space="preserve"> note </w:t>
      </w:r>
      <w:r w:rsidR="00DB4F60" w:rsidRPr="00804A4E">
        <w:rPr>
          <w:rFonts w:ascii="Franklin Gothic Book" w:hAnsi="Franklin Gothic Book" w:cs="Times New Roman"/>
          <w:sz w:val="18"/>
          <w:szCs w:val="18"/>
        </w:rPr>
        <w:fldChar w:fldCharType="begin"/>
      </w:r>
      <w:r w:rsidR="00DB4F60" w:rsidRPr="00804A4E">
        <w:rPr>
          <w:rFonts w:ascii="Franklin Gothic Book" w:hAnsi="Franklin Gothic Book" w:cs="Times New Roman"/>
          <w:sz w:val="18"/>
          <w:szCs w:val="18"/>
        </w:rPr>
        <w:instrText xml:space="preserve"> NOTEREF _Ref93654856 \h </w:instrText>
      </w:r>
      <w:r w:rsidR="00804A4E" w:rsidRPr="00804A4E">
        <w:rPr>
          <w:rFonts w:ascii="Franklin Gothic Book" w:hAnsi="Franklin Gothic Book" w:cs="Times New Roman"/>
          <w:sz w:val="18"/>
          <w:szCs w:val="18"/>
        </w:rPr>
        <w:instrText xml:space="preserve"> \* MERGEFORMAT </w:instrText>
      </w:r>
      <w:r w:rsidR="00DB4F60" w:rsidRPr="00804A4E">
        <w:rPr>
          <w:rFonts w:ascii="Franklin Gothic Book" w:hAnsi="Franklin Gothic Book" w:cs="Times New Roman"/>
          <w:sz w:val="18"/>
          <w:szCs w:val="18"/>
        </w:rPr>
      </w:r>
      <w:r w:rsidR="00DB4F6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DB4F60" w:rsidRPr="00804A4E">
        <w:rPr>
          <w:rFonts w:ascii="Franklin Gothic Book" w:hAnsi="Franklin Gothic Book" w:cs="Times New Roman"/>
          <w:sz w:val="18"/>
          <w:szCs w:val="18"/>
        </w:rPr>
        <w:fldChar w:fldCharType="end"/>
      </w:r>
      <w:r w:rsidR="002B50EF" w:rsidRPr="00804A4E">
        <w:rPr>
          <w:rFonts w:ascii="Franklin Gothic Book" w:hAnsi="Franklin Gothic Book" w:cs="Times New Roman"/>
          <w:sz w:val="18"/>
          <w:szCs w:val="18"/>
        </w:rPr>
        <w:t>, Appendix 2</w:t>
      </w:r>
      <w:r w:rsidRPr="00804A4E">
        <w:rPr>
          <w:rFonts w:ascii="Franklin Gothic Book" w:hAnsi="Franklin Gothic Book" w:cs="Times New Roman"/>
          <w:sz w:val="18"/>
          <w:szCs w:val="18"/>
        </w:rPr>
        <w:t xml:space="preserve">, at 20. In the absence of a similar description of the proportion of MGH imaging capacity serving outpatients, the HPC assumed that 60% of new imaging volume for MGH’s proposed CT and MR units would be used for outpatient care. The HPC assumed commercial payer mix for new volume would be the same as each hospital’s current </w:t>
      </w:r>
      <w:r w:rsidR="0018500D" w:rsidRPr="00804A4E">
        <w:rPr>
          <w:rFonts w:ascii="Franklin Gothic Book" w:hAnsi="Franklin Gothic Book" w:cs="Times New Roman"/>
          <w:sz w:val="18"/>
          <w:szCs w:val="18"/>
        </w:rPr>
        <w:t>inpatient and outpatient (</w:t>
      </w:r>
      <w:r w:rsidRPr="00804A4E">
        <w:rPr>
          <w:rFonts w:ascii="Franklin Gothic Book" w:hAnsi="Franklin Gothic Book" w:cs="Times New Roman"/>
          <w:sz w:val="18"/>
          <w:szCs w:val="18"/>
        </w:rPr>
        <w:t>GPSR</w:t>
      </w:r>
      <w:r w:rsidR="0018500D"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commercial payer mix.</w:t>
      </w:r>
    </w:p>
  </w:footnote>
  <w:footnote w:id="112">
    <w:p w14:paraId="55F72EEC" w14:textId="1E589910" w:rsidR="001601DC" w:rsidRPr="00804A4E" w:rsidRDefault="001601DC"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These shifts would result in increased annual commercial revenue to MGB of approximately $</w:t>
      </w:r>
      <w:r w:rsidR="005B1FDC" w:rsidRPr="00804A4E">
        <w:rPr>
          <w:rFonts w:ascii="Franklin Gothic Book" w:hAnsi="Franklin Gothic Book" w:cs="Times New Roman"/>
          <w:sz w:val="18"/>
          <w:szCs w:val="18"/>
        </w:rPr>
        <w:t>4.6</w:t>
      </w:r>
      <w:r w:rsidRPr="00804A4E">
        <w:rPr>
          <w:rFonts w:ascii="Franklin Gothic Book" w:hAnsi="Franklin Gothic Book" w:cs="Times New Roman"/>
          <w:sz w:val="18"/>
          <w:szCs w:val="18"/>
        </w:rPr>
        <w:t xml:space="preserve"> million and a loss of annual commercial revenue for other providers of $</w:t>
      </w:r>
      <w:r w:rsidR="005B1FDC" w:rsidRPr="00804A4E">
        <w:rPr>
          <w:rFonts w:ascii="Franklin Gothic Book" w:hAnsi="Franklin Gothic Book" w:cs="Times New Roman"/>
          <w:sz w:val="18"/>
          <w:szCs w:val="18"/>
        </w:rPr>
        <w:t>4.2</w:t>
      </w:r>
      <w:r w:rsidRPr="00804A4E">
        <w:rPr>
          <w:rFonts w:ascii="Franklin Gothic Book" w:hAnsi="Franklin Gothic Book" w:cs="Times New Roman"/>
          <w:sz w:val="18"/>
          <w:szCs w:val="18"/>
        </w:rPr>
        <w:t xml:space="preserve"> million.</w:t>
      </w:r>
    </w:p>
  </w:footnote>
  <w:footnote w:id="113">
    <w:p w14:paraId="29722F7D" w14:textId="3D613FDB"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E87FD3"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853AF7">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MGH23</w:t>
      </w:r>
      <w:r w:rsidR="00853AF7">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MGH26; Faulkner IC</w:t>
      </w:r>
      <w:r w:rsidR="00E101A7" w:rsidRPr="00804A4E">
        <w:rPr>
          <w:rFonts w:ascii="Franklin Gothic Book" w:hAnsi="Franklin Gothic Book" w:cs="Times New Roman"/>
          <w:sz w:val="18"/>
          <w:szCs w:val="18"/>
        </w:rPr>
        <w:t>A</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E87FD3"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853AF7">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BWFH14.</w:t>
      </w:r>
    </w:p>
  </w:footnote>
  <w:footnote w:id="114">
    <w:p w14:paraId="1C94A63B" w14:textId="278420D9" w:rsidR="008377B6" w:rsidRPr="00804A4E" w:rsidRDefault="008377B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FY2019 Hospital Profiles</w:t>
      </w:r>
      <w:r w:rsidR="00C60A76" w:rsidRPr="00804A4E">
        <w:rPr>
          <w:rFonts w:ascii="Franklin Gothic Book" w:hAnsi="Franklin Gothic Book" w:cs="Times New Roman"/>
          <w:sz w:val="18"/>
          <w:szCs w:val="18"/>
        </w:rPr>
        <w:t xml:space="preserve">, </w:t>
      </w:r>
      <w:r w:rsidR="00C60A76" w:rsidRPr="00804A4E">
        <w:rPr>
          <w:rFonts w:ascii="Franklin Gothic Book" w:hAnsi="Franklin Gothic Book" w:cs="Times New Roman"/>
          <w:i/>
          <w:iCs/>
          <w:sz w:val="18"/>
          <w:szCs w:val="18"/>
        </w:rPr>
        <w:t>supra</w:t>
      </w:r>
      <w:r w:rsidR="00C60A76" w:rsidRPr="00804A4E">
        <w:rPr>
          <w:rFonts w:ascii="Franklin Gothic Book" w:hAnsi="Franklin Gothic Book" w:cs="Times New Roman"/>
          <w:sz w:val="18"/>
          <w:szCs w:val="18"/>
        </w:rPr>
        <w:t xml:space="preserve"> note </w:t>
      </w:r>
      <w:r w:rsidR="00C60A76" w:rsidRPr="00804A4E">
        <w:rPr>
          <w:rFonts w:ascii="Franklin Gothic Book" w:hAnsi="Franklin Gothic Book" w:cs="Times New Roman"/>
          <w:sz w:val="18"/>
          <w:szCs w:val="18"/>
        </w:rPr>
        <w:fldChar w:fldCharType="begin"/>
      </w:r>
      <w:r w:rsidR="00C60A76" w:rsidRPr="00804A4E">
        <w:rPr>
          <w:rFonts w:ascii="Franklin Gothic Book" w:hAnsi="Franklin Gothic Book" w:cs="Times New Roman"/>
          <w:sz w:val="18"/>
          <w:szCs w:val="18"/>
        </w:rPr>
        <w:instrText xml:space="preserve"> NOTEREF _Ref93661797 \h </w:instrText>
      </w:r>
      <w:r w:rsidR="00804A4E" w:rsidRPr="00804A4E">
        <w:rPr>
          <w:rFonts w:ascii="Franklin Gothic Book" w:hAnsi="Franklin Gothic Book" w:cs="Times New Roman"/>
          <w:sz w:val="18"/>
          <w:szCs w:val="18"/>
        </w:rPr>
        <w:instrText xml:space="preserve"> \* MERGEFORMAT </w:instrText>
      </w:r>
      <w:r w:rsidR="00C60A76" w:rsidRPr="00804A4E">
        <w:rPr>
          <w:rFonts w:ascii="Franklin Gothic Book" w:hAnsi="Franklin Gothic Book" w:cs="Times New Roman"/>
          <w:sz w:val="18"/>
          <w:szCs w:val="18"/>
        </w:rPr>
      </w:r>
      <w:r w:rsidR="00C60A76"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64</w:t>
      </w:r>
      <w:r w:rsidR="00C60A76"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w:t>
      </w:r>
      <w:r w:rsidR="002648DC" w:rsidRPr="00804A4E">
        <w:rPr>
          <w:rFonts w:ascii="Franklin Gothic Book" w:hAnsi="Franklin Gothic Book" w:cs="Times New Roman"/>
          <w:sz w:val="18"/>
          <w:szCs w:val="18"/>
        </w:rPr>
        <w:t>The total increase would depend on</w:t>
      </w:r>
      <w:r w:rsidRPr="00804A4E">
        <w:rPr>
          <w:rFonts w:ascii="Franklin Gothic Book" w:hAnsi="Franklin Gothic Book" w:cs="Times New Roman"/>
          <w:sz w:val="18"/>
          <w:szCs w:val="18"/>
        </w:rPr>
        <w:t xml:space="preserve"> the number of currently blocked beds that would become available at MGH and </w:t>
      </w:r>
      <w:r w:rsidR="002648DC" w:rsidRPr="00804A4E">
        <w:rPr>
          <w:rFonts w:ascii="Franklin Gothic Book" w:hAnsi="Franklin Gothic Book" w:cs="Times New Roman"/>
          <w:sz w:val="18"/>
          <w:szCs w:val="18"/>
        </w:rPr>
        <w:t>whether</w:t>
      </w:r>
      <w:r w:rsidRPr="00804A4E">
        <w:rPr>
          <w:rFonts w:ascii="Franklin Gothic Book" w:hAnsi="Franklin Gothic Book" w:cs="Times New Roman"/>
          <w:sz w:val="18"/>
          <w:szCs w:val="18"/>
        </w:rPr>
        <w:t xml:space="preserve"> 24 licensed beds </w:t>
      </w:r>
      <w:r w:rsidR="002648DC" w:rsidRPr="00804A4E">
        <w:rPr>
          <w:rFonts w:ascii="Franklin Gothic Book" w:hAnsi="Franklin Gothic Book" w:cs="Times New Roman"/>
          <w:sz w:val="18"/>
          <w:szCs w:val="18"/>
        </w:rPr>
        <w:t xml:space="preserve">would </w:t>
      </w:r>
      <w:r w:rsidRPr="00804A4E">
        <w:rPr>
          <w:rFonts w:ascii="Franklin Gothic Book" w:hAnsi="Franklin Gothic Book" w:cs="Times New Roman"/>
          <w:sz w:val="18"/>
          <w:szCs w:val="18"/>
        </w:rPr>
        <w:t xml:space="preserve">be returned to service as part of the proposed MGH project, as described in </w:t>
      </w:r>
      <w:hyperlink w:anchor="Section_IIIB1" w:history="1">
        <w:r w:rsidRPr="00804A4E">
          <w:rPr>
            <w:rStyle w:val="Hyperlink"/>
            <w:rFonts w:ascii="Franklin Gothic Book" w:hAnsi="Franklin Gothic Book" w:cs="Times New Roman"/>
            <w:sz w:val="18"/>
            <w:szCs w:val="18"/>
          </w:rPr>
          <w:t xml:space="preserve">Section </w:t>
        </w:r>
        <w:r w:rsidR="002648DC" w:rsidRPr="00804A4E">
          <w:rPr>
            <w:rStyle w:val="Hyperlink"/>
            <w:rFonts w:ascii="Franklin Gothic Book" w:hAnsi="Franklin Gothic Book" w:cs="Times New Roman"/>
            <w:sz w:val="18"/>
            <w:szCs w:val="18"/>
          </w:rPr>
          <w:t>III</w:t>
        </w:r>
        <w:r w:rsidRPr="00804A4E">
          <w:rPr>
            <w:rStyle w:val="Hyperlink"/>
            <w:rFonts w:ascii="Franklin Gothic Book" w:hAnsi="Franklin Gothic Book" w:cs="Times New Roman"/>
            <w:sz w:val="18"/>
            <w:szCs w:val="18"/>
          </w:rPr>
          <w:t>.B.1</w:t>
        </w:r>
        <w:r w:rsidRPr="00804A4E">
          <w:rPr>
            <w:rStyle w:val="Hyperlink"/>
            <w:rFonts w:ascii="Franklin Gothic Book" w:hAnsi="Franklin Gothic Book" w:cs="Times New Roman"/>
            <w:color w:val="auto"/>
            <w:sz w:val="18"/>
            <w:szCs w:val="18"/>
            <w:u w:val="none"/>
          </w:rPr>
          <w:t>.</w:t>
        </w:r>
      </w:hyperlink>
    </w:p>
  </w:footnote>
  <w:footnote w:id="115">
    <w:p w14:paraId="12CA1E3B" w14:textId="7880A7BB" w:rsidR="00233D8E" w:rsidRPr="00804A4E" w:rsidRDefault="00233D8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hyperlink w:anchor="Appendix_IA" w:history="1">
        <w:r w:rsidR="004C5D6A" w:rsidRPr="00804A4E">
          <w:rPr>
            <w:rStyle w:val="Hyperlink"/>
            <w:rFonts w:ascii="Franklin Gothic Book" w:hAnsi="Franklin Gothic Book" w:cs="Times New Roman"/>
            <w:sz w:val="18"/>
            <w:szCs w:val="18"/>
          </w:rPr>
          <w:fldChar w:fldCharType="begin"/>
        </w:r>
        <w:r w:rsidR="004C5D6A" w:rsidRPr="00804A4E">
          <w:rPr>
            <w:rStyle w:val="Hyperlink"/>
            <w:rFonts w:ascii="Franklin Gothic Book" w:hAnsi="Franklin Gothic Book" w:cs="Times New Roman"/>
            <w:sz w:val="18"/>
            <w:szCs w:val="18"/>
          </w:rPr>
          <w:instrText xml:space="preserve"> REF Appendix_IA \h </w:instrText>
        </w:r>
        <w:r w:rsidR="00804A4E" w:rsidRPr="00804A4E">
          <w:rPr>
            <w:rStyle w:val="Hyperlink"/>
            <w:rFonts w:ascii="Franklin Gothic Book" w:hAnsi="Franklin Gothic Book" w:cs="Times New Roman"/>
            <w:sz w:val="18"/>
            <w:szCs w:val="18"/>
          </w:rPr>
          <w:instrText xml:space="preserve"> \* MERGEFORMAT </w:instrText>
        </w:r>
        <w:r w:rsidR="004C5D6A" w:rsidRPr="00804A4E">
          <w:rPr>
            <w:rStyle w:val="Hyperlink"/>
            <w:rFonts w:ascii="Franklin Gothic Book" w:hAnsi="Franklin Gothic Book" w:cs="Times New Roman"/>
            <w:sz w:val="18"/>
            <w:szCs w:val="18"/>
          </w:rPr>
        </w:r>
        <w:r w:rsidR="004C5D6A" w:rsidRPr="00804A4E">
          <w:rPr>
            <w:rStyle w:val="Hyperlink"/>
            <w:rFonts w:ascii="Franklin Gothic Book" w:hAnsi="Franklin Gothic Book" w:cs="Times New Roman"/>
            <w:sz w:val="18"/>
            <w:szCs w:val="18"/>
          </w:rPr>
          <w:fldChar w:fldCharType="end"/>
        </w:r>
        <w:r w:rsidR="004C5D6A" w:rsidRPr="00804A4E">
          <w:rPr>
            <w:rStyle w:val="Hyperlink"/>
            <w:rFonts w:ascii="Franklin Gothic Book" w:hAnsi="Franklin Gothic Book" w:cs="Times New Roman"/>
            <w:sz w:val="18"/>
            <w:szCs w:val="18"/>
          </w:rPr>
          <w:t>Appendix I.A</w:t>
        </w:r>
      </w:hyperlink>
      <w:r w:rsidR="004C5D6A" w:rsidRPr="00804A4E">
        <w:rPr>
          <w:rFonts w:ascii="Franklin Gothic Book" w:hAnsi="Franklin Gothic Book" w:cs="Times New Roman"/>
          <w:sz w:val="18"/>
          <w:szCs w:val="18"/>
        </w:rPr>
        <w:fldChar w:fldCharType="begin"/>
      </w:r>
      <w:r w:rsidR="004C5D6A" w:rsidRPr="00804A4E">
        <w:rPr>
          <w:rFonts w:ascii="Franklin Gothic Book" w:hAnsi="Franklin Gothic Book" w:cs="Times New Roman"/>
          <w:sz w:val="18"/>
          <w:szCs w:val="18"/>
        </w:rPr>
        <w:instrText xml:space="preserve"> REF Appendix_IA \h </w:instrText>
      </w:r>
      <w:r w:rsidR="00804A4E" w:rsidRPr="00804A4E">
        <w:rPr>
          <w:rFonts w:ascii="Franklin Gothic Book" w:hAnsi="Franklin Gothic Book" w:cs="Times New Roman"/>
          <w:sz w:val="18"/>
          <w:szCs w:val="18"/>
        </w:rPr>
        <w:instrText xml:space="preserve"> \* MERGEFORMAT </w:instrText>
      </w:r>
      <w:r w:rsidR="004C5D6A" w:rsidRPr="00804A4E">
        <w:rPr>
          <w:rFonts w:ascii="Franklin Gothic Book" w:hAnsi="Franklin Gothic Book" w:cs="Times New Roman"/>
          <w:sz w:val="18"/>
          <w:szCs w:val="18"/>
        </w:rPr>
      </w:r>
      <w:r w:rsidR="004C5D6A"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An academic paper cited by the ICAs assessing the impact of concentration of hospital beds also suggests that the hospital expansions would increase MGB’s prices.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62-63, citing Zack Cooper et al., </w:t>
      </w:r>
      <w:r w:rsidR="007378A7" w:rsidRPr="00804A4E">
        <w:rPr>
          <w:rFonts w:ascii="Franklin Gothic Book" w:hAnsi="Franklin Gothic Book" w:cs="Times New Roman"/>
          <w:i/>
          <w:iCs/>
          <w:sz w:val="18"/>
          <w:szCs w:val="18"/>
        </w:rPr>
        <w:t>The Price Ain’t Right? Hospital Prices and Health Spending on the Privately Insured,</w:t>
      </w:r>
      <w:r w:rsidR="007378A7" w:rsidRPr="00804A4E">
        <w:rPr>
          <w:rFonts w:ascii="Franklin Gothic Book" w:hAnsi="Franklin Gothic Book" w:cs="Times New Roman"/>
          <w:sz w:val="18"/>
          <w:szCs w:val="18"/>
        </w:rPr>
        <w:t xml:space="preserve"> </w:t>
      </w:r>
      <w:r w:rsidR="000926D9" w:rsidRPr="00804A4E">
        <w:rPr>
          <w:rFonts w:ascii="Franklin Gothic Book" w:hAnsi="Franklin Gothic Book" w:cs="Times New Roman"/>
          <w:sz w:val="18"/>
          <w:szCs w:val="18"/>
        </w:rPr>
        <w:t xml:space="preserve">134 </w:t>
      </w:r>
      <w:r w:rsidRPr="00804A4E">
        <w:rPr>
          <w:rFonts w:ascii="Franklin Gothic Book" w:hAnsi="Franklin Gothic Book" w:cs="Times New Roman"/>
          <w:smallCaps/>
          <w:sz w:val="18"/>
          <w:szCs w:val="18"/>
        </w:rPr>
        <w:t>Quarterly Journal of Economics</w:t>
      </w:r>
      <w:r w:rsidRPr="00804A4E">
        <w:rPr>
          <w:rFonts w:ascii="Franklin Gothic Book" w:hAnsi="Franklin Gothic Book" w:cs="Times New Roman"/>
          <w:sz w:val="18"/>
          <w:szCs w:val="18"/>
        </w:rPr>
        <w:t xml:space="preserve">, </w:t>
      </w:r>
      <w:r w:rsidR="000926D9" w:rsidRPr="00804A4E">
        <w:rPr>
          <w:rFonts w:ascii="Franklin Gothic Book" w:hAnsi="Franklin Gothic Book" w:cs="Times New Roman"/>
          <w:sz w:val="18"/>
          <w:szCs w:val="18"/>
        </w:rPr>
        <w:t xml:space="preserve">51 </w:t>
      </w:r>
      <w:r w:rsidRPr="00804A4E">
        <w:rPr>
          <w:rFonts w:ascii="Franklin Gothic Book" w:hAnsi="Franklin Gothic Book" w:cs="Times New Roman"/>
          <w:sz w:val="18"/>
          <w:szCs w:val="18"/>
        </w:rPr>
        <w:t>(2019)</w:t>
      </w:r>
      <w:r w:rsidR="000926D9" w:rsidRPr="00804A4E">
        <w:rPr>
          <w:rFonts w:ascii="Franklin Gothic Book" w:hAnsi="Franklin Gothic Book" w:cs="Times New Roman"/>
          <w:sz w:val="18"/>
          <w:szCs w:val="18"/>
        </w:rPr>
        <w:t xml:space="preserve"> [hereinafter Cooper et al 2019] </w:t>
      </w:r>
      <w:r w:rsidR="00D20FB6">
        <w:rPr>
          <w:rFonts w:ascii="Franklin Gothic Book" w:hAnsi="Franklin Gothic Book" w:cs="Times New Roman"/>
          <w:i/>
          <w:iCs/>
          <w:sz w:val="18"/>
          <w:szCs w:val="18"/>
        </w:rPr>
        <w:t>available</w:t>
      </w:r>
      <w:r w:rsidR="000926D9" w:rsidRPr="00804A4E">
        <w:rPr>
          <w:rFonts w:ascii="Franklin Gothic Book" w:hAnsi="Franklin Gothic Book" w:cs="Times New Roman"/>
          <w:i/>
          <w:iCs/>
          <w:sz w:val="18"/>
          <w:szCs w:val="18"/>
        </w:rPr>
        <w:t xml:space="preserve"> </w:t>
      </w:r>
      <w:hyperlink r:id="rId37" w:history="1">
        <w:r w:rsidR="00D20FB6">
          <w:rPr>
            <w:rStyle w:val="Hyperlink"/>
            <w:rFonts w:ascii="Franklin Gothic Book" w:hAnsi="Franklin Gothic Book" w:cs="Times New Roman"/>
            <w:sz w:val="18"/>
            <w:szCs w:val="18"/>
          </w:rPr>
          <w:t>at https://www.ncbi.nlm.nih.gov/pmc/articles/PMC7517591/</w:t>
        </w:r>
      </w:hyperlink>
      <w:r w:rsidR="000926D9" w:rsidRPr="00804A4E">
        <w:rPr>
          <w:rFonts w:ascii="Franklin Gothic Book" w:hAnsi="Franklin Gothic Book" w:cs="Times New Roman"/>
          <w:i/>
          <w:iCs/>
          <w:sz w:val="18"/>
          <w:szCs w:val="18"/>
        </w:rPr>
        <w:t xml:space="preserve"> </w:t>
      </w:r>
      <w:r w:rsidRPr="00804A4E">
        <w:rPr>
          <w:rFonts w:ascii="Franklin Gothic Book" w:hAnsi="Franklin Gothic Book" w:cs="Times New Roman"/>
          <w:sz w:val="18"/>
          <w:szCs w:val="18"/>
        </w:rPr>
        <w:t xml:space="preserve">(The HPC estimates a 0.24% increase in MGB hospital prices based solely on the proposed addition of beds at MGH and Faulkner based on </w:t>
      </w:r>
      <w:r w:rsidR="00B87174">
        <w:rPr>
          <w:rFonts w:ascii="Franklin Gothic Book" w:hAnsi="Franklin Gothic Book" w:cs="Times New Roman"/>
          <w:sz w:val="18"/>
          <w:szCs w:val="18"/>
        </w:rPr>
        <w:t xml:space="preserve">partial replication of </w:t>
      </w:r>
      <w:r w:rsidRPr="00804A4E">
        <w:rPr>
          <w:rFonts w:ascii="Franklin Gothic Book" w:hAnsi="Franklin Gothic Book" w:cs="Times New Roman"/>
          <w:sz w:val="18"/>
          <w:szCs w:val="18"/>
        </w:rPr>
        <w:t>the Cooper model, which would translate to over $3.5 million in additional annual commercial spending based on 2019 MGB hospital inpatient revenue</w:t>
      </w:r>
      <w:r w:rsidR="00145493" w:rsidRPr="00804A4E">
        <w:rPr>
          <w:rFonts w:ascii="Franklin Gothic Book" w:hAnsi="Franklin Gothic Book" w:cs="Times New Roman"/>
          <w:sz w:val="18"/>
          <w:szCs w:val="18"/>
        </w:rPr>
        <w:t xml:space="preserve">. </w:t>
      </w:r>
      <w:r w:rsidR="005056C8" w:rsidRPr="00804A4E">
        <w:rPr>
          <w:rFonts w:ascii="Franklin Gothic Book" w:hAnsi="Franklin Gothic Book" w:cs="Times New Roman"/>
          <w:sz w:val="18"/>
          <w:szCs w:val="18"/>
        </w:rPr>
        <w:t>We were not able to fully replicate the Cooper model, as the paper includes coefficients for concentration that allow us to evaluate the impacts of an increase in beds but does not include the coefficients controlling for the level of beds overall</w:t>
      </w:r>
      <w:r w:rsidRPr="00804A4E">
        <w:rPr>
          <w:rFonts w:ascii="Franklin Gothic Book" w:hAnsi="Franklin Gothic Book" w:cs="Times New Roman"/>
          <w:sz w:val="18"/>
          <w:szCs w:val="18"/>
        </w:rPr>
        <w:t>).</w:t>
      </w:r>
    </w:p>
  </w:footnote>
  <w:footnote w:id="116">
    <w:p w14:paraId="6196B6D6" w14:textId="5F2742FF" w:rsidR="00233D8E" w:rsidRPr="00804A4E" w:rsidRDefault="00233D8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hospital relative price data.</w:t>
      </w:r>
      <w:r w:rsidR="00B50D4C" w:rsidRPr="00804A4E">
        <w:rPr>
          <w:rFonts w:ascii="Franklin Gothic Book" w:hAnsi="Franklin Gothic Book" w:cs="Times New Roman"/>
          <w:sz w:val="18"/>
          <w:szCs w:val="18"/>
        </w:rPr>
        <w:t xml:space="preserve"> </w:t>
      </w:r>
    </w:p>
  </w:footnote>
  <w:footnote w:id="117">
    <w:p w14:paraId="52458AB0" w14:textId="70C0C27E" w:rsidR="001601DC" w:rsidRPr="00804A4E" w:rsidRDefault="001601DC"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Section </w:t>
      </w:r>
      <w:hyperlink w:anchor="Section_IVA" w:history="1">
        <w:r w:rsidRPr="00804A4E">
          <w:rPr>
            <w:rStyle w:val="Hyperlink"/>
            <w:rFonts w:ascii="Franklin Gothic Book" w:hAnsi="Franklin Gothic Book" w:cs="Times New Roman"/>
            <w:sz w:val="18"/>
            <w:szCs w:val="18"/>
          </w:rPr>
          <w:t>IV.A</w:t>
        </w:r>
      </w:hyperlink>
      <w:r w:rsidRPr="00804A4E">
        <w:rPr>
          <w:rFonts w:ascii="Franklin Gothic Book" w:hAnsi="Franklin Gothic Book" w:cs="Times New Roman"/>
          <w:sz w:val="18"/>
          <w:szCs w:val="18"/>
        </w:rPr>
        <w:t xml:space="preserve"> for a discussion of the implications of these revenue shifts on health equity.</w:t>
      </w:r>
    </w:p>
  </w:footnote>
  <w:footnote w:id="118">
    <w:p w14:paraId="0E5B697C" w14:textId="453A7F31" w:rsidR="00DE1C61" w:rsidRPr="00804A4E" w:rsidRDefault="00DE1C6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13089B" w:rsidRPr="00804A4E">
        <w:rPr>
          <w:rFonts w:ascii="Franklin Gothic Book" w:hAnsi="Franklin Gothic Book" w:cs="Times New Roman"/>
          <w:sz w:val="18"/>
          <w:szCs w:val="18"/>
        </w:rPr>
        <w:t xml:space="preserve">MGH DoN Application, </w:t>
      </w:r>
      <w:r w:rsidR="0013089B" w:rsidRPr="00804A4E">
        <w:rPr>
          <w:rFonts w:ascii="Franklin Gothic Book" w:hAnsi="Franklin Gothic Book" w:cs="Times New Roman"/>
          <w:i/>
          <w:iCs/>
          <w:sz w:val="18"/>
          <w:szCs w:val="18"/>
        </w:rPr>
        <w:t>supra</w:t>
      </w:r>
      <w:r w:rsidR="0013089B" w:rsidRPr="00804A4E">
        <w:rPr>
          <w:rFonts w:ascii="Franklin Gothic Book" w:hAnsi="Franklin Gothic Book" w:cs="Times New Roman"/>
          <w:sz w:val="18"/>
          <w:szCs w:val="18"/>
        </w:rPr>
        <w:t xml:space="preserve"> note </w:t>
      </w:r>
      <w:r w:rsidR="00A85A47" w:rsidRPr="00804A4E">
        <w:rPr>
          <w:rFonts w:ascii="Franklin Gothic Book" w:hAnsi="Franklin Gothic Book" w:cs="Times New Roman"/>
          <w:sz w:val="18"/>
          <w:szCs w:val="18"/>
        </w:rPr>
        <w:fldChar w:fldCharType="begin"/>
      </w:r>
      <w:r w:rsidR="00A85A47" w:rsidRPr="00804A4E">
        <w:rPr>
          <w:rFonts w:ascii="Franklin Gothic Book" w:hAnsi="Franklin Gothic Book" w:cs="Times New Roman"/>
          <w:sz w:val="18"/>
          <w:szCs w:val="18"/>
        </w:rPr>
        <w:instrText xml:space="preserve"> NOTEREF _Ref93624434 \h </w:instrText>
      </w:r>
      <w:r w:rsidR="00804A4E" w:rsidRPr="00804A4E">
        <w:rPr>
          <w:rFonts w:ascii="Franklin Gothic Book" w:hAnsi="Franklin Gothic Book" w:cs="Times New Roman"/>
          <w:sz w:val="18"/>
          <w:szCs w:val="18"/>
        </w:rPr>
        <w:instrText xml:space="preserve"> \* MERGEFORMAT </w:instrText>
      </w:r>
      <w:r w:rsidR="00A85A47" w:rsidRPr="00804A4E">
        <w:rPr>
          <w:rFonts w:ascii="Franklin Gothic Book" w:hAnsi="Franklin Gothic Book" w:cs="Times New Roman"/>
          <w:sz w:val="18"/>
          <w:szCs w:val="18"/>
        </w:rPr>
      </w:r>
      <w:r w:rsidR="00A85A4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A85A47" w:rsidRPr="00804A4E">
        <w:rPr>
          <w:rFonts w:ascii="Franklin Gothic Book" w:hAnsi="Franklin Gothic Book" w:cs="Times New Roman"/>
          <w:sz w:val="18"/>
          <w:szCs w:val="18"/>
        </w:rPr>
        <w:fldChar w:fldCharType="end"/>
      </w:r>
      <w:r w:rsidR="0013089B" w:rsidRPr="00804A4E">
        <w:rPr>
          <w:rFonts w:ascii="Franklin Gothic Book" w:hAnsi="Franklin Gothic Book" w:cs="Times New Roman"/>
          <w:sz w:val="18"/>
          <w:szCs w:val="18"/>
        </w:rPr>
        <w:t>, Appendix 2, DoN Narrative at 1</w:t>
      </w:r>
      <w:r w:rsidRPr="00804A4E">
        <w:rPr>
          <w:rFonts w:ascii="Franklin Gothic Book" w:hAnsi="Franklin Gothic Book" w:cs="Times New Roman"/>
          <w:sz w:val="18"/>
          <w:szCs w:val="18"/>
        </w:rPr>
        <w:t xml:space="preserve">; </w:t>
      </w:r>
      <w:r w:rsidR="0013089B" w:rsidRPr="00804A4E">
        <w:rPr>
          <w:rFonts w:ascii="Franklin Gothic Book" w:hAnsi="Franklin Gothic Book" w:cs="Times New Roman"/>
          <w:sz w:val="18"/>
          <w:szCs w:val="18"/>
        </w:rPr>
        <w:t xml:space="preserve">Faulkner DoN Application, </w:t>
      </w:r>
      <w:r w:rsidR="0013089B" w:rsidRPr="00804A4E">
        <w:rPr>
          <w:rFonts w:ascii="Franklin Gothic Book" w:hAnsi="Franklin Gothic Book" w:cs="Times New Roman"/>
          <w:i/>
          <w:iCs/>
          <w:sz w:val="18"/>
          <w:szCs w:val="18"/>
        </w:rPr>
        <w:t>supra</w:t>
      </w:r>
      <w:r w:rsidR="0013089B" w:rsidRPr="00804A4E">
        <w:rPr>
          <w:rFonts w:ascii="Franklin Gothic Book" w:hAnsi="Franklin Gothic Book" w:cs="Times New Roman"/>
          <w:sz w:val="18"/>
          <w:szCs w:val="18"/>
        </w:rPr>
        <w:t xml:space="preserve"> note </w:t>
      </w:r>
      <w:r w:rsidR="007502BC" w:rsidRPr="00804A4E">
        <w:rPr>
          <w:rFonts w:ascii="Franklin Gothic Book" w:hAnsi="Franklin Gothic Book" w:cs="Times New Roman"/>
          <w:sz w:val="18"/>
          <w:szCs w:val="18"/>
        </w:rPr>
        <w:fldChar w:fldCharType="begin"/>
      </w:r>
      <w:r w:rsidR="007502BC" w:rsidRPr="00804A4E">
        <w:rPr>
          <w:rFonts w:ascii="Franklin Gothic Book" w:hAnsi="Franklin Gothic Book" w:cs="Times New Roman"/>
          <w:sz w:val="18"/>
          <w:szCs w:val="18"/>
        </w:rPr>
        <w:instrText xml:space="preserve"> NOTEREF _Ref93654856 \h </w:instrText>
      </w:r>
      <w:r w:rsidR="00804A4E" w:rsidRPr="00804A4E">
        <w:rPr>
          <w:rFonts w:ascii="Franklin Gothic Book" w:hAnsi="Franklin Gothic Book" w:cs="Times New Roman"/>
          <w:sz w:val="18"/>
          <w:szCs w:val="18"/>
        </w:rPr>
        <w:instrText xml:space="preserve"> \* MERGEFORMAT </w:instrText>
      </w:r>
      <w:r w:rsidR="007502BC" w:rsidRPr="00804A4E">
        <w:rPr>
          <w:rFonts w:ascii="Franklin Gothic Book" w:hAnsi="Franklin Gothic Book" w:cs="Times New Roman"/>
          <w:sz w:val="18"/>
          <w:szCs w:val="18"/>
        </w:rPr>
      </w:r>
      <w:r w:rsidR="007502BC"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10</w:t>
      </w:r>
      <w:r w:rsidR="007502BC" w:rsidRPr="00804A4E">
        <w:rPr>
          <w:rFonts w:ascii="Franklin Gothic Book" w:hAnsi="Franklin Gothic Book" w:cs="Times New Roman"/>
          <w:sz w:val="18"/>
          <w:szCs w:val="18"/>
        </w:rPr>
        <w:fldChar w:fldCharType="end"/>
      </w:r>
      <w:r w:rsidR="0013089B" w:rsidRPr="00804A4E">
        <w:rPr>
          <w:rFonts w:ascii="Franklin Gothic Book" w:hAnsi="Franklin Gothic Book" w:cs="Times New Roman"/>
          <w:sz w:val="18"/>
          <w:szCs w:val="18"/>
        </w:rPr>
        <w:t>, Appendix 2 DoN Narrative at</w:t>
      </w:r>
      <w:r w:rsidRPr="00804A4E">
        <w:rPr>
          <w:rFonts w:ascii="Franklin Gothic Book" w:hAnsi="Franklin Gothic Book" w:cs="Times New Roman"/>
          <w:sz w:val="18"/>
          <w:szCs w:val="18"/>
        </w:rPr>
        <w:t xml:space="preserve">, at 1; </w:t>
      </w:r>
      <w:r w:rsidR="002D3183" w:rsidRPr="00804A4E">
        <w:rPr>
          <w:rFonts w:ascii="Franklin Gothic Book" w:hAnsi="Franklin Gothic Book" w:cs="Times New Roman"/>
          <w:sz w:val="18"/>
          <w:szCs w:val="18"/>
        </w:rPr>
        <w:t xml:space="preserve">Ambulatory Narrative, </w:t>
      </w:r>
      <w:r w:rsidR="003E4FB4" w:rsidRPr="00804A4E">
        <w:rPr>
          <w:rFonts w:ascii="Franklin Gothic Book" w:hAnsi="Franklin Gothic Book" w:cs="Times New Roman"/>
          <w:i/>
          <w:iCs/>
          <w:sz w:val="18"/>
          <w:szCs w:val="18"/>
        </w:rPr>
        <w:t>s</w:t>
      </w:r>
      <w:r w:rsidR="002D3183" w:rsidRPr="00804A4E">
        <w:rPr>
          <w:rFonts w:ascii="Franklin Gothic Book" w:hAnsi="Franklin Gothic Book" w:cs="Times New Roman"/>
          <w:i/>
          <w:iCs/>
          <w:sz w:val="18"/>
          <w:szCs w:val="18"/>
        </w:rPr>
        <w:t>upra</w:t>
      </w:r>
      <w:r w:rsidR="002D3183"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1.</w:t>
      </w:r>
    </w:p>
  </w:footnote>
  <w:footnote w:id="119">
    <w:p w14:paraId="589D747F" w14:textId="0B2C930A"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ED2074"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00ED2074" w:rsidRPr="00804A4E">
        <w:rPr>
          <w:rFonts w:ascii="Franklin Gothic Book" w:hAnsi="Franklin Gothic Book" w:cs="Times New Roman"/>
          <w:smallCaps/>
          <w:sz w:val="18"/>
          <w:szCs w:val="18"/>
        </w:rPr>
        <w:t>Mass. Gen. Laws</w:t>
      </w:r>
      <w:r w:rsidR="00ED2074"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ch. 6D, § 5</w:t>
      </w:r>
      <w:r w:rsidR="00ED2074"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r w:rsidR="00ED2074" w:rsidRPr="00804A4E">
        <w:rPr>
          <w:rFonts w:ascii="Franklin Gothic Book" w:hAnsi="Franklin Gothic Book" w:cs="Times New Roman"/>
          <w:smallCaps/>
          <w:sz w:val="18"/>
          <w:szCs w:val="18"/>
        </w:rPr>
        <w:t>Mass. Gen. Laws</w:t>
      </w:r>
      <w:r w:rsidRPr="00804A4E">
        <w:rPr>
          <w:rFonts w:ascii="Franklin Gothic Book" w:hAnsi="Franklin Gothic Book" w:cs="Times New Roman"/>
          <w:sz w:val="18"/>
          <w:szCs w:val="18"/>
        </w:rPr>
        <w:t xml:space="preserve"> ch. 6D, § 13(d)</w:t>
      </w:r>
      <w:r w:rsidR="00ED2074" w:rsidRPr="00804A4E">
        <w:rPr>
          <w:rFonts w:ascii="Franklin Gothic Book" w:hAnsi="Franklin Gothic Book" w:cs="Times New Roman"/>
          <w:sz w:val="18"/>
          <w:szCs w:val="18"/>
        </w:rPr>
        <w:t>.</w:t>
      </w:r>
    </w:p>
  </w:footnote>
  <w:footnote w:id="120">
    <w:p w14:paraId="6594E885" w14:textId="702E6605" w:rsidR="00E604CE" w:rsidRPr="00804A4E" w:rsidRDefault="00E604C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To the extent MGB’s expanded capacity it filled by increases in total utilization of services by patients rather than by literal shifts of patients, these losses would represent MGB absorbing revenue from services that could have been provided by other systems, rather than declines in current patient service revenue. As discussed in </w:t>
      </w:r>
      <w:hyperlink w:anchor="Appendix_IB" w:history="1">
        <w:r w:rsidRPr="00804A4E">
          <w:rPr>
            <w:rStyle w:val="Hyperlink"/>
            <w:rFonts w:ascii="Franklin Gothic Book" w:hAnsi="Franklin Gothic Book" w:cs="Times New Roman"/>
            <w:sz w:val="18"/>
            <w:szCs w:val="18"/>
          </w:rPr>
          <w:t xml:space="preserve">Appendix </w:t>
        </w:r>
        <w:r w:rsidR="00C54521" w:rsidRPr="00804A4E">
          <w:rPr>
            <w:rStyle w:val="Hyperlink"/>
            <w:rFonts w:ascii="Franklin Gothic Book" w:hAnsi="Franklin Gothic Book" w:cs="Times New Roman"/>
            <w:sz w:val="18"/>
            <w:szCs w:val="18"/>
          </w:rPr>
          <w:t>I.B</w:t>
        </w:r>
      </w:hyperlink>
      <w:r w:rsidRPr="00804A4E">
        <w:rPr>
          <w:rFonts w:ascii="Franklin Gothic Book" w:hAnsi="Franklin Gothic Book" w:cs="Times New Roman"/>
          <w:sz w:val="18"/>
          <w:szCs w:val="18"/>
        </w:rPr>
        <w:t>, it is not clear that projections by MGB or in the ICAs of increased utilization are sound, particularly for inpatient care. Even if they are sound, the diversion model used in the ICAs is based on the assumption that patients could use other providers for that care. Whether utilization filling MGB’s expansions is current or net new</w:t>
      </w:r>
      <w:r w:rsidR="003620B8"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the result is fewer dollars available to other providers that </w:t>
      </w:r>
      <w:r w:rsidR="003620B8" w:rsidRPr="00804A4E">
        <w:rPr>
          <w:rFonts w:ascii="Franklin Gothic Book" w:hAnsi="Franklin Gothic Book" w:cs="Times New Roman"/>
          <w:sz w:val="18"/>
          <w:szCs w:val="18"/>
        </w:rPr>
        <w:t xml:space="preserve">generally </w:t>
      </w:r>
      <w:r w:rsidRPr="00804A4E">
        <w:rPr>
          <w:rFonts w:ascii="Franklin Gothic Book" w:hAnsi="Franklin Gothic Book" w:cs="Times New Roman"/>
          <w:sz w:val="18"/>
          <w:szCs w:val="18"/>
        </w:rPr>
        <w:t>serve larger proportions of patients covered by MassHealth</w:t>
      </w:r>
      <w:r w:rsidR="003620B8" w:rsidRPr="00804A4E">
        <w:rPr>
          <w:rFonts w:ascii="Franklin Gothic Book" w:hAnsi="Franklin Gothic Book" w:cs="Times New Roman"/>
          <w:sz w:val="18"/>
          <w:szCs w:val="18"/>
        </w:rPr>
        <w:t xml:space="preserve"> and communities with higher indicia of social need</w:t>
      </w:r>
      <w:r w:rsidRPr="00804A4E">
        <w:rPr>
          <w:rFonts w:ascii="Franklin Gothic Book" w:hAnsi="Franklin Gothic Book" w:cs="Times New Roman"/>
          <w:sz w:val="18"/>
          <w:szCs w:val="18"/>
        </w:rPr>
        <w:t>.</w:t>
      </w:r>
    </w:p>
  </w:footnote>
  <w:footnote w:id="121">
    <w:p w14:paraId="42059E2A" w14:textId="19E081A8"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previously discussed this dynamic in its report Community Hospitals at a Crossroads. </w:t>
      </w:r>
      <w:r w:rsidRPr="00804A4E">
        <w:rPr>
          <w:rFonts w:ascii="Franklin Gothic Book" w:hAnsi="Franklin Gothic Book" w:cs="Times New Roman"/>
          <w:smallCaps/>
          <w:sz w:val="18"/>
          <w:szCs w:val="18"/>
        </w:rPr>
        <w:t>Mass. Health Policy Comm’n, Community Hospitals at a Crossroads</w:t>
      </w:r>
      <w:r w:rsidRPr="00804A4E">
        <w:rPr>
          <w:rFonts w:ascii="Franklin Gothic Book" w:hAnsi="Franklin Gothic Book" w:cs="Times New Roman"/>
          <w:sz w:val="18"/>
          <w:szCs w:val="18"/>
        </w:rPr>
        <w:t xml:space="preserve"> 60-61 (Mar. 2016), </w:t>
      </w:r>
      <w:r w:rsidR="004069B6" w:rsidRPr="00804A4E">
        <w:rPr>
          <w:rFonts w:ascii="Franklin Gothic Book" w:hAnsi="Franklin Gothic Book" w:cs="Times New Roman"/>
          <w:sz w:val="18"/>
          <w:szCs w:val="18"/>
        </w:rPr>
        <w:t xml:space="preserve">[hereinafter </w:t>
      </w:r>
      <w:r w:rsidR="004069B6" w:rsidRPr="00804A4E">
        <w:rPr>
          <w:rFonts w:ascii="Franklin Gothic Book" w:hAnsi="Franklin Gothic Book" w:cs="Times New Roman"/>
          <w:smallCaps/>
          <w:sz w:val="18"/>
          <w:szCs w:val="18"/>
        </w:rPr>
        <w:t>Crossroads Report</w:t>
      </w:r>
      <w:r w:rsidR="004069B6" w:rsidRPr="00804A4E">
        <w:rPr>
          <w:rFonts w:ascii="Franklin Gothic Book" w:hAnsi="Franklin Gothic Book" w:cs="Times New Roman"/>
          <w:sz w:val="18"/>
          <w:szCs w:val="18"/>
        </w:rPr>
        <w:t xml:space="preserve">] </w:t>
      </w:r>
      <w:r w:rsidR="000921A7">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38" w:history="1">
        <w:r w:rsidR="000921A7">
          <w:rPr>
            <w:rStyle w:val="Hyperlink"/>
            <w:rFonts w:ascii="Franklin Gothic Book" w:hAnsi="Franklin Gothic Book" w:cs="Times New Roman"/>
            <w:sz w:val="18"/>
            <w:szCs w:val="18"/>
          </w:rPr>
          <w:t>at https://www.mass.gov/files/documents/2016/07/xf/community-hospitals-at-a-crossroads.pdf</w:t>
        </w:r>
      </w:hyperlink>
      <w:r w:rsidR="002A66CA"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As discussed in the ICA for the ambulatory project, literature on the impacts of ASCs on hospital outpatient surgery supports the probability of significant volume and revenue shifts.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2548C7" w:rsidRPr="00804A4E">
        <w:rPr>
          <w:rFonts w:ascii="Franklin Gothic Book" w:hAnsi="Franklin Gothic Book" w:cs="Times New Roman"/>
          <w:sz w:val="18"/>
          <w:szCs w:val="18"/>
        </w:rPr>
        <w:t xml:space="preserve"> </w:t>
      </w:r>
      <w:r w:rsidR="002548C7" w:rsidRPr="00804A4E">
        <w:rPr>
          <w:rFonts w:ascii="Franklin Gothic Book" w:hAnsi="Franklin Gothic Book" w:cs="Times New Roman"/>
          <w:sz w:val="18"/>
          <w:szCs w:val="18"/>
        </w:rPr>
        <w:fldChar w:fldCharType="begin"/>
      </w:r>
      <w:r w:rsidR="002548C7"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2548C7" w:rsidRPr="00804A4E">
        <w:rPr>
          <w:rFonts w:ascii="Franklin Gothic Book" w:hAnsi="Franklin Gothic Book" w:cs="Times New Roman"/>
          <w:sz w:val="18"/>
          <w:szCs w:val="18"/>
        </w:rPr>
      </w:r>
      <w:r w:rsidR="002548C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548C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42-44, citing Carey et al., </w:t>
      </w:r>
      <w:r w:rsidR="00D84F73" w:rsidRPr="00804A4E">
        <w:rPr>
          <w:rFonts w:ascii="Franklin Gothic Book" w:hAnsi="Franklin Gothic Book" w:cs="Times New Roman"/>
          <w:i/>
          <w:iCs/>
          <w:sz w:val="18"/>
          <w:szCs w:val="18"/>
        </w:rPr>
        <w:t>Hospital Competition and Financial Performance: The Effects of Ambulatory Surgery Centers</w:t>
      </w:r>
      <w:r w:rsidR="00D84F73" w:rsidRPr="00804A4E">
        <w:rPr>
          <w:rFonts w:ascii="Franklin Gothic Book" w:hAnsi="Franklin Gothic Book" w:cs="Times New Roman"/>
          <w:sz w:val="18"/>
          <w:szCs w:val="18"/>
        </w:rPr>
        <w:t xml:space="preserve">, 20 </w:t>
      </w:r>
      <w:r w:rsidRPr="00804A4E">
        <w:rPr>
          <w:rFonts w:ascii="Franklin Gothic Book" w:hAnsi="Franklin Gothic Book" w:cs="Times New Roman"/>
          <w:smallCaps/>
          <w:sz w:val="18"/>
          <w:szCs w:val="18"/>
        </w:rPr>
        <w:t>Health Economics</w:t>
      </w:r>
      <w:r w:rsidR="00D84F73" w:rsidRPr="00804A4E">
        <w:rPr>
          <w:rFonts w:ascii="Franklin Gothic Book" w:hAnsi="Franklin Gothic Book" w:cs="Times New Roman"/>
          <w:smallCaps/>
          <w:sz w:val="18"/>
          <w:szCs w:val="18"/>
        </w:rPr>
        <w:t xml:space="preserve"> 571</w:t>
      </w:r>
      <w:r w:rsidRPr="00804A4E">
        <w:rPr>
          <w:rFonts w:ascii="Franklin Gothic Book" w:hAnsi="Franklin Gothic Book" w:cs="Times New Roman"/>
          <w:sz w:val="18"/>
          <w:szCs w:val="18"/>
        </w:rPr>
        <w:t xml:space="preserve"> (2011)</w:t>
      </w:r>
      <w:r w:rsidR="00D84F73" w:rsidRPr="00804A4E">
        <w:rPr>
          <w:rFonts w:ascii="Franklin Gothic Book" w:hAnsi="Franklin Gothic Book" w:cs="Times New Roman"/>
          <w:sz w:val="18"/>
          <w:szCs w:val="18"/>
        </w:rPr>
        <w:t xml:space="preserve">, </w:t>
      </w:r>
      <w:r w:rsidR="00CA22A3">
        <w:rPr>
          <w:rFonts w:ascii="Franklin Gothic Book" w:hAnsi="Franklin Gothic Book" w:cs="Times New Roman"/>
          <w:i/>
          <w:iCs/>
          <w:sz w:val="18"/>
          <w:szCs w:val="18"/>
        </w:rPr>
        <w:t>available</w:t>
      </w:r>
      <w:r w:rsidR="00D84F73" w:rsidRPr="00804A4E">
        <w:rPr>
          <w:rFonts w:ascii="Franklin Gothic Book" w:hAnsi="Franklin Gothic Book" w:cs="Times New Roman"/>
          <w:i/>
          <w:iCs/>
          <w:sz w:val="18"/>
          <w:szCs w:val="18"/>
        </w:rPr>
        <w:t xml:space="preserve"> </w:t>
      </w:r>
      <w:hyperlink r:id="rId39" w:history="1">
        <w:r w:rsidR="00CA22A3">
          <w:rPr>
            <w:rStyle w:val="Hyperlink"/>
            <w:rFonts w:ascii="Franklin Gothic Book" w:hAnsi="Franklin Gothic Book" w:cs="Times New Roman"/>
            <w:sz w:val="18"/>
            <w:szCs w:val="18"/>
          </w:rPr>
          <w:t>at https://onlinelibrary.wiley.com/doi/abs/10.1002/hec.1617</w:t>
        </w:r>
      </w:hyperlink>
      <w:r w:rsidR="00D84F73" w:rsidRPr="00804A4E">
        <w:rPr>
          <w:rFonts w:ascii="Franklin Gothic Book" w:hAnsi="Franklin Gothic Book" w:cs="Times New Roman"/>
          <w:i/>
          <w:iCs/>
          <w:sz w:val="18"/>
          <w:szCs w:val="18"/>
        </w:rPr>
        <w:t xml:space="preserve"> </w:t>
      </w:r>
      <w:r w:rsidRPr="00804A4E">
        <w:rPr>
          <w:rFonts w:ascii="Franklin Gothic Book" w:hAnsi="Franklin Gothic Book" w:cs="Times New Roman"/>
          <w:sz w:val="18"/>
          <w:szCs w:val="18"/>
        </w:rPr>
        <w:t>(finding that decreases in revenue for competing hospitals were larger than decreases in those hospitals’ costs)</w:t>
      </w:r>
      <w:r w:rsidR="00D84F73" w:rsidRPr="00804A4E">
        <w:rPr>
          <w:rFonts w:ascii="Franklin Gothic Book" w:hAnsi="Franklin Gothic Book" w:cs="Times New Roman"/>
          <w:sz w:val="18"/>
          <w:szCs w:val="18"/>
        </w:rPr>
        <w:t>;</w:t>
      </w:r>
      <w:r w:rsidR="00626DE4" w:rsidRPr="00804A4E">
        <w:rPr>
          <w:rFonts w:ascii="Franklin Gothic Book" w:hAnsi="Franklin Gothic Book"/>
          <w:sz w:val="18"/>
          <w:szCs w:val="18"/>
        </w:rPr>
        <w:t xml:space="preserve"> </w:t>
      </w:r>
      <w:r w:rsidR="00D13A7C" w:rsidRPr="00804A4E">
        <w:rPr>
          <w:rFonts w:ascii="Franklin Gothic Book" w:hAnsi="Franklin Gothic Book" w:cs="Times New Roman"/>
          <w:sz w:val="18"/>
          <w:szCs w:val="18"/>
        </w:rPr>
        <w:t>Ariel Winter,</w:t>
      </w:r>
      <w:r w:rsidR="003719A8" w:rsidRPr="00804A4E">
        <w:rPr>
          <w:rFonts w:ascii="Franklin Gothic Book" w:hAnsi="Franklin Gothic Book" w:cs="Times New Roman"/>
          <w:sz w:val="18"/>
          <w:szCs w:val="18"/>
        </w:rPr>
        <w:t xml:space="preserve"> </w:t>
      </w:r>
      <w:r w:rsidR="00D13A7C" w:rsidRPr="00804A4E">
        <w:rPr>
          <w:rFonts w:ascii="Franklin Gothic Book" w:hAnsi="Franklin Gothic Book" w:cs="Times New Roman"/>
          <w:i/>
          <w:iCs/>
          <w:sz w:val="18"/>
          <w:szCs w:val="18"/>
        </w:rPr>
        <w:t>Comparing the mix of patients in various outpatient surgery settings,</w:t>
      </w:r>
      <w:r w:rsidR="00D13A7C" w:rsidRPr="00804A4E">
        <w:rPr>
          <w:rFonts w:ascii="Franklin Gothic Book" w:hAnsi="Franklin Gothic Book" w:cs="Times New Roman"/>
          <w:sz w:val="18"/>
          <w:szCs w:val="18"/>
        </w:rPr>
        <w:t xml:space="preserve"> 22 </w:t>
      </w:r>
      <w:r w:rsidR="003719A8" w:rsidRPr="00804A4E">
        <w:rPr>
          <w:rFonts w:ascii="Franklin Gothic Book" w:hAnsi="Franklin Gothic Book" w:cs="Times New Roman"/>
          <w:smallCaps/>
          <w:sz w:val="18"/>
          <w:szCs w:val="18"/>
        </w:rPr>
        <w:t>Health Affairs</w:t>
      </w:r>
      <w:r w:rsidR="00DC56A2" w:rsidRPr="00804A4E">
        <w:rPr>
          <w:rFonts w:ascii="Franklin Gothic Book" w:hAnsi="Franklin Gothic Book" w:cs="Times New Roman"/>
          <w:smallCaps/>
          <w:sz w:val="18"/>
          <w:szCs w:val="18"/>
        </w:rPr>
        <w:t xml:space="preserve"> </w:t>
      </w:r>
      <w:r w:rsidR="003719A8" w:rsidRPr="00804A4E">
        <w:rPr>
          <w:rFonts w:ascii="Franklin Gothic Book" w:hAnsi="Franklin Gothic Book" w:cs="Times New Roman"/>
          <w:sz w:val="18"/>
          <w:szCs w:val="18"/>
        </w:rPr>
        <w:t>(2003)</w:t>
      </w:r>
      <w:r w:rsidR="00DC56A2" w:rsidRPr="00804A4E">
        <w:rPr>
          <w:rFonts w:ascii="Franklin Gothic Book" w:hAnsi="Franklin Gothic Book" w:cs="Times New Roman"/>
          <w:sz w:val="18"/>
          <w:szCs w:val="18"/>
        </w:rPr>
        <w:t xml:space="preserve">, </w:t>
      </w:r>
      <w:r w:rsidR="00DC56A2" w:rsidRPr="00804A4E">
        <w:rPr>
          <w:rFonts w:ascii="Franklin Gothic Book" w:hAnsi="Franklin Gothic Book" w:cs="Times New Roman"/>
          <w:i/>
          <w:iCs/>
          <w:sz w:val="18"/>
          <w:szCs w:val="18"/>
        </w:rPr>
        <w:t xml:space="preserve">available at </w:t>
      </w:r>
      <w:hyperlink r:id="rId40" w:history="1">
        <w:r w:rsidR="007A6A34">
          <w:rPr>
            <w:rStyle w:val="Hyperlink"/>
            <w:rFonts w:ascii="Franklin Gothic Book" w:hAnsi="Franklin Gothic Book" w:cs="Times New Roman"/>
            <w:sz w:val="18"/>
            <w:szCs w:val="18"/>
          </w:rPr>
          <w:t>at https://www.healthaffairs.org/doi/full/10.1377/hlthaff.22.6.68</w:t>
        </w:r>
      </w:hyperlink>
      <w:r w:rsidR="00DC56A2" w:rsidRPr="00804A4E">
        <w:rPr>
          <w:rFonts w:ascii="Franklin Gothic Book" w:hAnsi="Franklin Gothic Book" w:cs="Times New Roman"/>
          <w:sz w:val="18"/>
          <w:szCs w:val="18"/>
        </w:rPr>
        <w:t xml:space="preserve"> </w:t>
      </w:r>
      <w:r w:rsidR="003719A8" w:rsidRPr="00804A4E">
        <w:rPr>
          <w:rFonts w:ascii="Franklin Gothic Book" w:hAnsi="Franklin Gothic Book" w:cs="Times New Roman"/>
          <w:sz w:val="18"/>
          <w:szCs w:val="18"/>
        </w:rPr>
        <w:t>(find</w:t>
      </w:r>
      <w:r w:rsidR="009023FA" w:rsidRPr="00804A4E">
        <w:rPr>
          <w:rFonts w:ascii="Franklin Gothic Book" w:hAnsi="Franklin Gothic Book" w:cs="Times New Roman"/>
          <w:sz w:val="18"/>
          <w:szCs w:val="18"/>
        </w:rPr>
        <w:t>ing</w:t>
      </w:r>
      <w:r w:rsidR="003719A8" w:rsidRPr="00804A4E">
        <w:rPr>
          <w:rFonts w:ascii="Franklin Gothic Book" w:hAnsi="Franklin Gothic Book" w:cs="Times New Roman"/>
          <w:sz w:val="18"/>
          <w:szCs w:val="18"/>
        </w:rPr>
        <w:t xml:space="preserve"> that hospital outpatient departments treat beneficiaries who are more medically complex, and that ASCs </w:t>
      </w:r>
      <w:r w:rsidR="006F4EDA" w:rsidRPr="00804A4E">
        <w:rPr>
          <w:rFonts w:ascii="Franklin Gothic Book" w:hAnsi="Franklin Gothic Book" w:cs="Times New Roman"/>
          <w:sz w:val="18"/>
          <w:szCs w:val="18"/>
        </w:rPr>
        <w:t xml:space="preserve">may therefore </w:t>
      </w:r>
      <w:r w:rsidR="003719A8" w:rsidRPr="00804A4E">
        <w:rPr>
          <w:rFonts w:ascii="Franklin Gothic Book" w:hAnsi="Franklin Gothic Book" w:cs="Times New Roman"/>
          <w:sz w:val="18"/>
          <w:szCs w:val="18"/>
        </w:rPr>
        <w:t xml:space="preserve">incur lower costs when providing similar procedures); </w:t>
      </w:r>
      <w:r w:rsidR="00DC56A2" w:rsidRPr="00804A4E">
        <w:rPr>
          <w:rFonts w:ascii="Franklin Gothic Book" w:hAnsi="Franklin Gothic Book" w:cs="Times New Roman"/>
          <w:sz w:val="18"/>
          <w:szCs w:val="18"/>
        </w:rPr>
        <w:t>Chad. D. Meyerhoefer, Margaret S. Colby, &amp; Jeffrey T. McFetridge,</w:t>
      </w:r>
      <w:r w:rsidR="003719A8" w:rsidRPr="00804A4E">
        <w:rPr>
          <w:rFonts w:ascii="Franklin Gothic Book" w:hAnsi="Franklin Gothic Book" w:cs="Times New Roman"/>
          <w:sz w:val="18"/>
          <w:szCs w:val="18"/>
        </w:rPr>
        <w:t xml:space="preserve"> </w:t>
      </w:r>
      <w:r w:rsidR="00DC56A2" w:rsidRPr="00804A4E">
        <w:rPr>
          <w:rFonts w:ascii="Franklin Gothic Book" w:hAnsi="Franklin Gothic Book" w:cs="Times New Roman"/>
          <w:i/>
          <w:iCs/>
          <w:sz w:val="18"/>
          <w:szCs w:val="18"/>
        </w:rPr>
        <w:t>Patient mix in outpatient surgery settings and implications for Medicare payment policy,</w:t>
      </w:r>
      <w:r w:rsidR="00DC56A2" w:rsidRPr="00804A4E">
        <w:rPr>
          <w:rFonts w:ascii="Franklin Gothic Book" w:hAnsi="Franklin Gothic Book" w:cs="Times New Roman"/>
          <w:sz w:val="18"/>
          <w:szCs w:val="18"/>
        </w:rPr>
        <w:t xml:space="preserve"> 69 </w:t>
      </w:r>
      <w:r w:rsidR="003719A8" w:rsidRPr="00804A4E">
        <w:rPr>
          <w:rFonts w:ascii="Franklin Gothic Book" w:hAnsi="Franklin Gothic Book" w:cs="Times New Roman"/>
          <w:smallCaps/>
          <w:sz w:val="18"/>
          <w:szCs w:val="18"/>
        </w:rPr>
        <w:t>Medical Care Research and Review</w:t>
      </w:r>
      <w:r w:rsidR="00DC56A2" w:rsidRPr="00804A4E">
        <w:rPr>
          <w:rFonts w:ascii="Franklin Gothic Book" w:hAnsi="Franklin Gothic Book" w:cs="Times New Roman"/>
          <w:smallCaps/>
          <w:sz w:val="18"/>
          <w:szCs w:val="18"/>
        </w:rPr>
        <w:t xml:space="preserve"> </w:t>
      </w:r>
      <w:r w:rsidR="003719A8" w:rsidRPr="00804A4E">
        <w:rPr>
          <w:rFonts w:ascii="Franklin Gothic Book" w:hAnsi="Franklin Gothic Book" w:cs="Times New Roman"/>
          <w:sz w:val="18"/>
          <w:szCs w:val="18"/>
        </w:rPr>
        <w:t>(2012)</w:t>
      </w:r>
      <w:r w:rsidR="00DC56A2" w:rsidRPr="00804A4E">
        <w:rPr>
          <w:rFonts w:ascii="Franklin Gothic Book" w:hAnsi="Franklin Gothic Book" w:cs="Times New Roman"/>
          <w:sz w:val="18"/>
          <w:szCs w:val="18"/>
        </w:rPr>
        <w:t xml:space="preserve">, </w:t>
      </w:r>
      <w:r w:rsidR="007A6A34">
        <w:rPr>
          <w:rFonts w:ascii="Franklin Gothic Book" w:hAnsi="Franklin Gothic Book" w:cs="Times New Roman"/>
          <w:i/>
          <w:iCs/>
          <w:sz w:val="18"/>
          <w:szCs w:val="18"/>
        </w:rPr>
        <w:t>available</w:t>
      </w:r>
      <w:r w:rsidR="00DC56A2" w:rsidRPr="00804A4E">
        <w:rPr>
          <w:rFonts w:ascii="Franklin Gothic Book" w:hAnsi="Franklin Gothic Book" w:cs="Times New Roman"/>
          <w:i/>
          <w:iCs/>
          <w:sz w:val="18"/>
          <w:szCs w:val="18"/>
        </w:rPr>
        <w:t xml:space="preserve"> </w:t>
      </w:r>
      <w:hyperlink r:id="rId41" w:history="1">
        <w:r w:rsidR="007A6A34">
          <w:rPr>
            <w:rStyle w:val="Hyperlink"/>
            <w:rFonts w:ascii="Franklin Gothic Book" w:hAnsi="Franklin Gothic Book" w:cs="Times New Roman"/>
            <w:sz w:val="18"/>
            <w:szCs w:val="18"/>
          </w:rPr>
          <w:t>at https://journals.sagepub.com/doi/10.1177/1077558711409946</w:t>
        </w:r>
      </w:hyperlink>
      <w:r w:rsidR="003719A8" w:rsidRPr="00804A4E">
        <w:rPr>
          <w:rFonts w:ascii="Franklin Gothic Book" w:hAnsi="Franklin Gothic Book" w:cs="Times New Roman"/>
          <w:sz w:val="18"/>
          <w:szCs w:val="18"/>
        </w:rPr>
        <w:t xml:space="preserve"> (find</w:t>
      </w:r>
      <w:r w:rsidR="009023FA" w:rsidRPr="00804A4E">
        <w:rPr>
          <w:rFonts w:ascii="Franklin Gothic Book" w:hAnsi="Franklin Gothic Book" w:cs="Times New Roman"/>
          <w:sz w:val="18"/>
          <w:szCs w:val="18"/>
        </w:rPr>
        <w:t>ing</w:t>
      </w:r>
      <w:r w:rsidR="003719A8" w:rsidRPr="00804A4E">
        <w:rPr>
          <w:rFonts w:ascii="Franklin Gothic Book" w:hAnsi="Franklin Gothic Book" w:cs="Times New Roman"/>
          <w:sz w:val="18"/>
          <w:szCs w:val="18"/>
        </w:rPr>
        <w:t xml:space="preserve"> that for four common outpatient surgeries, ASCs treat less severe patients and benefit from positive selection); David Wenner, </w:t>
      </w:r>
      <w:r w:rsidR="003719A8" w:rsidRPr="00804A4E">
        <w:rPr>
          <w:rFonts w:ascii="Franklin Gothic Book" w:hAnsi="Franklin Gothic Book" w:cs="Times New Roman"/>
          <w:i/>
          <w:iCs/>
          <w:sz w:val="18"/>
          <w:szCs w:val="18"/>
        </w:rPr>
        <w:t>Health care gold mines: outpatient centers rack up big profits in Harrisburg area and all over Pa.</w:t>
      </w:r>
      <w:r w:rsidR="00DC56A2" w:rsidRPr="00804A4E">
        <w:rPr>
          <w:rFonts w:ascii="Franklin Gothic Book" w:hAnsi="Franklin Gothic Book" w:cs="Times New Roman"/>
          <w:sz w:val="18"/>
          <w:szCs w:val="18"/>
        </w:rPr>
        <w:t xml:space="preserve">, </w:t>
      </w:r>
      <w:r w:rsidR="00F731D8" w:rsidRPr="00804A4E">
        <w:rPr>
          <w:rFonts w:ascii="Franklin Gothic Book" w:hAnsi="Franklin Gothic Book" w:cs="Times New Roman"/>
          <w:smallCaps/>
          <w:sz w:val="18"/>
          <w:szCs w:val="18"/>
        </w:rPr>
        <w:t>PennLive</w:t>
      </w:r>
      <w:r w:rsidR="00F731D8" w:rsidRPr="00804A4E">
        <w:rPr>
          <w:rFonts w:ascii="Franklin Gothic Book" w:hAnsi="Franklin Gothic Book" w:cs="Times New Roman"/>
          <w:sz w:val="18"/>
          <w:szCs w:val="18"/>
        </w:rPr>
        <w:t xml:space="preserve"> </w:t>
      </w:r>
      <w:r w:rsidR="003719A8" w:rsidRPr="00804A4E">
        <w:rPr>
          <w:rFonts w:ascii="Franklin Gothic Book" w:hAnsi="Franklin Gothic Book" w:cs="Times New Roman"/>
          <w:sz w:val="18"/>
          <w:szCs w:val="18"/>
        </w:rPr>
        <w:t>(</w:t>
      </w:r>
      <w:r w:rsidR="00F731D8" w:rsidRPr="00804A4E">
        <w:rPr>
          <w:rFonts w:ascii="Franklin Gothic Book" w:hAnsi="Franklin Gothic Book" w:cs="Times New Roman"/>
          <w:sz w:val="18"/>
          <w:szCs w:val="18"/>
        </w:rPr>
        <w:t xml:space="preserve">November 20, </w:t>
      </w:r>
      <w:r w:rsidR="003719A8" w:rsidRPr="00804A4E">
        <w:rPr>
          <w:rFonts w:ascii="Franklin Gothic Book" w:hAnsi="Franklin Gothic Book" w:cs="Times New Roman"/>
          <w:sz w:val="18"/>
          <w:szCs w:val="18"/>
        </w:rPr>
        <w:t>2014)</w:t>
      </w:r>
      <w:r w:rsidR="00F731D8" w:rsidRPr="00804A4E">
        <w:rPr>
          <w:rFonts w:ascii="Franklin Gothic Book" w:hAnsi="Franklin Gothic Book" w:cs="Times New Roman"/>
          <w:sz w:val="18"/>
          <w:szCs w:val="18"/>
        </w:rPr>
        <w:t xml:space="preserve">, </w:t>
      </w:r>
      <w:r w:rsidR="00D943C0">
        <w:rPr>
          <w:rFonts w:ascii="Franklin Gothic Book" w:hAnsi="Franklin Gothic Book" w:cs="Times New Roman"/>
          <w:i/>
          <w:iCs/>
          <w:sz w:val="18"/>
          <w:szCs w:val="18"/>
        </w:rPr>
        <w:t>available</w:t>
      </w:r>
      <w:r w:rsidR="00F731D8" w:rsidRPr="00804A4E">
        <w:rPr>
          <w:rFonts w:ascii="Franklin Gothic Book" w:hAnsi="Franklin Gothic Book" w:cs="Times New Roman"/>
          <w:i/>
          <w:iCs/>
          <w:sz w:val="18"/>
          <w:szCs w:val="18"/>
        </w:rPr>
        <w:t xml:space="preserve"> </w:t>
      </w:r>
      <w:hyperlink r:id="rId42" w:history="1">
        <w:r w:rsidR="00D943C0">
          <w:rPr>
            <w:rStyle w:val="Hyperlink"/>
            <w:rFonts w:ascii="Franklin Gothic Book" w:hAnsi="Franklin Gothic Book" w:cs="Times New Roman"/>
            <w:sz w:val="18"/>
            <w:szCs w:val="18"/>
          </w:rPr>
          <w:t>at https://www.pennlive.com/midstate/2014/11/health_care_costs_harrisburg_p.html</w:t>
        </w:r>
      </w:hyperlink>
      <w:r w:rsidR="00F731D8" w:rsidRPr="00804A4E">
        <w:rPr>
          <w:rFonts w:ascii="Franklin Gothic Book" w:hAnsi="Franklin Gothic Book" w:cs="Times New Roman"/>
          <w:sz w:val="18"/>
          <w:szCs w:val="18"/>
        </w:rPr>
        <w:t xml:space="preserve"> </w:t>
      </w:r>
      <w:r w:rsidR="003719A8" w:rsidRPr="00804A4E">
        <w:rPr>
          <w:rFonts w:ascii="Franklin Gothic Book" w:hAnsi="Franklin Gothic Book" w:cs="Times New Roman"/>
          <w:sz w:val="18"/>
          <w:szCs w:val="18"/>
        </w:rPr>
        <w:t xml:space="preserve">(news coverage on a </w:t>
      </w:r>
      <w:r w:rsidR="00DC56A2" w:rsidRPr="00804A4E">
        <w:rPr>
          <w:rFonts w:ascii="Franklin Gothic Book" w:hAnsi="Franklin Gothic Book" w:cs="Times New Roman"/>
          <w:sz w:val="18"/>
          <w:szCs w:val="18"/>
        </w:rPr>
        <w:t>r</w:t>
      </w:r>
      <w:r w:rsidR="003719A8" w:rsidRPr="00804A4E">
        <w:rPr>
          <w:rFonts w:ascii="Franklin Gothic Book" w:hAnsi="Franklin Gothic Book" w:cs="Times New Roman"/>
          <w:sz w:val="18"/>
          <w:szCs w:val="18"/>
        </w:rPr>
        <w:t>eport by the Pennsylvania Health Care Cost Containment Council finding high margins for Pennsylvania outpatient surgery centers and determining that they are significantly more profitable than regular hospitals).</w:t>
      </w:r>
    </w:p>
  </w:footnote>
  <w:footnote w:id="122">
    <w:p w14:paraId="306CA0A3" w14:textId="687FDE7F" w:rsidR="003719A8" w:rsidRPr="00804A4E" w:rsidRDefault="003719A8"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9176CE" w:rsidRPr="00804A4E">
        <w:rPr>
          <w:rFonts w:ascii="Franklin Gothic Book" w:hAnsi="Franklin Gothic Book" w:cs="Times New Roman"/>
          <w:sz w:val="18"/>
          <w:szCs w:val="18"/>
        </w:rPr>
        <w:t xml:space="preserve">Kathleen Carey, </w:t>
      </w:r>
      <w:r w:rsidR="009176CE" w:rsidRPr="00804A4E">
        <w:rPr>
          <w:rFonts w:ascii="Franklin Gothic Book" w:hAnsi="Franklin Gothic Book" w:cs="Times New Roman"/>
          <w:i/>
          <w:iCs/>
          <w:sz w:val="18"/>
          <w:szCs w:val="18"/>
        </w:rPr>
        <w:t>Ambulatory Surgery Centers and Prices in Hospital Outpatient Departments</w:t>
      </w:r>
      <w:r w:rsidR="009176CE" w:rsidRPr="00804A4E">
        <w:rPr>
          <w:rFonts w:ascii="Franklin Gothic Book" w:hAnsi="Franklin Gothic Book" w:cs="Times New Roman"/>
          <w:sz w:val="18"/>
          <w:szCs w:val="18"/>
        </w:rPr>
        <w:t xml:space="preserve">, 74 </w:t>
      </w:r>
      <w:r w:rsidR="009176CE" w:rsidRPr="00804A4E">
        <w:rPr>
          <w:rFonts w:ascii="Franklin Gothic Book" w:hAnsi="Franklin Gothic Book" w:cs="Times New Roman"/>
          <w:smallCaps/>
          <w:sz w:val="18"/>
          <w:szCs w:val="18"/>
        </w:rPr>
        <w:t xml:space="preserve">Medical Care Research and Review </w:t>
      </w:r>
      <w:r w:rsidR="009176CE" w:rsidRPr="00804A4E">
        <w:rPr>
          <w:rFonts w:ascii="Franklin Gothic Book" w:hAnsi="Franklin Gothic Book" w:cs="Times New Roman"/>
          <w:sz w:val="18"/>
          <w:szCs w:val="18"/>
        </w:rPr>
        <w:t xml:space="preserve">236 </w:t>
      </w:r>
      <w:r w:rsidRPr="00804A4E">
        <w:rPr>
          <w:rFonts w:ascii="Franklin Gothic Book" w:hAnsi="Franklin Gothic Book" w:cs="Times New Roman"/>
          <w:sz w:val="18"/>
          <w:szCs w:val="18"/>
        </w:rPr>
        <w:t>(2017)</w:t>
      </w:r>
      <w:r w:rsidR="009176CE" w:rsidRPr="00804A4E">
        <w:rPr>
          <w:rFonts w:ascii="Franklin Gothic Book" w:hAnsi="Franklin Gothic Book" w:cs="Times New Roman"/>
          <w:sz w:val="18"/>
          <w:szCs w:val="18"/>
        </w:rPr>
        <w:t xml:space="preserve">, </w:t>
      </w:r>
      <w:r w:rsidR="00C10A58">
        <w:rPr>
          <w:rFonts w:ascii="Franklin Gothic Book" w:hAnsi="Franklin Gothic Book" w:cs="Times New Roman"/>
          <w:i/>
          <w:iCs/>
          <w:sz w:val="18"/>
          <w:szCs w:val="18"/>
        </w:rPr>
        <w:t xml:space="preserve">available </w:t>
      </w:r>
      <w:hyperlink r:id="rId43" w:history="1">
        <w:r w:rsidR="00C10A58">
          <w:rPr>
            <w:rStyle w:val="Hyperlink"/>
            <w:rFonts w:ascii="Franklin Gothic Book" w:hAnsi="Franklin Gothic Book" w:cs="Times New Roman"/>
            <w:sz w:val="18"/>
            <w:szCs w:val="18"/>
          </w:rPr>
          <w:t>at https://pubmed.ncbi.nlm.nih.gov/26951624/</w:t>
        </w:r>
      </w:hyperlink>
      <w:r w:rsidR="009176CE"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w:t>
      </w:r>
      <w:r w:rsidR="006F4EDA" w:rsidRPr="00804A4E">
        <w:rPr>
          <w:rFonts w:ascii="Franklin Gothic Book" w:hAnsi="Franklin Gothic Book" w:cs="Times New Roman"/>
          <w:sz w:val="18"/>
          <w:szCs w:val="18"/>
        </w:rPr>
        <w:t>Finding, f</w:t>
      </w:r>
      <w:r w:rsidRPr="00804A4E">
        <w:rPr>
          <w:rFonts w:ascii="Franklin Gothic Book" w:hAnsi="Franklin Gothic Book" w:cs="Times New Roman"/>
          <w:sz w:val="18"/>
          <w:szCs w:val="18"/>
        </w:rPr>
        <w:t>or four common procedures, lower prices at HOPDs in markets with more ASCs per capita, likely due to the HOPD having less negotiating leverage with commercial insurers)</w:t>
      </w:r>
      <w:r w:rsidR="009176CE" w:rsidRPr="00804A4E">
        <w:rPr>
          <w:rFonts w:ascii="Franklin Gothic Book" w:hAnsi="Franklin Gothic Book" w:cs="Times New Roman"/>
          <w:sz w:val="18"/>
          <w:szCs w:val="18"/>
        </w:rPr>
        <w:t xml:space="preserve">; Laurence C. Baker, MK Bundorf, &amp; Daniel P. Kessler, </w:t>
      </w:r>
      <w:r w:rsidR="009176CE" w:rsidRPr="00804A4E">
        <w:rPr>
          <w:rFonts w:ascii="Franklin Gothic Book" w:hAnsi="Franklin Gothic Book" w:cs="Times New Roman"/>
          <w:i/>
          <w:iCs/>
          <w:sz w:val="18"/>
          <w:szCs w:val="18"/>
        </w:rPr>
        <w:t>Competition in Outpatient Procedure Markets,</w:t>
      </w:r>
      <w:r w:rsidRPr="00804A4E">
        <w:rPr>
          <w:rFonts w:ascii="Franklin Gothic Book" w:hAnsi="Franklin Gothic Book" w:cs="Times New Roman"/>
          <w:sz w:val="18"/>
          <w:szCs w:val="18"/>
        </w:rPr>
        <w:t xml:space="preserve"> </w:t>
      </w:r>
      <w:r w:rsidR="009176CE" w:rsidRPr="00804A4E">
        <w:rPr>
          <w:rFonts w:ascii="Franklin Gothic Book" w:hAnsi="Franklin Gothic Book" w:cs="Times New Roman"/>
          <w:sz w:val="18"/>
          <w:szCs w:val="18"/>
        </w:rPr>
        <w:t xml:space="preserve">57 </w:t>
      </w:r>
      <w:r w:rsidRPr="00804A4E">
        <w:rPr>
          <w:rFonts w:ascii="Franklin Gothic Book" w:hAnsi="Franklin Gothic Book" w:cs="Times New Roman"/>
          <w:smallCaps/>
          <w:sz w:val="18"/>
          <w:szCs w:val="18"/>
        </w:rPr>
        <w:t>Med</w:t>
      </w:r>
      <w:r w:rsidR="009176CE" w:rsidRPr="00804A4E">
        <w:rPr>
          <w:rFonts w:ascii="Franklin Gothic Book" w:hAnsi="Franklin Gothic Book" w:cs="Times New Roman"/>
          <w:smallCaps/>
          <w:sz w:val="18"/>
          <w:szCs w:val="18"/>
        </w:rPr>
        <w:t>ical</w:t>
      </w:r>
      <w:r w:rsidRPr="00804A4E">
        <w:rPr>
          <w:rFonts w:ascii="Franklin Gothic Book" w:hAnsi="Franklin Gothic Book" w:cs="Times New Roman"/>
          <w:smallCaps/>
          <w:sz w:val="18"/>
          <w:szCs w:val="18"/>
        </w:rPr>
        <w:t xml:space="preserve"> Care</w:t>
      </w:r>
      <w:r w:rsidR="009176CE" w:rsidRPr="00804A4E">
        <w:rPr>
          <w:rFonts w:ascii="Franklin Gothic Book" w:hAnsi="Franklin Gothic Book" w:cs="Times New Roman"/>
          <w:sz w:val="18"/>
          <w:szCs w:val="18"/>
        </w:rPr>
        <w:t xml:space="preserve"> 36 </w:t>
      </w:r>
      <w:r w:rsidRPr="00804A4E">
        <w:rPr>
          <w:rFonts w:ascii="Franklin Gothic Book" w:hAnsi="Franklin Gothic Book" w:cs="Times New Roman"/>
          <w:sz w:val="18"/>
          <w:szCs w:val="18"/>
        </w:rPr>
        <w:t>(2019)</w:t>
      </w:r>
      <w:r w:rsidR="009176CE" w:rsidRPr="00804A4E">
        <w:rPr>
          <w:rFonts w:ascii="Franklin Gothic Book" w:hAnsi="Franklin Gothic Book" w:cs="Times New Roman"/>
          <w:sz w:val="18"/>
          <w:szCs w:val="18"/>
        </w:rPr>
        <w:t xml:space="preserve">, </w:t>
      </w:r>
      <w:r w:rsidR="00416A6D">
        <w:rPr>
          <w:rFonts w:ascii="Franklin Gothic Book" w:hAnsi="Franklin Gothic Book" w:cs="Times New Roman"/>
          <w:i/>
          <w:iCs/>
          <w:sz w:val="18"/>
          <w:szCs w:val="18"/>
        </w:rPr>
        <w:t>available</w:t>
      </w:r>
      <w:r w:rsidR="009176CE" w:rsidRPr="00804A4E">
        <w:rPr>
          <w:rFonts w:ascii="Franklin Gothic Book" w:hAnsi="Franklin Gothic Book" w:cs="Times New Roman"/>
          <w:i/>
          <w:iCs/>
          <w:sz w:val="18"/>
          <w:szCs w:val="18"/>
        </w:rPr>
        <w:t xml:space="preserve"> </w:t>
      </w:r>
      <w:hyperlink r:id="rId44" w:history="1">
        <w:r w:rsidR="00416A6D">
          <w:rPr>
            <w:rStyle w:val="Hyperlink"/>
            <w:rFonts w:ascii="Franklin Gothic Book" w:hAnsi="Franklin Gothic Book" w:cs="Times New Roman"/>
            <w:sz w:val="18"/>
            <w:szCs w:val="18"/>
          </w:rPr>
          <w:t>at https://pubmed.ncbi.nlm.nih.gov/30507654/</w:t>
        </w:r>
      </w:hyperlink>
      <w:r w:rsidR="009176CE" w:rsidRPr="00804A4E">
        <w:rPr>
          <w:rFonts w:ascii="Franklin Gothic Book" w:hAnsi="Franklin Gothic Book" w:cs="Times New Roman"/>
          <w:i/>
          <w:iCs/>
          <w:sz w:val="18"/>
          <w:szCs w:val="18"/>
        </w:rPr>
        <w:t xml:space="preserve"> </w:t>
      </w:r>
      <w:r w:rsidRPr="00804A4E">
        <w:rPr>
          <w:rFonts w:ascii="Franklin Gothic Book" w:hAnsi="Franklin Gothic Book" w:cs="Times New Roman"/>
          <w:sz w:val="18"/>
          <w:szCs w:val="18"/>
        </w:rPr>
        <w:t>(find</w:t>
      </w:r>
      <w:r w:rsidR="006F4EDA" w:rsidRPr="00804A4E">
        <w:rPr>
          <w:rFonts w:ascii="Franklin Gothic Book" w:hAnsi="Franklin Gothic Book" w:cs="Times New Roman"/>
          <w:sz w:val="18"/>
          <w:szCs w:val="18"/>
        </w:rPr>
        <w:t>ing</w:t>
      </w:r>
      <w:r w:rsidRPr="00804A4E">
        <w:rPr>
          <w:rFonts w:ascii="Franklin Gothic Book" w:hAnsi="Franklin Gothic Book" w:cs="Times New Roman"/>
          <w:sz w:val="18"/>
          <w:szCs w:val="18"/>
        </w:rPr>
        <w:t xml:space="preserve"> ASC availability associated with decreases in prices paid to hospital outpatient departments, but </w:t>
      </w:r>
      <w:r w:rsidR="006F4EDA" w:rsidRPr="00804A4E">
        <w:rPr>
          <w:rFonts w:ascii="Franklin Gothic Book" w:hAnsi="Franklin Gothic Book" w:cs="Times New Roman"/>
          <w:sz w:val="18"/>
          <w:szCs w:val="18"/>
        </w:rPr>
        <w:t xml:space="preserve">cautioning, </w:t>
      </w:r>
      <w:r w:rsidRPr="00804A4E">
        <w:rPr>
          <w:rFonts w:ascii="Franklin Gothic Book" w:hAnsi="Franklin Gothic Book" w:cs="Times New Roman"/>
          <w:sz w:val="18"/>
          <w:szCs w:val="18"/>
        </w:rPr>
        <w:t>“Any conclusions about the broader welfare implications of the rise in ASCs, however, must balance the price reductions that we found with the volume increases found in previous work, particularly the volume increases at physician-owned ASCs”)</w:t>
      </w:r>
      <w:r w:rsidR="006F4EDA" w:rsidRPr="00804A4E">
        <w:rPr>
          <w:rFonts w:ascii="Franklin Gothic Book" w:hAnsi="Franklin Gothic Book" w:cs="Times New Roman"/>
          <w:sz w:val="18"/>
          <w:szCs w:val="18"/>
        </w:rPr>
        <w:t>.</w:t>
      </w:r>
    </w:p>
  </w:footnote>
  <w:footnote w:id="123">
    <w:p w14:paraId="28247DA6" w14:textId="0E9E2320"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EE3660" w:rsidRPr="00804A4E">
        <w:rPr>
          <w:rFonts w:ascii="Franklin Gothic Book" w:hAnsi="Franklin Gothic Book" w:cs="Times New Roman"/>
          <w:i/>
          <w:iCs/>
          <w:sz w:val="18"/>
          <w:szCs w:val="18"/>
        </w:rPr>
        <w:t>See</w:t>
      </w:r>
      <w:r w:rsidR="00ED6A1A" w:rsidRPr="00804A4E">
        <w:rPr>
          <w:rFonts w:ascii="Franklin Gothic Book" w:hAnsi="Franklin Gothic Book" w:cs="Times New Roman"/>
          <w:i/>
          <w:iCs/>
          <w:sz w:val="18"/>
          <w:szCs w:val="18"/>
        </w:rPr>
        <w:t xml:space="preserve"> </w:t>
      </w:r>
      <w:hyperlink w:anchor="Appendix_IIF" w:history="1">
        <w:r w:rsidR="00ED6A1A" w:rsidRPr="00804A4E">
          <w:rPr>
            <w:rStyle w:val="Hyperlink"/>
            <w:rFonts w:ascii="Franklin Gothic Book" w:hAnsi="Franklin Gothic Book" w:cs="Times New Roman"/>
            <w:sz w:val="18"/>
            <w:szCs w:val="18"/>
          </w:rPr>
          <w:t xml:space="preserve">Appendix </w:t>
        </w:r>
        <w:r w:rsidR="00DC4FCC" w:rsidRPr="00804A4E">
          <w:rPr>
            <w:rStyle w:val="Hyperlink"/>
            <w:rFonts w:ascii="Franklin Gothic Book" w:hAnsi="Franklin Gothic Book" w:cs="Times New Roman"/>
            <w:sz w:val="18"/>
            <w:szCs w:val="18"/>
          </w:rPr>
          <w:t>II.F</w:t>
        </w:r>
      </w:hyperlink>
      <w:r w:rsidR="008879F9" w:rsidRPr="00804A4E">
        <w:rPr>
          <w:rStyle w:val="Hyperlink"/>
          <w:rFonts w:ascii="Franklin Gothic Book" w:hAnsi="Franklin Gothic Book" w:cs="Times New Roman"/>
          <w:color w:val="auto"/>
          <w:sz w:val="18"/>
          <w:szCs w:val="18"/>
          <w:u w:val="none"/>
        </w:rPr>
        <w:t>.</w:t>
      </w:r>
    </w:p>
  </w:footnote>
  <w:footnote w:id="124">
    <w:p w14:paraId="1AF52159" w14:textId="63B6459C"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00EE3660" w:rsidRPr="00804A4E">
        <w:rPr>
          <w:rFonts w:ascii="Franklin Gothic Book" w:hAnsi="Franklin Gothic Book" w:cs="Times New Roman"/>
          <w:i/>
          <w:iCs/>
          <w:sz w:val="18"/>
          <w:szCs w:val="18"/>
        </w:rPr>
        <w:t xml:space="preserve"> </w:t>
      </w:r>
      <w:r w:rsidR="00ED6A1A" w:rsidRPr="00804A4E">
        <w:rPr>
          <w:rFonts w:ascii="Franklin Gothic Book" w:hAnsi="Franklin Gothic Book" w:cs="Times New Roman"/>
          <w:i/>
          <w:iCs/>
          <w:sz w:val="18"/>
          <w:szCs w:val="18"/>
        </w:rPr>
        <w:t xml:space="preserve">See </w:t>
      </w:r>
      <w:hyperlink w:anchor="Appendix_IIG" w:history="1">
        <w:r w:rsidR="00ED6A1A" w:rsidRPr="00804A4E">
          <w:rPr>
            <w:rStyle w:val="Hyperlink"/>
            <w:rFonts w:ascii="Franklin Gothic Book" w:hAnsi="Franklin Gothic Book" w:cs="Times New Roman"/>
            <w:sz w:val="18"/>
            <w:szCs w:val="18"/>
          </w:rPr>
          <w:t>Appendix</w:t>
        </w:r>
        <w:r w:rsidR="00E45D2F" w:rsidRPr="00804A4E">
          <w:rPr>
            <w:rStyle w:val="Hyperlink"/>
            <w:rFonts w:ascii="Franklin Gothic Book" w:hAnsi="Franklin Gothic Book" w:cs="Times New Roman"/>
            <w:sz w:val="18"/>
            <w:szCs w:val="18"/>
          </w:rPr>
          <w:t xml:space="preserve"> </w:t>
        </w:r>
        <w:r w:rsidR="00745960" w:rsidRPr="00804A4E">
          <w:rPr>
            <w:rStyle w:val="Hyperlink"/>
            <w:rFonts w:ascii="Franklin Gothic Book" w:hAnsi="Franklin Gothic Book" w:cs="Times New Roman"/>
            <w:sz w:val="18"/>
            <w:szCs w:val="18"/>
          </w:rPr>
          <w:t>II</w:t>
        </w:r>
        <w:r w:rsidR="00E45D2F" w:rsidRPr="00804A4E">
          <w:rPr>
            <w:rStyle w:val="Hyperlink"/>
            <w:rFonts w:ascii="Franklin Gothic Book" w:hAnsi="Franklin Gothic Book" w:cs="Times New Roman"/>
            <w:sz w:val="18"/>
            <w:szCs w:val="18"/>
          </w:rPr>
          <w:t>.</w:t>
        </w:r>
        <w:r w:rsidR="00745960" w:rsidRPr="00804A4E">
          <w:rPr>
            <w:rStyle w:val="Hyperlink"/>
            <w:rFonts w:ascii="Franklin Gothic Book" w:hAnsi="Franklin Gothic Book" w:cs="Times New Roman"/>
            <w:sz w:val="18"/>
            <w:szCs w:val="18"/>
          </w:rPr>
          <w:t>G</w:t>
        </w:r>
      </w:hyperlink>
      <w:r w:rsidR="008879F9" w:rsidRPr="00804A4E">
        <w:rPr>
          <w:rStyle w:val="Hyperlink"/>
          <w:rFonts w:ascii="Franklin Gothic Book" w:hAnsi="Franklin Gothic Book" w:cs="Times New Roman"/>
          <w:color w:val="auto"/>
          <w:sz w:val="18"/>
          <w:szCs w:val="18"/>
          <w:u w:val="none"/>
        </w:rPr>
        <w:t>.</w:t>
      </w:r>
    </w:p>
  </w:footnote>
  <w:footnote w:id="125">
    <w:p w14:paraId="490D1738" w14:textId="62995A58"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EE3660" w:rsidRPr="00804A4E">
        <w:rPr>
          <w:rFonts w:ascii="Franklin Gothic Book" w:hAnsi="Franklin Gothic Book" w:cs="Times New Roman"/>
          <w:i/>
          <w:iCs/>
          <w:sz w:val="18"/>
          <w:szCs w:val="18"/>
        </w:rPr>
        <w:t>See</w:t>
      </w:r>
      <w:r w:rsidR="00ED6A1A" w:rsidRPr="00804A4E">
        <w:rPr>
          <w:rFonts w:ascii="Franklin Gothic Book" w:hAnsi="Franklin Gothic Book" w:cs="Times New Roman"/>
          <w:i/>
          <w:iCs/>
          <w:sz w:val="18"/>
          <w:szCs w:val="18"/>
        </w:rPr>
        <w:t xml:space="preserve"> </w:t>
      </w:r>
      <w:hyperlink w:anchor="Appendix_IIH" w:history="1">
        <w:r w:rsidR="00E45D2F" w:rsidRPr="00804A4E">
          <w:rPr>
            <w:rStyle w:val="Hyperlink"/>
            <w:rFonts w:ascii="Franklin Gothic Book" w:hAnsi="Franklin Gothic Book" w:cs="Times New Roman"/>
            <w:sz w:val="18"/>
            <w:szCs w:val="18"/>
          </w:rPr>
          <w:t>Appendix II.H</w:t>
        </w:r>
      </w:hyperlink>
      <w:r w:rsidR="008879F9" w:rsidRPr="00804A4E">
        <w:rPr>
          <w:rStyle w:val="Hyperlink"/>
          <w:rFonts w:ascii="Franklin Gothic Book" w:hAnsi="Franklin Gothic Book" w:cs="Times New Roman"/>
          <w:color w:val="auto"/>
          <w:sz w:val="18"/>
          <w:szCs w:val="18"/>
          <w:u w:val="none"/>
        </w:rPr>
        <w:t>.</w:t>
      </w:r>
    </w:p>
  </w:footnote>
  <w:footnote w:id="126">
    <w:p w14:paraId="1640888D" w14:textId="442F60A1"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Hospital Profiles 2010 and 2019. CHIA identifies hospitals as “high public payer” when their </w:t>
      </w:r>
      <w:r w:rsidR="00E56CBE" w:rsidRPr="00804A4E">
        <w:rPr>
          <w:rFonts w:ascii="Franklin Gothic Book" w:hAnsi="Franklin Gothic Book" w:cs="Times New Roman"/>
          <w:sz w:val="18"/>
          <w:szCs w:val="18"/>
        </w:rPr>
        <w:t xml:space="preserve">public </w:t>
      </w:r>
      <w:r w:rsidRPr="00804A4E">
        <w:rPr>
          <w:rFonts w:ascii="Franklin Gothic Book" w:hAnsi="Franklin Gothic Book" w:cs="Times New Roman"/>
          <w:sz w:val="18"/>
          <w:szCs w:val="18"/>
        </w:rPr>
        <w:t xml:space="preserve">payer mix is greater than 63%. </w:t>
      </w:r>
      <w:r w:rsidR="00EE3A3F" w:rsidRPr="00804A4E">
        <w:rPr>
          <w:rFonts w:ascii="Franklin Gothic Book" w:hAnsi="Franklin Gothic Book" w:cs="Times New Roman"/>
          <w:sz w:val="18"/>
          <w:szCs w:val="18"/>
        </w:rPr>
        <w:t>C</w:t>
      </w:r>
      <w:r w:rsidR="00EE3A3F" w:rsidRPr="00804A4E">
        <w:rPr>
          <w:rFonts w:ascii="Franklin Gothic Book" w:hAnsi="Franklin Gothic Book" w:cs="Times New Roman"/>
          <w:smallCaps/>
          <w:sz w:val="18"/>
          <w:szCs w:val="18"/>
        </w:rPr>
        <w:t>tr. For Health Info. &amp; Analysis</w:t>
      </w:r>
      <w:r w:rsidR="00EE3A3F" w:rsidRPr="00804A4E">
        <w:rPr>
          <w:rFonts w:ascii="Franklin Gothic Book" w:hAnsi="Franklin Gothic Book" w:cs="Times New Roman"/>
          <w:sz w:val="18"/>
          <w:szCs w:val="18"/>
        </w:rPr>
        <w:t xml:space="preserve">, </w:t>
      </w:r>
      <w:r w:rsidR="00EE3A3F" w:rsidRPr="00804A4E">
        <w:rPr>
          <w:rFonts w:ascii="Franklin Gothic Book" w:hAnsi="Franklin Gothic Book" w:cs="Times New Roman"/>
          <w:smallCaps/>
          <w:sz w:val="18"/>
          <w:szCs w:val="18"/>
        </w:rPr>
        <w:t xml:space="preserve">Massachusetts Hospital Profiles Technical appendix </w:t>
      </w:r>
      <w:r w:rsidRPr="00804A4E">
        <w:rPr>
          <w:rFonts w:ascii="Franklin Gothic Book" w:hAnsi="Franklin Gothic Book" w:cs="Times New Roman"/>
          <w:sz w:val="18"/>
          <w:szCs w:val="18"/>
        </w:rPr>
        <w:t>(March 2021)</w:t>
      </w:r>
      <w:r w:rsidR="00EE3A3F" w:rsidRPr="00804A4E">
        <w:rPr>
          <w:rFonts w:ascii="Franklin Gothic Book" w:hAnsi="Franklin Gothic Book" w:cs="Times New Roman"/>
          <w:i/>
          <w:iCs/>
          <w:sz w:val="18"/>
          <w:szCs w:val="18"/>
        </w:rPr>
        <w:t>, a</w:t>
      </w:r>
      <w:r w:rsidR="006345A1">
        <w:rPr>
          <w:rFonts w:ascii="Franklin Gothic Book" w:hAnsi="Franklin Gothic Book" w:cs="Times New Roman"/>
          <w:i/>
          <w:iCs/>
          <w:sz w:val="18"/>
          <w:szCs w:val="18"/>
        </w:rPr>
        <w:t>vailable</w:t>
      </w:r>
      <w:r w:rsidRPr="00804A4E">
        <w:rPr>
          <w:rFonts w:ascii="Franklin Gothic Book" w:hAnsi="Franklin Gothic Book" w:cs="Times New Roman"/>
          <w:sz w:val="18"/>
          <w:szCs w:val="18"/>
        </w:rPr>
        <w:t xml:space="preserve"> </w:t>
      </w:r>
      <w:hyperlink r:id="rId45" w:history="1">
        <w:r w:rsidR="006345A1">
          <w:rPr>
            <w:rStyle w:val="Hyperlink"/>
            <w:rFonts w:ascii="Franklin Gothic Book" w:hAnsi="Franklin Gothic Book" w:cs="Times New Roman"/>
            <w:sz w:val="18"/>
            <w:szCs w:val="18"/>
          </w:rPr>
          <w:t>at https://www.chiamass.gov/assets/docs/r/hospital-profiles/2019/FY19-Massachusetts-Hospital-Profiles-Technical-Appendix.pdf</w:t>
        </w:r>
      </w:hyperlink>
      <w:r w:rsidRPr="00804A4E">
        <w:rPr>
          <w:rFonts w:ascii="Franklin Gothic Book" w:hAnsi="Franklin Gothic Book" w:cs="Times New Roman"/>
          <w:sz w:val="18"/>
          <w:szCs w:val="18"/>
        </w:rPr>
        <w:t xml:space="preserve">. (last visited </w:t>
      </w:r>
      <w:r w:rsidR="00EE3A3F" w:rsidRPr="00804A4E">
        <w:rPr>
          <w:rFonts w:ascii="Franklin Gothic Book" w:hAnsi="Franklin Gothic Book" w:cs="Times New Roman"/>
          <w:sz w:val="18"/>
          <w:szCs w:val="18"/>
        </w:rPr>
        <w:t>January 22, 2022</w:t>
      </w:r>
      <w:r w:rsidRPr="00804A4E">
        <w:rPr>
          <w:rFonts w:ascii="Franklin Gothic Book" w:hAnsi="Franklin Gothic Book" w:cs="Times New Roman"/>
          <w:sz w:val="18"/>
          <w:szCs w:val="18"/>
        </w:rPr>
        <w:t>).</w:t>
      </w:r>
    </w:p>
  </w:footnote>
  <w:footnote w:id="127">
    <w:p w14:paraId="44C34E75" w14:textId="0C7FD81B" w:rsidR="003C3793" w:rsidRPr="00804A4E" w:rsidRDefault="003C3793" w:rsidP="00142DCC">
      <w:pPr>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Crossroads Report</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2A66CA" w:rsidRPr="00804A4E">
        <w:rPr>
          <w:rFonts w:ascii="Franklin Gothic Book" w:hAnsi="Franklin Gothic Book" w:cs="Times New Roman"/>
          <w:sz w:val="18"/>
          <w:szCs w:val="18"/>
        </w:rPr>
        <w:fldChar w:fldCharType="begin"/>
      </w:r>
      <w:r w:rsidR="002A66CA" w:rsidRPr="00804A4E">
        <w:rPr>
          <w:rFonts w:ascii="Franklin Gothic Book" w:hAnsi="Franklin Gothic Book" w:cs="Times New Roman"/>
          <w:sz w:val="18"/>
          <w:szCs w:val="18"/>
        </w:rPr>
        <w:instrText xml:space="preserve"> NOTEREF _Ref93738084 \h </w:instrText>
      </w:r>
      <w:r w:rsidR="00804A4E" w:rsidRPr="00804A4E">
        <w:rPr>
          <w:rFonts w:ascii="Franklin Gothic Book" w:hAnsi="Franklin Gothic Book" w:cs="Times New Roman"/>
          <w:sz w:val="18"/>
          <w:szCs w:val="18"/>
        </w:rPr>
        <w:instrText xml:space="preserve"> \* MERGEFORMAT </w:instrText>
      </w:r>
      <w:r w:rsidR="002A66CA" w:rsidRPr="00804A4E">
        <w:rPr>
          <w:rFonts w:ascii="Franklin Gothic Book" w:hAnsi="Franklin Gothic Book" w:cs="Times New Roman"/>
          <w:sz w:val="18"/>
          <w:szCs w:val="18"/>
        </w:rPr>
      </w:r>
      <w:r w:rsidR="002A66CA"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120</w:t>
      </w:r>
      <w:r w:rsidR="002A66CA"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9 (“While community hospitals play an important role in providing access to care for such patients, public payers pay lower rates than commercial payers, and thus this high proportion of public payer patients can strain hospital operating margins”). </w:t>
      </w:r>
      <w:r w:rsidRPr="00804A4E">
        <w:rPr>
          <w:rFonts w:ascii="Franklin Gothic Book" w:hAnsi="Franklin Gothic Book" w:cs="Times New Roman"/>
          <w:i/>
          <w:iCs/>
          <w:sz w:val="18"/>
          <w:szCs w:val="18"/>
        </w:rPr>
        <w:t xml:space="preserve">See also </w:t>
      </w:r>
      <w:r w:rsidR="00B129AF" w:rsidRPr="00804A4E">
        <w:rPr>
          <w:rFonts w:ascii="Franklin Gothic Book" w:hAnsi="Franklin Gothic Book" w:cs="Times New Roman"/>
          <w:sz w:val="18"/>
          <w:szCs w:val="18"/>
        </w:rPr>
        <w:t xml:space="preserve">Reed </w:t>
      </w:r>
      <w:r w:rsidR="00D656A3" w:rsidRPr="00804A4E">
        <w:rPr>
          <w:rFonts w:ascii="Franklin Gothic Book" w:hAnsi="Franklin Gothic Book" w:cs="Times New Roman"/>
          <w:sz w:val="18"/>
          <w:szCs w:val="18"/>
        </w:rPr>
        <w:t xml:space="preserve">Abelson, </w:t>
      </w:r>
      <w:r w:rsidR="00D656A3" w:rsidRPr="00804A4E">
        <w:rPr>
          <w:rFonts w:ascii="Franklin Gothic Book" w:hAnsi="Franklin Gothic Book" w:cs="Times New Roman"/>
          <w:i/>
          <w:iCs/>
          <w:sz w:val="18"/>
          <w:szCs w:val="18"/>
        </w:rPr>
        <w:t>Many Hospitals Charge Double or Even Triple What Medicare Would Pay</w:t>
      </w:r>
      <w:r w:rsidR="00B129AF" w:rsidRPr="00804A4E">
        <w:rPr>
          <w:rFonts w:ascii="Franklin Gothic Book" w:hAnsi="Franklin Gothic Book" w:cs="Times New Roman"/>
          <w:sz w:val="18"/>
          <w:szCs w:val="18"/>
        </w:rPr>
        <w:t xml:space="preserve">, </w:t>
      </w:r>
      <w:r w:rsidR="00B129AF" w:rsidRPr="00804A4E">
        <w:rPr>
          <w:rFonts w:ascii="Franklin Gothic Book" w:hAnsi="Franklin Gothic Book" w:cs="Times New Roman"/>
          <w:smallCaps/>
          <w:sz w:val="18"/>
          <w:szCs w:val="18"/>
        </w:rPr>
        <w:t>New York Times</w:t>
      </w:r>
      <w:r w:rsidR="00D656A3" w:rsidRPr="00804A4E">
        <w:rPr>
          <w:rFonts w:ascii="Franklin Gothic Book" w:hAnsi="Franklin Gothic Book" w:cs="Times New Roman"/>
          <w:sz w:val="18"/>
          <w:szCs w:val="18"/>
        </w:rPr>
        <w:t xml:space="preserve"> (</w:t>
      </w:r>
      <w:r w:rsidR="00B129AF" w:rsidRPr="00804A4E">
        <w:rPr>
          <w:rFonts w:ascii="Franklin Gothic Book" w:hAnsi="Franklin Gothic Book" w:cs="Times New Roman"/>
          <w:sz w:val="18"/>
          <w:szCs w:val="18"/>
        </w:rPr>
        <w:t xml:space="preserve">May 9, </w:t>
      </w:r>
      <w:r w:rsidR="00D656A3" w:rsidRPr="00804A4E">
        <w:rPr>
          <w:rFonts w:ascii="Franklin Gothic Book" w:hAnsi="Franklin Gothic Book" w:cs="Times New Roman"/>
          <w:sz w:val="18"/>
          <w:szCs w:val="18"/>
        </w:rPr>
        <w:t>2019)</w:t>
      </w:r>
      <w:r w:rsidR="00B129AF" w:rsidRPr="00804A4E">
        <w:rPr>
          <w:rFonts w:ascii="Franklin Gothic Book" w:hAnsi="Franklin Gothic Book" w:cs="Times New Roman"/>
          <w:sz w:val="18"/>
          <w:szCs w:val="18"/>
        </w:rPr>
        <w:t xml:space="preserve">, </w:t>
      </w:r>
      <w:r w:rsidR="00436460">
        <w:rPr>
          <w:rFonts w:ascii="Franklin Gothic Book" w:hAnsi="Franklin Gothic Book" w:cs="Times New Roman"/>
          <w:i/>
          <w:iCs/>
          <w:sz w:val="18"/>
          <w:szCs w:val="18"/>
        </w:rPr>
        <w:t>available</w:t>
      </w:r>
      <w:r w:rsidR="00B129AF" w:rsidRPr="00804A4E">
        <w:rPr>
          <w:rFonts w:ascii="Franklin Gothic Book" w:hAnsi="Franklin Gothic Book" w:cs="Times New Roman"/>
          <w:i/>
          <w:iCs/>
          <w:sz w:val="18"/>
          <w:szCs w:val="18"/>
        </w:rPr>
        <w:t xml:space="preserve"> </w:t>
      </w:r>
      <w:hyperlink r:id="rId46" w:history="1">
        <w:r w:rsidR="00436460">
          <w:rPr>
            <w:rStyle w:val="Hyperlink"/>
            <w:rFonts w:ascii="Franklin Gothic Book" w:hAnsi="Franklin Gothic Book" w:cs="Times New Roman"/>
            <w:sz w:val="18"/>
            <w:szCs w:val="18"/>
          </w:rPr>
          <w:t>at https://www.nytimes.com/2019/05/09/health/hospitals-prices-medicare.html</w:t>
        </w:r>
      </w:hyperlink>
      <w:r w:rsidR="00B129AF" w:rsidRPr="00804A4E">
        <w:rPr>
          <w:rFonts w:ascii="Franklin Gothic Book" w:hAnsi="Franklin Gothic Book" w:cs="Times New Roman"/>
          <w:i/>
          <w:iCs/>
          <w:sz w:val="18"/>
          <w:szCs w:val="18"/>
        </w:rPr>
        <w:t xml:space="preserve"> </w:t>
      </w:r>
      <w:r w:rsidR="00D656A3" w:rsidRPr="00804A4E">
        <w:rPr>
          <w:rFonts w:ascii="Franklin Gothic Book" w:hAnsi="Franklin Gothic Book" w:cs="Times New Roman"/>
          <w:sz w:val="18"/>
          <w:szCs w:val="18"/>
        </w:rPr>
        <w:t xml:space="preserve">(reporting on a RAND study on payment differences between commercial and public payers, and quoting hospital executives who argue that they lose money under Medicare); </w:t>
      </w:r>
      <w:r w:rsidR="00D656A3" w:rsidRPr="00804A4E">
        <w:rPr>
          <w:rFonts w:ascii="Franklin Gothic Book" w:hAnsi="Franklin Gothic Book" w:cs="Times New Roman"/>
          <w:i/>
          <w:iCs/>
          <w:sz w:val="18"/>
          <w:szCs w:val="18"/>
        </w:rPr>
        <w:t xml:space="preserve"> </w:t>
      </w:r>
      <w:r w:rsidR="004F71FD" w:rsidRPr="00804A4E">
        <w:rPr>
          <w:rFonts w:ascii="Franklin Gothic Book" w:hAnsi="Franklin Gothic Book" w:cs="Times New Roman"/>
          <w:smallCaps/>
          <w:sz w:val="18"/>
          <w:szCs w:val="18"/>
        </w:rPr>
        <w:t>Massachusetts Health Policy Commission, 2019 Cost Trends Hearing Pre-Filed Testimony</w:t>
      </w:r>
      <w:r w:rsidR="00610F95" w:rsidRPr="00804A4E">
        <w:rPr>
          <w:rFonts w:ascii="Franklin Gothic Book" w:hAnsi="Franklin Gothic Book" w:cs="Times New Roman"/>
          <w:smallCaps/>
          <w:sz w:val="18"/>
          <w:szCs w:val="18"/>
        </w:rPr>
        <w:t>: Signature healthCare</w:t>
      </w:r>
      <w:r w:rsidR="004F71FD" w:rsidRPr="00804A4E">
        <w:rPr>
          <w:rFonts w:ascii="Franklin Gothic Book" w:hAnsi="Franklin Gothic Book" w:cs="Times New Roman"/>
          <w:smallCaps/>
          <w:sz w:val="18"/>
          <w:szCs w:val="18"/>
        </w:rPr>
        <w:t xml:space="preserve"> </w:t>
      </w:r>
      <w:r w:rsidR="00610F95" w:rsidRPr="00804A4E">
        <w:rPr>
          <w:rFonts w:ascii="Franklin Gothic Book" w:hAnsi="Franklin Gothic Book" w:cs="Times New Roman"/>
          <w:smallCaps/>
          <w:sz w:val="18"/>
          <w:szCs w:val="18"/>
        </w:rPr>
        <w:t xml:space="preserve">4 </w:t>
      </w:r>
      <w:r w:rsidR="004F71FD" w:rsidRPr="00804A4E">
        <w:rPr>
          <w:rFonts w:ascii="Franklin Gothic Book" w:hAnsi="Franklin Gothic Book" w:cs="Times New Roman"/>
          <w:sz w:val="18"/>
          <w:szCs w:val="18"/>
        </w:rPr>
        <w:t>(Nov</w:t>
      </w:r>
      <w:r w:rsidR="00610F95" w:rsidRPr="00804A4E">
        <w:rPr>
          <w:rFonts w:ascii="Franklin Gothic Book" w:hAnsi="Franklin Gothic Book" w:cs="Times New Roman"/>
          <w:sz w:val="18"/>
          <w:szCs w:val="18"/>
        </w:rPr>
        <w:t>.</w:t>
      </w:r>
      <w:r w:rsidR="004F71FD" w:rsidRPr="00804A4E">
        <w:rPr>
          <w:rFonts w:ascii="Franklin Gothic Book" w:hAnsi="Franklin Gothic Book" w:cs="Times New Roman"/>
          <w:sz w:val="18"/>
          <w:szCs w:val="18"/>
        </w:rPr>
        <w:t xml:space="preserve"> 2019), </w:t>
      </w:r>
      <w:r w:rsidR="004F71FD" w:rsidRPr="00804A4E">
        <w:rPr>
          <w:rFonts w:ascii="Franklin Gothic Book" w:hAnsi="Franklin Gothic Book" w:cs="Times New Roman"/>
          <w:i/>
          <w:iCs/>
          <w:sz w:val="18"/>
          <w:szCs w:val="18"/>
        </w:rPr>
        <w:t>available at</w:t>
      </w:r>
      <w:r w:rsidR="004F71FD" w:rsidRPr="00804A4E">
        <w:rPr>
          <w:rFonts w:ascii="Franklin Gothic Book" w:hAnsi="Franklin Gothic Book" w:cs="Times New Roman"/>
          <w:sz w:val="18"/>
          <w:szCs w:val="18"/>
        </w:rPr>
        <w:t xml:space="preserve"> </w:t>
      </w:r>
      <w:hyperlink r:id="rId47" w:tooltip="https://www.mass.gov/doc/signature-healthcare-brockton-hospital-2019-pre-filed-testimony/download" w:history="1">
        <w:r w:rsidR="004F71FD" w:rsidRPr="00804A4E">
          <w:rPr>
            <w:rStyle w:val="Hyperlink"/>
            <w:rFonts w:ascii="Franklin Gothic Book" w:hAnsi="Franklin Gothic Book" w:cs="Times New Roman"/>
            <w:sz w:val="18"/>
            <w:szCs w:val="18"/>
          </w:rPr>
          <w:t>https://www.mass.gov/doc/signature-healthcare-brockton-hospital-2019-pre-filed-testimony/download</w:t>
        </w:r>
      </w:hyperlink>
      <w:r w:rsidR="004F71FD" w:rsidRPr="00804A4E">
        <w:rPr>
          <w:rFonts w:ascii="Franklin Gothic Book" w:hAnsi="Franklin Gothic Book" w:cs="Times New Roman"/>
          <w:sz w:val="18"/>
          <w:szCs w:val="18"/>
        </w:rPr>
        <w:t xml:space="preserve">; </w:t>
      </w:r>
      <w:r w:rsidR="004F71FD" w:rsidRPr="00804A4E">
        <w:rPr>
          <w:rFonts w:ascii="Franklin Gothic Book" w:hAnsi="Franklin Gothic Book" w:cs="Times New Roman"/>
          <w:smallCaps/>
          <w:sz w:val="18"/>
          <w:szCs w:val="18"/>
        </w:rPr>
        <w:t>Massachusetts Health Policy Commission, 2018 Cost Trends Hearing Pre-Filed Testimony</w:t>
      </w:r>
      <w:r w:rsidR="00610F95" w:rsidRPr="00804A4E">
        <w:rPr>
          <w:rFonts w:ascii="Franklin Gothic Book" w:hAnsi="Franklin Gothic Book" w:cs="Times New Roman"/>
          <w:smallCaps/>
          <w:sz w:val="18"/>
          <w:szCs w:val="18"/>
        </w:rPr>
        <w:t>: Baystate Health</w:t>
      </w:r>
      <w:r w:rsidR="004F71FD" w:rsidRPr="00804A4E">
        <w:rPr>
          <w:rFonts w:ascii="Franklin Gothic Book" w:hAnsi="Franklin Gothic Book" w:cs="Times New Roman"/>
          <w:smallCaps/>
          <w:sz w:val="18"/>
          <w:szCs w:val="18"/>
        </w:rPr>
        <w:t xml:space="preserve"> </w:t>
      </w:r>
      <w:r w:rsidR="00610F95" w:rsidRPr="00804A4E">
        <w:rPr>
          <w:rFonts w:ascii="Franklin Gothic Book" w:hAnsi="Franklin Gothic Book" w:cs="Times New Roman"/>
          <w:smallCaps/>
          <w:sz w:val="18"/>
          <w:szCs w:val="18"/>
        </w:rPr>
        <w:t xml:space="preserve">9-10, 14 </w:t>
      </w:r>
      <w:r w:rsidR="004F71FD" w:rsidRPr="00804A4E">
        <w:rPr>
          <w:rFonts w:ascii="Franklin Gothic Book" w:hAnsi="Franklin Gothic Book" w:cs="Times New Roman"/>
          <w:sz w:val="18"/>
          <w:szCs w:val="18"/>
        </w:rPr>
        <w:t>(Sept</w:t>
      </w:r>
      <w:r w:rsidR="00610F95" w:rsidRPr="00804A4E">
        <w:rPr>
          <w:rFonts w:ascii="Franklin Gothic Book" w:hAnsi="Franklin Gothic Book" w:cs="Times New Roman"/>
          <w:sz w:val="18"/>
          <w:szCs w:val="18"/>
        </w:rPr>
        <w:t>.</w:t>
      </w:r>
      <w:r w:rsidR="004F71FD" w:rsidRPr="00804A4E">
        <w:rPr>
          <w:rFonts w:ascii="Franklin Gothic Book" w:hAnsi="Franklin Gothic Book" w:cs="Times New Roman"/>
          <w:sz w:val="18"/>
          <w:szCs w:val="18"/>
        </w:rPr>
        <w:t xml:space="preserve"> 2018), </w:t>
      </w:r>
      <w:r w:rsidR="004F71FD" w:rsidRPr="00804A4E">
        <w:rPr>
          <w:rFonts w:ascii="Franklin Gothic Book" w:hAnsi="Franklin Gothic Book" w:cs="Times New Roman"/>
          <w:i/>
          <w:iCs/>
          <w:sz w:val="18"/>
          <w:szCs w:val="18"/>
        </w:rPr>
        <w:t>available at</w:t>
      </w:r>
      <w:r w:rsidR="004F71FD" w:rsidRPr="00804A4E">
        <w:rPr>
          <w:rFonts w:ascii="Franklin Gothic Book" w:hAnsi="Franklin Gothic Book" w:cs="Times New Roman"/>
          <w:sz w:val="18"/>
          <w:szCs w:val="18"/>
        </w:rPr>
        <w:t xml:space="preserve"> </w:t>
      </w:r>
      <w:hyperlink r:id="rId48" w:tooltip="https://www.mass.gov/doc/baystate-health-2018-pre-filed-testimony/download" w:history="1">
        <w:r w:rsidR="004F71FD" w:rsidRPr="00804A4E">
          <w:rPr>
            <w:rStyle w:val="Hyperlink"/>
            <w:rFonts w:ascii="Franklin Gothic Book" w:hAnsi="Franklin Gothic Book" w:cs="Times New Roman"/>
            <w:sz w:val="18"/>
            <w:szCs w:val="18"/>
          </w:rPr>
          <w:t>https://www.mass.gov/doc/baystate-health-2018-pre-filed-testimony/download</w:t>
        </w:r>
      </w:hyperlink>
      <w:r w:rsidR="00F0215F" w:rsidRPr="00804A4E">
        <w:rPr>
          <w:rFonts w:ascii="Franklin Gothic Book" w:hAnsi="Franklin Gothic Book" w:cs="Times New Roman"/>
          <w:sz w:val="18"/>
          <w:szCs w:val="18"/>
        </w:rPr>
        <w:t xml:space="preserve">.  </w:t>
      </w:r>
    </w:p>
  </w:footnote>
  <w:footnote w:id="128">
    <w:p w14:paraId="7AB61368" w14:textId="6FAEADF5" w:rsidR="00231422" w:rsidRPr="00804A4E" w:rsidRDefault="00231422" w:rsidP="00231422">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Although this section focuses on services at the ambulatory sites, the hospital projects also include substantial additions of services that are considered to be high-margin and a driver of follow-up care, such as imaging. Additionally, the MGH expansion is particularly targeted at cardiac and cancer care. One of the ways in which researchers have highlighted that Certificate of Need programs may be procompetitive is “by preventing predatory behavior of established hospital systems seeking to expand their own capacity for specialized services lines, such as </w:t>
      </w:r>
      <w:r w:rsidRPr="00804A4E">
        <w:rPr>
          <w:rFonts w:ascii="Franklin Gothic Book" w:hAnsi="Franklin Gothic Book" w:cs="Times New Roman"/>
          <w:i/>
          <w:iCs/>
          <w:sz w:val="18"/>
          <w:szCs w:val="18"/>
        </w:rPr>
        <w:t>cancer care and cardiac surgery</w:t>
      </w:r>
      <w:r w:rsidRPr="00804A4E">
        <w:rPr>
          <w:rFonts w:ascii="Franklin Gothic Book" w:hAnsi="Franklin Gothic Book" w:cs="Times New Roman"/>
          <w:sz w:val="18"/>
          <w:szCs w:val="18"/>
        </w:rPr>
        <w:t xml:space="preserve">, by limiting excessive expansion from incumbent hospitals…”. (emphasis added). Robert Berenson et al., Urban Institute, </w:t>
      </w:r>
      <w:r w:rsidRPr="00804A4E">
        <w:rPr>
          <w:rFonts w:ascii="Franklin Gothic Book" w:hAnsi="Franklin Gothic Book" w:cs="Times New Roman"/>
          <w:i/>
          <w:iCs/>
          <w:sz w:val="18"/>
          <w:szCs w:val="18"/>
        </w:rPr>
        <w:t>Addressing Health Care Market Consolidation and High Prices: The Role of the States</w:t>
      </w:r>
      <w:r w:rsidRPr="00804A4E">
        <w:rPr>
          <w:rFonts w:ascii="Franklin Gothic Book" w:hAnsi="Franklin Gothic Book" w:cs="Times New Roman"/>
          <w:sz w:val="18"/>
          <w:szCs w:val="18"/>
        </w:rPr>
        <w:t xml:space="preserve"> 46-47 (Jan. 2020) [hereinafter Berenson et al 2020], </w:t>
      </w:r>
      <w:r w:rsidR="0098232F">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49" w:history="1">
        <w:r w:rsidR="0098232F">
          <w:rPr>
            <w:rStyle w:val="Hyperlink"/>
            <w:rFonts w:ascii="Franklin Gothic Book" w:hAnsi="Franklin Gothic Book" w:cs="Times New Roman"/>
            <w:sz w:val="18"/>
            <w:szCs w:val="18"/>
          </w:rPr>
          <w:t>at https://www.urban.org/research/publication/addressing-health-care-market-consolidation-and-high-prices/view/full_report</w:t>
        </w:r>
      </w:hyperlink>
      <w:r w:rsidRPr="00804A4E">
        <w:rPr>
          <w:rStyle w:val="Hyperlink"/>
          <w:rFonts w:ascii="Franklin Gothic Book" w:hAnsi="Franklin Gothic Book" w:cs="Times New Roman"/>
          <w:color w:val="auto"/>
          <w:sz w:val="18"/>
          <w:szCs w:val="18"/>
          <w:u w:val="none"/>
        </w:rPr>
        <w:t>.</w:t>
      </w:r>
    </w:p>
  </w:footnote>
  <w:footnote w:id="129">
    <w:p w14:paraId="13A5B20D" w14:textId="699B3F09"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C93250" w:rsidRPr="00804A4E">
        <w:rPr>
          <w:rFonts w:ascii="Franklin Gothic Book" w:hAnsi="Franklin Gothic Book" w:cs="Times New Roman"/>
          <w:sz w:val="18"/>
          <w:szCs w:val="18"/>
        </w:rPr>
        <w:t xml:space="preserve"> </w:t>
      </w:r>
      <w:r w:rsidR="00C546D0" w:rsidRPr="00804A4E">
        <w:rPr>
          <w:rFonts w:ascii="Franklin Gothic Book" w:hAnsi="Franklin Gothic Book" w:cs="Times New Roman"/>
          <w:sz w:val="18"/>
          <w:szCs w:val="18"/>
        </w:rPr>
        <w:fldChar w:fldCharType="begin"/>
      </w:r>
      <w:r w:rsidR="00C546D0"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C546D0" w:rsidRPr="00804A4E">
        <w:rPr>
          <w:rFonts w:ascii="Franklin Gothic Book" w:hAnsi="Franklin Gothic Book" w:cs="Times New Roman"/>
          <w:sz w:val="18"/>
          <w:szCs w:val="18"/>
        </w:rPr>
      </w:r>
      <w:r w:rsidR="00C546D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C546D0" w:rsidRPr="00804A4E">
        <w:rPr>
          <w:rFonts w:ascii="Franklin Gothic Book" w:hAnsi="Franklin Gothic Book" w:cs="Times New Roman"/>
          <w:sz w:val="18"/>
          <w:szCs w:val="18"/>
        </w:rPr>
        <w:fldChar w:fldCharType="end"/>
      </w:r>
      <w:r w:rsidR="00224839"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at 9-12; Ambulatory Q&amp;A,</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 </w:t>
      </w:r>
      <w:r w:rsidR="0053179E" w:rsidRPr="00804A4E">
        <w:rPr>
          <w:rFonts w:ascii="Franklin Gothic Book" w:hAnsi="Franklin Gothic Book" w:cs="Times New Roman"/>
          <w:sz w:val="18"/>
          <w:szCs w:val="18"/>
        </w:rPr>
        <w:fldChar w:fldCharType="begin"/>
      </w:r>
      <w:r w:rsidR="0053179E" w:rsidRPr="00804A4E">
        <w:rPr>
          <w:rFonts w:ascii="Franklin Gothic Book" w:hAnsi="Franklin Gothic Book" w:cs="Times New Roman"/>
          <w:sz w:val="18"/>
          <w:szCs w:val="18"/>
        </w:rPr>
        <w:instrText xml:space="preserve"> NOTEREF _Ref93736523 \h </w:instrText>
      </w:r>
      <w:r w:rsidR="00804A4E" w:rsidRPr="00804A4E">
        <w:rPr>
          <w:rFonts w:ascii="Franklin Gothic Book" w:hAnsi="Franklin Gothic Book" w:cs="Times New Roman"/>
          <w:sz w:val="18"/>
          <w:szCs w:val="18"/>
        </w:rPr>
        <w:instrText xml:space="preserve"> \* MERGEFORMAT </w:instrText>
      </w:r>
      <w:r w:rsidR="0053179E" w:rsidRPr="00804A4E">
        <w:rPr>
          <w:rFonts w:ascii="Franklin Gothic Book" w:hAnsi="Franklin Gothic Book" w:cs="Times New Roman"/>
          <w:sz w:val="18"/>
          <w:szCs w:val="18"/>
        </w:rPr>
      </w:r>
      <w:r w:rsidR="0053179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56</w:t>
      </w:r>
      <w:r w:rsidR="0053179E"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F0215F" w:rsidRPr="00804A4E">
        <w:rPr>
          <w:rFonts w:ascii="Franklin Gothic Book" w:hAnsi="Franklin Gothic Book" w:cs="Times New Roman"/>
          <w:sz w:val="18"/>
          <w:szCs w:val="18"/>
        </w:rPr>
        <w:t>2-3, 9,12, 17-23, 27</w:t>
      </w:r>
      <w:r w:rsidRPr="00804A4E">
        <w:rPr>
          <w:rFonts w:ascii="Franklin Gothic Book" w:hAnsi="Franklin Gothic Book" w:cs="Times New Roman"/>
          <w:sz w:val="18"/>
          <w:szCs w:val="18"/>
        </w:rPr>
        <w:t>.</w:t>
      </w:r>
    </w:p>
  </w:footnote>
  <w:footnote w:id="130">
    <w:p w14:paraId="56AC6481" w14:textId="5FD8C27C"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0215F" w:rsidRPr="00804A4E">
        <w:rPr>
          <w:rFonts w:ascii="Franklin Gothic Book" w:hAnsi="Franklin Gothic Book" w:cs="Times New Roman"/>
          <w:sz w:val="18"/>
          <w:szCs w:val="18"/>
        </w:rPr>
        <w:t xml:space="preserve">Consulting firms advising providers on profitable service lines for expansion often identify ambulatory surgery </w:t>
      </w:r>
      <w:r w:rsidR="00942297" w:rsidRPr="00804A4E">
        <w:rPr>
          <w:rFonts w:ascii="Franklin Gothic Book" w:hAnsi="Franklin Gothic Book" w:cs="Times New Roman"/>
          <w:sz w:val="18"/>
          <w:szCs w:val="18"/>
        </w:rPr>
        <w:t>as particularly</w:t>
      </w:r>
      <w:r w:rsidR="00F0215F" w:rsidRPr="00804A4E">
        <w:rPr>
          <w:rFonts w:ascii="Franklin Gothic Book" w:hAnsi="Franklin Gothic Book" w:cs="Times New Roman"/>
          <w:sz w:val="18"/>
          <w:szCs w:val="18"/>
        </w:rPr>
        <w:t xml:space="preserve"> profitable. </w:t>
      </w:r>
      <w:r w:rsidR="00F0215F" w:rsidRPr="00804A4E">
        <w:rPr>
          <w:rFonts w:ascii="Franklin Gothic Book" w:hAnsi="Franklin Gothic Book" w:cs="Times New Roman"/>
          <w:i/>
          <w:iCs/>
          <w:sz w:val="18"/>
          <w:szCs w:val="18"/>
        </w:rPr>
        <w:t>See</w:t>
      </w:r>
      <w:r w:rsidR="00F0215F" w:rsidRPr="00804A4E">
        <w:rPr>
          <w:rFonts w:ascii="Franklin Gothic Book" w:hAnsi="Franklin Gothic Book" w:cs="Times New Roman"/>
          <w:sz w:val="18"/>
          <w:szCs w:val="18"/>
        </w:rPr>
        <w:t xml:space="preserve">, </w:t>
      </w:r>
      <w:r w:rsidR="00F0215F" w:rsidRPr="00804A4E">
        <w:rPr>
          <w:rFonts w:ascii="Franklin Gothic Book" w:hAnsi="Franklin Gothic Book" w:cs="Times New Roman"/>
          <w:i/>
          <w:iCs/>
          <w:sz w:val="18"/>
          <w:szCs w:val="18"/>
        </w:rPr>
        <w:t>e.g.</w:t>
      </w:r>
      <w:r w:rsidR="00F0215F" w:rsidRPr="00804A4E">
        <w:rPr>
          <w:rFonts w:ascii="Franklin Gothic Book" w:hAnsi="Franklin Gothic Book" w:cs="Times New Roman"/>
          <w:sz w:val="18"/>
          <w:szCs w:val="18"/>
        </w:rPr>
        <w:t xml:space="preserve">, </w:t>
      </w:r>
      <w:r w:rsidR="001A06C0" w:rsidRPr="00804A4E">
        <w:rPr>
          <w:rFonts w:ascii="Franklin Gothic Book" w:eastAsia="+mn-ea" w:hAnsi="Franklin Gothic Book" w:cs="Times New Roman"/>
          <w:color w:val="212121"/>
          <w:kern w:val="24"/>
          <w:sz w:val="18"/>
          <w:szCs w:val="18"/>
        </w:rPr>
        <w:t>McKinsey</w:t>
      </w:r>
      <w:r w:rsidR="00942297" w:rsidRPr="00804A4E">
        <w:rPr>
          <w:rFonts w:ascii="Franklin Gothic Book" w:eastAsia="+mn-ea" w:hAnsi="Franklin Gothic Book" w:cs="Times New Roman"/>
          <w:color w:val="212121"/>
          <w:kern w:val="24"/>
          <w:sz w:val="18"/>
          <w:szCs w:val="18"/>
        </w:rPr>
        <w:t xml:space="preserve"> &amp; Company</w:t>
      </w:r>
      <w:r w:rsidR="001A06C0" w:rsidRPr="00804A4E">
        <w:rPr>
          <w:rFonts w:ascii="Franklin Gothic Book" w:eastAsia="+mn-ea" w:hAnsi="Franklin Gothic Book" w:cs="Times New Roman"/>
          <w:color w:val="212121"/>
          <w:kern w:val="24"/>
          <w:sz w:val="18"/>
          <w:szCs w:val="18"/>
        </w:rPr>
        <w:t xml:space="preserve">, </w:t>
      </w:r>
      <w:r w:rsidR="001A06C0" w:rsidRPr="00804A4E">
        <w:rPr>
          <w:rFonts w:ascii="Franklin Gothic Book" w:eastAsia="+mn-ea" w:hAnsi="Franklin Gothic Book" w:cs="Times New Roman"/>
          <w:i/>
          <w:iCs/>
          <w:color w:val="212121"/>
          <w:kern w:val="24"/>
          <w:sz w:val="18"/>
          <w:szCs w:val="18"/>
        </w:rPr>
        <w:t>Walking out of the hospital: The continued rise of ambulatory care and how to take advantage of it</w:t>
      </w:r>
      <w:r w:rsidR="001A06C0" w:rsidRPr="00804A4E">
        <w:rPr>
          <w:rFonts w:ascii="Franklin Gothic Book" w:eastAsia="+mn-ea" w:hAnsi="Franklin Gothic Book" w:cs="Times New Roman"/>
          <w:color w:val="212121"/>
          <w:kern w:val="24"/>
          <w:sz w:val="18"/>
          <w:szCs w:val="18"/>
        </w:rPr>
        <w:t xml:space="preserve"> (</w:t>
      </w:r>
      <w:r w:rsidR="00942297" w:rsidRPr="00804A4E">
        <w:rPr>
          <w:rFonts w:ascii="Franklin Gothic Book" w:eastAsia="+mn-ea" w:hAnsi="Franklin Gothic Book" w:cs="Times New Roman"/>
          <w:color w:val="212121"/>
          <w:kern w:val="24"/>
          <w:sz w:val="18"/>
          <w:szCs w:val="18"/>
        </w:rPr>
        <w:t xml:space="preserve">September </w:t>
      </w:r>
      <w:r w:rsidR="001A06C0" w:rsidRPr="00804A4E">
        <w:rPr>
          <w:rFonts w:ascii="Franklin Gothic Book" w:eastAsia="+mn-ea" w:hAnsi="Franklin Gothic Book" w:cs="Times New Roman"/>
          <w:color w:val="212121"/>
          <w:kern w:val="24"/>
          <w:sz w:val="18"/>
          <w:szCs w:val="18"/>
        </w:rPr>
        <w:t>2020)</w:t>
      </w:r>
      <w:r w:rsidR="00942297" w:rsidRPr="00804A4E">
        <w:rPr>
          <w:rFonts w:ascii="Franklin Gothic Book" w:eastAsia="+mn-ea" w:hAnsi="Franklin Gothic Book" w:cs="Times New Roman"/>
          <w:color w:val="212121"/>
          <w:kern w:val="24"/>
          <w:sz w:val="18"/>
          <w:szCs w:val="18"/>
        </w:rPr>
        <w:t xml:space="preserve">, </w:t>
      </w:r>
      <w:r w:rsidR="00DE43FB">
        <w:rPr>
          <w:rFonts w:ascii="Franklin Gothic Book" w:eastAsia="+mn-ea" w:hAnsi="Franklin Gothic Book" w:cs="Times New Roman"/>
          <w:i/>
          <w:iCs/>
          <w:color w:val="212121"/>
          <w:kern w:val="24"/>
          <w:sz w:val="18"/>
          <w:szCs w:val="18"/>
        </w:rPr>
        <w:t>available</w:t>
      </w:r>
      <w:r w:rsidR="00942297" w:rsidRPr="00804A4E">
        <w:rPr>
          <w:rFonts w:ascii="Franklin Gothic Book" w:eastAsia="+mn-ea" w:hAnsi="Franklin Gothic Book" w:cs="Times New Roman"/>
          <w:i/>
          <w:iCs/>
          <w:color w:val="212121"/>
          <w:kern w:val="24"/>
          <w:sz w:val="18"/>
          <w:szCs w:val="18"/>
        </w:rPr>
        <w:t xml:space="preserve"> </w:t>
      </w:r>
      <w:hyperlink r:id="rId50" w:history="1">
        <w:r w:rsidR="00DE43FB">
          <w:rPr>
            <w:rStyle w:val="Hyperlink"/>
            <w:rFonts w:ascii="Franklin Gothic Book" w:eastAsia="+mn-ea" w:hAnsi="Franklin Gothic Book" w:cs="Times New Roman"/>
            <w:kern w:val="24"/>
            <w:sz w:val="18"/>
            <w:szCs w:val="18"/>
          </w:rPr>
          <w:t>at https://www.mckinsey.com/~/media/McKinsey/Industries/Healthcare%20Systems%20and%20Services/Our%20Insights/Walking%20out%20of%20the%20hospital/Walking-out-of-the-hospital.pdf</w:t>
        </w:r>
      </w:hyperlink>
      <w:r w:rsidR="00942297" w:rsidRPr="00804A4E">
        <w:rPr>
          <w:rFonts w:ascii="Franklin Gothic Book" w:eastAsia="+mn-ea" w:hAnsi="Franklin Gothic Book" w:cs="Times New Roman"/>
          <w:i/>
          <w:iCs/>
          <w:color w:val="212121"/>
          <w:kern w:val="24"/>
          <w:sz w:val="18"/>
          <w:szCs w:val="18"/>
        </w:rPr>
        <w:t xml:space="preserve"> </w:t>
      </w:r>
      <w:r w:rsidR="001A06C0" w:rsidRPr="00804A4E">
        <w:rPr>
          <w:rFonts w:ascii="Franklin Gothic Book" w:eastAsia="+mn-ea" w:hAnsi="Franklin Gothic Book" w:cs="Times New Roman"/>
          <w:color w:val="212121"/>
          <w:kern w:val="24"/>
          <w:sz w:val="18"/>
          <w:szCs w:val="18"/>
        </w:rPr>
        <w:t>(</w:t>
      </w:r>
      <w:r w:rsidR="00942297" w:rsidRPr="00804A4E">
        <w:rPr>
          <w:rFonts w:ascii="Franklin Gothic Book" w:eastAsia="+mn-ea" w:hAnsi="Franklin Gothic Book" w:cs="Times New Roman"/>
          <w:color w:val="212121"/>
          <w:kern w:val="24"/>
          <w:sz w:val="18"/>
          <w:szCs w:val="18"/>
        </w:rPr>
        <w:t>stating that a</w:t>
      </w:r>
      <w:r w:rsidR="001A06C0" w:rsidRPr="00804A4E">
        <w:rPr>
          <w:rFonts w:ascii="Franklin Gothic Book" w:eastAsia="+mn-ea" w:hAnsi="Franklin Gothic Book" w:cs="Times New Roman"/>
          <w:color w:val="212121"/>
          <w:kern w:val="24"/>
          <w:sz w:val="18"/>
          <w:szCs w:val="18"/>
        </w:rPr>
        <w:t xml:space="preserve">mbulatory care is one of the fastest growing and highest-margin segments of the healthcare industry); </w:t>
      </w:r>
      <w:r w:rsidR="00B60644" w:rsidRPr="00804A4E">
        <w:rPr>
          <w:rFonts w:ascii="Franklin Gothic Book" w:eastAsia="+mn-ea" w:hAnsi="Franklin Gothic Book" w:cs="Times New Roman"/>
          <w:i/>
          <w:iCs/>
          <w:color w:val="212121"/>
          <w:kern w:val="24"/>
          <w:sz w:val="18"/>
          <w:szCs w:val="18"/>
        </w:rPr>
        <w:t xml:space="preserve">see also </w:t>
      </w:r>
      <w:r w:rsidR="00B60644" w:rsidRPr="00804A4E">
        <w:rPr>
          <w:rFonts w:ascii="Franklin Gothic Book" w:eastAsia="+mn-ea" w:hAnsi="Franklin Gothic Book" w:cs="Times New Roman"/>
          <w:color w:val="212121"/>
          <w:kern w:val="24"/>
          <w:sz w:val="18"/>
          <w:szCs w:val="18"/>
        </w:rPr>
        <w:t>Michael Robert Plotzke &amp; Charles Courtemanche,</w:t>
      </w:r>
      <w:r w:rsidR="001A06C0" w:rsidRPr="00804A4E">
        <w:rPr>
          <w:rFonts w:ascii="Franklin Gothic Book" w:eastAsia="+mn-ea" w:hAnsi="Franklin Gothic Book" w:cs="Times New Roman"/>
          <w:color w:val="212121"/>
          <w:kern w:val="24"/>
          <w:sz w:val="18"/>
          <w:szCs w:val="18"/>
        </w:rPr>
        <w:t xml:space="preserve"> </w:t>
      </w:r>
      <w:r w:rsidR="00B60644" w:rsidRPr="00804A4E">
        <w:rPr>
          <w:rFonts w:ascii="Franklin Gothic Book" w:eastAsia="+mn-ea" w:hAnsi="Franklin Gothic Book" w:cs="Times New Roman"/>
          <w:i/>
          <w:iCs/>
          <w:color w:val="212121"/>
          <w:kern w:val="24"/>
          <w:sz w:val="18"/>
          <w:szCs w:val="18"/>
        </w:rPr>
        <w:t>Does procedure profitability impact whether an outpatient surgery is performed at an ambulatory surgery center or hospital?</w:t>
      </w:r>
      <w:r w:rsidR="00B60644" w:rsidRPr="00804A4E">
        <w:rPr>
          <w:rFonts w:ascii="Franklin Gothic Book" w:eastAsia="+mn-ea" w:hAnsi="Franklin Gothic Book" w:cs="Times New Roman"/>
          <w:color w:val="212121"/>
          <w:kern w:val="24"/>
          <w:sz w:val="18"/>
          <w:szCs w:val="18"/>
        </w:rPr>
        <w:t xml:space="preserve"> 20 </w:t>
      </w:r>
      <w:r w:rsidR="001A06C0" w:rsidRPr="00804A4E">
        <w:rPr>
          <w:rFonts w:ascii="Franklin Gothic Book" w:eastAsia="+mn-ea" w:hAnsi="Franklin Gothic Book" w:cs="Times New Roman"/>
          <w:smallCaps/>
          <w:color w:val="212121"/>
          <w:kern w:val="24"/>
          <w:sz w:val="18"/>
          <w:szCs w:val="18"/>
        </w:rPr>
        <w:t>Health Economics</w:t>
      </w:r>
      <w:r w:rsidR="00B60644" w:rsidRPr="00804A4E">
        <w:rPr>
          <w:rFonts w:ascii="Franklin Gothic Book" w:eastAsia="+mn-ea" w:hAnsi="Franklin Gothic Book" w:cs="Times New Roman"/>
          <w:smallCaps/>
          <w:color w:val="212121"/>
          <w:kern w:val="24"/>
          <w:sz w:val="18"/>
          <w:szCs w:val="18"/>
        </w:rPr>
        <w:t xml:space="preserve"> 817</w:t>
      </w:r>
      <w:r w:rsidR="00B60644" w:rsidRPr="00804A4E">
        <w:rPr>
          <w:rFonts w:ascii="Franklin Gothic Book" w:eastAsia="+mn-ea" w:hAnsi="Franklin Gothic Book" w:cs="Times New Roman"/>
          <w:color w:val="212121"/>
          <w:kern w:val="24"/>
          <w:sz w:val="18"/>
          <w:szCs w:val="18"/>
        </w:rPr>
        <w:t xml:space="preserve"> </w:t>
      </w:r>
      <w:r w:rsidR="001A06C0" w:rsidRPr="00804A4E">
        <w:rPr>
          <w:rFonts w:ascii="Franklin Gothic Book" w:eastAsia="+mn-ea" w:hAnsi="Franklin Gothic Book" w:cs="Times New Roman"/>
          <w:color w:val="212121"/>
          <w:kern w:val="24"/>
          <w:sz w:val="18"/>
          <w:szCs w:val="18"/>
        </w:rPr>
        <w:t>(2011)</w:t>
      </w:r>
      <w:r w:rsidR="00B60644" w:rsidRPr="00804A4E">
        <w:rPr>
          <w:rFonts w:ascii="Franklin Gothic Book" w:eastAsia="+mn-ea" w:hAnsi="Franklin Gothic Book" w:cs="Times New Roman"/>
          <w:color w:val="212121"/>
          <w:kern w:val="24"/>
          <w:sz w:val="18"/>
          <w:szCs w:val="18"/>
        </w:rPr>
        <w:t xml:space="preserve">, </w:t>
      </w:r>
      <w:r w:rsidR="00B60644" w:rsidRPr="00804A4E">
        <w:rPr>
          <w:rFonts w:ascii="Franklin Gothic Book" w:eastAsia="+mn-ea" w:hAnsi="Franklin Gothic Book" w:cs="Times New Roman"/>
          <w:i/>
          <w:iCs/>
          <w:color w:val="212121"/>
          <w:kern w:val="24"/>
          <w:sz w:val="18"/>
          <w:szCs w:val="18"/>
        </w:rPr>
        <w:t>available</w:t>
      </w:r>
      <w:r w:rsidR="00147584">
        <w:rPr>
          <w:rFonts w:ascii="Franklin Gothic Book" w:eastAsia="+mn-ea" w:hAnsi="Franklin Gothic Book" w:cs="Times New Roman"/>
          <w:i/>
          <w:iCs/>
          <w:color w:val="212121"/>
          <w:kern w:val="24"/>
          <w:sz w:val="18"/>
          <w:szCs w:val="18"/>
        </w:rPr>
        <w:t xml:space="preserve"> </w:t>
      </w:r>
      <w:hyperlink r:id="rId51" w:history="1">
        <w:r w:rsidR="00147584">
          <w:rPr>
            <w:rStyle w:val="Hyperlink"/>
            <w:rFonts w:ascii="Franklin Gothic Book" w:eastAsia="+mn-ea" w:hAnsi="Franklin Gothic Book" w:cs="Times New Roman"/>
            <w:kern w:val="24"/>
            <w:sz w:val="18"/>
            <w:szCs w:val="18"/>
          </w:rPr>
          <w:t>at https://doi.org/10.1002/hec.1646</w:t>
        </w:r>
      </w:hyperlink>
      <w:r w:rsidR="00B60644" w:rsidRPr="00804A4E">
        <w:rPr>
          <w:rFonts w:ascii="Franklin Gothic Book" w:eastAsia="+mn-ea" w:hAnsi="Franklin Gothic Book" w:cs="Times New Roman"/>
          <w:color w:val="212121"/>
          <w:kern w:val="24"/>
          <w:sz w:val="18"/>
          <w:szCs w:val="18"/>
        </w:rPr>
        <w:t xml:space="preserve"> </w:t>
      </w:r>
      <w:r w:rsidR="001A06C0" w:rsidRPr="00804A4E">
        <w:rPr>
          <w:rFonts w:ascii="Franklin Gothic Book" w:eastAsia="+mn-ea" w:hAnsi="Franklin Gothic Book" w:cs="Times New Roman"/>
          <w:color w:val="212121"/>
          <w:kern w:val="24"/>
          <w:sz w:val="18"/>
          <w:szCs w:val="18"/>
        </w:rPr>
        <w:t>(find</w:t>
      </w:r>
      <w:r w:rsidR="00B60644" w:rsidRPr="00804A4E">
        <w:rPr>
          <w:rFonts w:ascii="Franklin Gothic Book" w:eastAsia="+mn-ea" w:hAnsi="Franklin Gothic Book" w:cs="Times New Roman"/>
          <w:color w:val="212121"/>
          <w:kern w:val="24"/>
          <w:sz w:val="18"/>
          <w:szCs w:val="18"/>
        </w:rPr>
        <w:t>ing</w:t>
      </w:r>
      <w:r w:rsidR="001A06C0" w:rsidRPr="00804A4E">
        <w:rPr>
          <w:rFonts w:ascii="Franklin Gothic Book" w:eastAsia="+mn-ea" w:hAnsi="Franklin Gothic Book" w:cs="Times New Roman"/>
          <w:color w:val="212121"/>
          <w:kern w:val="24"/>
          <w:sz w:val="18"/>
          <w:szCs w:val="18"/>
        </w:rPr>
        <w:t xml:space="preserve"> that higher profit surgeries have a higher probability of being performed at an ASC compared to a hospital); </w:t>
      </w:r>
      <w:r w:rsidR="00B60644" w:rsidRPr="00804A4E">
        <w:rPr>
          <w:rFonts w:ascii="Franklin Gothic Book" w:eastAsia="+mn-ea" w:hAnsi="Franklin Gothic Book" w:cs="Times New Roman"/>
          <w:color w:val="212121"/>
          <w:kern w:val="24"/>
          <w:sz w:val="18"/>
          <w:szCs w:val="18"/>
        </w:rPr>
        <w:t>Christopher Lee Sistrom &amp; Niccie L. McKay,</w:t>
      </w:r>
      <w:r w:rsidR="001A06C0" w:rsidRPr="00804A4E">
        <w:rPr>
          <w:rFonts w:ascii="Franklin Gothic Book" w:eastAsia="+mn-ea" w:hAnsi="Franklin Gothic Book" w:cs="Times New Roman"/>
          <w:color w:val="212121"/>
          <w:kern w:val="24"/>
          <w:sz w:val="18"/>
          <w:szCs w:val="18"/>
        </w:rPr>
        <w:t xml:space="preserve"> </w:t>
      </w:r>
      <w:r w:rsidR="00B60644" w:rsidRPr="00804A4E">
        <w:rPr>
          <w:rFonts w:ascii="Franklin Gothic Book" w:eastAsia="+mn-ea" w:hAnsi="Franklin Gothic Book" w:cs="Times New Roman"/>
          <w:i/>
          <w:iCs/>
          <w:color w:val="212121"/>
          <w:kern w:val="24"/>
          <w:sz w:val="18"/>
          <w:szCs w:val="18"/>
        </w:rPr>
        <w:t>Costs, charges, and revenues for hospital diagnostic imaging procedures: differences by modality and hospital characteristics,</w:t>
      </w:r>
      <w:r w:rsidR="00B60644" w:rsidRPr="00804A4E">
        <w:rPr>
          <w:rFonts w:ascii="Franklin Gothic Book" w:eastAsia="+mn-ea" w:hAnsi="Franklin Gothic Book" w:cs="Times New Roman"/>
          <w:color w:val="212121"/>
          <w:kern w:val="24"/>
          <w:sz w:val="18"/>
          <w:szCs w:val="18"/>
        </w:rPr>
        <w:t xml:space="preserve"> 2 </w:t>
      </w:r>
      <w:r w:rsidR="001A06C0" w:rsidRPr="00804A4E">
        <w:rPr>
          <w:rFonts w:ascii="Franklin Gothic Book" w:eastAsia="+mn-ea" w:hAnsi="Franklin Gothic Book" w:cs="Times New Roman"/>
          <w:smallCaps/>
          <w:color w:val="212121"/>
          <w:kern w:val="24"/>
          <w:sz w:val="18"/>
          <w:szCs w:val="18"/>
        </w:rPr>
        <w:t>Journal of the American College of Radiology</w:t>
      </w:r>
      <w:r w:rsidR="001A06C0" w:rsidRPr="00804A4E">
        <w:rPr>
          <w:rFonts w:ascii="Franklin Gothic Book" w:eastAsia="+mn-ea" w:hAnsi="Franklin Gothic Book" w:cs="Times New Roman"/>
          <w:color w:val="212121"/>
          <w:kern w:val="24"/>
          <w:sz w:val="18"/>
          <w:szCs w:val="18"/>
        </w:rPr>
        <w:t xml:space="preserve"> </w:t>
      </w:r>
      <w:r w:rsidR="00B60644" w:rsidRPr="00804A4E">
        <w:rPr>
          <w:rFonts w:ascii="Franklin Gothic Book" w:eastAsia="+mn-ea" w:hAnsi="Franklin Gothic Book" w:cs="Times New Roman"/>
          <w:color w:val="212121"/>
          <w:kern w:val="24"/>
          <w:sz w:val="18"/>
          <w:szCs w:val="18"/>
        </w:rPr>
        <w:t xml:space="preserve">511 </w:t>
      </w:r>
      <w:r w:rsidR="001A06C0" w:rsidRPr="00804A4E">
        <w:rPr>
          <w:rFonts w:ascii="Franklin Gothic Book" w:eastAsia="+mn-ea" w:hAnsi="Franklin Gothic Book" w:cs="Times New Roman"/>
          <w:color w:val="212121"/>
          <w:kern w:val="24"/>
          <w:sz w:val="18"/>
          <w:szCs w:val="18"/>
        </w:rPr>
        <w:t>(2005)</w:t>
      </w:r>
      <w:r w:rsidR="00B60644" w:rsidRPr="00804A4E">
        <w:rPr>
          <w:rFonts w:ascii="Franklin Gothic Book" w:eastAsia="+mn-ea" w:hAnsi="Franklin Gothic Book" w:cs="Times New Roman"/>
          <w:color w:val="212121"/>
          <w:kern w:val="24"/>
          <w:sz w:val="18"/>
          <w:szCs w:val="18"/>
        </w:rPr>
        <w:t xml:space="preserve">, </w:t>
      </w:r>
      <w:r w:rsidR="00F95AB7">
        <w:rPr>
          <w:rFonts w:ascii="Franklin Gothic Book" w:eastAsia="+mn-ea" w:hAnsi="Franklin Gothic Book" w:cs="Times New Roman"/>
          <w:i/>
          <w:iCs/>
          <w:color w:val="212121"/>
          <w:kern w:val="24"/>
          <w:sz w:val="18"/>
          <w:szCs w:val="18"/>
        </w:rPr>
        <w:t xml:space="preserve">available </w:t>
      </w:r>
      <w:hyperlink r:id="rId52" w:history="1">
        <w:r w:rsidR="00F95AB7">
          <w:rPr>
            <w:rStyle w:val="Hyperlink"/>
            <w:rFonts w:ascii="Franklin Gothic Book" w:eastAsia="+mn-ea" w:hAnsi="Franklin Gothic Book" w:cs="Times New Roman"/>
            <w:kern w:val="24"/>
            <w:sz w:val="18"/>
            <w:szCs w:val="18"/>
          </w:rPr>
          <w:t>at https://doi.org/10.1016/j.jacr.2004.09.013</w:t>
        </w:r>
      </w:hyperlink>
      <w:r w:rsidR="00B60644" w:rsidRPr="00804A4E">
        <w:rPr>
          <w:rFonts w:ascii="Franklin Gothic Book" w:eastAsia="+mn-ea" w:hAnsi="Franklin Gothic Book" w:cs="Times New Roman"/>
          <w:i/>
          <w:iCs/>
          <w:color w:val="212121"/>
          <w:kern w:val="24"/>
          <w:sz w:val="18"/>
          <w:szCs w:val="18"/>
        </w:rPr>
        <w:t xml:space="preserve"> </w:t>
      </w:r>
      <w:r w:rsidR="001A06C0" w:rsidRPr="00804A4E">
        <w:rPr>
          <w:rFonts w:ascii="Franklin Gothic Book" w:eastAsia="+mn-ea" w:hAnsi="Franklin Gothic Book" w:cs="Times New Roman"/>
          <w:color w:val="212121"/>
          <w:kern w:val="24"/>
          <w:sz w:val="18"/>
          <w:szCs w:val="18"/>
        </w:rPr>
        <w:t>(find</w:t>
      </w:r>
      <w:r w:rsidR="00B60644" w:rsidRPr="00804A4E">
        <w:rPr>
          <w:rFonts w:ascii="Franklin Gothic Book" w:eastAsia="+mn-ea" w:hAnsi="Franklin Gothic Book" w:cs="Times New Roman"/>
          <w:color w:val="212121"/>
          <w:kern w:val="24"/>
          <w:sz w:val="18"/>
          <w:szCs w:val="18"/>
        </w:rPr>
        <w:t>ing</w:t>
      </w:r>
      <w:r w:rsidR="001A06C0" w:rsidRPr="00804A4E">
        <w:rPr>
          <w:rFonts w:ascii="Franklin Gothic Book" w:eastAsia="+mn-ea" w:hAnsi="Franklin Gothic Book" w:cs="Times New Roman"/>
          <w:color w:val="212121"/>
          <w:kern w:val="24"/>
          <w:sz w:val="18"/>
          <w:szCs w:val="18"/>
        </w:rPr>
        <w:t xml:space="preserve"> that if the cost structure of nonhospital imaging is at all similar to </w:t>
      </w:r>
      <w:r w:rsidR="00B60644" w:rsidRPr="00804A4E">
        <w:rPr>
          <w:rFonts w:ascii="Franklin Gothic Book" w:eastAsia="+mn-ea" w:hAnsi="Franklin Gothic Book" w:cs="Times New Roman"/>
          <w:color w:val="212121"/>
          <w:kern w:val="24"/>
          <w:sz w:val="18"/>
          <w:szCs w:val="18"/>
        </w:rPr>
        <w:t xml:space="preserve">the cost structure of </w:t>
      </w:r>
      <w:r w:rsidR="001A06C0" w:rsidRPr="00804A4E">
        <w:rPr>
          <w:rFonts w:ascii="Franklin Gothic Book" w:eastAsia="+mn-ea" w:hAnsi="Franklin Gothic Book" w:cs="Times New Roman"/>
          <w:color w:val="212121"/>
          <w:kern w:val="24"/>
          <w:sz w:val="18"/>
          <w:szCs w:val="18"/>
        </w:rPr>
        <w:t xml:space="preserve">hospitals, the profit potential for performing CT and MRI </w:t>
      </w:r>
      <w:r w:rsidR="00B60644" w:rsidRPr="00804A4E">
        <w:rPr>
          <w:rFonts w:ascii="Franklin Gothic Book" w:eastAsia="+mn-ea" w:hAnsi="Franklin Gothic Book" w:cs="Times New Roman"/>
          <w:color w:val="212121"/>
          <w:kern w:val="24"/>
          <w:sz w:val="18"/>
          <w:szCs w:val="18"/>
        </w:rPr>
        <w:t xml:space="preserve">services </w:t>
      </w:r>
      <w:r w:rsidR="007027D0" w:rsidRPr="00804A4E">
        <w:rPr>
          <w:rFonts w:ascii="Franklin Gothic Book" w:eastAsia="+mn-ea" w:hAnsi="Franklin Gothic Book" w:cs="Times New Roman"/>
          <w:color w:val="212121"/>
          <w:kern w:val="24"/>
          <w:sz w:val="18"/>
          <w:szCs w:val="18"/>
        </w:rPr>
        <w:t xml:space="preserve">is </w:t>
      </w:r>
      <w:r w:rsidR="001A06C0" w:rsidRPr="00804A4E">
        <w:rPr>
          <w:rFonts w:ascii="Franklin Gothic Book" w:eastAsia="+mn-ea" w:hAnsi="Franklin Gothic Book" w:cs="Times New Roman"/>
          <w:color w:val="212121"/>
          <w:kern w:val="24"/>
          <w:sz w:val="18"/>
          <w:szCs w:val="18"/>
        </w:rPr>
        <w:t>substantial)</w:t>
      </w:r>
      <w:r w:rsidR="00B60644" w:rsidRPr="00804A4E">
        <w:rPr>
          <w:rFonts w:ascii="Franklin Gothic Book" w:eastAsia="+mn-ea" w:hAnsi="Franklin Gothic Book" w:cs="Times New Roman"/>
          <w:color w:val="212121"/>
          <w:kern w:val="24"/>
          <w:sz w:val="18"/>
          <w:szCs w:val="18"/>
        </w:rPr>
        <w:t>.</w:t>
      </w:r>
    </w:p>
  </w:footnote>
  <w:footnote w:id="131">
    <w:p w14:paraId="2BEC444A" w14:textId="2106E6D4"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53179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49-51; Ambulatory Q&amp;A,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53179E" w:rsidRPr="00804A4E">
        <w:rPr>
          <w:rFonts w:ascii="Franklin Gothic Book" w:hAnsi="Franklin Gothic Book" w:cs="Times New Roman"/>
          <w:sz w:val="18"/>
          <w:szCs w:val="18"/>
        </w:rPr>
        <w:fldChar w:fldCharType="begin"/>
      </w:r>
      <w:r w:rsidR="0053179E" w:rsidRPr="00804A4E">
        <w:rPr>
          <w:rFonts w:ascii="Franklin Gothic Book" w:hAnsi="Franklin Gothic Book" w:cs="Times New Roman"/>
          <w:sz w:val="18"/>
          <w:szCs w:val="18"/>
        </w:rPr>
        <w:instrText xml:space="preserve"> NOTEREF _Ref93736523 \h  \* MERGEFORMAT </w:instrText>
      </w:r>
      <w:r w:rsidR="0053179E" w:rsidRPr="00804A4E">
        <w:rPr>
          <w:rFonts w:ascii="Franklin Gothic Book" w:hAnsi="Franklin Gothic Book" w:cs="Times New Roman"/>
          <w:sz w:val="18"/>
          <w:szCs w:val="18"/>
        </w:rPr>
      </w:r>
      <w:r w:rsidR="0053179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56</w:t>
      </w:r>
      <w:r w:rsidR="0053179E"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44-46. The narrative describes the expected use of both in-person and telehealth tools for behavioral health services and consultation. Much of the integrated care model is described in terms of providers and patients at the sites having “access to” behavioral health care supports, and it is not clear to what extent MGB plans to physically co-locate relevant staff and supports at the sites. The staffing projections MGB provided for the ICAs do not clarify the question, as “MGB expects that the physicians who provide care at each site may also provide care at other locations affiliated with MGB….”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53179E"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83.</w:t>
      </w:r>
    </w:p>
  </w:footnote>
  <w:footnote w:id="132">
    <w:p w14:paraId="22048B8C" w14:textId="377A7CFA"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53179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10, where MGB groups behavioral health with all other primary care and specialist physician visit projections.</w:t>
      </w:r>
    </w:p>
  </w:footnote>
  <w:footnote w:id="133">
    <w:p w14:paraId="236A4A56" w14:textId="7344253D"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eastAsia="+mn-ea" w:hAnsi="Franklin Gothic Book" w:cs="Times New Roman"/>
          <w:color w:val="212121"/>
          <w:kern w:val="24"/>
          <w:sz w:val="18"/>
          <w:szCs w:val="18"/>
        </w:rPr>
        <w:t xml:space="preserve">Ambulatory Q&amp;A, </w:t>
      </w:r>
      <w:r w:rsidRPr="00804A4E">
        <w:rPr>
          <w:rFonts w:ascii="Franklin Gothic Book" w:eastAsia="+mn-ea" w:hAnsi="Franklin Gothic Book" w:cs="Times New Roman"/>
          <w:i/>
          <w:iCs/>
          <w:color w:val="212121"/>
          <w:kern w:val="24"/>
          <w:sz w:val="18"/>
          <w:szCs w:val="18"/>
        </w:rPr>
        <w:t>supra</w:t>
      </w:r>
      <w:r w:rsidRPr="00804A4E">
        <w:rPr>
          <w:rFonts w:ascii="Franklin Gothic Book" w:eastAsia="+mn-ea" w:hAnsi="Franklin Gothic Book" w:cs="Times New Roman"/>
          <w:color w:val="212121"/>
          <w:kern w:val="24"/>
          <w:sz w:val="18"/>
          <w:szCs w:val="18"/>
        </w:rPr>
        <w:t xml:space="preserve"> note </w:t>
      </w:r>
      <w:r w:rsidR="0053179E" w:rsidRPr="00804A4E">
        <w:rPr>
          <w:rFonts w:ascii="Franklin Gothic Book" w:eastAsia="+mn-ea" w:hAnsi="Franklin Gothic Book" w:cs="Times New Roman"/>
          <w:color w:val="212121"/>
          <w:kern w:val="24"/>
          <w:sz w:val="18"/>
          <w:szCs w:val="18"/>
        </w:rPr>
        <w:fldChar w:fldCharType="begin"/>
      </w:r>
      <w:r w:rsidR="0053179E" w:rsidRPr="00804A4E">
        <w:rPr>
          <w:rFonts w:ascii="Franklin Gothic Book" w:eastAsia="+mn-ea" w:hAnsi="Franklin Gothic Book" w:cs="Times New Roman"/>
          <w:color w:val="212121"/>
          <w:kern w:val="24"/>
          <w:sz w:val="18"/>
          <w:szCs w:val="18"/>
        </w:rPr>
        <w:instrText xml:space="preserve"> NOTEREF _Ref93736523 \h  \* MERGEFORMAT </w:instrText>
      </w:r>
      <w:r w:rsidR="0053179E" w:rsidRPr="00804A4E">
        <w:rPr>
          <w:rFonts w:ascii="Franklin Gothic Book" w:eastAsia="+mn-ea" w:hAnsi="Franklin Gothic Book" w:cs="Times New Roman"/>
          <w:color w:val="212121"/>
          <w:kern w:val="24"/>
          <w:sz w:val="18"/>
          <w:szCs w:val="18"/>
        </w:rPr>
      </w:r>
      <w:r w:rsidR="0053179E" w:rsidRPr="00804A4E">
        <w:rPr>
          <w:rFonts w:ascii="Franklin Gothic Book" w:eastAsia="+mn-ea" w:hAnsi="Franklin Gothic Book" w:cs="Times New Roman"/>
          <w:color w:val="212121"/>
          <w:kern w:val="24"/>
          <w:sz w:val="18"/>
          <w:szCs w:val="18"/>
        </w:rPr>
        <w:fldChar w:fldCharType="separate"/>
      </w:r>
      <w:r w:rsidR="00036554">
        <w:rPr>
          <w:rFonts w:ascii="Franklin Gothic Book" w:eastAsia="+mn-ea" w:hAnsi="Franklin Gothic Book" w:cs="Times New Roman"/>
          <w:color w:val="212121"/>
          <w:kern w:val="24"/>
          <w:sz w:val="18"/>
          <w:szCs w:val="18"/>
        </w:rPr>
        <w:t>56</w:t>
      </w:r>
      <w:r w:rsidR="0053179E" w:rsidRPr="00804A4E">
        <w:rPr>
          <w:rFonts w:ascii="Franklin Gothic Book" w:eastAsia="+mn-ea" w:hAnsi="Franklin Gothic Book" w:cs="Times New Roman"/>
          <w:color w:val="212121"/>
          <w:kern w:val="24"/>
          <w:sz w:val="18"/>
          <w:szCs w:val="18"/>
        </w:rPr>
        <w:fldChar w:fldCharType="end"/>
      </w:r>
      <w:r w:rsidRPr="00804A4E">
        <w:rPr>
          <w:rFonts w:ascii="Franklin Gothic Book" w:eastAsia="+mn-ea" w:hAnsi="Franklin Gothic Book" w:cs="Times New Roman"/>
          <w:color w:val="212121"/>
          <w:kern w:val="24"/>
          <w:sz w:val="18"/>
          <w:szCs w:val="18"/>
        </w:rPr>
        <w:t>, at 44.</w:t>
      </w:r>
    </w:p>
  </w:footnote>
  <w:footnote w:id="134">
    <w:p w14:paraId="5CEA8CC0" w14:textId="4DB176A7" w:rsidR="003C3793" w:rsidRPr="00804A4E" w:rsidRDefault="003C3793" w:rsidP="00142DCC">
      <w:pPr>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707513">
        <w:rPr>
          <w:rFonts w:ascii="Franklin Gothic Book" w:hAnsi="Franklin Gothic Book" w:cs="Times New Roman"/>
          <w:sz w:val="18"/>
          <w:szCs w:val="18"/>
        </w:rPr>
        <w:t>T</w:t>
      </w:r>
      <w:r w:rsidRPr="00804A4E">
        <w:rPr>
          <w:rFonts w:ascii="Franklin Gothic Book" w:hAnsi="Franklin Gothic Book" w:cs="Times New Roman"/>
          <w:sz w:val="18"/>
          <w:szCs w:val="18"/>
        </w:rPr>
        <w:t>he most recent demographic data generally available, and that relied upon by both the MGB applications and the ICAs</w:t>
      </w:r>
      <w:r w:rsidR="002773E6"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predate the pandemic. </w:t>
      </w:r>
      <w:r w:rsidR="00F4167D" w:rsidRPr="00804A4E">
        <w:rPr>
          <w:rFonts w:ascii="Franklin Gothic Book" w:hAnsi="Franklin Gothic Book" w:cs="Times New Roman"/>
          <w:sz w:val="18"/>
          <w:szCs w:val="18"/>
        </w:rPr>
        <w:t xml:space="preserve"> </w:t>
      </w:r>
      <w:r w:rsidR="00F4167D" w:rsidRPr="00804A4E">
        <w:rPr>
          <w:rFonts w:ascii="Franklin Gothic Book" w:hAnsi="Franklin Gothic Book" w:cs="Times New Roman"/>
          <w:i/>
          <w:iCs/>
          <w:sz w:val="18"/>
          <w:szCs w:val="18"/>
        </w:rPr>
        <w:t>Homepage: Massachusetts Population Projections</w:t>
      </w:r>
      <w:r w:rsidR="00F4167D" w:rsidRPr="00804A4E">
        <w:rPr>
          <w:rFonts w:ascii="Franklin Gothic Book" w:hAnsi="Franklin Gothic Book" w:cs="Times New Roman"/>
          <w:sz w:val="18"/>
          <w:szCs w:val="18"/>
        </w:rPr>
        <w:t xml:space="preserve">, </w:t>
      </w:r>
      <w:r w:rsidR="00F4167D" w:rsidRPr="00804A4E">
        <w:rPr>
          <w:rFonts w:ascii="Franklin Gothic Book" w:hAnsi="Franklin Gothic Book" w:cs="Times New Roman"/>
          <w:smallCaps/>
          <w:sz w:val="18"/>
          <w:szCs w:val="18"/>
        </w:rPr>
        <w:t>University of Massachusetts Donahue Institute</w:t>
      </w:r>
      <w:r w:rsidR="00F4167D" w:rsidRPr="00804A4E">
        <w:rPr>
          <w:rFonts w:ascii="Franklin Gothic Book" w:hAnsi="Franklin Gothic Book" w:cs="Times New Roman"/>
          <w:sz w:val="18"/>
          <w:szCs w:val="18"/>
        </w:rPr>
        <w:t xml:space="preserve">, </w:t>
      </w:r>
      <w:hyperlink r:id="rId53" w:history="1">
        <w:r w:rsidR="0024200C">
          <w:rPr>
            <w:rStyle w:val="Hyperlink"/>
            <w:rFonts w:ascii="Franklin Gothic Book" w:hAnsi="Franklin Gothic Book" w:cs="Times New Roman"/>
            <w:sz w:val="18"/>
            <w:szCs w:val="18"/>
          </w:rPr>
          <w:t>at https://donahue.umass.edu/business-groups/economic-public-policy-research/massachusetts-population-estimates-program/population-projections</w:t>
        </w:r>
      </w:hyperlink>
      <w:r w:rsidR="00F4167D" w:rsidRPr="00804A4E">
        <w:rPr>
          <w:rFonts w:ascii="Franklin Gothic Book" w:hAnsi="Franklin Gothic Book" w:cs="Times New Roman"/>
          <w:sz w:val="18"/>
          <w:szCs w:val="18"/>
        </w:rPr>
        <w:t xml:space="preserve"> (last visited Jan. 23, 2022) (“Like all forecasts, the UMDI projections make assumptions about how past or recent trends will continue into the future. For the V2018 series, we use a component-of-change method based on trends observed in: town-level fertility and mortality from 2000 through 2010; state-level mortality and fertility trends through 2016; regional, gross migration-by-age trends observed in data from the 2005-2012 American Community Survey; and 2015 launch populations controlled to the U.S. Census Bureau’s Vintage 2017 County-level Annual Population Estimates by age and sex”). </w:t>
      </w:r>
      <w:r w:rsidRPr="00804A4E">
        <w:rPr>
          <w:rFonts w:ascii="Franklin Gothic Book" w:hAnsi="Franklin Gothic Book" w:cs="Times New Roman"/>
          <w:sz w:val="18"/>
          <w:szCs w:val="18"/>
        </w:rPr>
        <w:t>Given the significant changes in demographics from the pandemic, it is highly likely that these projections are no longer accurate. For example, projections of total population growth for the US made by the Census Bureau in 2017 projected growth in 2021 of 2.4 million.</w:t>
      </w:r>
      <w:r w:rsidR="00F4167D" w:rsidRPr="00804A4E">
        <w:rPr>
          <w:rFonts w:ascii="Franklin Gothic Book" w:hAnsi="Franklin Gothic Book"/>
          <w:sz w:val="22"/>
          <w:szCs w:val="22"/>
        </w:rPr>
        <w:t xml:space="preserve"> </w:t>
      </w:r>
      <w:r w:rsidR="00F4167D" w:rsidRPr="00804A4E">
        <w:rPr>
          <w:rFonts w:ascii="Franklin Gothic Book" w:hAnsi="Franklin Gothic Book" w:cs="Times New Roman"/>
          <w:i/>
          <w:iCs/>
          <w:sz w:val="18"/>
          <w:szCs w:val="18"/>
        </w:rPr>
        <w:t>2017 National Population Projections Tables: Main Series</w:t>
      </w:r>
      <w:r w:rsidR="00F4167D" w:rsidRPr="00804A4E">
        <w:rPr>
          <w:rFonts w:ascii="Franklin Gothic Book" w:hAnsi="Franklin Gothic Book" w:cs="Times New Roman"/>
          <w:sz w:val="18"/>
          <w:szCs w:val="18"/>
        </w:rPr>
        <w:t xml:space="preserve">, </w:t>
      </w:r>
      <w:r w:rsidR="00F4167D" w:rsidRPr="00804A4E">
        <w:rPr>
          <w:rFonts w:ascii="Franklin Gothic Book" w:hAnsi="Franklin Gothic Book" w:cs="Times New Roman"/>
          <w:smallCaps/>
          <w:sz w:val="18"/>
          <w:szCs w:val="18"/>
        </w:rPr>
        <w:t>U.S. Census Bureau</w:t>
      </w:r>
      <w:r w:rsidR="00F4167D"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 </w:t>
      </w:r>
      <w:hyperlink r:id="rId54" w:history="1">
        <w:r w:rsidR="00A05D0A">
          <w:rPr>
            <w:rStyle w:val="Hyperlink"/>
            <w:rFonts w:ascii="Franklin Gothic Book" w:hAnsi="Franklin Gothic Book" w:cs="Times New Roman"/>
            <w:sz w:val="18"/>
            <w:szCs w:val="18"/>
          </w:rPr>
          <w:t>at https://www.census.gov/data/tables/2017/demo/popproj/2017-summary-tables.html</w:t>
        </w:r>
      </w:hyperlink>
      <w:r w:rsidR="00F4167D" w:rsidRPr="00804A4E">
        <w:rPr>
          <w:rStyle w:val="Hyperlink"/>
          <w:rFonts w:ascii="Franklin Gothic Book" w:hAnsi="Franklin Gothic Book" w:cs="Times New Roman"/>
          <w:sz w:val="18"/>
          <w:szCs w:val="18"/>
        </w:rPr>
        <w:t xml:space="preserve"> (last visited Jan. 23, 2022)</w:t>
      </w:r>
      <w:r w:rsidRPr="00804A4E">
        <w:rPr>
          <w:rStyle w:val="Hyperlink"/>
          <w:rFonts w:ascii="Franklin Gothic Book" w:hAnsi="Franklin Gothic Book" w:cs="Times New Roman"/>
          <w:color w:val="auto"/>
          <w:sz w:val="18"/>
          <w:szCs w:val="18"/>
          <w:u w:val="none"/>
        </w:rPr>
        <w:t xml:space="preserve">. </w:t>
      </w:r>
      <w:r w:rsidRPr="00804A4E">
        <w:rPr>
          <w:rFonts w:ascii="Franklin Gothic Book" w:hAnsi="Franklin Gothic Book" w:cs="Times New Roman"/>
          <w:sz w:val="18"/>
          <w:szCs w:val="18"/>
        </w:rPr>
        <w:t>In fact, the US population grew by under 400,000 people in 2021.</w:t>
      </w:r>
      <w:r w:rsidR="008879F9" w:rsidRPr="00804A4E">
        <w:rPr>
          <w:rFonts w:ascii="Franklin Gothic Book" w:hAnsi="Franklin Gothic Book" w:cs="Times New Roman"/>
          <w:sz w:val="18"/>
          <w:szCs w:val="18"/>
        </w:rPr>
        <w:t xml:space="preserve"> </w:t>
      </w:r>
      <w:r w:rsidR="00F4167D" w:rsidRPr="00804A4E">
        <w:rPr>
          <w:rFonts w:ascii="Franklin Gothic Book" w:hAnsi="Franklin Gothic Book" w:cs="Times New Roman"/>
          <w:i/>
          <w:iCs/>
          <w:sz w:val="18"/>
          <w:szCs w:val="18"/>
        </w:rPr>
        <w:t>New Vintage 2021 Population Estimates Available for the Nation, States and Puerto Rico</w:t>
      </w:r>
      <w:r w:rsidR="00F4167D" w:rsidRPr="00804A4E">
        <w:rPr>
          <w:rFonts w:ascii="Franklin Gothic Book" w:hAnsi="Franklin Gothic Book" w:cs="Times New Roman"/>
          <w:sz w:val="18"/>
          <w:szCs w:val="18"/>
        </w:rPr>
        <w:t xml:space="preserve">, </w:t>
      </w:r>
      <w:r w:rsidR="008879F9" w:rsidRPr="00804A4E">
        <w:rPr>
          <w:rFonts w:ascii="Franklin Gothic Book" w:hAnsi="Franklin Gothic Book" w:cs="Times New Roman"/>
          <w:smallCaps/>
          <w:sz w:val="18"/>
          <w:szCs w:val="18"/>
        </w:rPr>
        <w:t>U.S. Census Bureau</w:t>
      </w:r>
      <w:r w:rsidR="008879F9" w:rsidRPr="00804A4E">
        <w:rPr>
          <w:rFonts w:ascii="Franklin Gothic Book" w:hAnsi="Franklin Gothic Book" w:cs="Times New Roman"/>
          <w:sz w:val="18"/>
          <w:szCs w:val="18"/>
        </w:rPr>
        <w:t xml:space="preserve">, </w:t>
      </w:r>
      <w:hyperlink r:id="rId55" w:history="1">
        <w:r w:rsidR="00A05D0A">
          <w:rPr>
            <w:rStyle w:val="Hyperlink"/>
            <w:rFonts w:ascii="Franklin Gothic Book" w:hAnsi="Franklin Gothic Book" w:cs="Times New Roman"/>
            <w:sz w:val="18"/>
            <w:szCs w:val="18"/>
          </w:rPr>
          <w:t>at https://www.census.gov/newsroom/press-releases/2021/2021-population-estimates.html</w:t>
        </w:r>
      </w:hyperlink>
      <w:r w:rsidR="008879F9" w:rsidRPr="00804A4E">
        <w:rPr>
          <w:rStyle w:val="Hyperlink"/>
          <w:rFonts w:ascii="Franklin Gothic Book" w:hAnsi="Franklin Gothic Book" w:cs="Times New Roman"/>
          <w:sz w:val="18"/>
          <w:szCs w:val="18"/>
        </w:rPr>
        <w:t xml:space="preserve"> (Dec. 21, 2021)</w:t>
      </w:r>
      <w:r w:rsidR="008879F9" w:rsidRPr="00804A4E">
        <w:rPr>
          <w:rStyle w:val="Hyperlink"/>
          <w:rFonts w:ascii="Franklin Gothic Book" w:hAnsi="Franklin Gothic Book" w:cs="Times New Roman"/>
          <w:color w:val="auto"/>
          <w:sz w:val="18"/>
          <w:szCs w:val="18"/>
          <w:u w:val="none"/>
        </w:rPr>
        <w:t>.</w:t>
      </w:r>
    </w:p>
  </w:footnote>
  <w:footnote w:id="135">
    <w:p w14:paraId="2D267FB6" w14:textId="324C4B99"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e.g.</w:t>
      </w:r>
      <w:r w:rsidRPr="00804A4E">
        <w:rPr>
          <w:rFonts w:ascii="Franklin Gothic Book" w:hAnsi="Franklin Gothic Book" w:cs="Times New Roman"/>
          <w:sz w:val="18"/>
          <w:szCs w:val="18"/>
        </w:rPr>
        <w:t xml:space="preserve">, </w:t>
      </w:r>
      <w:r w:rsidR="002D3BB7" w:rsidRPr="00804A4E">
        <w:rPr>
          <w:rFonts w:ascii="Franklin Gothic Book" w:hAnsi="Franklin Gothic Book" w:cs="Times New Roman"/>
          <w:sz w:val="18"/>
          <w:szCs w:val="18"/>
        </w:rPr>
        <w:t xml:space="preserve">MGH DoN Application, </w:t>
      </w:r>
      <w:r w:rsidR="002D3BB7" w:rsidRPr="00804A4E">
        <w:rPr>
          <w:rFonts w:ascii="Franklin Gothic Book" w:hAnsi="Franklin Gothic Book" w:cs="Times New Roman"/>
          <w:i/>
          <w:iCs/>
          <w:sz w:val="18"/>
          <w:szCs w:val="18"/>
        </w:rPr>
        <w:t>supra</w:t>
      </w:r>
      <w:r w:rsidR="002D3BB7" w:rsidRPr="00804A4E">
        <w:rPr>
          <w:rFonts w:ascii="Franklin Gothic Book" w:hAnsi="Franklin Gothic Book" w:cs="Times New Roman"/>
          <w:sz w:val="18"/>
          <w:szCs w:val="18"/>
        </w:rPr>
        <w:t xml:space="preserve"> note </w:t>
      </w:r>
      <w:r w:rsidR="00A85A47" w:rsidRPr="00804A4E">
        <w:rPr>
          <w:rFonts w:ascii="Franklin Gothic Book" w:hAnsi="Franklin Gothic Book" w:cs="Times New Roman"/>
          <w:sz w:val="18"/>
          <w:szCs w:val="18"/>
        </w:rPr>
        <w:fldChar w:fldCharType="begin"/>
      </w:r>
      <w:r w:rsidR="00A85A47" w:rsidRPr="00804A4E">
        <w:rPr>
          <w:rFonts w:ascii="Franklin Gothic Book" w:hAnsi="Franklin Gothic Book" w:cs="Times New Roman"/>
          <w:sz w:val="18"/>
          <w:szCs w:val="18"/>
        </w:rPr>
        <w:instrText xml:space="preserve"> NOTEREF _Ref93624434 \h </w:instrText>
      </w:r>
      <w:r w:rsidR="00804A4E" w:rsidRPr="00804A4E">
        <w:rPr>
          <w:rFonts w:ascii="Franklin Gothic Book" w:hAnsi="Franklin Gothic Book" w:cs="Times New Roman"/>
          <w:sz w:val="18"/>
          <w:szCs w:val="18"/>
        </w:rPr>
        <w:instrText xml:space="preserve"> \* MERGEFORMAT </w:instrText>
      </w:r>
      <w:r w:rsidR="00A85A47" w:rsidRPr="00804A4E">
        <w:rPr>
          <w:rFonts w:ascii="Franklin Gothic Book" w:hAnsi="Franklin Gothic Book" w:cs="Times New Roman"/>
          <w:sz w:val="18"/>
          <w:szCs w:val="18"/>
        </w:rPr>
      </w:r>
      <w:r w:rsidR="00A85A4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A85A4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17-26.</w:t>
      </w:r>
    </w:p>
  </w:footnote>
  <w:footnote w:id="136">
    <w:p w14:paraId="38FE3A6A" w14:textId="08E15D78"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e.g.</w:t>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48.</w:t>
      </w:r>
    </w:p>
  </w:footnote>
  <w:footnote w:id="137">
    <w:p w14:paraId="0C13D16C" w14:textId="579C6A0B"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008F5793" w:rsidRPr="00804A4E">
        <w:rPr>
          <w:rFonts w:ascii="Franklin Gothic Book" w:hAnsi="Franklin Gothic Book" w:cs="Times New Roman"/>
          <w:i/>
          <w:iCs/>
          <w:sz w:val="18"/>
          <w:szCs w:val="18"/>
        </w:rPr>
        <w:t>See, e.g.,</w:t>
      </w:r>
      <w:r w:rsidR="008F5793" w:rsidRPr="00804A4E">
        <w:rPr>
          <w:rFonts w:ascii="Franklin Gothic Book" w:hAnsi="Franklin Gothic Book" w:cs="Times New Roman"/>
          <w:sz w:val="18"/>
          <w:szCs w:val="18"/>
        </w:rPr>
        <w:t xml:space="preserve"> </w:t>
      </w:r>
      <w:r w:rsidR="00F4167D" w:rsidRPr="00804A4E">
        <w:rPr>
          <w:rFonts w:ascii="Franklin Gothic Book" w:hAnsi="Franklin Gothic Book" w:cs="Times New Roman"/>
          <w:i/>
          <w:iCs/>
          <w:sz w:val="18"/>
          <w:szCs w:val="18"/>
        </w:rPr>
        <w:t>C</w:t>
      </w:r>
      <w:r w:rsidR="008F5793" w:rsidRPr="00804A4E">
        <w:rPr>
          <w:rFonts w:ascii="Franklin Gothic Book" w:hAnsi="Franklin Gothic Book" w:cs="Times New Roman"/>
          <w:i/>
          <w:iCs/>
          <w:sz w:val="18"/>
          <w:szCs w:val="18"/>
        </w:rPr>
        <w:t>omments on MGB Multisite DoN Application by Robert Andrew Wilkinson, Director of Finance for Ambulatory Surgery at Shields Health Care Group</w:t>
      </w:r>
      <w:r w:rsidR="008F5793" w:rsidRPr="00804A4E">
        <w:rPr>
          <w:rFonts w:ascii="Franklin Gothic Book" w:hAnsi="Franklin Gothic Book" w:cs="Times New Roman"/>
          <w:sz w:val="18"/>
          <w:szCs w:val="18"/>
        </w:rPr>
        <w:t xml:space="preserve"> at 14 (April 6, 2021) </w:t>
      </w:r>
      <w:r w:rsidR="008F5793" w:rsidRPr="00804A4E">
        <w:rPr>
          <w:rFonts w:ascii="Franklin Gothic Book" w:hAnsi="Franklin Gothic Book" w:cs="Times New Roman"/>
          <w:i/>
          <w:iCs/>
          <w:sz w:val="18"/>
          <w:szCs w:val="18"/>
        </w:rPr>
        <w:t>and</w:t>
      </w:r>
      <w:r w:rsidR="008F5793" w:rsidRPr="00804A4E">
        <w:rPr>
          <w:rFonts w:ascii="Franklin Gothic Book" w:hAnsi="Franklin Gothic Book" w:cs="Times New Roman"/>
          <w:sz w:val="18"/>
          <w:szCs w:val="18"/>
        </w:rPr>
        <w:t xml:space="preserve"> </w:t>
      </w:r>
      <w:r w:rsidR="009D2E4B" w:rsidRPr="00804A4E">
        <w:rPr>
          <w:rFonts w:ascii="Franklin Gothic Book" w:hAnsi="Franklin Gothic Book" w:cs="Times New Roman"/>
          <w:i/>
          <w:iCs/>
          <w:sz w:val="18"/>
          <w:szCs w:val="18"/>
        </w:rPr>
        <w:t>C</w:t>
      </w:r>
      <w:r w:rsidR="008F5793" w:rsidRPr="00804A4E">
        <w:rPr>
          <w:rFonts w:ascii="Franklin Gothic Book" w:hAnsi="Franklin Gothic Book" w:cs="Times New Roman"/>
          <w:i/>
          <w:iCs/>
          <w:sz w:val="18"/>
          <w:szCs w:val="18"/>
        </w:rPr>
        <w:t>omments on MGB Multisite DoN Application by Douglas Brown, President of UMass Memorial Community Hospitals</w:t>
      </w:r>
      <w:r w:rsidR="008F5793" w:rsidRPr="00804A4E">
        <w:rPr>
          <w:rFonts w:ascii="Franklin Gothic Book" w:hAnsi="Franklin Gothic Book" w:cs="Times New Roman"/>
          <w:sz w:val="18"/>
          <w:szCs w:val="18"/>
        </w:rPr>
        <w:t xml:space="preserve"> at 29 (April 16, 2021), </w:t>
      </w:r>
      <w:r w:rsidR="00FF0ABD">
        <w:rPr>
          <w:rFonts w:ascii="Franklin Gothic Book" w:hAnsi="Franklin Gothic Book" w:cs="Times New Roman"/>
          <w:i/>
          <w:iCs/>
          <w:sz w:val="18"/>
          <w:szCs w:val="18"/>
        </w:rPr>
        <w:t>available</w:t>
      </w:r>
      <w:r w:rsidR="008F5793" w:rsidRPr="00804A4E">
        <w:rPr>
          <w:rFonts w:ascii="Franklin Gothic Book" w:hAnsi="Franklin Gothic Book" w:cs="Times New Roman"/>
          <w:sz w:val="18"/>
          <w:szCs w:val="18"/>
        </w:rPr>
        <w:t xml:space="preserve"> </w:t>
      </w:r>
      <w:hyperlink r:id="rId56" w:history="1">
        <w:r w:rsidR="00FF0ABD">
          <w:rPr>
            <w:rStyle w:val="Hyperlink"/>
            <w:rFonts w:ascii="Franklin Gothic Book" w:hAnsi="Franklin Gothic Book" w:cs="Times New Roman"/>
            <w:sz w:val="18"/>
            <w:szCs w:val="18"/>
          </w:rPr>
          <w:t>at https://www.mass.gov/doc/mass-general-brigham-public-comments-all-locations-batch-1/download</w:t>
        </w:r>
      </w:hyperlink>
      <w:r w:rsidR="008F5793" w:rsidRPr="00804A4E">
        <w:rPr>
          <w:rFonts w:ascii="Franklin Gothic Book" w:hAnsi="Franklin Gothic Book" w:cs="Times New Roman"/>
          <w:sz w:val="18"/>
          <w:szCs w:val="18"/>
        </w:rPr>
        <w:t xml:space="preserve">. </w:t>
      </w:r>
    </w:p>
  </w:footnote>
  <w:footnote w:id="138">
    <w:p w14:paraId="282DF8B6" w14:textId="2A7FC721" w:rsidR="00287C2A" w:rsidRPr="00700948" w:rsidRDefault="00287C2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inpatient care, </w:t>
      </w:r>
      <w:r w:rsidR="00707513">
        <w:rPr>
          <w:rFonts w:ascii="Franklin Gothic Book" w:hAnsi="Franklin Gothic Book" w:cs="Times New Roman"/>
          <w:sz w:val="18"/>
          <w:szCs w:val="18"/>
        </w:rPr>
        <w:t xml:space="preserve">pre-pandemic </w:t>
      </w:r>
      <w:r w:rsidRPr="00804A4E">
        <w:rPr>
          <w:rFonts w:ascii="Franklin Gothic Book" w:hAnsi="Franklin Gothic Book" w:cs="Times New Roman"/>
          <w:sz w:val="18"/>
          <w:szCs w:val="18"/>
        </w:rPr>
        <w:t xml:space="preserve">hospital occupancy rates in the CHIA Hospital Profiles indicate substantial available capacity in general acute care hospitals in the Commonwealth. </w:t>
      </w:r>
      <w:r w:rsidR="00DA0FF1" w:rsidRPr="00804A4E">
        <w:rPr>
          <w:rFonts w:ascii="Franklin Gothic Book" w:hAnsi="Franklin Gothic Book" w:cs="Times New Roman"/>
          <w:sz w:val="18"/>
          <w:szCs w:val="18"/>
        </w:rPr>
        <w:t xml:space="preserve">See </w:t>
      </w:r>
      <w:r w:rsidR="00DA0FF1" w:rsidRPr="00804A4E">
        <w:rPr>
          <w:rFonts w:ascii="Franklin Gothic Book" w:hAnsi="Franklin Gothic Book" w:cs="Times New Roman"/>
          <w:smallCaps/>
          <w:sz w:val="18"/>
          <w:szCs w:val="18"/>
        </w:rPr>
        <w:t>CHIA Hospital Profiles Databook</w:t>
      </w:r>
      <w:r w:rsidR="00DA0FF1" w:rsidRPr="00804A4E">
        <w:rPr>
          <w:rFonts w:ascii="Franklin Gothic Book" w:hAnsi="Franklin Gothic Book" w:cs="Times New Roman"/>
          <w:sz w:val="18"/>
          <w:szCs w:val="18"/>
        </w:rPr>
        <w:t xml:space="preserve">, </w:t>
      </w:r>
      <w:r w:rsidR="00DA0FF1" w:rsidRPr="00804A4E">
        <w:rPr>
          <w:rFonts w:ascii="Franklin Gothic Book" w:hAnsi="Franklin Gothic Book" w:cs="Times New Roman"/>
          <w:i/>
          <w:iCs/>
          <w:sz w:val="18"/>
          <w:szCs w:val="18"/>
        </w:rPr>
        <w:t>supra</w:t>
      </w:r>
      <w:r w:rsidR="00DA0FF1" w:rsidRPr="00804A4E">
        <w:rPr>
          <w:rFonts w:ascii="Franklin Gothic Book" w:hAnsi="Franklin Gothic Book" w:cs="Times New Roman"/>
          <w:sz w:val="18"/>
          <w:szCs w:val="18"/>
        </w:rPr>
        <w:t xml:space="preserve"> note </w:t>
      </w:r>
      <w:r w:rsidR="00DA0FF1" w:rsidRPr="00804A4E">
        <w:rPr>
          <w:rFonts w:ascii="Franklin Gothic Book" w:hAnsi="Franklin Gothic Book" w:cs="Times New Roman"/>
          <w:sz w:val="18"/>
          <w:szCs w:val="18"/>
        </w:rPr>
        <w:fldChar w:fldCharType="begin"/>
      </w:r>
      <w:r w:rsidR="00DA0FF1" w:rsidRPr="00804A4E">
        <w:rPr>
          <w:rFonts w:ascii="Franklin Gothic Book" w:hAnsi="Franklin Gothic Book" w:cs="Times New Roman"/>
          <w:sz w:val="18"/>
          <w:szCs w:val="18"/>
        </w:rPr>
        <w:instrText xml:space="preserve"> NOTEREF _Ref93661797 \h </w:instrText>
      </w:r>
      <w:r w:rsidR="00804A4E" w:rsidRPr="00804A4E">
        <w:rPr>
          <w:rFonts w:ascii="Franklin Gothic Book" w:hAnsi="Franklin Gothic Book" w:cs="Times New Roman"/>
          <w:sz w:val="18"/>
          <w:szCs w:val="18"/>
        </w:rPr>
        <w:instrText xml:space="preserve"> \* MERGEFORMAT </w:instrText>
      </w:r>
      <w:r w:rsidR="00DA0FF1" w:rsidRPr="00804A4E">
        <w:rPr>
          <w:rFonts w:ascii="Franklin Gothic Book" w:hAnsi="Franklin Gothic Book" w:cs="Times New Roman"/>
          <w:sz w:val="18"/>
          <w:szCs w:val="18"/>
        </w:rPr>
      </w:r>
      <w:r w:rsidR="00DA0FF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64</w:t>
      </w:r>
      <w:r w:rsidR="00DA0FF1"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While occupancy is generally higher at AMCs, a substantial proportion of care provided at AMCs could generally be provided at community hospitals. </w:t>
      </w:r>
      <w:r w:rsidRPr="00804A4E">
        <w:rPr>
          <w:rFonts w:ascii="Franklin Gothic Book" w:hAnsi="Franklin Gothic Book" w:cs="Times New Roman"/>
          <w:smallCaps/>
          <w:sz w:val="18"/>
          <w:szCs w:val="18"/>
        </w:rPr>
        <w:t>Crossroads Report</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2A66CA" w:rsidRPr="00804A4E">
        <w:rPr>
          <w:rFonts w:ascii="Franklin Gothic Book" w:hAnsi="Franklin Gothic Book" w:cs="Times New Roman"/>
          <w:sz w:val="18"/>
          <w:szCs w:val="18"/>
        </w:rPr>
        <w:fldChar w:fldCharType="begin"/>
      </w:r>
      <w:r w:rsidR="002A66CA" w:rsidRPr="00804A4E">
        <w:rPr>
          <w:rFonts w:ascii="Franklin Gothic Book" w:hAnsi="Franklin Gothic Book" w:cs="Times New Roman"/>
          <w:sz w:val="18"/>
          <w:szCs w:val="18"/>
        </w:rPr>
        <w:instrText xml:space="preserve"> NOTEREF _Ref93738084 \h </w:instrText>
      </w:r>
      <w:r w:rsidR="001043BB" w:rsidRPr="00804A4E">
        <w:rPr>
          <w:rFonts w:ascii="Franklin Gothic Book" w:hAnsi="Franklin Gothic Book" w:cs="Times New Roman"/>
          <w:sz w:val="18"/>
          <w:szCs w:val="18"/>
        </w:rPr>
        <w:instrText xml:space="preserve"> \* MERGEFORMAT </w:instrText>
      </w:r>
      <w:r w:rsidR="002A66CA" w:rsidRPr="00804A4E">
        <w:rPr>
          <w:rFonts w:ascii="Franklin Gothic Book" w:hAnsi="Franklin Gothic Book" w:cs="Times New Roman"/>
          <w:sz w:val="18"/>
          <w:szCs w:val="18"/>
        </w:rPr>
      </w:r>
      <w:r w:rsidR="002A66CA"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120</w:t>
      </w:r>
      <w:r w:rsidR="002A66CA"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47 (showing over half of inpatient care at Boston AMCs could likely have been provided safely and effectively in a community hospital setting).</w:t>
      </w:r>
      <w:r w:rsidR="00700948">
        <w:rPr>
          <w:rFonts w:ascii="Franklin Gothic Book" w:hAnsi="Franklin Gothic Book" w:cs="Times New Roman"/>
          <w:sz w:val="18"/>
          <w:szCs w:val="18"/>
        </w:rPr>
        <w:t xml:space="preserve"> MGB has stated in its applications that it expects a return to pre-pandemic trends. </w:t>
      </w:r>
      <w:r w:rsidR="00700948">
        <w:rPr>
          <w:rFonts w:ascii="Franklin Gothic Book" w:hAnsi="Franklin Gothic Book" w:cs="Times New Roman"/>
          <w:i/>
          <w:iCs/>
          <w:sz w:val="18"/>
          <w:szCs w:val="18"/>
        </w:rPr>
        <w:t xml:space="preserve">See </w:t>
      </w:r>
      <w:r w:rsidR="00700948" w:rsidRPr="00700948">
        <w:rPr>
          <w:rFonts w:ascii="Franklin Gothic Book" w:hAnsi="Franklin Gothic Book" w:cs="Times New Roman"/>
          <w:sz w:val="18"/>
          <w:szCs w:val="18"/>
        </w:rPr>
        <w:t>MGH DoN Application</w:t>
      </w:r>
      <w:r w:rsidR="00700948">
        <w:rPr>
          <w:rFonts w:ascii="Franklin Gothic Book" w:hAnsi="Franklin Gothic Book" w:cs="Times New Roman"/>
          <w:sz w:val="18"/>
          <w:szCs w:val="18"/>
        </w:rPr>
        <w:t xml:space="preserve">, </w:t>
      </w:r>
      <w:r w:rsidR="00700948">
        <w:rPr>
          <w:rFonts w:ascii="Franklin Gothic Book" w:hAnsi="Franklin Gothic Book" w:cs="Times New Roman"/>
          <w:i/>
          <w:iCs/>
          <w:sz w:val="18"/>
          <w:szCs w:val="18"/>
        </w:rPr>
        <w:t xml:space="preserve">supra </w:t>
      </w:r>
      <w:r w:rsidR="00700948">
        <w:rPr>
          <w:rFonts w:ascii="Franklin Gothic Book" w:hAnsi="Franklin Gothic Book" w:cs="Times New Roman"/>
          <w:sz w:val="18"/>
          <w:szCs w:val="18"/>
        </w:rPr>
        <w:t xml:space="preserve">note </w:t>
      </w:r>
      <w:r w:rsidR="00700948">
        <w:rPr>
          <w:rFonts w:ascii="Franklin Gothic Book" w:hAnsi="Franklin Gothic Book" w:cs="Times New Roman"/>
          <w:sz w:val="18"/>
          <w:szCs w:val="18"/>
        </w:rPr>
        <w:fldChar w:fldCharType="begin"/>
      </w:r>
      <w:r w:rsidR="00700948">
        <w:rPr>
          <w:rFonts w:ascii="Franklin Gothic Book" w:hAnsi="Franklin Gothic Book" w:cs="Times New Roman"/>
          <w:sz w:val="18"/>
          <w:szCs w:val="18"/>
        </w:rPr>
        <w:instrText xml:space="preserve"> NOTEREF _Ref93624434 \h </w:instrText>
      </w:r>
      <w:r w:rsidR="00700948">
        <w:rPr>
          <w:rFonts w:ascii="Franklin Gothic Book" w:hAnsi="Franklin Gothic Book" w:cs="Times New Roman"/>
          <w:sz w:val="18"/>
          <w:szCs w:val="18"/>
        </w:rPr>
      </w:r>
      <w:r w:rsidR="00700948">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700948">
        <w:rPr>
          <w:rFonts w:ascii="Franklin Gothic Book" w:hAnsi="Franklin Gothic Book" w:cs="Times New Roman"/>
          <w:sz w:val="18"/>
          <w:szCs w:val="18"/>
        </w:rPr>
        <w:fldChar w:fldCharType="end"/>
      </w:r>
      <w:r w:rsidR="00700948">
        <w:rPr>
          <w:rFonts w:ascii="Franklin Gothic Book" w:hAnsi="Franklin Gothic Book" w:cs="Times New Roman"/>
          <w:sz w:val="18"/>
          <w:szCs w:val="18"/>
        </w:rPr>
        <w:t>, Narrative at 6</w:t>
      </w:r>
      <w:r w:rsidR="00700948" w:rsidRPr="00700948">
        <w:rPr>
          <w:rFonts w:ascii="Franklin Gothic Book" w:hAnsi="Franklin Gothic Book" w:cs="Times New Roman"/>
          <w:sz w:val="18"/>
          <w:szCs w:val="18"/>
        </w:rPr>
        <w:t>.</w:t>
      </w:r>
    </w:p>
  </w:footnote>
  <w:footnote w:id="139">
    <w:p w14:paraId="06AB2155" w14:textId="406E46EC" w:rsidR="00287C2A" w:rsidRPr="00804A4E" w:rsidRDefault="00287C2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attachments B-1 through B-3. In the Westborough service area, 68.9% of respondents listed “accessible medical services” as a strength of their community, and only 10.4% of respondents listed “accessing health and social services” as a perceived need; in Westwood, 60.7% of respondents listed access to medical services as a strength of their community, while only 14.1% listed it as a perceived need; and in Woburn, 64.5% reported access to medical services as a strength, with only 10% reporting it as a perceived need. However, behavioral health </w:t>
      </w:r>
      <w:r w:rsidRPr="00804A4E">
        <w:rPr>
          <w:rFonts w:ascii="Franklin Gothic Book" w:hAnsi="Franklin Gothic Book" w:cs="Times New Roman"/>
          <w:i/>
          <w:iCs/>
          <w:sz w:val="18"/>
          <w:szCs w:val="18"/>
        </w:rPr>
        <w:t xml:space="preserve">was </w:t>
      </w:r>
      <w:r w:rsidRPr="00804A4E">
        <w:rPr>
          <w:rFonts w:ascii="Franklin Gothic Book" w:hAnsi="Franklin Gothic Book" w:cs="Times New Roman"/>
          <w:sz w:val="18"/>
          <w:szCs w:val="18"/>
        </w:rPr>
        <w:t>generally identified as a need: 49.1% listed “mental health issues” as an issue impacting the community in the Westborough service area, 50.6% in Woburn, and 49.8% in Westwood</w:t>
      </w:r>
    </w:p>
  </w:footnote>
  <w:footnote w:id="140">
    <w:p w14:paraId="6E2A6ABB" w14:textId="61A3AABE" w:rsidR="00287C2A" w:rsidRPr="00804A4E" w:rsidRDefault="00287C2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Notably, survey respondents also reported “cost of services” as a common barrier to accessing medical, mental, or social services—an access barrier that could be amplified if the proposed expansions drive further increases in the cost of care as projected in </w:t>
      </w:r>
      <w:hyperlink w:anchor="Section_III" w:history="1">
        <w:r w:rsidRPr="00804A4E">
          <w:rPr>
            <w:rStyle w:val="Hyperlink"/>
            <w:rFonts w:ascii="Franklin Gothic Book" w:hAnsi="Franklin Gothic Book" w:cs="Times New Roman"/>
            <w:sz w:val="18"/>
            <w:szCs w:val="18"/>
          </w:rPr>
          <w:t>Section III</w:t>
        </w:r>
      </w:hyperlink>
      <w:r w:rsidRPr="00804A4E">
        <w:rPr>
          <w:rFonts w:ascii="Franklin Gothic Book" w:hAnsi="Franklin Gothic Book" w:cs="Times New Roman"/>
          <w:sz w:val="18"/>
          <w:szCs w:val="18"/>
        </w:rPr>
        <w:t>. In Westborough, 28.2% reported the cost of services as key barrier to accessing medical, mental health and social services, 27.4% in Westwood, and 34.5% in Woburn. Financial insecurity was also high among listed areas of concern and perceived need in all three communities. (44.4% in Westborough, 43.3% in Westwood, 40.8% in Woburn). Transportation limitations may further limit access to the proposed sites by patients with lower incomes, as “Good public transportation” was ranked last on community strengths for Westborough (17 out of 17), number 14 out of 17 for Westwood, and number 11 out of 17 for Woburn. Id. at 228, 340, 467.</w:t>
      </w:r>
    </w:p>
  </w:footnote>
  <w:footnote w:id="141">
    <w:p w14:paraId="6F55D8B3" w14:textId="74A9170B"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44.</w:t>
      </w:r>
    </w:p>
  </w:footnote>
  <w:footnote w:id="142">
    <w:p w14:paraId="4B673B45" w14:textId="0A52042E"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Numerous studies, including some cited in the ICAs, have illustrated this dynamic. </w:t>
      </w:r>
      <w:r w:rsidR="009D2E4B" w:rsidRPr="00804A4E">
        <w:rPr>
          <w:rFonts w:ascii="Franklin Gothic Book" w:hAnsi="Franklin Gothic Book" w:cs="Times New Roman"/>
          <w:i/>
          <w:iCs/>
          <w:sz w:val="18"/>
          <w:szCs w:val="18"/>
        </w:rPr>
        <w:t>See</w:t>
      </w:r>
      <w:r w:rsidR="009D2E4B" w:rsidRPr="00804A4E">
        <w:rPr>
          <w:rFonts w:ascii="Franklin Gothic Book" w:hAnsi="Franklin Gothic Book" w:cs="Times New Roman"/>
          <w:sz w:val="18"/>
          <w:szCs w:val="18"/>
        </w:rPr>
        <w:t xml:space="preserve">, </w:t>
      </w:r>
      <w:r w:rsidR="009D2E4B" w:rsidRPr="00804A4E">
        <w:rPr>
          <w:rFonts w:ascii="Franklin Gothic Book" w:hAnsi="Franklin Gothic Book" w:cs="Times New Roman"/>
          <w:i/>
          <w:iCs/>
          <w:sz w:val="18"/>
          <w:szCs w:val="18"/>
        </w:rPr>
        <w:t>e.g.</w:t>
      </w:r>
      <w:r w:rsidR="009D2E4B"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Song et al., </w:t>
      </w:r>
      <w:r w:rsidRPr="00804A4E">
        <w:rPr>
          <w:rFonts w:ascii="Franklin Gothic Book" w:hAnsi="Franklin Gothic Book" w:cs="Times New Roman"/>
          <w:smallCaps/>
          <w:sz w:val="18"/>
          <w:szCs w:val="18"/>
        </w:rPr>
        <w:t>New Engl. J. Med.</w:t>
      </w:r>
      <w:r w:rsidRPr="00804A4E">
        <w:rPr>
          <w:rFonts w:ascii="Franklin Gothic Book" w:hAnsi="Franklin Gothic Book" w:cs="Times New Roman"/>
          <w:sz w:val="18"/>
          <w:szCs w:val="18"/>
        </w:rPr>
        <w:t xml:space="preserve">, Regional Variation in Diagnostic Practices (Jul. 1, 2010), </w:t>
      </w:r>
      <w:r w:rsidR="00A80A94">
        <w:rPr>
          <w:rFonts w:ascii="Franklin Gothic Book" w:hAnsi="Franklin Gothic Book" w:cs="Times New Roman"/>
          <w:i/>
          <w:iCs/>
          <w:sz w:val="18"/>
          <w:szCs w:val="18"/>
        </w:rPr>
        <w:t xml:space="preserve">available </w:t>
      </w:r>
      <w:hyperlink r:id="rId57" w:history="1">
        <w:r w:rsidR="00A80A94">
          <w:rPr>
            <w:rStyle w:val="Hyperlink"/>
            <w:rFonts w:ascii="Franklin Gothic Book" w:hAnsi="Franklin Gothic Book" w:cs="Times New Roman"/>
            <w:sz w:val="18"/>
            <w:szCs w:val="18"/>
          </w:rPr>
          <w:t>at https://www.ncbi.nlm.nih.gov/pmc/articles/PMC2924574/</w:t>
        </w:r>
      </w:hyperlink>
      <w:r w:rsidRPr="00804A4E">
        <w:rPr>
          <w:rFonts w:ascii="Franklin Gothic Book" w:hAnsi="Franklin Gothic Book" w:cs="Times New Roman"/>
          <w:sz w:val="18"/>
          <w:szCs w:val="18"/>
        </w:rPr>
        <w:t xml:space="preserve"> (showing that patients moving from areas of the country with less resource-intensive practice to areas with more resource-intensive practice styles experience increases in diagnosed conditions and utilization of care, including imaging, though the patients’ own demand for care would not have changed).</w:t>
      </w:r>
      <w:r w:rsidR="00876CC9" w:rsidRPr="00804A4E">
        <w:rPr>
          <w:rFonts w:ascii="Franklin Gothic Book" w:hAnsi="Franklin Gothic Book" w:cs="Times New Roman"/>
          <w:sz w:val="18"/>
          <w:szCs w:val="18"/>
        </w:rPr>
        <w:t xml:space="preserve"> </w:t>
      </w:r>
    </w:p>
  </w:footnote>
  <w:footnote w:id="143">
    <w:p w14:paraId="5259A3CD" w14:textId="304ADB6C"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hyperlink w:anchor="Section_IVA" w:history="1">
        <w:r w:rsidRPr="00804A4E">
          <w:rPr>
            <w:rStyle w:val="Hyperlink"/>
            <w:rFonts w:ascii="Franklin Gothic Book" w:hAnsi="Franklin Gothic Book" w:cs="Times New Roman"/>
            <w:sz w:val="18"/>
            <w:szCs w:val="18"/>
          </w:rPr>
          <w:t>Appendix IV.</w:t>
        </w:r>
        <w:r w:rsidR="00ED51F4" w:rsidRPr="00804A4E">
          <w:rPr>
            <w:rStyle w:val="Hyperlink"/>
            <w:rFonts w:ascii="Franklin Gothic Book" w:hAnsi="Franklin Gothic Book" w:cs="Times New Roman"/>
            <w:sz w:val="18"/>
            <w:szCs w:val="18"/>
          </w:rPr>
          <w:t>A</w:t>
        </w:r>
      </w:hyperlink>
      <w:r w:rsidR="009D2E4B" w:rsidRPr="00804A4E">
        <w:rPr>
          <w:rStyle w:val="Hyperlink"/>
          <w:rFonts w:ascii="Franklin Gothic Book" w:hAnsi="Franklin Gothic Book" w:cs="Times New Roman"/>
          <w:color w:val="auto"/>
          <w:sz w:val="18"/>
          <w:szCs w:val="18"/>
          <w:u w:val="none"/>
        </w:rPr>
        <w:t>.</w:t>
      </w:r>
    </w:p>
  </w:footnote>
  <w:footnote w:id="144">
    <w:p w14:paraId="65A6E458" w14:textId="5D0073CF"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UMass Donahue Institute population projections (2018), </w:t>
      </w:r>
      <w:r w:rsidR="006D6E58">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58" w:history="1">
        <w:r w:rsidR="006D6E58">
          <w:rPr>
            <w:rStyle w:val="Hyperlink"/>
            <w:rFonts w:ascii="Franklin Gothic Book" w:hAnsi="Franklin Gothic Book" w:cs="Times New Roman"/>
            <w:sz w:val="18"/>
            <w:szCs w:val="18"/>
          </w:rPr>
          <w:t>at https://donahue.umass.edu/business-groups/economic-public-policy-research/massachusetts-population-estimates-program/population-projections</w:t>
        </w:r>
      </w:hyperlink>
      <w:r w:rsidRPr="00804A4E">
        <w:rPr>
          <w:rFonts w:ascii="Franklin Gothic Book" w:hAnsi="Franklin Gothic Book" w:cs="Times New Roman"/>
          <w:sz w:val="18"/>
          <w:szCs w:val="18"/>
        </w:rPr>
        <w:t>.</w:t>
      </w:r>
    </w:p>
  </w:footnote>
  <w:footnote w:id="145">
    <w:p w14:paraId="4E92E5AD" w14:textId="53EEAA89"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B87174">
        <w:rPr>
          <w:rFonts w:ascii="Franklin Gothic Book" w:hAnsi="Franklin Gothic Book" w:cs="Times New Roman"/>
          <w:i/>
          <w:iCs/>
          <w:sz w:val="18"/>
          <w:szCs w:val="18"/>
        </w:rPr>
        <w:t xml:space="preserve">See </w:t>
      </w:r>
      <w:hyperlink w:anchor="Appendix_IVA" w:history="1">
        <w:r w:rsidRPr="00804A4E">
          <w:rPr>
            <w:rStyle w:val="Hyperlink"/>
            <w:rFonts w:ascii="Franklin Gothic Book" w:hAnsi="Franklin Gothic Book" w:cs="Times New Roman"/>
            <w:sz w:val="18"/>
            <w:szCs w:val="18"/>
          </w:rPr>
          <w:t>Appendix IV.A</w:t>
        </w:r>
      </w:hyperlink>
      <w:r w:rsidR="009023FA" w:rsidRPr="00804A4E">
        <w:rPr>
          <w:rStyle w:val="Hyperlink"/>
          <w:rFonts w:ascii="Franklin Gothic Book" w:hAnsi="Franklin Gothic Book" w:cs="Times New Roman"/>
          <w:color w:val="auto"/>
          <w:sz w:val="18"/>
          <w:szCs w:val="18"/>
          <w:u w:val="none"/>
        </w:rPr>
        <w:t>.</w:t>
      </w:r>
    </w:p>
  </w:footnote>
  <w:footnote w:id="146">
    <w:p w14:paraId="7481F24A" w14:textId="554B6DA4"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w:t>
      </w:r>
      <w:r w:rsidR="00D72996" w:rsidRPr="00804A4E">
        <w:rPr>
          <w:rFonts w:ascii="Franklin Gothic Book" w:hAnsi="Franklin Gothic Book" w:cs="Times New Roman"/>
          <w:sz w:val="18"/>
          <w:szCs w:val="18"/>
        </w:rPr>
        <w:t>h</w:t>
      </w:r>
      <w:r w:rsidRPr="00804A4E">
        <w:rPr>
          <w:rFonts w:ascii="Franklin Gothic Book" w:hAnsi="Franklin Gothic Book" w:cs="Times New Roman"/>
          <w:sz w:val="18"/>
          <w:szCs w:val="18"/>
        </w:rPr>
        <w:t xml:space="preserve">ospital </w:t>
      </w:r>
      <w:r w:rsidR="00D72996" w:rsidRPr="00804A4E">
        <w:rPr>
          <w:rFonts w:ascii="Franklin Gothic Book" w:hAnsi="Franklin Gothic Book" w:cs="Times New Roman"/>
          <w:sz w:val="18"/>
          <w:szCs w:val="18"/>
        </w:rPr>
        <w:t>d</w:t>
      </w:r>
      <w:r w:rsidRPr="00804A4E">
        <w:rPr>
          <w:rFonts w:ascii="Franklin Gothic Book" w:hAnsi="Franklin Gothic Book" w:cs="Times New Roman"/>
          <w:sz w:val="18"/>
          <w:szCs w:val="18"/>
        </w:rPr>
        <w:t xml:space="preserve">ischarge </w:t>
      </w:r>
      <w:r w:rsidR="00D72996" w:rsidRPr="00804A4E">
        <w:rPr>
          <w:rFonts w:ascii="Franklin Gothic Book" w:hAnsi="Franklin Gothic Book" w:cs="Times New Roman"/>
          <w:sz w:val="18"/>
          <w:szCs w:val="18"/>
        </w:rPr>
        <w:t>d</w:t>
      </w:r>
      <w:r w:rsidRPr="00804A4E">
        <w:rPr>
          <w:rFonts w:ascii="Franklin Gothic Book" w:hAnsi="Franklin Gothic Book" w:cs="Times New Roman"/>
          <w:sz w:val="18"/>
          <w:szCs w:val="18"/>
        </w:rPr>
        <w:t>ata</w:t>
      </w:r>
      <w:r w:rsidR="00AE6578"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2009-2019.</w:t>
      </w:r>
    </w:p>
  </w:footnote>
  <w:footnote w:id="147">
    <w:p w14:paraId="3838F5EC" w14:textId="5B9B3D51"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34</w:t>
      </w:r>
      <w:r w:rsidR="009023FA" w:rsidRPr="00804A4E">
        <w:rPr>
          <w:rFonts w:ascii="Franklin Gothic Book" w:hAnsi="Franklin Gothic Book" w:cs="Times New Roman"/>
          <w:sz w:val="18"/>
          <w:szCs w:val="18"/>
        </w:rPr>
        <w:t>.</w:t>
      </w:r>
    </w:p>
  </w:footnote>
  <w:footnote w:id="148">
    <w:p w14:paraId="7C3F2E15" w14:textId="34A1F081"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e.g.,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45 (</w:t>
      </w:r>
      <w:r w:rsidR="00B2406A" w:rsidRPr="00804A4E">
        <w:rPr>
          <w:rFonts w:ascii="Franklin Gothic Book" w:hAnsi="Franklin Gothic Book" w:cs="Times New Roman"/>
          <w:sz w:val="18"/>
          <w:szCs w:val="18"/>
        </w:rPr>
        <w:t>The ICA</w:t>
      </w:r>
      <w:r w:rsidRPr="00804A4E">
        <w:rPr>
          <w:rFonts w:ascii="Franklin Gothic Book" w:hAnsi="Franklin Gothic Book" w:cs="Times New Roman"/>
          <w:sz w:val="18"/>
          <w:szCs w:val="18"/>
        </w:rPr>
        <w:t xml:space="preserve"> projects growth in CT volume of 16% based on demographic growth while MGB projects growth of 77%).</w:t>
      </w:r>
    </w:p>
  </w:footnote>
  <w:footnote w:id="149">
    <w:p w14:paraId="1ED7C32F" w14:textId="2E91AA99"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MGB Internal Document Disclosures</w:t>
      </w:r>
      <w:r w:rsidR="008C1F49" w:rsidRPr="00804A4E">
        <w:rPr>
          <w:rFonts w:ascii="Franklin Gothic Book" w:hAnsi="Franklin Gothic Book" w:cs="Times New Roman"/>
          <w:sz w:val="18"/>
          <w:szCs w:val="18"/>
        </w:rPr>
        <w:t xml:space="preserve"> </w:t>
      </w:r>
      <w:r w:rsidR="008C1F49" w:rsidRPr="00804A4E">
        <w:rPr>
          <w:rFonts w:ascii="Franklin Gothic Book" w:hAnsi="Franklin Gothic Book" w:cs="Times New Roman"/>
          <w:i/>
          <w:iCs/>
          <w:sz w:val="18"/>
          <w:szCs w:val="18"/>
        </w:rPr>
        <w:t xml:space="preserve">supra </w:t>
      </w:r>
      <w:r w:rsidR="00000AD3" w:rsidRPr="00804A4E">
        <w:rPr>
          <w:rFonts w:ascii="Franklin Gothic Book" w:hAnsi="Franklin Gothic Book" w:cs="Times New Roman"/>
          <w:sz w:val="18"/>
          <w:szCs w:val="18"/>
        </w:rPr>
        <w:t>n</w:t>
      </w:r>
      <w:r w:rsidR="008C1F49" w:rsidRPr="00804A4E">
        <w:rPr>
          <w:rFonts w:ascii="Franklin Gothic Book" w:hAnsi="Franklin Gothic Book" w:cs="Times New Roman"/>
          <w:sz w:val="18"/>
          <w:szCs w:val="18"/>
        </w:rPr>
        <w:t>ote</w:t>
      </w:r>
      <w:r w:rsidR="00D21C70" w:rsidRPr="00804A4E">
        <w:rPr>
          <w:rFonts w:ascii="Franklin Gothic Book" w:hAnsi="Franklin Gothic Book" w:cs="Times New Roman"/>
          <w:sz w:val="18"/>
          <w:szCs w:val="18"/>
        </w:rPr>
        <w:t xml:space="preserve"> </w:t>
      </w:r>
      <w:r w:rsidR="00000AD3" w:rsidRPr="00804A4E">
        <w:rPr>
          <w:rFonts w:ascii="Franklin Gothic Book" w:hAnsi="Franklin Gothic Book" w:cs="Times New Roman"/>
          <w:sz w:val="18"/>
          <w:szCs w:val="18"/>
        </w:rPr>
        <w:fldChar w:fldCharType="begin"/>
      </w:r>
      <w:r w:rsidR="00000AD3" w:rsidRPr="00804A4E">
        <w:rPr>
          <w:rFonts w:ascii="Franklin Gothic Book" w:hAnsi="Franklin Gothic Book" w:cs="Times New Roman"/>
          <w:sz w:val="18"/>
          <w:szCs w:val="18"/>
        </w:rPr>
        <w:instrText xml:space="preserve"> NOTEREF _Ref93071831 \h </w:instrText>
      </w:r>
      <w:r w:rsidR="00804A4E" w:rsidRPr="00804A4E">
        <w:rPr>
          <w:rFonts w:ascii="Franklin Gothic Book" w:hAnsi="Franklin Gothic Book" w:cs="Times New Roman"/>
          <w:sz w:val="18"/>
          <w:szCs w:val="18"/>
        </w:rPr>
        <w:instrText xml:space="preserve"> \* MERGEFORMAT </w:instrText>
      </w:r>
      <w:r w:rsidR="00000AD3" w:rsidRPr="00804A4E">
        <w:rPr>
          <w:rFonts w:ascii="Franklin Gothic Book" w:hAnsi="Franklin Gothic Book" w:cs="Times New Roman"/>
          <w:sz w:val="18"/>
          <w:szCs w:val="18"/>
        </w:rPr>
      </w:r>
      <w:r w:rsidR="00000A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00000AD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50">
    <w:p w14:paraId="5F0F11D3" w14:textId="35535F41"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Narrative,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3A2EB2"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attachments B-1 through B-3.</w:t>
      </w:r>
    </w:p>
  </w:footnote>
  <w:footnote w:id="151">
    <w:p w14:paraId="602BAFD4" w14:textId="77777777"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Id.</w:t>
      </w:r>
      <w:r w:rsidRPr="00804A4E">
        <w:rPr>
          <w:rFonts w:ascii="Franklin Gothic Book" w:hAnsi="Franklin Gothic Book" w:cs="Times New Roman"/>
          <w:sz w:val="18"/>
          <w:szCs w:val="18"/>
        </w:rPr>
        <w:t xml:space="preserve"> at Attachment B-1 at 177, Attachment B-2 at 291, Attachment B-3 at 408. Of the 41 communities that make up the three service areas, only one, Hyde Park, had a median household income below the statewide average. Furthermore, when the HPC limited the comparison to median income in Eastern Massachusetts – which is higher than the statewide median – we found that only three additional communities in the proposed service areas fell below the median (Framingham, Marlborough, and Milford). </w:t>
      </w:r>
    </w:p>
  </w:footnote>
  <w:footnote w:id="152">
    <w:p w14:paraId="0705529A" w14:textId="1994E2F8"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Id.</w:t>
      </w:r>
      <w:r w:rsidRPr="00804A4E">
        <w:rPr>
          <w:rFonts w:ascii="Franklin Gothic Book" w:hAnsi="Franklin Gothic Book" w:cs="Times New Roman"/>
          <w:sz w:val="18"/>
          <w:szCs w:val="18"/>
        </w:rPr>
        <w:t xml:space="preserve"> at Attachment B-1 at 11, Attachment B-2 at 11, Attachment B-3 at 10-11. The Westborough service area includes the greatest number of towns in which the number of residents identifying as “white, non-Hispanic” is lower than the state average. The Ambulatory ICA also indicates that residents of each of the proposed service areas who use ambulatory surgery and advanced imaging services tend to identify as white. Ambulatory IC</w:t>
      </w:r>
      <w:r w:rsidR="003A2EB2" w:rsidRPr="00804A4E">
        <w:rPr>
          <w:rFonts w:ascii="Franklin Gothic Book" w:hAnsi="Franklin Gothic Book" w:cs="Times New Roman"/>
          <w:sz w:val="18"/>
          <w:szCs w:val="18"/>
        </w:rPr>
        <w:t>A</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3D7ED5">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ICC1 and ICC3.</w:t>
      </w:r>
    </w:p>
  </w:footnote>
  <w:footnote w:id="153">
    <w:p w14:paraId="7416837B" w14:textId="7FD40F8B"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hyperlink w:anchor="Appendix_IVB" w:history="1">
        <w:r w:rsidRPr="003D7ED5">
          <w:rPr>
            <w:rStyle w:val="Hyperlink"/>
            <w:rFonts w:ascii="Franklin Gothic Book" w:hAnsi="Franklin Gothic Book" w:cs="Times New Roman"/>
            <w:i/>
            <w:iCs/>
            <w:color w:val="auto"/>
            <w:sz w:val="18"/>
            <w:szCs w:val="18"/>
            <w:u w:val="none"/>
          </w:rPr>
          <w:t xml:space="preserve">See </w:t>
        </w:r>
        <w:r w:rsidRPr="00804A4E">
          <w:rPr>
            <w:rStyle w:val="Hyperlink"/>
            <w:rFonts w:ascii="Franklin Gothic Book" w:hAnsi="Franklin Gothic Book" w:cs="Times New Roman"/>
            <w:sz w:val="18"/>
            <w:szCs w:val="18"/>
          </w:rPr>
          <w:t>Appendix IV.</w:t>
        </w:r>
        <w:r w:rsidR="00946527" w:rsidRPr="00804A4E">
          <w:rPr>
            <w:rStyle w:val="Hyperlink"/>
            <w:rFonts w:ascii="Franklin Gothic Book" w:hAnsi="Franklin Gothic Book" w:cs="Times New Roman"/>
            <w:sz w:val="18"/>
            <w:szCs w:val="18"/>
          </w:rPr>
          <w:t>B</w:t>
        </w:r>
        <w:r w:rsidRPr="00804A4E">
          <w:rPr>
            <w:rStyle w:val="Hyperlink"/>
            <w:rFonts w:ascii="Franklin Gothic Book" w:hAnsi="Franklin Gothic Book" w:cs="Times New Roman"/>
            <w:color w:val="auto"/>
            <w:sz w:val="18"/>
            <w:szCs w:val="18"/>
            <w:u w:val="none"/>
          </w:rPr>
          <w:t>.</w:t>
        </w:r>
      </w:hyperlink>
      <w:r w:rsidRPr="00804A4E">
        <w:rPr>
          <w:rFonts w:ascii="Franklin Gothic Book" w:hAnsi="Franklin Gothic Book" w:cs="Times New Roman"/>
          <w:sz w:val="18"/>
          <w:szCs w:val="18"/>
        </w:rPr>
        <w:t xml:space="preserve"> </w:t>
      </w:r>
    </w:p>
  </w:footnote>
  <w:footnote w:id="154">
    <w:p w14:paraId="1EBEFAA6" w14:textId="18FB15AC"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Ambulatory ICA similarly identified high proportions of commercial insured patients and low proportions of patients with MassHealth coverage among patients receiving ambulatory surgery and advanced imaging in the ambulatory service areas.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3D7ED5">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ICC1 and ICC3.</w:t>
      </w:r>
    </w:p>
  </w:footnote>
  <w:footnote w:id="155">
    <w:p w14:paraId="1FA27A9D" w14:textId="3FACAE14" w:rsidR="003C3793" w:rsidRPr="00804A4E" w:rsidRDefault="003C3793" w:rsidP="00142DCC">
      <w:pPr>
        <w:widowControl w:val="0"/>
        <w:rPr>
          <w:rFonts w:ascii="Franklin Gothic Book" w:eastAsia="Times New Roman"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Research also suggests that ASCs generally are less likely to serve Black patients, patients with public health insurance, and patients of lower socio-economic status (despite greater access barriers to care for these patients).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w:t>
      </w:r>
      <w:r w:rsidRPr="00804A4E">
        <w:rPr>
          <w:rFonts w:ascii="Franklin Gothic Book" w:hAnsi="Franklin Gothic Book" w:cs="Times New Roman"/>
          <w:i/>
          <w:iCs/>
          <w:sz w:val="18"/>
          <w:szCs w:val="18"/>
        </w:rPr>
        <w:t xml:space="preserve"> e.g.</w:t>
      </w:r>
      <w:r w:rsidRPr="00804A4E">
        <w:rPr>
          <w:rFonts w:ascii="Franklin Gothic Book" w:hAnsi="Franklin Gothic Book" w:cs="Times New Roman"/>
          <w:sz w:val="18"/>
          <w:szCs w:val="18"/>
        </w:rPr>
        <w:t>,</w:t>
      </w:r>
      <w:r w:rsidRPr="00804A4E">
        <w:rPr>
          <w:rFonts w:ascii="Franklin Gothic Book" w:eastAsia="Times New Roman" w:hAnsi="Franklin Gothic Book" w:cs="Times New Roman"/>
          <w:sz w:val="18"/>
          <w:szCs w:val="18"/>
        </w:rPr>
        <w:t xml:space="preserve"> </w:t>
      </w:r>
      <w:r w:rsidR="00AE6578" w:rsidRPr="00804A4E">
        <w:rPr>
          <w:rFonts w:ascii="Franklin Gothic Book" w:eastAsia="Times New Roman" w:hAnsi="Franklin Gothic Book" w:cs="Times New Roman"/>
          <w:sz w:val="18"/>
          <w:szCs w:val="18"/>
        </w:rPr>
        <w:t>Megan G. Janeway et al,</w:t>
      </w:r>
      <w:r w:rsidRPr="00804A4E">
        <w:rPr>
          <w:rFonts w:ascii="Franklin Gothic Book" w:eastAsia="Times New Roman" w:hAnsi="Franklin Gothic Book" w:cs="Times New Roman"/>
          <w:sz w:val="18"/>
          <w:szCs w:val="18"/>
        </w:rPr>
        <w:t xml:space="preserve"> </w:t>
      </w:r>
      <w:r w:rsidRPr="00804A4E">
        <w:rPr>
          <w:rFonts w:ascii="Franklin Gothic Book" w:eastAsia="Times New Roman" w:hAnsi="Franklin Gothic Book" w:cs="Times New Roman"/>
          <w:i/>
          <w:iCs/>
          <w:sz w:val="18"/>
          <w:szCs w:val="18"/>
        </w:rPr>
        <w:t>Association of Race, Health Insurance Status, and Household Income With Location and Outcomes of Ambulatory Surgery Among Adult Patients in 2 US States</w:t>
      </w:r>
      <w:r w:rsidR="00AE6578" w:rsidRPr="00804A4E">
        <w:rPr>
          <w:rFonts w:ascii="Franklin Gothic Book" w:eastAsia="Times New Roman" w:hAnsi="Franklin Gothic Book" w:cs="Times New Roman"/>
          <w:sz w:val="18"/>
          <w:szCs w:val="18"/>
        </w:rPr>
        <w:t xml:space="preserve">, </w:t>
      </w:r>
      <w:r w:rsidR="007C243E" w:rsidRPr="00804A4E">
        <w:rPr>
          <w:rFonts w:ascii="Franklin Gothic Book" w:eastAsia="Times New Roman" w:hAnsi="Franklin Gothic Book" w:cs="Times New Roman"/>
          <w:sz w:val="18"/>
          <w:szCs w:val="18"/>
        </w:rPr>
        <w:t xml:space="preserve">55 </w:t>
      </w:r>
      <w:r w:rsidRPr="00804A4E">
        <w:rPr>
          <w:rFonts w:ascii="Franklin Gothic Book" w:eastAsia="Times New Roman" w:hAnsi="Franklin Gothic Book" w:cs="Times New Roman"/>
          <w:smallCaps/>
          <w:sz w:val="18"/>
          <w:szCs w:val="18"/>
        </w:rPr>
        <w:t xml:space="preserve">JAMA </w:t>
      </w:r>
      <w:r w:rsidR="007C243E" w:rsidRPr="00804A4E">
        <w:rPr>
          <w:rFonts w:ascii="Franklin Gothic Book" w:eastAsia="Times New Roman" w:hAnsi="Franklin Gothic Book" w:cs="Times New Roman"/>
          <w:smallCaps/>
          <w:sz w:val="18"/>
          <w:szCs w:val="18"/>
        </w:rPr>
        <w:t>Surgery</w:t>
      </w:r>
      <w:r w:rsidRPr="00804A4E">
        <w:rPr>
          <w:rFonts w:ascii="Franklin Gothic Book" w:eastAsia="Times New Roman" w:hAnsi="Franklin Gothic Book" w:cs="Times New Roman"/>
          <w:sz w:val="18"/>
          <w:szCs w:val="18"/>
        </w:rPr>
        <w:t xml:space="preserve"> </w:t>
      </w:r>
      <w:r w:rsidR="007C243E" w:rsidRPr="00804A4E">
        <w:rPr>
          <w:rFonts w:ascii="Franklin Gothic Book" w:eastAsia="Times New Roman" w:hAnsi="Franklin Gothic Book" w:cs="Times New Roman"/>
          <w:sz w:val="18"/>
          <w:szCs w:val="18"/>
        </w:rPr>
        <w:t>1123 (Dec</w:t>
      </w:r>
      <w:r w:rsidR="009023FA" w:rsidRPr="00804A4E">
        <w:rPr>
          <w:rFonts w:ascii="Franklin Gothic Book" w:eastAsia="Times New Roman" w:hAnsi="Franklin Gothic Book" w:cs="Times New Roman"/>
          <w:sz w:val="18"/>
          <w:szCs w:val="18"/>
        </w:rPr>
        <w:t>.</w:t>
      </w:r>
      <w:r w:rsidR="007C243E" w:rsidRPr="00804A4E">
        <w:rPr>
          <w:rFonts w:ascii="Franklin Gothic Book" w:eastAsia="Times New Roman" w:hAnsi="Franklin Gothic Book" w:cs="Times New Roman"/>
          <w:sz w:val="18"/>
          <w:szCs w:val="18"/>
        </w:rPr>
        <w:t xml:space="preserve"> 2020), </w:t>
      </w:r>
      <w:r w:rsidR="000301FB">
        <w:rPr>
          <w:rFonts w:ascii="Franklin Gothic Book" w:eastAsia="Times New Roman" w:hAnsi="Franklin Gothic Book" w:cs="Times New Roman"/>
          <w:i/>
          <w:iCs/>
          <w:sz w:val="18"/>
          <w:szCs w:val="18"/>
        </w:rPr>
        <w:t>available</w:t>
      </w:r>
      <w:r w:rsidR="007C243E" w:rsidRPr="00804A4E">
        <w:rPr>
          <w:rFonts w:ascii="Franklin Gothic Book" w:eastAsia="Times New Roman" w:hAnsi="Franklin Gothic Book" w:cs="Times New Roman"/>
          <w:sz w:val="18"/>
          <w:szCs w:val="18"/>
        </w:rPr>
        <w:t xml:space="preserve"> </w:t>
      </w:r>
      <w:hyperlink r:id="rId59" w:history="1">
        <w:r w:rsidR="000301FB">
          <w:rPr>
            <w:rStyle w:val="Hyperlink"/>
            <w:rFonts w:ascii="Franklin Gothic Book" w:eastAsia="Times New Roman" w:hAnsi="Franklin Gothic Book" w:cs="Times New Roman"/>
            <w:sz w:val="18"/>
            <w:szCs w:val="18"/>
          </w:rPr>
          <w:t>at https://doi.org/10.1001/jamasurg.2020.3318</w:t>
        </w:r>
      </w:hyperlink>
      <w:r w:rsidR="007C243E" w:rsidRPr="00804A4E">
        <w:rPr>
          <w:rFonts w:ascii="Franklin Gothic Book" w:eastAsia="Times New Roman" w:hAnsi="Franklin Gothic Book" w:cs="Times New Roman"/>
          <w:sz w:val="18"/>
          <w:szCs w:val="18"/>
        </w:rPr>
        <w:t>; Seth A. Strope</w:t>
      </w:r>
      <w:r w:rsidRPr="00804A4E">
        <w:rPr>
          <w:rFonts w:ascii="Franklin Gothic Book" w:eastAsia="Times New Roman" w:hAnsi="Franklin Gothic Book" w:cs="Times New Roman"/>
          <w:sz w:val="18"/>
          <w:szCs w:val="18"/>
        </w:rPr>
        <w:t> et al.</w:t>
      </w:r>
      <w:r w:rsidR="007C243E" w:rsidRPr="00804A4E">
        <w:rPr>
          <w:rFonts w:ascii="Franklin Gothic Book" w:eastAsia="Times New Roman" w:hAnsi="Franklin Gothic Book" w:cs="Times New Roman"/>
          <w:sz w:val="18"/>
          <w:szCs w:val="18"/>
        </w:rPr>
        <w:t>,</w:t>
      </w:r>
      <w:r w:rsidRPr="00804A4E">
        <w:rPr>
          <w:rFonts w:ascii="Franklin Gothic Book" w:eastAsia="Times New Roman" w:hAnsi="Franklin Gothic Book" w:cs="Times New Roman"/>
          <w:sz w:val="18"/>
          <w:szCs w:val="18"/>
        </w:rPr>
        <w:t> </w:t>
      </w:r>
      <w:r w:rsidRPr="00804A4E">
        <w:rPr>
          <w:rFonts w:ascii="Franklin Gothic Book" w:eastAsia="Times New Roman" w:hAnsi="Franklin Gothic Book" w:cs="Times New Roman"/>
          <w:i/>
          <w:iCs/>
          <w:sz w:val="18"/>
          <w:szCs w:val="18"/>
        </w:rPr>
        <w:t>Disparities in the use of ambulatory surgical centers: a cross sectional study</w:t>
      </w:r>
      <w:r w:rsidR="007C243E" w:rsidRPr="00804A4E">
        <w:rPr>
          <w:rFonts w:ascii="Franklin Gothic Book" w:eastAsia="Times New Roman" w:hAnsi="Franklin Gothic Book" w:cs="Times New Roman"/>
          <w:sz w:val="18"/>
          <w:szCs w:val="18"/>
        </w:rPr>
        <w:t xml:space="preserve">, 9 </w:t>
      </w:r>
      <w:r w:rsidR="007C243E" w:rsidRPr="00804A4E">
        <w:rPr>
          <w:rFonts w:ascii="Franklin Gothic Book" w:eastAsia="Times New Roman" w:hAnsi="Franklin Gothic Book" w:cs="Times New Roman"/>
          <w:smallCaps/>
          <w:sz w:val="18"/>
          <w:szCs w:val="18"/>
        </w:rPr>
        <w:t>BMC Health Services Research</w:t>
      </w:r>
      <w:r w:rsidR="007C243E" w:rsidRPr="00804A4E">
        <w:rPr>
          <w:rFonts w:ascii="Franklin Gothic Book" w:eastAsia="Times New Roman" w:hAnsi="Franklin Gothic Book" w:cs="Times New Roman"/>
          <w:sz w:val="18"/>
          <w:szCs w:val="18"/>
        </w:rPr>
        <w:t xml:space="preserve"> </w:t>
      </w:r>
      <w:r w:rsidRPr="00804A4E">
        <w:rPr>
          <w:rFonts w:ascii="Franklin Gothic Book" w:eastAsia="Times New Roman" w:hAnsi="Franklin Gothic Book" w:cs="Times New Roman"/>
          <w:sz w:val="18"/>
          <w:szCs w:val="18"/>
        </w:rPr>
        <w:t>(2009)</w:t>
      </w:r>
      <w:r w:rsidR="007C243E" w:rsidRPr="00804A4E">
        <w:rPr>
          <w:rFonts w:ascii="Franklin Gothic Book" w:eastAsia="Times New Roman" w:hAnsi="Franklin Gothic Book" w:cs="Times New Roman"/>
          <w:sz w:val="18"/>
          <w:szCs w:val="18"/>
        </w:rPr>
        <w:t xml:space="preserve">, </w:t>
      </w:r>
      <w:r w:rsidR="00212EEE">
        <w:rPr>
          <w:rFonts w:ascii="Franklin Gothic Book" w:eastAsia="Times New Roman" w:hAnsi="Franklin Gothic Book" w:cs="Times New Roman"/>
          <w:i/>
          <w:iCs/>
          <w:sz w:val="18"/>
          <w:szCs w:val="18"/>
        </w:rPr>
        <w:t>available</w:t>
      </w:r>
      <w:r w:rsidR="007C243E" w:rsidRPr="00804A4E">
        <w:rPr>
          <w:rFonts w:ascii="Franklin Gothic Book" w:eastAsia="Times New Roman" w:hAnsi="Franklin Gothic Book" w:cs="Times New Roman"/>
          <w:i/>
          <w:iCs/>
          <w:sz w:val="18"/>
          <w:szCs w:val="18"/>
        </w:rPr>
        <w:t xml:space="preserve"> </w:t>
      </w:r>
      <w:hyperlink r:id="rId60" w:history="1">
        <w:r w:rsidR="00212EEE">
          <w:rPr>
            <w:rStyle w:val="Hyperlink"/>
            <w:rFonts w:ascii="Franklin Gothic Book" w:eastAsia="Times New Roman" w:hAnsi="Franklin Gothic Book" w:cs="Times New Roman"/>
            <w:sz w:val="18"/>
            <w:szCs w:val="18"/>
          </w:rPr>
          <w:t>at https://doi.org/10.1186/1472-6963-9-121</w:t>
        </w:r>
      </w:hyperlink>
      <w:r w:rsidRPr="00804A4E">
        <w:rPr>
          <w:rStyle w:val="Hyperlink"/>
          <w:rFonts w:ascii="Franklin Gothic Book" w:eastAsia="Times New Roman" w:hAnsi="Franklin Gothic Book" w:cs="Times New Roman"/>
          <w:sz w:val="18"/>
          <w:szCs w:val="18"/>
        </w:rPr>
        <w:t xml:space="preserve">; </w:t>
      </w:r>
      <w:r w:rsidR="00901CD3" w:rsidRPr="00804A4E">
        <w:rPr>
          <w:rFonts w:ascii="Franklin Gothic Book" w:eastAsia="Times New Roman" w:hAnsi="Franklin Gothic Book" w:cs="Times New Roman"/>
          <w:sz w:val="18"/>
          <w:szCs w:val="18"/>
        </w:rPr>
        <w:t xml:space="preserve">Awori Jeremiah Hayanga </w:t>
      </w:r>
      <w:r w:rsidRPr="00804A4E">
        <w:rPr>
          <w:rFonts w:ascii="Franklin Gothic Book" w:eastAsia="Times New Roman" w:hAnsi="Franklin Gothic Book" w:cs="Times New Roman"/>
          <w:sz w:val="18"/>
          <w:szCs w:val="18"/>
        </w:rPr>
        <w:t>et al</w:t>
      </w:r>
      <w:r w:rsidR="00901CD3" w:rsidRPr="00804A4E">
        <w:rPr>
          <w:rFonts w:ascii="Franklin Gothic Book" w:eastAsia="Times New Roman" w:hAnsi="Franklin Gothic Book" w:cs="Times New Roman"/>
          <w:sz w:val="18"/>
          <w:szCs w:val="18"/>
        </w:rPr>
        <w:t xml:space="preserve">, </w:t>
      </w:r>
      <w:r w:rsidRPr="00804A4E">
        <w:rPr>
          <w:rFonts w:ascii="Franklin Gothic Book" w:eastAsia="Times New Roman" w:hAnsi="Franklin Gothic Book" w:cs="Times New Roman"/>
          <w:i/>
          <w:iCs/>
          <w:sz w:val="18"/>
          <w:szCs w:val="18"/>
        </w:rPr>
        <w:t>Residential segregation and access to surgical care by minority populations in US counties</w:t>
      </w:r>
      <w:r w:rsidR="00901CD3" w:rsidRPr="00804A4E">
        <w:rPr>
          <w:rFonts w:ascii="Franklin Gothic Book" w:eastAsia="Times New Roman" w:hAnsi="Franklin Gothic Book" w:cs="Times New Roman"/>
          <w:sz w:val="18"/>
          <w:szCs w:val="18"/>
        </w:rPr>
        <w:t xml:space="preserve">, 208 </w:t>
      </w:r>
      <w:r w:rsidRPr="00804A4E">
        <w:rPr>
          <w:rFonts w:ascii="Franklin Gothic Book" w:eastAsia="Times New Roman" w:hAnsi="Franklin Gothic Book" w:cs="Times New Roman"/>
          <w:smallCaps/>
          <w:sz w:val="18"/>
          <w:szCs w:val="18"/>
        </w:rPr>
        <w:t>Journal of the American College of Surgeons</w:t>
      </w:r>
      <w:r w:rsidRPr="00804A4E">
        <w:rPr>
          <w:rFonts w:ascii="Franklin Gothic Book" w:eastAsia="Times New Roman" w:hAnsi="Franklin Gothic Book" w:cs="Times New Roman"/>
          <w:sz w:val="18"/>
          <w:szCs w:val="18"/>
        </w:rPr>
        <w:t xml:space="preserve"> </w:t>
      </w:r>
      <w:r w:rsidR="00901CD3" w:rsidRPr="00804A4E">
        <w:rPr>
          <w:rFonts w:ascii="Franklin Gothic Book" w:eastAsia="Times New Roman" w:hAnsi="Franklin Gothic Book" w:cs="Times New Roman"/>
          <w:sz w:val="18"/>
          <w:szCs w:val="18"/>
        </w:rPr>
        <w:t xml:space="preserve">1017 </w:t>
      </w:r>
      <w:r w:rsidRPr="00804A4E">
        <w:rPr>
          <w:rFonts w:ascii="Franklin Gothic Book" w:eastAsia="Times New Roman" w:hAnsi="Franklin Gothic Book" w:cs="Times New Roman"/>
          <w:sz w:val="18"/>
          <w:szCs w:val="18"/>
        </w:rPr>
        <w:t>(2009</w:t>
      </w:r>
      <w:r w:rsidR="00901CD3" w:rsidRPr="00804A4E">
        <w:rPr>
          <w:rFonts w:ascii="Franklin Gothic Book" w:eastAsia="Times New Roman" w:hAnsi="Franklin Gothic Book" w:cs="Times New Roman"/>
          <w:sz w:val="18"/>
          <w:szCs w:val="18"/>
        </w:rPr>
        <w:t xml:space="preserve">), </w:t>
      </w:r>
      <w:r w:rsidR="001A33FC">
        <w:rPr>
          <w:rFonts w:ascii="Franklin Gothic Book" w:eastAsia="Times New Roman" w:hAnsi="Franklin Gothic Book" w:cs="Times New Roman"/>
          <w:i/>
          <w:iCs/>
          <w:sz w:val="18"/>
          <w:szCs w:val="18"/>
        </w:rPr>
        <w:t>available</w:t>
      </w:r>
      <w:r w:rsidR="00901CD3" w:rsidRPr="00804A4E">
        <w:rPr>
          <w:rFonts w:ascii="Franklin Gothic Book" w:eastAsia="Times New Roman" w:hAnsi="Franklin Gothic Book" w:cs="Times New Roman"/>
          <w:i/>
          <w:iCs/>
          <w:sz w:val="18"/>
          <w:szCs w:val="18"/>
        </w:rPr>
        <w:t xml:space="preserve"> </w:t>
      </w:r>
      <w:hyperlink r:id="rId61" w:history="1">
        <w:r w:rsidR="009212DD">
          <w:rPr>
            <w:rStyle w:val="Hyperlink"/>
            <w:rFonts w:ascii="Franklin Gothic Book" w:eastAsia="Times New Roman" w:hAnsi="Franklin Gothic Book" w:cs="Times New Roman"/>
            <w:sz w:val="18"/>
            <w:szCs w:val="18"/>
          </w:rPr>
          <w:t>at https://doi.org/10.1016/j.jamcollsurg.2009.01.047</w:t>
        </w:r>
      </w:hyperlink>
      <w:r w:rsidR="00342592" w:rsidRPr="00804A4E">
        <w:rPr>
          <w:rStyle w:val="Hyperlink"/>
          <w:rFonts w:ascii="Franklin Gothic Book" w:eastAsia="Times New Roman" w:hAnsi="Franklin Gothic Book" w:cs="Times New Roman"/>
          <w:color w:val="auto"/>
          <w:sz w:val="18"/>
          <w:szCs w:val="18"/>
          <w:u w:val="none"/>
        </w:rPr>
        <w:t>.</w:t>
      </w:r>
      <w:r w:rsidR="00901CD3" w:rsidRPr="00804A4E">
        <w:rPr>
          <w:rFonts w:ascii="Franklin Gothic Book" w:eastAsia="Times New Roman" w:hAnsi="Franklin Gothic Book" w:cs="Times New Roman"/>
          <w:sz w:val="18"/>
          <w:szCs w:val="18"/>
        </w:rPr>
        <w:t xml:space="preserve"> </w:t>
      </w:r>
    </w:p>
  </w:footnote>
  <w:footnote w:id="156">
    <w:p w14:paraId="37469760" w14:textId="3D64A17B"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e.g.</w:t>
      </w:r>
      <w:r w:rsidRPr="00804A4E">
        <w:rPr>
          <w:rFonts w:ascii="Franklin Gothic Book" w:hAnsi="Franklin Gothic Book" w:cs="Times New Roman"/>
          <w:sz w:val="18"/>
          <w:szCs w:val="18"/>
        </w:rPr>
        <w:t xml:space="preserve">, </w:t>
      </w:r>
      <w:r w:rsidR="00500F2F" w:rsidRPr="00804A4E">
        <w:rPr>
          <w:rFonts w:ascii="Franklin Gothic Book" w:hAnsi="Franklin Gothic Book" w:cs="Times New Roman"/>
          <w:sz w:val="18"/>
          <w:szCs w:val="18"/>
        </w:rPr>
        <w:t xml:space="preserve">Ambulatory Narrative, </w:t>
      </w:r>
      <w:r w:rsidR="00500F2F" w:rsidRPr="00804A4E">
        <w:rPr>
          <w:rFonts w:ascii="Franklin Gothic Book" w:hAnsi="Franklin Gothic Book" w:cs="Times New Roman"/>
          <w:i/>
          <w:iCs/>
          <w:sz w:val="18"/>
          <w:szCs w:val="18"/>
        </w:rPr>
        <w:t>supra</w:t>
      </w:r>
      <w:r w:rsidR="00500F2F" w:rsidRPr="00804A4E">
        <w:rPr>
          <w:rFonts w:ascii="Franklin Gothic Book" w:hAnsi="Franklin Gothic Book" w:cs="Times New Roman"/>
          <w:sz w:val="18"/>
          <w:szCs w:val="18"/>
        </w:rPr>
        <w:t xml:space="preserve"> note </w:t>
      </w:r>
      <w:r w:rsidR="007A5C53" w:rsidRPr="00804A4E">
        <w:rPr>
          <w:rFonts w:ascii="Franklin Gothic Book" w:hAnsi="Franklin Gothic Book" w:cs="Times New Roman"/>
          <w:sz w:val="18"/>
          <w:szCs w:val="18"/>
        </w:rPr>
        <w:fldChar w:fldCharType="begin"/>
      </w:r>
      <w:r w:rsidR="007A5C53" w:rsidRPr="00804A4E">
        <w:rPr>
          <w:rFonts w:ascii="Franklin Gothic Book" w:hAnsi="Franklin Gothic Book" w:cs="Times New Roman"/>
          <w:sz w:val="18"/>
          <w:szCs w:val="18"/>
        </w:rPr>
        <w:instrText xml:space="preserve"> NOTEREF _Ref93655328 \h </w:instrText>
      </w:r>
      <w:r w:rsidR="00804A4E" w:rsidRPr="00804A4E">
        <w:rPr>
          <w:rFonts w:ascii="Franklin Gothic Book" w:hAnsi="Franklin Gothic Book" w:cs="Times New Roman"/>
          <w:sz w:val="18"/>
          <w:szCs w:val="18"/>
        </w:rPr>
        <w:instrText xml:space="preserve"> \* MERGEFORMAT </w:instrText>
      </w:r>
      <w:r w:rsidR="007A5C53" w:rsidRPr="00804A4E">
        <w:rPr>
          <w:rFonts w:ascii="Franklin Gothic Book" w:hAnsi="Franklin Gothic Book" w:cs="Times New Roman"/>
          <w:sz w:val="18"/>
          <w:szCs w:val="18"/>
        </w:rPr>
      </w:r>
      <w:r w:rsidR="007A5C5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w:t>
      </w:r>
      <w:r w:rsidR="007A5C53" w:rsidRPr="00804A4E">
        <w:rPr>
          <w:rFonts w:ascii="Franklin Gothic Book" w:hAnsi="Franklin Gothic Book" w:cs="Times New Roman"/>
          <w:sz w:val="18"/>
          <w:szCs w:val="18"/>
        </w:rPr>
        <w:fldChar w:fldCharType="end"/>
      </w:r>
      <w:r w:rsidR="008840D4" w:rsidRPr="00804A4E">
        <w:rPr>
          <w:rFonts w:ascii="Franklin Gothic Book" w:hAnsi="Franklin Gothic Book" w:cs="Times New Roman"/>
          <w:sz w:val="18"/>
          <w:szCs w:val="18"/>
        </w:rPr>
        <w:t xml:space="preserve"> at</w:t>
      </w:r>
      <w:r w:rsidRPr="00804A4E">
        <w:rPr>
          <w:rFonts w:ascii="Franklin Gothic Book" w:hAnsi="Franklin Gothic Book" w:cs="Times New Roman"/>
          <w:sz w:val="18"/>
          <w:szCs w:val="18"/>
        </w:rPr>
        <w:t xml:space="preserve"> 33. MGB states that “To ensure health equity to all populations, including those deemed underserved, the Proposed Project will not adversely affect accessibility of services for poor, medically indigent, and/or Medicaid eligible individuals. The Applicant does not discriminate based on ability to pay or payer source and this practice will continue following implementation of the Proposed Project. As further detailed throughout this narrative, the Proposed Project will increase access to the Clinical Services for all of the Applicant’s patients.”</w:t>
      </w:r>
    </w:p>
  </w:footnote>
  <w:footnote w:id="157">
    <w:p w14:paraId="2A2A1C83" w14:textId="35E2B050"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 J.P. Morgan Presentation,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8654E3" w:rsidRPr="00804A4E">
        <w:rPr>
          <w:rFonts w:ascii="Franklin Gothic Book" w:hAnsi="Franklin Gothic Book" w:cs="Times New Roman"/>
          <w:sz w:val="18"/>
          <w:szCs w:val="18"/>
        </w:rPr>
        <w:fldChar w:fldCharType="begin"/>
      </w:r>
      <w:r w:rsidR="008654E3" w:rsidRPr="00804A4E">
        <w:rPr>
          <w:rFonts w:ascii="Franklin Gothic Book" w:hAnsi="Franklin Gothic Book" w:cs="Times New Roman"/>
          <w:sz w:val="18"/>
          <w:szCs w:val="18"/>
        </w:rPr>
        <w:instrText xml:space="preserve"> NOTEREF _Ref92966057 \h </w:instrText>
      </w:r>
      <w:r w:rsidR="00804A4E" w:rsidRPr="00804A4E">
        <w:rPr>
          <w:rFonts w:ascii="Franklin Gothic Book" w:hAnsi="Franklin Gothic Book" w:cs="Times New Roman"/>
          <w:sz w:val="18"/>
          <w:szCs w:val="18"/>
        </w:rPr>
        <w:instrText xml:space="preserve"> \* MERGEFORMAT </w:instrText>
      </w:r>
      <w:r w:rsidR="008654E3" w:rsidRPr="00804A4E">
        <w:rPr>
          <w:rFonts w:ascii="Franklin Gothic Book" w:hAnsi="Franklin Gothic Book" w:cs="Times New Roman"/>
          <w:sz w:val="18"/>
          <w:szCs w:val="18"/>
        </w:rPr>
      </w:r>
      <w:r w:rsidR="008654E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50</w:t>
      </w:r>
      <w:r w:rsidR="008654E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58">
    <w:p w14:paraId="2C9490E1" w14:textId="2FBAFFB5" w:rsidR="003C3793" w:rsidRPr="00804A4E" w:rsidRDefault="003C3793" w:rsidP="00142DCC">
      <w:pPr>
        <w:pStyle w:val="End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Mercer</w:t>
      </w:r>
      <w:r w:rsidR="00D26C51" w:rsidRPr="00804A4E">
        <w:rPr>
          <w:rFonts w:ascii="Franklin Gothic Book" w:hAnsi="Franklin Gothic Book" w:cs="Times New Roman"/>
          <w:sz w:val="18"/>
          <w:szCs w:val="18"/>
        </w:rPr>
        <w:t xml:space="preserve"> LLC</w:t>
      </w:r>
      <w:r w:rsidR="00F5513F"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US Health Care Labor Market</w:t>
      </w:r>
      <w:r w:rsidR="00F5513F" w:rsidRPr="00804A4E">
        <w:rPr>
          <w:rFonts w:ascii="Franklin Gothic Book" w:hAnsi="Franklin Gothic Book" w:cs="Times New Roman"/>
          <w:i/>
          <w:iCs/>
          <w:sz w:val="18"/>
          <w:szCs w:val="18"/>
        </w:rPr>
        <w:t xml:space="preserve"> </w:t>
      </w:r>
      <w:r w:rsidR="00F5513F" w:rsidRPr="00804A4E">
        <w:rPr>
          <w:rFonts w:ascii="Franklin Gothic Book" w:hAnsi="Franklin Gothic Book" w:cs="Times New Roman"/>
          <w:sz w:val="18"/>
          <w:szCs w:val="18"/>
        </w:rPr>
        <w:t>(</w:t>
      </w:r>
      <w:r w:rsidRPr="00804A4E">
        <w:rPr>
          <w:rFonts w:ascii="Franklin Gothic Book" w:hAnsi="Franklin Gothic Book" w:cs="Times New Roman"/>
          <w:sz w:val="18"/>
          <w:szCs w:val="18"/>
        </w:rPr>
        <w:t>2021</w:t>
      </w:r>
      <w:r w:rsidR="00F5513F" w:rsidRPr="00804A4E">
        <w:rPr>
          <w:rFonts w:ascii="Franklin Gothic Book" w:hAnsi="Franklin Gothic Book" w:cs="Times New Roman"/>
          <w:sz w:val="18"/>
          <w:szCs w:val="18"/>
        </w:rPr>
        <w:t>),</w:t>
      </w:r>
      <w:r w:rsidR="00F5513F" w:rsidRPr="00804A4E">
        <w:rPr>
          <w:rFonts w:ascii="Franklin Gothic Book" w:hAnsi="Franklin Gothic Book" w:cs="Times New Roman"/>
          <w:i/>
          <w:iCs/>
          <w:sz w:val="18"/>
          <w:szCs w:val="18"/>
        </w:rPr>
        <w:t xml:space="preserve"> a</w:t>
      </w:r>
      <w:r w:rsidR="00863785" w:rsidRPr="00804A4E">
        <w:rPr>
          <w:rFonts w:ascii="Franklin Gothic Book" w:hAnsi="Franklin Gothic Book" w:cs="Times New Roman"/>
          <w:i/>
          <w:iCs/>
          <w:sz w:val="18"/>
          <w:szCs w:val="18"/>
        </w:rPr>
        <w:t>vailable</w:t>
      </w:r>
      <w:r w:rsidRPr="00804A4E">
        <w:rPr>
          <w:rFonts w:ascii="Franklin Gothic Book" w:hAnsi="Franklin Gothic Book" w:cs="Times New Roman"/>
          <w:i/>
          <w:iCs/>
          <w:sz w:val="18"/>
          <w:szCs w:val="18"/>
        </w:rPr>
        <w:t xml:space="preserve"> </w:t>
      </w:r>
      <w:hyperlink r:id="rId62" w:history="1">
        <w:r w:rsidR="007E63DF">
          <w:rPr>
            <w:rStyle w:val="Hyperlink"/>
            <w:rFonts w:ascii="Franklin Gothic Book" w:hAnsi="Franklin Gothic Book" w:cs="Times New Roman"/>
            <w:sz w:val="18"/>
            <w:szCs w:val="18"/>
          </w:rPr>
          <w:t>at https://www.mercer.us/content/dam/mercer/assets/content-images/north-america/united-states/us-healthcare-news/us-2021-healthcare-labor-market-whitepaper.pdf</w:t>
        </w:r>
      </w:hyperlink>
      <w:r w:rsidR="00D26C51" w:rsidRPr="00804A4E">
        <w:rPr>
          <w:rStyle w:val="Hyperlink"/>
          <w:rFonts w:ascii="Franklin Gothic Book" w:hAnsi="Franklin Gothic Book" w:cs="Times New Roman"/>
          <w:color w:val="auto"/>
          <w:sz w:val="18"/>
          <w:szCs w:val="18"/>
          <w:u w:val="none"/>
        </w:rPr>
        <w:t>.</w:t>
      </w:r>
      <w:r w:rsidR="00863785" w:rsidRPr="00804A4E">
        <w:rPr>
          <w:rFonts w:ascii="Franklin Gothic Book" w:hAnsi="Franklin Gothic Book" w:cs="Times New Roman"/>
          <w:sz w:val="18"/>
          <w:szCs w:val="18"/>
        </w:rPr>
        <w:t xml:space="preserve"> </w:t>
      </w:r>
    </w:p>
  </w:footnote>
  <w:footnote w:id="159">
    <w:p w14:paraId="5A86BF8F" w14:textId="66E16D5E"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eastAsia="+mn-ea" w:hAnsi="Franklin Gothic Book" w:cs="Times New Roman"/>
          <w:kern w:val="24"/>
          <w:sz w:val="18"/>
          <w:szCs w:val="18"/>
        </w:rPr>
        <w:t xml:space="preserve">Taube at al., </w:t>
      </w:r>
      <w:r w:rsidRPr="00804A4E">
        <w:rPr>
          <w:rFonts w:ascii="Franklin Gothic Book" w:eastAsia="+mn-ea" w:hAnsi="Franklin Gothic Book" w:cs="Times New Roman"/>
          <w:smallCaps/>
          <w:kern w:val="24"/>
          <w:sz w:val="18"/>
          <w:szCs w:val="18"/>
        </w:rPr>
        <w:t>Harvard University</w:t>
      </w:r>
      <w:r w:rsidRPr="00804A4E">
        <w:rPr>
          <w:rFonts w:ascii="Franklin Gothic Book" w:eastAsia="+mn-ea" w:hAnsi="Franklin Gothic Book" w:cs="Times New Roman"/>
          <w:kern w:val="24"/>
          <w:sz w:val="18"/>
          <w:szCs w:val="18"/>
        </w:rPr>
        <w:t xml:space="preserve">, </w:t>
      </w:r>
      <w:r w:rsidRPr="00804A4E">
        <w:rPr>
          <w:rFonts w:ascii="Franklin Gothic Book" w:eastAsia="+mn-ea" w:hAnsi="Franklin Gothic Book" w:cs="Times New Roman"/>
          <w:i/>
          <w:iCs/>
          <w:kern w:val="24"/>
          <w:sz w:val="18"/>
          <w:szCs w:val="18"/>
        </w:rPr>
        <w:t>COVID-19 and the Changing Massachusetts Healthcare Workforce</w:t>
      </w:r>
      <w:r w:rsidRPr="00804A4E">
        <w:rPr>
          <w:rFonts w:ascii="Franklin Gothic Book" w:eastAsia="+mn-ea" w:hAnsi="Franklin Gothic Book" w:cs="Times New Roman"/>
          <w:kern w:val="24"/>
          <w:sz w:val="18"/>
          <w:szCs w:val="18"/>
        </w:rPr>
        <w:t xml:space="preserve"> (Sept. 2021), </w:t>
      </w:r>
      <w:r w:rsidR="000A1C14">
        <w:rPr>
          <w:rFonts w:ascii="Franklin Gothic Book" w:eastAsia="+mn-ea" w:hAnsi="Franklin Gothic Book" w:cs="Times New Roman"/>
          <w:i/>
          <w:iCs/>
          <w:kern w:val="24"/>
          <w:sz w:val="18"/>
          <w:szCs w:val="18"/>
        </w:rPr>
        <w:t>available</w:t>
      </w:r>
      <w:r w:rsidRPr="00804A4E">
        <w:rPr>
          <w:rFonts w:ascii="Franklin Gothic Book" w:eastAsia="+mn-ea" w:hAnsi="Franklin Gothic Book" w:cs="Times New Roman"/>
          <w:kern w:val="24"/>
          <w:sz w:val="18"/>
          <w:szCs w:val="18"/>
        </w:rPr>
        <w:t xml:space="preserve"> </w:t>
      </w:r>
      <w:hyperlink r:id="rId63" w:history="1">
        <w:r w:rsidR="000A1C14">
          <w:rPr>
            <w:rStyle w:val="Hyperlink"/>
            <w:rFonts w:ascii="Franklin Gothic Book" w:eastAsia="+mn-ea" w:hAnsi="Franklin Gothic Book" w:cs="Times New Roman"/>
            <w:kern w:val="24"/>
            <w:sz w:val="18"/>
            <w:szCs w:val="18"/>
          </w:rPr>
          <w:t>at https://www.pw.hks.harvard.edu/post/ma-healthcare-workforce</w:t>
        </w:r>
      </w:hyperlink>
      <w:r w:rsidRPr="00804A4E">
        <w:rPr>
          <w:rFonts w:ascii="Franklin Gothic Book" w:eastAsia="+mn-ea" w:hAnsi="Franklin Gothic Book" w:cs="Times New Roman"/>
          <w:kern w:val="24"/>
          <w:sz w:val="18"/>
          <w:szCs w:val="18"/>
        </w:rPr>
        <w:t xml:space="preserve"> (finding 1.</w:t>
      </w:r>
      <w:r w:rsidRPr="00804A4E">
        <w:rPr>
          <w:rFonts w:ascii="Franklin Gothic Book" w:hAnsi="Franklin Gothic Book" w:cs="Times New Roman"/>
          <w:sz w:val="18"/>
          <w:szCs w:val="18"/>
        </w:rPr>
        <w:t xml:space="preserve"> </w:t>
      </w:r>
      <w:r w:rsidRPr="00804A4E">
        <w:rPr>
          <w:rFonts w:ascii="Franklin Gothic Book" w:eastAsia="+mn-ea" w:hAnsi="Franklin Gothic Book" w:cs="Times New Roman"/>
          <w:kern w:val="24"/>
          <w:sz w:val="18"/>
          <w:szCs w:val="18"/>
        </w:rPr>
        <w:t xml:space="preserve">Massachusetts has faced shortages in the healthcare workforce for more than a decade. A number of factors have contributed to the shortages, including challenges in the recruitment and training pipeline, and the acceleration of job creation in the healthcare sector; 2. Existing shortages of critical care nurses and behavioral health care providers intensified during the pandemic; and 3. The pandemic interrupted health care workforce pipelines and increased attrition among existing workers. Attrition has been especially high among RNs). A recent survey by the Massachusetts Nursing Association found that 37% of nurses reported being more likely to leave the nursing profession sooner because of the pandemic. </w:t>
      </w:r>
      <w:r w:rsidRPr="00804A4E">
        <w:rPr>
          <w:rFonts w:ascii="Franklin Gothic Book" w:hAnsi="Franklin Gothic Book" w:cs="Times New Roman"/>
          <w:sz w:val="18"/>
          <w:szCs w:val="18"/>
        </w:rPr>
        <w:t xml:space="preserve">Massachusetts Nurses Association, </w:t>
      </w:r>
      <w:r w:rsidRPr="00804A4E">
        <w:rPr>
          <w:rFonts w:ascii="Franklin Gothic Book" w:hAnsi="Franklin Gothic Book" w:cs="Times New Roman"/>
          <w:i/>
          <w:iCs/>
          <w:sz w:val="18"/>
          <w:szCs w:val="18"/>
        </w:rPr>
        <w:t>As National Nurses Week Begins, ‘State of Nursing in Massachusetts’ Survey Shows Existing Quality of Care, Staffing and Safety Problems Worsened by Inadequate COVID-19 Preparedness and Lack of Support for Frontline Healthcare Workers</w:t>
      </w:r>
      <w:r w:rsidRPr="00804A4E">
        <w:rPr>
          <w:rFonts w:ascii="Franklin Gothic Book" w:hAnsi="Franklin Gothic Book" w:cs="Times New Roman"/>
          <w:sz w:val="18"/>
          <w:szCs w:val="18"/>
        </w:rPr>
        <w:t xml:space="preserve">, </w:t>
      </w:r>
      <w:r w:rsidR="000C2834" w:rsidRPr="00804A4E">
        <w:rPr>
          <w:rFonts w:ascii="Franklin Gothic Book" w:hAnsi="Franklin Gothic Book" w:cs="Times New Roman"/>
          <w:sz w:val="18"/>
          <w:szCs w:val="18"/>
        </w:rPr>
        <w:t xml:space="preserve">(May 6, 2021), </w:t>
      </w:r>
      <w:r w:rsidR="00331EFE">
        <w:rPr>
          <w:rFonts w:ascii="Franklin Gothic Book" w:hAnsi="Franklin Gothic Book" w:cs="Times New Roman"/>
          <w:i/>
          <w:iCs/>
          <w:sz w:val="18"/>
          <w:szCs w:val="18"/>
        </w:rPr>
        <w:t xml:space="preserve">available </w:t>
      </w:r>
      <w:hyperlink r:id="rId64" w:history="1">
        <w:r w:rsidR="00331EFE">
          <w:rPr>
            <w:rStyle w:val="Hyperlink"/>
            <w:rFonts w:ascii="Franklin Gothic Book" w:hAnsi="Franklin Gothic Book" w:cs="Times New Roman"/>
            <w:sz w:val="18"/>
            <w:szCs w:val="18"/>
          </w:rPr>
          <w:t>at https://www.massnurses.org/news-and-events/p/openItem/12063</w:t>
        </w:r>
      </w:hyperlink>
      <w:r w:rsidRPr="00804A4E">
        <w:rPr>
          <w:rFonts w:ascii="Franklin Gothic Book" w:hAnsi="Franklin Gothic Book" w:cs="Times New Roman"/>
          <w:sz w:val="18"/>
          <w:szCs w:val="18"/>
        </w:rPr>
        <w:t xml:space="preserve">. </w:t>
      </w:r>
      <w:r w:rsidRPr="00804A4E">
        <w:rPr>
          <w:rFonts w:ascii="Franklin Gothic Book" w:eastAsia="+mn-ea" w:hAnsi="Franklin Gothic Book" w:cs="Times New Roman"/>
          <w:kern w:val="24"/>
          <w:sz w:val="18"/>
          <w:szCs w:val="18"/>
        </w:rPr>
        <w:t xml:space="preserve">Every provider organization surveyed as part of the HPC’s 2021 Cost Trends Hearing pre-filed testimony acknowledged that COVID-19 exacerbated a health care workforce shortage, leaving providers with unprecedented vacancy rates and high levels of burnout. </w:t>
      </w:r>
      <w:r w:rsidRPr="00804A4E">
        <w:rPr>
          <w:rFonts w:ascii="Franklin Gothic Book" w:eastAsia="+mn-ea" w:hAnsi="Franklin Gothic Book" w:cs="Times New Roman"/>
          <w:i/>
          <w:iCs/>
          <w:kern w:val="24"/>
          <w:sz w:val="18"/>
          <w:szCs w:val="18"/>
        </w:rPr>
        <w:t>See</w:t>
      </w:r>
      <w:r w:rsidRPr="00804A4E">
        <w:rPr>
          <w:rFonts w:ascii="Franklin Gothic Book" w:eastAsia="+mn-ea" w:hAnsi="Franklin Gothic Book" w:cs="Times New Roman"/>
          <w:kern w:val="24"/>
          <w:sz w:val="18"/>
          <w:szCs w:val="18"/>
        </w:rPr>
        <w:t xml:space="preserve"> </w:t>
      </w:r>
      <w:r w:rsidRPr="00804A4E">
        <w:rPr>
          <w:rFonts w:ascii="Franklin Gothic Book" w:eastAsia="+mn-ea" w:hAnsi="Franklin Gothic Book" w:cs="Times New Roman"/>
          <w:smallCaps/>
          <w:kern w:val="24"/>
          <w:sz w:val="18"/>
          <w:szCs w:val="18"/>
        </w:rPr>
        <w:t>Mass. Health Policy Comm’n</w:t>
      </w:r>
      <w:r w:rsidRPr="00804A4E">
        <w:rPr>
          <w:rFonts w:ascii="Franklin Gothic Book" w:eastAsia="+mn-ea" w:hAnsi="Franklin Gothic Book" w:cs="Times New Roman"/>
          <w:kern w:val="24"/>
          <w:sz w:val="18"/>
          <w:szCs w:val="18"/>
        </w:rPr>
        <w:t xml:space="preserve">, </w:t>
      </w:r>
      <w:r w:rsidR="000C2834" w:rsidRPr="00804A4E">
        <w:rPr>
          <w:rFonts w:ascii="Franklin Gothic Book" w:eastAsia="+mn-ea" w:hAnsi="Franklin Gothic Book" w:cs="Times New Roman"/>
          <w:kern w:val="24"/>
          <w:sz w:val="18"/>
          <w:szCs w:val="18"/>
        </w:rPr>
        <w:t xml:space="preserve">Annual Cost Trends Hearing Testimony (2021), </w:t>
      </w:r>
      <w:r w:rsidR="00532C9A">
        <w:rPr>
          <w:rFonts w:ascii="Franklin Gothic Book" w:eastAsia="+mn-ea" w:hAnsi="Franklin Gothic Book" w:cs="Times New Roman"/>
          <w:i/>
          <w:iCs/>
          <w:kern w:val="24"/>
          <w:sz w:val="18"/>
          <w:szCs w:val="18"/>
        </w:rPr>
        <w:t xml:space="preserve">available </w:t>
      </w:r>
      <w:hyperlink r:id="rId65" w:history="1">
        <w:r w:rsidR="00532C9A">
          <w:rPr>
            <w:rStyle w:val="Hyperlink"/>
            <w:rFonts w:ascii="Franklin Gothic Book" w:eastAsia="+mn-ea" w:hAnsi="Franklin Gothic Book" w:cs="Times New Roman"/>
            <w:kern w:val="24"/>
            <w:sz w:val="18"/>
            <w:szCs w:val="18"/>
          </w:rPr>
          <w:t>at https://www.mass.gov/info-details/testimony-for-the-2021-health-care-cost-trends-hearing</w:t>
        </w:r>
      </w:hyperlink>
      <w:r w:rsidRPr="00804A4E">
        <w:rPr>
          <w:rFonts w:ascii="Franklin Gothic Book" w:eastAsia="+mn-ea" w:hAnsi="Franklin Gothic Book" w:cs="Times New Roman"/>
          <w:kern w:val="24"/>
          <w:sz w:val="18"/>
          <w:szCs w:val="18"/>
        </w:rPr>
        <w:t xml:space="preserve">. </w:t>
      </w:r>
    </w:p>
  </w:footnote>
  <w:footnote w:id="160">
    <w:p w14:paraId="7E6FB726" w14:textId="7758BCBE"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D27B6F" w:rsidRPr="00804A4E">
        <w:rPr>
          <w:rFonts w:ascii="Franklin Gothic Book" w:hAnsi="Franklin Gothic Book" w:cs="Times New Roman"/>
          <w:sz w:val="18"/>
          <w:szCs w:val="18"/>
        </w:rPr>
        <w:t>Travis Andersen</w:t>
      </w:r>
      <w:r w:rsidRPr="00804A4E">
        <w:rPr>
          <w:rFonts w:ascii="Franklin Gothic Book" w:hAnsi="Franklin Gothic Book" w:cs="Times New Roman"/>
          <w:sz w:val="18"/>
          <w:szCs w:val="18"/>
        </w:rPr>
        <w:t xml:space="preserve">, </w:t>
      </w:r>
      <w:r w:rsidR="00AF3151" w:rsidRPr="00804A4E">
        <w:rPr>
          <w:rFonts w:ascii="Franklin Gothic Book" w:hAnsi="Franklin Gothic Book" w:cs="Times New Roman"/>
          <w:i/>
          <w:iCs/>
          <w:sz w:val="18"/>
          <w:szCs w:val="18"/>
        </w:rPr>
        <w:t>Baker Administration Issues New Emergency Orders as Mass. Hospitals Struggle amid COVID-19 Surge</w:t>
      </w:r>
      <w:r w:rsidRPr="00804A4E">
        <w:rPr>
          <w:rFonts w:ascii="Franklin Gothic Book" w:hAnsi="Franklin Gothic Book" w:cs="Times New Roman"/>
          <w:sz w:val="18"/>
          <w:szCs w:val="18"/>
        </w:rPr>
        <w:t xml:space="preserve">, </w:t>
      </w:r>
      <w:r w:rsidR="000C2834" w:rsidRPr="00804A4E">
        <w:rPr>
          <w:rFonts w:ascii="Franklin Gothic Book" w:hAnsi="Franklin Gothic Book" w:cs="Times New Roman"/>
          <w:smallCaps/>
          <w:sz w:val="18"/>
          <w:szCs w:val="18"/>
        </w:rPr>
        <w:t>Boston Globe</w:t>
      </w:r>
      <w:r w:rsidR="000C2834" w:rsidRPr="00804A4E">
        <w:rPr>
          <w:rFonts w:ascii="Franklin Gothic Book" w:hAnsi="Franklin Gothic Book" w:cs="Times New Roman"/>
          <w:sz w:val="18"/>
          <w:szCs w:val="18"/>
        </w:rPr>
        <w:t xml:space="preserve"> (January 14, 2022), </w:t>
      </w:r>
      <w:r w:rsidR="00A13AE9">
        <w:rPr>
          <w:rFonts w:ascii="Franklin Gothic Book" w:hAnsi="Franklin Gothic Book" w:cs="Times New Roman"/>
          <w:i/>
          <w:iCs/>
          <w:sz w:val="18"/>
          <w:szCs w:val="18"/>
        </w:rPr>
        <w:t>available</w:t>
      </w:r>
      <w:r w:rsidR="000C2834" w:rsidRPr="00804A4E">
        <w:rPr>
          <w:rFonts w:ascii="Franklin Gothic Book" w:hAnsi="Franklin Gothic Book" w:cs="Times New Roman"/>
          <w:sz w:val="18"/>
          <w:szCs w:val="18"/>
        </w:rPr>
        <w:t xml:space="preserve"> </w:t>
      </w:r>
      <w:hyperlink r:id="rId66" w:history="1">
        <w:r w:rsidR="00A13AE9">
          <w:rPr>
            <w:rStyle w:val="Hyperlink"/>
            <w:rFonts w:ascii="Franklin Gothic Book" w:hAnsi="Franklin Gothic Book" w:cs="Times New Roman"/>
            <w:sz w:val="18"/>
            <w:szCs w:val="18"/>
          </w:rPr>
          <w:t>at https://www.bostonglobe.com/2022/01/14/nation/baker-administration-issues-new-emergency-orders-mass-hospitals-struggle-amid-covid-19-surge/</w:t>
        </w:r>
      </w:hyperlink>
      <w:r w:rsidRPr="00804A4E">
        <w:rPr>
          <w:rFonts w:ascii="Franklin Gothic Book" w:hAnsi="Franklin Gothic Book" w:cs="Times New Roman"/>
          <w:sz w:val="18"/>
          <w:szCs w:val="18"/>
        </w:rPr>
        <w:t>.</w:t>
      </w:r>
    </w:p>
  </w:footnote>
  <w:footnote w:id="161">
    <w:p w14:paraId="1ED223B8" w14:textId="5E6D090C"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Ayla Ellison, </w:t>
      </w:r>
      <w:r w:rsidRPr="00804A4E">
        <w:rPr>
          <w:rFonts w:ascii="Franklin Gothic Book" w:hAnsi="Franklin Gothic Book" w:cs="Times New Roman"/>
          <w:i/>
          <w:iCs/>
          <w:sz w:val="18"/>
          <w:szCs w:val="18"/>
        </w:rPr>
        <w:t>Mass General Brigham CEO: Capacity crisis to continue</w:t>
      </w:r>
      <w:r w:rsidR="000C2834" w:rsidRPr="00804A4E">
        <w:rPr>
          <w:rFonts w:ascii="Franklin Gothic Book" w:hAnsi="Franklin Gothic Book" w:cs="Times New Roman"/>
          <w:i/>
          <w:iCs/>
          <w:sz w:val="18"/>
          <w:szCs w:val="18"/>
        </w:rPr>
        <w:t xml:space="preserve">, </w:t>
      </w:r>
      <w:r w:rsidR="000C2834" w:rsidRPr="00804A4E">
        <w:rPr>
          <w:rFonts w:ascii="Franklin Gothic Book" w:hAnsi="Franklin Gothic Book" w:cs="Times New Roman"/>
          <w:smallCaps/>
          <w:sz w:val="18"/>
          <w:szCs w:val="18"/>
        </w:rPr>
        <w:t>Becker’s Hospital Review</w:t>
      </w:r>
      <w:r w:rsidR="000C2834"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(Dec. 10, 2021)</w:t>
      </w:r>
      <w:r w:rsidR="005E509E">
        <w:rPr>
          <w:rFonts w:ascii="Franklin Gothic Book" w:hAnsi="Franklin Gothic Book" w:cs="Times New Roman"/>
          <w:i/>
          <w:iCs/>
          <w:sz w:val="18"/>
          <w:szCs w:val="18"/>
        </w:rPr>
        <w:t xml:space="preserve">, available </w:t>
      </w:r>
      <w:r w:rsidR="000C2834" w:rsidRPr="00804A4E">
        <w:rPr>
          <w:rFonts w:ascii="Franklin Gothic Book" w:hAnsi="Franklin Gothic Book" w:cs="Times New Roman"/>
          <w:i/>
          <w:iCs/>
          <w:sz w:val="18"/>
          <w:szCs w:val="18"/>
        </w:rPr>
        <w:t xml:space="preserve"> </w:t>
      </w:r>
      <w:hyperlink r:id="rId67" w:history="1">
        <w:r w:rsidR="005E509E">
          <w:rPr>
            <w:rStyle w:val="Hyperlink"/>
            <w:rFonts w:ascii="Franklin Gothic Book" w:hAnsi="Franklin Gothic Book" w:cs="Times New Roman"/>
            <w:sz w:val="18"/>
            <w:szCs w:val="18"/>
          </w:rPr>
          <w:t>at https://www.beckershospitalreview.com/hospital-management-administration/mass-general-brigham-ceo-capacity-crisis-to-continue.html</w:t>
        </w:r>
      </w:hyperlink>
      <w:r w:rsidRPr="00804A4E">
        <w:rPr>
          <w:rFonts w:ascii="Franklin Gothic Book" w:hAnsi="Franklin Gothic Book" w:cs="Times New Roman"/>
          <w:sz w:val="18"/>
          <w:szCs w:val="18"/>
        </w:rPr>
        <w:t xml:space="preserve"> (“</w:t>
      </w:r>
      <w:r w:rsidR="00D26C51" w:rsidRPr="00804A4E">
        <w:rPr>
          <w:rFonts w:ascii="Franklin Gothic Book" w:hAnsi="Franklin Gothic Book" w:cs="Times New Roman"/>
          <w:sz w:val="18"/>
          <w:szCs w:val="18"/>
        </w:rPr>
        <w:t>’</w:t>
      </w:r>
      <w:r w:rsidRPr="00804A4E">
        <w:rPr>
          <w:rFonts w:ascii="Franklin Gothic Book" w:hAnsi="Franklin Gothic Book" w:cs="Times New Roman"/>
          <w:sz w:val="18"/>
          <w:szCs w:val="18"/>
        </w:rPr>
        <w:t>While we saw growth across care delivery, insurance and research activities over the course of the past year, recent capacity challenges exacerbated by staffing shortages will continue to put pressure on our operating performance in 2022,’ Niyum Gandhi, treasurer and CFO of Mass General Brigham, said in an earnings release”).</w:t>
      </w:r>
    </w:p>
  </w:footnote>
  <w:footnote w:id="162">
    <w:p w14:paraId="7EB10782" w14:textId="1A1D0F39"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0C2834"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ICC28.</w:t>
      </w:r>
    </w:p>
  </w:footnote>
  <w:footnote w:id="163">
    <w:p w14:paraId="6879F2DF" w14:textId="4394B3B0"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Additionally the ICA uses the National Plan and Provider Enumeration System database and health care professional licensure data as the denominators for some categories of health care workers.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0C2834"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85. This is likely to overstate the number of workers since not all professionals licensed or having an NPPES number are practicing, working full time, or working in positions similar to those that MGB would seek to staff. </w:t>
      </w:r>
    </w:p>
  </w:footnote>
  <w:footnote w:id="164">
    <w:p w14:paraId="29673D8A" w14:textId="51CCD554" w:rsidR="003C3793" w:rsidRPr="00804A4E" w:rsidRDefault="003C379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example, the HPC in 2018 analyzed the impact of potential mandated nurse staffing ratios and found labor costs of additional registered nurses (RNs) to be approximately $133,000 to $139,000 per year, an estimate that did not include turnover costs between $40,000 and $60,000 per RN. </w:t>
      </w:r>
      <w:r w:rsidRPr="00804A4E">
        <w:rPr>
          <w:rFonts w:ascii="Franklin Gothic Book" w:hAnsi="Franklin Gothic Book" w:cs="Times New Roman"/>
          <w:smallCaps/>
          <w:sz w:val="18"/>
          <w:szCs w:val="18"/>
        </w:rPr>
        <w:t>Mass. Health Policy Comm’n</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Mandated Nurse Staffing Ratios in Massachusetts</w:t>
      </w:r>
      <w:r w:rsidRPr="00804A4E">
        <w:rPr>
          <w:rFonts w:ascii="Franklin Gothic Book" w:hAnsi="Franklin Gothic Book" w:cs="Times New Roman"/>
          <w:sz w:val="18"/>
          <w:szCs w:val="18"/>
        </w:rPr>
        <w:t xml:space="preserve"> 26 (Oct. 3, 2018), </w:t>
      </w:r>
      <w:r w:rsidR="001523CE">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68" w:history="1">
        <w:r w:rsidR="001523CE">
          <w:rPr>
            <w:rStyle w:val="Hyperlink"/>
            <w:rFonts w:ascii="Franklin Gothic Book" w:hAnsi="Franklin Gothic Book" w:cs="Times New Roman"/>
            <w:sz w:val="18"/>
            <w:szCs w:val="18"/>
          </w:rPr>
          <w:t>at https://www.mass.gov/doc/presentation-analysis-of-potential-cost-impact-of-mandated-nurse-to-patient-staffing-ratios/download</w:t>
        </w:r>
      </w:hyperlink>
      <w:r w:rsidRPr="00804A4E">
        <w:rPr>
          <w:rFonts w:ascii="Franklin Gothic Book" w:hAnsi="Franklin Gothic Book" w:cs="Times New Roman"/>
          <w:sz w:val="18"/>
          <w:szCs w:val="18"/>
        </w:rPr>
        <w:t xml:space="preserve">. </w:t>
      </w:r>
    </w:p>
  </w:footnote>
  <w:footnote w:id="165">
    <w:p w14:paraId="561489A2" w14:textId="0ECA66DC" w:rsidR="00E33735" w:rsidRPr="00804A4E" w:rsidRDefault="00E33735"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These figures assume that MGB will achieve approximately 50% of its expected market share increases from its larger multiyear ambulatory expansion plan through the three ambulatory sites currently proposed. The HPC does not have further information about the multiyear ambulatory expansion plan to assess whether 50% is a reasonable expectation for the three proposed sites. If MGB achieves 25% of its expected market share increases instead of 50%, the commercial spending impact from the ambulatory expansion would be $</w:t>
      </w:r>
      <w:r w:rsidR="00AC57C3" w:rsidRPr="00804A4E">
        <w:rPr>
          <w:rFonts w:ascii="Franklin Gothic Book" w:hAnsi="Franklin Gothic Book" w:cs="Times New Roman"/>
          <w:sz w:val="18"/>
          <w:szCs w:val="18"/>
        </w:rPr>
        <w:t>7.1</w:t>
      </w:r>
      <w:r w:rsidR="00C1271D" w:rsidRPr="00804A4E">
        <w:rPr>
          <w:rFonts w:ascii="Franklin Gothic Book" w:hAnsi="Franklin Gothic Book" w:cs="Times New Roman"/>
          <w:sz w:val="18"/>
          <w:szCs w:val="18"/>
        </w:rPr>
        <w:t xml:space="preserve"> million</w:t>
      </w:r>
      <w:r w:rsidRPr="00804A4E">
        <w:rPr>
          <w:rFonts w:ascii="Franklin Gothic Book" w:hAnsi="Franklin Gothic Book" w:cs="Times New Roman"/>
          <w:sz w:val="18"/>
          <w:szCs w:val="18"/>
        </w:rPr>
        <w:t xml:space="preserve"> to $</w:t>
      </w:r>
      <w:r w:rsidR="00AC57C3" w:rsidRPr="00804A4E">
        <w:rPr>
          <w:rFonts w:ascii="Franklin Gothic Book" w:hAnsi="Franklin Gothic Book" w:cs="Times New Roman"/>
          <w:sz w:val="18"/>
          <w:szCs w:val="18"/>
        </w:rPr>
        <w:t>18.9</w:t>
      </w:r>
      <w:r w:rsidR="00C1271D" w:rsidRPr="00804A4E">
        <w:rPr>
          <w:rFonts w:ascii="Franklin Gothic Book" w:hAnsi="Franklin Gothic Book" w:cs="Times New Roman"/>
          <w:sz w:val="18"/>
          <w:szCs w:val="18"/>
        </w:rPr>
        <w:t xml:space="preserve"> million</w:t>
      </w:r>
      <w:r w:rsidRPr="00804A4E">
        <w:rPr>
          <w:rFonts w:ascii="Franklin Gothic Book" w:hAnsi="Franklin Gothic Book" w:cs="Times New Roman"/>
          <w:sz w:val="18"/>
          <w:szCs w:val="18"/>
        </w:rPr>
        <w:t>, the total commercial spending impact across the projects would be $</w:t>
      </w:r>
      <w:r w:rsidR="00AC57C3" w:rsidRPr="00804A4E">
        <w:rPr>
          <w:rFonts w:ascii="Franklin Gothic Book" w:hAnsi="Franklin Gothic Book" w:cs="Times New Roman"/>
          <w:sz w:val="18"/>
          <w:szCs w:val="18"/>
        </w:rPr>
        <w:t>43.8</w:t>
      </w:r>
      <w:r w:rsidR="00C1271D" w:rsidRPr="00804A4E">
        <w:rPr>
          <w:rFonts w:ascii="Franklin Gothic Book" w:hAnsi="Franklin Gothic Book" w:cs="Times New Roman"/>
          <w:sz w:val="18"/>
          <w:szCs w:val="18"/>
        </w:rPr>
        <w:t xml:space="preserve"> million</w:t>
      </w:r>
      <w:r w:rsidRPr="00804A4E">
        <w:rPr>
          <w:rFonts w:ascii="Franklin Gothic Book" w:hAnsi="Franklin Gothic Book" w:cs="Times New Roman"/>
          <w:sz w:val="18"/>
          <w:szCs w:val="18"/>
        </w:rPr>
        <w:t xml:space="preserve"> to $</w:t>
      </w:r>
      <w:r w:rsidR="00AC57C3" w:rsidRPr="00804A4E">
        <w:rPr>
          <w:rFonts w:ascii="Franklin Gothic Book" w:hAnsi="Franklin Gothic Book" w:cs="Times New Roman"/>
          <w:sz w:val="18"/>
          <w:szCs w:val="18"/>
        </w:rPr>
        <w:t>81.2</w:t>
      </w:r>
      <w:r w:rsidR="00C1271D" w:rsidRPr="00804A4E">
        <w:rPr>
          <w:rFonts w:ascii="Franklin Gothic Book" w:hAnsi="Franklin Gothic Book" w:cs="Times New Roman"/>
          <w:sz w:val="18"/>
          <w:szCs w:val="18"/>
        </w:rPr>
        <w:t xml:space="preserve"> million</w:t>
      </w:r>
      <w:r w:rsidRPr="00804A4E">
        <w:rPr>
          <w:rFonts w:ascii="Franklin Gothic Book" w:hAnsi="Franklin Gothic Book" w:cs="Times New Roman"/>
          <w:sz w:val="18"/>
          <w:szCs w:val="18"/>
        </w:rPr>
        <w:t xml:space="preserve"> each year, and the loss of commercial revenue at non-MGB providers would be $145.6</w:t>
      </w:r>
      <w:r w:rsidR="00C1271D" w:rsidRPr="00804A4E">
        <w:rPr>
          <w:rFonts w:ascii="Franklin Gothic Book" w:hAnsi="Franklin Gothic Book" w:cs="Times New Roman"/>
          <w:sz w:val="18"/>
          <w:szCs w:val="18"/>
        </w:rPr>
        <w:t xml:space="preserve"> million</w:t>
      </w:r>
      <w:r w:rsidRPr="00804A4E">
        <w:rPr>
          <w:rFonts w:ascii="Franklin Gothic Book" w:hAnsi="Franklin Gothic Book" w:cs="Times New Roman"/>
          <w:sz w:val="18"/>
          <w:szCs w:val="18"/>
        </w:rPr>
        <w:t xml:space="preserve"> to $231.8</w:t>
      </w:r>
      <w:r w:rsidR="00C1271D" w:rsidRPr="00804A4E">
        <w:rPr>
          <w:rFonts w:ascii="Franklin Gothic Book" w:hAnsi="Franklin Gothic Book" w:cs="Times New Roman"/>
          <w:sz w:val="18"/>
          <w:szCs w:val="18"/>
        </w:rPr>
        <w:t xml:space="preserve"> million</w:t>
      </w:r>
      <w:r w:rsidRPr="00804A4E">
        <w:rPr>
          <w:rFonts w:ascii="Franklin Gothic Book" w:hAnsi="Franklin Gothic Book" w:cs="Times New Roman"/>
          <w:sz w:val="18"/>
          <w:szCs w:val="18"/>
        </w:rPr>
        <w:t xml:space="preserve"> each year.</w:t>
      </w:r>
    </w:p>
  </w:footnote>
  <w:footnote w:id="166">
    <w:p w14:paraId="0A4BF777" w14:textId="77777777" w:rsidR="007D04F0" w:rsidRPr="00804A4E" w:rsidRDefault="007D04F0" w:rsidP="00142DCC">
      <w:pPr>
        <w:pStyle w:val="FootnoteText"/>
        <w:widowControl w:val="0"/>
        <w:rPr>
          <w:rFonts w:ascii="Franklin Gothic Book" w:hAnsi="Franklin Gothic Book" w:cs="Times New Roman"/>
          <w:smallCaps/>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Office of Atty. Gen. Maura Healey</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Examination of Health Care Cost Trends and Cost Drivers</w:t>
      </w:r>
    </w:p>
    <w:p w14:paraId="1F61552B" w14:textId="36F83F34" w:rsidR="007D04F0" w:rsidRPr="00804A4E" w:rsidRDefault="007D04F0" w:rsidP="00142DCC">
      <w:pPr>
        <w:pStyle w:val="FootnoteText"/>
        <w:widowControl w:val="0"/>
        <w:rPr>
          <w:rFonts w:ascii="Franklin Gothic Book" w:hAnsi="Franklin Gothic Book" w:cs="Times New Roman"/>
          <w:sz w:val="18"/>
          <w:szCs w:val="18"/>
        </w:rPr>
      </w:pPr>
      <w:r w:rsidRPr="00804A4E">
        <w:rPr>
          <w:rFonts w:ascii="Franklin Gothic Book" w:hAnsi="Franklin Gothic Book" w:cs="Times New Roman"/>
          <w:smallCaps/>
          <w:sz w:val="18"/>
          <w:szCs w:val="18"/>
        </w:rPr>
        <w:t>Pursuant to G.L. c. 12C, § 17 Report for Annual Public Hearing Under G.L. c. 6D, § 8</w:t>
      </w:r>
      <w:r w:rsidRPr="00804A4E">
        <w:rPr>
          <w:rFonts w:ascii="Franklin Gothic Book" w:hAnsi="Franklin Gothic Book" w:cs="Times New Roman"/>
          <w:sz w:val="18"/>
          <w:szCs w:val="18"/>
        </w:rPr>
        <w:t xml:space="preserve"> (Nov. 17, 2021), </w:t>
      </w:r>
      <w:r w:rsidRPr="00804A4E">
        <w:rPr>
          <w:rFonts w:ascii="Franklin Gothic Book" w:hAnsi="Franklin Gothic Book" w:cs="Times New Roman"/>
          <w:i/>
          <w:iCs/>
          <w:sz w:val="18"/>
          <w:szCs w:val="18"/>
        </w:rPr>
        <w:t>available at</w:t>
      </w:r>
      <w:r w:rsidRPr="00804A4E">
        <w:rPr>
          <w:rFonts w:ascii="Franklin Gothic Book" w:hAnsi="Franklin Gothic Book" w:cs="Times New Roman"/>
          <w:sz w:val="18"/>
          <w:szCs w:val="18"/>
        </w:rPr>
        <w:t xml:space="preserve"> </w:t>
      </w:r>
      <w:hyperlink r:id="rId69" w:history="1">
        <w:r w:rsidR="00995F23">
          <w:rPr>
            <w:rStyle w:val="Hyperlink"/>
            <w:rFonts w:ascii="Franklin Gothic Book" w:hAnsi="Franklin Gothic Book" w:cs="Times New Roman"/>
            <w:sz w:val="18"/>
            <w:szCs w:val="18"/>
          </w:rPr>
          <w:t>at https://www.mass.gov/doc/ago-examination-into-cost-drivers/download</w:t>
        </w:r>
      </w:hyperlink>
      <w:r w:rsidRPr="00804A4E">
        <w:rPr>
          <w:rFonts w:ascii="Franklin Gothic Book" w:hAnsi="Franklin Gothic Book" w:cs="Times New Roman"/>
          <w:sz w:val="18"/>
          <w:szCs w:val="18"/>
        </w:rPr>
        <w:t>.</w:t>
      </w:r>
    </w:p>
  </w:footnote>
  <w:footnote w:id="167">
    <w:p w14:paraId="740D0A4A" w14:textId="0E73B2DC"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 xml:space="preserve">Mass. Gen. Laws </w:t>
      </w:r>
      <w:r w:rsidRPr="00804A4E">
        <w:rPr>
          <w:rFonts w:ascii="Franklin Gothic Book" w:hAnsi="Franklin Gothic Book" w:cs="Times New Roman"/>
          <w:sz w:val="18"/>
          <w:szCs w:val="18"/>
        </w:rPr>
        <w:t xml:space="preserve">ch. 6D, § 11 and ch. 12C, § 9 (requiring provider organizations to register annually with the HPC and CHIA and provide information on organizational structure and affiliations, and other requested information); </w:t>
      </w:r>
      <w:r w:rsidRPr="00804A4E">
        <w:rPr>
          <w:rFonts w:ascii="Franklin Gothic Book" w:hAnsi="Franklin Gothic Book" w:cs="Times New Roman"/>
          <w:i/>
          <w:sz w:val="18"/>
          <w:szCs w:val="18"/>
        </w:rPr>
        <w:t>see also</w:t>
      </w:r>
      <w:r w:rsidRPr="00804A4E">
        <w:rPr>
          <w:rFonts w:ascii="Franklin Gothic Book" w:hAnsi="Franklin Gothic Book" w:cs="Times New Roman"/>
          <w:sz w:val="18"/>
          <w:szCs w:val="18"/>
        </w:rPr>
        <w:t xml:space="preserve"> 958 </w:t>
      </w:r>
      <w:r w:rsidRPr="00804A4E">
        <w:rPr>
          <w:rFonts w:ascii="Franklin Gothic Book" w:hAnsi="Franklin Gothic Book" w:cs="Times New Roman"/>
          <w:smallCaps/>
          <w:sz w:val="18"/>
          <w:szCs w:val="18"/>
        </w:rPr>
        <w:t>CMR</w:t>
      </w:r>
      <w:r w:rsidRPr="00804A4E">
        <w:rPr>
          <w:rFonts w:ascii="Franklin Gothic Book" w:hAnsi="Franklin Gothic Book" w:cs="Times New Roman"/>
          <w:sz w:val="18"/>
          <w:szCs w:val="18"/>
        </w:rPr>
        <w:t xml:space="preserve"> §§ 6.00 (2014) and 957 </w:t>
      </w:r>
      <w:r w:rsidRPr="00804A4E">
        <w:rPr>
          <w:rFonts w:ascii="Franklin Gothic Book" w:hAnsi="Franklin Gothic Book" w:cs="Times New Roman"/>
          <w:smallCaps/>
          <w:sz w:val="18"/>
          <w:szCs w:val="18"/>
        </w:rPr>
        <w:t xml:space="preserve">CMR </w:t>
      </w:r>
      <w:r w:rsidRPr="00804A4E">
        <w:rPr>
          <w:rFonts w:ascii="Franklin Gothic Book" w:hAnsi="Franklin Gothic Book" w:cs="Times New Roman"/>
          <w:sz w:val="18"/>
          <w:szCs w:val="18"/>
        </w:rPr>
        <w:t xml:space="preserve">§§ 11.00 (2017); </w:t>
      </w:r>
      <w:r w:rsidR="0097497F" w:rsidRPr="00804A4E">
        <w:rPr>
          <w:rFonts w:ascii="Franklin Gothic Book" w:hAnsi="Franklin Gothic Book" w:cs="Times New Roman"/>
          <w:i/>
          <w:sz w:val="18"/>
          <w:szCs w:val="18"/>
        </w:rPr>
        <w:t>Massachusetts Registration of Provider Organizations</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Mass.</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Health Policy Comm’n</w:t>
      </w:r>
      <w:r w:rsidR="0097497F" w:rsidRPr="00804A4E">
        <w:rPr>
          <w:rFonts w:ascii="Franklin Gothic Book" w:hAnsi="Franklin Gothic Book" w:cs="Times New Roman"/>
          <w:sz w:val="18"/>
          <w:szCs w:val="18"/>
        </w:rPr>
        <w:t xml:space="preserve"> [hereinafter </w:t>
      </w:r>
      <w:r w:rsidR="0097497F" w:rsidRPr="00804A4E">
        <w:rPr>
          <w:rFonts w:ascii="Franklin Gothic Book" w:hAnsi="Franklin Gothic Book" w:cs="Times New Roman"/>
          <w:smallCaps/>
          <w:sz w:val="18"/>
          <w:szCs w:val="18"/>
        </w:rPr>
        <w:t>MA-RPO Data</w:t>
      </w:r>
      <w:r w:rsidR="0097497F" w:rsidRPr="00804A4E">
        <w:rPr>
          <w:rFonts w:ascii="Franklin Gothic Book" w:hAnsi="Franklin Gothic Book" w:cs="Times New Roman"/>
          <w:sz w:val="18"/>
          <w:szCs w:val="18"/>
        </w:rPr>
        <w:t>]</w:t>
      </w:r>
      <w:r w:rsidR="00066095" w:rsidRPr="00804A4E">
        <w:rPr>
          <w:rFonts w:ascii="Franklin Gothic Book" w:hAnsi="Franklin Gothic Book" w:cs="Times New Roman"/>
          <w:sz w:val="18"/>
          <w:szCs w:val="18"/>
        </w:rPr>
        <w:t>,</w:t>
      </w:r>
      <w:r w:rsidR="0097497F" w:rsidRPr="00804A4E">
        <w:rPr>
          <w:rFonts w:ascii="Franklin Gothic Book" w:hAnsi="Franklin Gothic Book" w:cs="Times New Roman"/>
          <w:sz w:val="18"/>
          <w:szCs w:val="18"/>
        </w:rPr>
        <w:t xml:space="preserve"> </w:t>
      </w:r>
      <w:hyperlink r:id="rId70" w:history="1">
        <w:r w:rsidR="00CC51AE">
          <w:rPr>
            <w:rStyle w:val="Hyperlink"/>
            <w:rFonts w:ascii="Franklin Gothic Book" w:hAnsi="Franklin Gothic Book" w:cs="Times New Roman"/>
            <w:sz w:val="18"/>
            <w:szCs w:val="18"/>
          </w:rPr>
          <w:t>at https://www.mass.gov/service-details/ma-rpo-data</w:t>
        </w:r>
      </w:hyperlink>
      <w:r w:rsidR="0097497F" w:rsidRPr="00804A4E">
        <w:rPr>
          <w:rFonts w:ascii="Franklin Gothic Book" w:hAnsi="Franklin Gothic Book" w:cs="Times New Roman"/>
          <w:sz w:val="18"/>
          <w:szCs w:val="18"/>
        </w:rPr>
        <w:t xml:space="preserve"> (</w:t>
      </w:r>
      <w:r w:rsidR="00835D3E">
        <w:rPr>
          <w:rFonts w:ascii="Franklin Gothic Book" w:hAnsi="Franklin Gothic Book" w:cs="Times New Roman"/>
          <w:sz w:val="18"/>
          <w:szCs w:val="18"/>
        </w:rPr>
        <w:t>last visited January 22, 2022).</w:t>
      </w:r>
    </w:p>
  </w:footnote>
  <w:footnote w:id="168">
    <w:p w14:paraId="3350B783" w14:textId="570C364F"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These data include relative price (RP) data and total medical expense (TME) data. </w:t>
      </w:r>
      <w:r w:rsidRPr="00804A4E">
        <w:rPr>
          <w:rFonts w:ascii="Franklin Gothic Book" w:hAnsi="Franklin Gothic Book" w:cs="Times New Roman"/>
          <w:i/>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sz w:val="18"/>
          <w:szCs w:val="18"/>
        </w:rPr>
        <w:t>Relative Price and Provider Price Variation</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w:t>
      </w:r>
      <w:r w:rsidRPr="00804A4E">
        <w:rPr>
          <w:rFonts w:ascii="Franklin Gothic Book" w:hAnsi="Franklin Gothic Book" w:cs="Times New Roman"/>
          <w:sz w:val="18"/>
          <w:szCs w:val="18"/>
        </w:rPr>
        <w:t xml:space="preserve">, </w:t>
      </w:r>
      <w:hyperlink r:id="rId71" w:history="1">
        <w:r w:rsidR="009B362E">
          <w:rPr>
            <w:rStyle w:val="Hyperlink"/>
            <w:rFonts w:ascii="Franklin Gothic Book" w:hAnsi="Franklin Gothic Book" w:cs="Times New Roman"/>
            <w:sz w:val="18"/>
            <w:szCs w:val="18"/>
          </w:rPr>
          <w:t>at http://www.chiamass.gov/relative-price-and-provider-price-variation/</w:t>
        </w:r>
      </w:hyperlink>
      <w:r w:rsidRPr="00804A4E">
        <w:rPr>
          <w:rFonts w:ascii="Franklin Gothic Book" w:hAnsi="Franklin Gothic Book" w:cs="Times New Roman"/>
          <w:smallCaps/>
          <w:sz w:val="18"/>
          <w:szCs w:val="18"/>
        </w:rPr>
        <w:t xml:space="preserve"> </w:t>
      </w:r>
      <w:r w:rsidRPr="00804A4E">
        <w:rPr>
          <w:rFonts w:ascii="Franklin Gothic Book" w:hAnsi="Franklin Gothic Book" w:cs="Times New Roman"/>
          <w:sz w:val="18"/>
          <w:szCs w:val="18"/>
        </w:rPr>
        <w:t xml:space="preserve">(last visited </w:t>
      </w:r>
      <w:r w:rsidR="0097497F" w:rsidRPr="00804A4E">
        <w:rPr>
          <w:rFonts w:ascii="Franklin Gothic Book" w:hAnsi="Franklin Gothic Book" w:cs="Times New Roman"/>
          <w:sz w:val="18"/>
          <w:szCs w:val="18"/>
        </w:rPr>
        <w:t>January 22, 2022</w:t>
      </w:r>
      <w:r w:rsidRPr="00804A4E">
        <w:rPr>
          <w:rFonts w:ascii="Franklin Gothic Book" w:hAnsi="Franklin Gothic Book" w:cs="Times New Roman"/>
          <w:sz w:val="18"/>
          <w:szCs w:val="18"/>
        </w:rPr>
        <w:t xml:space="preserve">); </w:t>
      </w:r>
      <w:r w:rsidRPr="00804A4E">
        <w:rPr>
          <w:rFonts w:ascii="Franklin Gothic Book" w:hAnsi="Franklin Gothic Book" w:cs="Times New Roman"/>
          <w:i/>
          <w:sz w:val="18"/>
          <w:szCs w:val="18"/>
        </w:rPr>
        <w:t>Total Medical Expenses</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w:t>
      </w:r>
      <w:r w:rsidRPr="00804A4E">
        <w:rPr>
          <w:rFonts w:ascii="Franklin Gothic Book" w:hAnsi="Franklin Gothic Book" w:cs="Times New Roman"/>
          <w:sz w:val="18"/>
          <w:szCs w:val="18"/>
        </w:rPr>
        <w:t xml:space="preserve">, </w:t>
      </w:r>
      <w:hyperlink r:id="rId72" w:history="1">
        <w:r w:rsidR="00A1738A">
          <w:rPr>
            <w:rStyle w:val="Hyperlink"/>
            <w:rFonts w:ascii="Franklin Gothic Book" w:hAnsi="Franklin Gothic Book" w:cs="Times New Roman"/>
            <w:sz w:val="18"/>
            <w:szCs w:val="18"/>
          </w:rPr>
          <w:t>at https://www.chiamass.gov/thce-tme-apm/</w:t>
        </w:r>
      </w:hyperlink>
      <w:r w:rsidR="0097497F"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(last visited </w:t>
      </w:r>
      <w:r w:rsidR="0097497F" w:rsidRPr="00804A4E">
        <w:rPr>
          <w:rFonts w:ascii="Franklin Gothic Book" w:hAnsi="Franklin Gothic Book" w:cs="Times New Roman"/>
          <w:sz w:val="18"/>
          <w:szCs w:val="18"/>
        </w:rPr>
        <w:t>January 22, 2022</w:t>
      </w:r>
      <w:r w:rsidRPr="00804A4E">
        <w:rPr>
          <w:rFonts w:ascii="Franklin Gothic Book" w:hAnsi="Franklin Gothic Book" w:cs="Times New Roman"/>
          <w:sz w:val="18"/>
          <w:szCs w:val="18"/>
        </w:rPr>
        <w:t xml:space="preserve">). The most recent available year of data for RP was </w:t>
      </w:r>
      <w:r w:rsidR="000C2834" w:rsidRPr="00804A4E">
        <w:rPr>
          <w:rFonts w:ascii="Franklin Gothic Book" w:hAnsi="Franklin Gothic Book" w:cs="Times New Roman"/>
          <w:sz w:val="18"/>
          <w:szCs w:val="18"/>
        </w:rPr>
        <w:t xml:space="preserve">2019 </w:t>
      </w:r>
      <w:r w:rsidRPr="00804A4E">
        <w:rPr>
          <w:rFonts w:ascii="Franklin Gothic Book" w:hAnsi="Franklin Gothic Book" w:cs="Times New Roman"/>
          <w:sz w:val="18"/>
          <w:szCs w:val="18"/>
        </w:rPr>
        <w:t xml:space="preserve">for hospitals and </w:t>
      </w:r>
      <w:r w:rsidR="000C2834" w:rsidRPr="00804A4E">
        <w:rPr>
          <w:rFonts w:ascii="Franklin Gothic Book" w:hAnsi="Franklin Gothic Book" w:cs="Times New Roman"/>
          <w:sz w:val="18"/>
          <w:szCs w:val="18"/>
        </w:rPr>
        <w:t xml:space="preserve">2018 </w:t>
      </w:r>
      <w:r w:rsidRPr="00804A4E">
        <w:rPr>
          <w:rFonts w:ascii="Franklin Gothic Book" w:hAnsi="Franklin Gothic Book" w:cs="Times New Roman"/>
          <w:sz w:val="18"/>
          <w:szCs w:val="18"/>
        </w:rPr>
        <w:t xml:space="preserve">for physicians, and the most recent year of data for TME was </w:t>
      </w:r>
      <w:r w:rsidR="009325F2" w:rsidRPr="00804A4E">
        <w:rPr>
          <w:rFonts w:ascii="Franklin Gothic Book" w:hAnsi="Franklin Gothic Book" w:cs="Times New Roman"/>
          <w:sz w:val="18"/>
          <w:szCs w:val="18"/>
        </w:rPr>
        <w:t xml:space="preserve">2018 (final) and </w:t>
      </w:r>
      <w:r w:rsidRPr="00804A4E">
        <w:rPr>
          <w:rFonts w:ascii="Franklin Gothic Book" w:hAnsi="Franklin Gothic Book" w:cs="Times New Roman"/>
          <w:sz w:val="18"/>
          <w:szCs w:val="18"/>
        </w:rPr>
        <w:t>201</w:t>
      </w:r>
      <w:r w:rsidR="00B85436" w:rsidRPr="00804A4E">
        <w:rPr>
          <w:rFonts w:ascii="Franklin Gothic Book" w:hAnsi="Franklin Gothic Book" w:cs="Times New Roman"/>
          <w:sz w:val="18"/>
          <w:szCs w:val="18"/>
        </w:rPr>
        <w:t>9</w:t>
      </w:r>
      <w:r w:rsidR="009325F2" w:rsidRPr="00804A4E">
        <w:rPr>
          <w:rFonts w:ascii="Franklin Gothic Book" w:hAnsi="Franklin Gothic Book" w:cs="Times New Roman"/>
          <w:sz w:val="18"/>
          <w:szCs w:val="18"/>
        </w:rPr>
        <w:t xml:space="preserve"> (preliminary)</w:t>
      </w:r>
      <w:r w:rsidRPr="00804A4E">
        <w:rPr>
          <w:rFonts w:ascii="Franklin Gothic Book" w:hAnsi="Franklin Gothic Book" w:cs="Times New Roman"/>
          <w:sz w:val="18"/>
          <w:szCs w:val="18"/>
        </w:rPr>
        <w:t>. In addition to the published data for these metrics, the HPC used the confidential raw data underlying these metrics provided by payers to CHIA.</w:t>
      </w:r>
    </w:p>
  </w:footnote>
  <w:footnote w:id="169">
    <w:p w14:paraId="3A9CF588" w14:textId="6E0B7880"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sz w:val="18"/>
          <w:szCs w:val="18"/>
        </w:rPr>
        <w:t>Case Mix Data</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w:t>
      </w:r>
      <w:r w:rsidRPr="00804A4E">
        <w:rPr>
          <w:rFonts w:ascii="Franklin Gothic Book" w:hAnsi="Franklin Gothic Book" w:cs="Times New Roman"/>
          <w:sz w:val="18"/>
          <w:szCs w:val="18"/>
        </w:rPr>
        <w:t xml:space="preserve">, </w:t>
      </w:r>
      <w:hyperlink r:id="rId73" w:history="1">
        <w:r w:rsidR="00A1738A">
          <w:rPr>
            <w:rStyle w:val="Hyperlink"/>
            <w:rFonts w:ascii="Franklin Gothic Book" w:hAnsi="Franklin Gothic Book" w:cs="Times New Roman"/>
            <w:sz w:val="18"/>
            <w:szCs w:val="18"/>
          </w:rPr>
          <w:t>at http://www.chiamass.gov/case-mix-data/</w:t>
        </w:r>
      </w:hyperlink>
      <w:r w:rsidRPr="00804A4E">
        <w:rPr>
          <w:rFonts w:ascii="Franklin Gothic Book" w:hAnsi="Franklin Gothic Book" w:cs="Times New Roman"/>
          <w:sz w:val="18"/>
          <w:szCs w:val="18"/>
        </w:rPr>
        <w:t xml:space="preserve"> (last visited </w:t>
      </w:r>
      <w:r w:rsidR="0097497F" w:rsidRPr="00804A4E">
        <w:rPr>
          <w:rFonts w:ascii="Franklin Gothic Book" w:hAnsi="Franklin Gothic Book" w:cs="Times New Roman"/>
          <w:sz w:val="18"/>
          <w:szCs w:val="18"/>
        </w:rPr>
        <w:t>January 22, 2022</w:t>
      </w:r>
      <w:r w:rsidRPr="00804A4E">
        <w:rPr>
          <w:rFonts w:ascii="Franklin Gothic Book" w:hAnsi="Franklin Gothic Book" w:cs="Times New Roman"/>
          <w:sz w:val="18"/>
          <w:szCs w:val="18"/>
        </w:rPr>
        <w:t xml:space="preserve">). Our analyses for this report primarily used CHIA hospital discharge data for </w:t>
      </w:r>
      <w:r w:rsidR="00B85436" w:rsidRPr="00804A4E">
        <w:rPr>
          <w:rFonts w:ascii="Franklin Gothic Book" w:hAnsi="Franklin Gothic Book" w:cs="Times New Roman"/>
          <w:sz w:val="18"/>
          <w:szCs w:val="18"/>
        </w:rPr>
        <w:t>2019</w:t>
      </w:r>
      <w:r w:rsidRPr="00804A4E">
        <w:rPr>
          <w:rFonts w:ascii="Franklin Gothic Book" w:hAnsi="Franklin Gothic Book" w:cs="Times New Roman"/>
          <w:sz w:val="18"/>
          <w:szCs w:val="18"/>
        </w:rPr>
        <w:t>, with retrospective analyses using data from as early as 2009.</w:t>
      </w:r>
    </w:p>
  </w:footnote>
  <w:footnote w:id="170">
    <w:p w14:paraId="32842D30" w14:textId="54281F1D"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lang w:val="en"/>
        </w:rPr>
        <w:t xml:space="preserve">The APCD includes medical, pharmacy, and dental claims, as well as information about member eligibility, benefit design, and providers for all payers covering Massachusetts </w:t>
      </w:r>
      <w:r w:rsidR="007D5E58" w:rsidRPr="00804A4E">
        <w:rPr>
          <w:rFonts w:ascii="Franklin Gothic Book" w:hAnsi="Franklin Gothic Book" w:cs="Times New Roman"/>
          <w:sz w:val="18"/>
          <w:szCs w:val="18"/>
          <w:lang w:val="en"/>
        </w:rPr>
        <w:t>residents</w:t>
      </w:r>
      <w:r w:rsidR="007D5E58" w:rsidRPr="00804A4E">
        <w:rPr>
          <w:rFonts w:ascii="Franklin Gothic Book" w:hAnsi="Franklin Gothic Book" w:cs="Times New Roman"/>
          <w:i/>
          <w:sz w:val="18"/>
          <w:szCs w:val="18"/>
        </w:rPr>
        <w:t>.</w:t>
      </w:r>
      <w:r w:rsidR="007D5E58" w:rsidRPr="00804A4E">
        <w:rPr>
          <w:rFonts w:ascii="Franklin Gothic Book" w:hAnsi="Franklin Gothic Book" w:cs="Times New Roman"/>
          <w:sz w:val="18"/>
          <w:szCs w:val="18"/>
        </w:rPr>
        <w:t xml:space="preserve"> The</w:t>
      </w:r>
      <w:r w:rsidRPr="00804A4E">
        <w:rPr>
          <w:rFonts w:ascii="Franklin Gothic Book" w:hAnsi="Franklin Gothic Book" w:cs="Times New Roman"/>
          <w:sz w:val="18"/>
          <w:szCs w:val="18"/>
        </w:rPr>
        <w:t xml:space="preserve"> most recent available year of data for the APCD was </w:t>
      </w:r>
      <w:r w:rsidR="00D76406" w:rsidRPr="00804A4E">
        <w:rPr>
          <w:rFonts w:ascii="Franklin Gothic Book" w:hAnsi="Franklin Gothic Book" w:cs="Times New Roman"/>
          <w:sz w:val="18"/>
          <w:szCs w:val="18"/>
        </w:rPr>
        <w:t>2018</w:t>
      </w:r>
      <w:r w:rsidRPr="00804A4E">
        <w:rPr>
          <w:rFonts w:ascii="Franklin Gothic Book" w:hAnsi="Franklin Gothic Book" w:cs="Times New Roman"/>
          <w:sz w:val="18"/>
          <w:szCs w:val="18"/>
        </w:rPr>
        <w:t>.</w:t>
      </w:r>
      <w:r w:rsidRPr="00804A4E">
        <w:rPr>
          <w:rFonts w:ascii="Franklin Gothic Book" w:hAnsi="Franklin Gothic Book" w:cs="Times New Roman"/>
          <w:i/>
          <w:sz w:val="18"/>
          <w:szCs w:val="18"/>
        </w:rPr>
        <w:t xml:space="preserve"> 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sz w:val="18"/>
          <w:szCs w:val="18"/>
        </w:rPr>
        <w:t>All-Payer Claims Database</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w:t>
      </w:r>
      <w:r w:rsidRPr="00804A4E">
        <w:rPr>
          <w:rFonts w:ascii="Franklin Gothic Book" w:hAnsi="Franklin Gothic Book" w:cs="Times New Roman"/>
          <w:sz w:val="18"/>
          <w:szCs w:val="18"/>
        </w:rPr>
        <w:t xml:space="preserve">, </w:t>
      </w:r>
      <w:hyperlink r:id="rId74" w:history="1">
        <w:r w:rsidR="00A1738A">
          <w:rPr>
            <w:rStyle w:val="Hyperlink"/>
            <w:rFonts w:ascii="Franklin Gothic Book" w:hAnsi="Franklin Gothic Book" w:cs="Times New Roman"/>
            <w:sz w:val="18"/>
            <w:szCs w:val="18"/>
          </w:rPr>
          <w:t>at http://www.chiamass.gov/ma-apcd/</w:t>
        </w:r>
      </w:hyperlink>
      <w:r w:rsidRPr="00804A4E">
        <w:rPr>
          <w:rFonts w:ascii="Franklin Gothic Book" w:hAnsi="Franklin Gothic Book" w:cs="Times New Roman"/>
          <w:sz w:val="18"/>
          <w:szCs w:val="18"/>
        </w:rPr>
        <w:t xml:space="preserve"> (last visited </w:t>
      </w:r>
      <w:r w:rsidR="0097497F" w:rsidRPr="00804A4E">
        <w:rPr>
          <w:rFonts w:ascii="Franklin Gothic Book" w:hAnsi="Franklin Gothic Book" w:cs="Times New Roman"/>
          <w:sz w:val="18"/>
          <w:szCs w:val="18"/>
        </w:rPr>
        <w:t>January 22, 2022</w:t>
      </w:r>
      <w:r w:rsidRPr="00804A4E">
        <w:rPr>
          <w:rFonts w:ascii="Franklin Gothic Book" w:hAnsi="Franklin Gothic Book" w:cs="Times New Roman"/>
          <w:sz w:val="18"/>
          <w:szCs w:val="18"/>
        </w:rPr>
        <w:t xml:space="preserve">). </w:t>
      </w:r>
    </w:p>
  </w:footnote>
  <w:footnote w:id="171">
    <w:p w14:paraId="13C6488E" w14:textId="77777777"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Some data sources use fiscal year rather than calendar year data, notably CHIA’s hospital discharge data and Hospital Profiles. Therefore, hospital discharge and Hospital Profiles data presented here are fiscal year data.</w:t>
      </w:r>
    </w:p>
  </w:footnote>
  <w:footnote w:id="172">
    <w:p w14:paraId="38DA3951" w14:textId="238D54D5" w:rsidR="007D04F0" w:rsidRPr="00804A4E" w:rsidRDefault="007D04F0" w:rsidP="00142DCC">
      <w:pPr>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sz w:val="18"/>
          <w:szCs w:val="18"/>
        </w:rPr>
        <w:t>See, e.g.</w:t>
      </w:r>
      <w:r w:rsidRPr="00804A4E">
        <w:rPr>
          <w:rFonts w:ascii="Franklin Gothic Book" w:hAnsi="Franklin Gothic Book" w:cs="Times New Roman"/>
          <w:sz w:val="18"/>
          <w:szCs w:val="18"/>
        </w:rPr>
        <w:t>,</w:t>
      </w:r>
      <w:r w:rsidRPr="00804A4E">
        <w:rPr>
          <w:rFonts w:ascii="Franklin Gothic Book" w:hAnsi="Franklin Gothic Book" w:cs="Times New Roman"/>
          <w:i/>
          <w:sz w:val="18"/>
          <w:szCs w:val="18"/>
        </w:rPr>
        <w:t xml:space="preserve"> </w:t>
      </w:r>
      <w:r w:rsidRPr="00804A4E">
        <w:rPr>
          <w:rFonts w:ascii="Franklin Gothic Book" w:hAnsi="Franklin Gothic Book" w:cs="Times New Roman"/>
          <w:smallCaps/>
          <w:sz w:val="18"/>
          <w:szCs w:val="18"/>
        </w:rPr>
        <w:t>Office of Att’y Gen. Martha Coakley, Examination of Health Care Cost Trends and Cost Drivers Pursuant to G.L. c. 118G, § 6 ½(</w:t>
      </w:r>
      <w:r w:rsidRPr="00804A4E">
        <w:rPr>
          <w:rFonts w:ascii="Franklin Gothic Book" w:hAnsi="Franklin Gothic Book" w:cs="Times New Roman"/>
          <w:sz w:val="18"/>
          <w:szCs w:val="18"/>
        </w:rPr>
        <w:t>b</w:t>
      </w:r>
      <w:r w:rsidRPr="00804A4E">
        <w:rPr>
          <w:rFonts w:ascii="Franklin Gothic Book" w:hAnsi="Franklin Gothic Book" w:cs="Times New Roman"/>
          <w:smallCaps/>
          <w:sz w:val="18"/>
          <w:szCs w:val="18"/>
        </w:rPr>
        <w:t>): Report for Annual Public Hearing</w:t>
      </w:r>
      <w:r w:rsidRPr="00804A4E">
        <w:rPr>
          <w:rFonts w:ascii="Franklin Gothic Book" w:hAnsi="Franklin Gothic Book" w:cs="Times New Roman"/>
          <w:sz w:val="18"/>
          <w:szCs w:val="18"/>
        </w:rPr>
        <w:t xml:space="preserve"> at 40-43 (Mar. 16, 2010), </w:t>
      </w:r>
      <w:r w:rsidR="00772CE5">
        <w:rPr>
          <w:rFonts w:ascii="Franklin Gothic Book" w:hAnsi="Franklin Gothic Book" w:cs="Times New Roman"/>
          <w:i/>
          <w:sz w:val="18"/>
          <w:szCs w:val="18"/>
        </w:rPr>
        <w:t xml:space="preserve">available </w:t>
      </w:r>
      <w:hyperlink r:id="rId75" w:history="1">
        <w:r w:rsidR="00772CE5">
          <w:rPr>
            <w:rStyle w:val="Hyperlink"/>
            <w:rFonts w:ascii="Franklin Gothic Book" w:hAnsi="Franklin Gothic Book" w:cs="Times New Roman"/>
            <w:sz w:val="18"/>
            <w:szCs w:val="18"/>
          </w:rPr>
          <w:t>at http://www.mass.gov/ago/docs/healthcare/2010-hcctd-full.pdf</w:t>
        </w:r>
      </w:hyperlink>
      <w:r w:rsidRPr="00804A4E">
        <w:rPr>
          <w:rFonts w:ascii="Franklin Gothic Book" w:hAnsi="Franklin Gothic Book" w:cs="Times New Roman"/>
          <w:sz w:val="18"/>
          <w:szCs w:val="18"/>
        </w:rPr>
        <w:t xml:space="preserve"> (last visited Sept. 24, 2018); </w:t>
      </w:r>
      <w:r w:rsidR="000D74DC" w:rsidRPr="00804A4E">
        <w:rPr>
          <w:rFonts w:ascii="Franklin Gothic Book" w:hAnsi="Franklin Gothic Book" w:cs="Times New Roman"/>
          <w:smallCaps/>
          <w:sz w:val="18"/>
          <w:szCs w:val="18"/>
        </w:rPr>
        <w:t>HPC Provider Price Variation Report</w:t>
      </w:r>
      <w:r w:rsidR="000D74DC" w:rsidRPr="00804A4E">
        <w:rPr>
          <w:rFonts w:ascii="Franklin Gothic Book" w:hAnsi="Franklin Gothic Book" w:cs="Times New Roman"/>
          <w:sz w:val="18"/>
          <w:szCs w:val="18"/>
        </w:rPr>
        <w:t xml:space="preserve">, </w:t>
      </w:r>
      <w:r w:rsidR="000D74DC" w:rsidRPr="00804A4E">
        <w:rPr>
          <w:rFonts w:ascii="Franklin Gothic Book" w:hAnsi="Franklin Gothic Book" w:cs="Times New Roman"/>
          <w:i/>
          <w:iCs/>
          <w:sz w:val="18"/>
          <w:szCs w:val="18"/>
        </w:rPr>
        <w:t>supra</w:t>
      </w:r>
      <w:r w:rsidR="000D74DC" w:rsidRPr="00804A4E">
        <w:rPr>
          <w:rFonts w:ascii="Franklin Gothic Book" w:hAnsi="Franklin Gothic Book" w:cs="Times New Roman"/>
          <w:sz w:val="18"/>
          <w:szCs w:val="18"/>
        </w:rPr>
        <w:t xml:space="preserve"> note </w:t>
      </w:r>
      <w:r w:rsidR="000D74DC" w:rsidRPr="00804A4E">
        <w:rPr>
          <w:rFonts w:ascii="Franklin Gothic Book" w:hAnsi="Franklin Gothic Book" w:cs="Times New Roman"/>
          <w:sz w:val="18"/>
          <w:szCs w:val="18"/>
        </w:rPr>
        <w:fldChar w:fldCharType="begin"/>
      </w:r>
      <w:r w:rsidR="000D74DC" w:rsidRPr="00804A4E">
        <w:rPr>
          <w:rFonts w:ascii="Franklin Gothic Book" w:hAnsi="Franklin Gothic Book" w:cs="Times New Roman"/>
          <w:sz w:val="18"/>
          <w:szCs w:val="18"/>
        </w:rPr>
        <w:instrText xml:space="preserve"> NOTEREF _Ref93003264 \h </w:instrText>
      </w:r>
      <w:r w:rsidR="00804A4E" w:rsidRPr="00804A4E">
        <w:rPr>
          <w:rFonts w:ascii="Franklin Gothic Book" w:hAnsi="Franklin Gothic Book" w:cs="Times New Roman"/>
          <w:sz w:val="18"/>
          <w:szCs w:val="18"/>
        </w:rPr>
        <w:instrText xml:space="preserve"> \* MERGEFORMAT </w:instrText>
      </w:r>
      <w:r w:rsidR="000D74DC" w:rsidRPr="00804A4E">
        <w:rPr>
          <w:rFonts w:ascii="Franklin Gothic Book" w:hAnsi="Franklin Gothic Book" w:cs="Times New Roman"/>
          <w:sz w:val="18"/>
          <w:szCs w:val="18"/>
        </w:rPr>
      </w:r>
      <w:r w:rsidR="000D74DC"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29</w:t>
      </w:r>
      <w:r w:rsidR="000D74DC"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73">
    <w:p w14:paraId="26D5A814" w14:textId="2DCA6B49"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Ctrs. for Medicare &amp; Medicaid Servs</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National Health Expenditure Accounts</w:t>
      </w:r>
      <w:r w:rsidRPr="00804A4E">
        <w:rPr>
          <w:rFonts w:ascii="Franklin Gothic Book" w:hAnsi="Franklin Gothic Book" w:cs="Times New Roman"/>
          <w:sz w:val="18"/>
          <w:szCs w:val="18"/>
        </w:rPr>
        <w:t xml:space="preserve">, Table 20 (2021), </w:t>
      </w:r>
      <w:r w:rsidR="00772CE5">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76" w:history="1">
        <w:r w:rsidR="00772CE5">
          <w:rPr>
            <w:rStyle w:val="Hyperlink"/>
            <w:rFonts w:ascii="Franklin Gothic Book" w:hAnsi="Franklin Gothic Book" w:cs="Times New Roman"/>
            <w:sz w:val="18"/>
            <w:szCs w:val="18"/>
          </w:rPr>
          <w:t>at https://www.cms.gov/Research-Statistics-Data-and-Systems/Statistics-Trends-and-Reports/NationalHealthExpendData/NationalHealthAccountsHistorical</w:t>
        </w:r>
      </w:hyperlink>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Performance of the Massachusetts Health Care System Annual Report</w:t>
      </w:r>
      <w:r w:rsidRPr="00804A4E">
        <w:rPr>
          <w:rFonts w:ascii="Franklin Gothic Book" w:hAnsi="Franklin Gothic Book" w:cs="Times New Roman"/>
          <w:sz w:val="18"/>
          <w:szCs w:val="18"/>
        </w:rPr>
        <w:t xml:space="preserve"> 72-80 (Mar. 2021), </w:t>
      </w:r>
      <w:r w:rsidR="008C4B8C">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77" w:history="1">
        <w:r w:rsidR="008C4B8C">
          <w:rPr>
            <w:rStyle w:val="Hyperlink"/>
            <w:rFonts w:ascii="Franklin Gothic Book" w:hAnsi="Franklin Gothic Book" w:cs="Times New Roman"/>
            <w:sz w:val="18"/>
            <w:szCs w:val="18"/>
          </w:rPr>
          <w:t>at https://www.chiamass.gov/assets/2021-annual-report/2021-Annual-Report.pdf</w:t>
        </w:r>
      </w:hyperlink>
      <w:r w:rsidRPr="00804A4E">
        <w:rPr>
          <w:rFonts w:ascii="Franklin Gothic Book" w:hAnsi="Franklin Gothic Book" w:cs="Times New Roman"/>
          <w:sz w:val="18"/>
          <w:szCs w:val="18"/>
        </w:rPr>
        <w:t xml:space="preserve"> (showing that commercial payers spend just under 90% of premium revenue on claims payments, and that claims payments and premiums have grown in tandem in recent years).</w:t>
      </w:r>
      <w:r w:rsidR="000A1614" w:rsidRPr="00804A4E">
        <w:rPr>
          <w:rFonts w:ascii="Franklin Gothic Book" w:hAnsi="Franklin Gothic Book" w:cs="Times New Roman"/>
          <w:sz w:val="18"/>
          <w:szCs w:val="18"/>
        </w:rPr>
        <w:t xml:space="preserve"> The ICAs also acknowledge this dynamic. </w:t>
      </w:r>
      <w:r w:rsidR="000A1614" w:rsidRPr="00804A4E">
        <w:rPr>
          <w:rFonts w:ascii="Franklin Gothic Book" w:hAnsi="Franklin Gothic Book" w:cs="Times New Roman"/>
          <w:i/>
          <w:iCs/>
          <w:sz w:val="18"/>
          <w:szCs w:val="18"/>
        </w:rPr>
        <w:t>See</w:t>
      </w:r>
      <w:r w:rsidR="000A1614" w:rsidRPr="00804A4E">
        <w:rPr>
          <w:rFonts w:ascii="Franklin Gothic Book" w:hAnsi="Franklin Gothic Book" w:cs="Times New Roman"/>
          <w:sz w:val="18"/>
          <w:szCs w:val="18"/>
        </w:rPr>
        <w:t xml:space="preserve"> Ambulatory ICA, </w:t>
      </w:r>
      <w:r w:rsidR="000A1614" w:rsidRPr="00804A4E">
        <w:rPr>
          <w:rFonts w:ascii="Franklin Gothic Book" w:hAnsi="Franklin Gothic Book" w:cs="Times New Roman"/>
          <w:i/>
          <w:iCs/>
          <w:sz w:val="18"/>
          <w:szCs w:val="18"/>
        </w:rPr>
        <w:t>supra</w:t>
      </w:r>
      <w:r w:rsidR="000A1614" w:rsidRPr="00804A4E">
        <w:rPr>
          <w:rFonts w:ascii="Franklin Gothic Book" w:hAnsi="Franklin Gothic Book" w:cs="Times New Roman"/>
          <w:sz w:val="18"/>
          <w:szCs w:val="18"/>
        </w:rPr>
        <w:t xml:space="preserve"> note </w:t>
      </w:r>
      <w:r w:rsidR="000A1614" w:rsidRPr="00804A4E">
        <w:rPr>
          <w:rFonts w:ascii="Franklin Gothic Book" w:hAnsi="Franklin Gothic Book" w:cs="Times New Roman"/>
          <w:sz w:val="18"/>
          <w:szCs w:val="18"/>
        </w:rPr>
        <w:fldChar w:fldCharType="begin"/>
      </w:r>
      <w:r w:rsidR="000A1614"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0A1614" w:rsidRPr="00804A4E">
        <w:rPr>
          <w:rFonts w:ascii="Franklin Gothic Book" w:hAnsi="Franklin Gothic Book" w:cs="Times New Roman"/>
          <w:sz w:val="18"/>
          <w:szCs w:val="18"/>
        </w:rPr>
      </w:r>
      <w:r w:rsidR="000A1614"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0A1614" w:rsidRPr="00804A4E">
        <w:rPr>
          <w:rFonts w:ascii="Franklin Gothic Book" w:hAnsi="Franklin Gothic Book" w:cs="Times New Roman"/>
          <w:sz w:val="18"/>
          <w:szCs w:val="18"/>
        </w:rPr>
        <w:fldChar w:fldCharType="end"/>
      </w:r>
      <w:r w:rsidR="000A1614" w:rsidRPr="00804A4E">
        <w:rPr>
          <w:rFonts w:ascii="Franklin Gothic Book" w:hAnsi="Franklin Gothic Book" w:cs="Times New Roman"/>
          <w:sz w:val="18"/>
          <w:szCs w:val="18"/>
          <w:highlight w:val="yellow"/>
        </w:rPr>
        <w:fldChar w:fldCharType="begin"/>
      </w:r>
      <w:r w:rsidR="000A1614" w:rsidRPr="00804A4E">
        <w:rPr>
          <w:rFonts w:ascii="Franklin Gothic Book" w:hAnsi="Franklin Gothic Book" w:cs="Times New Roman"/>
          <w:sz w:val="18"/>
          <w:szCs w:val="18"/>
        </w:rPr>
        <w:instrText xml:space="preserve"> NOTEREF _Ref93071071 \h </w:instrText>
      </w:r>
      <w:r w:rsidR="00804A4E" w:rsidRPr="00804A4E">
        <w:rPr>
          <w:rFonts w:ascii="Franklin Gothic Book" w:hAnsi="Franklin Gothic Book" w:cs="Times New Roman"/>
          <w:sz w:val="18"/>
          <w:szCs w:val="18"/>
          <w:highlight w:val="yellow"/>
        </w:rPr>
        <w:instrText xml:space="preserve"> \* MERGEFORMAT </w:instrText>
      </w:r>
      <w:r w:rsidR="000A1614" w:rsidRPr="00804A4E">
        <w:rPr>
          <w:rFonts w:ascii="Franklin Gothic Book" w:hAnsi="Franklin Gothic Book" w:cs="Times New Roman"/>
          <w:sz w:val="18"/>
          <w:szCs w:val="18"/>
          <w:highlight w:val="yellow"/>
        </w:rPr>
      </w:r>
      <w:r w:rsidR="000A1614" w:rsidRPr="00804A4E">
        <w:rPr>
          <w:rFonts w:ascii="Franklin Gothic Book" w:hAnsi="Franklin Gothic Book" w:cs="Times New Roman"/>
          <w:sz w:val="18"/>
          <w:szCs w:val="18"/>
          <w:highlight w:val="yellow"/>
        </w:rPr>
        <w:fldChar w:fldCharType="separate"/>
      </w:r>
      <w:r w:rsidR="00036554">
        <w:rPr>
          <w:rFonts w:ascii="Franklin Gothic Book" w:hAnsi="Franklin Gothic Book" w:cs="Times New Roman"/>
          <w:sz w:val="18"/>
          <w:szCs w:val="18"/>
        </w:rPr>
        <w:t>7</w:t>
      </w:r>
      <w:r w:rsidR="000A1614" w:rsidRPr="00804A4E">
        <w:rPr>
          <w:rFonts w:ascii="Franklin Gothic Book" w:hAnsi="Franklin Gothic Book" w:cs="Times New Roman"/>
          <w:sz w:val="18"/>
          <w:szCs w:val="18"/>
          <w:highlight w:val="yellow"/>
        </w:rPr>
        <w:fldChar w:fldCharType="end"/>
      </w:r>
      <w:r w:rsidR="000A1614" w:rsidRPr="00804A4E">
        <w:rPr>
          <w:rFonts w:ascii="Franklin Gothic Book" w:hAnsi="Franklin Gothic Book" w:cs="Times New Roman"/>
          <w:sz w:val="18"/>
          <w:szCs w:val="18"/>
        </w:rPr>
        <w:t xml:space="preserve">, at 75-80 (citing studies finding a high rate of pass-through of spending on health care to employees of self-insured employers and to rate payers under fully insured products). </w:t>
      </w:r>
    </w:p>
  </w:footnote>
  <w:footnote w:id="174">
    <w:p w14:paraId="6D9DBDF6" w14:textId="77777777"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HPC relies solely on its own definitions of these service lines because MGB describes the outpatient services it would provide as a result of the proposed projects in terms of service lines but does not provide CPT codes it considers to be within those service lines or the proportion of services it expects would be attributable to specific codes.</w:t>
      </w:r>
    </w:p>
  </w:footnote>
  <w:footnote w:id="175">
    <w:p w14:paraId="578D7722" w14:textId="6BD9C8D4" w:rsidR="007D04F0" w:rsidRPr="00804A4E" w:rsidRDefault="007D04F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Surgery Flag Software, </w:t>
      </w:r>
      <w:r w:rsidRPr="00804A4E">
        <w:rPr>
          <w:rFonts w:ascii="Franklin Gothic Book" w:hAnsi="Franklin Gothic Book" w:cs="Times New Roman"/>
          <w:smallCaps/>
          <w:sz w:val="18"/>
          <w:szCs w:val="18"/>
        </w:rPr>
        <w:t>Healthcare Cost and utilization Project</w:t>
      </w:r>
      <w:r w:rsidRPr="00804A4E">
        <w:rPr>
          <w:rFonts w:ascii="Franklin Gothic Book" w:hAnsi="Franklin Gothic Book" w:cs="Times New Roman"/>
          <w:sz w:val="18"/>
          <w:szCs w:val="18"/>
        </w:rPr>
        <w:t xml:space="preserve">, </w:t>
      </w:r>
      <w:r w:rsidR="008C4B8C">
        <w:rPr>
          <w:rFonts w:ascii="Franklin Gothic Book" w:hAnsi="Franklin Gothic Book" w:cs="Times New Roman"/>
          <w:i/>
          <w:iCs/>
          <w:sz w:val="18"/>
          <w:szCs w:val="18"/>
        </w:rPr>
        <w:t xml:space="preserve">available </w:t>
      </w:r>
      <w:hyperlink r:id="rId78" w:history="1">
        <w:r w:rsidR="008C4B8C">
          <w:rPr>
            <w:rStyle w:val="Hyperlink"/>
            <w:rFonts w:ascii="Franklin Gothic Book" w:hAnsi="Franklin Gothic Book" w:cs="Times New Roman"/>
            <w:sz w:val="18"/>
            <w:szCs w:val="18"/>
          </w:rPr>
          <w:t>at https://www.hcup-us.ahrq.gov/toolssoftware/surgflags/surgeryflags.jsp</w:t>
        </w:r>
      </w:hyperlink>
      <w:r w:rsidRPr="00804A4E">
        <w:rPr>
          <w:rFonts w:ascii="Franklin Gothic Book" w:hAnsi="Franklin Gothic Book" w:cs="Times New Roman"/>
          <w:sz w:val="18"/>
          <w:szCs w:val="18"/>
        </w:rPr>
        <w:t xml:space="preserve"> (last visited </w:t>
      </w:r>
      <w:r w:rsidR="00087099" w:rsidRPr="00804A4E">
        <w:rPr>
          <w:rFonts w:ascii="Franklin Gothic Book" w:hAnsi="Franklin Gothic Book" w:cs="Times New Roman"/>
          <w:sz w:val="18"/>
          <w:szCs w:val="18"/>
        </w:rPr>
        <w:t>Jan. 24, 2022</w:t>
      </w:r>
      <w:r w:rsidRPr="00804A4E">
        <w:rPr>
          <w:rFonts w:ascii="Franklin Gothic Book" w:hAnsi="Franklin Gothic Book" w:cs="Times New Roman"/>
          <w:sz w:val="18"/>
          <w:szCs w:val="18"/>
        </w:rPr>
        <w:t>).</w:t>
      </w:r>
    </w:p>
  </w:footnote>
  <w:footnote w:id="176">
    <w:p w14:paraId="3A02242C" w14:textId="77777777" w:rsidR="00B2406A" w:rsidRPr="00804A4E" w:rsidRDefault="00B2406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Although HPHC and THP have since merged to form Point32Health, all analyses in this report are based on pre-merger data, and the plans are referred to separately throughout.</w:t>
      </w:r>
    </w:p>
  </w:footnote>
  <w:footnote w:id="177">
    <w:p w14:paraId="0AB492CD" w14:textId="4D0E988A" w:rsidR="003C1B5A" w:rsidRPr="00804A4E" w:rsidRDefault="003C1B5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4C5D6A" w:rsidRPr="00804A4E">
        <w:rPr>
          <w:rFonts w:ascii="Franklin Gothic Book" w:hAnsi="Franklin Gothic Book" w:cs="Times New Roman"/>
          <w:smallCaps/>
          <w:sz w:val="18"/>
          <w:szCs w:val="18"/>
        </w:rPr>
        <w:t>Ctr. for Health Info. &amp; Analysis</w:t>
      </w:r>
      <w:r w:rsidR="004C5D6A" w:rsidRPr="00804A4E">
        <w:rPr>
          <w:rFonts w:ascii="Franklin Gothic Book" w:hAnsi="Franklin Gothic Book" w:cs="Times New Roman"/>
          <w:sz w:val="18"/>
          <w:szCs w:val="18"/>
        </w:rPr>
        <w:t xml:space="preserve">, </w:t>
      </w:r>
      <w:r w:rsidR="004C5D6A" w:rsidRPr="00804A4E">
        <w:rPr>
          <w:rFonts w:ascii="Franklin Gothic Book" w:hAnsi="Franklin Gothic Book" w:cs="Times New Roman"/>
          <w:smallCaps/>
          <w:sz w:val="18"/>
          <w:szCs w:val="18"/>
        </w:rPr>
        <w:t>Relative Price and Provider Price Variation in the Massachusetts Commercial Market, Methodology Report</w:t>
      </w:r>
      <w:r w:rsidR="004C5D6A" w:rsidRPr="00804A4E">
        <w:rPr>
          <w:rFonts w:ascii="Franklin Gothic Book" w:hAnsi="Franklin Gothic Book" w:cs="Times New Roman"/>
          <w:sz w:val="18"/>
          <w:szCs w:val="18"/>
        </w:rPr>
        <w:t xml:space="preserve"> (June 2021), </w:t>
      </w:r>
      <w:r w:rsidR="00A94F9B">
        <w:rPr>
          <w:rFonts w:ascii="Franklin Gothic Book" w:hAnsi="Franklin Gothic Book" w:cs="Times New Roman"/>
          <w:i/>
          <w:iCs/>
          <w:sz w:val="18"/>
          <w:szCs w:val="18"/>
        </w:rPr>
        <w:t xml:space="preserve">available </w:t>
      </w:r>
      <w:hyperlink r:id="rId79" w:history="1">
        <w:r w:rsidR="00A94F9B">
          <w:rPr>
            <w:rStyle w:val="Hyperlink"/>
            <w:rFonts w:ascii="Franklin Gothic Book" w:hAnsi="Franklin Gothic Book" w:cs="Times New Roman"/>
            <w:sz w:val="18"/>
            <w:szCs w:val="18"/>
          </w:rPr>
          <w:t>at https://www.chiamass.gov/assets/docs/r/pubs/2021/Relative-Price-Methodology-2019.pdf</w:t>
        </w:r>
      </w:hyperlink>
      <w:r w:rsidR="004C5D6A"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p>
  </w:footnote>
  <w:footnote w:id="178">
    <w:p w14:paraId="094A2A1C" w14:textId="094EDD57" w:rsidR="004C5D6A" w:rsidRPr="00804A4E" w:rsidRDefault="004C5D6A"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hyperlink w:anchor="Appendix_IVB" w:history="1">
        <w:r w:rsidR="000D74DC" w:rsidRPr="00804A4E">
          <w:rPr>
            <w:rStyle w:val="Hyperlink"/>
            <w:rFonts w:ascii="Franklin Gothic Book" w:hAnsi="Franklin Gothic Book" w:cs="Times New Roman"/>
            <w:sz w:val="18"/>
            <w:szCs w:val="18"/>
          </w:rPr>
          <w:t>Appendix IV.B</w:t>
        </w:r>
      </w:hyperlink>
      <w:r w:rsidR="000D74DC" w:rsidRPr="00804A4E">
        <w:rPr>
          <w:rFonts w:ascii="Franklin Gothic Book" w:hAnsi="Franklin Gothic Book" w:cs="Times New Roman"/>
          <w:sz w:val="18"/>
          <w:szCs w:val="18"/>
        </w:rPr>
        <w:t>.</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REF Section_IVC \h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end"/>
      </w:r>
    </w:p>
  </w:footnote>
  <w:footnote w:id="179">
    <w:p w14:paraId="708AD655" w14:textId="318DFD04" w:rsidR="004C5D6A" w:rsidRPr="00804A4E" w:rsidRDefault="004C5D6A" w:rsidP="00142DCC">
      <w:pPr>
        <w:pStyle w:val="FootnoteText"/>
        <w:widowControl w:val="0"/>
        <w:rPr>
          <w:rFonts w:ascii="Franklin Gothic Book" w:hAnsi="Franklin Gothic Book"/>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hyperlink w:anchor="Appendix_IIC" w:history="1">
        <w:r w:rsidRPr="00804A4E">
          <w:rPr>
            <w:rStyle w:val="Hyperlink"/>
            <w:rFonts w:ascii="Franklin Gothic Book" w:hAnsi="Franklin Gothic Book" w:cs="Times New Roman"/>
            <w:sz w:val="18"/>
            <w:szCs w:val="18"/>
          </w:rPr>
          <w:t>Appendix II.C</w:t>
        </w:r>
      </w:hyperlink>
      <w:r w:rsidRPr="00804A4E">
        <w:rPr>
          <w:rFonts w:ascii="Franklin Gothic Book" w:hAnsi="Franklin Gothic Book" w:cs="Times New Roman"/>
          <w:sz w:val="18"/>
          <w:szCs w:val="18"/>
        </w:rPr>
        <w:t>.</w:t>
      </w:r>
    </w:p>
  </w:footnote>
  <w:footnote w:id="180">
    <w:p w14:paraId="29CECAD5" w14:textId="7EA628EA" w:rsidR="00360341" w:rsidRPr="00804A4E" w:rsidRDefault="00360341" w:rsidP="00142DCC">
      <w:pPr>
        <w:pStyle w:val="FootnoteText"/>
        <w:widowControl w:val="0"/>
        <w:rPr>
          <w:rStyle w:val="FootnoteReference"/>
          <w:rFonts w:ascii="Franklin Gothic Book" w:hAnsi="Franklin Gothic Book"/>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Devesh Raval, Ted Rosenbaum, and Steven A Tenn, </w:t>
      </w:r>
      <w:r w:rsidRPr="00804A4E">
        <w:rPr>
          <w:rFonts w:ascii="Franklin Gothic Book" w:hAnsi="Franklin Gothic Book" w:cs="Times New Roman"/>
          <w:i/>
          <w:iCs/>
          <w:sz w:val="18"/>
          <w:szCs w:val="18"/>
        </w:rPr>
        <w:t>A Semiparametric Discrete Choice Model: An Application to Hospital Mergers</w:t>
      </w:r>
      <w:r w:rsidR="00B85436"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r w:rsidR="00B85436" w:rsidRPr="00804A4E">
        <w:rPr>
          <w:rFonts w:ascii="Franklin Gothic Book" w:hAnsi="Franklin Gothic Book" w:cs="Times New Roman"/>
          <w:sz w:val="18"/>
          <w:szCs w:val="18"/>
        </w:rPr>
        <w:t xml:space="preserve">55 </w:t>
      </w:r>
      <w:r w:rsidRPr="00804A4E">
        <w:rPr>
          <w:rFonts w:ascii="Franklin Gothic Book" w:hAnsi="Franklin Gothic Book" w:cs="Times New Roman"/>
          <w:smallCaps/>
          <w:sz w:val="18"/>
          <w:szCs w:val="18"/>
        </w:rPr>
        <w:t>Economic Inquiry</w:t>
      </w:r>
      <w:r w:rsidR="00B85436" w:rsidRPr="00804A4E">
        <w:rPr>
          <w:rFonts w:ascii="Franklin Gothic Book" w:hAnsi="Franklin Gothic Book" w:cs="Times New Roman"/>
          <w:sz w:val="18"/>
          <w:szCs w:val="18"/>
        </w:rPr>
        <w:t xml:space="preserve"> 1919 (2017), </w:t>
      </w:r>
      <w:r w:rsidR="0015157D">
        <w:rPr>
          <w:rFonts w:ascii="Franklin Gothic Book" w:hAnsi="Franklin Gothic Book" w:cs="Times New Roman"/>
          <w:i/>
          <w:iCs/>
          <w:sz w:val="18"/>
          <w:szCs w:val="18"/>
        </w:rPr>
        <w:t>available</w:t>
      </w:r>
      <w:r w:rsidR="00B85436" w:rsidRPr="00804A4E">
        <w:rPr>
          <w:rFonts w:ascii="Franklin Gothic Book" w:hAnsi="Franklin Gothic Book" w:cs="Times New Roman"/>
          <w:i/>
          <w:iCs/>
          <w:sz w:val="18"/>
          <w:szCs w:val="18"/>
        </w:rPr>
        <w:t xml:space="preserve"> </w:t>
      </w:r>
      <w:hyperlink r:id="rId80" w:history="1">
        <w:r w:rsidR="0015157D">
          <w:rPr>
            <w:rStyle w:val="Hyperlink"/>
            <w:rFonts w:ascii="Franklin Gothic Book" w:hAnsi="Franklin Gothic Book" w:cs="Times New Roman"/>
            <w:sz w:val="18"/>
            <w:szCs w:val="18"/>
          </w:rPr>
          <w:t>at https://doi.org/10.1111/ecin.12454</w:t>
        </w:r>
      </w:hyperlink>
      <w:r w:rsidR="000D74DC" w:rsidRPr="00804A4E">
        <w:rPr>
          <w:rStyle w:val="Hyperlink"/>
          <w:rFonts w:ascii="Franklin Gothic Book" w:hAnsi="Franklin Gothic Book" w:cs="Times New Roman"/>
          <w:color w:val="auto"/>
          <w:sz w:val="18"/>
          <w:szCs w:val="18"/>
          <w:u w:val="none"/>
        </w:rPr>
        <w:t>.</w:t>
      </w:r>
      <w:r w:rsidR="004C2E70" w:rsidRPr="00804A4E">
        <w:rPr>
          <w:rFonts w:ascii="Franklin Gothic Book" w:hAnsi="Franklin Gothic Book" w:cs="Times New Roman"/>
          <w:sz w:val="18"/>
          <w:szCs w:val="18"/>
        </w:rPr>
        <w:t xml:space="preserve"> </w:t>
      </w:r>
    </w:p>
  </w:footnote>
  <w:footnote w:id="181">
    <w:p w14:paraId="7D481F46" w14:textId="0743DEDC"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12" w:name="_Hlk93417122"/>
      <w:r w:rsidRPr="00804A4E">
        <w:rPr>
          <w:rFonts w:ascii="Franklin Gothic Book" w:hAnsi="Franklin Gothic Book" w:cs="Times New Roman"/>
          <w:sz w:val="18"/>
          <w:szCs w:val="18"/>
        </w:rPr>
        <w:t>When applied to the example of MGH West, if this data limitation causes patients to appear be drawn to the ambulatory sites from MGH’s higher-priced Boston competitors rather than lower</w:t>
      </w:r>
      <w:r w:rsidR="009A121C" w:rsidRPr="00804A4E">
        <w:rPr>
          <w:rFonts w:ascii="Franklin Gothic Book" w:hAnsi="Franklin Gothic Book" w:cs="Times New Roman"/>
          <w:sz w:val="18"/>
          <w:szCs w:val="18"/>
        </w:rPr>
        <w:t>-</w:t>
      </w:r>
      <w:r w:rsidRPr="00804A4E">
        <w:rPr>
          <w:rFonts w:ascii="Franklin Gothic Book" w:hAnsi="Franklin Gothic Book" w:cs="Times New Roman"/>
          <w:sz w:val="18"/>
          <w:szCs w:val="18"/>
        </w:rPr>
        <w:t>price</w:t>
      </w:r>
      <w:r w:rsidR="009A121C" w:rsidRPr="00804A4E">
        <w:rPr>
          <w:rFonts w:ascii="Franklin Gothic Book" w:hAnsi="Franklin Gothic Book" w:cs="Times New Roman"/>
          <w:sz w:val="18"/>
          <w:szCs w:val="18"/>
        </w:rPr>
        <w:t>d</w:t>
      </w:r>
      <w:r w:rsidRPr="00804A4E">
        <w:rPr>
          <w:rFonts w:ascii="Franklin Gothic Book" w:hAnsi="Franklin Gothic Book" w:cs="Times New Roman"/>
          <w:sz w:val="18"/>
          <w:szCs w:val="18"/>
        </w:rPr>
        <w:t xml:space="preserve"> competitors near Waltham, potential savings would be overestimated.</w:t>
      </w:r>
      <w:bookmarkEnd w:id="112"/>
    </w:p>
  </w:footnote>
  <w:footnote w:id="182">
    <w:p w14:paraId="52E4AEB9" w14:textId="32F0D97A"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DoN Application,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A85A47" w:rsidRPr="00804A4E">
        <w:rPr>
          <w:rFonts w:ascii="Franklin Gothic Book" w:hAnsi="Franklin Gothic Book" w:cs="Times New Roman"/>
          <w:sz w:val="18"/>
          <w:szCs w:val="18"/>
        </w:rPr>
        <w:fldChar w:fldCharType="begin"/>
      </w:r>
      <w:r w:rsidR="00A85A47" w:rsidRPr="00804A4E">
        <w:rPr>
          <w:rFonts w:ascii="Franklin Gothic Book" w:hAnsi="Franklin Gothic Book" w:cs="Times New Roman"/>
          <w:sz w:val="18"/>
          <w:szCs w:val="18"/>
        </w:rPr>
        <w:instrText xml:space="preserve"> NOTEREF _Ref93624434 \h </w:instrText>
      </w:r>
      <w:r w:rsidR="00E87FD3" w:rsidRPr="00804A4E">
        <w:rPr>
          <w:rFonts w:ascii="Franklin Gothic Book" w:hAnsi="Franklin Gothic Book" w:cs="Times New Roman"/>
          <w:sz w:val="18"/>
          <w:szCs w:val="18"/>
        </w:rPr>
        <w:instrText xml:space="preserve"> \* MERGEFORMAT </w:instrText>
      </w:r>
      <w:r w:rsidR="00A85A47" w:rsidRPr="00804A4E">
        <w:rPr>
          <w:rFonts w:ascii="Franklin Gothic Book" w:hAnsi="Franklin Gothic Book" w:cs="Times New Roman"/>
          <w:sz w:val="18"/>
          <w:szCs w:val="18"/>
        </w:rPr>
      </w:r>
      <w:r w:rsidR="00A85A4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8</w:t>
      </w:r>
      <w:r w:rsidR="00A85A4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Appendix 2, DoN Narrative at 11. </w:t>
      </w:r>
    </w:p>
  </w:footnote>
  <w:footnote w:id="183">
    <w:p w14:paraId="2A0FD76F" w14:textId="494242A3"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21C70" w:rsidRPr="00804A4E">
        <w:rPr>
          <w:rFonts w:ascii="Franklin Gothic Book" w:hAnsi="Franklin Gothic Book" w:cs="Times New Roman"/>
          <w:sz w:val="18"/>
          <w:szCs w:val="18"/>
        </w:rPr>
        <w:fldChar w:fldCharType="begin"/>
      </w:r>
      <w:r w:rsidR="00D21C70"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21C70" w:rsidRPr="00804A4E">
        <w:rPr>
          <w:rFonts w:ascii="Franklin Gothic Book" w:hAnsi="Franklin Gothic Book" w:cs="Times New Roman"/>
          <w:sz w:val="18"/>
          <w:szCs w:val="18"/>
        </w:rPr>
      </w:r>
      <w:r w:rsidR="00D21C70"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21C70"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2 (“a net increase in the number of licensed beds at MGH of 94 and a new increase in the number of operational beds at MGH of 118”).</w:t>
      </w:r>
    </w:p>
  </w:footnote>
  <w:footnote w:id="184">
    <w:p w14:paraId="61DD2FD8" w14:textId="2EDABCA3" w:rsidR="00D72996" w:rsidRPr="00804A4E" w:rsidRDefault="00D72996"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 Internal Document Disclosures,</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_Ref93071831 \h </w:instrText>
      </w:r>
      <w:r w:rsidR="00804A4E" w:rsidRPr="00804A4E">
        <w:rPr>
          <w:rFonts w:ascii="Franklin Gothic Book" w:hAnsi="Franklin Gothic Book" w:cs="Times New Roman"/>
          <w:sz w:val="18"/>
          <w:szCs w:val="18"/>
        </w:rPr>
        <w:instrText xml:space="preserve">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19</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85">
    <w:p w14:paraId="3CC88A33" w14:textId="5203F0EB"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w:t>
      </w:r>
      <w:r w:rsidRPr="00804A4E">
        <w:rPr>
          <w:rFonts w:ascii="Franklin Gothic Book" w:hAnsi="Franklin Gothic Book" w:cs="Times New Roman"/>
          <w:i/>
          <w:iCs/>
          <w:sz w:val="18"/>
          <w:szCs w:val="18"/>
        </w:rPr>
        <w:t xml:space="preserve"> supra</w:t>
      </w:r>
      <w:r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 xml:space="preserve">MGH16 and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E101A7" w:rsidRPr="00804A4E">
        <w:rPr>
          <w:rFonts w:ascii="Franklin Gothic Book" w:hAnsi="Franklin Gothic Book" w:cs="Times New Roman"/>
          <w:sz w:val="18"/>
          <w:szCs w:val="18"/>
        </w:rPr>
        <w:fldChar w:fldCharType="begin"/>
      </w:r>
      <w:r w:rsidR="00E101A7"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E101A7" w:rsidRPr="00804A4E">
        <w:rPr>
          <w:rFonts w:ascii="Franklin Gothic Book" w:hAnsi="Franklin Gothic Book" w:cs="Times New Roman"/>
          <w:sz w:val="18"/>
          <w:szCs w:val="18"/>
        </w:rPr>
      </w:r>
      <w:r w:rsidR="00E101A7"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101A7"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BWFH11. The Faulkner ICA incorporates a model specifically favoring diversion from BWH that would result in a 40% decrease in BWH’s share of all patients in Faulkner’s service area.</w:t>
      </w:r>
    </w:p>
  </w:footnote>
  <w:footnote w:id="186">
    <w:p w14:paraId="746AAE4D" w14:textId="7D8BECF0"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Ambulatory Q&amp;A, </w:t>
      </w:r>
      <w:r w:rsidRPr="00804A4E">
        <w:rPr>
          <w:rFonts w:ascii="Franklin Gothic Book" w:hAnsi="Franklin Gothic Book" w:cs="Times New Roman"/>
          <w:i/>
          <w:iCs/>
          <w:sz w:val="18"/>
          <w:szCs w:val="18"/>
        </w:rPr>
        <w:t xml:space="preserve">supra </w:t>
      </w:r>
      <w:r w:rsidRPr="00804A4E">
        <w:rPr>
          <w:rFonts w:ascii="Franklin Gothic Book" w:hAnsi="Franklin Gothic Book" w:cs="Times New Roman"/>
          <w:sz w:val="18"/>
          <w:szCs w:val="18"/>
        </w:rPr>
        <w:t xml:space="preserve">note </w:t>
      </w:r>
      <w:r w:rsidR="0053179E" w:rsidRPr="00804A4E">
        <w:rPr>
          <w:rFonts w:ascii="Franklin Gothic Book" w:hAnsi="Franklin Gothic Book" w:cs="Times New Roman"/>
          <w:sz w:val="18"/>
          <w:szCs w:val="18"/>
        </w:rPr>
        <w:fldChar w:fldCharType="begin"/>
      </w:r>
      <w:r w:rsidR="0053179E" w:rsidRPr="00804A4E">
        <w:rPr>
          <w:rFonts w:ascii="Franklin Gothic Book" w:hAnsi="Franklin Gothic Book" w:cs="Times New Roman"/>
          <w:sz w:val="18"/>
          <w:szCs w:val="18"/>
        </w:rPr>
        <w:instrText xml:space="preserve"> NOTEREF _Ref93736523 \h </w:instrText>
      </w:r>
      <w:r w:rsidR="004C2E70" w:rsidRPr="00804A4E">
        <w:rPr>
          <w:rFonts w:ascii="Franklin Gothic Book" w:hAnsi="Franklin Gothic Book" w:cs="Times New Roman"/>
          <w:sz w:val="18"/>
          <w:szCs w:val="18"/>
        </w:rPr>
        <w:instrText xml:space="preserve"> \* MERGEFORMAT </w:instrText>
      </w:r>
      <w:r w:rsidR="0053179E" w:rsidRPr="00804A4E">
        <w:rPr>
          <w:rFonts w:ascii="Franklin Gothic Book" w:hAnsi="Franklin Gothic Book" w:cs="Times New Roman"/>
          <w:sz w:val="18"/>
          <w:szCs w:val="18"/>
        </w:rPr>
      </w:r>
      <w:r w:rsidR="0053179E"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56</w:t>
      </w:r>
      <w:r w:rsidR="0053179E"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9 (projecting a total of nearly 175,000 annual physician visits at the Westborough and Woburn sites).</w:t>
      </w:r>
    </w:p>
  </w:footnote>
  <w:footnote w:id="187">
    <w:p w14:paraId="3BADAFC4" w14:textId="344BD937"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76 to 83.</w:t>
      </w:r>
    </w:p>
  </w:footnote>
  <w:footnote w:id="188">
    <w:p w14:paraId="113CCC58" w14:textId="5CD8DDD5"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A60A9F" w:rsidRPr="00804A4E">
        <w:rPr>
          <w:rFonts w:ascii="Franklin Gothic Book" w:hAnsi="Franklin Gothic Book" w:cs="Times New Roman"/>
          <w:sz w:val="18"/>
          <w:szCs w:val="18"/>
        </w:rPr>
        <w:t xml:space="preserve">Brent K. </w:t>
      </w:r>
      <w:r w:rsidRPr="00804A4E">
        <w:rPr>
          <w:rFonts w:ascii="Franklin Gothic Book" w:hAnsi="Franklin Gothic Book" w:cs="Times New Roman"/>
          <w:sz w:val="18"/>
          <w:szCs w:val="18"/>
        </w:rPr>
        <w:t xml:space="preserve">Hollenbeck at al., </w:t>
      </w:r>
      <w:r w:rsidRPr="00804A4E">
        <w:rPr>
          <w:rFonts w:ascii="Franklin Gothic Book" w:hAnsi="Franklin Gothic Book" w:cs="Times New Roman"/>
          <w:i/>
          <w:iCs/>
          <w:sz w:val="18"/>
          <w:szCs w:val="18"/>
        </w:rPr>
        <w:t>Ambulatory Surgery Centers and Their Intended Effects on Outpatient Surgery</w:t>
      </w:r>
      <w:r w:rsidR="00A60A9F" w:rsidRPr="00804A4E">
        <w:rPr>
          <w:rFonts w:ascii="Franklin Gothic Book" w:hAnsi="Franklin Gothic Book" w:cs="Times New Roman"/>
          <w:i/>
          <w:iCs/>
          <w:sz w:val="18"/>
          <w:szCs w:val="18"/>
        </w:rPr>
        <w:t xml:space="preserve">, </w:t>
      </w:r>
      <w:r w:rsidR="00A60A9F" w:rsidRPr="00804A4E">
        <w:rPr>
          <w:rFonts w:ascii="Franklin Gothic Book" w:hAnsi="Franklin Gothic Book" w:cs="Times New Roman"/>
          <w:sz w:val="18"/>
          <w:szCs w:val="18"/>
        </w:rPr>
        <w:t xml:space="preserve">50 </w:t>
      </w:r>
      <w:r w:rsidR="00A60A9F" w:rsidRPr="00804A4E">
        <w:rPr>
          <w:rFonts w:ascii="Franklin Gothic Book" w:hAnsi="Franklin Gothic Book" w:cs="Times New Roman"/>
          <w:smallCaps/>
          <w:sz w:val="18"/>
          <w:szCs w:val="18"/>
        </w:rPr>
        <w:t>Health Services Research</w:t>
      </w:r>
      <w:r w:rsidR="00A60A9F" w:rsidRPr="00804A4E">
        <w:rPr>
          <w:rFonts w:ascii="Franklin Gothic Book" w:hAnsi="Franklin Gothic Book" w:cs="Times New Roman"/>
          <w:sz w:val="18"/>
          <w:szCs w:val="18"/>
        </w:rPr>
        <w:t xml:space="preserve"> 1491</w:t>
      </w:r>
      <w:r w:rsidRPr="00804A4E">
        <w:rPr>
          <w:rFonts w:ascii="Franklin Gothic Book" w:hAnsi="Franklin Gothic Book" w:cs="Times New Roman"/>
          <w:sz w:val="18"/>
          <w:szCs w:val="18"/>
        </w:rPr>
        <w:t xml:space="preserve"> (2015)</w:t>
      </w:r>
      <w:r w:rsidR="00A60A9F" w:rsidRPr="00804A4E">
        <w:rPr>
          <w:rFonts w:ascii="Franklin Gothic Book" w:hAnsi="Franklin Gothic Book" w:cs="Times New Roman"/>
          <w:sz w:val="18"/>
          <w:szCs w:val="18"/>
        </w:rPr>
        <w:t xml:space="preserve">, </w:t>
      </w:r>
      <w:r w:rsidR="00A60A9F" w:rsidRPr="00804A4E">
        <w:rPr>
          <w:rFonts w:ascii="Franklin Gothic Book" w:hAnsi="Franklin Gothic Book" w:cs="Times New Roman"/>
          <w:i/>
          <w:iCs/>
          <w:sz w:val="18"/>
          <w:szCs w:val="18"/>
        </w:rPr>
        <w:t xml:space="preserve">available at </w:t>
      </w:r>
      <w:hyperlink r:id="rId81" w:history="1">
        <w:r w:rsidR="00A60A9F" w:rsidRPr="00804A4E">
          <w:rPr>
            <w:rStyle w:val="Hyperlink"/>
            <w:rFonts w:ascii="Franklin Gothic Book" w:hAnsi="Franklin Gothic Book" w:cs="Times New Roman"/>
            <w:sz w:val="18"/>
            <w:szCs w:val="18"/>
          </w:rPr>
          <w:t>https://dx.doi.org/10.1111%2F1475-6773.12278</w:t>
        </w:r>
      </w:hyperlink>
      <w:r w:rsidR="00A60A9F" w:rsidRPr="00804A4E">
        <w:rPr>
          <w:rFonts w:ascii="Franklin Gothic Book" w:hAnsi="Franklin Gothic Book" w:cs="Times New Roman"/>
          <w:i/>
          <w:iCs/>
          <w:sz w:val="18"/>
          <w:szCs w:val="18"/>
        </w:rPr>
        <w:t xml:space="preserve"> </w:t>
      </w:r>
      <w:r w:rsidRPr="00804A4E">
        <w:rPr>
          <w:rFonts w:ascii="Franklin Gothic Book" w:hAnsi="Franklin Gothic Book" w:cs="Times New Roman"/>
          <w:sz w:val="18"/>
          <w:szCs w:val="18"/>
        </w:rPr>
        <w:t>(finding that hospital-based surgery declined following the entry of an ASC, but that volume at the ASC grew by greater amounts, indicating that the aggregate outpatient surgical volume increased).</w:t>
      </w:r>
    </w:p>
  </w:footnote>
  <w:footnote w:id="189">
    <w:p w14:paraId="2AE05B3A" w14:textId="06A8CDA1" w:rsidR="00DF0CED" w:rsidRPr="00804A4E" w:rsidRDefault="00DF0CE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MGH22.</w:t>
      </w:r>
    </w:p>
  </w:footnote>
  <w:footnote w:id="190">
    <w:p w14:paraId="7C188633" w14:textId="3A4DE258" w:rsidR="00DF0CED" w:rsidRPr="00804A4E" w:rsidRDefault="00DF0CE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w:t>
      </w:r>
      <w:r w:rsidR="003D7ED5">
        <w:rPr>
          <w:rFonts w:ascii="Franklin Gothic Book" w:hAnsi="Franklin Gothic Book" w:cs="Times New Roman"/>
          <w:sz w:val="18"/>
          <w:szCs w:val="18"/>
        </w:rPr>
        <w:t>t</w:t>
      </w:r>
      <w:r w:rsidRPr="00804A4E">
        <w:rPr>
          <w:rFonts w:ascii="Franklin Gothic Book" w:hAnsi="Franklin Gothic Book" w:cs="Times New Roman"/>
          <w:sz w:val="18"/>
          <w:szCs w:val="18"/>
        </w:rPr>
        <w:t xml:space="preserve">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BWFH14.</w:t>
      </w:r>
    </w:p>
  </w:footnote>
  <w:footnote w:id="191">
    <w:p w14:paraId="6D838812" w14:textId="62576A90" w:rsidR="00360341" w:rsidRPr="00804A4E" w:rsidRDefault="00360341" w:rsidP="00142DCC">
      <w:pPr>
        <w:pStyle w:val="FootnoteText"/>
        <w:widowControl w:val="0"/>
        <w:tabs>
          <w:tab w:val="left" w:pos="180"/>
        </w:tabs>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13" w:name="_Hlk93879955"/>
      <w:r w:rsidR="00447EC5" w:rsidRPr="002E0F91">
        <w:rPr>
          <w:rFonts w:ascii="Franklin Gothic Book" w:hAnsi="Franklin Gothic Book" w:cs="Times New Roman"/>
          <w:sz w:val="18"/>
          <w:szCs w:val="18"/>
        </w:rPr>
        <w:t>Applying the changes in total commercial spending predicted by the ICAs to total commercial inpatient revenue from CHIA relative price data, the HPC estimates that the ICA methodologies predict annual spending increases of approximately $6.4 million for inpatient care at MGH and a decrease of nearly $170,000 for Faulkner. Based on commercial revenue observed in the APCD for CT and MR imaging, and increasing that revenue based on the proportion of self-insured to fully-insured member months for each payer as reported to CHIA, commercial spending increases for new CT and MR volume at MGH would be approximately $675,000, with new MR volume at Faulkner not having a material spending impact. The commercial savings for advanced imaging in connection with ambulatory expansions estimated by the Ambulatory ICA would be $2.3 million to $2.9 million per year.</w:t>
      </w:r>
      <w:r w:rsidR="002E0F91" w:rsidRPr="002E0F91">
        <w:rPr>
          <w:rFonts w:ascii="Franklin Gothic Book" w:hAnsi="Franklin Gothic Book" w:cs="Times New Roman"/>
          <w:sz w:val="18"/>
          <w:szCs w:val="18"/>
        </w:rPr>
        <w:t xml:space="preserve"> The ICAs project other impacts for commercial payers (e.g. ambulatory surgery at the ambulatory sites, outpatient oncology and cardiovascular procedures at MGH) and impacts for other payer categories that the HPC was not able to translate into </w:t>
      </w:r>
      <w:r w:rsidR="002E0F91" w:rsidRPr="002E0F91">
        <w:rPr>
          <w:rFonts w:ascii="Franklin Gothic Book" w:hAnsi="Franklin Gothic Book"/>
          <w:sz w:val="18"/>
          <w:szCs w:val="18"/>
        </w:rPr>
        <w:t>whole-dollar impacts.</w:t>
      </w:r>
      <w:bookmarkEnd w:id="113"/>
    </w:p>
  </w:footnote>
  <w:footnote w:id="192">
    <w:p w14:paraId="6A0810A0" w14:textId="74FA39BD"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66-67</w:t>
      </w:r>
      <w:r w:rsidR="003A2EB2" w:rsidRPr="00804A4E">
        <w:rPr>
          <w:rFonts w:ascii="Franklin Gothic Book" w:hAnsi="Franklin Gothic Book" w:cs="Times New Roman"/>
          <w:sz w:val="18"/>
          <w:szCs w:val="18"/>
        </w:rPr>
        <w:t xml:space="preserve"> and</w:t>
      </w:r>
      <w:r w:rsidRPr="00804A4E">
        <w:rPr>
          <w:rFonts w:ascii="Franklin Gothic Book" w:hAnsi="Franklin Gothic Book" w:cs="Times New Roman"/>
          <w:sz w:val="18"/>
          <w:szCs w:val="18"/>
        </w:rPr>
        <w:t xml:space="preserve"> Figure ICC32; MGH ICA, </w:t>
      </w:r>
      <w:r w:rsidR="003A2EB2" w:rsidRPr="00804A4E">
        <w:rPr>
          <w:rFonts w:ascii="Franklin Gothic Book" w:hAnsi="Franklin Gothic Book" w:cs="Times New Roman"/>
          <w:i/>
          <w:iCs/>
          <w:sz w:val="18"/>
          <w:szCs w:val="18"/>
        </w:rPr>
        <w:t xml:space="preserve">supra </w:t>
      </w:r>
      <w:r w:rsidR="003A2EB2" w:rsidRPr="00804A4E">
        <w:rPr>
          <w:rFonts w:ascii="Franklin Gothic Book" w:hAnsi="Franklin Gothic Book" w:cs="Times New Roman"/>
          <w:sz w:val="18"/>
          <w:szCs w:val="18"/>
        </w:rPr>
        <w:t xml:space="preserve">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003A2EB2" w:rsidRPr="00804A4E">
        <w:rPr>
          <w:rFonts w:ascii="Franklin Gothic Book" w:hAnsi="Franklin Gothic Book" w:cs="Times New Roman"/>
          <w:sz w:val="18"/>
          <w:szCs w:val="18"/>
        </w:rPr>
        <w:t xml:space="preserve">, at </w:t>
      </w:r>
      <w:r w:rsidRPr="00804A4E">
        <w:rPr>
          <w:rFonts w:ascii="Franklin Gothic Book" w:hAnsi="Franklin Gothic Book" w:cs="Times New Roman"/>
          <w:sz w:val="18"/>
          <w:szCs w:val="18"/>
        </w:rPr>
        <w:t xml:space="preserve">Figure MGH31; </w:t>
      </w:r>
      <w:r w:rsidR="003A2EB2" w:rsidRPr="00804A4E">
        <w:rPr>
          <w:rFonts w:ascii="Franklin Gothic Book" w:hAnsi="Franklin Gothic Book" w:cs="Times New Roman"/>
          <w:sz w:val="18"/>
          <w:szCs w:val="18"/>
        </w:rPr>
        <w:t xml:space="preserve">Faulkner </w:t>
      </w:r>
      <w:r w:rsidRPr="00804A4E">
        <w:rPr>
          <w:rFonts w:ascii="Franklin Gothic Book" w:hAnsi="Franklin Gothic Book" w:cs="Times New Roman"/>
          <w:sz w:val="18"/>
          <w:szCs w:val="18"/>
        </w:rPr>
        <w:t xml:space="preserve">ICA, </w:t>
      </w:r>
      <w:r w:rsidR="003A2EB2" w:rsidRPr="00804A4E">
        <w:rPr>
          <w:rFonts w:ascii="Franklin Gothic Book" w:hAnsi="Franklin Gothic Book" w:cs="Times New Roman"/>
          <w:i/>
          <w:iCs/>
          <w:sz w:val="18"/>
          <w:szCs w:val="18"/>
        </w:rPr>
        <w:t xml:space="preserve">supra </w:t>
      </w:r>
      <w:r w:rsidR="003A2EB2" w:rsidRPr="00804A4E">
        <w:rPr>
          <w:rFonts w:ascii="Franklin Gothic Book" w:hAnsi="Franklin Gothic Book" w:cs="Times New Roman"/>
          <w:sz w:val="18"/>
          <w:szCs w:val="18"/>
        </w:rPr>
        <w:t xml:space="preserve">note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003A2EB2" w:rsidRPr="00804A4E">
        <w:rPr>
          <w:rFonts w:ascii="Franklin Gothic Book" w:hAnsi="Franklin Gothic Book" w:cs="Times New Roman"/>
          <w:sz w:val="18"/>
          <w:szCs w:val="18"/>
        </w:rPr>
        <w:t xml:space="preserve">, at </w:t>
      </w:r>
      <w:r w:rsidRPr="00804A4E">
        <w:rPr>
          <w:rFonts w:ascii="Franklin Gothic Book" w:hAnsi="Franklin Gothic Book" w:cs="Times New Roman"/>
          <w:sz w:val="18"/>
          <w:szCs w:val="18"/>
        </w:rPr>
        <w:t xml:space="preserve">Figure BWFH18. </w:t>
      </w:r>
    </w:p>
  </w:footnote>
  <w:footnote w:id="193">
    <w:p w14:paraId="5272AE27" w14:textId="4E6C35E9" w:rsidR="00360341" w:rsidRPr="00804A4E" w:rsidRDefault="0036034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example,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 xml:space="preserve">MGH31, in the body of the MGH ICA, shows estimates of the “change in spending per switch to MGH” aggregated across all payers that range from 8% to 38% across the MGH expansion service lines. But </w:t>
      </w:r>
      <w:r w:rsidR="003D7ED5">
        <w:rPr>
          <w:rFonts w:ascii="Franklin Gothic Book" w:hAnsi="Franklin Gothic Book" w:cs="Times New Roman"/>
          <w:sz w:val="18"/>
          <w:szCs w:val="18"/>
        </w:rPr>
        <w:t xml:space="preserve">Figures </w:t>
      </w:r>
      <w:r w:rsidRPr="00804A4E">
        <w:rPr>
          <w:rFonts w:ascii="Franklin Gothic Book" w:hAnsi="Franklin Gothic Book" w:cs="Times New Roman"/>
          <w:sz w:val="18"/>
          <w:szCs w:val="18"/>
        </w:rPr>
        <w:t>MGH22</w:t>
      </w:r>
      <w:r w:rsidR="003D7ED5">
        <w:rPr>
          <w:rFonts w:ascii="Franklin Gothic Book" w:hAnsi="Franklin Gothic Book" w:cs="Times New Roman"/>
          <w:sz w:val="18"/>
          <w:szCs w:val="18"/>
        </w:rPr>
        <w:t xml:space="preserve"> through </w:t>
      </w:r>
      <w:r w:rsidRPr="00804A4E">
        <w:rPr>
          <w:rFonts w:ascii="Franklin Gothic Book" w:hAnsi="Franklin Gothic Book" w:cs="Times New Roman"/>
          <w:sz w:val="18"/>
          <w:szCs w:val="18"/>
        </w:rPr>
        <w:t xml:space="preserve">MGH27, in appendix tables, show that same change in spending itemized by payer, with increases for commercial, Medicare Health Plans (i.e., Medicare Advantage), and MassHealth Managed Care all substantially higher than the increases reported in </w:t>
      </w:r>
      <w:r w:rsidR="003D7ED5">
        <w:rPr>
          <w:rFonts w:ascii="Franklin Gothic Book" w:hAnsi="Franklin Gothic Book" w:cs="Times New Roman"/>
          <w:sz w:val="18"/>
          <w:szCs w:val="18"/>
        </w:rPr>
        <w:t xml:space="preserve">Figure </w:t>
      </w:r>
      <w:r w:rsidRPr="00804A4E">
        <w:rPr>
          <w:rFonts w:ascii="Franklin Gothic Book" w:hAnsi="Franklin Gothic Book" w:cs="Times New Roman"/>
          <w:sz w:val="18"/>
          <w:szCs w:val="18"/>
        </w:rPr>
        <w:t xml:space="preserve">MGH31. </w:t>
      </w:r>
    </w:p>
  </w:footnote>
  <w:footnote w:id="194">
    <w:p w14:paraId="7701049B" w14:textId="4C83061B" w:rsidR="00E20DF1" w:rsidRPr="00804A4E" w:rsidRDefault="00E20DF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3A2EB2" w:rsidRPr="00804A4E">
        <w:rPr>
          <w:rFonts w:ascii="Franklin Gothic Book" w:hAnsi="Franklin Gothic Book" w:cs="Times New Roman"/>
          <w:sz w:val="18"/>
          <w:szCs w:val="18"/>
        </w:rPr>
        <w:t xml:space="preserve"> </w:t>
      </w:r>
      <w:r w:rsidR="003A2EB2" w:rsidRPr="00804A4E">
        <w:rPr>
          <w:rFonts w:ascii="Franklin Gothic Book" w:hAnsi="Franklin Gothic Book" w:cs="Times New Roman"/>
          <w:sz w:val="18"/>
          <w:szCs w:val="18"/>
        </w:rPr>
        <w:fldChar w:fldCharType="begin"/>
      </w:r>
      <w:r w:rsidR="003A2EB2"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A2EB2" w:rsidRPr="00804A4E">
        <w:rPr>
          <w:rFonts w:ascii="Franklin Gothic Book" w:hAnsi="Franklin Gothic Book" w:cs="Times New Roman"/>
          <w:sz w:val="18"/>
          <w:szCs w:val="18"/>
        </w:rPr>
      </w:r>
      <w:r w:rsidR="003A2EB2"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A2EB2"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37-46,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478EF" w:rsidRPr="00804A4E">
        <w:rPr>
          <w:rFonts w:ascii="Franklin Gothic Book" w:hAnsi="Franklin Gothic Book" w:cs="Times New Roman"/>
          <w:sz w:val="18"/>
          <w:szCs w:val="18"/>
        </w:rPr>
        <w:fldChar w:fldCharType="begin"/>
      </w:r>
      <w:r w:rsidR="00D478EF"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478EF" w:rsidRPr="00804A4E">
        <w:rPr>
          <w:rFonts w:ascii="Franklin Gothic Book" w:hAnsi="Franklin Gothic Book" w:cs="Times New Roman"/>
          <w:sz w:val="18"/>
          <w:szCs w:val="18"/>
        </w:rPr>
      </w:r>
      <w:r w:rsidR="00D478EF"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478EF"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58-68, and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E87FD3" w:rsidRPr="00804A4E">
        <w:rPr>
          <w:rFonts w:ascii="Franklin Gothic Book" w:hAnsi="Franklin Gothic Book" w:cs="Times New Roman"/>
          <w:sz w:val="18"/>
          <w:szCs w:val="18"/>
        </w:rPr>
        <w:t xml:space="preserve"> </w:t>
      </w:r>
      <w:r w:rsidR="00E87FD3" w:rsidRPr="00804A4E">
        <w:rPr>
          <w:rFonts w:ascii="Franklin Gothic Book" w:hAnsi="Franklin Gothic Book" w:cs="Times New Roman"/>
          <w:sz w:val="18"/>
          <w:szCs w:val="18"/>
        </w:rPr>
        <w:fldChar w:fldCharType="begin"/>
      </w:r>
      <w:r w:rsidR="00E87FD3"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E87FD3" w:rsidRPr="00804A4E">
        <w:rPr>
          <w:rFonts w:ascii="Franklin Gothic Book" w:hAnsi="Franklin Gothic Book" w:cs="Times New Roman"/>
          <w:sz w:val="18"/>
          <w:szCs w:val="18"/>
        </w:rPr>
      </w:r>
      <w:r w:rsidR="00E87F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87FD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50-61.</w:t>
      </w:r>
    </w:p>
  </w:footnote>
  <w:footnote w:id="195">
    <w:p w14:paraId="3B2284D1" w14:textId="385E5274" w:rsidR="00E20DF1" w:rsidRPr="00804A4E" w:rsidRDefault="00E20DF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See</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_Ref93603711 \h </w:instrText>
      </w:r>
      <w:r w:rsidR="008840D4" w:rsidRPr="00804A4E">
        <w:rPr>
          <w:rFonts w:ascii="Franklin Gothic Book" w:hAnsi="Franklin Gothic Book" w:cs="Times New Roman"/>
          <w:sz w:val="18"/>
          <w:szCs w:val="18"/>
        </w:rPr>
        <w:instrText xml:space="preserve">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26</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96">
    <w:p w14:paraId="5AEAC822" w14:textId="25346788" w:rsidR="00E20DF1" w:rsidRPr="00804A4E" w:rsidRDefault="00E20DF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See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REF Appendix_IIA \h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sidRPr="00036554">
        <w:t xml:space="preserve">Appendix II.A: </w:t>
      </w:r>
      <w:r w:rsidRPr="00804A4E">
        <w:rPr>
          <w:rFonts w:ascii="Franklin Gothic Book" w:hAnsi="Franklin Gothic Book" w:cs="Times New Roman"/>
          <w:sz w:val="18"/>
          <w:szCs w:val="18"/>
        </w:rPr>
        <w:fldChar w:fldCharType="end"/>
      </w:r>
    </w:p>
  </w:footnote>
  <w:footnote w:id="197">
    <w:p w14:paraId="49B51AC9" w14:textId="20EFF508" w:rsidR="00255ECF" w:rsidRPr="00804A4E" w:rsidRDefault="00255EC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Faulkner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E87FD3" w:rsidRPr="00804A4E">
        <w:rPr>
          <w:rFonts w:ascii="Franklin Gothic Book" w:hAnsi="Franklin Gothic Book" w:cs="Times New Roman"/>
          <w:sz w:val="18"/>
          <w:szCs w:val="18"/>
        </w:rPr>
        <w:fldChar w:fldCharType="begin"/>
      </w:r>
      <w:r w:rsidR="00E87FD3"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E87FD3" w:rsidRPr="00804A4E">
        <w:rPr>
          <w:rFonts w:ascii="Franklin Gothic Book" w:hAnsi="Franklin Gothic Book" w:cs="Times New Roman"/>
          <w:sz w:val="18"/>
          <w:szCs w:val="18"/>
        </w:rPr>
      </w:r>
      <w:r w:rsidR="00E87FD3"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E87FD3"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63-64.</w:t>
      </w:r>
    </w:p>
  </w:footnote>
  <w:footnote w:id="198">
    <w:p w14:paraId="2C7F4EC4" w14:textId="1E9C6DB7" w:rsidR="00255ECF" w:rsidRPr="00804A4E" w:rsidRDefault="00255EC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478EF" w:rsidRPr="00804A4E">
        <w:rPr>
          <w:rFonts w:ascii="Franklin Gothic Book" w:hAnsi="Franklin Gothic Book" w:cs="Times New Roman"/>
          <w:sz w:val="18"/>
          <w:szCs w:val="18"/>
        </w:rPr>
        <w:fldChar w:fldCharType="begin"/>
      </w:r>
      <w:r w:rsidR="00D478EF"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478EF" w:rsidRPr="00804A4E">
        <w:rPr>
          <w:rFonts w:ascii="Franklin Gothic Book" w:hAnsi="Franklin Gothic Book" w:cs="Times New Roman"/>
          <w:sz w:val="18"/>
          <w:szCs w:val="18"/>
        </w:rPr>
      </w:r>
      <w:r w:rsidR="00D478EF"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478EF"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62-63, citing </w:t>
      </w:r>
      <w:r w:rsidR="000926D9" w:rsidRPr="00804A4E">
        <w:rPr>
          <w:rFonts w:ascii="Franklin Gothic Book" w:hAnsi="Franklin Gothic Book" w:cs="Times New Roman"/>
          <w:sz w:val="18"/>
          <w:szCs w:val="18"/>
        </w:rPr>
        <w:t xml:space="preserve">Cooper et al 2019, </w:t>
      </w:r>
      <w:r w:rsidR="000926D9" w:rsidRPr="00804A4E">
        <w:rPr>
          <w:rFonts w:ascii="Franklin Gothic Book" w:hAnsi="Franklin Gothic Book" w:cs="Times New Roman"/>
          <w:i/>
          <w:iCs/>
          <w:sz w:val="18"/>
          <w:szCs w:val="18"/>
        </w:rPr>
        <w:t xml:space="preserve">supra </w:t>
      </w:r>
      <w:r w:rsidR="000926D9" w:rsidRPr="00804A4E">
        <w:rPr>
          <w:rFonts w:ascii="Franklin Gothic Book" w:hAnsi="Franklin Gothic Book" w:cs="Times New Roman"/>
          <w:sz w:val="18"/>
          <w:szCs w:val="18"/>
        </w:rPr>
        <w:t xml:space="preserve">note </w:t>
      </w:r>
      <w:r w:rsidR="000926D9" w:rsidRPr="00804A4E">
        <w:rPr>
          <w:rFonts w:ascii="Franklin Gothic Book" w:hAnsi="Franklin Gothic Book" w:cs="Times New Roman"/>
          <w:sz w:val="18"/>
          <w:szCs w:val="18"/>
        </w:rPr>
        <w:fldChar w:fldCharType="begin"/>
      </w:r>
      <w:r w:rsidR="000926D9" w:rsidRPr="00804A4E">
        <w:rPr>
          <w:rFonts w:ascii="Franklin Gothic Book" w:hAnsi="Franklin Gothic Book" w:cs="Times New Roman"/>
          <w:sz w:val="18"/>
          <w:szCs w:val="18"/>
        </w:rPr>
        <w:instrText xml:space="preserve"> NOTEREF _Ref93744894 \h </w:instrText>
      </w:r>
      <w:r w:rsidR="00804A4E" w:rsidRPr="00804A4E">
        <w:rPr>
          <w:rFonts w:ascii="Franklin Gothic Book" w:hAnsi="Franklin Gothic Book" w:cs="Times New Roman"/>
          <w:sz w:val="18"/>
          <w:szCs w:val="18"/>
        </w:rPr>
        <w:instrText xml:space="preserve"> \* MERGEFORMAT </w:instrText>
      </w:r>
      <w:r w:rsidR="000926D9" w:rsidRPr="00804A4E">
        <w:rPr>
          <w:rFonts w:ascii="Franklin Gothic Book" w:hAnsi="Franklin Gothic Book" w:cs="Times New Roman"/>
          <w:sz w:val="18"/>
          <w:szCs w:val="18"/>
        </w:rPr>
      </w:r>
      <w:r w:rsidR="000926D9"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114</w:t>
      </w:r>
      <w:r w:rsidR="000926D9"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p>
  </w:footnote>
  <w:footnote w:id="199">
    <w:p w14:paraId="3103EF2E" w14:textId="480AC542" w:rsidR="00255ECF" w:rsidRPr="00804A4E" w:rsidRDefault="00255EC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MGH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D478EF" w:rsidRPr="00804A4E">
        <w:rPr>
          <w:rFonts w:ascii="Franklin Gothic Book" w:hAnsi="Franklin Gothic Book" w:cs="Times New Roman"/>
          <w:sz w:val="18"/>
          <w:szCs w:val="18"/>
        </w:rPr>
        <w:fldChar w:fldCharType="begin"/>
      </w:r>
      <w:r w:rsidR="00D478EF"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D478EF" w:rsidRPr="00804A4E">
        <w:rPr>
          <w:rFonts w:ascii="Franklin Gothic Book" w:hAnsi="Franklin Gothic Book" w:cs="Times New Roman"/>
          <w:sz w:val="18"/>
          <w:szCs w:val="18"/>
        </w:rPr>
      </w:r>
      <w:r w:rsidR="00D478EF"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D478EF"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66-68.</w:t>
      </w:r>
    </w:p>
  </w:footnote>
  <w:footnote w:id="200">
    <w:p w14:paraId="61819CF9" w14:textId="52A46B1D" w:rsidR="00255ECF" w:rsidRPr="00804A4E" w:rsidRDefault="00255EC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1043BB" w:rsidRPr="00804A4E">
        <w:rPr>
          <w:rFonts w:ascii="Franklin Gothic Book" w:hAnsi="Franklin Gothic Book" w:cs="Times New Roman"/>
          <w:sz w:val="18"/>
          <w:szCs w:val="18"/>
        </w:rPr>
        <w:t xml:space="preserve">Berenson et al 2020, </w:t>
      </w:r>
      <w:r w:rsidR="001043BB" w:rsidRPr="00804A4E">
        <w:rPr>
          <w:rFonts w:ascii="Franklin Gothic Book" w:hAnsi="Franklin Gothic Book" w:cs="Times New Roman"/>
          <w:i/>
          <w:iCs/>
          <w:sz w:val="18"/>
          <w:szCs w:val="18"/>
        </w:rPr>
        <w:t xml:space="preserve">supra </w:t>
      </w:r>
      <w:r w:rsidR="001043BB" w:rsidRPr="00804A4E">
        <w:rPr>
          <w:rFonts w:ascii="Franklin Gothic Book" w:hAnsi="Franklin Gothic Book" w:cs="Times New Roman"/>
          <w:sz w:val="18"/>
          <w:szCs w:val="18"/>
        </w:rPr>
        <w:t xml:space="preserve">note </w:t>
      </w:r>
      <w:r w:rsidR="001043BB" w:rsidRPr="00804A4E">
        <w:rPr>
          <w:rFonts w:ascii="Franklin Gothic Book" w:hAnsi="Franklin Gothic Book" w:cs="Times New Roman"/>
          <w:sz w:val="18"/>
          <w:szCs w:val="18"/>
        </w:rPr>
        <w:fldChar w:fldCharType="begin"/>
      </w:r>
      <w:r w:rsidR="001043BB" w:rsidRPr="00804A4E">
        <w:rPr>
          <w:rFonts w:ascii="Franklin Gothic Book" w:hAnsi="Franklin Gothic Book" w:cs="Times New Roman"/>
          <w:sz w:val="18"/>
          <w:szCs w:val="18"/>
        </w:rPr>
        <w:instrText xml:space="preserve"> NOTEREF _Ref93748363 \h </w:instrText>
      </w:r>
      <w:r w:rsidR="00804A4E" w:rsidRPr="00804A4E">
        <w:rPr>
          <w:rFonts w:ascii="Franklin Gothic Book" w:hAnsi="Franklin Gothic Book" w:cs="Times New Roman"/>
          <w:sz w:val="18"/>
          <w:szCs w:val="18"/>
        </w:rPr>
        <w:instrText xml:space="preserve"> \* MERGEFORMAT </w:instrText>
      </w:r>
      <w:r w:rsidR="001043BB" w:rsidRPr="00804A4E">
        <w:rPr>
          <w:rFonts w:ascii="Franklin Gothic Book" w:hAnsi="Franklin Gothic Book" w:cs="Times New Roman"/>
          <w:sz w:val="18"/>
          <w:szCs w:val="18"/>
        </w:rPr>
      </w:r>
      <w:r w:rsidR="001043BB"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127</w:t>
      </w:r>
      <w:r w:rsidR="001043BB" w:rsidRPr="00804A4E">
        <w:rPr>
          <w:rFonts w:ascii="Franklin Gothic Book" w:hAnsi="Franklin Gothic Book" w:cs="Times New Roman"/>
          <w:sz w:val="18"/>
          <w:szCs w:val="18"/>
        </w:rPr>
        <w:fldChar w:fldCharType="end"/>
      </w:r>
      <w:r w:rsidR="005241F5" w:rsidRPr="00804A4E">
        <w:rPr>
          <w:rFonts w:ascii="Franklin Gothic Book" w:hAnsi="Franklin Gothic Book" w:cs="Times New Roman"/>
          <w:sz w:val="18"/>
          <w:szCs w:val="18"/>
        </w:rPr>
        <w:t>.</w:t>
      </w:r>
    </w:p>
  </w:footnote>
  <w:footnote w:id="201">
    <w:p w14:paraId="3BE33C33" w14:textId="31C93631" w:rsidR="00255ECF" w:rsidRPr="00804A4E" w:rsidRDefault="00255EC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Ambulatory ICA,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003E0B15" w:rsidRPr="00804A4E">
        <w:rPr>
          <w:rFonts w:ascii="Franklin Gothic Book" w:hAnsi="Franklin Gothic Book" w:cs="Times New Roman"/>
          <w:sz w:val="18"/>
          <w:szCs w:val="18"/>
        </w:rPr>
        <w:fldChar w:fldCharType="begin"/>
      </w:r>
      <w:r w:rsidR="003E0B15"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3E0B15" w:rsidRPr="00804A4E">
        <w:rPr>
          <w:rFonts w:ascii="Franklin Gothic Book" w:hAnsi="Franklin Gothic Book" w:cs="Times New Roman"/>
          <w:sz w:val="18"/>
          <w:szCs w:val="18"/>
        </w:rPr>
      </w:r>
      <w:r w:rsidR="003E0B15"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3E0B15"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at 42, citing Kate Ho, </w:t>
      </w:r>
      <w:r w:rsidRPr="00804A4E">
        <w:rPr>
          <w:rFonts w:ascii="Franklin Gothic Book" w:hAnsi="Franklin Gothic Book" w:cs="Times New Roman"/>
          <w:i/>
          <w:iCs/>
          <w:sz w:val="18"/>
          <w:szCs w:val="18"/>
        </w:rPr>
        <w:t>Insurer-Provider Networks in the Medical Care Market</w:t>
      </w:r>
      <w:r w:rsidRPr="00804A4E">
        <w:rPr>
          <w:rFonts w:ascii="Franklin Gothic Book" w:hAnsi="Franklin Gothic Book" w:cs="Times New Roman"/>
          <w:sz w:val="18"/>
          <w:szCs w:val="18"/>
        </w:rPr>
        <w:t xml:space="preserve"> </w:t>
      </w:r>
      <w:r w:rsidR="00A60A9F" w:rsidRPr="00804A4E">
        <w:rPr>
          <w:rFonts w:ascii="Franklin Gothic Book" w:hAnsi="Franklin Gothic Book" w:cs="Times New Roman"/>
          <w:sz w:val="18"/>
          <w:szCs w:val="18"/>
        </w:rPr>
        <w:t xml:space="preserve">99 </w:t>
      </w:r>
      <w:r w:rsidR="00A60A9F" w:rsidRPr="00804A4E">
        <w:rPr>
          <w:rFonts w:ascii="Franklin Gothic Book" w:hAnsi="Franklin Gothic Book" w:cs="Times New Roman"/>
          <w:smallCaps/>
          <w:sz w:val="18"/>
          <w:szCs w:val="18"/>
        </w:rPr>
        <w:t>American Economic Review</w:t>
      </w:r>
      <w:r w:rsidR="00A60A9F" w:rsidRPr="00804A4E">
        <w:rPr>
          <w:rFonts w:ascii="Franklin Gothic Book" w:hAnsi="Franklin Gothic Book" w:cs="Times New Roman"/>
          <w:sz w:val="18"/>
          <w:szCs w:val="18"/>
        </w:rPr>
        <w:t xml:space="preserve"> 393 </w:t>
      </w:r>
      <w:r w:rsidRPr="00804A4E">
        <w:rPr>
          <w:rFonts w:ascii="Franklin Gothic Book" w:hAnsi="Franklin Gothic Book" w:cs="Times New Roman"/>
          <w:sz w:val="18"/>
          <w:szCs w:val="18"/>
        </w:rPr>
        <w:t xml:space="preserve">(Mar. 2009), </w:t>
      </w:r>
      <w:r w:rsidR="00FB06B5">
        <w:rPr>
          <w:rFonts w:ascii="Franklin Gothic Book" w:hAnsi="Franklin Gothic Book" w:cs="Times New Roman"/>
          <w:i/>
          <w:iCs/>
          <w:sz w:val="18"/>
          <w:szCs w:val="18"/>
        </w:rPr>
        <w:t xml:space="preserve">available </w:t>
      </w:r>
      <w:hyperlink r:id="rId82" w:history="1">
        <w:r w:rsidR="00FB06B5">
          <w:rPr>
            <w:rStyle w:val="Hyperlink"/>
            <w:rFonts w:ascii="Franklin Gothic Book" w:hAnsi="Franklin Gothic Book" w:cs="Times New Roman"/>
            <w:sz w:val="18"/>
            <w:szCs w:val="18"/>
          </w:rPr>
          <w:t>at https://www.aeaweb.org/articles?id=10.1257/aer.99.1.393</w:t>
        </w:r>
      </w:hyperlink>
      <w:r w:rsidRPr="00804A4E">
        <w:rPr>
          <w:rFonts w:ascii="Franklin Gothic Book" w:hAnsi="Franklin Gothic Book" w:cs="Times New Roman"/>
          <w:sz w:val="18"/>
          <w:szCs w:val="18"/>
        </w:rPr>
        <w:t>.</w:t>
      </w:r>
    </w:p>
  </w:footnote>
  <w:footnote w:id="202">
    <w:p w14:paraId="17D89AED" w14:textId="099B9BF5" w:rsidR="00255ECF" w:rsidRPr="00804A4E" w:rsidRDefault="00255ECF"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 xml:space="preserve">See </w:t>
      </w:r>
      <w:r w:rsidRPr="00804A4E">
        <w:rPr>
          <w:rFonts w:ascii="Franklin Gothic Book" w:hAnsi="Franklin Gothic Book" w:cs="Times New Roman"/>
          <w:smallCaps/>
          <w:sz w:val="18"/>
          <w:szCs w:val="18"/>
        </w:rPr>
        <w:t>HPC Provider Price Variation Report</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 </w:t>
      </w:r>
      <w:r w:rsidRPr="00804A4E">
        <w:rPr>
          <w:rFonts w:ascii="Franklin Gothic Book" w:hAnsi="Franklin Gothic Book" w:cs="Times New Roman"/>
          <w:sz w:val="18"/>
          <w:szCs w:val="18"/>
        </w:rPr>
        <w:fldChar w:fldCharType="begin"/>
      </w:r>
      <w:r w:rsidRPr="00804A4E">
        <w:rPr>
          <w:rFonts w:ascii="Franklin Gothic Book" w:hAnsi="Franklin Gothic Book" w:cs="Times New Roman"/>
          <w:sz w:val="18"/>
          <w:szCs w:val="18"/>
        </w:rPr>
        <w:instrText xml:space="preserve"> NOTEREF _Ref93003264 \h </w:instrText>
      </w:r>
      <w:r w:rsidR="008840D4" w:rsidRPr="00804A4E">
        <w:rPr>
          <w:rFonts w:ascii="Franklin Gothic Book" w:hAnsi="Franklin Gothic Book" w:cs="Times New Roman"/>
          <w:sz w:val="18"/>
          <w:szCs w:val="18"/>
        </w:rPr>
        <w:instrText xml:space="preserve"> \* MERGEFORMAT </w:instrText>
      </w:r>
      <w:r w:rsidRPr="00804A4E">
        <w:rPr>
          <w:rFonts w:ascii="Franklin Gothic Book" w:hAnsi="Franklin Gothic Book" w:cs="Times New Roman"/>
          <w:sz w:val="18"/>
          <w:szCs w:val="18"/>
        </w:rPr>
      </w:r>
      <w:r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29</w:t>
      </w:r>
      <w:r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at 12.</w:t>
      </w:r>
    </w:p>
  </w:footnote>
  <w:footnote w:id="203">
    <w:p w14:paraId="0D085A25" w14:textId="66083738"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16" w:name="_Hlk93538624"/>
      <w:r w:rsidR="00DA0FF1" w:rsidRPr="00804A4E">
        <w:rPr>
          <w:rFonts w:ascii="Franklin Gothic Book" w:hAnsi="Franklin Gothic Book" w:cs="Times New Roman"/>
          <w:smallCaps/>
          <w:sz w:val="18"/>
          <w:szCs w:val="18"/>
        </w:rPr>
        <w:t>CHIA Hospital Profiles Databook,</w:t>
      </w:r>
      <w:r w:rsidR="00DA0FF1" w:rsidRPr="00804A4E">
        <w:rPr>
          <w:rFonts w:ascii="Franklin Gothic Book" w:hAnsi="Franklin Gothic Book" w:cs="Times New Roman"/>
          <w:sz w:val="18"/>
          <w:szCs w:val="18"/>
        </w:rPr>
        <w:t xml:space="preserve"> </w:t>
      </w:r>
      <w:r w:rsidR="00DA0FF1" w:rsidRPr="00804A4E">
        <w:rPr>
          <w:rFonts w:ascii="Franklin Gothic Book" w:hAnsi="Franklin Gothic Book" w:cs="Times New Roman"/>
          <w:i/>
          <w:iCs/>
          <w:sz w:val="18"/>
          <w:szCs w:val="18"/>
        </w:rPr>
        <w:t>supra</w:t>
      </w:r>
      <w:r w:rsidR="00DA0FF1" w:rsidRPr="00804A4E">
        <w:rPr>
          <w:rFonts w:ascii="Franklin Gothic Book" w:hAnsi="Franklin Gothic Book" w:cs="Times New Roman"/>
          <w:sz w:val="18"/>
          <w:szCs w:val="18"/>
        </w:rPr>
        <w:t xml:space="preserve"> note </w:t>
      </w:r>
      <w:r w:rsidR="00DA0FF1" w:rsidRPr="00804A4E">
        <w:rPr>
          <w:rFonts w:ascii="Franklin Gothic Book" w:hAnsi="Franklin Gothic Book" w:cs="Times New Roman"/>
          <w:sz w:val="18"/>
          <w:szCs w:val="18"/>
        </w:rPr>
        <w:fldChar w:fldCharType="begin"/>
      </w:r>
      <w:r w:rsidR="00DA0FF1" w:rsidRPr="00804A4E">
        <w:rPr>
          <w:rFonts w:ascii="Franklin Gothic Book" w:hAnsi="Franklin Gothic Book" w:cs="Times New Roman"/>
          <w:sz w:val="18"/>
          <w:szCs w:val="18"/>
        </w:rPr>
        <w:instrText xml:space="preserve"> NOTEREF _Ref93661797 \h </w:instrText>
      </w:r>
      <w:r w:rsidR="00804A4E" w:rsidRPr="00804A4E">
        <w:rPr>
          <w:rFonts w:ascii="Franklin Gothic Book" w:hAnsi="Franklin Gothic Book" w:cs="Times New Roman"/>
          <w:sz w:val="18"/>
          <w:szCs w:val="18"/>
        </w:rPr>
        <w:instrText xml:space="preserve"> \* MERGEFORMAT </w:instrText>
      </w:r>
      <w:r w:rsidR="00DA0FF1" w:rsidRPr="00804A4E">
        <w:rPr>
          <w:rFonts w:ascii="Franklin Gothic Book" w:hAnsi="Franklin Gothic Book" w:cs="Times New Roman"/>
          <w:sz w:val="18"/>
          <w:szCs w:val="18"/>
        </w:rPr>
      </w:r>
      <w:r w:rsidR="00DA0FF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64</w:t>
      </w:r>
      <w:r w:rsidR="00DA0FF1"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w:t>
      </w:r>
      <w:bookmarkEnd w:id="116"/>
    </w:p>
  </w:footnote>
  <w:footnote w:id="204">
    <w:p w14:paraId="1476F0C5" w14:textId="46FDCF9F"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Massachusetts Registration of Provider Organizations 2021 Filing: Mass General Brigham</w:t>
      </w:r>
      <w:r w:rsidRPr="00804A4E">
        <w:rPr>
          <w:rFonts w:ascii="Franklin Gothic Book" w:hAnsi="Franklin Gothic Book" w:cs="Times New Roman"/>
          <w:sz w:val="18"/>
          <w:szCs w:val="18"/>
        </w:rPr>
        <w:t xml:space="preserve"> (November 29, 2021). This count includes acute hospital and non-acute hospital satellite locations and clinic – main site and clinic satellite – locations reported in the Facilities file. </w:t>
      </w:r>
    </w:p>
  </w:footnote>
  <w:footnote w:id="205">
    <w:p w14:paraId="31FF794E" w14:textId="1FDDBECF"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401FE2" w:rsidRPr="00804A4E">
        <w:rPr>
          <w:rFonts w:ascii="Franklin Gothic Book" w:hAnsi="Franklin Gothic Book" w:cs="Times New Roman"/>
          <w:i/>
          <w:iCs/>
          <w:sz w:val="18"/>
          <w:szCs w:val="18"/>
        </w:rPr>
        <w:t>Id.</w:t>
      </w:r>
      <w:r w:rsidRPr="00804A4E">
        <w:rPr>
          <w:rFonts w:ascii="Franklin Gothic Book" w:hAnsi="Franklin Gothic Book" w:cs="Times New Roman"/>
          <w:sz w:val="18"/>
          <w:szCs w:val="18"/>
        </w:rPr>
        <w:t xml:space="preserve">; physicians that were identified as both primary care providers and specialists in the Physician Roster were counted as primary care providers. </w:t>
      </w:r>
    </w:p>
  </w:footnote>
  <w:footnote w:id="206">
    <w:p w14:paraId="30DD609B" w14:textId="5490F23F"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 xml:space="preserve">CHIA Hospital Profiles Databook, </w:t>
      </w:r>
      <w:r w:rsidRPr="00804A4E">
        <w:rPr>
          <w:rFonts w:ascii="Franklin Gothic Book" w:hAnsi="Franklin Gothic Book" w:cs="Times New Roman"/>
          <w:i/>
          <w:iCs/>
          <w:sz w:val="18"/>
          <w:szCs w:val="18"/>
        </w:rPr>
        <w:t xml:space="preserve">supra </w:t>
      </w:r>
      <w:r w:rsidRPr="00804A4E">
        <w:rPr>
          <w:rFonts w:ascii="Franklin Gothic Book" w:hAnsi="Franklin Gothic Book" w:cs="Times New Roman"/>
          <w:sz w:val="18"/>
          <w:szCs w:val="18"/>
        </w:rPr>
        <w:t>note</w:t>
      </w:r>
      <w:r w:rsidR="00401FE2" w:rsidRPr="00804A4E">
        <w:rPr>
          <w:rFonts w:ascii="Franklin Gothic Book" w:hAnsi="Franklin Gothic Book" w:cs="Times New Roman"/>
          <w:sz w:val="18"/>
          <w:szCs w:val="18"/>
        </w:rPr>
        <w:t xml:space="preserve"> </w:t>
      </w:r>
      <w:r w:rsidR="00DA0FF1" w:rsidRPr="00804A4E">
        <w:rPr>
          <w:rFonts w:ascii="Franklin Gothic Book" w:hAnsi="Franklin Gothic Book" w:cs="Times New Roman"/>
          <w:sz w:val="18"/>
          <w:szCs w:val="18"/>
        </w:rPr>
        <w:fldChar w:fldCharType="begin"/>
      </w:r>
      <w:r w:rsidR="00DA0FF1" w:rsidRPr="00804A4E">
        <w:rPr>
          <w:rFonts w:ascii="Franklin Gothic Book" w:hAnsi="Franklin Gothic Book" w:cs="Times New Roman"/>
          <w:sz w:val="18"/>
          <w:szCs w:val="18"/>
        </w:rPr>
        <w:instrText xml:space="preserve"> NOTEREF _Ref93661797 \h </w:instrText>
      </w:r>
      <w:r w:rsidR="00804A4E" w:rsidRPr="00804A4E">
        <w:rPr>
          <w:rFonts w:ascii="Franklin Gothic Book" w:hAnsi="Franklin Gothic Book" w:cs="Times New Roman"/>
          <w:sz w:val="18"/>
          <w:szCs w:val="18"/>
        </w:rPr>
        <w:instrText xml:space="preserve"> \* MERGEFORMAT </w:instrText>
      </w:r>
      <w:r w:rsidR="00DA0FF1" w:rsidRPr="00804A4E">
        <w:rPr>
          <w:rFonts w:ascii="Franklin Gothic Book" w:hAnsi="Franklin Gothic Book" w:cs="Times New Roman"/>
          <w:sz w:val="18"/>
          <w:szCs w:val="18"/>
        </w:rPr>
      </w:r>
      <w:r w:rsidR="00DA0FF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64</w:t>
      </w:r>
      <w:r w:rsidR="00DA0FF1"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We calculated outpatient discharge equivalents by dividing the ratio of inpatient to outpatient gross patient service revenue (charges) by inpatient discharges.</w:t>
      </w:r>
    </w:p>
  </w:footnote>
  <w:footnote w:id="207">
    <w:p w14:paraId="3DFBDCD1" w14:textId="2253F98E"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A60A9F" w:rsidRPr="00804A4E">
        <w:rPr>
          <w:rFonts w:ascii="Franklin Gothic Book" w:hAnsi="Franklin Gothic Book" w:cs="Times New Roman"/>
          <w:i/>
          <w:iCs/>
          <w:sz w:val="18"/>
          <w:szCs w:val="18"/>
        </w:rPr>
        <w:t>Id.</w:t>
      </w:r>
    </w:p>
  </w:footnote>
  <w:footnote w:id="208">
    <w:p w14:paraId="02530CC1" w14:textId="77777777"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In fiscal year 2019, MGB general acute hospitals accounted for 26.5% of commercial discharges and 39.9% of commercial inpatient revenue in the state. BILH accounted for 23.5% of commercial discharges and 19.2% of commercial inpatient revenue. For commercial outpatient care, MGB hospitals accounted for the second largest share of outpatient volume in the state at 22.9%; BILH accounted for slightly more at 25%. However, MGB providers received a larger share of commercial outpatient hospital revenue than BILH received (36.8% compared to 20.0%). HPC analysis of 2019 CHIA hospital cost report data and confidential raw 2019 relative price data. </w:t>
      </w:r>
    </w:p>
  </w:footnote>
  <w:footnote w:id="209">
    <w:p w14:paraId="471CFEE3" w14:textId="391CE514" w:rsidR="00DE2A53" w:rsidRPr="00804A4E" w:rsidRDefault="00DE2A53"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eastAsia="Calibri" w:hAnsi="Franklin Gothic Book" w:cs="Times New Roman"/>
          <w:smallCaps/>
          <w:sz w:val="18"/>
          <w:szCs w:val="18"/>
        </w:rPr>
        <w:t>MA-RPO data</w:t>
      </w:r>
      <w:r w:rsidRPr="00804A4E">
        <w:rPr>
          <w:rFonts w:ascii="Franklin Gothic Book" w:eastAsia="Calibri" w:hAnsi="Franklin Gothic Book" w:cs="Times New Roman"/>
          <w:sz w:val="18"/>
          <w:szCs w:val="18"/>
        </w:rPr>
        <w:t xml:space="preserve">, </w:t>
      </w:r>
      <w:r w:rsidR="005403F1" w:rsidRPr="00804A4E">
        <w:rPr>
          <w:rFonts w:ascii="Franklin Gothic Book" w:eastAsia="Calibri" w:hAnsi="Franklin Gothic Book" w:cs="Times New Roman"/>
          <w:i/>
          <w:iCs/>
          <w:sz w:val="18"/>
          <w:szCs w:val="18"/>
        </w:rPr>
        <w:t xml:space="preserve">supra </w:t>
      </w:r>
      <w:r w:rsidR="005403F1" w:rsidRPr="00804A4E">
        <w:rPr>
          <w:rFonts w:ascii="Franklin Gothic Book" w:eastAsia="Calibri" w:hAnsi="Franklin Gothic Book" w:cs="Times New Roman"/>
          <w:sz w:val="18"/>
          <w:szCs w:val="18"/>
        </w:rPr>
        <w:t xml:space="preserve">note </w:t>
      </w:r>
      <w:r w:rsidR="005403F1" w:rsidRPr="00804A4E">
        <w:rPr>
          <w:rFonts w:ascii="Franklin Gothic Book" w:eastAsia="Calibri" w:hAnsi="Franklin Gothic Book" w:cs="Times New Roman"/>
          <w:sz w:val="18"/>
          <w:szCs w:val="18"/>
        </w:rPr>
        <w:fldChar w:fldCharType="begin"/>
      </w:r>
      <w:r w:rsidR="005403F1" w:rsidRPr="00804A4E">
        <w:rPr>
          <w:rFonts w:ascii="Franklin Gothic Book" w:eastAsia="Calibri" w:hAnsi="Franklin Gothic Book" w:cs="Times New Roman"/>
          <w:sz w:val="18"/>
          <w:szCs w:val="18"/>
        </w:rPr>
        <w:instrText xml:space="preserve"> NOTEREF _Ref93625088 \h </w:instrText>
      </w:r>
      <w:r w:rsidR="00804A4E" w:rsidRPr="00804A4E">
        <w:rPr>
          <w:rFonts w:ascii="Franklin Gothic Book" w:eastAsia="Calibri" w:hAnsi="Franklin Gothic Book" w:cs="Times New Roman"/>
          <w:sz w:val="18"/>
          <w:szCs w:val="18"/>
        </w:rPr>
        <w:instrText xml:space="preserve"> \* MERGEFORMAT </w:instrText>
      </w:r>
      <w:r w:rsidR="005403F1" w:rsidRPr="00804A4E">
        <w:rPr>
          <w:rFonts w:ascii="Franklin Gothic Book" w:eastAsia="Calibri" w:hAnsi="Franklin Gothic Book" w:cs="Times New Roman"/>
          <w:sz w:val="18"/>
          <w:szCs w:val="18"/>
        </w:rPr>
      </w:r>
      <w:r w:rsidR="005403F1" w:rsidRPr="00804A4E">
        <w:rPr>
          <w:rFonts w:ascii="Franklin Gothic Book" w:eastAsia="Calibri" w:hAnsi="Franklin Gothic Book" w:cs="Times New Roman"/>
          <w:sz w:val="18"/>
          <w:szCs w:val="18"/>
        </w:rPr>
        <w:fldChar w:fldCharType="separate"/>
      </w:r>
      <w:r w:rsidR="00036554">
        <w:rPr>
          <w:rFonts w:ascii="Franklin Gothic Book" w:eastAsia="Calibri" w:hAnsi="Franklin Gothic Book" w:cs="Times New Roman"/>
          <w:sz w:val="18"/>
          <w:szCs w:val="18"/>
        </w:rPr>
        <w:t>166</w:t>
      </w:r>
      <w:r w:rsidR="005403F1" w:rsidRPr="00804A4E">
        <w:rPr>
          <w:rFonts w:ascii="Franklin Gothic Book" w:eastAsia="Calibri" w:hAnsi="Franklin Gothic Book" w:cs="Times New Roman"/>
          <w:sz w:val="18"/>
          <w:szCs w:val="18"/>
        </w:rPr>
        <w:fldChar w:fldCharType="end"/>
      </w:r>
      <w:r w:rsidRPr="00804A4E">
        <w:rPr>
          <w:rFonts w:ascii="Franklin Gothic Book" w:hAnsi="Franklin Gothic Book" w:cs="Times New Roman"/>
          <w:sz w:val="18"/>
          <w:szCs w:val="18"/>
        </w:rPr>
        <w:t xml:space="preserve">. </w:t>
      </w:r>
      <w:r w:rsidR="00AF6462" w:rsidRPr="00804A4E">
        <w:rPr>
          <w:rFonts w:ascii="Franklin Gothic Book" w:hAnsi="Franklin Gothic Book" w:cs="Times New Roman"/>
          <w:sz w:val="18"/>
          <w:szCs w:val="18"/>
        </w:rPr>
        <w:t xml:space="preserve">The dataset includes a physician roster file that contains key information about nearly all practicing physicians in Massachusetts. Registering provider organizations are required to report data regarding all physicians that are part of that organization’s contracting network, including employed physicians as well as affiliated physicians that have at least one payer contract negotiated by the provider organization. An HPC analysis found that the 2015 MA-RPO physician roster contains approximately 92% and 105% of the physicians in similar commercial datasets. </w:t>
      </w:r>
      <w:r w:rsidRPr="00804A4E">
        <w:rPr>
          <w:rFonts w:ascii="Franklin Gothic Book" w:hAnsi="Franklin Gothic Book" w:cs="Times New Roman"/>
          <w:sz w:val="18"/>
          <w:szCs w:val="18"/>
        </w:rPr>
        <w:t xml:space="preserve">For the purposes of this analysis, when a physician is affiliated with both one of the </w:t>
      </w:r>
      <w:r w:rsidR="00AF6462" w:rsidRPr="00804A4E">
        <w:rPr>
          <w:rFonts w:ascii="Franklin Gothic Book" w:hAnsi="Franklin Gothic Book" w:cs="Times New Roman"/>
          <w:sz w:val="18"/>
          <w:szCs w:val="18"/>
        </w:rPr>
        <w:t xml:space="preserve">9 </w:t>
      </w:r>
      <w:r w:rsidRPr="00804A4E">
        <w:rPr>
          <w:rFonts w:ascii="Franklin Gothic Book" w:hAnsi="Franklin Gothic Book" w:cs="Times New Roman"/>
          <w:sz w:val="18"/>
          <w:szCs w:val="18"/>
        </w:rPr>
        <w:t xml:space="preserve">largest provider organizations and an organization that is not one of the </w:t>
      </w:r>
      <w:r w:rsidR="00AF6462" w:rsidRPr="00804A4E">
        <w:rPr>
          <w:rFonts w:ascii="Franklin Gothic Book" w:hAnsi="Franklin Gothic Book" w:cs="Times New Roman"/>
          <w:sz w:val="18"/>
          <w:szCs w:val="18"/>
        </w:rPr>
        <w:t xml:space="preserve">9 </w:t>
      </w:r>
      <w:r w:rsidRPr="00804A4E">
        <w:rPr>
          <w:rFonts w:ascii="Franklin Gothic Book" w:hAnsi="Franklin Gothic Book" w:cs="Times New Roman"/>
          <w:sz w:val="18"/>
          <w:szCs w:val="18"/>
        </w:rPr>
        <w:t xml:space="preserve">largest provider organizations, the HPC assigned that physician only to the largest provider organization. If a physician is affiliated with two or more of the </w:t>
      </w:r>
      <w:r w:rsidR="00AF6462" w:rsidRPr="00804A4E">
        <w:rPr>
          <w:rFonts w:ascii="Franklin Gothic Book" w:hAnsi="Franklin Gothic Book" w:cs="Times New Roman"/>
          <w:sz w:val="18"/>
          <w:szCs w:val="18"/>
        </w:rPr>
        <w:t xml:space="preserve">9 </w:t>
      </w:r>
      <w:r w:rsidRPr="00804A4E">
        <w:rPr>
          <w:rFonts w:ascii="Franklin Gothic Book" w:hAnsi="Franklin Gothic Book" w:cs="Times New Roman"/>
          <w:sz w:val="18"/>
          <w:szCs w:val="18"/>
        </w:rPr>
        <w:t xml:space="preserve">largest provider organizations, the HPC fractionally assigned the physician to each of the provider organizations (e.g., a physician that is affiliated with both MGB and Steward was counted as 0.5 for MGB and 0.5 for Steward). Physicians were counted as PCPs if they were ever reported as a PCP (i.e., if a physician is reported as both a PCP and a specialist, they were counted as a PCP). </w:t>
      </w:r>
    </w:p>
  </w:footnote>
  <w:footnote w:id="210">
    <w:p w14:paraId="724B55B5" w14:textId="77777777" w:rsidR="007E1CD4" w:rsidRPr="00804A4E" w:rsidRDefault="007E1CD4"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Id</w:t>
      </w:r>
      <w:r w:rsidRPr="00804A4E">
        <w:rPr>
          <w:rFonts w:ascii="Franklin Gothic Book" w:hAnsi="Franklin Gothic Book" w:cs="Times New Roman"/>
          <w:sz w:val="18"/>
          <w:szCs w:val="18"/>
        </w:rPr>
        <w:t>. The HPC’s inpatient and outpatient relative price analyses exclude specialty hospitals. We calculated system average inpatient relative price by payer for BCBS, HPHC, and THP by taking the average of inpatient relative prices for each hospital owned by the system, weighted by each hospital’s inpatient discharges. System average outpatient relative price by payer is constructed similarly, except that the outpatient relative prices for each hospital in a system are weighted by a proxy for outpatient volume, calculated by dividing a hospital’s outpatient revenue by its outpatient relative price.</w:t>
      </w:r>
    </w:p>
  </w:footnote>
  <w:footnote w:id="211">
    <w:p w14:paraId="3387A5DA" w14:textId="5FF569C8" w:rsidR="007E1CD4" w:rsidRPr="00804A4E" w:rsidRDefault="007E1CD4"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 Relative Price and Provider Price Variation in the Commercial Market Databook,</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CY2019 Data</w:t>
      </w:r>
      <w:r w:rsidR="00632425">
        <w:rPr>
          <w:rFonts w:ascii="Franklin Gothic Book" w:hAnsi="Franklin Gothic Book" w:cs="Times New Roman"/>
          <w:sz w:val="18"/>
          <w:szCs w:val="18"/>
        </w:rPr>
        <w:t xml:space="preserve"> (June 2021), available </w:t>
      </w:r>
      <w:hyperlink r:id="rId83" w:history="1">
        <w:r w:rsidR="00632425">
          <w:rPr>
            <w:rStyle w:val="Hyperlink"/>
            <w:rFonts w:ascii="Franklin Gothic Book" w:hAnsi="Franklin Gothic Book" w:cs="Times New Roman"/>
            <w:sz w:val="18"/>
            <w:szCs w:val="18"/>
          </w:rPr>
          <w:t>at https://www.chiamass.gov/assets/docs/r/pubs/2021/Relative-Price-Databook-2019.xlsx</w:t>
        </w:r>
      </w:hyperlink>
      <w:r w:rsidRPr="00804A4E">
        <w:rPr>
          <w:rFonts w:ascii="Franklin Gothic Book" w:hAnsi="Franklin Gothic Book" w:cs="Times New Roman"/>
          <w:sz w:val="18"/>
          <w:szCs w:val="18"/>
        </w:rPr>
        <w:t xml:space="preserve"> (last visited December 17, 2021). The HPC examined MGB’s current prices compared to those of other Massachusetts hospitals and physician groups using the relative price measure developed by CHIA. A relative price of 1.0 represents each payer network’s average price across inpatient, outpatient, or physician services. Accordingly, a relative price of 1.2 means that the provider’s price level is 20% above the average inpatient, outpatient, or physician price in a payer’s network. For physician prices, we found that for one payer MGB’s prices were the highest; for the two other payers, non-hospital affiliated groups, including Atrius Health and Reliant Medical Group, had higher relative prices. For all payers, MGB’s physician group prices were higher than most physician groups’ that are owned by a hospital system.  </w:t>
      </w:r>
    </w:p>
  </w:footnote>
  <w:footnote w:id="212">
    <w:p w14:paraId="54448750" w14:textId="7B411EF5" w:rsidR="00F254DD" w:rsidRPr="00804A4E" w:rsidRDefault="00F254D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more detail on the IQI measures, see </w:t>
      </w:r>
      <w:r w:rsidRPr="00804A4E">
        <w:rPr>
          <w:rFonts w:ascii="Franklin Gothic Book" w:hAnsi="Franklin Gothic Book" w:cs="Times New Roman"/>
          <w:smallCaps/>
          <w:sz w:val="18"/>
          <w:szCs w:val="18"/>
        </w:rPr>
        <w:t>Inpatient Quality Indicators Overview, Agency for Health Care Research &amp; Quality</w:t>
      </w:r>
      <w:r w:rsidRPr="00804A4E">
        <w:rPr>
          <w:rFonts w:ascii="Franklin Gothic Book" w:hAnsi="Franklin Gothic Book" w:cs="Times New Roman"/>
          <w:sz w:val="18"/>
          <w:szCs w:val="18"/>
        </w:rPr>
        <w:t xml:space="preserve">, </w:t>
      </w:r>
      <w:hyperlink r:id="rId84" w:history="1">
        <w:r w:rsidR="002270FC">
          <w:rPr>
            <w:rStyle w:val="Hyperlink"/>
            <w:rFonts w:ascii="Franklin Gothic Book" w:hAnsi="Franklin Gothic Book" w:cs="Times New Roman"/>
            <w:sz w:val="18"/>
            <w:szCs w:val="18"/>
          </w:rPr>
          <w:t>at http://www.qualityindicators.ahrq.gov/modules/iqi_resources.aspx</w:t>
        </w:r>
      </w:hyperlink>
      <w:r w:rsidRPr="00804A4E">
        <w:rPr>
          <w:rFonts w:ascii="Franklin Gothic Book" w:hAnsi="Franklin Gothic Book" w:cs="Times New Roman"/>
          <w:sz w:val="18"/>
          <w:szCs w:val="18"/>
        </w:rPr>
        <w:t xml:space="preserve"> (last visited December 13, 2021). For more detail on the PSI 90 measure, see </w:t>
      </w:r>
      <w:r w:rsidRPr="00804A4E">
        <w:rPr>
          <w:rFonts w:ascii="Franklin Gothic Book" w:hAnsi="Franklin Gothic Book" w:cs="Times New Roman"/>
          <w:smallCaps/>
          <w:sz w:val="18"/>
          <w:szCs w:val="18"/>
        </w:rPr>
        <w:t>Patient Safety Indicators Overview, Agency for Health Care Research &amp; Quality</w:t>
      </w:r>
      <w:r w:rsidRPr="00804A4E">
        <w:rPr>
          <w:rFonts w:ascii="Franklin Gothic Book" w:hAnsi="Franklin Gothic Book" w:cs="Times New Roman"/>
          <w:sz w:val="18"/>
          <w:szCs w:val="18"/>
        </w:rPr>
        <w:t xml:space="preserve">, </w:t>
      </w:r>
      <w:hyperlink r:id="rId85" w:history="1">
        <w:r w:rsidR="002270FC">
          <w:rPr>
            <w:rStyle w:val="Hyperlink"/>
            <w:rFonts w:ascii="Franklin Gothic Book" w:hAnsi="Franklin Gothic Book" w:cs="Times New Roman"/>
            <w:sz w:val="18"/>
            <w:szCs w:val="18"/>
          </w:rPr>
          <w:t>at http://www.qualityindicators.ahrq.gov/modules/psi_resources.aspx</w:t>
        </w:r>
      </w:hyperlink>
      <w:r w:rsidRPr="00804A4E">
        <w:rPr>
          <w:rFonts w:ascii="Franklin Gothic Book" w:hAnsi="Franklin Gothic Book" w:cs="Times New Roman"/>
          <w:sz w:val="18"/>
          <w:szCs w:val="18"/>
        </w:rPr>
        <w:t xml:space="preserve"> (last visited December 13, 2021).</w:t>
      </w:r>
    </w:p>
  </w:footnote>
  <w:footnote w:id="213">
    <w:p w14:paraId="6407F562" w14:textId="1F12B8C1" w:rsidR="00F254DD" w:rsidRPr="00804A4E" w:rsidRDefault="00F254D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more information, see </w:t>
      </w:r>
      <w:r w:rsidRPr="00804A4E">
        <w:rPr>
          <w:rFonts w:ascii="Franklin Gothic Book" w:hAnsi="Franklin Gothic Book" w:cs="Times New Roman"/>
          <w:i/>
          <w:iCs/>
          <w:sz w:val="18"/>
          <w:szCs w:val="18"/>
        </w:rPr>
        <w:t>HCAHPS Tables on HCAHPS On-Line</w:t>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Hospital Consumer Assessment Of Healthcare Providers And Systems</w:t>
      </w:r>
      <w:r w:rsidRPr="00804A4E">
        <w:rPr>
          <w:rFonts w:ascii="Franklin Gothic Book" w:hAnsi="Franklin Gothic Book" w:cs="Times New Roman"/>
          <w:sz w:val="18"/>
          <w:szCs w:val="18"/>
        </w:rPr>
        <w:t xml:space="preserve">, </w:t>
      </w:r>
      <w:hyperlink r:id="rId86" w:history="1">
        <w:r w:rsidR="00BD6C04">
          <w:rPr>
            <w:rStyle w:val="Hyperlink"/>
            <w:rFonts w:ascii="Franklin Gothic Book" w:hAnsi="Franklin Gothic Book" w:cs="Times New Roman"/>
            <w:sz w:val="18"/>
            <w:szCs w:val="18"/>
          </w:rPr>
          <w:t>at http://www.hcahpsonline.org/en/summary-analyses/</w:t>
        </w:r>
      </w:hyperlink>
      <w:r w:rsidRPr="00804A4E">
        <w:rPr>
          <w:rFonts w:ascii="Franklin Gothic Book" w:hAnsi="Franklin Gothic Book" w:cs="Times New Roman"/>
          <w:sz w:val="18"/>
          <w:szCs w:val="18"/>
        </w:rPr>
        <w:t xml:space="preserve"> (last visited December 17, 2021).</w:t>
      </w:r>
    </w:p>
  </w:footnote>
  <w:footnote w:id="214">
    <w:p w14:paraId="205D8AF8" w14:textId="08C81D62" w:rsidR="00F254DD" w:rsidRPr="00804A4E" w:rsidRDefault="00F254D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Ctr. for Health Info. &amp; Analysis, A Focus on Provider Quality: Selected Clinical Measures, 2018</w:t>
      </w:r>
      <w:r w:rsidRPr="00804A4E">
        <w:rPr>
          <w:rFonts w:ascii="Franklin Gothic Book" w:hAnsi="Franklin Gothic Book" w:cs="Times New Roman"/>
          <w:sz w:val="18"/>
          <w:szCs w:val="18"/>
        </w:rPr>
        <w:t xml:space="preserve"> (June 2020), </w:t>
      </w:r>
      <w:r w:rsidR="00BD6C04">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87" w:history="1">
        <w:r w:rsidR="00BD6C04">
          <w:rPr>
            <w:rStyle w:val="Hyperlink"/>
            <w:rFonts w:ascii="Franklin Gothic Book" w:hAnsi="Franklin Gothic Book" w:cs="Times New Roman"/>
            <w:sz w:val="18"/>
            <w:szCs w:val="18"/>
          </w:rPr>
          <w:t>at https://www.chiamass.gov/assets/docs/r/pubs/2020/A-Focus-on-Provider-Quality-Databook.xlsx</w:t>
        </w:r>
      </w:hyperlink>
      <w:r w:rsidRPr="00804A4E">
        <w:rPr>
          <w:rFonts w:ascii="Franklin Gothic Book" w:hAnsi="Franklin Gothic Book" w:cs="Times New Roman"/>
          <w:sz w:val="18"/>
          <w:szCs w:val="18"/>
        </w:rPr>
        <w:t xml:space="preserve"> (last visited </w:t>
      </w:r>
      <w:r w:rsidR="00087099" w:rsidRPr="00804A4E">
        <w:rPr>
          <w:rFonts w:ascii="Franklin Gothic Book" w:hAnsi="Franklin Gothic Book" w:cs="Times New Roman"/>
          <w:sz w:val="18"/>
          <w:szCs w:val="18"/>
        </w:rPr>
        <w:t>Jan. 24, 2022</w:t>
      </w:r>
      <w:r w:rsidRPr="00804A4E">
        <w:rPr>
          <w:rFonts w:ascii="Franklin Gothic Book" w:hAnsi="Franklin Gothic Book" w:cs="Times New Roman"/>
          <w:sz w:val="18"/>
          <w:szCs w:val="18"/>
        </w:rPr>
        <w:t>)</w:t>
      </w:r>
      <w:r w:rsidR="00087099" w:rsidRPr="00804A4E">
        <w:rPr>
          <w:rFonts w:ascii="Franklin Gothic Book" w:hAnsi="Franklin Gothic Book" w:cs="Times New Roman"/>
          <w:sz w:val="18"/>
          <w:szCs w:val="18"/>
        </w:rPr>
        <w:t>.</w:t>
      </w:r>
    </w:p>
  </w:footnote>
  <w:footnote w:id="215">
    <w:p w14:paraId="3FA901D1" w14:textId="7F9485E0" w:rsidR="00F254DD" w:rsidRPr="00804A4E" w:rsidRDefault="00F254D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eastAsiaTheme="minorHAnsi" w:hAnsi="Franklin Gothic Book" w:cs="Times New Roman"/>
          <w:i/>
          <w:sz w:val="18"/>
          <w:szCs w:val="18"/>
        </w:rPr>
        <w:t>MHQP PES (2013-2018</w:t>
      </w:r>
      <w:r w:rsidRPr="00804A4E">
        <w:rPr>
          <w:rFonts w:ascii="Franklin Gothic Book" w:eastAsiaTheme="minorHAnsi" w:hAnsi="Franklin Gothic Book" w:cs="Times New Roman"/>
          <w:i/>
          <w:iCs/>
          <w:sz w:val="18"/>
          <w:szCs w:val="18"/>
        </w:rPr>
        <w:t>)</w:t>
      </w:r>
      <w:r w:rsidRPr="00804A4E">
        <w:rPr>
          <w:rFonts w:ascii="Franklin Gothic Book" w:eastAsiaTheme="minorHAnsi" w:hAnsi="Franklin Gothic Book" w:cs="Times New Roman"/>
          <w:sz w:val="18"/>
          <w:szCs w:val="18"/>
        </w:rPr>
        <w:t xml:space="preserve">, </w:t>
      </w:r>
      <w:r w:rsidRPr="00804A4E">
        <w:rPr>
          <w:rFonts w:ascii="Franklin Gothic Book" w:eastAsiaTheme="minorHAnsi" w:hAnsi="Franklin Gothic Book" w:cs="Times New Roman"/>
          <w:smallCaps/>
          <w:sz w:val="18"/>
          <w:szCs w:val="18"/>
        </w:rPr>
        <w:t>Ctr. for Health Info. &amp; Analysis</w:t>
      </w:r>
      <w:r w:rsidRPr="00804A4E">
        <w:rPr>
          <w:rFonts w:ascii="Franklin Gothic Book" w:eastAsiaTheme="minorHAnsi" w:hAnsi="Franklin Gothic Book" w:cs="Times New Roman"/>
          <w:sz w:val="18"/>
          <w:szCs w:val="18"/>
        </w:rPr>
        <w:t xml:space="preserve">, </w:t>
      </w:r>
      <w:r w:rsidR="00A37EB1">
        <w:rPr>
          <w:rFonts w:ascii="Franklin Gothic Book" w:eastAsiaTheme="minorHAnsi" w:hAnsi="Franklin Gothic Book" w:cs="Times New Roman"/>
          <w:i/>
          <w:sz w:val="18"/>
          <w:szCs w:val="18"/>
        </w:rPr>
        <w:t xml:space="preserve">available </w:t>
      </w:r>
      <w:hyperlink r:id="rId88" w:history="1">
        <w:r w:rsidR="00A37EB1">
          <w:rPr>
            <w:rStyle w:val="Hyperlink"/>
            <w:rFonts w:ascii="Franklin Gothic Book" w:hAnsi="Franklin Gothic Book" w:cs="Times New Roman"/>
            <w:sz w:val="18"/>
            <w:szCs w:val="18"/>
          </w:rPr>
          <w:t>at https://www.chiamass.gov/assets/docs/r/pubs/2021/Quality-Update-2021-MHQP-PES.xlsx</w:t>
        </w:r>
      </w:hyperlink>
      <w:r w:rsidRPr="00804A4E">
        <w:rPr>
          <w:rFonts w:ascii="Franklin Gothic Book" w:eastAsiaTheme="minorHAnsi" w:hAnsi="Franklin Gothic Book" w:cs="Times New Roman"/>
          <w:sz w:val="18"/>
          <w:szCs w:val="18"/>
        </w:rPr>
        <w:t xml:space="preserve"> (last visited </w:t>
      </w:r>
      <w:r w:rsidR="00087099" w:rsidRPr="00804A4E">
        <w:rPr>
          <w:rFonts w:ascii="Franklin Gothic Book" w:hAnsi="Franklin Gothic Book" w:cs="Times New Roman"/>
          <w:sz w:val="18"/>
          <w:szCs w:val="18"/>
        </w:rPr>
        <w:t>Jan. 24, 2022</w:t>
      </w:r>
      <w:r w:rsidRPr="00804A4E">
        <w:rPr>
          <w:rFonts w:ascii="Franklin Gothic Book" w:eastAsiaTheme="minorHAnsi" w:hAnsi="Franklin Gothic Book" w:cs="Times New Roman"/>
          <w:sz w:val="18"/>
          <w:szCs w:val="18"/>
        </w:rPr>
        <w:t>)</w:t>
      </w:r>
      <w:r w:rsidR="00087099" w:rsidRPr="00804A4E">
        <w:rPr>
          <w:rFonts w:ascii="Franklin Gothic Book" w:eastAsiaTheme="minorHAnsi" w:hAnsi="Franklin Gothic Book" w:cs="Times New Roman"/>
          <w:sz w:val="18"/>
          <w:szCs w:val="18"/>
        </w:rPr>
        <w:t>.</w:t>
      </w:r>
    </w:p>
  </w:footnote>
  <w:footnote w:id="216">
    <w:p w14:paraId="691A6B14" w14:textId="52068AAD" w:rsidR="009A6490" w:rsidRPr="00804A4E" w:rsidRDefault="009A6490"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20" w:name="_Hlk93740657"/>
      <w:r w:rsidR="003169BF" w:rsidRPr="00804A4E">
        <w:rPr>
          <w:rFonts w:ascii="Franklin Gothic Book" w:hAnsi="Franklin Gothic Book" w:cs="Times New Roman"/>
          <w:smallCaps/>
          <w:sz w:val="18"/>
          <w:szCs w:val="18"/>
        </w:rPr>
        <w:t>Mass. Health Policy Comm’n</w:t>
      </w:r>
      <w:r w:rsidR="003169BF" w:rsidRPr="00804A4E">
        <w:rPr>
          <w:rFonts w:ascii="Franklin Gothic Book" w:hAnsi="Franklin Gothic Book" w:cs="Times New Roman"/>
          <w:sz w:val="18"/>
          <w:szCs w:val="18"/>
        </w:rPr>
        <w:t xml:space="preserve">, </w:t>
      </w:r>
      <w:r w:rsidR="003169BF" w:rsidRPr="00804A4E">
        <w:rPr>
          <w:rFonts w:ascii="Franklin Gothic Book" w:hAnsi="Franklin Gothic Book" w:cs="Times New Roman"/>
          <w:smallCaps/>
          <w:sz w:val="18"/>
          <w:szCs w:val="18"/>
        </w:rPr>
        <w:t>2021 Cost Trends Report: Chartpack</w:t>
      </w:r>
      <w:r w:rsidR="003169BF" w:rsidRPr="00804A4E">
        <w:rPr>
          <w:rFonts w:ascii="Franklin Gothic Book" w:hAnsi="Franklin Gothic Book" w:cs="Times New Roman"/>
          <w:sz w:val="18"/>
          <w:szCs w:val="18"/>
        </w:rPr>
        <w:t xml:space="preserve"> 55 </w:t>
      </w:r>
      <w:bookmarkEnd w:id="120"/>
      <w:r w:rsidR="003169BF" w:rsidRPr="00804A4E">
        <w:rPr>
          <w:rFonts w:ascii="Franklin Gothic Book" w:hAnsi="Franklin Gothic Book" w:cs="Times New Roman"/>
          <w:sz w:val="18"/>
          <w:szCs w:val="18"/>
        </w:rPr>
        <w:t xml:space="preserve">(Sept. 2021), </w:t>
      </w:r>
      <w:r w:rsidR="00FC68ED">
        <w:rPr>
          <w:rFonts w:ascii="Franklin Gothic Book" w:hAnsi="Franklin Gothic Book" w:cs="Times New Roman"/>
          <w:i/>
          <w:iCs/>
          <w:sz w:val="18"/>
          <w:szCs w:val="18"/>
        </w:rPr>
        <w:t xml:space="preserve">available </w:t>
      </w:r>
      <w:hyperlink r:id="rId89" w:history="1">
        <w:r w:rsidR="00FC68ED">
          <w:rPr>
            <w:rStyle w:val="Hyperlink"/>
            <w:rFonts w:ascii="Franklin Gothic Book" w:hAnsi="Franklin Gothic Book" w:cs="Times New Roman"/>
            <w:sz w:val="18"/>
            <w:szCs w:val="18"/>
          </w:rPr>
          <w:t>at https://www.mass.gov/doc/2021-cost-trends-report-chartpack/download</w:t>
        </w:r>
      </w:hyperlink>
      <w:r w:rsidRPr="00804A4E">
        <w:rPr>
          <w:rFonts w:ascii="Franklin Gothic Book" w:hAnsi="Franklin Gothic Book" w:cs="Times New Roman"/>
          <w:sz w:val="18"/>
          <w:szCs w:val="18"/>
        </w:rPr>
        <w:t>. The HPC selected these measures based on published literature, relatively high prevalence and spending in commercial populations, ability to be captured using APCD claims data, and availability of specifications using ICD-10 codes.</w:t>
      </w:r>
    </w:p>
  </w:footnote>
  <w:footnote w:id="217">
    <w:p w14:paraId="7E585054" w14:textId="77777777" w:rsidR="00A11E0E" w:rsidRPr="00804A4E" w:rsidRDefault="00A11E0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Blue Cross Blue Shield of Massachusetts (BCBS), Harvard Pilgrim Health Care (HPHC), and Tufts Health Plan (THP). Although HPHC and THP have since merged to form Point32Health, all analyses in this report are based on pre-merger data, and the plans are referred to separately throughout.</w:t>
      </w:r>
    </w:p>
  </w:footnote>
  <w:footnote w:id="218">
    <w:p w14:paraId="1D0E9C9B" w14:textId="1A40D0B2" w:rsidR="00A11E0E" w:rsidRPr="00804A4E" w:rsidRDefault="00A11E0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TME is expressed as a per member per month dollar figure that reflects the average monthly covered medical expenses paid by the payer and the member for all of the health care services the payer’s members receive in a year. HSA TME is adjusted for a member’s health status. For methodological information on TME and HSA TME, see</w:t>
      </w:r>
      <w:r w:rsidR="007929F4" w:rsidRPr="00804A4E">
        <w:rPr>
          <w:rFonts w:ascii="Franklin Gothic Book" w:hAnsi="Franklin Gothic Book" w:cs="Times New Roman"/>
          <w:sz w:val="18"/>
          <w:szCs w:val="18"/>
        </w:rPr>
        <w:t xml:space="preserve"> </w:t>
      </w:r>
      <w:r w:rsidR="007929F4" w:rsidRPr="00804A4E">
        <w:rPr>
          <w:rFonts w:ascii="Franklin Gothic Book" w:hAnsi="Franklin Gothic Book" w:cs="Times New Roman"/>
          <w:smallCaps/>
          <w:sz w:val="18"/>
          <w:szCs w:val="18"/>
        </w:rPr>
        <w:t>Mass. Health Policy Comm’n</w:t>
      </w:r>
      <w:r w:rsidR="007929F4" w:rsidRPr="00804A4E">
        <w:rPr>
          <w:rFonts w:ascii="Franklin Gothic Book" w:hAnsi="Franklin Gothic Book" w:cs="Times New Roman"/>
          <w:sz w:val="18"/>
          <w:szCs w:val="18"/>
        </w:rPr>
        <w:t xml:space="preserve">, </w:t>
      </w:r>
      <w:r w:rsidR="007929F4" w:rsidRPr="00804A4E">
        <w:rPr>
          <w:rFonts w:ascii="Franklin Gothic Book" w:hAnsi="Franklin Gothic Book" w:cs="Times New Roman"/>
          <w:smallCaps/>
          <w:sz w:val="18"/>
          <w:szCs w:val="18"/>
        </w:rPr>
        <w:t>2018 Cost Trends Report Technical Appendix 4C: TME by Provider Group</w:t>
      </w:r>
      <w:r w:rsidR="007929F4" w:rsidRPr="00804A4E">
        <w:rPr>
          <w:rFonts w:ascii="Franklin Gothic Book" w:hAnsi="Franklin Gothic Book" w:cs="Times New Roman"/>
          <w:sz w:val="18"/>
          <w:szCs w:val="18"/>
        </w:rPr>
        <w:t xml:space="preserve"> (Feb. 2019), </w:t>
      </w:r>
      <w:r w:rsidR="00804A02">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90" w:history="1">
        <w:r w:rsidR="00804A02">
          <w:rPr>
            <w:rStyle w:val="Hyperlink"/>
            <w:rFonts w:ascii="Franklin Gothic Book" w:hAnsi="Franklin Gothic Book" w:cs="Times New Roman"/>
            <w:sz w:val="18"/>
            <w:szCs w:val="18"/>
          </w:rPr>
          <w:t>at https://www.mass.gov/doc/tme-by-provider-group/download</w:t>
        </w:r>
      </w:hyperlink>
      <w:r w:rsidRPr="00804A4E">
        <w:rPr>
          <w:rFonts w:ascii="Franklin Gothic Book" w:hAnsi="Franklin Gothic Book" w:cs="Times New Roman"/>
          <w:sz w:val="18"/>
          <w:szCs w:val="18"/>
        </w:rPr>
        <w:t>.</w:t>
      </w:r>
    </w:p>
  </w:footnote>
  <w:footnote w:id="219">
    <w:p w14:paraId="549AA3F9" w14:textId="401923B5" w:rsidR="00A11E0E" w:rsidRPr="00804A4E" w:rsidRDefault="00A11E0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7C1978" w:rsidRPr="00804A4E">
        <w:rPr>
          <w:rFonts w:ascii="Franklin Gothic Book" w:hAnsi="Franklin Gothic Book" w:cs="Times New Roman"/>
          <w:sz w:val="18"/>
          <w:szCs w:val="18"/>
        </w:rPr>
        <w:t>HPC analysis of CHIA TME data, 2014-2018.</w:t>
      </w:r>
      <w:r w:rsidRPr="00804A4E">
        <w:rPr>
          <w:rFonts w:ascii="Franklin Gothic Book" w:hAnsi="Franklin Gothic Book" w:cs="Times New Roman"/>
          <w:sz w:val="18"/>
          <w:szCs w:val="18"/>
        </w:rPr>
        <w:t xml:space="preserve"> The HPC evaluated TME and HSA TME for all provider groups for the three largest commercial payers from 2014 to 2019 and counted the number of years that PCPO was highest or second-highest. PCPO had the highest or second highest TME in 16 out of 18 payer-year combinations and the highest or second-highest HSA TME in 17 out of 18 payer-year combinations.</w:t>
      </w:r>
    </w:p>
  </w:footnote>
  <w:footnote w:id="220">
    <w:p w14:paraId="608D673E" w14:textId="77777777" w:rsidR="00F254DD" w:rsidRPr="00804A4E" w:rsidRDefault="00F254DD"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Tufts Medicare Managed Care, we calculated a per member per month HSA TME, weighted by member months, and compared to provider groups that serve the Eastern MA enrollees. Comparator provider groups include Atrius, New England Quality Care Alliance (NEQCA), Lahey Clinic, Beth Israel Deaconess Care Organization (BIDCO), Charles River Medical Associates, Mount Auburn Cambridge IPA (MACIPA), Northeast PHO, LGH Medical Group, South Shore Medical Center, Signature Healthcare Medical Group, Acton Medical Associates, Merrimack Valley, IPA, Boston Medical Center Mgt Services.</w:t>
      </w:r>
    </w:p>
  </w:footnote>
  <w:footnote w:id="221">
    <w:p w14:paraId="091FFD01" w14:textId="2BBC644B" w:rsidR="00992A72" w:rsidRPr="00804A4E" w:rsidRDefault="00A11E0E"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B7D50" w:rsidRPr="00804A4E">
        <w:rPr>
          <w:rFonts w:ascii="Franklin Gothic Book" w:hAnsi="Franklin Gothic Book" w:cs="Times New Roman"/>
          <w:sz w:val="18"/>
          <w:szCs w:val="18"/>
        </w:rPr>
        <w:t xml:space="preserve">The HPC notes that the unadjusted spending growth rates are a more appropriate measure of providers’ spending performance over time than health status adjusted TME growth rates. </w:t>
      </w:r>
      <w:r w:rsidR="000E4A65" w:rsidRPr="00804A4E">
        <w:rPr>
          <w:rFonts w:ascii="Franklin Gothic Book" w:hAnsi="Franklin Gothic Book" w:cs="Times New Roman"/>
          <w:sz w:val="18"/>
          <w:szCs w:val="18"/>
        </w:rPr>
        <w:t xml:space="preserve">The HPC examined health status adjusted TME growth rates with one large commercial payer and found that, for those provider groups with at least 100,000 member months for each year from 2016 to 2019, 100% had an overall increase in their risk score during this time period (rather than a decrease), and the majority had an increase of over 10%. As a result, 100% of these providers had an overall health status adjusted TME growth rate that was lower than its unadjusted TME growth rate. The consistency of this pattern across providers and the magnitude of the growth suggest that these changes are more reflective of changes in coding than of changes in patient health status. </w:t>
      </w:r>
    </w:p>
    <w:p w14:paraId="4B91741A" w14:textId="70BF2CA6" w:rsidR="00A11E0E" w:rsidRPr="00804A4E" w:rsidRDefault="00A11E0E" w:rsidP="00142DCC">
      <w:pPr>
        <w:pStyle w:val="FootnoteText"/>
        <w:widowControl w:val="0"/>
        <w:rPr>
          <w:rFonts w:ascii="Franklin Gothic Book" w:hAnsi="Franklin Gothic Book" w:cs="Times New Roman"/>
          <w:sz w:val="18"/>
          <w:szCs w:val="18"/>
        </w:rPr>
      </w:pPr>
    </w:p>
  </w:footnote>
  <w:footnote w:id="222">
    <w:p w14:paraId="3217F83D" w14:textId="547B2380"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Pr="00804A4E">
        <w:rPr>
          <w:rFonts w:ascii="Franklin Gothic Book" w:hAnsi="Franklin Gothic Book" w:cs="Times New Roman"/>
          <w:smallCaps/>
          <w:sz w:val="18"/>
          <w:szCs w:val="18"/>
        </w:rPr>
        <w:t>CHIA Hospital Profiles Databook</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supra</w:t>
      </w:r>
      <w:r w:rsidRPr="00804A4E">
        <w:rPr>
          <w:rFonts w:ascii="Franklin Gothic Book" w:hAnsi="Franklin Gothic Book" w:cs="Times New Roman"/>
          <w:sz w:val="18"/>
          <w:szCs w:val="18"/>
        </w:rPr>
        <w:t xml:space="preserve"> note</w:t>
      </w:r>
      <w:r w:rsidR="00292C1C" w:rsidRPr="00804A4E">
        <w:rPr>
          <w:rFonts w:ascii="Franklin Gothic Book" w:hAnsi="Franklin Gothic Book" w:cs="Times New Roman"/>
          <w:sz w:val="18"/>
          <w:szCs w:val="18"/>
        </w:rPr>
        <w:t xml:space="preserve"> </w:t>
      </w:r>
      <w:r w:rsidR="00DA0FF1" w:rsidRPr="00804A4E">
        <w:rPr>
          <w:rFonts w:ascii="Franklin Gothic Book" w:hAnsi="Franklin Gothic Book" w:cs="Times New Roman"/>
          <w:sz w:val="18"/>
          <w:szCs w:val="18"/>
        </w:rPr>
        <w:fldChar w:fldCharType="begin"/>
      </w:r>
      <w:r w:rsidR="00DA0FF1" w:rsidRPr="00804A4E">
        <w:rPr>
          <w:rFonts w:ascii="Franklin Gothic Book" w:hAnsi="Franklin Gothic Book" w:cs="Times New Roman"/>
          <w:sz w:val="18"/>
          <w:szCs w:val="18"/>
        </w:rPr>
        <w:instrText xml:space="preserve"> NOTEREF _Ref93661797 \h </w:instrText>
      </w:r>
      <w:r w:rsidR="00804A4E" w:rsidRPr="00804A4E">
        <w:rPr>
          <w:rFonts w:ascii="Franklin Gothic Book" w:hAnsi="Franklin Gothic Book" w:cs="Times New Roman"/>
          <w:sz w:val="18"/>
          <w:szCs w:val="18"/>
        </w:rPr>
        <w:instrText xml:space="preserve"> \* MERGEFORMAT </w:instrText>
      </w:r>
      <w:r w:rsidR="00DA0FF1" w:rsidRPr="00804A4E">
        <w:rPr>
          <w:rFonts w:ascii="Franklin Gothic Book" w:hAnsi="Franklin Gothic Book" w:cs="Times New Roman"/>
          <w:sz w:val="18"/>
          <w:szCs w:val="18"/>
        </w:rPr>
      </w:r>
      <w:r w:rsidR="00DA0FF1"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64</w:t>
      </w:r>
      <w:r w:rsidR="00DA0FF1" w:rsidRPr="00804A4E">
        <w:rPr>
          <w:rFonts w:ascii="Franklin Gothic Book" w:hAnsi="Franklin Gothic Book" w:cs="Times New Roman"/>
          <w:sz w:val="18"/>
          <w:szCs w:val="18"/>
        </w:rPr>
        <w:fldChar w:fldCharType="end"/>
      </w:r>
      <w:r w:rsidRPr="00804A4E">
        <w:rPr>
          <w:rFonts w:ascii="Franklin Gothic Book" w:hAnsi="Franklin Gothic Book" w:cs="Times New Roman"/>
          <w:sz w:val="18"/>
          <w:szCs w:val="18"/>
        </w:rPr>
        <w:t xml:space="preserve">. Public payer mix was calculated as the sum of Medicare mix, Medicaid mix, and Other Government mix. </w:t>
      </w:r>
    </w:p>
  </w:footnote>
  <w:footnote w:id="223">
    <w:p w14:paraId="5C9B0570" w14:textId="77777777"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We used gross patient service revenue (or charges) data weighted by inpatient discharges and outpatient discharge equivalents to calculate an average inpatient and outpatient payer mix by system. </w:t>
      </w:r>
      <w:bookmarkStart w:id="124" w:name="_Hlk92721069"/>
      <w:r w:rsidRPr="00804A4E">
        <w:rPr>
          <w:rFonts w:ascii="Franklin Gothic Book" w:hAnsi="Franklin Gothic Book" w:cs="Times New Roman"/>
          <w:sz w:val="18"/>
          <w:szCs w:val="18"/>
        </w:rPr>
        <w:t xml:space="preserve">For a system that negotiates payer contracts on behalf of hospitals that it does not own (i.e., MGB and BILH) we calculated the payer mix both for the corporate system alone and for the system including contracting affiliate hospitals. </w:t>
      </w:r>
      <w:bookmarkEnd w:id="124"/>
    </w:p>
  </w:footnote>
  <w:footnote w:id="224">
    <w:p w14:paraId="422C8C41" w14:textId="4FACB866"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bookmarkStart w:id="125" w:name="_Hlk90669833"/>
      <w:r w:rsidRPr="00804A4E">
        <w:rPr>
          <w:rFonts w:ascii="Franklin Gothic Book" w:hAnsi="Franklin Gothic Book" w:cs="Times New Roman"/>
          <w:sz w:val="18"/>
          <w:szCs w:val="18"/>
        </w:rPr>
        <w:t xml:space="preserve">HPC analysis of CHIA hospital discharge data for 2009 through 2019. </w:t>
      </w:r>
      <w:bookmarkEnd w:id="125"/>
      <w:r w:rsidRPr="00804A4E">
        <w:rPr>
          <w:rFonts w:ascii="Franklin Gothic Book" w:hAnsi="Franklin Gothic Book" w:cs="Times New Roman"/>
          <w:sz w:val="18"/>
          <w:szCs w:val="18"/>
        </w:rPr>
        <w:t>System affiliation is based on 2019 affiliations. Other systems include Baystate Health, Beth Israel Lahey Health, Boston Medical Center, Steward Health Care System, Tenet Healthcare, UMass Memorial Health Care</w:t>
      </w:r>
      <w:r w:rsidR="00D72996" w:rsidRPr="00804A4E">
        <w:rPr>
          <w:rFonts w:ascii="Franklin Gothic Book" w:hAnsi="Franklin Gothic Book" w:cs="Times New Roman"/>
          <w:sz w:val="18"/>
          <w:szCs w:val="18"/>
        </w:rPr>
        <w:t xml:space="preserve"> (UMass)</w:t>
      </w:r>
      <w:r w:rsidRPr="00804A4E">
        <w:rPr>
          <w:rFonts w:ascii="Franklin Gothic Book" w:hAnsi="Franklin Gothic Book" w:cs="Times New Roman"/>
          <w:sz w:val="18"/>
          <w:szCs w:val="18"/>
        </w:rPr>
        <w:t>, Wellforce, and independent hospitals.</w:t>
      </w:r>
    </w:p>
  </w:footnote>
  <w:footnote w:id="225">
    <w:p w14:paraId="420D690A" w14:textId="77777777"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Compared to all other systems, MGB only had a higher Medicare mix than Boston Medical Center (BMC). Because of its high proportion of Medicaid patients, BMC served an overall higher mix of patients with public health insurance compared to MGB across all years.</w:t>
      </w:r>
    </w:p>
  </w:footnote>
  <w:footnote w:id="226">
    <w:p w14:paraId="17836CCB" w14:textId="353E0493"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PSA is measured by identifying the smallest number of contiguous zip codes (in order of drive time) that account for 75% of each hospital’s total commercial general acute care discharges. See the HPC’s technical bulletin detailing methodology for determining the PSA, available here: </w:t>
      </w:r>
      <w:hyperlink r:id="rId91" w:history="1">
        <w:r w:rsidR="004A0A79">
          <w:rPr>
            <w:rStyle w:val="Hyperlink"/>
            <w:rFonts w:ascii="Franklin Gothic Book" w:hAnsi="Franklin Gothic Book" w:cs="Times New Roman"/>
            <w:sz w:val="18"/>
            <w:szCs w:val="18"/>
          </w:rPr>
          <w:t>at https://www.mass.gov/doc/technical-bulletin-circ-1/download</w:t>
        </w:r>
      </w:hyperlink>
      <w:r w:rsidRPr="00804A4E">
        <w:rPr>
          <w:rStyle w:val="Hyperlink"/>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p>
  </w:footnote>
  <w:footnote w:id="227">
    <w:p w14:paraId="27F15827" w14:textId="081A1121"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Our results are consistent with the results presented for MGH in the ICA, which </w:t>
      </w:r>
      <w:r w:rsidR="00A70725" w:rsidRPr="00804A4E">
        <w:rPr>
          <w:rFonts w:ascii="Franklin Gothic Book" w:hAnsi="Franklin Gothic Book" w:cs="Times New Roman"/>
          <w:sz w:val="18"/>
          <w:szCs w:val="18"/>
        </w:rPr>
        <w:t xml:space="preserve">finds </w:t>
      </w:r>
      <w:r w:rsidRPr="00804A4E">
        <w:rPr>
          <w:rFonts w:ascii="Franklin Gothic Book" w:hAnsi="Franklin Gothic Book" w:cs="Times New Roman"/>
          <w:sz w:val="18"/>
          <w:szCs w:val="18"/>
        </w:rPr>
        <w:t xml:space="preserve">higher rates of inpatients with commercial insurance and lower rates of patients with public insurance in comparison to all inpatients in MGH’s 75% service area. </w:t>
      </w:r>
      <w:r w:rsidRPr="00804A4E">
        <w:rPr>
          <w:rFonts w:ascii="Franklin Gothic Book" w:hAnsi="Franklin Gothic Book" w:cs="Times New Roman"/>
          <w:i/>
          <w:iCs/>
          <w:sz w:val="18"/>
          <w:szCs w:val="18"/>
        </w:rPr>
        <w:t xml:space="preserve">See </w:t>
      </w:r>
      <w:r w:rsidR="005B0D9D" w:rsidRPr="00804A4E">
        <w:rPr>
          <w:rFonts w:ascii="Franklin Gothic Book" w:hAnsi="Franklin Gothic Book" w:cs="Times New Roman"/>
          <w:sz w:val="18"/>
          <w:szCs w:val="18"/>
        </w:rPr>
        <w:t xml:space="preserve">MGH ICA, </w:t>
      </w:r>
      <w:r w:rsidR="005B0D9D" w:rsidRPr="00804A4E">
        <w:rPr>
          <w:rFonts w:ascii="Franklin Gothic Book" w:hAnsi="Franklin Gothic Book" w:cs="Times New Roman"/>
          <w:i/>
          <w:iCs/>
          <w:sz w:val="18"/>
          <w:szCs w:val="18"/>
        </w:rPr>
        <w:t xml:space="preserve">supra </w:t>
      </w:r>
      <w:r w:rsidR="005B0D9D" w:rsidRPr="00804A4E">
        <w:rPr>
          <w:rFonts w:ascii="Franklin Gothic Book" w:hAnsi="Franklin Gothic Book" w:cs="Times New Roman"/>
          <w:sz w:val="18"/>
          <w:szCs w:val="18"/>
        </w:rPr>
        <w:t xml:space="preserve">note </w:t>
      </w:r>
      <w:r w:rsidR="005B0D9D" w:rsidRPr="00804A4E">
        <w:rPr>
          <w:rFonts w:ascii="Franklin Gothic Book" w:hAnsi="Franklin Gothic Book" w:cs="Times New Roman"/>
          <w:sz w:val="18"/>
          <w:szCs w:val="18"/>
        </w:rPr>
        <w:fldChar w:fldCharType="begin"/>
      </w:r>
      <w:r w:rsidR="005B0D9D"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5B0D9D" w:rsidRPr="00804A4E">
        <w:rPr>
          <w:rFonts w:ascii="Franklin Gothic Book" w:hAnsi="Franklin Gothic Book" w:cs="Times New Roman"/>
          <w:sz w:val="18"/>
          <w:szCs w:val="18"/>
        </w:rPr>
      </w:r>
      <w:r w:rsidR="005B0D9D"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5B0D9D" w:rsidRPr="00804A4E">
        <w:rPr>
          <w:rFonts w:ascii="Franklin Gothic Book" w:hAnsi="Franklin Gothic Book" w:cs="Times New Roman"/>
          <w:sz w:val="18"/>
          <w:szCs w:val="18"/>
        </w:rPr>
        <w:fldChar w:fldCharType="end"/>
      </w:r>
      <w:r w:rsidR="005B0D9D"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Figure MGH1. </w:t>
      </w:r>
    </w:p>
  </w:footnote>
  <w:footnote w:id="228">
    <w:p w14:paraId="70CF90AE" w14:textId="1F707D46"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Using claims data and physician data from the MA-RPO program and the SK&amp;A Information Services by IQVIA (SK&amp;A) Office Based and Hospital Based Providers dataset, we attributed primary care patients to systems and compared the socioeconomic circumstances of patients across systems. We used the patient attribution methodology described in the </w:t>
      </w:r>
      <w:r w:rsidRPr="00804A4E">
        <w:rPr>
          <w:rFonts w:ascii="Franklin Gothic Book" w:hAnsi="Franklin Gothic Book" w:cs="Times New Roman"/>
          <w:smallCaps/>
          <w:sz w:val="18"/>
          <w:szCs w:val="18"/>
        </w:rPr>
        <w:t>2017 Cost Trends Report Technical Appendix</w:t>
      </w:r>
      <w:r w:rsidRPr="00804A4E">
        <w:rPr>
          <w:rFonts w:ascii="Franklin Gothic Book" w:hAnsi="Franklin Gothic Book" w:cs="Times New Roman"/>
          <w:sz w:val="18"/>
          <w:szCs w:val="18"/>
        </w:rPr>
        <w:t xml:space="preserve">, </w:t>
      </w:r>
      <w:r w:rsidR="00247027">
        <w:rPr>
          <w:rFonts w:ascii="Franklin Gothic Book" w:hAnsi="Franklin Gothic Book" w:cs="Times New Roman"/>
          <w:i/>
          <w:iCs/>
          <w:sz w:val="18"/>
          <w:szCs w:val="18"/>
        </w:rPr>
        <w:t>available</w:t>
      </w:r>
      <w:r w:rsidRPr="00804A4E">
        <w:rPr>
          <w:rFonts w:ascii="Franklin Gothic Book" w:hAnsi="Franklin Gothic Book" w:cs="Times New Roman"/>
          <w:sz w:val="18"/>
          <w:szCs w:val="18"/>
        </w:rPr>
        <w:t xml:space="preserve"> </w:t>
      </w:r>
      <w:hyperlink r:id="rId92" w:history="1">
        <w:r w:rsidR="00247027">
          <w:rPr>
            <w:rStyle w:val="Hyperlink"/>
            <w:rFonts w:ascii="Franklin Gothic Book" w:hAnsi="Franklin Gothic Book" w:cs="Times New Roman"/>
            <w:sz w:val="18"/>
            <w:szCs w:val="18"/>
          </w:rPr>
          <w:t>at https://www.mass.gov/doc/b3-provider-organization-performance-variation/download</w:t>
        </w:r>
      </w:hyperlink>
      <w:r w:rsidRPr="00804A4E">
        <w:rPr>
          <w:rFonts w:ascii="Franklin Gothic Book" w:hAnsi="Franklin Gothic Book" w:cs="Times New Roman"/>
          <w:sz w:val="18"/>
          <w:szCs w:val="18"/>
        </w:rPr>
        <w:t xml:space="preserve">. On average, MGB’s inpatients came from communities with median incomes above the statewide median of $81,215. The only provider group that served patients from wealthier communities was Mount Auburn Cambridge Independent Practice Association (MACIPA), which had a far smaller number of attributed patients. Using 2016 APCD data, MACIPA had 29,724 attributed patients compared to MGB’s 239,062 attributed patients. The median zip-code income of MACIPA’s attributed patients was $105,065 compared to the median zip-code income of MGB’s attributed patients, which was $103,738. Based on HPC analysis of CHIA hospital discharge data from 2019 and U.S. Census Bureau, 2015-2019 American Community Survey 5-Year Estimates (Table S1903). </w:t>
      </w:r>
    </w:p>
  </w:footnote>
  <w:footnote w:id="229">
    <w:p w14:paraId="65EE4C1C" w14:textId="77777777"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These findings are consistent with our evaluation of the Area Deprivation Index (ADI), a measurement created by the Health Resources and Services Administration that incorporates U.S. Census Bureau information on income, education, employment, and housing quality. See </w:t>
      </w:r>
      <w:r w:rsidRPr="00804A4E">
        <w:rPr>
          <w:rFonts w:ascii="Franklin Gothic Book" w:hAnsi="Franklin Gothic Book" w:cs="Times New Roman"/>
          <w:smallCaps/>
          <w:sz w:val="18"/>
          <w:szCs w:val="18"/>
        </w:rPr>
        <w:t>U.S. Census Bureau, American Community Survey and University of Wisconsin-Madison HIPxChange</w:t>
      </w:r>
      <w:r w:rsidRPr="00804A4E">
        <w:rPr>
          <w:rFonts w:ascii="Franklin Gothic Book" w:hAnsi="Franklin Gothic Book" w:cs="Times New Roman"/>
          <w:sz w:val="18"/>
          <w:szCs w:val="18"/>
        </w:rPr>
        <w:t xml:space="preserve">, 2017. MGB primary care patients came from communities with comparable or lower scores on the ADI – or were more socioeconomically advantaged – in comparison to patients attributed to other systems. MGB patients had an average area deprivation index of 17.2, which is comparable or lower than the average ADI for other Eastern MA providers (10.7 for MACIPA patients, 15.2 for BILH patients, including the patients of its contracting affiliates, 19.6 for Wellforce patients, and 24.9 for Steward patients). </w:t>
      </w:r>
    </w:p>
  </w:footnote>
  <w:footnote w:id="230">
    <w:p w14:paraId="23F1391B" w14:textId="1C716F09"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Inpatient data may not reflect the demographics of MGB’s overall patient population; for example, MGH has stated that patients seen in its community health centers are more likely to be people of color. </w:t>
      </w:r>
      <w:r w:rsidRPr="00804A4E">
        <w:rPr>
          <w:rFonts w:ascii="Franklin Gothic Book" w:hAnsi="Franklin Gothic Book" w:cs="Times New Roman"/>
          <w:smallCaps/>
          <w:sz w:val="18"/>
          <w:szCs w:val="18"/>
        </w:rPr>
        <w:t>Massachusetts General Hospital, Annual Report on Equity in Health Care Quality 2020</w:t>
      </w:r>
      <w:r w:rsidRPr="00804A4E">
        <w:rPr>
          <w:rFonts w:ascii="Franklin Gothic Book" w:hAnsi="Franklin Gothic Book" w:cs="Times New Roman"/>
          <w:sz w:val="18"/>
          <w:szCs w:val="18"/>
        </w:rPr>
        <w:t xml:space="preserve">, </w:t>
      </w:r>
      <w:r w:rsidR="003C6160">
        <w:rPr>
          <w:rFonts w:ascii="Franklin Gothic Book" w:hAnsi="Franklin Gothic Book" w:cs="Times New Roman"/>
          <w:i/>
          <w:iCs/>
          <w:sz w:val="18"/>
          <w:szCs w:val="18"/>
        </w:rPr>
        <w:t xml:space="preserve">available </w:t>
      </w:r>
      <w:hyperlink r:id="rId93" w:history="1">
        <w:r w:rsidR="003C6160">
          <w:rPr>
            <w:rStyle w:val="Hyperlink"/>
            <w:rFonts w:ascii="Franklin Gothic Book" w:hAnsi="Franklin Gothic Book" w:cs="Times New Roman"/>
            <w:sz w:val="18"/>
            <w:szCs w:val="18"/>
          </w:rPr>
          <w:t>at https://www.mghdisparitiessolutions.org/_files/ugd/888d39_7f1b7c0c157f464cbe72f37b3c14fc59.pdf</w:t>
        </w:r>
      </w:hyperlink>
      <w:r w:rsidRPr="00804A4E">
        <w:rPr>
          <w:rFonts w:ascii="Franklin Gothic Book" w:hAnsi="Franklin Gothic Book" w:cs="Times New Roman"/>
          <w:sz w:val="18"/>
          <w:szCs w:val="18"/>
        </w:rPr>
        <w:t xml:space="preserve"> (last visited December 17, 2021).</w:t>
      </w:r>
    </w:p>
  </w:footnote>
  <w:footnote w:id="231">
    <w:p w14:paraId="78288D9C" w14:textId="77777777"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Hospitals report categorical data to CHIA on race in the following categories: Asian, Black, Native American, Native Hawaiian, Unknown, and White. Hospitals separately report if the patient is Hispanic with a binary indicator (yes/no). In our analyses, we considered BIPOC patients to be patients reported as Asian, Black, Native American, or Native Hawaiian or patients with the Hispanic indicator as yes. </w:t>
      </w:r>
    </w:p>
  </w:footnote>
  <w:footnote w:id="232">
    <w:p w14:paraId="46CD917B" w14:textId="560F67BE"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This is consistent with the results presented for MGH and Brigham and Women’s Faulkner Hospital (Faulkner) in the ICAs, which </w:t>
      </w:r>
      <w:r w:rsidR="00A70725" w:rsidRPr="00804A4E">
        <w:rPr>
          <w:rFonts w:ascii="Franklin Gothic Book" w:hAnsi="Franklin Gothic Book" w:cs="Times New Roman"/>
          <w:sz w:val="18"/>
          <w:szCs w:val="18"/>
        </w:rPr>
        <w:t xml:space="preserve">find </w:t>
      </w:r>
      <w:r w:rsidRPr="00804A4E">
        <w:rPr>
          <w:rFonts w:ascii="Franklin Gothic Book" w:hAnsi="Franklin Gothic Book" w:cs="Times New Roman"/>
          <w:sz w:val="18"/>
          <w:szCs w:val="18"/>
        </w:rPr>
        <w:t xml:space="preserve">lower rates of Black patients compared to all inpatients in MGH’s and Faulkner’s respective 75% service areas. The HPC did not analyze Hispanic patients separately, but the ICAs reported that MGH served comparable rates of Hispanic patients and Faulkner served more Hispanic patients compared to all inpatients in the respective hospitals’ service areas. </w:t>
      </w:r>
      <w:r w:rsidRPr="00804A4E">
        <w:rPr>
          <w:rFonts w:ascii="Franklin Gothic Book" w:hAnsi="Franklin Gothic Book" w:cs="Times New Roman"/>
          <w:i/>
          <w:iCs/>
          <w:sz w:val="18"/>
          <w:szCs w:val="18"/>
        </w:rPr>
        <w:t xml:space="preserve">See </w:t>
      </w:r>
      <w:r w:rsidR="0028646C" w:rsidRPr="00804A4E">
        <w:rPr>
          <w:rFonts w:ascii="Franklin Gothic Book" w:hAnsi="Franklin Gothic Book" w:cs="Times New Roman"/>
          <w:sz w:val="18"/>
          <w:szCs w:val="18"/>
        </w:rPr>
        <w:t xml:space="preserve">MGH ICA, </w:t>
      </w:r>
      <w:r w:rsidR="0028646C" w:rsidRPr="00804A4E">
        <w:rPr>
          <w:rFonts w:ascii="Franklin Gothic Book" w:hAnsi="Franklin Gothic Book" w:cs="Times New Roman"/>
          <w:i/>
          <w:iCs/>
          <w:sz w:val="18"/>
          <w:szCs w:val="18"/>
        </w:rPr>
        <w:t xml:space="preserve">supra </w:t>
      </w:r>
      <w:r w:rsidR="0028646C" w:rsidRPr="00804A4E">
        <w:rPr>
          <w:rFonts w:ascii="Franklin Gothic Book" w:hAnsi="Franklin Gothic Book" w:cs="Times New Roman"/>
          <w:sz w:val="18"/>
          <w:szCs w:val="18"/>
        </w:rPr>
        <w:t xml:space="preserve">note </w:t>
      </w:r>
      <w:r w:rsidR="0028646C" w:rsidRPr="00804A4E">
        <w:rPr>
          <w:rFonts w:ascii="Franklin Gothic Book" w:hAnsi="Franklin Gothic Book" w:cs="Times New Roman"/>
          <w:sz w:val="18"/>
          <w:szCs w:val="18"/>
        </w:rPr>
        <w:fldChar w:fldCharType="begin"/>
      </w:r>
      <w:r w:rsidR="0028646C"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28646C" w:rsidRPr="00804A4E">
        <w:rPr>
          <w:rFonts w:ascii="Franklin Gothic Book" w:hAnsi="Franklin Gothic Book" w:cs="Times New Roman"/>
          <w:sz w:val="18"/>
          <w:szCs w:val="18"/>
        </w:rPr>
      </w:r>
      <w:r w:rsidR="0028646C"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8646C" w:rsidRPr="00804A4E">
        <w:rPr>
          <w:rFonts w:ascii="Franklin Gothic Book" w:hAnsi="Franklin Gothic Book" w:cs="Times New Roman"/>
          <w:sz w:val="18"/>
          <w:szCs w:val="18"/>
        </w:rPr>
        <w:fldChar w:fldCharType="end"/>
      </w:r>
      <w:r w:rsidR="0028646C"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Figure</w:t>
      </w:r>
      <w:r w:rsidR="0028646C"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MGH1 and </w:t>
      </w:r>
      <w:r w:rsidR="0028646C" w:rsidRPr="00804A4E">
        <w:rPr>
          <w:rFonts w:ascii="Franklin Gothic Book" w:hAnsi="Franklin Gothic Book" w:cs="Times New Roman"/>
          <w:sz w:val="18"/>
          <w:szCs w:val="18"/>
        </w:rPr>
        <w:t xml:space="preserve">Faulkner ICA, </w:t>
      </w:r>
      <w:r w:rsidR="0028646C" w:rsidRPr="00804A4E">
        <w:rPr>
          <w:rFonts w:ascii="Franklin Gothic Book" w:hAnsi="Franklin Gothic Book" w:cs="Times New Roman"/>
          <w:i/>
          <w:iCs/>
          <w:sz w:val="18"/>
          <w:szCs w:val="18"/>
        </w:rPr>
        <w:t xml:space="preserve">supra </w:t>
      </w:r>
      <w:r w:rsidR="0028646C" w:rsidRPr="00804A4E">
        <w:rPr>
          <w:rFonts w:ascii="Franklin Gothic Book" w:hAnsi="Franklin Gothic Book" w:cs="Times New Roman"/>
          <w:sz w:val="18"/>
          <w:szCs w:val="18"/>
        </w:rPr>
        <w:t xml:space="preserve">note </w:t>
      </w:r>
      <w:r w:rsidR="0028646C" w:rsidRPr="00804A4E">
        <w:rPr>
          <w:rFonts w:ascii="Franklin Gothic Book" w:hAnsi="Franklin Gothic Book" w:cs="Times New Roman"/>
          <w:sz w:val="18"/>
          <w:szCs w:val="18"/>
        </w:rPr>
        <w:fldChar w:fldCharType="begin"/>
      </w:r>
      <w:r w:rsidR="0028646C" w:rsidRPr="00804A4E">
        <w:rPr>
          <w:rFonts w:ascii="Franklin Gothic Book" w:hAnsi="Franklin Gothic Book" w:cs="Times New Roman"/>
          <w:sz w:val="18"/>
          <w:szCs w:val="18"/>
        </w:rPr>
        <w:instrText xml:space="preserve"> NOTEREF _Ref93656068 \h </w:instrText>
      </w:r>
      <w:r w:rsidR="00804A4E" w:rsidRPr="00804A4E">
        <w:rPr>
          <w:rFonts w:ascii="Franklin Gothic Book" w:hAnsi="Franklin Gothic Book" w:cs="Times New Roman"/>
          <w:sz w:val="18"/>
          <w:szCs w:val="18"/>
        </w:rPr>
        <w:instrText xml:space="preserve"> \* MERGEFORMAT </w:instrText>
      </w:r>
      <w:r w:rsidR="0028646C" w:rsidRPr="00804A4E">
        <w:rPr>
          <w:rFonts w:ascii="Franklin Gothic Book" w:hAnsi="Franklin Gothic Book" w:cs="Times New Roman"/>
          <w:sz w:val="18"/>
          <w:szCs w:val="18"/>
        </w:rPr>
      </w:r>
      <w:r w:rsidR="0028646C" w:rsidRPr="00804A4E">
        <w:rPr>
          <w:rFonts w:ascii="Franklin Gothic Book" w:hAnsi="Franklin Gothic Book" w:cs="Times New Roman"/>
          <w:sz w:val="18"/>
          <w:szCs w:val="18"/>
        </w:rPr>
        <w:fldChar w:fldCharType="separate"/>
      </w:r>
      <w:r w:rsidR="00036554">
        <w:rPr>
          <w:rFonts w:ascii="Franklin Gothic Book" w:hAnsi="Franklin Gothic Book" w:cs="Times New Roman"/>
          <w:sz w:val="18"/>
          <w:szCs w:val="18"/>
        </w:rPr>
        <w:t>21</w:t>
      </w:r>
      <w:r w:rsidR="0028646C" w:rsidRPr="00804A4E">
        <w:rPr>
          <w:rFonts w:ascii="Franklin Gothic Book" w:hAnsi="Franklin Gothic Book" w:cs="Times New Roman"/>
          <w:sz w:val="18"/>
          <w:szCs w:val="18"/>
        </w:rPr>
        <w:fldChar w:fldCharType="end"/>
      </w:r>
      <w:r w:rsidR="0028646C" w:rsidRPr="00804A4E">
        <w:rPr>
          <w:rFonts w:ascii="Franklin Gothic Book" w:hAnsi="Franklin Gothic Book" w:cs="Times New Roman"/>
          <w:sz w:val="18"/>
          <w:szCs w:val="18"/>
        </w:rPr>
        <w:t xml:space="preserve">, Figure </w:t>
      </w:r>
      <w:r w:rsidRPr="00804A4E">
        <w:rPr>
          <w:rFonts w:ascii="Franklin Gothic Book" w:hAnsi="Franklin Gothic Book" w:cs="Times New Roman"/>
          <w:sz w:val="18"/>
          <w:szCs w:val="18"/>
        </w:rPr>
        <w:t xml:space="preserve">BWFH1. </w:t>
      </w:r>
    </w:p>
  </w:footnote>
  <w:footnote w:id="233">
    <w:p w14:paraId="5753069B" w14:textId="77777777"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HPC analysis of CHIA hospital discharge data for 2009 through 2019.</w:t>
      </w:r>
    </w:p>
  </w:footnote>
  <w:footnote w:id="234">
    <w:p w14:paraId="273149DE" w14:textId="3198300D"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We reviewed hospital and health system financial information from 2018 through 2020 submitted to the Center for Information and Analysis for MGB and other large Massachusetts provider systems including BILH, Wellforce, UMass, and Baystate. The 2020 revenue and margin figures include state and federal COVID-19 relief funding received by each provider organization. For BILH, the 2019 cash flow metrics represent partial year data from March 1 through September 30 and the 2018 figures represent a combination of CareGroup and Lahey predecessor organization financials. Steward Health Care did not submit the required system level audited financial statement data to CHIA; therefore, we analyzed Steward Health Care system data that were obtained from a publicly available data source. </w:t>
      </w:r>
      <w:r w:rsidRPr="00804A4E">
        <w:rPr>
          <w:rFonts w:ascii="Franklin Gothic Book" w:hAnsi="Franklin Gothic Book" w:cs="Times New Roman"/>
          <w:smallCaps/>
          <w:sz w:val="18"/>
          <w:szCs w:val="18"/>
        </w:rPr>
        <w:t>Ctr. for Health Info. &amp; Analysis, Massachusetts Acute Hospital and Health System Financial Performance FY2020</w:t>
      </w:r>
      <w:r w:rsidRPr="00804A4E">
        <w:rPr>
          <w:rFonts w:ascii="Franklin Gothic Book" w:hAnsi="Franklin Gothic Book" w:cs="Times New Roman"/>
          <w:sz w:val="18"/>
          <w:szCs w:val="18"/>
        </w:rPr>
        <w:t xml:space="preserve"> (September 2021), </w:t>
      </w:r>
      <w:r w:rsidR="00BF4CCA">
        <w:rPr>
          <w:rFonts w:ascii="Franklin Gothic Book" w:hAnsi="Franklin Gothic Book" w:cs="Times New Roman"/>
          <w:i/>
          <w:iCs/>
          <w:sz w:val="18"/>
          <w:szCs w:val="18"/>
        </w:rPr>
        <w:t xml:space="preserve">available </w:t>
      </w:r>
      <w:hyperlink r:id="rId94" w:history="1">
        <w:r w:rsidR="00BF4CCA">
          <w:rPr>
            <w:rStyle w:val="Hyperlink"/>
            <w:rFonts w:ascii="Franklin Gothic Book" w:hAnsi="Franklin Gothic Book" w:cs="Times New Roman"/>
            <w:sz w:val="18"/>
            <w:szCs w:val="18"/>
          </w:rPr>
          <w:t>at https://www.chiamass.gov/assets/Uploads/mass-hospital-financials/2020-annual-report/Acute-Hospital-Financial-Performance-Report-2020-Databook.xlsx</w:t>
        </w:r>
      </w:hyperlink>
      <w:r w:rsidRPr="00804A4E">
        <w:rPr>
          <w:rFonts w:ascii="Franklin Gothic Book" w:hAnsi="Franklin Gothic Book" w:cs="Times New Roman"/>
          <w:sz w:val="18"/>
          <w:szCs w:val="18"/>
        </w:rPr>
        <w:t xml:space="preserve"> (last visited December 17, 2021); </w:t>
      </w:r>
      <w:r w:rsidRPr="00804A4E">
        <w:rPr>
          <w:rFonts w:ascii="Franklin Gothic Book" w:hAnsi="Franklin Gothic Book" w:cs="Times New Roman"/>
          <w:smallCaps/>
          <w:sz w:val="18"/>
          <w:szCs w:val="18"/>
        </w:rPr>
        <w:t>Ctr. for Health Info. &amp; Analysis, Massachusetts Acute Hospital and Health System Financial Performance FY2019</w:t>
      </w:r>
      <w:r w:rsidRPr="00804A4E">
        <w:rPr>
          <w:rFonts w:ascii="Franklin Gothic Book" w:hAnsi="Franklin Gothic Book" w:cs="Times New Roman"/>
          <w:sz w:val="18"/>
          <w:szCs w:val="18"/>
        </w:rPr>
        <w:t xml:space="preserve"> (October 2020), </w:t>
      </w:r>
      <w:r w:rsidR="00D35200">
        <w:rPr>
          <w:rFonts w:ascii="Franklin Gothic Book" w:hAnsi="Franklin Gothic Book" w:cs="Times New Roman"/>
          <w:i/>
          <w:iCs/>
          <w:sz w:val="18"/>
          <w:szCs w:val="18"/>
        </w:rPr>
        <w:t xml:space="preserve">available </w:t>
      </w:r>
      <w:hyperlink r:id="rId95" w:history="1">
        <w:r w:rsidR="00D35200">
          <w:rPr>
            <w:rStyle w:val="Hyperlink"/>
            <w:rFonts w:ascii="Franklin Gothic Book" w:hAnsi="Franklin Gothic Book" w:cs="Times New Roman"/>
            <w:sz w:val="18"/>
            <w:szCs w:val="18"/>
          </w:rPr>
          <w:t>at https://www.chiamass.gov/assets/Uploads/mass-hospital-financials/2019-annual-report/Acute-Hospital-Health-System-Financial-Performance-Report-FY2019.pdf</w:t>
        </w:r>
      </w:hyperlink>
      <w:r w:rsidR="00667D03" w:rsidRPr="00804A4E">
        <w:rPr>
          <w:rFonts w:ascii="Franklin Gothic Book" w:hAnsi="Franklin Gothic Book" w:cs="Times New Roman"/>
          <w:sz w:val="18"/>
          <w:szCs w:val="18"/>
        </w:rPr>
        <w:t xml:space="preserve"> </w:t>
      </w:r>
      <w:r w:rsidRPr="00804A4E">
        <w:rPr>
          <w:rFonts w:ascii="Franklin Gothic Book" w:hAnsi="Franklin Gothic Book" w:cs="Times New Roman"/>
          <w:sz w:val="18"/>
          <w:szCs w:val="18"/>
        </w:rPr>
        <w:t xml:space="preserve">(last visited December 17, 2021); </w:t>
      </w:r>
      <w:r w:rsidRPr="00804A4E">
        <w:rPr>
          <w:rFonts w:ascii="Franklin Gothic Book" w:hAnsi="Franklin Gothic Book" w:cs="Times New Roman"/>
          <w:smallCaps/>
          <w:sz w:val="18"/>
          <w:szCs w:val="18"/>
        </w:rPr>
        <w:t xml:space="preserve">Ctr. for Health Info. &amp; Analysis, Massachusetts Acute Hospital and Health System Financial Performance FY2018 </w:t>
      </w:r>
      <w:r w:rsidRPr="00804A4E">
        <w:rPr>
          <w:rFonts w:ascii="Franklin Gothic Book" w:hAnsi="Franklin Gothic Book" w:cs="Times New Roman"/>
          <w:sz w:val="18"/>
          <w:szCs w:val="18"/>
        </w:rPr>
        <w:t xml:space="preserve">(September 2019), </w:t>
      </w:r>
      <w:r w:rsidR="00EB00D8">
        <w:rPr>
          <w:rFonts w:ascii="Franklin Gothic Book" w:hAnsi="Franklin Gothic Book" w:cs="Times New Roman"/>
          <w:i/>
          <w:iCs/>
          <w:sz w:val="18"/>
          <w:szCs w:val="18"/>
        </w:rPr>
        <w:t xml:space="preserve">available </w:t>
      </w:r>
      <w:hyperlink r:id="rId96" w:history="1">
        <w:r w:rsidR="00EB00D8">
          <w:rPr>
            <w:rStyle w:val="Hyperlink"/>
            <w:rFonts w:ascii="Franklin Gothic Book" w:hAnsi="Franklin Gothic Book" w:cs="Times New Roman"/>
            <w:sz w:val="18"/>
            <w:szCs w:val="18"/>
          </w:rPr>
          <w:t>at https://www.chiamass.gov/assets/Uploads/mass-hospital-financials/2018-annual-report/Acute-Hospital-Health-System-Financial-Performance-Report-FY2018.pdf</w:t>
        </w:r>
      </w:hyperlink>
      <w:r w:rsidRPr="00804A4E">
        <w:rPr>
          <w:rFonts w:ascii="Franklin Gothic Book" w:hAnsi="Franklin Gothic Book" w:cs="Times New Roman"/>
          <w:sz w:val="18"/>
          <w:szCs w:val="18"/>
        </w:rPr>
        <w:t xml:space="preserve"> (last visited December 17, 2021)</w:t>
      </w:r>
    </w:p>
  </w:footnote>
  <w:footnote w:id="235">
    <w:p w14:paraId="28EB9028" w14:textId="6CE51A79"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The next four largest systems are BILH, Wellforce, UMass, and Baystate</w:t>
      </w:r>
      <w:r w:rsidR="00D72996" w:rsidRPr="00804A4E">
        <w:rPr>
          <w:rFonts w:ascii="Franklin Gothic Book" w:hAnsi="Franklin Gothic Book" w:cs="Times New Roman"/>
          <w:sz w:val="18"/>
          <w:szCs w:val="18"/>
        </w:rPr>
        <w:t xml:space="preserve"> Health</w:t>
      </w:r>
      <w:r w:rsidRPr="00804A4E">
        <w:rPr>
          <w:rFonts w:ascii="Franklin Gothic Book" w:hAnsi="Franklin Gothic Book" w:cs="Times New Roman"/>
          <w:sz w:val="18"/>
          <w:szCs w:val="18"/>
        </w:rPr>
        <w:t>.</w:t>
      </w:r>
    </w:p>
  </w:footnote>
  <w:footnote w:id="236">
    <w:p w14:paraId="70062572" w14:textId="585522F4"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MGB had an average total margin of 3.7% between fiscal years 2018 and 2020, compared to 3.1% at Wellforce, 2.5% at Baystate, 2.1% at UMass, and 1.9% at BILH.  </w:t>
      </w:r>
    </w:p>
  </w:footnote>
  <w:footnote w:id="237">
    <w:p w14:paraId="36D77B3A" w14:textId="14D056A2"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For instance, in a January 2021 presentation at the J.P. Morgan Healthcare Conference, MGB stated that its unrestricted net assets doubled from FY16 to FY20 and its growth in unrestricted cash (13.3% compound annual growth rate) outpaces its growth in debt (6.2% compound annual growth rate). MGB also stated that its financial performance allows it flexibility for capital expenditures in the coming years, even beyond the current expansion proposal. It projected its FY21 through FY25 capital spending capacity to be $7.3</w:t>
      </w:r>
      <w:r w:rsidR="00C1271D" w:rsidRPr="00804A4E">
        <w:rPr>
          <w:rFonts w:ascii="Franklin Gothic Book" w:hAnsi="Franklin Gothic Book" w:cs="Times New Roman"/>
          <w:sz w:val="18"/>
          <w:szCs w:val="18"/>
        </w:rPr>
        <w:t xml:space="preserve"> billion</w:t>
      </w:r>
      <w:r w:rsidRPr="00804A4E">
        <w:rPr>
          <w:rFonts w:ascii="Franklin Gothic Book" w:hAnsi="Franklin Gothic Book" w:cs="Times New Roman"/>
          <w:sz w:val="18"/>
          <w:szCs w:val="18"/>
        </w:rPr>
        <w:t>.</w:t>
      </w:r>
      <w:r w:rsidR="00863785" w:rsidRPr="00804A4E">
        <w:rPr>
          <w:rFonts w:ascii="Franklin Gothic Book" w:hAnsi="Franklin Gothic Book" w:cs="Times New Roman"/>
          <w:sz w:val="18"/>
          <w:szCs w:val="18"/>
        </w:rPr>
        <w:t xml:space="preserve"> </w:t>
      </w:r>
      <w:r w:rsidR="00863785" w:rsidRPr="00804A4E">
        <w:rPr>
          <w:rFonts w:ascii="Franklin Gothic Book" w:hAnsi="Franklin Gothic Book" w:cs="Times New Roman"/>
          <w:smallCaps/>
          <w:sz w:val="18"/>
          <w:szCs w:val="18"/>
        </w:rPr>
        <w:t>Mass General Brigham</w:t>
      </w:r>
      <w:r w:rsidR="00863785" w:rsidRPr="00804A4E">
        <w:rPr>
          <w:rFonts w:ascii="Franklin Gothic Book" w:hAnsi="Franklin Gothic Book" w:cs="Times New Roman"/>
          <w:sz w:val="18"/>
          <w:szCs w:val="18"/>
        </w:rPr>
        <w:t xml:space="preserve">, </w:t>
      </w:r>
      <w:r w:rsidR="00930BE9" w:rsidRPr="00804A4E">
        <w:rPr>
          <w:rFonts w:ascii="Franklin Gothic Book" w:hAnsi="Franklin Gothic Book" w:cs="Times New Roman"/>
          <w:sz w:val="18"/>
          <w:szCs w:val="18"/>
        </w:rPr>
        <w:t xml:space="preserve">J.P.  Morgan Healthcare Conference at 19-20 (January 11, 2021), </w:t>
      </w:r>
      <w:r w:rsidR="00E73786">
        <w:rPr>
          <w:rFonts w:ascii="Franklin Gothic Book" w:hAnsi="Franklin Gothic Book" w:cs="Times New Roman"/>
          <w:i/>
          <w:iCs/>
          <w:sz w:val="18"/>
          <w:szCs w:val="18"/>
        </w:rPr>
        <w:t xml:space="preserve">available </w:t>
      </w:r>
      <w:hyperlink r:id="rId97" w:history="1">
        <w:r w:rsidR="00E73786">
          <w:rPr>
            <w:rStyle w:val="Hyperlink"/>
            <w:rFonts w:ascii="Franklin Gothic Book" w:hAnsi="Franklin Gothic Book" w:cs="Times New Roman"/>
            <w:i/>
            <w:iCs/>
            <w:sz w:val="18"/>
            <w:szCs w:val="18"/>
          </w:rPr>
          <w:t>at https://emma.msrb.org/P31408531-P31095080-P31504395.pdf</w:t>
        </w:r>
      </w:hyperlink>
      <w:r w:rsidR="00930BE9" w:rsidRPr="00804A4E">
        <w:rPr>
          <w:rFonts w:ascii="Franklin Gothic Book" w:hAnsi="Franklin Gothic Book" w:cs="Times New Roman"/>
          <w:i/>
          <w:iCs/>
          <w:sz w:val="18"/>
          <w:szCs w:val="18"/>
        </w:rPr>
        <w:t xml:space="preserve"> </w:t>
      </w:r>
      <w:r w:rsidR="00930BE9" w:rsidRPr="00804A4E">
        <w:rPr>
          <w:rFonts w:ascii="Franklin Gothic Book" w:hAnsi="Franklin Gothic Book" w:cs="Times New Roman"/>
          <w:sz w:val="18"/>
          <w:szCs w:val="18"/>
        </w:rPr>
        <w:t xml:space="preserve">(last visited January 22, 2022). </w:t>
      </w:r>
    </w:p>
  </w:footnote>
  <w:footnote w:id="238">
    <w:p w14:paraId="039F40CF" w14:textId="45672FD9" w:rsidR="007677C1" w:rsidRPr="00804A4E" w:rsidRDefault="007677C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Priyanka Dayal McCluskey</w:t>
      </w:r>
      <w:r w:rsidR="005B0D9D" w:rsidRPr="00804A4E">
        <w:rPr>
          <w:rFonts w:ascii="Franklin Gothic Book" w:hAnsi="Franklin Gothic Book" w:cs="Times New Roman"/>
          <w:sz w:val="18"/>
          <w:szCs w:val="18"/>
        </w:rPr>
        <w:t>,</w:t>
      </w:r>
      <w:r w:rsidRPr="00804A4E">
        <w:rPr>
          <w:rFonts w:ascii="Franklin Gothic Book" w:hAnsi="Franklin Gothic Book" w:cs="Times New Roman"/>
          <w:sz w:val="18"/>
          <w:szCs w:val="18"/>
        </w:rPr>
        <w:t xml:space="preserve"> </w:t>
      </w:r>
      <w:r w:rsidRPr="00804A4E">
        <w:rPr>
          <w:rFonts w:ascii="Franklin Gothic Book" w:hAnsi="Franklin Gothic Book" w:cs="Times New Roman"/>
          <w:i/>
          <w:iCs/>
          <w:sz w:val="18"/>
          <w:szCs w:val="18"/>
        </w:rPr>
        <w:t>Mass General Brigham reports profitable year, despite COVID challenges</w:t>
      </w:r>
      <w:r w:rsidR="005B0D9D" w:rsidRPr="00804A4E">
        <w:rPr>
          <w:rFonts w:ascii="Franklin Gothic Book" w:hAnsi="Franklin Gothic Book" w:cs="Times New Roman"/>
          <w:i/>
          <w:iCs/>
          <w:sz w:val="18"/>
          <w:szCs w:val="18"/>
        </w:rPr>
        <w:t xml:space="preserve">, </w:t>
      </w:r>
      <w:r w:rsidR="005B0D9D" w:rsidRPr="00804A4E">
        <w:rPr>
          <w:rFonts w:ascii="Franklin Gothic Book" w:hAnsi="Franklin Gothic Book" w:cs="Times New Roman"/>
          <w:smallCaps/>
          <w:sz w:val="18"/>
          <w:szCs w:val="18"/>
        </w:rPr>
        <w:t>Boston Globe</w:t>
      </w:r>
      <w:r w:rsidRPr="00804A4E">
        <w:rPr>
          <w:rFonts w:ascii="Franklin Gothic Book" w:hAnsi="Franklin Gothic Book" w:cs="Times New Roman"/>
          <w:sz w:val="18"/>
          <w:szCs w:val="18"/>
        </w:rPr>
        <w:t xml:space="preserve"> (Dec. 10, 2021) </w:t>
      </w:r>
      <w:hyperlink r:id="rId98" w:history="1">
        <w:r w:rsidR="006075CB">
          <w:rPr>
            <w:rStyle w:val="Hyperlink"/>
            <w:rFonts w:ascii="Franklin Gothic Book" w:hAnsi="Franklin Gothic Book" w:cs="Times New Roman"/>
            <w:sz w:val="18"/>
            <w:szCs w:val="18"/>
          </w:rPr>
          <w:t>at https://www.bostonglobe.com/2021/12/10/business/mass-general-brigham-reports-profitable-year-despite-covid-challenges/</w:t>
        </w:r>
      </w:hyperlink>
      <w:r w:rsidRPr="00804A4E">
        <w:rPr>
          <w:rFonts w:ascii="Franklin Gothic Book" w:hAnsi="Franklin Gothic Book" w:cs="Times New Roman"/>
          <w:sz w:val="18"/>
          <w:szCs w:val="18"/>
        </w:rPr>
        <w:t xml:space="preserve"> (stating that MGB reports earnings on operations of $442 million on $15.7 billion revenue; this represents an approximately 2.9% operating margin).</w:t>
      </w:r>
    </w:p>
  </w:footnote>
  <w:footnote w:id="239">
    <w:p w14:paraId="028D6D2E" w14:textId="6B3AE059" w:rsidR="00983B01" w:rsidRPr="00804A4E" w:rsidRDefault="00983B01" w:rsidP="00142DCC">
      <w:pPr>
        <w:pStyle w:val="FootnoteText"/>
        <w:widowControl w:val="0"/>
        <w:rPr>
          <w:rFonts w:ascii="Franklin Gothic Book" w:hAnsi="Franklin Gothic Book" w:cs="Times New Roman"/>
          <w:sz w:val="18"/>
          <w:szCs w:val="18"/>
        </w:rPr>
      </w:pPr>
      <w:r w:rsidRPr="00804A4E">
        <w:rPr>
          <w:rStyle w:val="FootnoteReference"/>
          <w:rFonts w:ascii="Franklin Gothic Book" w:hAnsi="Franklin Gothic Book" w:cs="Times New Roman"/>
          <w:sz w:val="18"/>
          <w:szCs w:val="18"/>
        </w:rPr>
        <w:footnoteRef/>
      </w:r>
      <w:r w:rsidRPr="00804A4E">
        <w:rPr>
          <w:rFonts w:ascii="Franklin Gothic Book" w:hAnsi="Franklin Gothic Book" w:cs="Times New Roman"/>
          <w:sz w:val="18"/>
          <w:szCs w:val="18"/>
        </w:rPr>
        <w:t xml:space="preserve"> </w:t>
      </w:r>
      <w:r w:rsidR="00F95F82" w:rsidRPr="00804A4E">
        <w:rPr>
          <w:rFonts w:ascii="Franklin Gothic Book" w:hAnsi="Franklin Gothic Book" w:cs="Times New Roman"/>
          <w:sz w:val="18"/>
          <w:szCs w:val="18"/>
        </w:rPr>
        <w:t xml:space="preserve">Bruce Steinwald et al, Medicare Advanced Imaging Payment: Disfunctional Policy Making, </w:t>
      </w:r>
      <w:r w:rsidR="00F95F82" w:rsidRPr="00804A4E">
        <w:rPr>
          <w:rFonts w:ascii="Franklin Gothic Book" w:hAnsi="Franklin Gothic Book" w:cs="Times New Roman"/>
          <w:smallCaps/>
          <w:sz w:val="18"/>
          <w:szCs w:val="18"/>
        </w:rPr>
        <w:t xml:space="preserve">USC-Brookings  Schaeffer Initiative for Health Policy </w:t>
      </w:r>
      <w:r w:rsidR="00F95F82" w:rsidRPr="00804A4E">
        <w:rPr>
          <w:rFonts w:ascii="Franklin Gothic Book" w:hAnsi="Franklin Gothic Book" w:cs="Times New Roman"/>
          <w:sz w:val="18"/>
          <w:szCs w:val="18"/>
        </w:rPr>
        <w:t xml:space="preserve">(March 2021), </w:t>
      </w:r>
      <w:r w:rsidR="006075CB">
        <w:rPr>
          <w:rFonts w:ascii="Franklin Gothic Book" w:hAnsi="Franklin Gothic Book" w:cs="Times New Roman"/>
          <w:i/>
          <w:iCs/>
          <w:sz w:val="18"/>
          <w:szCs w:val="18"/>
        </w:rPr>
        <w:t xml:space="preserve">available </w:t>
      </w:r>
      <w:hyperlink r:id="rId99" w:history="1">
        <w:r w:rsidR="006075CB">
          <w:rPr>
            <w:rStyle w:val="Hyperlink"/>
            <w:rFonts w:ascii="Franklin Gothic Book" w:hAnsi="Franklin Gothic Book" w:cs="Times New Roman"/>
            <w:sz w:val="18"/>
            <w:szCs w:val="18"/>
          </w:rPr>
          <w:t>at https://www.brookings.edu/wp-content/uploads/2021/03/Imaging_Paper_Final.pdf</w:t>
        </w:r>
      </w:hyperlink>
      <w:r w:rsidRPr="00804A4E">
        <w:rPr>
          <w:rFonts w:ascii="Franklin Gothic Book" w:hAnsi="Franklin Gothic Book" w:cs="Times New Roman"/>
          <w:sz w:val="18"/>
          <w:szCs w:val="18"/>
        </w:rPr>
        <w:t xml:space="preserve">. Data presented as rates per 1,000 Medicare beneficiaries were converted to total utilization estimates using </w:t>
      </w:r>
      <w:r w:rsidR="00F95F82" w:rsidRPr="00804A4E">
        <w:rPr>
          <w:rFonts w:ascii="Franklin Gothic Book" w:hAnsi="Franklin Gothic Book" w:cs="Times New Roman"/>
          <w:smallCaps/>
          <w:sz w:val="18"/>
          <w:szCs w:val="18"/>
        </w:rPr>
        <w:t>Kaiser Family Foundation</w:t>
      </w:r>
      <w:r w:rsidR="00F95F82" w:rsidRPr="00804A4E">
        <w:rPr>
          <w:rFonts w:ascii="Franklin Gothic Book" w:hAnsi="Franklin Gothic Book" w:cs="Times New Roman"/>
          <w:sz w:val="18"/>
          <w:szCs w:val="18"/>
        </w:rPr>
        <w:t xml:space="preserve">, </w:t>
      </w:r>
      <w:r w:rsidR="00F95F82" w:rsidRPr="00804A4E">
        <w:rPr>
          <w:rFonts w:ascii="Franklin Gothic Book" w:hAnsi="Franklin Gothic Book" w:cs="Times New Roman"/>
          <w:i/>
          <w:iCs/>
          <w:sz w:val="18"/>
          <w:szCs w:val="18"/>
        </w:rPr>
        <w:t>Total Number of Medicare Beneficiaries</w:t>
      </w:r>
      <w:r w:rsidR="00F95F82" w:rsidRPr="00804A4E">
        <w:rPr>
          <w:rFonts w:ascii="Franklin Gothic Book" w:hAnsi="Franklin Gothic Book" w:cs="Times New Roman"/>
          <w:sz w:val="18"/>
          <w:szCs w:val="18"/>
        </w:rPr>
        <w:t xml:space="preserve">, </w:t>
      </w:r>
      <w:r w:rsidR="00F95F82" w:rsidRPr="00804A4E">
        <w:rPr>
          <w:rFonts w:ascii="Franklin Gothic Book" w:hAnsi="Franklin Gothic Book" w:cs="Times New Roman"/>
          <w:i/>
          <w:iCs/>
          <w:sz w:val="18"/>
          <w:szCs w:val="18"/>
        </w:rPr>
        <w:t xml:space="preserve">available at </w:t>
      </w:r>
      <w:hyperlink r:id="rId100" w:history="1">
        <w:r w:rsidR="00F95F82" w:rsidRPr="00804A4E">
          <w:rPr>
            <w:rStyle w:val="Hyperlink"/>
            <w:rFonts w:ascii="Franklin Gothic Book" w:hAnsi="Franklin Gothic Book" w:cs="Times New Roman"/>
            <w:sz w:val="18"/>
            <w:szCs w:val="18"/>
          </w:rPr>
          <w:t>https://www.kff.org/medicare/state-indicator/total-medicare-beneficiaries/?currentTimeframe=0&amp;sortModel=%7B%22colId%22:%22Location%22,%22sort%22:%22asc%22%7</w:t>
        </w:r>
      </w:hyperlink>
      <w:r w:rsidRPr="00804A4E">
        <w:rPr>
          <w:rFonts w:ascii="Franklin Gothic Book" w:hAnsi="Franklin Gothic Book" w:cs="Times New Roman"/>
          <w:sz w:val="18"/>
          <w:szCs w:val="18"/>
        </w:rPr>
        <w:t xml:space="preserve">, and </w:t>
      </w:r>
      <w:r w:rsidR="00F95F82" w:rsidRPr="00804A4E">
        <w:rPr>
          <w:rFonts w:ascii="Franklin Gothic Book" w:hAnsi="Franklin Gothic Book" w:cs="Times New Roman"/>
          <w:smallCaps/>
          <w:sz w:val="18"/>
          <w:szCs w:val="18"/>
        </w:rPr>
        <w:t>Center for Medicare and Medicaid Services</w:t>
      </w:r>
      <w:r w:rsidR="00F95F82" w:rsidRPr="00804A4E">
        <w:rPr>
          <w:rFonts w:ascii="Franklin Gothic Book" w:hAnsi="Franklin Gothic Book" w:cs="Times New Roman"/>
          <w:sz w:val="18"/>
          <w:szCs w:val="18"/>
        </w:rPr>
        <w:t xml:space="preserve">, </w:t>
      </w:r>
      <w:r w:rsidR="00F95F82" w:rsidRPr="00804A4E">
        <w:rPr>
          <w:rFonts w:ascii="Franklin Gothic Book" w:hAnsi="Franklin Gothic Book" w:cs="Times New Roman"/>
          <w:i/>
          <w:iCs/>
          <w:sz w:val="18"/>
          <w:szCs w:val="18"/>
        </w:rPr>
        <w:t>Medicare Enrollment – National Trends 1966-2013</w:t>
      </w:r>
      <w:r w:rsidR="00F95F82" w:rsidRPr="00804A4E">
        <w:rPr>
          <w:rFonts w:ascii="Franklin Gothic Book" w:hAnsi="Franklin Gothic Book" w:cs="Times New Roman"/>
          <w:sz w:val="18"/>
          <w:szCs w:val="18"/>
        </w:rPr>
        <w:t xml:space="preserve">, </w:t>
      </w:r>
      <w:hyperlink r:id="rId101" w:history="1">
        <w:r w:rsidR="006075CB">
          <w:rPr>
            <w:rStyle w:val="Hyperlink"/>
            <w:rFonts w:ascii="Franklin Gothic Book" w:hAnsi="Franklin Gothic Book" w:cs="Times New Roman"/>
            <w:sz w:val="18"/>
            <w:szCs w:val="18"/>
          </w:rPr>
          <w:t>at https://www.census.gov/history/pdf/medicare1966-2013.pdf</w:t>
        </w:r>
      </w:hyperlink>
      <w:r w:rsidR="00866D83" w:rsidRPr="00804A4E">
        <w:rPr>
          <w:rFonts w:ascii="Franklin Gothic Book" w:hAnsi="Franklin Gothic Book" w:cs="Times New Roman"/>
          <w:sz w:val="18"/>
          <w:szCs w:val="18"/>
        </w:rPr>
        <w:t xml:space="preserve"> (last visited January 22,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1B50"/>
    <w:multiLevelType w:val="hybridMultilevel"/>
    <w:tmpl w:val="6ACEF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6B1289"/>
    <w:multiLevelType w:val="hybridMultilevel"/>
    <w:tmpl w:val="E5208BF8"/>
    <w:lvl w:ilvl="0" w:tplc="1B7EF356">
      <w:start w:val="6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96A76"/>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229F1"/>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023E"/>
    <w:multiLevelType w:val="hybridMultilevel"/>
    <w:tmpl w:val="3C42FF62"/>
    <w:lvl w:ilvl="0" w:tplc="FEAA4920">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E8277B"/>
    <w:multiLevelType w:val="hybridMultilevel"/>
    <w:tmpl w:val="0BCE4C84"/>
    <w:lvl w:ilvl="0" w:tplc="E14CB5B8">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 w15:restartNumberingAfterBreak="0">
    <w:nsid w:val="0F9A2A6C"/>
    <w:multiLevelType w:val="hybridMultilevel"/>
    <w:tmpl w:val="97B6B9B2"/>
    <w:lvl w:ilvl="0" w:tplc="FFFFFFFF">
      <w:start w:val="1"/>
      <w:numFmt w:val="decimal"/>
      <w:lvlText w:val="(%1)"/>
      <w:lvlJc w:val="left"/>
      <w:pPr>
        <w:ind w:left="360" w:hanging="360"/>
      </w:pPr>
      <w:rPr>
        <w:rFonts w:ascii="Times New Roman" w:eastAsiaTheme="minorEastAsia" w:hAnsi="Times New Roman" w:cs="Times New Roman"/>
      </w:r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E36FE8"/>
    <w:multiLevelType w:val="hybridMultilevel"/>
    <w:tmpl w:val="B55C1CDE"/>
    <w:lvl w:ilvl="0" w:tplc="269EC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62C1D"/>
    <w:multiLevelType w:val="multilevel"/>
    <w:tmpl w:val="26D4EEE0"/>
    <w:styleLink w:val="Listbullets"/>
    <w:lvl w:ilvl="0">
      <w:start w:val="1"/>
      <w:numFmt w:val="bullet"/>
      <w:pStyle w:val="ListBullet"/>
      <w:lvlText w:val=""/>
      <w:lvlJc w:val="left"/>
      <w:pPr>
        <w:tabs>
          <w:tab w:val="num" w:pos="360"/>
        </w:tabs>
        <w:ind w:left="360" w:hanging="360"/>
      </w:pPr>
      <w:rPr>
        <w:rFonts w:ascii="Wingdings" w:hAnsi="Wingdings" w:hint="default"/>
        <w:sz w:val="16"/>
      </w:rPr>
    </w:lvl>
    <w:lvl w:ilvl="1">
      <w:start w:val="1"/>
      <w:numFmt w:val="bullet"/>
      <w:pStyle w:val="ListBullet2"/>
      <w:lvlText w:val=""/>
      <w:lvlJc w:val="left"/>
      <w:pPr>
        <w:tabs>
          <w:tab w:val="num" w:pos="720"/>
        </w:tabs>
        <w:ind w:left="720" w:hanging="360"/>
      </w:pPr>
      <w:rPr>
        <w:rFonts w:ascii="Wingdings" w:hAnsi="Wingdings" w:hint="default"/>
        <w:color w:val="auto"/>
        <w:sz w:val="16"/>
      </w:rPr>
    </w:lvl>
    <w:lvl w:ilvl="2">
      <w:start w:val="1"/>
      <w:numFmt w:val="bullet"/>
      <w:pStyle w:val="ListBullet3"/>
      <w:lvlText w:val=""/>
      <w:lvlJc w:val="left"/>
      <w:pPr>
        <w:tabs>
          <w:tab w:val="num" w:pos="1080"/>
        </w:tabs>
        <w:ind w:left="1080" w:hanging="360"/>
      </w:pPr>
      <w:rPr>
        <w:rFonts w:ascii="Wingdings" w:hAnsi="Wingdings" w:hint="default"/>
        <w:color w:val="auto"/>
        <w:sz w:val="16"/>
      </w:rPr>
    </w:lvl>
    <w:lvl w:ilvl="3">
      <w:start w:val="1"/>
      <w:numFmt w:val="bullet"/>
      <w:pStyle w:val="ListBullet4"/>
      <w:lvlText w:val=""/>
      <w:lvlJc w:val="left"/>
      <w:pPr>
        <w:tabs>
          <w:tab w:val="num" w:pos="1440"/>
        </w:tabs>
        <w:ind w:left="1440" w:hanging="360"/>
      </w:pPr>
      <w:rPr>
        <w:rFonts w:ascii="Wingdings" w:hAnsi="Wingdings" w:hint="default"/>
        <w:color w:val="auto"/>
        <w:sz w:val="16"/>
      </w:rPr>
    </w:lvl>
    <w:lvl w:ilvl="4">
      <w:start w:val="1"/>
      <w:numFmt w:val="bullet"/>
      <w:pStyle w:val="ListBullet5"/>
      <w:lvlText w:val=""/>
      <w:lvlJc w:val="left"/>
      <w:pPr>
        <w:tabs>
          <w:tab w:val="num" w:pos="1800"/>
        </w:tabs>
        <w:ind w:left="1800" w:hanging="360"/>
      </w:pPr>
      <w:rPr>
        <w:rFonts w:ascii="Wingdings" w:hAnsi="Wingdings" w:hint="default"/>
        <w:color w:val="auto"/>
        <w:sz w:val="16"/>
      </w:rPr>
    </w:lvl>
    <w:lvl w:ilvl="5">
      <w:start w:val="1"/>
      <w:numFmt w:val="bullet"/>
      <w:lvlText w:val=""/>
      <w:lvlJc w:val="left"/>
      <w:pPr>
        <w:tabs>
          <w:tab w:val="num" w:pos="2520"/>
        </w:tabs>
        <w:ind w:left="2160" w:hanging="360"/>
      </w:pPr>
      <w:rPr>
        <w:rFonts w:ascii="Wingdings" w:hAnsi="Wingdings" w:hint="default"/>
      </w:rPr>
    </w:lvl>
    <w:lvl w:ilvl="6">
      <w:start w:val="1"/>
      <w:numFmt w:val="bullet"/>
      <w:lvlText w:val=""/>
      <w:lvlJc w:val="left"/>
      <w:pPr>
        <w:tabs>
          <w:tab w:val="num" w:pos="2880"/>
        </w:tabs>
        <w:ind w:left="2520" w:hanging="360"/>
      </w:pPr>
      <w:rPr>
        <w:rFonts w:ascii="Wingdings" w:hAnsi="Wingdings" w:hint="default"/>
      </w:rPr>
    </w:lvl>
    <w:lvl w:ilvl="7">
      <w:start w:val="1"/>
      <w:numFmt w:val="bullet"/>
      <w:lvlText w:val=""/>
      <w:lvlJc w:val="left"/>
      <w:pPr>
        <w:tabs>
          <w:tab w:val="num" w:pos="3240"/>
        </w:tabs>
        <w:ind w:left="2880" w:hanging="360"/>
      </w:pPr>
      <w:rPr>
        <w:rFonts w:ascii="Symbol" w:hAnsi="Symbol" w:hint="default"/>
      </w:rPr>
    </w:lvl>
    <w:lvl w:ilvl="8">
      <w:start w:val="1"/>
      <w:numFmt w:val="bullet"/>
      <w:lvlText w:val=""/>
      <w:lvlJc w:val="left"/>
      <w:pPr>
        <w:tabs>
          <w:tab w:val="num" w:pos="3600"/>
        </w:tabs>
        <w:ind w:left="3240" w:hanging="360"/>
      </w:pPr>
      <w:rPr>
        <w:rFonts w:ascii="Symbol" w:hAnsi="Symbol" w:hint="default"/>
      </w:rPr>
    </w:lvl>
  </w:abstractNum>
  <w:abstractNum w:abstractNumId="9" w15:restartNumberingAfterBreak="0">
    <w:nsid w:val="1AF0129F"/>
    <w:multiLevelType w:val="hybridMultilevel"/>
    <w:tmpl w:val="171AC5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F900C1"/>
    <w:multiLevelType w:val="hybridMultilevel"/>
    <w:tmpl w:val="7EDA07EA"/>
    <w:lvl w:ilvl="0" w:tplc="7E2CC04C">
      <w:start w:val="1"/>
      <w:numFmt w:val="decimal"/>
      <w:lvlText w:val="(%1)"/>
      <w:lvlJc w:val="left"/>
      <w:pPr>
        <w:ind w:left="360" w:hanging="360"/>
      </w:pPr>
      <w:rPr>
        <w:rFonts w:ascii="Times New Roman" w:eastAsiaTheme="minorEastAsia" w:hAnsi="Times New Roman" w:cs="Times New Roman"/>
      </w:rPr>
    </w:lvl>
    <w:lvl w:ilvl="1" w:tplc="04090019">
      <w:start w:val="1"/>
      <w:numFmt w:val="lowerLetter"/>
      <w:lvlText w:val="%2."/>
      <w:lvlJc w:val="left"/>
      <w:pPr>
        <w:ind w:left="1080" w:hanging="360"/>
      </w:pPr>
    </w:lvl>
    <w:lvl w:ilvl="2" w:tplc="7E5615CE">
      <w:start w:val="1"/>
      <w:numFmt w:val="decimal"/>
      <w:lvlText w:val="(%3)"/>
      <w:lvlJc w:val="left"/>
      <w:pPr>
        <w:ind w:left="1980" w:hanging="360"/>
      </w:pPr>
      <w:rPr>
        <w:rFonts w:hint="default"/>
      </w:rPr>
    </w:lvl>
    <w:lvl w:ilvl="3" w:tplc="1E32AEC2">
      <w:start w:val="1"/>
      <w:numFmt w:val="upperLetter"/>
      <w:lvlText w:val="%4."/>
      <w:lvlJc w:val="left"/>
      <w:pPr>
        <w:ind w:left="2520" w:hanging="360"/>
      </w:pPr>
      <w:rPr>
        <w:rFonts w:hint="default"/>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0B2D63"/>
    <w:multiLevelType w:val="hybridMultilevel"/>
    <w:tmpl w:val="D18EE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870BBB"/>
    <w:multiLevelType w:val="hybridMultilevel"/>
    <w:tmpl w:val="B55C1CDE"/>
    <w:lvl w:ilvl="0" w:tplc="269EC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EE6C35"/>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C32A67"/>
    <w:multiLevelType w:val="hybridMultilevel"/>
    <w:tmpl w:val="EE48C0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CE34F7"/>
    <w:multiLevelType w:val="hybridMultilevel"/>
    <w:tmpl w:val="99CED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4057E0"/>
    <w:multiLevelType w:val="hybridMultilevel"/>
    <w:tmpl w:val="0C7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55578"/>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743AD2"/>
    <w:multiLevelType w:val="multilevel"/>
    <w:tmpl w:val="6F86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EC274E"/>
    <w:multiLevelType w:val="hybridMultilevel"/>
    <w:tmpl w:val="9A0AE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219E3"/>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9B013F"/>
    <w:multiLevelType w:val="hybridMultilevel"/>
    <w:tmpl w:val="F702CC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B3517"/>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DF73A4"/>
    <w:multiLevelType w:val="hybridMultilevel"/>
    <w:tmpl w:val="0BCE4C84"/>
    <w:lvl w:ilvl="0" w:tplc="FFFFFFFF">
      <w:start w:val="1"/>
      <w:numFmt w:val="upp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4" w15:restartNumberingAfterBreak="0">
    <w:nsid w:val="46C416E6"/>
    <w:multiLevelType w:val="hybridMultilevel"/>
    <w:tmpl w:val="23666B18"/>
    <w:lvl w:ilvl="0" w:tplc="9A36747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AE390D"/>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165153"/>
    <w:multiLevelType w:val="hybridMultilevel"/>
    <w:tmpl w:val="C5EEF8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6337F"/>
    <w:multiLevelType w:val="hybridMultilevel"/>
    <w:tmpl w:val="0BCE4C84"/>
    <w:lvl w:ilvl="0" w:tplc="FFFFFFFF">
      <w:start w:val="1"/>
      <w:numFmt w:val="upp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8" w15:restartNumberingAfterBreak="0">
    <w:nsid w:val="56BC434D"/>
    <w:multiLevelType w:val="hybridMultilevel"/>
    <w:tmpl w:val="5D0E5F86"/>
    <w:lvl w:ilvl="0" w:tplc="3EB64684">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884A1A"/>
    <w:multiLevelType w:val="hybridMultilevel"/>
    <w:tmpl w:val="B55C1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0A0BAA"/>
    <w:multiLevelType w:val="hybridMultilevel"/>
    <w:tmpl w:val="4024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BD29E2"/>
    <w:multiLevelType w:val="hybridMultilevel"/>
    <w:tmpl w:val="12CA2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FB07D3"/>
    <w:multiLevelType w:val="hybridMultilevel"/>
    <w:tmpl w:val="C0DC53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F725CCC"/>
    <w:multiLevelType w:val="hybridMultilevel"/>
    <w:tmpl w:val="939064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C625A"/>
    <w:multiLevelType w:val="hybridMultilevel"/>
    <w:tmpl w:val="2CE00642"/>
    <w:lvl w:ilvl="0" w:tplc="60980D86">
      <w:start w:val="1"/>
      <w:numFmt w:val="decimal"/>
      <w:lvlText w:val="(%1)"/>
      <w:lvlJc w:val="left"/>
      <w:pPr>
        <w:tabs>
          <w:tab w:val="num" w:pos="720"/>
        </w:tabs>
        <w:ind w:left="720" w:hanging="360"/>
      </w:pPr>
      <w:rPr>
        <w:rFonts w:ascii="Times New Roman" w:eastAsiaTheme="minorEastAsia" w:hAnsi="Times New Roman" w:cs="Times New Roman"/>
      </w:rPr>
    </w:lvl>
    <w:lvl w:ilvl="1" w:tplc="4620A72A">
      <w:start w:val="1"/>
      <w:numFmt w:val="decimal"/>
      <w:lvlText w:val="(%2)"/>
      <w:lvlJc w:val="left"/>
      <w:pPr>
        <w:tabs>
          <w:tab w:val="num" w:pos="1440"/>
        </w:tabs>
        <w:ind w:left="1440" w:hanging="360"/>
      </w:pPr>
      <w:rPr>
        <w:rFonts w:ascii="Times New Roman" w:eastAsiaTheme="minorEastAsia" w:hAnsi="Times New Roman" w:cs="Times New Roman"/>
      </w:rPr>
    </w:lvl>
    <w:lvl w:ilvl="2" w:tplc="63B461B8" w:tentative="1">
      <w:start w:val="1"/>
      <w:numFmt w:val="decimal"/>
      <w:lvlText w:val="%3)"/>
      <w:lvlJc w:val="left"/>
      <w:pPr>
        <w:tabs>
          <w:tab w:val="num" w:pos="2160"/>
        </w:tabs>
        <w:ind w:left="2160" w:hanging="360"/>
      </w:pPr>
    </w:lvl>
    <w:lvl w:ilvl="3" w:tplc="3B826468" w:tentative="1">
      <w:start w:val="1"/>
      <w:numFmt w:val="decimal"/>
      <w:lvlText w:val="%4)"/>
      <w:lvlJc w:val="left"/>
      <w:pPr>
        <w:tabs>
          <w:tab w:val="num" w:pos="2880"/>
        </w:tabs>
        <w:ind w:left="2880" w:hanging="360"/>
      </w:pPr>
    </w:lvl>
    <w:lvl w:ilvl="4" w:tplc="48BCA6D4" w:tentative="1">
      <w:start w:val="1"/>
      <w:numFmt w:val="decimal"/>
      <w:lvlText w:val="%5)"/>
      <w:lvlJc w:val="left"/>
      <w:pPr>
        <w:tabs>
          <w:tab w:val="num" w:pos="3600"/>
        </w:tabs>
        <w:ind w:left="3600" w:hanging="360"/>
      </w:pPr>
    </w:lvl>
    <w:lvl w:ilvl="5" w:tplc="B21EB3AE" w:tentative="1">
      <w:start w:val="1"/>
      <w:numFmt w:val="decimal"/>
      <w:lvlText w:val="%6)"/>
      <w:lvlJc w:val="left"/>
      <w:pPr>
        <w:tabs>
          <w:tab w:val="num" w:pos="4320"/>
        </w:tabs>
        <w:ind w:left="4320" w:hanging="360"/>
      </w:pPr>
    </w:lvl>
    <w:lvl w:ilvl="6" w:tplc="8676D2C0" w:tentative="1">
      <w:start w:val="1"/>
      <w:numFmt w:val="decimal"/>
      <w:lvlText w:val="%7)"/>
      <w:lvlJc w:val="left"/>
      <w:pPr>
        <w:tabs>
          <w:tab w:val="num" w:pos="5040"/>
        </w:tabs>
        <w:ind w:left="5040" w:hanging="360"/>
      </w:pPr>
    </w:lvl>
    <w:lvl w:ilvl="7" w:tplc="B3822172" w:tentative="1">
      <w:start w:val="1"/>
      <w:numFmt w:val="decimal"/>
      <w:lvlText w:val="%8)"/>
      <w:lvlJc w:val="left"/>
      <w:pPr>
        <w:tabs>
          <w:tab w:val="num" w:pos="5760"/>
        </w:tabs>
        <w:ind w:left="5760" w:hanging="360"/>
      </w:pPr>
    </w:lvl>
    <w:lvl w:ilvl="8" w:tplc="99480A8E" w:tentative="1">
      <w:start w:val="1"/>
      <w:numFmt w:val="decimal"/>
      <w:lvlText w:val="%9)"/>
      <w:lvlJc w:val="left"/>
      <w:pPr>
        <w:tabs>
          <w:tab w:val="num" w:pos="6480"/>
        </w:tabs>
        <w:ind w:left="6480" w:hanging="360"/>
      </w:pPr>
    </w:lvl>
  </w:abstractNum>
  <w:abstractNum w:abstractNumId="35" w15:restartNumberingAfterBreak="0">
    <w:nsid w:val="621058B5"/>
    <w:multiLevelType w:val="hybridMultilevel"/>
    <w:tmpl w:val="B7E8F0E0"/>
    <w:lvl w:ilvl="0" w:tplc="04090015">
      <w:start w:val="1"/>
      <w:numFmt w:val="upperLetter"/>
      <w:lvlText w:val="%1."/>
      <w:lvlJc w:val="left"/>
      <w:pPr>
        <w:ind w:left="720" w:hanging="360"/>
      </w:pPr>
    </w:lvl>
    <w:lvl w:ilvl="1" w:tplc="63AA0674">
      <w:start w:val="1"/>
      <w:numFmt w:val="decimal"/>
      <w:lvlText w:val="%2."/>
      <w:lvlJc w:val="left"/>
      <w:pPr>
        <w:ind w:left="144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91012"/>
    <w:multiLevelType w:val="hybridMultilevel"/>
    <w:tmpl w:val="0BCE4C84"/>
    <w:lvl w:ilvl="0" w:tplc="FFFFFFFF">
      <w:start w:val="1"/>
      <w:numFmt w:val="upp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37" w15:restartNumberingAfterBreak="0">
    <w:nsid w:val="69007346"/>
    <w:multiLevelType w:val="hybridMultilevel"/>
    <w:tmpl w:val="50C06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A46500D"/>
    <w:multiLevelType w:val="hybridMultilevel"/>
    <w:tmpl w:val="1C3C8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B73739"/>
    <w:multiLevelType w:val="hybridMultilevel"/>
    <w:tmpl w:val="3752B1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CC6679"/>
    <w:multiLevelType w:val="hybridMultilevel"/>
    <w:tmpl w:val="E40C27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EA3277"/>
    <w:multiLevelType w:val="hybridMultilevel"/>
    <w:tmpl w:val="3126CF3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ED23B5"/>
    <w:multiLevelType w:val="hybridMultilevel"/>
    <w:tmpl w:val="0BCE4C84"/>
    <w:lvl w:ilvl="0" w:tplc="FFFFFFFF">
      <w:start w:val="1"/>
      <w:numFmt w:val="upp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num w:numId="1">
    <w:abstractNumId w:val="0"/>
  </w:num>
  <w:num w:numId="2">
    <w:abstractNumId w:val="10"/>
  </w:num>
  <w:num w:numId="3">
    <w:abstractNumId w:val="1"/>
  </w:num>
  <w:num w:numId="4">
    <w:abstractNumId w:val="24"/>
  </w:num>
  <w:num w:numId="5">
    <w:abstractNumId w:val="9"/>
  </w:num>
  <w:num w:numId="6">
    <w:abstractNumId w:val="4"/>
  </w:num>
  <w:num w:numId="7">
    <w:abstractNumId w:val="34"/>
  </w:num>
  <w:num w:numId="8">
    <w:abstractNumId w:val="6"/>
  </w:num>
  <w:num w:numId="9">
    <w:abstractNumId w:val="35"/>
  </w:num>
  <w:num w:numId="10">
    <w:abstractNumId w:val="41"/>
  </w:num>
  <w:num w:numId="11">
    <w:abstractNumId w:val="39"/>
  </w:num>
  <w:num w:numId="12">
    <w:abstractNumId w:val="14"/>
  </w:num>
  <w:num w:numId="13">
    <w:abstractNumId w:val="33"/>
  </w:num>
  <w:num w:numId="14">
    <w:abstractNumId w:val="21"/>
  </w:num>
  <w:num w:numId="15">
    <w:abstractNumId w:val="32"/>
  </w:num>
  <w:num w:numId="16">
    <w:abstractNumId w:val="12"/>
  </w:num>
  <w:num w:numId="17">
    <w:abstractNumId w:val="13"/>
  </w:num>
  <w:num w:numId="18">
    <w:abstractNumId w:val="5"/>
  </w:num>
  <w:num w:numId="19">
    <w:abstractNumId w:val="11"/>
  </w:num>
  <w:num w:numId="20">
    <w:abstractNumId w:val="30"/>
  </w:num>
  <w:num w:numId="21">
    <w:abstractNumId w:val="18"/>
  </w:num>
  <w:num w:numId="22">
    <w:abstractNumId w:val="7"/>
  </w:num>
  <w:num w:numId="23">
    <w:abstractNumId w:val="25"/>
  </w:num>
  <w:num w:numId="24">
    <w:abstractNumId w:val="8"/>
  </w:num>
  <w:num w:numId="25">
    <w:abstractNumId w:val="26"/>
  </w:num>
  <w:num w:numId="26">
    <w:abstractNumId w:val="38"/>
  </w:num>
  <w:num w:numId="27">
    <w:abstractNumId w:val="19"/>
  </w:num>
  <w:num w:numId="28">
    <w:abstractNumId w:val="31"/>
  </w:num>
  <w:num w:numId="29">
    <w:abstractNumId w:val="15"/>
  </w:num>
  <w:num w:numId="30">
    <w:abstractNumId w:val="40"/>
  </w:num>
  <w:num w:numId="31">
    <w:abstractNumId w:val="3"/>
  </w:num>
  <w:num w:numId="32">
    <w:abstractNumId w:val="42"/>
  </w:num>
  <w:num w:numId="33">
    <w:abstractNumId w:val="36"/>
  </w:num>
  <w:num w:numId="34">
    <w:abstractNumId w:val="20"/>
  </w:num>
  <w:num w:numId="35">
    <w:abstractNumId w:val="16"/>
  </w:num>
  <w:num w:numId="36">
    <w:abstractNumId w:val="8"/>
  </w:num>
  <w:num w:numId="37">
    <w:abstractNumId w:val="29"/>
  </w:num>
  <w:num w:numId="38">
    <w:abstractNumId w:val="27"/>
  </w:num>
  <w:num w:numId="39">
    <w:abstractNumId w:val="22"/>
  </w:num>
  <w:num w:numId="40">
    <w:abstractNumId w:val="23"/>
  </w:num>
  <w:num w:numId="41">
    <w:abstractNumId w:val="17"/>
  </w:num>
  <w:num w:numId="42">
    <w:abstractNumId w:val="2"/>
  </w:num>
  <w:num w:numId="43">
    <w:abstractNumId w:val="28"/>
  </w:num>
  <w:num w:numId="44">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984"/>
    <w:rsid w:val="000003CE"/>
    <w:rsid w:val="00000916"/>
    <w:rsid w:val="00000AD3"/>
    <w:rsid w:val="00000F1E"/>
    <w:rsid w:val="000016B1"/>
    <w:rsid w:val="0000193B"/>
    <w:rsid w:val="00003CE8"/>
    <w:rsid w:val="00004418"/>
    <w:rsid w:val="0000619E"/>
    <w:rsid w:val="00006771"/>
    <w:rsid w:val="00007CB5"/>
    <w:rsid w:val="00011139"/>
    <w:rsid w:val="00011FE4"/>
    <w:rsid w:val="00012560"/>
    <w:rsid w:val="00013013"/>
    <w:rsid w:val="000145C6"/>
    <w:rsid w:val="00016D75"/>
    <w:rsid w:val="000172FA"/>
    <w:rsid w:val="000173AD"/>
    <w:rsid w:val="00020B36"/>
    <w:rsid w:val="00021B0C"/>
    <w:rsid w:val="00022CAF"/>
    <w:rsid w:val="0002306A"/>
    <w:rsid w:val="00024629"/>
    <w:rsid w:val="0002717F"/>
    <w:rsid w:val="00027358"/>
    <w:rsid w:val="000300EE"/>
    <w:rsid w:val="000301FB"/>
    <w:rsid w:val="00031A57"/>
    <w:rsid w:val="00032053"/>
    <w:rsid w:val="00032CB5"/>
    <w:rsid w:val="00033E11"/>
    <w:rsid w:val="000347CA"/>
    <w:rsid w:val="00036554"/>
    <w:rsid w:val="000370DC"/>
    <w:rsid w:val="00037ED7"/>
    <w:rsid w:val="00041DE7"/>
    <w:rsid w:val="00042BF6"/>
    <w:rsid w:val="00042CAC"/>
    <w:rsid w:val="000437C5"/>
    <w:rsid w:val="00044F4B"/>
    <w:rsid w:val="0004598D"/>
    <w:rsid w:val="00046094"/>
    <w:rsid w:val="00046929"/>
    <w:rsid w:val="00050E13"/>
    <w:rsid w:val="00050E57"/>
    <w:rsid w:val="00051489"/>
    <w:rsid w:val="000527C7"/>
    <w:rsid w:val="00052C0E"/>
    <w:rsid w:val="00053032"/>
    <w:rsid w:val="0005380D"/>
    <w:rsid w:val="000542F5"/>
    <w:rsid w:val="00055865"/>
    <w:rsid w:val="00061EB3"/>
    <w:rsid w:val="00061F38"/>
    <w:rsid w:val="0006281B"/>
    <w:rsid w:val="00062D85"/>
    <w:rsid w:val="00062FDC"/>
    <w:rsid w:val="000652B0"/>
    <w:rsid w:val="00066095"/>
    <w:rsid w:val="00066212"/>
    <w:rsid w:val="00066F32"/>
    <w:rsid w:val="0007013A"/>
    <w:rsid w:val="000710DC"/>
    <w:rsid w:val="000715EF"/>
    <w:rsid w:val="00072ABF"/>
    <w:rsid w:val="00073233"/>
    <w:rsid w:val="00073E97"/>
    <w:rsid w:val="00074032"/>
    <w:rsid w:val="00075A79"/>
    <w:rsid w:val="00075FC9"/>
    <w:rsid w:val="00077697"/>
    <w:rsid w:val="00077F67"/>
    <w:rsid w:val="0008008D"/>
    <w:rsid w:val="00080C3B"/>
    <w:rsid w:val="00081D04"/>
    <w:rsid w:val="00082BEB"/>
    <w:rsid w:val="00084311"/>
    <w:rsid w:val="00085627"/>
    <w:rsid w:val="00087099"/>
    <w:rsid w:val="000878AA"/>
    <w:rsid w:val="0009007C"/>
    <w:rsid w:val="00090C48"/>
    <w:rsid w:val="000921A7"/>
    <w:rsid w:val="000926D9"/>
    <w:rsid w:val="00092E3F"/>
    <w:rsid w:val="00094E39"/>
    <w:rsid w:val="00095CD4"/>
    <w:rsid w:val="00095F72"/>
    <w:rsid w:val="000964CB"/>
    <w:rsid w:val="00096936"/>
    <w:rsid w:val="00097334"/>
    <w:rsid w:val="00097934"/>
    <w:rsid w:val="000A01AE"/>
    <w:rsid w:val="000A1614"/>
    <w:rsid w:val="000A1C14"/>
    <w:rsid w:val="000A3823"/>
    <w:rsid w:val="000A3D91"/>
    <w:rsid w:val="000A4A96"/>
    <w:rsid w:val="000A4C45"/>
    <w:rsid w:val="000A55F8"/>
    <w:rsid w:val="000A6328"/>
    <w:rsid w:val="000A7B30"/>
    <w:rsid w:val="000B0E72"/>
    <w:rsid w:val="000B1EE6"/>
    <w:rsid w:val="000B2268"/>
    <w:rsid w:val="000B4D45"/>
    <w:rsid w:val="000B6D8D"/>
    <w:rsid w:val="000C1A93"/>
    <w:rsid w:val="000C2834"/>
    <w:rsid w:val="000C339E"/>
    <w:rsid w:val="000C418B"/>
    <w:rsid w:val="000C58E6"/>
    <w:rsid w:val="000C5A2C"/>
    <w:rsid w:val="000C5E1D"/>
    <w:rsid w:val="000C5E96"/>
    <w:rsid w:val="000C788A"/>
    <w:rsid w:val="000D00E6"/>
    <w:rsid w:val="000D3F87"/>
    <w:rsid w:val="000D561B"/>
    <w:rsid w:val="000D6625"/>
    <w:rsid w:val="000D74DC"/>
    <w:rsid w:val="000D76BE"/>
    <w:rsid w:val="000D7C86"/>
    <w:rsid w:val="000E0DB1"/>
    <w:rsid w:val="000E2721"/>
    <w:rsid w:val="000E2DA8"/>
    <w:rsid w:val="000E4A65"/>
    <w:rsid w:val="000E68A2"/>
    <w:rsid w:val="000E789D"/>
    <w:rsid w:val="000E7AD2"/>
    <w:rsid w:val="000F1749"/>
    <w:rsid w:val="000F2EAA"/>
    <w:rsid w:val="000F34B4"/>
    <w:rsid w:val="000F3DA1"/>
    <w:rsid w:val="000F4506"/>
    <w:rsid w:val="000F45C6"/>
    <w:rsid w:val="000F479A"/>
    <w:rsid w:val="000F56D6"/>
    <w:rsid w:val="000F6170"/>
    <w:rsid w:val="000F7649"/>
    <w:rsid w:val="000F78EC"/>
    <w:rsid w:val="000F7D45"/>
    <w:rsid w:val="00100953"/>
    <w:rsid w:val="00100EBE"/>
    <w:rsid w:val="00100F83"/>
    <w:rsid w:val="00100F8D"/>
    <w:rsid w:val="00101708"/>
    <w:rsid w:val="001035DB"/>
    <w:rsid w:val="00103966"/>
    <w:rsid w:val="001043BB"/>
    <w:rsid w:val="00104E28"/>
    <w:rsid w:val="001056B7"/>
    <w:rsid w:val="00110E88"/>
    <w:rsid w:val="00111E5A"/>
    <w:rsid w:val="001126E2"/>
    <w:rsid w:val="0011392D"/>
    <w:rsid w:val="001141D8"/>
    <w:rsid w:val="00116F9E"/>
    <w:rsid w:val="0011706C"/>
    <w:rsid w:val="00120D4A"/>
    <w:rsid w:val="001221CB"/>
    <w:rsid w:val="00123589"/>
    <w:rsid w:val="00124474"/>
    <w:rsid w:val="00124BDC"/>
    <w:rsid w:val="001252E6"/>
    <w:rsid w:val="001262D3"/>
    <w:rsid w:val="00126D71"/>
    <w:rsid w:val="00127B89"/>
    <w:rsid w:val="00127D22"/>
    <w:rsid w:val="0013089B"/>
    <w:rsid w:val="001317AA"/>
    <w:rsid w:val="00132907"/>
    <w:rsid w:val="00133A3D"/>
    <w:rsid w:val="001350E7"/>
    <w:rsid w:val="001355D0"/>
    <w:rsid w:val="00135820"/>
    <w:rsid w:val="00135D6F"/>
    <w:rsid w:val="00136DCF"/>
    <w:rsid w:val="00140FC8"/>
    <w:rsid w:val="0014104C"/>
    <w:rsid w:val="001428F7"/>
    <w:rsid w:val="00142DCC"/>
    <w:rsid w:val="0014528F"/>
    <w:rsid w:val="00145493"/>
    <w:rsid w:val="001464F7"/>
    <w:rsid w:val="00146B40"/>
    <w:rsid w:val="00147584"/>
    <w:rsid w:val="0015152D"/>
    <w:rsid w:val="0015157D"/>
    <w:rsid w:val="001523CE"/>
    <w:rsid w:val="00153C93"/>
    <w:rsid w:val="0015425B"/>
    <w:rsid w:val="001550B7"/>
    <w:rsid w:val="001552DD"/>
    <w:rsid w:val="001554E6"/>
    <w:rsid w:val="00155CF0"/>
    <w:rsid w:val="001601DC"/>
    <w:rsid w:val="0016047E"/>
    <w:rsid w:val="001608EF"/>
    <w:rsid w:val="00162114"/>
    <w:rsid w:val="00162C2D"/>
    <w:rsid w:val="001638C0"/>
    <w:rsid w:val="00164235"/>
    <w:rsid w:val="00164F43"/>
    <w:rsid w:val="00165815"/>
    <w:rsid w:val="00166561"/>
    <w:rsid w:val="00167430"/>
    <w:rsid w:val="001675E0"/>
    <w:rsid w:val="0017091C"/>
    <w:rsid w:val="00173A89"/>
    <w:rsid w:val="001759FA"/>
    <w:rsid w:val="00180499"/>
    <w:rsid w:val="00183225"/>
    <w:rsid w:val="00183D06"/>
    <w:rsid w:val="0018500D"/>
    <w:rsid w:val="00186539"/>
    <w:rsid w:val="00186B76"/>
    <w:rsid w:val="001874D4"/>
    <w:rsid w:val="00187C69"/>
    <w:rsid w:val="00192393"/>
    <w:rsid w:val="00195D02"/>
    <w:rsid w:val="00195F6A"/>
    <w:rsid w:val="00196837"/>
    <w:rsid w:val="00196A4C"/>
    <w:rsid w:val="00197272"/>
    <w:rsid w:val="00197402"/>
    <w:rsid w:val="001A00DA"/>
    <w:rsid w:val="001A049E"/>
    <w:rsid w:val="001A06C0"/>
    <w:rsid w:val="001A115C"/>
    <w:rsid w:val="001A1BB9"/>
    <w:rsid w:val="001A1DC0"/>
    <w:rsid w:val="001A1E52"/>
    <w:rsid w:val="001A338C"/>
    <w:rsid w:val="001A33FC"/>
    <w:rsid w:val="001A3B4A"/>
    <w:rsid w:val="001A53E7"/>
    <w:rsid w:val="001A5A44"/>
    <w:rsid w:val="001A5D13"/>
    <w:rsid w:val="001A6268"/>
    <w:rsid w:val="001A638C"/>
    <w:rsid w:val="001A6F00"/>
    <w:rsid w:val="001A6FFE"/>
    <w:rsid w:val="001B09BD"/>
    <w:rsid w:val="001B11EA"/>
    <w:rsid w:val="001B19D0"/>
    <w:rsid w:val="001B1F96"/>
    <w:rsid w:val="001B237D"/>
    <w:rsid w:val="001B339A"/>
    <w:rsid w:val="001B393F"/>
    <w:rsid w:val="001B3CCC"/>
    <w:rsid w:val="001B3DBD"/>
    <w:rsid w:val="001B7B69"/>
    <w:rsid w:val="001C1977"/>
    <w:rsid w:val="001C2A61"/>
    <w:rsid w:val="001C3986"/>
    <w:rsid w:val="001C3AEB"/>
    <w:rsid w:val="001C52D5"/>
    <w:rsid w:val="001C5DD1"/>
    <w:rsid w:val="001C6CC6"/>
    <w:rsid w:val="001C7C35"/>
    <w:rsid w:val="001D0622"/>
    <w:rsid w:val="001D1835"/>
    <w:rsid w:val="001D1C2C"/>
    <w:rsid w:val="001D2FE9"/>
    <w:rsid w:val="001D405D"/>
    <w:rsid w:val="001D437A"/>
    <w:rsid w:val="001D48ED"/>
    <w:rsid w:val="001D600D"/>
    <w:rsid w:val="001D6D69"/>
    <w:rsid w:val="001E0EB4"/>
    <w:rsid w:val="001E10FD"/>
    <w:rsid w:val="001E1914"/>
    <w:rsid w:val="001E5576"/>
    <w:rsid w:val="001E55E3"/>
    <w:rsid w:val="001E74C3"/>
    <w:rsid w:val="001E7F97"/>
    <w:rsid w:val="001F126E"/>
    <w:rsid w:val="001F2458"/>
    <w:rsid w:val="001F2AA3"/>
    <w:rsid w:val="001F4188"/>
    <w:rsid w:val="00200763"/>
    <w:rsid w:val="00200FBA"/>
    <w:rsid w:val="002032DB"/>
    <w:rsid w:val="00203682"/>
    <w:rsid w:val="0021199E"/>
    <w:rsid w:val="00212171"/>
    <w:rsid w:val="00212EEE"/>
    <w:rsid w:val="00212F75"/>
    <w:rsid w:val="002135F2"/>
    <w:rsid w:val="002155CF"/>
    <w:rsid w:val="00216771"/>
    <w:rsid w:val="0021732D"/>
    <w:rsid w:val="0021785C"/>
    <w:rsid w:val="002203F6"/>
    <w:rsid w:val="00220E93"/>
    <w:rsid w:val="00222A2A"/>
    <w:rsid w:val="002232BE"/>
    <w:rsid w:val="0022418A"/>
    <w:rsid w:val="00224235"/>
    <w:rsid w:val="00224483"/>
    <w:rsid w:val="00224839"/>
    <w:rsid w:val="002248CD"/>
    <w:rsid w:val="00224D1C"/>
    <w:rsid w:val="002259BB"/>
    <w:rsid w:val="00226761"/>
    <w:rsid w:val="00226A5C"/>
    <w:rsid w:val="002270FC"/>
    <w:rsid w:val="00230505"/>
    <w:rsid w:val="00230F5E"/>
    <w:rsid w:val="00231422"/>
    <w:rsid w:val="00233A64"/>
    <w:rsid w:val="00233D8E"/>
    <w:rsid w:val="0023413C"/>
    <w:rsid w:val="002356F7"/>
    <w:rsid w:val="0023579E"/>
    <w:rsid w:val="002359E6"/>
    <w:rsid w:val="00237C29"/>
    <w:rsid w:val="0024200C"/>
    <w:rsid w:val="00242012"/>
    <w:rsid w:val="00243D00"/>
    <w:rsid w:val="002449B4"/>
    <w:rsid w:val="00247027"/>
    <w:rsid w:val="00247ECF"/>
    <w:rsid w:val="00251074"/>
    <w:rsid w:val="0025134A"/>
    <w:rsid w:val="00251D17"/>
    <w:rsid w:val="002540F7"/>
    <w:rsid w:val="002548C7"/>
    <w:rsid w:val="00254F42"/>
    <w:rsid w:val="0025587A"/>
    <w:rsid w:val="00255ECF"/>
    <w:rsid w:val="0026085F"/>
    <w:rsid w:val="002617EC"/>
    <w:rsid w:val="002618D3"/>
    <w:rsid w:val="00262931"/>
    <w:rsid w:val="002633E3"/>
    <w:rsid w:val="002648DC"/>
    <w:rsid w:val="00267F82"/>
    <w:rsid w:val="00271327"/>
    <w:rsid w:val="002714B2"/>
    <w:rsid w:val="00271EE7"/>
    <w:rsid w:val="00273F4E"/>
    <w:rsid w:val="00273F9D"/>
    <w:rsid w:val="00274BDA"/>
    <w:rsid w:val="00274CDD"/>
    <w:rsid w:val="00275541"/>
    <w:rsid w:val="00275B38"/>
    <w:rsid w:val="00276704"/>
    <w:rsid w:val="002773E6"/>
    <w:rsid w:val="0028354B"/>
    <w:rsid w:val="00283C7B"/>
    <w:rsid w:val="002859FD"/>
    <w:rsid w:val="0028646C"/>
    <w:rsid w:val="00287558"/>
    <w:rsid w:val="002879F9"/>
    <w:rsid w:val="00287C2A"/>
    <w:rsid w:val="002907A7"/>
    <w:rsid w:val="00290F3E"/>
    <w:rsid w:val="002915C9"/>
    <w:rsid w:val="00291735"/>
    <w:rsid w:val="00292C1C"/>
    <w:rsid w:val="0029321C"/>
    <w:rsid w:val="00293B8F"/>
    <w:rsid w:val="00297250"/>
    <w:rsid w:val="00297DD4"/>
    <w:rsid w:val="002A0417"/>
    <w:rsid w:val="002A1032"/>
    <w:rsid w:val="002A2A58"/>
    <w:rsid w:val="002A3014"/>
    <w:rsid w:val="002A3613"/>
    <w:rsid w:val="002A4480"/>
    <w:rsid w:val="002A66CA"/>
    <w:rsid w:val="002A7087"/>
    <w:rsid w:val="002A7212"/>
    <w:rsid w:val="002A74F3"/>
    <w:rsid w:val="002B1BEA"/>
    <w:rsid w:val="002B40A6"/>
    <w:rsid w:val="002B50EF"/>
    <w:rsid w:val="002B78DF"/>
    <w:rsid w:val="002B79AB"/>
    <w:rsid w:val="002C09CC"/>
    <w:rsid w:val="002C0CED"/>
    <w:rsid w:val="002C2F86"/>
    <w:rsid w:val="002C3619"/>
    <w:rsid w:val="002C4F0D"/>
    <w:rsid w:val="002C79FC"/>
    <w:rsid w:val="002D077C"/>
    <w:rsid w:val="002D184F"/>
    <w:rsid w:val="002D2DEB"/>
    <w:rsid w:val="002D3183"/>
    <w:rsid w:val="002D3BB7"/>
    <w:rsid w:val="002D3DCC"/>
    <w:rsid w:val="002D40CC"/>
    <w:rsid w:val="002D4E84"/>
    <w:rsid w:val="002D50A5"/>
    <w:rsid w:val="002D619D"/>
    <w:rsid w:val="002D76C7"/>
    <w:rsid w:val="002D7A51"/>
    <w:rsid w:val="002E06F4"/>
    <w:rsid w:val="002E0F91"/>
    <w:rsid w:val="002E3720"/>
    <w:rsid w:val="002E548E"/>
    <w:rsid w:val="002E5BAD"/>
    <w:rsid w:val="002E7BA6"/>
    <w:rsid w:val="002F1159"/>
    <w:rsid w:val="002F1B8B"/>
    <w:rsid w:val="002F1D38"/>
    <w:rsid w:val="002F3780"/>
    <w:rsid w:val="002F398B"/>
    <w:rsid w:val="002F60D7"/>
    <w:rsid w:val="002F7FEC"/>
    <w:rsid w:val="00301FB8"/>
    <w:rsid w:val="00302604"/>
    <w:rsid w:val="00302FA1"/>
    <w:rsid w:val="0030350A"/>
    <w:rsid w:val="003039D0"/>
    <w:rsid w:val="0030555F"/>
    <w:rsid w:val="003055CB"/>
    <w:rsid w:val="00307788"/>
    <w:rsid w:val="00311AD6"/>
    <w:rsid w:val="00313004"/>
    <w:rsid w:val="00313318"/>
    <w:rsid w:val="00314469"/>
    <w:rsid w:val="003163F5"/>
    <w:rsid w:val="003169BF"/>
    <w:rsid w:val="00317E16"/>
    <w:rsid w:val="00321E3D"/>
    <w:rsid w:val="00321ECA"/>
    <w:rsid w:val="003232F3"/>
    <w:rsid w:val="00323EF7"/>
    <w:rsid w:val="00324105"/>
    <w:rsid w:val="00324777"/>
    <w:rsid w:val="00324DDD"/>
    <w:rsid w:val="003265BA"/>
    <w:rsid w:val="00326986"/>
    <w:rsid w:val="00327195"/>
    <w:rsid w:val="0032745A"/>
    <w:rsid w:val="0033119B"/>
    <w:rsid w:val="00331DF0"/>
    <w:rsid w:val="00331EFE"/>
    <w:rsid w:val="00333D38"/>
    <w:rsid w:val="0033415A"/>
    <w:rsid w:val="00334627"/>
    <w:rsid w:val="003349D7"/>
    <w:rsid w:val="0033649C"/>
    <w:rsid w:val="003368E5"/>
    <w:rsid w:val="00337F35"/>
    <w:rsid w:val="00337F61"/>
    <w:rsid w:val="003424DE"/>
    <w:rsid w:val="00342592"/>
    <w:rsid w:val="00344ED8"/>
    <w:rsid w:val="0035005B"/>
    <w:rsid w:val="00350984"/>
    <w:rsid w:val="003515A5"/>
    <w:rsid w:val="00352A58"/>
    <w:rsid w:val="00352E1D"/>
    <w:rsid w:val="00353F83"/>
    <w:rsid w:val="003548FC"/>
    <w:rsid w:val="00355AC4"/>
    <w:rsid w:val="00356EA0"/>
    <w:rsid w:val="00360341"/>
    <w:rsid w:val="003619E8"/>
    <w:rsid w:val="003620B8"/>
    <w:rsid w:val="003633E4"/>
    <w:rsid w:val="003664A3"/>
    <w:rsid w:val="003664BD"/>
    <w:rsid w:val="003678AB"/>
    <w:rsid w:val="00370BE4"/>
    <w:rsid w:val="003719A8"/>
    <w:rsid w:val="00371CDE"/>
    <w:rsid w:val="003724A8"/>
    <w:rsid w:val="0037264A"/>
    <w:rsid w:val="00372EDF"/>
    <w:rsid w:val="00374784"/>
    <w:rsid w:val="003758BF"/>
    <w:rsid w:val="0037593A"/>
    <w:rsid w:val="00375C66"/>
    <w:rsid w:val="00375F41"/>
    <w:rsid w:val="00375F67"/>
    <w:rsid w:val="00382C79"/>
    <w:rsid w:val="00382C7C"/>
    <w:rsid w:val="003833AD"/>
    <w:rsid w:val="003849F4"/>
    <w:rsid w:val="00384BE8"/>
    <w:rsid w:val="00384F0E"/>
    <w:rsid w:val="003852D7"/>
    <w:rsid w:val="00385D2D"/>
    <w:rsid w:val="003867E4"/>
    <w:rsid w:val="00394323"/>
    <w:rsid w:val="003977FC"/>
    <w:rsid w:val="003A16AD"/>
    <w:rsid w:val="003A1764"/>
    <w:rsid w:val="003A1DDE"/>
    <w:rsid w:val="003A2EB2"/>
    <w:rsid w:val="003A362B"/>
    <w:rsid w:val="003A41EC"/>
    <w:rsid w:val="003A440D"/>
    <w:rsid w:val="003A5280"/>
    <w:rsid w:val="003A559D"/>
    <w:rsid w:val="003A5D82"/>
    <w:rsid w:val="003B001B"/>
    <w:rsid w:val="003B2A2E"/>
    <w:rsid w:val="003B31FD"/>
    <w:rsid w:val="003B4E60"/>
    <w:rsid w:val="003B5B72"/>
    <w:rsid w:val="003C0DB4"/>
    <w:rsid w:val="003C1B5A"/>
    <w:rsid w:val="003C257D"/>
    <w:rsid w:val="003C3793"/>
    <w:rsid w:val="003C5441"/>
    <w:rsid w:val="003C6160"/>
    <w:rsid w:val="003C67E7"/>
    <w:rsid w:val="003C76B2"/>
    <w:rsid w:val="003C7B8F"/>
    <w:rsid w:val="003D1AFF"/>
    <w:rsid w:val="003D1E66"/>
    <w:rsid w:val="003D4851"/>
    <w:rsid w:val="003D7ED5"/>
    <w:rsid w:val="003E0059"/>
    <w:rsid w:val="003E00C8"/>
    <w:rsid w:val="003E0B15"/>
    <w:rsid w:val="003E0E45"/>
    <w:rsid w:val="003E1247"/>
    <w:rsid w:val="003E1D7B"/>
    <w:rsid w:val="003E2D78"/>
    <w:rsid w:val="003E340B"/>
    <w:rsid w:val="003E385F"/>
    <w:rsid w:val="003E3CE2"/>
    <w:rsid w:val="003E43CE"/>
    <w:rsid w:val="003E4FB4"/>
    <w:rsid w:val="003E5390"/>
    <w:rsid w:val="003E5D72"/>
    <w:rsid w:val="003E6594"/>
    <w:rsid w:val="003E7860"/>
    <w:rsid w:val="003F0581"/>
    <w:rsid w:val="003F11CD"/>
    <w:rsid w:val="003F1F8E"/>
    <w:rsid w:val="003F264F"/>
    <w:rsid w:val="003F3B68"/>
    <w:rsid w:val="003F3E32"/>
    <w:rsid w:val="003F4302"/>
    <w:rsid w:val="003F4EBC"/>
    <w:rsid w:val="003F50C6"/>
    <w:rsid w:val="00400316"/>
    <w:rsid w:val="004012ED"/>
    <w:rsid w:val="00401FE1"/>
    <w:rsid w:val="00401FE2"/>
    <w:rsid w:val="00403830"/>
    <w:rsid w:val="00403E4C"/>
    <w:rsid w:val="00403FDD"/>
    <w:rsid w:val="00404299"/>
    <w:rsid w:val="004066BC"/>
    <w:rsid w:val="004069B6"/>
    <w:rsid w:val="004110C3"/>
    <w:rsid w:val="004127E0"/>
    <w:rsid w:val="00413B0E"/>
    <w:rsid w:val="00415812"/>
    <w:rsid w:val="00416436"/>
    <w:rsid w:val="00416A6D"/>
    <w:rsid w:val="0042092C"/>
    <w:rsid w:val="00421787"/>
    <w:rsid w:val="00421A87"/>
    <w:rsid w:val="004226D4"/>
    <w:rsid w:val="0042645D"/>
    <w:rsid w:val="00426A64"/>
    <w:rsid w:val="00426C79"/>
    <w:rsid w:val="00430795"/>
    <w:rsid w:val="00430BE6"/>
    <w:rsid w:val="004312BC"/>
    <w:rsid w:val="0043250D"/>
    <w:rsid w:val="004331F6"/>
    <w:rsid w:val="00433A40"/>
    <w:rsid w:val="00434096"/>
    <w:rsid w:val="004359A0"/>
    <w:rsid w:val="00436460"/>
    <w:rsid w:val="0044059F"/>
    <w:rsid w:val="00440C34"/>
    <w:rsid w:val="00443633"/>
    <w:rsid w:val="00444D51"/>
    <w:rsid w:val="004459A1"/>
    <w:rsid w:val="00445BEF"/>
    <w:rsid w:val="00445C4B"/>
    <w:rsid w:val="00445F5D"/>
    <w:rsid w:val="00446F5B"/>
    <w:rsid w:val="0044700F"/>
    <w:rsid w:val="00447EC5"/>
    <w:rsid w:val="004506F1"/>
    <w:rsid w:val="004513DE"/>
    <w:rsid w:val="00451DF8"/>
    <w:rsid w:val="004526BF"/>
    <w:rsid w:val="004532DC"/>
    <w:rsid w:val="004532F5"/>
    <w:rsid w:val="00455258"/>
    <w:rsid w:val="004608D6"/>
    <w:rsid w:val="00460BDD"/>
    <w:rsid w:val="00460C3D"/>
    <w:rsid w:val="004632C0"/>
    <w:rsid w:val="0046499F"/>
    <w:rsid w:val="0046597C"/>
    <w:rsid w:val="00465D35"/>
    <w:rsid w:val="0046609D"/>
    <w:rsid w:val="00466F24"/>
    <w:rsid w:val="00471685"/>
    <w:rsid w:val="00471E04"/>
    <w:rsid w:val="00473E38"/>
    <w:rsid w:val="00474622"/>
    <w:rsid w:val="0047572E"/>
    <w:rsid w:val="00477330"/>
    <w:rsid w:val="0048146B"/>
    <w:rsid w:val="0048341C"/>
    <w:rsid w:val="00484163"/>
    <w:rsid w:val="00484E73"/>
    <w:rsid w:val="004850D3"/>
    <w:rsid w:val="00485147"/>
    <w:rsid w:val="00485149"/>
    <w:rsid w:val="004854D8"/>
    <w:rsid w:val="00485B97"/>
    <w:rsid w:val="00491689"/>
    <w:rsid w:val="004921B8"/>
    <w:rsid w:val="00492EB8"/>
    <w:rsid w:val="00494E02"/>
    <w:rsid w:val="00495FE7"/>
    <w:rsid w:val="00497791"/>
    <w:rsid w:val="004A0631"/>
    <w:rsid w:val="004A0A79"/>
    <w:rsid w:val="004A1C47"/>
    <w:rsid w:val="004A38A2"/>
    <w:rsid w:val="004A5083"/>
    <w:rsid w:val="004A5A0C"/>
    <w:rsid w:val="004A5B74"/>
    <w:rsid w:val="004A7FC2"/>
    <w:rsid w:val="004A7FC8"/>
    <w:rsid w:val="004B12CC"/>
    <w:rsid w:val="004B2CC1"/>
    <w:rsid w:val="004B4BA6"/>
    <w:rsid w:val="004C2458"/>
    <w:rsid w:val="004C2E70"/>
    <w:rsid w:val="004C433A"/>
    <w:rsid w:val="004C5D6A"/>
    <w:rsid w:val="004C6A0D"/>
    <w:rsid w:val="004D0D45"/>
    <w:rsid w:val="004D0E11"/>
    <w:rsid w:val="004D1558"/>
    <w:rsid w:val="004D19B5"/>
    <w:rsid w:val="004D2D9F"/>
    <w:rsid w:val="004D3198"/>
    <w:rsid w:val="004D32D2"/>
    <w:rsid w:val="004D387B"/>
    <w:rsid w:val="004D3D12"/>
    <w:rsid w:val="004D4D40"/>
    <w:rsid w:val="004D5BDC"/>
    <w:rsid w:val="004D655E"/>
    <w:rsid w:val="004D76F5"/>
    <w:rsid w:val="004D7720"/>
    <w:rsid w:val="004D7D7E"/>
    <w:rsid w:val="004E33CF"/>
    <w:rsid w:val="004E4293"/>
    <w:rsid w:val="004E4EF4"/>
    <w:rsid w:val="004E4FDA"/>
    <w:rsid w:val="004E5D0D"/>
    <w:rsid w:val="004E5F87"/>
    <w:rsid w:val="004E7C95"/>
    <w:rsid w:val="004F01BA"/>
    <w:rsid w:val="004F1286"/>
    <w:rsid w:val="004F1951"/>
    <w:rsid w:val="004F42EE"/>
    <w:rsid w:val="004F6AB0"/>
    <w:rsid w:val="004F71FD"/>
    <w:rsid w:val="00500ABF"/>
    <w:rsid w:val="00500F2F"/>
    <w:rsid w:val="00501154"/>
    <w:rsid w:val="00501DB4"/>
    <w:rsid w:val="00502828"/>
    <w:rsid w:val="0050313B"/>
    <w:rsid w:val="005038B2"/>
    <w:rsid w:val="005040F0"/>
    <w:rsid w:val="0050471E"/>
    <w:rsid w:val="00504D61"/>
    <w:rsid w:val="005056C8"/>
    <w:rsid w:val="005059A9"/>
    <w:rsid w:val="00506742"/>
    <w:rsid w:val="0050691F"/>
    <w:rsid w:val="00510618"/>
    <w:rsid w:val="00510B73"/>
    <w:rsid w:val="00511139"/>
    <w:rsid w:val="00514F78"/>
    <w:rsid w:val="005151A1"/>
    <w:rsid w:val="00515936"/>
    <w:rsid w:val="0051598A"/>
    <w:rsid w:val="00515D05"/>
    <w:rsid w:val="0052106A"/>
    <w:rsid w:val="00521F40"/>
    <w:rsid w:val="005241F5"/>
    <w:rsid w:val="005242A5"/>
    <w:rsid w:val="00530BE2"/>
    <w:rsid w:val="0053179E"/>
    <w:rsid w:val="00532C9A"/>
    <w:rsid w:val="00533FCF"/>
    <w:rsid w:val="00533FE8"/>
    <w:rsid w:val="00536E1C"/>
    <w:rsid w:val="005377C6"/>
    <w:rsid w:val="005403F1"/>
    <w:rsid w:val="00540E27"/>
    <w:rsid w:val="00541E8B"/>
    <w:rsid w:val="005448AB"/>
    <w:rsid w:val="0054591C"/>
    <w:rsid w:val="005461BB"/>
    <w:rsid w:val="00546CA6"/>
    <w:rsid w:val="005475B6"/>
    <w:rsid w:val="00550946"/>
    <w:rsid w:val="0055211D"/>
    <w:rsid w:val="0055213C"/>
    <w:rsid w:val="005530B9"/>
    <w:rsid w:val="00553466"/>
    <w:rsid w:val="00554813"/>
    <w:rsid w:val="0055681B"/>
    <w:rsid w:val="00556B72"/>
    <w:rsid w:val="0055795D"/>
    <w:rsid w:val="00560AEB"/>
    <w:rsid w:val="00560E28"/>
    <w:rsid w:val="00561064"/>
    <w:rsid w:val="00561860"/>
    <w:rsid w:val="0056226D"/>
    <w:rsid w:val="00565A81"/>
    <w:rsid w:val="00566D73"/>
    <w:rsid w:val="0056746B"/>
    <w:rsid w:val="00571371"/>
    <w:rsid w:val="00571C24"/>
    <w:rsid w:val="005734DE"/>
    <w:rsid w:val="00573910"/>
    <w:rsid w:val="0057567C"/>
    <w:rsid w:val="00580531"/>
    <w:rsid w:val="00581A90"/>
    <w:rsid w:val="005833D9"/>
    <w:rsid w:val="00583B31"/>
    <w:rsid w:val="00584461"/>
    <w:rsid w:val="00584DB7"/>
    <w:rsid w:val="005850B4"/>
    <w:rsid w:val="00585778"/>
    <w:rsid w:val="005873AE"/>
    <w:rsid w:val="005873B7"/>
    <w:rsid w:val="00590E17"/>
    <w:rsid w:val="00591973"/>
    <w:rsid w:val="00596176"/>
    <w:rsid w:val="005966FE"/>
    <w:rsid w:val="00596BAD"/>
    <w:rsid w:val="00597032"/>
    <w:rsid w:val="005A0C67"/>
    <w:rsid w:val="005A1498"/>
    <w:rsid w:val="005A36CE"/>
    <w:rsid w:val="005A4309"/>
    <w:rsid w:val="005A45F2"/>
    <w:rsid w:val="005A4ACB"/>
    <w:rsid w:val="005A72CD"/>
    <w:rsid w:val="005B0015"/>
    <w:rsid w:val="005B041E"/>
    <w:rsid w:val="005B0D9D"/>
    <w:rsid w:val="005B15C6"/>
    <w:rsid w:val="005B1FDC"/>
    <w:rsid w:val="005B2D68"/>
    <w:rsid w:val="005B41B5"/>
    <w:rsid w:val="005B4CED"/>
    <w:rsid w:val="005B7088"/>
    <w:rsid w:val="005B7587"/>
    <w:rsid w:val="005B7EF7"/>
    <w:rsid w:val="005C0B65"/>
    <w:rsid w:val="005C0D96"/>
    <w:rsid w:val="005C0E7D"/>
    <w:rsid w:val="005C1CA0"/>
    <w:rsid w:val="005C2321"/>
    <w:rsid w:val="005C3017"/>
    <w:rsid w:val="005C5083"/>
    <w:rsid w:val="005C5C2F"/>
    <w:rsid w:val="005C5F6F"/>
    <w:rsid w:val="005D24A8"/>
    <w:rsid w:val="005D260F"/>
    <w:rsid w:val="005D4E99"/>
    <w:rsid w:val="005D583B"/>
    <w:rsid w:val="005D58D2"/>
    <w:rsid w:val="005D6614"/>
    <w:rsid w:val="005E2C56"/>
    <w:rsid w:val="005E32C0"/>
    <w:rsid w:val="005E373F"/>
    <w:rsid w:val="005E3B5E"/>
    <w:rsid w:val="005E3F26"/>
    <w:rsid w:val="005E484F"/>
    <w:rsid w:val="005E509E"/>
    <w:rsid w:val="005E59C6"/>
    <w:rsid w:val="005E7314"/>
    <w:rsid w:val="005E748B"/>
    <w:rsid w:val="005F0C2E"/>
    <w:rsid w:val="005F5B77"/>
    <w:rsid w:val="005F5ED8"/>
    <w:rsid w:val="005F66F8"/>
    <w:rsid w:val="005F66FD"/>
    <w:rsid w:val="00601B68"/>
    <w:rsid w:val="006032C2"/>
    <w:rsid w:val="00603A65"/>
    <w:rsid w:val="00603C78"/>
    <w:rsid w:val="0060583B"/>
    <w:rsid w:val="00606C2E"/>
    <w:rsid w:val="006075CB"/>
    <w:rsid w:val="00610AAE"/>
    <w:rsid w:val="00610F95"/>
    <w:rsid w:val="00611031"/>
    <w:rsid w:val="00611817"/>
    <w:rsid w:val="00613047"/>
    <w:rsid w:val="0061360A"/>
    <w:rsid w:val="00614D4E"/>
    <w:rsid w:val="006151FD"/>
    <w:rsid w:val="00615A28"/>
    <w:rsid w:val="00616F8D"/>
    <w:rsid w:val="00617903"/>
    <w:rsid w:val="0061798A"/>
    <w:rsid w:val="00621BDB"/>
    <w:rsid w:val="006228F3"/>
    <w:rsid w:val="00626DE4"/>
    <w:rsid w:val="0062704A"/>
    <w:rsid w:val="006275D7"/>
    <w:rsid w:val="00632425"/>
    <w:rsid w:val="006330DD"/>
    <w:rsid w:val="006345A1"/>
    <w:rsid w:val="0063539C"/>
    <w:rsid w:val="00636ECD"/>
    <w:rsid w:val="00636ED2"/>
    <w:rsid w:val="00637CF3"/>
    <w:rsid w:val="00640C02"/>
    <w:rsid w:val="00640F70"/>
    <w:rsid w:val="006420DA"/>
    <w:rsid w:val="00642E73"/>
    <w:rsid w:val="0064488E"/>
    <w:rsid w:val="00651962"/>
    <w:rsid w:val="006523AB"/>
    <w:rsid w:val="00653CBA"/>
    <w:rsid w:val="006575CD"/>
    <w:rsid w:val="00660E63"/>
    <w:rsid w:val="00661455"/>
    <w:rsid w:val="00665FD4"/>
    <w:rsid w:val="00667D03"/>
    <w:rsid w:val="0067004F"/>
    <w:rsid w:val="00671747"/>
    <w:rsid w:val="006728F2"/>
    <w:rsid w:val="00672A54"/>
    <w:rsid w:val="00672EB4"/>
    <w:rsid w:val="006732F2"/>
    <w:rsid w:val="006748B5"/>
    <w:rsid w:val="00674949"/>
    <w:rsid w:val="00674A3C"/>
    <w:rsid w:val="00675F28"/>
    <w:rsid w:val="00677F79"/>
    <w:rsid w:val="00680BBC"/>
    <w:rsid w:val="006813B6"/>
    <w:rsid w:val="006815FC"/>
    <w:rsid w:val="00681D6D"/>
    <w:rsid w:val="00683F08"/>
    <w:rsid w:val="006915DC"/>
    <w:rsid w:val="00691E1E"/>
    <w:rsid w:val="0069236E"/>
    <w:rsid w:val="00694274"/>
    <w:rsid w:val="00695B20"/>
    <w:rsid w:val="00696730"/>
    <w:rsid w:val="006A15BD"/>
    <w:rsid w:val="006A1D57"/>
    <w:rsid w:val="006A37A2"/>
    <w:rsid w:val="006A4EA6"/>
    <w:rsid w:val="006A6568"/>
    <w:rsid w:val="006B2492"/>
    <w:rsid w:val="006B4EF0"/>
    <w:rsid w:val="006B5223"/>
    <w:rsid w:val="006B5838"/>
    <w:rsid w:val="006B5C40"/>
    <w:rsid w:val="006B6365"/>
    <w:rsid w:val="006C07EE"/>
    <w:rsid w:val="006C0EDD"/>
    <w:rsid w:val="006C24FB"/>
    <w:rsid w:val="006C27AC"/>
    <w:rsid w:val="006C3573"/>
    <w:rsid w:val="006C4088"/>
    <w:rsid w:val="006C49BE"/>
    <w:rsid w:val="006C5CC9"/>
    <w:rsid w:val="006C76AA"/>
    <w:rsid w:val="006D010C"/>
    <w:rsid w:val="006D06F4"/>
    <w:rsid w:val="006D2337"/>
    <w:rsid w:val="006D3357"/>
    <w:rsid w:val="006D37F3"/>
    <w:rsid w:val="006D39EE"/>
    <w:rsid w:val="006D5705"/>
    <w:rsid w:val="006D5791"/>
    <w:rsid w:val="006D6E58"/>
    <w:rsid w:val="006D700E"/>
    <w:rsid w:val="006E00DF"/>
    <w:rsid w:val="006E22C4"/>
    <w:rsid w:val="006E2996"/>
    <w:rsid w:val="006E3D98"/>
    <w:rsid w:val="006E6D7B"/>
    <w:rsid w:val="006E7833"/>
    <w:rsid w:val="006F0340"/>
    <w:rsid w:val="006F122B"/>
    <w:rsid w:val="006F275B"/>
    <w:rsid w:val="006F3297"/>
    <w:rsid w:val="006F44BE"/>
    <w:rsid w:val="006F4EDA"/>
    <w:rsid w:val="006F6A3B"/>
    <w:rsid w:val="00700948"/>
    <w:rsid w:val="007018C9"/>
    <w:rsid w:val="00701A71"/>
    <w:rsid w:val="007027D0"/>
    <w:rsid w:val="007028F8"/>
    <w:rsid w:val="0070355C"/>
    <w:rsid w:val="00704121"/>
    <w:rsid w:val="0070435E"/>
    <w:rsid w:val="00705790"/>
    <w:rsid w:val="00705EB0"/>
    <w:rsid w:val="0070609D"/>
    <w:rsid w:val="007060C5"/>
    <w:rsid w:val="00707513"/>
    <w:rsid w:val="00710034"/>
    <w:rsid w:val="00710B48"/>
    <w:rsid w:val="00713EAC"/>
    <w:rsid w:val="00714134"/>
    <w:rsid w:val="007141AC"/>
    <w:rsid w:val="0071424E"/>
    <w:rsid w:val="0071513E"/>
    <w:rsid w:val="007155C3"/>
    <w:rsid w:val="00715952"/>
    <w:rsid w:val="00716653"/>
    <w:rsid w:val="00720485"/>
    <w:rsid w:val="00720AFD"/>
    <w:rsid w:val="00722957"/>
    <w:rsid w:val="00723DDF"/>
    <w:rsid w:val="007245DD"/>
    <w:rsid w:val="00725277"/>
    <w:rsid w:val="0072773A"/>
    <w:rsid w:val="00727A92"/>
    <w:rsid w:val="00730B5D"/>
    <w:rsid w:val="00732449"/>
    <w:rsid w:val="00733C10"/>
    <w:rsid w:val="007344B5"/>
    <w:rsid w:val="00734D55"/>
    <w:rsid w:val="00735AEB"/>
    <w:rsid w:val="0073645E"/>
    <w:rsid w:val="00736C83"/>
    <w:rsid w:val="007378A7"/>
    <w:rsid w:val="00737F85"/>
    <w:rsid w:val="00743CEC"/>
    <w:rsid w:val="00745960"/>
    <w:rsid w:val="007467C9"/>
    <w:rsid w:val="0074691E"/>
    <w:rsid w:val="007470CF"/>
    <w:rsid w:val="0074761D"/>
    <w:rsid w:val="007476EC"/>
    <w:rsid w:val="0074772B"/>
    <w:rsid w:val="00747B62"/>
    <w:rsid w:val="007502BC"/>
    <w:rsid w:val="007508E9"/>
    <w:rsid w:val="007533E2"/>
    <w:rsid w:val="0075374A"/>
    <w:rsid w:val="0075475C"/>
    <w:rsid w:val="00754C4C"/>
    <w:rsid w:val="007562E2"/>
    <w:rsid w:val="00760921"/>
    <w:rsid w:val="00760AF0"/>
    <w:rsid w:val="007614FF"/>
    <w:rsid w:val="007626FD"/>
    <w:rsid w:val="0076380F"/>
    <w:rsid w:val="00764EF7"/>
    <w:rsid w:val="00765253"/>
    <w:rsid w:val="00765560"/>
    <w:rsid w:val="007656CB"/>
    <w:rsid w:val="007657CC"/>
    <w:rsid w:val="00765942"/>
    <w:rsid w:val="007669FF"/>
    <w:rsid w:val="007677C1"/>
    <w:rsid w:val="00772CE5"/>
    <w:rsid w:val="00774092"/>
    <w:rsid w:val="00774455"/>
    <w:rsid w:val="0077508C"/>
    <w:rsid w:val="00775B18"/>
    <w:rsid w:val="00776DCF"/>
    <w:rsid w:val="00776FEC"/>
    <w:rsid w:val="0077730A"/>
    <w:rsid w:val="007774C5"/>
    <w:rsid w:val="00777AFF"/>
    <w:rsid w:val="00777F6A"/>
    <w:rsid w:val="00780182"/>
    <w:rsid w:val="007818A9"/>
    <w:rsid w:val="00781AB8"/>
    <w:rsid w:val="00782571"/>
    <w:rsid w:val="007831D5"/>
    <w:rsid w:val="0078580B"/>
    <w:rsid w:val="00785BFC"/>
    <w:rsid w:val="00786189"/>
    <w:rsid w:val="00786646"/>
    <w:rsid w:val="00786C4A"/>
    <w:rsid w:val="0079034A"/>
    <w:rsid w:val="00790908"/>
    <w:rsid w:val="00790938"/>
    <w:rsid w:val="007929F4"/>
    <w:rsid w:val="00793140"/>
    <w:rsid w:val="00793CAF"/>
    <w:rsid w:val="00795FAA"/>
    <w:rsid w:val="007964B2"/>
    <w:rsid w:val="007A091F"/>
    <w:rsid w:val="007A1A19"/>
    <w:rsid w:val="007A1DED"/>
    <w:rsid w:val="007A2490"/>
    <w:rsid w:val="007A29E7"/>
    <w:rsid w:val="007A4394"/>
    <w:rsid w:val="007A49A3"/>
    <w:rsid w:val="007A5539"/>
    <w:rsid w:val="007A5C53"/>
    <w:rsid w:val="007A6A34"/>
    <w:rsid w:val="007B0E8B"/>
    <w:rsid w:val="007B1705"/>
    <w:rsid w:val="007B1BA2"/>
    <w:rsid w:val="007B2300"/>
    <w:rsid w:val="007B235C"/>
    <w:rsid w:val="007B312C"/>
    <w:rsid w:val="007B3CFE"/>
    <w:rsid w:val="007B6279"/>
    <w:rsid w:val="007B7341"/>
    <w:rsid w:val="007C1900"/>
    <w:rsid w:val="007C1978"/>
    <w:rsid w:val="007C243E"/>
    <w:rsid w:val="007C4222"/>
    <w:rsid w:val="007C7928"/>
    <w:rsid w:val="007D04F0"/>
    <w:rsid w:val="007D071E"/>
    <w:rsid w:val="007D5E58"/>
    <w:rsid w:val="007D79D9"/>
    <w:rsid w:val="007D7B36"/>
    <w:rsid w:val="007E01D1"/>
    <w:rsid w:val="007E026F"/>
    <w:rsid w:val="007E05CB"/>
    <w:rsid w:val="007E0710"/>
    <w:rsid w:val="007E1CD4"/>
    <w:rsid w:val="007E1F04"/>
    <w:rsid w:val="007E3F2E"/>
    <w:rsid w:val="007E473E"/>
    <w:rsid w:val="007E5376"/>
    <w:rsid w:val="007E5742"/>
    <w:rsid w:val="007E63DF"/>
    <w:rsid w:val="007E6CA0"/>
    <w:rsid w:val="007E7CA0"/>
    <w:rsid w:val="007F03BC"/>
    <w:rsid w:val="007F05FE"/>
    <w:rsid w:val="007F063D"/>
    <w:rsid w:val="007F2D21"/>
    <w:rsid w:val="007F332D"/>
    <w:rsid w:val="007F53B3"/>
    <w:rsid w:val="007F5DC3"/>
    <w:rsid w:val="007F5EF7"/>
    <w:rsid w:val="007F6D21"/>
    <w:rsid w:val="00800FE2"/>
    <w:rsid w:val="00801746"/>
    <w:rsid w:val="00802172"/>
    <w:rsid w:val="00802752"/>
    <w:rsid w:val="00802C07"/>
    <w:rsid w:val="00803362"/>
    <w:rsid w:val="00804A02"/>
    <w:rsid w:val="00804A4E"/>
    <w:rsid w:val="008052C7"/>
    <w:rsid w:val="00805BBC"/>
    <w:rsid w:val="00807442"/>
    <w:rsid w:val="00807D56"/>
    <w:rsid w:val="00810336"/>
    <w:rsid w:val="008104C3"/>
    <w:rsid w:val="00813C14"/>
    <w:rsid w:val="00814232"/>
    <w:rsid w:val="0081460D"/>
    <w:rsid w:val="0081496F"/>
    <w:rsid w:val="00816637"/>
    <w:rsid w:val="00817E85"/>
    <w:rsid w:val="00821F0B"/>
    <w:rsid w:val="00822B78"/>
    <w:rsid w:val="008233DF"/>
    <w:rsid w:val="008250FE"/>
    <w:rsid w:val="00826217"/>
    <w:rsid w:val="00826EEA"/>
    <w:rsid w:val="0083053F"/>
    <w:rsid w:val="00834B7B"/>
    <w:rsid w:val="00835D3E"/>
    <w:rsid w:val="0083705D"/>
    <w:rsid w:val="008377B6"/>
    <w:rsid w:val="00840146"/>
    <w:rsid w:val="008401FF"/>
    <w:rsid w:val="00841AE5"/>
    <w:rsid w:val="0084681F"/>
    <w:rsid w:val="00846A72"/>
    <w:rsid w:val="00846E93"/>
    <w:rsid w:val="0085153C"/>
    <w:rsid w:val="0085182B"/>
    <w:rsid w:val="00852C24"/>
    <w:rsid w:val="00853AF7"/>
    <w:rsid w:val="008558BD"/>
    <w:rsid w:val="00856DDD"/>
    <w:rsid w:val="0085741F"/>
    <w:rsid w:val="0085798E"/>
    <w:rsid w:val="00857AEE"/>
    <w:rsid w:val="008602ED"/>
    <w:rsid w:val="008605F8"/>
    <w:rsid w:val="00861EFF"/>
    <w:rsid w:val="008622E4"/>
    <w:rsid w:val="0086294A"/>
    <w:rsid w:val="00863616"/>
    <w:rsid w:val="00863785"/>
    <w:rsid w:val="00864840"/>
    <w:rsid w:val="00864C4A"/>
    <w:rsid w:val="008653BF"/>
    <w:rsid w:val="008654E3"/>
    <w:rsid w:val="00866709"/>
    <w:rsid w:val="00866757"/>
    <w:rsid w:val="00866D83"/>
    <w:rsid w:val="008671A6"/>
    <w:rsid w:val="008678A6"/>
    <w:rsid w:val="00871984"/>
    <w:rsid w:val="00872FC5"/>
    <w:rsid w:val="00873933"/>
    <w:rsid w:val="00876570"/>
    <w:rsid w:val="00876CC9"/>
    <w:rsid w:val="00880815"/>
    <w:rsid w:val="00880F01"/>
    <w:rsid w:val="00882554"/>
    <w:rsid w:val="00882DC5"/>
    <w:rsid w:val="00883C1D"/>
    <w:rsid w:val="00883F22"/>
    <w:rsid w:val="008840D4"/>
    <w:rsid w:val="0088715C"/>
    <w:rsid w:val="008879F9"/>
    <w:rsid w:val="008917BF"/>
    <w:rsid w:val="00892E44"/>
    <w:rsid w:val="00894688"/>
    <w:rsid w:val="00894BAA"/>
    <w:rsid w:val="008952AE"/>
    <w:rsid w:val="008962C8"/>
    <w:rsid w:val="008A06E2"/>
    <w:rsid w:val="008A216B"/>
    <w:rsid w:val="008A7813"/>
    <w:rsid w:val="008B0CE4"/>
    <w:rsid w:val="008B2992"/>
    <w:rsid w:val="008B46CE"/>
    <w:rsid w:val="008B49DB"/>
    <w:rsid w:val="008B645F"/>
    <w:rsid w:val="008C0E2A"/>
    <w:rsid w:val="008C1F49"/>
    <w:rsid w:val="008C2213"/>
    <w:rsid w:val="008C26AC"/>
    <w:rsid w:val="008C4B8C"/>
    <w:rsid w:val="008D1414"/>
    <w:rsid w:val="008D1873"/>
    <w:rsid w:val="008D18FB"/>
    <w:rsid w:val="008D235C"/>
    <w:rsid w:val="008D288D"/>
    <w:rsid w:val="008D3C22"/>
    <w:rsid w:val="008D3EA9"/>
    <w:rsid w:val="008D41EC"/>
    <w:rsid w:val="008E3ADF"/>
    <w:rsid w:val="008E3C10"/>
    <w:rsid w:val="008E4130"/>
    <w:rsid w:val="008E455C"/>
    <w:rsid w:val="008E4FC9"/>
    <w:rsid w:val="008E5864"/>
    <w:rsid w:val="008E79E6"/>
    <w:rsid w:val="008F016D"/>
    <w:rsid w:val="008F039E"/>
    <w:rsid w:val="008F1276"/>
    <w:rsid w:val="008F17CA"/>
    <w:rsid w:val="008F2920"/>
    <w:rsid w:val="008F5793"/>
    <w:rsid w:val="008F5980"/>
    <w:rsid w:val="008F5BC1"/>
    <w:rsid w:val="008F5C2A"/>
    <w:rsid w:val="008F5CC0"/>
    <w:rsid w:val="008F60D0"/>
    <w:rsid w:val="009002C8"/>
    <w:rsid w:val="00901CD3"/>
    <w:rsid w:val="0090210A"/>
    <w:rsid w:val="009023FA"/>
    <w:rsid w:val="00902DB6"/>
    <w:rsid w:val="0090367E"/>
    <w:rsid w:val="0090484C"/>
    <w:rsid w:val="00904C59"/>
    <w:rsid w:val="00904D22"/>
    <w:rsid w:val="009063F6"/>
    <w:rsid w:val="0090710D"/>
    <w:rsid w:val="0091259C"/>
    <w:rsid w:val="00912B0D"/>
    <w:rsid w:val="00914B3C"/>
    <w:rsid w:val="009173C8"/>
    <w:rsid w:val="009175F1"/>
    <w:rsid w:val="009176CE"/>
    <w:rsid w:val="00921150"/>
    <w:rsid w:val="009212DD"/>
    <w:rsid w:val="009249C4"/>
    <w:rsid w:val="0092572D"/>
    <w:rsid w:val="0092576E"/>
    <w:rsid w:val="009257C1"/>
    <w:rsid w:val="00926628"/>
    <w:rsid w:val="00926A9C"/>
    <w:rsid w:val="00926E90"/>
    <w:rsid w:val="00930723"/>
    <w:rsid w:val="00930BE9"/>
    <w:rsid w:val="00930D3B"/>
    <w:rsid w:val="00931E79"/>
    <w:rsid w:val="00931F41"/>
    <w:rsid w:val="009325F2"/>
    <w:rsid w:val="00934C8A"/>
    <w:rsid w:val="009359D7"/>
    <w:rsid w:val="00935E4F"/>
    <w:rsid w:val="009362C1"/>
    <w:rsid w:val="00936C2B"/>
    <w:rsid w:val="00940151"/>
    <w:rsid w:val="00942297"/>
    <w:rsid w:val="00942821"/>
    <w:rsid w:val="00944166"/>
    <w:rsid w:val="00945453"/>
    <w:rsid w:val="009455A6"/>
    <w:rsid w:val="00946527"/>
    <w:rsid w:val="00947FD1"/>
    <w:rsid w:val="00950270"/>
    <w:rsid w:val="00950D35"/>
    <w:rsid w:val="00952C13"/>
    <w:rsid w:val="00954283"/>
    <w:rsid w:val="00954667"/>
    <w:rsid w:val="00955D24"/>
    <w:rsid w:val="00955EB9"/>
    <w:rsid w:val="00956821"/>
    <w:rsid w:val="00960C7A"/>
    <w:rsid w:val="00961847"/>
    <w:rsid w:val="00962C56"/>
    <w:rsid w:val="009635F6"/>
    <w:rsid w:val="0096366C"/>
    <w:rsid w:val="009640EF"/>
    <w:rsid w:val="009650DC"/>
    <w:rsid w:val="009705A3"/>
    <w:rsid w:val="00971405"/>
    <w:rsid w:val="0097497F"/>
    <w:rsid w:val="009754E8"/>
    <w:rsid w:val="009755DC"/>
    <w:rsid w:val="00975B11"/>
    <w:rsid w:val="00976817"/>
    <w:rsid w:val="00977576"/>
    <w:rsid w:val="009807C9"/>
    <w:rsid w:val="0098232F"/>
    <w:rsid w:val="0098238B"/>
    <w:rsid w:val="00982CB8"/>
    <w:rsid w:val="009834C1"/>
    <w:rsid w:val="00983B01"/>
    <w:rsid w:val="00986542"/>
    <w:rsid w:val="00986F7A"/>
    <w:rsid w:val="009870A6"/>
    <w:rsid w:val="00987CED"/>
    <w:rsid w:val="00990431"/>
    <w:rsid w:val="00990EAA"/>
    <w:rsid w:val="00991062"/>
    <w:rsid w:val="0099208F"/>
    <w:rsid w:val="009926F4"/>
    <w:rsid w:val="00992A72"/>
    <w:rsid w:val="00994698"/>
    <w:rsid w:val="009952D3"/>
    <w:rsid w:val="009953E5"/>
    <w:rsid w:val="00995C34"/>
    <w:rsid w:val="00995F23"/>
    <w:rsid w:val="009A121C"/>
    <w:rsid w:val="009A2903"/>
    <w:rsid w:val="009A435E"/>
    <w:rsid w:val="009A5388"/>
    <w:rsid w:val="009A6490"/>
    <w:rsid w:val="009A7320"/>
    <w:rsid w:val="009A77F3"/>
    <w:rsid w:val="009B0F15"/>
    <w:rsid w:val="009B3547"/>
    <w:rsid w:val="009B362E"/>
    <w:rsid w:val="009B38BF"/>
    <w:rsid w:val="009B4C74"/>
    <w:rsid w:val="009B7037"/>
    <w:rsid w:val="009B7DB3"/>
    <w:rsid w:val="009B7E4E"/>
    <w:rsid w:val="009C0C39"/>
    <w:rsid w:val="009C2277"/>
    <w:rsid w:val="009C4F6D"/>
    <w:rsid w:val="009C66AB"/>
    <w:rsid w:val="009C7964"/>
    <w:rsid w:val="009D150E"/>
    <w:rsid w:val="009D2BA7"/>
    <w:rsid w:val="009D2E4B"/>
    <w:rsid w:val="009D36CA"/>
    <w:rsid w:val="009D3F1E"/>
    <w:rsid w:val="009D4DA3"/>
    <w:rsid w:val="009D6B85"/>
    <w:rsid w:val="009D6EAE"/>
    <w:rsid w:val="009E1978"/>
    <w:rsid w:val="009E1D28"/>
    <w:rsid w:val="009E527F"/>
    <w:rsid w:val="009E59F3"/>
    <w:rsid w:val="009E6CBA"/>
    <w:rsid w:val="009F04FF"/>
    <w:rsid w:val="009F10AD"/>
    <w:rsid w:val="009F10C0"/>
    <w:rsid w:val="009F4A07"/>
    <w:rsid w:val="009F60E9"/>
    <w:rsid w:val="009F622D"/>
    <w:rsid w:val="00A00C2D"/>
    <w:rsid w:val="00A018D6"/>
    <w:rsid w:val="00A01CA8"/>
    <w:rsid w:val="00A02613"/>
    <w:rsid w:val="00A03537"/>
    <w:rsid w:val="00A04B14"/>
    <w:rsid w:val="00A05537"/>
    <w:rsid w:val="00A05D0A"/>
    <w:rsid w:val="00A064F4"/>
    <w:rsid w:val="00A10460"/>
    <w:rsid w:val="00A11E0E"/>
    <w:rsid w:val="00A11E3B"/>
    <w:rsid w:val="00A12151"/>
    <w:rsid w:val="00A13AE9"/>
    <w:rsid w:val="00A1474B"/>
    <w:rsid w:val="00A15D10"/>
    <w:rsid w:val="00A1693C"/>
    <w:rsid w:val="00A1738A"/>
    <w:rsid w:val="00A175EE"/>
    <w:rsid w:val="00A17A5A"/>
    <w:rsid w:val="00A2069A"/>
    <w:rsid w:val="00A21E85"/>
    <w:rsid w:val="00A22844"/>
    <w:rsid w:val="00A23021"/>
    <w:rsid w:val="00A23335"/>
    <w:rsid w:val="00A24BD2"/>
    <w:rsid w:val="00A24C2A"/>
    <w:rsid w:val="00A25A4B"/>
    <w:rsid w:val="00A2643C"/>
    <w:rsid w:val="00A30A8B"/>
    <w:rsid w:val="00A32E4E"/>
    <w:rsid w:val="00A350B4"/>
    <w:rsid w:val="00A3633C"/>
    <w:rsid w:val="00A37EB1"/>
    <w:rsid w:val="00A40274"/>
    <w:rsid w:val="00A429E5"/>
    <w:rsid w:val="00A42FFD"/>
    <w:rsid w:val="00A43790"/>
    <w:rsid w:val="00A44395"/>
    <w:rsid w:val="00A45E38"/>
    <w:rsid w:val="00A465D5"/>
    <w:rsid w:val="00A4777E"/>
    <w:rsid w:val="00A47AC3"/>
    <w:rsid w:val="00A53D64"/>
    <w:rsid w:val="00A54808"/>
    <w:rsid w:val="00A54A61"/>
    <w:rsid w:val="00A55060"/>
    <w:rsid w:val="00A551BC"/>
    <w:rsid w:val="00A578F9"/>
    <w:rsid w:val="00A57DD7"/>
    <w:rsid w:val="00A6051B"/>
    <w:rsid w:val="00A60A9F"/>
    <w:rsid w:val="00A60D88"/>
    <w:rsid w:val="00A60E5E"/>
    <w:rsid w:val="00A630B3"/>
    <w:rsid w:val="00A65F3F"/>
    <w:rsid w:val="00A66280"/>
    <w:rsid w:val="00A666C6"/>
    <w:rsid w:val="00A67042"/>
    <w:rsid w:val="00A70725"/>
    <w:rsid w:val="00A709F8"/>
    <w:rsid w:val="00A726EC"/>
    <w:rsid w:val="00A72B08"/>
    <w:rsid w:val="00A77D8E"/>
    <w:rsid w:val="00A80A94"/>
    <w:rsid w:val="00A81EC8"/>
    <w:rsid w:val="00A82088"/>
    <w:rsid w:val="00A83822"/>
    <w:rsid w:val="00A8472E"/>
    <w:rsid w:val="00A85A47"/>
    <w:rsid w:val="00A85D95"/>
    <w:rsid w:val="00A8778F"/>
    <w:rsid w:val="00A87E31"/>
    <w:rsid w:val="00A916B0"/>
    <w:rsid w:val="00A92517"/>
    <w:rsid w:val="00A928C0"/>
    <w:rsid w:val="00A94072"/>
    <w:rsid w:val="00A94F9B"/>
    <w:rsid w:val="00A9502B"/>
    <w:rsid w:val="00A950BB"/>
    <w:rsid w:val="00A955B1"/>
    <w:rsid w:val="00A95A80"/>
    <w:rsid w:val="00A96D58"/>
    <w:rsid w:val="00AA4F65"/>
    <w:rsid w:val="00AA5242"/>
    <w:rsid w:val="00AA56AC"/>
    <w:rsid w:val="00AA5A2B"/>
    <w:rsid w:val="00AA7123"/>
    <w:rsid w:val="00AA725E"/>
    <w:rsid w:val="00AA7DB0"/>
    <w:rsid w:val="00AA7EBC"/>
    <w:rsid w:val="00AA7FA6"/>
    <w:rsid w:val="00AB018B"/>
    <w:rsid w:val="00AB0707"/>
    <w:rsid w:val="00AB1010"/>
    <w:rsid w:val="00AB4B98"/>
    <w:rsid w:val="00AB5100"/>
    <w:rsid w:val="00AB6AA4"/>
    <w:rsid w:val="00AB79CE"/>
    <w:rsid w:val="00AC1F74"/>
    <w:rsid w:val="00AC22BF"/>
    <w:rsid w:val="00AC56E9"/>
    <w:rsid w:val="00AC57C3"/>
    <w:rsid w:val="00AC6967"/>
    <w:rsid w:val="00AC7D5B"/>
    <w:rsid w:val="00AD0BC8"/>
    <w:rsid w:val="00AD0FFA"/>
    <w:rsid w:val="00AD350E"/>
    <w:rsid w:val="00AD5363"/>
    <w:rsid w:val="00AE00CC"/>
    <w:rsid w:val="00AE16AD"/>
    <w:rsid w:val="00AE2222"/>
    <w:rsid w:val="00AE2B1A"/>
    <w:rsid w:val="00AE2BFE"/>
    <w:rsid w:val="00AE2C76"/>
    <w:rsid w:val="00AE3551"/>
    <w:rsid w:val="00AE3DFD"/>
    <w:rsid w:val="00AE49DD"/>
    <w:rsid w:val="00AE628B"/>
    <w:rsid w:val="00AE6578"/>
    <w:rsid w:val="00AF07A0"/>
    <w:rsid w:val="00AF0EE1"/>
    <w:rsid w:val="00AF1F5D"/>
    <w:rsid w:val="00AF3151"/>
    <w:rsid w:val="00AF3456"/>
    <w:rsid w:val="00AF3DEE"/>
    <w:rsid w:val="00AF42F6"/>
    <w:rsid w:val="00AF6462"/>
    <w:rsid w:val="00AF6CA0"/>
    <w:rsid w:val="00B012D0"/>
    <w:rsid w:val="00B015E3"/>
    <w:rsid w:val="00B069A3"/>
    <w:rsid w:val="00B06A7A"/>
    <w:rsid w:val="00B06F9B"/>
    <w:rsid w:val="00B100E8"/>
    <w:rsid w:val="00B1088C"/>
    <w:rsid w:val="00B10E53"/>
    <w:rsid w:val="00B129AF"/>
    <w:rsid w:val="00B13429"/>
    <w:rsid w:val="00B149C1"/>
    <w:rsid w:val="00B15DA4"/>
    <w:rsid w:val="00B163C7"/>
    <w:rsid w:val="00B16903"/>
    <w:rsid w:val="00B17B2A"/>
    <w:rsid w:val="00B23368"/>
    <w:rsid w:val="00B235CF"/>
    <w:rsid w:val="00B2406A"/>
    <w:rsid w:val="00B24B88"/>
    <w:rsid w:val="00B25162"/>
    <w:rsid w:val="00B27F4E"/>
    <w:rsid w:val="00B314A3"/>
    <w:rsid w:val="00B314EA"/>
    <w:rsid w:val="00B329AA"/>
    <w:rsid w:val="00B33CCE"/>
    <w:rsid w:val="00B33E68"/>
    <w:rsid w:val="00B35F6E"/>
    <w:rsid w:val="00B41A85"/>
    <w:rsid w:val="00B422DF"/>
    <w:rsid w:val="00B4277D"/>
    <w:rsid w:val="00B47AE7"/>
    <w:rsid w:val="00B47CD1"/>
    <w:rsid w:val="00B47F0C"/>
    <w:rsid w:val="00B50D46"/>
    <w:rsid w:val="00B50D4C"/>
    <w:rsid w:val="00B51280"/>
    <w:rsid w:val="00B56E75"/>
    <w:rsid w:val="00B60644"/>
    <w:rsid w:val="00B6177E"/>
    <w:rsid w:val="00B624E3"/>
    <w:rsid w:val="00B64433"/>
    <w:rsid w:val="00B65280"/>
    <w:rsid w:val="00B65555"/>
    <w:rsid w:val="00B66AB0"/>
    <w:rsid w:val="00B717EB"/>
    <w:rsid w:val="00B72D6E"/>
    <w:rsid w:val="00B76A92"/>
    <w:rsid w:val="00B81927"/>
    <w:rsid w:val="00B8192E"/>
    <w:rsid w:val="00B82A19"/>
    <w:rsid w:val="00B83E62"/>
    <w:rsid w:val="00B85436"/>
    <w:rsid w:val="00B8635F"/>
    <w:rsid w:val="00B870E0"/>
    <w:rsid w:val="00B87174"/>
    <w:rsid w:val="00B90E6E"/>
    <w:rsid w:val="00B91891"/>
    <w:rsid w:val="00B92EBE"/>
    <w:rsid w:val="00B9413A"/>
    <w:rsid w:val="00B95C2C"/>
    <w:rsid w:val="00BA50A7"/>
    <w:rsid w:val="00BA67E2"/>
    <w:rsid w:val="00BA6BF6"/>
    <w:rsid w:val="00BA72D7"/>
    <w:rsid w:val="00BA73E2"/>
    <w:rsid w:val="00BB00CC"/>
    <w:rsid w:val="00BB0FE2"/>
    <w:rsid w:val="00BB146B"/>
    <w:rsid w:val="00BB181A"/>
    <w:rsid w:val="00BB6017"/>
    <w:rsid w:val="00BB7E3F"/>
    <w:rsid w:val="00BC07F8"/>
    <w:rsid w:val="00BC1712"/>
    <w:rsid w:val="00BC4179"/>
    <w:rsid w:val="00BC52D2"/>
    <w:rsid w:val="00BC614B"/>
    <w:rsid w:val="00BC6F21"/>
    <w:rsid w:val="00BC7F53"/>
    <w:rsid w:val="00BD0260"/>
    <w:rsid w:val="00BD1889"/>
    <w:rsid w:val="00BD2493"/>
    <w:rsid w:val="00BD2F5D"/>
    <w:rsid w:val="00BD351C"/>
    <w:rsid w:val="00BD3BE7"/>
    <w:rsid w:val="00BD458A"/>
    <w:rsid w:val="00BD4CCD"/>
    <w:rsid w:val="00BD6C04"/>
    <w:rsid w:val="00BE51FF"/>
    <w:rsid w:val="00BF2F9C"/>
    <w:rsid w:val="00BF4CCA"/>
    <w:rsid w:val="00BF4DC9"/>
    <w:rsid w:val="00BF631A"/>
    <w:rsid w:val="00BF6470"/>
    <w:rsid w:val="00BF6C05"/>
    <w:rsid w:val="00C009D2"/>
    <w:rsid w:val="00C011B3"/>
    <w:rsid w:val="00C01328"/>
    <w:rsid w:val="00C0230C"/>
    <w:rsid w:val="00C0368D"/>
    <w:rsid w:val="00C053F7"/>
    <w:rsid w:val="00C05C61"/>
    <w:rsid w:val="00C06CC9"/>
    <w:rsid w:val="00C07B53"/>
    <w:rsid w:val="00C10A58"/>
    <w:rsid w:val="00C1271D"/>
    <w:rsid w:val="00C13C76"/>
    <w:rsid w:val="00C15BEF"/>
    <w:rsid w:val="00C1629C"/>
    <w:rsid w:val="00C17BED"/>
    <w:rsid w:val="00C20044"/>
    <w:rsid w:val="00C20BB6"/>
    <w:rsid w:val="00C2185A"/>
    <w:rsid w:val="00C22096"/>
    <w:rsid w:val="00C24B1A"/>
    <w:rsid w:val="00C252B0"/>
    <w:rsid w:val="00C257CE"/>
    <w:rsid w:val="00C26731"/>
    <w:rsid w:val="00C30E70"/>
    <w:rsid w:val="00C3357D"/>
    <w:rsid w:val="00C34842"/>
    <w:rsid w:val="00C372C3"/>
    <w:rsid w:val="00C37D56"/>
    <w:rsid w:val="00C416EF"/>
    <w:rsid w:val="00C41EA9"/>
    <w:rsid w:val="00C420FD"/>
    <w:rsid w:val="00C459D6"/>
    <w:rsid w:val="00C46CB6"/>
    <w:rsid w:val="00C47CC9"/>
    <w:rsid w:val="00C47E87"/>
    <w:rsid w:val="00C50EB8"/>
    <w:rsid w:val="00C53394"/>
    <w:rsid w:val="00C54521"/>
    <w:rsid w:val="00C546D0"/>
    <w:rsid w:val="00C54D7C"/>
    <w:rsid w:val="00C600BB"/>
    <w:rsid w:val="00C609A6"/>
    <w:rsid w:val="00C60A76"/>
    <w:rsid w:val="00C633B7"/>
    <w:rsid w:val="00C65844"/>
    <w:rsid w:val="00C65940"/>
    <w:rsid w:val="00C6603E"/>
    <w:rsid w:val="00C66E73"/>
    <w:rsid w:val="00C730B8"/>
    <w:rsid w:val="00C76961"/>
    <w:rsid w:val="00C77255"/>
    <w:rsid w:val="00C77847"/>
    <w:rsid w:val="00C77A10"/>
    <w:rsid w:val="00C8292E"/>
    <w:rsid w:val="00C841B0"/>
    <w:rsid w:val="00C85C6C"/>
    <w:rsid w:val="00C87B0F"/>
    <w:rsid w:val="00C910C1"/>
    <w:rsid w:val="00C93250"/>
    <w:rsid w:val="00C93614"/>
    <w:rsid w:val="00C941C0"/>
    <w:rsid w:val="00C94397"/>
    <w:rsid w:val="00C97BA5"/>
    <w:rsid w:val="00C97F3E"/>
    <w:rsid w:val="00CA1DAE"/>
    <w:rsid w:val="00CA1FAF"/>
    <w:rsid w:val="00CA21A3"/>
    <w:rsid w:val="00CA22A3"/>
    <w:rsid w:val="00CA2843"/>
    <w:rsid w:val="00CA4EFB"/>
    <w:rsid w:val="00CA5689"/>
    <w:rsid w:val="00CA595A"/>
    <w:rsid w:val="00CA5E56"/>
    <w:rsid w:val="00CA7284"/>
    <w:rsid w:val="00CA7713"/>
    <w:rsid w:val="00CA7BED"/>
    <w:rsid w:val="00CB02F0"/>
    <w:rsid w:val="00CB0907"/>
    <w:rsid w:val="00CB55A0"/>
    <w:rsid w:val="00CB578F"/>
    <w:rsid w:val="00CB5A79"/>
    <w:rsid w:val="00CC431E"/>
    <w:rsid w:val="00CC468A"/>
    <w:rsid w:val="00CC51AE"/>
    <w:rsid w:val="00CD03EE"/>
    <w:rsid w:val="00CD0D12"/>
    <w:rsid w:val="00CD0FF0"/>
    <w:rsid w:val="00CD2F99"/>
    <w:rsid w:val="00CD4562"/>
    <w:rsid w:val="00CD47F6"/>
    <w:rsid w:val="00CD5017"/>
    <w:rsid w:val="00CD77B1"/>
    <w:rsid w:val="00CE2EB3"/>
    <w:rsid w:val="00CE3354"/>
    <w:rsid w:val="00CE3387"/>
    <w:rsid w:val="00CE453A"/>
    <w:rsid w:val="00CE4E12"/>
    <w:rsid w:val="00CE55B9"/>
    <w:rsid w:val="00CE56A6"/>
    <w:rsid w:val="00CE65A5"/>
    <w:rsid w:val="00CE65B8"/>
    <w:rsid w:val="00CF001C"/>
    <w:rsid w:val="00CF03F0"/>
    <w:rsid w:val="00CF061D"/>
    <w:rsid w:val="00CF1302"/>
    <w:rsid w:val="00CF1FA0"/>
    <w:rsid w:val="00CF224F"/>
    <w:rsid w:val="00CF2954"/>
    <w:rsid w:val="00CF52D3"/>
    <w:rsid w:val="00CF7DA3"/>
    <w:rsid w:val="00D0048B"/>
    <w:rsid w:val="00D031E3"/>
    <w:rsid w:val="00D036E4"/>
    <w:rsid w:val="00D05505"/>
    <w:rsid w:val="00D113DC"/>
    <w:rsid w:val="00D11956"/>
    <w:rsid w:val="00D12442"/>
    <w:rsid w:val="00D132BD"/>
    <w:rsid w:val="00D13A7C"/>
    <w:rsid w:val="00D14215"/>
    <w:rsid w:val="00D1472B"/>
    <w:rsid w:val="00D163D9"/>
    <w:rsid w:val="00D16626"/>
    <w:rsid w:val="00D176D9"/>
    <w:rsid w:val="00D201DF"/>
    <w:rsid w:val="00D2065A"/>
    <w:rsid w:val="00D20BA5"/>
    <w:rsid w:val="00D20DAB"/>
    <w:rsid w:val="00D20FB6"/>
    <w:rsid w:val="00D218EA"/>
    <w:rsid w:val="00D21C70"/>
    <w:rsid w:val="00D21CDA"/>
    <w:rsid w:val="00D22395"/>
    <w:rsid w:val="00D22584"/>
    <w:rsid w:val="00D2360B"/>
    <w:rsid w:val="00D2396E"/>
    <w:rsid w:val="00D26228"/>
    <w:rsid w:val="00D26487"/>
    <w:rsid w:val="00D26C51"/>
    <w:rsid w:val="00D27B6F"/>
    <w:rsid w:val="00D3274F"/>
    <w:rsid w:val="00D32EEE"/>
    <w:rsid w:val="00D33F3A"/>
    <w:rsid w:val="00D35200"/>
    <w:rsid w:val="00D36307"/>
    <w:rsid w:val="00D37FA9"/>
    <w:rsid w:val="00D37FB7"/>
    <w:rsid w:val="00D4166A"/>
    <w:rsid w:val="00D424C8"/>
    <w:rsid w:val="00D43257"/>
    <w:rsid w:val="00D43AFC"/>
    <w:rsid w:val="00D456CF"/>
    <w:rsid w:val="00D45900"/>
    <w:rsid w:val="00D478EF"/>
    <w:rsid w:val="00D50111"/>
    <w:rsid w:val="00D50801"/>
    <w:rsid w:val="00D50B0C"/>
    <w:rsid w:val="00D5204F"/>
    <w:rsid w:val="00D5256C"/>
    <w:rsid w:val="00D53B55"/>
    <w:rsid w:val="00D54B95"/>
    <w:rsid w:val="00D54D9E"/>
    <w:rsid w:val="00D55448"/>
    <w:rsid w:val="00D554A6"/>
    <w:rsid w:val="00D555EB"/>
    <w:rsid w:val="00D55FB5"/>
    <w:rsid w:val="00D56725"/>
    <w:rsid w:val="00D57E0F"/>
    <w:rsid w:val="00D6026A"/>
    <w:rsid w:val="00D62328"/>
    <w:rsid w:val="00D624D5"/>
    <w:rsid w:val="00D6420E"/>
    <w:rsid w:val="00D64D20"/>
    <w:rsid w:val="00D652EF"/>
    <w:rsid w:val="00D656A3"/>
    <w:rsid w:val="00D664FB"/>
    <w:rsid w:val="00D67328"/>
    <w:rsid w:val="00D67BFB"/>
    <w:rsid w:val="00D70A9B"/>
    <w:rsid w:val="00D70E66"/>
    <w:rsid w:val="00D716F0"/>
    <w:rsid w:val="00D7196D"/>
    <w:rsid w:val="00D72996"/>
    <w:rsid w:val="00D73193"/>
    <w:rsid w:val="00D73532"/>
    <w:rsid w:val="00D76406"/>
    <w:rsid w:val="00D76433"/>
    <w:rsid w:val="00D80041"/>
    <w:rsid w:val="00D80B90"/>
    <w:rsid w:val="00D84A54"/>
    <w:rsid w:val="00D84F73"/>
    <w:rsid w:val="00D8760A"/>
    <w:rsid w:val="00D90310"/>
    <w:rsid w:val="00D9073A"/>
    <w:rsid w:val="00D9084A"/>
    <w:rsid w:val="00D91B38"/>
    <w:rsid w:val="00D91CB0"/>
    <w:rsid w:val="00D93133"/>
    <w:rsid w:val="00D943C0"/>
    <w:rsid w:val="00D94B82"/>
    <w:rsid w:val="00D94D89"/>
    <w:rsid w:val="00D96571"/>
    <w:rsid w:val="00D96753"/>
    <w:rsid w:val="00DA0509"/>
    <w:rsid w:val="00DA0FF1"/>
    <w:rsid w:val="00DA12B4"/>
    <w:rsid w:val="00DA2C3A"/>
    <w:rsid w:val="00DA3753"/>
    <w:rsid w:val="00DA5EEE"/>
    <w:rsid w:val="00DA7551"/>
    <w:rsid w:val="00DA7A9D"/>
    <w:rsid w:val="00DB0CC7"/>
    <w:rsid w:val="00DB3910"/>
    <w:rsid w:val="00DB4B35"/>
    <w:rsid w:val="00DB4F60"/>
    <w:rsid w:val="00DB51B2"/>
    <w:rsid w:val="00DB5AFC"/>
    <w:rsid w:val="00DB734E"/>
    <w:rsid w:val="00DC008E"/>
    <w:rsid w:val="00DC0DF4"/>
    <w:rsid w:val="00DC118C"/>
    <w:rsid w:val="00DC2AC6"/>
    <w:rsid w:val="00DC4FCC"/>
    <w:rsid w:val="00DC56A2"/>
    <w:rsid w:val="00DC5E18"/>
    <w:rsid w:val="00DC65FC"/>
    <w:rsid w:val="00DC77AD"/>
    <w:rsid w:val="00DC78F9"/>
    <w:rsid w:val="00DD0AEB"/>
    <w:rsid w:val="00DD13B4"/>
    <w:rsid w:val="00DD187A"/>
    <w:rsid w:val="00DD21A4"/>
    <w:rsid w:val="00DD7402"/>
    <w:rsid w:val="00DD7CDD"/>
    <w:rsid w:val="00DE03B8"/>
    <w:rsid w:val="00DE1C61"/>
    <w:rsid w:val="00DE2A24"/>
    <w:rsid w:val="00DE2A53"/>
    <w:rsid w:val="00DE34ED"/>
    <w:rsid w:val="00DE43FB"/>
    <w:rsid w:val="00DE5843"/>
    <w:rsid w:val="00DF0AFC"/>
    <w:rsid w:val="00DF0CED"/>
    <w:rsid w:val="00DF371D"/>
    <w:rsid w:val="00DF3C37"/>
    <w:rsid w:val="00DF427E"/>
    <w:rsid w:val="00DF4559"/>
    <w:rsid w:val="00DF472A"/>
    <w:rsid w:val="00DF5BCC"/>
    <w:rsid w:val="00DF5E8A"/>
    <w:rsid w:val="00DF67DB"/>
    <w:rsid w:val="00E00786"/>
    <w:rsid w:val="00E02148"/>
    <w:rsid w:val="00E026A8"/>
    <w:rsid w:val="00E042CB"/>
    <w:rsid w:val="00E06098"/>
    <w:rsid w:val="00E07625"/>
    <w:rsid w:val="00E101A7"/>
    <w:rsid w:val="00E104A3"/>
    <w:rsid w:val="00E11908"/>
    <w:rsid w:val="00E12E37"/>
    <w:rsid w:val="00E13511"/>
    <w:rsid w:val="00E138C2"/>
    <w:rsid w:val="00E14372"/>
    <w:rsid w:val="00E152A4"/>
    <w:rsid w:val="00E16D26"/>
    <w:rsid w:val="00E17896"/>
    <w:rsid w:val="00E2027B"/>
    <w:rsid w:val="00E20CD5"/>
    <w:rsid w:val="00E20DF1"/>
    <w:rsid w:val="00E232E8"/>
    <w:rsid w:val="00E23DD4"/>
    <w:rsid w:val="00E241EB"/>
    <w:rsid w:val="00E24BF2"/>
    <w:rsid w:val="00E24E8B"/>
    <w:rsid w:val="00E26178"/>
    <w:rsid w:val="00E30814"/>
    <w:rsid w:val="00E3232A"/>
    <w:rsid w:val="00E32899"/>
    <w:rsid w:val="00E3365B"/>
    <w:rsid w:val="00E33735"/>
    <w:rsid w:val="00E349B2"/>
    <w:rsid w:val="00E34B3F"/>
    <w:rsid w:val="00E4086D"/>
    <w:rsid w:val="00E41B66"/>
    <w:rsid w:val="00E42D6C"/>
    <w:rsid w:val="00E43197"/>
    <w:rsid w:val="00E440DB"/>
    <w:rsid w:val="00E45D2F"/>
    <w:rsid w:val="00E46726"/>
    <w:rsid w:val="00E4771A"/>
    <w:rsid w:val="00E50785"/>
    <w:rsid w:val="00E50F67"/>
    <w:rsid w:val="00E51FFF"/>
    <w:rsid w:val="00E53CD3"/>
    <w:rsid w:val="00E55761"/>
    <w:rsid w:val="00E55B76"/>
    <w:rsid w:val="00E56ACE"/>
    <w:rsid w:val="00E56CBE"/>
    <w:rsid w:val="00E575DC"/>
    <w:rsid w:val="00E57D2C"/>
    <w:rsid w:val="00E604CE"/>
    <w:rsid w:val="00E60C7B"/>
    <w:rsid w:val="00E6183F"/>
    <w:rsid w:val="00E62129"/>
    <w:rsid w:val="00E62649"/>
    <w:rsid w:val="00E63759"/>
    <w:rsid w:val="00E6467E"/>
    <w:rsid w:val="00E64F38"/>
    <w:rsid w:val="00E66B6B"/>
    <w:rsid w:val="00E67AFE"/>
    <w:rsid w:val="00E7023A"/>
    <w:rsid w:val="00E72430"/>
    <w:rsid w:val="00E727A9"/>
    <w:rsid w:val="00E72AB6"/>
    <w:rsid w:val="00E73786"/>
    <w:rsid w:val="00E74173"/>
    <w:rsid w:val="00E742B6"/>
    <w:rsid w:val="00E74E0C"/>
    <w:rsid w:val="00E758A4"/>
    <w:rsid w:val="00E764D8"/>
    <w:rsid w:val="00E81A24"/>
    <w:rsid w:val="00E85DF7"/>
    <w:rsid w:val="00E872D2"/>
    <w:rsid w:val="00E87FD3"/>
    <w:rsid w:val="00E911B2"/>
    <w:rsid w:val="00E91A25"/>
    <w:rsid w:val="00E9324D"/>
    <w:rsid w:val="00E93D25"/>
    <w:rsid w:val="00E9421F"/>
    <w:rsid w:val="00E952A4"/>
    <w:rsid w:val="00E96209"/>
    <w:rsid w:val="00EA043F"/>
    <w:rsid w:val="00EA0918"/>
    <w:rsid w:val="00EA0EB6"/>
    <w:rsid w:val="00EA16D6"/>
    <w:rsid w:val="00EA23A3"/>
    <w:rsid w:val="00EA32AE"/>
    <w:rsid w:val="00EA3528"/>
    <w:rsid w:val="00EA3B79"/>
    <w:rsid w:val="00EA3CF2"/>
    <w:rsid w:val="00EA4932"/>
    <w:rsid w:val="00EA4D94"/>
    <w:rsid w:val="00EA780B"/>
    <w:rsid w:val="00EB00D8"/>
    <w:rsid w:val="00EB04C5"/>
    <w:rsid w:val="00EB4910"/>
    <w:rsid w:val="00EB4D78"/>
    <w:rsid w:val="00EB60E8"/>
    <w:rsid w:val="00EB6456"/>
    <w:rsid w:val="00EB6D46"/>
    <w:rsid w:val="00EB7E78"/>
    <w:rsid w:val="00EC02EE"/>
    <w:rsid w:val="00EC09EA"/>
    <w:rsid w:val="00EC1B46"/>
    <w:rsid w:val="00EC1EA0"/>
    <w:rsid w:val="00EC2805"/>
    <w:rsid w:val="00EC2BB5"/>
    <w:rsid w:val="00EC2CF8"/>
    <w:rsid w:val="00EC5822"/>
    <w:rsid w:val="00EC5975"/>
    <w:rsid w:val="00EC5C21"/>
    <w:rsid w:val="00ED0296"/>
    <w:rsid w:val="00ED067C"/>
    <w:rsid w:val="00ED0C69"/>
    <w:rsid w:val="00ED19B3"/>
    <w:rsid w:val="00ED2074"/>
    <w:rsid w:val="00ED51F4"/>
    <w:rsid w:val="00ED623D"/>
    <w:rsid w:val="00ED6A1A"/>
    <w:rsid w:val="00ED75E9"/>
    <w:rsid w:val="00EE0208"/>
    <w:rsid w:val="00EE0F00"/>
    <w:rsid w:val="00EE22CA"/>
    <w:rsid w:val="00EE2865"/>
    <w:rsid w:val="00EE2B0E"/>
    <w:rsid w:val="00EE3660"/>
    <w:rsid w:val="00EE388B"/>
    <w:rsid w:val="00EE3A3F"/>
    <w:rsid w:val="00EE40FC"/>
    <w:rsid w:val="00EE48E2"/>
    <w:rsid w:val="00EE6D50"/>
    <w:rsid w:val="00EE7CD6"/>
    <w:rsid w:val="00EF0BFB"/>
    <w:rsid w:val="00EF209D"/>
    <w:rsid w:val="00EF76FA"/>
    <w:rsid w:val="00F01310"/>
    <w:rsid w:val="00F01DA8"/>
    <w:rsid w:val="00F02037"/>
    <w:rsid w:val="00F02090"/>
    <w:rsid w:val="00F0215F"/>
    <w:rsid w:val="00F0365F"/>
    <w:rsid w:val="00F036C3"/>
    <w:rsid w:val="00F03803"/>
    <w:rsid w:val="00F041DF"/>
    <w:rsid w:val="00F10D16"/>
    <w:rsid w:val="00F11960"/>
    <w:rsid w:val="00F13839"/>
    <w:rsid w:val="00F16580"/>
    <w:rsid w:val="00F254DD"/>
    <w:rsid w:val="00F26815"/>
    <w:rsid w:val="00F26BB8"/>
    <w:rsid w:val="00F27016"/>
    <w:rsid w:val="00F2726D"/>
    <w:rsid w:val="00F31EF0"/>
    <w:rsid w:val="00F323C1"/>
    <w:rsid w:val="00F33D01"/>
    <w:rsid w:val="00F340BA"/>
    <w:rsid w:val="00F348BD"/>
    <w:rsid w:val="00F360D0"/>
    <w:rsid w:val="00F365BC"/>
    <w:rsid w:val="00F37688"/>
    <w:rsid w:val="00F37E60"/>
    <w:rsid w:val="00F40D84"/>
    <w:rsid w:val="00F410ED"/>
    <w:rsid w:val="00F4167D"/>
    <w:rsid w:val="00F437C2"/>
    <w:rsid w:val="00F446C7"/>
    <w:rsid w:val="00F4523B"/>
    <w:rsid w:val="00F46E2B"/>
    <w:rsid w:val="00F47976"/>
    <w:rsid w:val="00F50260"/>
    <w:rsid w:val="00F509E5"/>
    <w:rsid w:val="00F51064"/>
    <w:rsid w:val="00F51983"/>
    <w:rsid w:val="00F51C70"/>
    <w:rsid w:val="00F527D1"/>
    <w:rsid w:val="00F534AA"/>
    <w:rsid w:val="00F538C1"/>
    <w:rsid w:val="00F54A81"/>
    <w:rsid w:val="00F5513F"/>
    <w:rsid w:val="00F553C0"/>
    <w:rsid w:val="00F56E18"/>
    <w:rsid w:val="00F57E4C"/>
    <w:rsid w:val="00F61FC0"/>
    <w:rsid w:val="00F6356A"/>
    <w:rsid w:val="00F63EFF"/>
    <w:rsid w:val="00F64061"/>
    <w:rsid w:val="00F643D7"/>
    <w:rsid w:val="00F64E35"/>
    <w:rsid w:val="00F66102"/>
    <w:rsid w:val="00F6738C"/>
    <w:rsid w:val="00F67562"/>
    <w:rsid w:val="00F70F70"/>
    <w:rsid w:val="00F71B09"/>
    <w:rsid w:val="00F731D8"/>
    <w:rsid w:val="00F73811"/>
    <w:rsid w:val="00F7407A"/>
    <w:rsid w:val="00F75B6D"/>
    <w:rsid w:val="00F7670A"/>
    <w:rsid w:val="00F77F97"/>
    <w:rsid w:val="00F8197F"/>
    <w:rsid w:val="00F84000"/>
    <w:rsid w:val="00F85E22"/>
    <w:rsid w:val="00F85EED"/>
    <w:rsid w:val="00F865F0"/>
    <w:rsid w:val="00F86CAA"/>
    <w:rsid w:val="00F90EA8"/>
    <w:rsid w:val="00F91344"/>
    <w:rsid w:val="00F9309B"/>
    <w:rsid w:val="00F935D0"/>
    <w:rsid w:val="00F939D9"/>
    <w:rsid w:val="00F947CD"/>
    <w:rsid w:val="00F94B78"/>
    <w:rsid w:val="00F950A7"/>
    <w:rsid w:val="00F95205"/>
    <w:rsid w:val="00F95AB7"/>
    <w:rsid w:val="00F95F82"/>
    <w:rsid w:val="00F96341"/>
    <w:rsid w:val="00F97F80"/>
    <w:rsid w:val="00FA0A20"/>
    <w:rsid w:val="00FA0AF9"/>
    <w:rsid w:val="00FA122B"/>
    <w:rsid w:val="00FA131B"/>
    <w:rsid w:val="00FA1334"/>
    <w:rsid w:val="00FA1459"/>
    <w:rsid w:val="00FA1A3E"/>
    <w:rsid w:val="00FA1CDF"/>
    <w:rsid w:val="00FA1DCD"/>
    <w:rsid w:val="00FA2237"/>
    <w:rsid w:val="00FA2987"/>
    <w:rsid w:val="00FA2A33"/>
    <w:rsid w:val="00FA2FDB"/>
    <w:rsid w:val="00FA4D17"/>
    <w:rsid w:val="00FA709A"/>
    <w:rsid w:val="00FA7C5D"/>
    <w:rsid w:val="00FB06B5"/>
    <w:rsid w:val="00FB0D3E"/>
    <w:rsid w:val="00FB2317"/>
    <w:rsid w:val="00FB23B5"/>
    <w:rsid w:val="00FB2A9E"/>
    <w:rsid w:val="00FB3AE2"/>
    <w:rsid w:val="00FB6074"/>
    <w:rsid w:val="00FB756E"/>
    <w:rsid w:val="00FB7A63"/>
    <w:rsid w:val="00FB7D50"/>
    <w:rsid w:val="00FC15DC"/>
    <w:rsid w:val="00FC476E"/>
    <w:rsid w:val="00FC49B9"/>
    <w:rsid w:val="00FC562B"/>
    <w:rsid w:val="00FC68ED"/>
    <w:rsid w:val="00FC7BA9"/>
    <w:rsid w:val="00FD0CEC"/>
    <w:rsid w:val="00FD21BC"/>
    <w:rsid w:val="00FD3F16"/>
    <w:rsid w:val="00FD5298"/>
    <w:rsid w:val="00FD544F"/>
    <w:rsid w:val="00FD5B1C"/>
    <w:rsid w:val="00FD6060"/>
    <w:rsid w:val="00FD60EC"/>
    <w:rsid w:val="00FD6537"/>
    <w:rsid w:val="00FD65CA"/>
    <w:rsid w:val="00FD780F"/>
    <w:rsid w:val="00FE2903"/>
    <w:rsid w:val="00FE682F"/>
    <w:rsid w:val="00FE7237"/>
    <w:rsid w:val="00FE764D"/>
    <w:rsid w:val="00FE7E9F"/>
    <w:rsid w:val="00FF0ABD"/>
    <w:rsid w:val="00FF336B"/>
    <w:rsid w:val="00FF42CE"/>
    <w:rsid w:val="00FF4428"/>
    <w:rsid w:val="00FF47DA"/>
    <w:rsid w:val="00FF6702"/>
    <w:rsid w:val="00FF73DF"/>
    <w:rsid w:val="04778739"/>
    <w:rsid w:val="065A47C2"/>
    <w:rsid w:val="08B9C48C"/>
    <w:rsid w:val="0E8E74B9"/>
    <w:rsid w:val="0EC7E8CB"/>
    <w:rsid w:val="10DD2564"/>
    <w:rsid w:val="143B6AB4"/>
    <w:rsid w:val="143EDB87"/>
    <w:rsid w:val="192C7D30"/>
    <w:rsid w:val="1B7EF458"/>
    <w:rsid w:val="1BAD3A56"/>
    <w:rsid w:val="26E6E34E"/>
    <w:rsid w:val="2905B121"/>
    <w:rsid w:val="2A0031AF"/>
    <w:rsid w:val="2E5763F6"/>
    <w:rsid w:val="31FB9C54"/>
    <w:rsid w:val="325D1F3C"/>
    <w:rsid w:val="3EC302F1"/>
    <w:rsid w:val="4304EB99"/>
    <w:rsid w:val="43F57732"/>
    <w:rsid w:val="44657C4F"/>
    <w:rsid w:val="462573EE"/>
    <w:rsid w:val="47072CBF"/>
    <w:rsid w:val="5572AEA5"/>
    <w:rsid w:val="595BC61E"/>
    <w:rsid w:val="5D2686D2"/>
    <w:rsid w:val="5D5CF225"/>
    <w:rsid w:val="5E82C595"/>
    <w:rsid w:val="5EF0579F"/>
    <w:rsid w:val="6387D015"/>
    <w:rsid w:val="650526C6"/>
    <w:rsid w:val="6635F862"/>
    <w:rsid w:val="68C34BE3"/>
    <w:rsid w:val="6A791D64"/>
    <w:rsid w:val="73A29425"/>
    <w:rsid w:val="7A0EC3DA"/>
    <w:rsid w:val="7ADB54FF"/>
    <w:rsid w:val="7C53BAE3"/>
    <w:rsid w:val="7FCBA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38BCEF"/>
  <w15:chartTrackingRefBased/>
  <w15:docId w15:val="{2BEE3DDD-6C91-4805-AF9E-D3FFAE7A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71984"/>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9C0C39"/>
    <w:pPr>
      <w:keepNext/>
      <w:keepLines/>
      <w:spacing w:before="240"/>
      <w:outlineLvl w:val="0"/>
    </w:pPr>
    <w:rPr>
      <w:rFonts w:ascii="Franklin Gothic Demi" w:eastAsiaTheme="majorEastAsia" w:hAnsi="Franklin Gothic Demi" w:cstheme="majorBidi"/>
      <w:caps/>
      <w:color w:val="094975" w:themeColor="accent1"/>
      <w:sz w:val="28"/>
      <w:szCs w:val="32"/>
    </w:rPr>
  </w:style>
  <w:style w:type="paragraph" w:styleId="Heading2">
    <w:name w:val="heading 2"/>
    <w:basedOn w:val="Normal"/>
    <w:next w:val="Normal"/>
    <w:link w:val="Heading2Char"/>
    <w:uiPriority w:val="9"/>
    <w:unhideWhenUsed/>
    <w:qFormat/>
    <w:rsid w:val="00EC1B46"/>
    <w:pPr>
      <w:keepNext/>
      <w:keepLines/>
      <w:numPr>
        <w:numId w:val="43"/>
      </w:numPr>
      <w:spacing w:before="40"/>
      <w:ind w:left="360"/>
      <w:outlineLvl w:val="1"/>
    </w:pPr>
    <w:rPr>
      <w:rFonts w:ascii="Franklin Gothic Demi" w:eastAsiaTheme="majorEastAsia" w:hAnsi="Franklin Gothic Demi" w:cstheme="majorBidi"/>
      <w:caps/>
      <w:color w:val="063657"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71984"/>
  </w:style>
  <w:style w:type="character" w:customStyle="1" w:styleId="CommentTextChar">
    <w:name w:val="Comment Text Char"/>
    <w:basedOn w:val="DefaultParagraphFont"/>
    <w:link w:val="CommentText"/>
    <w:uiPriority w:val="99"/>
    <w:rsid w:val="00871984"/>
    <w:rPr>
      <w:rFonts w:eastAsiaTheme="minorEastAsia"/>
      <w:sz w:val="24"/>
      <w:szCs w:val="24"/>
    </w:rPr>
  </w:style>
  <w:style w:type="paragraph" w:styleId="FootnoteText">
    <w:name w:val="footnote text"/>
    <w:basedOn w:val="Normal"/>
    <w:link w:val="FootnoteTextChar"/>
    <w:unhideWhenUsed/>
    <w:rsid w:val="00871984"/>
    <w:rPr>
      <w:sz w:val="20"/>
      <w:szCs w:val="20"/>
    </w:rPr>
  </w:style>
  <w:style w:type="character" w:customStyle="1" w:styleId="FootnoteTextChar">
    <w:name w:val="Footnote Text Char"/>
    <w:basedOn w:val="DefaultParagraphFont"/>
    <w:link w:val="FootnoteText"/>
    <w:rsid w:val="00871984"/>
    <w:rPr>
      <w:rFonts w:eastAsiaTheme="minorEastAsia"/>
      <w:sz w:val="20"/>
      <w:szCs w:val="20"/>
    </w:rPr>
  </w:style>
  <w:style w:type="character" w:styleId="FootnoteReference">
    <w:name w:val="footnote reference"/>
    <w:aliases w:val="fr,Style 20"/>
    <w:basedOn w:val="DefaultParagraphFont"/>
    <w:uiPriority w:val="99"/>
    <w:unhideWhenUsed/>
    <w:rsid w:val="00871984"/>
    <w:rPr>
      <w:vertAlign w:val="superscript"/>
    </w:rPr>
  </w:style>
  <w:style w:type="character" w:styleId="CommentReference">
    <w:name w:val="annotation reference"/>
    <w:basedOn w:val="DefaultParagraphFont"/>
    <w:uiPriority w:val="99"/>
    <w:semiHidden/>
    <w:unhideWhenUsed/>
    <w:rsid w:val="00950270"/>
    <w:rPr>
      <w:sz w:val="16"/>
      <w:szCs w:val="16"/>
    </w:rPr>
  </w:style>
  <w:style w:type="paragraph" w:styleId="CommentSubject">
    <w:name w:val="annotation subject"/>
    <w:basedOn w:val="CommentText"/>
    <w:next w:val="CommentText"/>
    <w:link w:val="CommentSubjectChar"/>
    <w:uiPriority w:val="99"/>
    <w:semiHidden/>
    <w:unhideWhenUsed/>
    <w:rsid w:val="00950270"/>
    <w:rPr>
      <w:b/>
      <w:bCs/>
      <w:sz w:val="20"/>
      <w:szCs w:val="20"/>
    </w:rPr>
  </w:style>
  <w:style w:type="character" w:customStyle="1" w:styleId="CommentSubjectChar">
    <w:name w:val="Comment Subject Char"/>
    <w:basedOn w:val="CommentTextChar"/>
    <w:link w:val="CommentSubject"/>
    <w:uiPriority w:val="99"/>
    <w:semiHidden/>
    <w:rsid w:val="00950270"/>
    <w:rPr>
      <w:rFonts w:eastAsiaTheme="minorEastAsia"/>
      <w:b/>
      <w:bCs/>
      <w:sz w:val="20"/>
      <w:szCs w:val="20"/>
    </w:rPr>
  </w:style>
  <w:style w:type="paragraph" w:styleId="NormalWeb">
    <w:name w:val="Normal (Web)"/>
    <w:basedOn w:val="Normal"/>
    <w:uiPriority w:val="99"/>
    <w:unhideWhenUsed/>
    <w:rsid w:val="00DF371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F1749"/>
    <w:pPr>
      <w:ind w:left="720"/>
      <w:contextualSpacing/>
    </w:pPr>
  </w:style>
  <w:style w:type="character" w:styleId="Hyperlink">
    <w:name w:val="Hyperlink"/>
    <w:basedOn w:val="DefaultParagraphFont"/>
    <w:uiPriority w:val="99"/>
    <w:unhideWhenUsed/>
    <w:rsid w:val="00B83E62"/>
    <w:rPr>
      <w:color w:val="0000FF"/>
      <w:u w:val="single"/>
    </w:rPr>
  </w:style>
  <w:style w:type="character" w:styleId="Strong">
    <w:name w:val="Strong"/>
    <w:basedOn w:val="DefaultParagraphFont"/>
    <w:uiPriority w:val="22"/>
    <w:qFormat/>
    <w:rsid w:val="00B83E62"/>
    <w:rPr>
      <w:b/>
      <w:bCs/>
    </w:rPr>
  </w:style>
  <w:style w:type="paragraph" w:styleId="Revision">
    <w:name w:val="Revision"/>
    <w:hidden/>
    <w:uiPriority w:val="99"/>
    <w:semiHidden/>
    <w:rsid w:val="001B7B69"/>
    <w:pPr>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1B7B69"/>
  </w:style>
  <w:style w:type="paragraph" w:styleId="Header">
    <w:name w:val="header"/>
    <w:basedOn w:val="Normal"/>
    <w:link w:val="HeaderChar"/>
    <w:uiPriority w:val="99"/>
    <w:unhideWhenUsed/>
    <w:rsid w:val="001B7B69"/>
    <w:pPr>
      <w:tabs>
        <w:tab w:val="center" w:pos="4680"/>
        <w:tab w:val="right" w:pos="9360"/>
      </w:tabs>
    </w:pPr>
    <w:rPr>
      <w:rFonts w:eastAsiaTheme="minorHAnsi"/>
      <w:sz w:val="22"/>
      <w:szCs w:val="22"/>
    </w:rPr>
  </w:style>
  <w:style w:type="paragraph" w:styleId="Footer">
    <w:name w:val="footer"/>
    <w:basedOn w:val="Normal"/>
    <w:link w:val="FooterChar"/>
    <w:uiPriority w:val="99"/>
    <w:unhideWhenUsed/>
    <w:rsid w:val="001B7B69"/>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1B7B69"/>
  </w:style>
  <w:style w:type="paragraph" w:styleId="Caption">
    <w:name w:val="caption"/>
    <w:basedOn w:val="Normal"/>
    <w:next w:val="Normal"/>
    <w:uiPriority w:val="35"/>
    <w:unhideWhenUsed/>
    <w:qFormat/>
    <w:rsid w:val="001B7B69"/>
    <w:pPr>
      <w:spacing w:after="200"/>
    </w:pPr>
    <w:rPr>
      <w:rFonts w:eastAsiaTheme="minorHAnsi"/>
      <w:i/>
      <w:iCs/>
      <w:color w:val="A5A5A5" w:themeColor="text2"/>
      <w:sz w:val="18"/>
      <w:szCs w:val="18"/>
    </w:rPr>
  </w:style>
  <w:style w:type="character" w:customStyle="1" w:styleId="UnresolvedMention">
    <w:name w:val="Unresolved Mention"/>
    <w:basedOn w:val="DefaultParagraphFont"/>
    <w:uiPriority w:val="99"/>
    <w:semiHidden/>
    <w:unhideWhenUsed/>
    <w:rsid w:val="00653CBA"/>
    <w:rPr>
      <w:color w:val="605E5C"/>
      <w:shd w:val="clear" w:color="auto" w:fill="E1DFDD"/>
    </w:rPr>
  </w:style>
  <w:style w:type="character" w:styleId="Emphasis">
    <w:name w:val="Emphasis"/>
    <w:basedOn w:val="DefaultParagraphFont"/>
    <w:uiPriority w:val="20"/>
    <w:qFormat/>
    <w:rsid w:val="006A37A2"/>
    <w:rPr>
      <w:i/>
      <w:iCs/>
    </w:rPr>
  </w:style>
  <w:style w:type="paragraph" w:styleId="EndnoteText">
    <w:name w:val="endnote text"/>
    <w:basedOn w:val="Normal"/>
    <w:link w:val="EndnoteTextChar"/>
    <w:uiPriority w:val="99"/>
    <w:unhideWhenUsed/>
    <w:rsid w:val="009D2BA7"/>
    <w:rPr>
      <w:rFonts w:eastAsiaTheme="minorHAnsi"/>
      <w:sz w:val="20"/>
      <w:szCs w:val="20"/>
    </w:rPr>
  </w:style>
  <w:style w:type="character" w:customStyle="1" w:styleId="EndnoteTextChar">
    <w:name w:val="Endnote Text Char"/>
    <w:basedOn w:val="DefaultParagraphFont"/>
    <w:link w:val="EndnoteText"/>
    <w:uiPriority w:val="99"/>
    <w:rsid w:val="009D2BA7"/>
    <w:rPr>
      <w:sz w:val="20"/>
      <w:szCs w:val="20"/>
    </w:rPr>
  </w:style>
  <w:style w:type="paragraph" w:customStyle="1" w:styleId="xxxmsonormal">
    <w:name w:val="x_xxmsonormal"/>
    <w:basedOn w:val="Normal"/>
    <w:rsid w:val="00A465D5"/>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403E4C"/>
    <w:rPr>
      <w:color w:val="A3597D" w:themeColor="followedHyperlink"/>
      <w:u w:val="single"/>
    </w:rPr>
  </w:style>
  <w:style w:type="table" w:styleId="TableGrid">
    <w:name w:val="Table Grid"/>
    <w:basedOn w:val="TableNormal"/>
    <w:uiPriority w:val="39"/>
    <w:rsid w:val="00CA7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1914"/>
    <w:pPr>
      <w:autoSpaceDE w:val="0"/>
      <w:autoSpaceDN w:val="0"/>
      <w:adjustRightInd w:val="0"/>
      <w:spacing w:after="0" w:line="240" w:lineRule="auto"/>
    </w:pPr>
    <w:rPr>
      <w:rFonts w:ascii="Times New Roman" w:hAnsi="Times New Roman" w:cs="Times New Roman"/>
      <w:color w:val="000000"/>
      <w:sz w:val="24"/>
      <w:szCs w:val="24"/>
    </w:rPr>
  </w:style>
  <w:style w:type="table" w:styleId="GridTable4-Accent1">
    <w:name w:val="Grid Table 4 Accent 1"/>
    <w:basedOn w:val="TableNormal"/>
    <w:uiPriority w:val="49"/>
    <w:rsid w:val="00C77A10"/>
    <w:pPr>
      <w:spacing w:after="0" w:line="240" w:lineRule="auto"/>
    </w:pPr>
    <w:tblPr>
      <w:tblStyleRowBandSize w:val="1"/>
      <w:tblStyleColBandSize w:val="1"/>
      <w:tblBorders>
        <w:top w:val="single" w:sz="4" w:space="0" w:color="289DEE" w:themeColor="accent1" w:themeTint="99"/>
        <w:left w:val="single" w:sz="4" w:space="0" w:color="289DEE" w:themeColor="accent1" w:themeTint="99"/>
        <w:bottom w:val="single" w:sz="4" w:space="0" w:color="289DEE" w:themeColor="accent1" w:themeTint="99"/>
        <w:right w:val="single" w:sz="4" w:space="0" w:color="289DEE" w:themeColor="accent1" w:themeTint="99"/>
        <w:insideH w:val="single" w:sz="4" w:space="0" w:color="289DEE" w:themeColor="accent1" w:themeTint="99"/>
        <w:insideV w:val="single" w:sz="4" w:space="0" w:color="289DEE" w:themeColor="accent1" w:themeTint="99"/>
      </w:tblBorders>
    </w:tblPr>
    <w:tblStylePr w:type="firstRow">
      <w:rPr>
        <w:b/>
        <w:bCs/>
        <w:color w:val="FFFFFF" w:themeColor="background1"/>
      </w:rPr>
      <w:tblPr/>
      <w:tcPr>
        <w:tcBorders>
          <w:top w:val="single" w:sz="4" w:space="0" w:color="094975" w:themeColor="accent1"/>
          <w:left w:val="single" w:sz="4" w:space="0" w:color="094975" w:themeColor="accent1"/>
          <w:bottom w:val="single" w:sz="4" w:space="0" w:color="094975" w:themeColor="accent1"/>
          <w:right w:val="single" w:sz="4" w:space="0" w:color="094975" w:themeColor="accent1"/>
          <w:insideH w:val="nil"/>
          <w:insideV w:val="nil"/>
        </w:tcBorders>
        <w:shd w:val="clear" w:color="auto" w:fill="094975" w:themeFill="accent1"/>
      </w:tcPr>
    </w:tblStylePr>
    <w:tblStylePr w:type="lastRow">
      <w:rPr>
        <w:b/>
        <w:bCs/>
      </w:rPr>
      <w:tblPr/>
      <w:tcPr>
        <w:tcBorders>
          <w:top w:val="double" w:sz="4" w:space="0" w:color="094975" w:themeColor="accent1"/>
        </w:tcBorders>
      </w:tcPr>
    </w:tblStylePr>
    <w:tblStylePr w:type="firstCol">
      <w:rPr>
        <w:b/>
        <w:bCs/>
      </w:rPr>
    </w:tblStylePr>
    <w:tblStylePr w:type="lastCol">
      <w:rPr>
        <w:b/>
        <w:bCs/>
      </w:rPr>
    </w:tblStylePr>
    <w:tblStylePr w:type="band1Vert">
      <w:tblPr/>
      <w:tcPr>
        <w:shd w:val="clear" w:color="auto" w:fill="B7DEF9" w:themeFill="accent1" w:themeFillTint="33"/>
      </w:tcPr>
    </w:tblStylePr>
    <w:tblStylePr w:type="band1Horz">
      <w:tblPr/>
      <w:tcPr>
        <w:shd w:val="clear" w:color="auto" w:fill="B7DEF9" w:themeFill="accent1" w:themeFillTint="33"/>
      </w:tcPr>
    </w:tblStylePr>
  </w:style>
  <w:style w:type="character" w:customStyle="1" w:styleId="markedcontent">
    <w:name w:val="markedcontent"/>
    <w:basedOn w:val="DefaultParagraphFont"/>
    <w:rsid w:val="004D3198"/>
  </w:style>
  <w:style w:type="paragraph" w:styleId="ListBullet">
    <w:name w:val="List Bullet"/>
    <w:basedOn w:val="BodyText"/>
    <w:qFormat/>
    <w:rsid w:val="00360341"/>
    <w:pPr>
      <w:numPr>
        <w:numId w:val="24"/>
      </w:numPr>
      <w:spacing w:line="320" w:lineRule="atLeast"/>
    </w:pPr>
    <w:rPr>
      <w:rFonts w:ascii="Times New Roman" w:eastAsia="Times New Roman" w:hAnsi="Times New Roman" w:cs="Times New Roman"/>
      <w:kern w:val="24"/>
      <w:sz w:val="22"/>
    </w:rPr>
  </w:style>
  <w:style w:type="paragraph" w:styleId="ListBullet3">
    <w:name w:val="List Bullet 3"/>
    <w:basedOn w:val="ListBullet2"/>
    <w:qFormat/>
    <w:rsid w:val="00360341"/>
    <w:pPr>
      <w:numPr>
        <w:ilvl w:val="2"/>
      </w:numPr>
      <w:tabs>
        <w:tab w:val="clear" w:pos="1080"/>
        <w:tab w:val="num" w:pos="360"/>
      </w:tabs>
      <w:ind w:left="2160" w:hanging="180"/>
    </w:pPr>
    <w:rPr>
      <w:kern w:val="0"/>
      <w:szCs w:val="20"/>
    </w:rPr>
  </w:style>
  <w:style w:type="paragraph" w:styleId="ListBullet4">
    <w:name w:val="List Bullet 4"/>
    <w:basedOn w:val="ListBullet3"/>
    <w:rsid w:val="00360341"/>
    <w:pPr>
      <w:numPr>
        <w:ilvl w:val="3"/>
      </w:numPr>
      <w:tabs>
        <w:tab w:val="clear" w:pos="1440"/>
        <w:tab w:val="num" w:pos="360"/>
      </w:tabs>
      <w:ind w:left="2880"/>
    </w:pPr>
  </w:style>
  <w:style w:type="paragraph" w:styleId="ListBullet5">
    <w:name w:val="List Bullet 5"/>
    <w:basedOn w:val="ListBullet4"/>
    <w:autoRedefine/>
    <w:rsid w:val="00360341"/>
    <w:pPr>
      <w:numPr>
        <w:ilvl w:val="4"/>
      </w:numPr>
      <w:tabs>
        <w:tab w:val="clear" w:pos="1800"/>
        <w:tab w:val="num" w:pos="360"/>
      </w:tabs>
      <w:ind w:left="3600"/>
    </w:pPr>
  </w:style>
  <w:style w:type="paragraph" w:styleId="ListBullet2">
    <w:name w:val="List Bullet 2"/>
    <w:basedOn w:val="ListBullet"/>
    <w:rsid w:val="00360341"/>
    <w:pPr>
      <w:numPr>
        <w:ilvl w:val="1"/>
      </w:numPr>
      <w:tabs>
        <w:tab w:val="clear" w:pos="720"/>
        <w:tab w:val="num" w:pos="360"/>
      </w:tabs>
      <w:ind w:left="1440"/>
    </w:pPr>
  </w:style>
  <w:style w:type="numbering" w:customStyle="1" w:styleId="Listbullets">
    <w:name w:val="List bullets"/>
    <w:uiPriority w:val="99"/>
    <w:rsid w:val="00360341"/>
    <w:pPr>
      <w:numPr>
        <w:numId w:val="24"/>
      </w:numPr>
    </w:pPr>
  </w:style>
  <w:style w:type="paragraph" w:styleId="BodyText">
    <w:name w:val="Body Text"/>
    <w:basedOn w:val="Normal"/>
    <w:link w:val="BodyTextChar"/>
    <w:uiPriority w:val="99"/>
    <w:semiHidden/>
    <w:unhideWhenUsed/>
    <w:rsid w:val="00360341"/>
    <w:pPr>
      <w:spacing w:after="120"/>
    </w:pPr>
  </w:style>
  <w:style w:type="character" w:customStyle="1" w:styleId="BodyTextChar">
    <w:name w:val="Body Text Char"/>
    <w:basedOn w:val="DefaultParagraphFont"/>
    <w:link w:val="BodyText"/>
    <w:uiPriority w:val="99"/>
    <w:semiHidden/>
    <w:rsid w:val="00360341"/>
    <w:rPr>
      <w:rFonts w:eastAsiaTheme="minorEastAsia"/>
      <w:sz w:val="24"/>
      <w:szCs w:val="24"/>
    </w:rPr>
  </w:style>
  <w:style w:type="character" w:customStyle="1" w:styleId="Heading1Char">
    <w:name w:val="Heading 1 Char"/>
    <w:basedOn w:val="DefaultParagraphFont"/>
    <w:link w:val="Heading1"/>
    <w:uiPriority w:val="9"/>
    <w:rsid w:val="009C0C39"/>
    <w:rPr>
      <w:rFonts w:ascii="Franklin Gothic Demi" w:eastAsiaTheme="majorEastAsia" w:hAnsi="Franklin Gothic Demi" w:cstheme="majorBidi"/>
      <w:caps/>
      <w:color w:val="094975" w:themeColor="accent1"/>
      <w:sz w:val="28"/>
      <w:szCs w:val="32"/>
    </w:rPr>
  </w:style>
  <w:style w:type="character" w:customStyle="1" w:styleId="Heading2Char">
    <w:name w:val="Heading 2 Char"/>
    <w:basedOn w:val="DefaultParagraphFont"/>
    <w:link w:val="Heading2"/>
    <w:uiPriority w:val="9"/>
    <w:rsid w:val="00EC1B46"/>
    <w:rPr>
      <w:rFonts w:ascii="Franklin Gothic Demi" w:eastAsiaTheme="majorEastAsia" w:hAnsi="Franklin Gothic Demi" w:cstheme="majorBidi"/>
      <w:caps/>
      <w:color w:val="063657" w:themeColor="accent1" w:themeShade="BF"/>
      <w:sz w:val="26"/>
      <w:szCs w:val="26"/>
    </w:rPr>
  </w:style>
  <w:style w:type="table" w:styleId="ListTable4-Accent3">
    <w:name w:val="List Table 4 Accent 3"/>
    <w:basedOn w:val="TableNormal"/>
    <w:uiPriority w:val="49"/>
    <w:rsid w:val="00F446C7"/>
    <w:pPr>
      <w:spacing w:after="0" w:line="240" w:lineRule="auto"/>
    </w:pPr>
    <w:tblPr>
      <w:tblStyleRowBandSize w:val="1"/>
      <w:tblStyleColBandSize w:val="1"/>
      <w:tblBorders>
        <w:top w:val="single" w:sz="4" w:space="0" w:color="FCC979" w:themeColor="accent3" w:themeTint="99"/>
        <w:left w:val="single" w:sz="4" w:space="0" w:color="FCC979" w:themeColor="accent3" w:themeTint="99"/>
        <w:bottom w:val="single" w:sz="4" w:space="0" w:color="FCC979" w:themeColor="accent3" w:themeTint="99"/>
        <w:right w:val="single" w:sz="4" w:space="0" w:color="FCC979" w:themeColor="accent3" w:themeTint="99"/>
        <w:insideH w:val="single" w:sz="4" w:space="0" w:color="FCC979" w:themeColor="accent3" w:themeTint="99"/>
      </w:tblBorders>
    </w:tblPr>
    <w:tblStylePr w:type="firstRow">
      <w:rPr>
        <w:b/>
        <w:bCs/>
        <w:color w:val="FFFFFF" w:themeColor="background1"/>
      </w:rPr>
      <w:tblPr/>
      <w:tcPr>
        <w:tcBorders>
          <w:top w:val="single" w:sz="4" w:space="0" w:color="FAA721" w:themeColor="accent3"/>
          <w:left w:val="single" w:sz="4" w:space="0" w:color="FAA721" w:themeColor="accent3"/>
          <w:bottom w:val="single" w:sz="4" w:space="0" w:color="FAA721" w:themeColor="accent3"/>
          <w:right w:val="single" w:sz="4" w:space="0" w:color="FAA721" w:themeColor="accent3"/>
          <w:insideH w:val="nil"/>
        </w:tcBorders>
        <w:shd w:val="clear" w:color="auto" w:fill="FAA721" w:themeFill="accent3"/>
      </w:tcPr>
    </w:tblStylePr>
    <w:tblStylePr w:type="lastRow">
      <w:rPr>
        <w:b/>
        <w:bCs/>
      </w:rPr>
      <w:tblPr/>
      <w:tcPr>
        <w:tcBorders>
          <w:top w:val="double" w:sz="4" w:space="0" w:color="FCC979" w:themeColor="accent3" w:themeTint="99"/>
        </w:tcBorders>
      </w:tcPr>
    </w:tblStylePr>
    <w:tblStylePr w:type="firstCol">
      <w:rPr>
        <w:b/>
        <w:bCs/>
      </w:rPr>
    </w:tblStylePr>
    <w:tblStylePr w:type="lastCol">
      <w:rPr>
        <w:b/>
        <w:bCs/>
      </w:rPr>
    </w:tblStylePr>
    <w:tblStylePr w:type="band1Vert">
      <w:tblPr/>
      <w:tcPr>
        <w:shd w:val="clear" w:color="auto" w:fill="FEEDD2" w:themeFill="accent3" w:themeFillTint="33"/>
      </w:tcPr>
    </w:tblStylePr>
    <w:tblStylePr w:type="band1Horz">
      <w:tblPr/>
      <w:tcPr>
        <w:shd w:val="clear" w:color="auto" w:fill="FEEDD2"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0988">
      <w:bodyDiv w:val="1"/>
      <w:marLeft w:val="0"/>
      <w:marRight w:val="0"/>
      <w:marTop w:val="0"/>
      <w:marBottom w:val="0"/>
      <w:divBdr>
        <w:top w:val="none" w:sz="0" w:space="0" w:color="auto"/>
        <w:left w:val="none" w:sz="0" w:space="0" w:color="auto"/>
        <w:bottom w:val="none" w:sz="0" w:space="0" w:color="auto"/>
        <w:right w:val="none" w:sz="0" w:space="0" w:color="auto"/>
      </w:divBdr>
      <w:divsChild>
        <w:div w:id="665985103">
          <w:marLeft w:val="0"/>
          <w:marRight w:val="0"/>
          <w:marTop w:val="0"/>
          <w:marBottom w:val="0"/>
          <w:divBdr>
            <w:top w:val="none" w:sz="0" w:space="0" w:color="auto"/>
            <w:left w:val="none" w:sz="0" w:space="0" w:color="auto"/>
            <w:bottom w:val="none" w:sz="0" w:space="0" w:color="auto"/>
            <w:right w:val="none" w:sz="0" w:space="0" w:color="auto"/>
          </w:divBdr>
          <w:divsChild>
            <w:div w:id="782311540">
              <w:marLeft w:val="0"/>
              <w:marRight w:val="0"/>
              <w:marTop w:val="0"/>
              <w:marBottom w:val="0"/>
              <w:divBdr>
                <w:top w:val="none" w:sz="0" w:space="0" w:color="auto"/>
                <w:left w:val="none" w:sz="0" w:space="0" w:color="auto"/>
                <w:bottom w:val="none" w:sz="0" w:space="0" w:color="auto"/>
                <w:right w:val="none" w:sz="0" w:space="0" w:color="auto"/>
              </w:divBdr>
              <w:divsChild>
                <w:div w:id="568661492">
                  <w:marLeft w:val="0"/>
                  <w:marRight w:val="0"/>
                  <w:marTop w:val="0"/>
                  <w:marBottom w:val="0"/>
                  <w:divBdr>
                    <w:top w:val="none" w:sz="0" w:space="0" w:color="auto"/>
                    <w:left w:val="none" w:sz="0" w:space="0" w:color="auto"/>
                    <w:bottom w:val="none" w:sz="0" w:space="0" w:color="auto"/>
                    <w:right w:val="none" w:sz="0" w:space="0" w:color="auto"/>
                  </w:divBdr>
                  <w:divsChild>
                    <w:div w:id="1378703654">
                      <w:marLeft w:val="0"/>
                      <w:marRight w:val="0"/>
                      <w:marTop w:val="0"/>
                      <w:marBottom w:val="0"/>
                      <w:divBdr>
                        <w:top w:val="none" w:sz="0" w:space="0" w:color="auto"/>
                        <w:left w:val="none" w:sz="0" w:space="0" w:color="auto"/>
                        <w:bottom w:val="none" w:sz="0" w:space="0" w:color="auto"/>
                        <w:right w:val="none" w:sz="0" w:space="0" w:color="auto"/>
                      </w:divBdr>
                      <w:divsChild>
                        <w:div w:id="1269583356">
                          <w:marLeft w:val="0"/>
                          <w:marRight w:val="0"/>
                          <w:marTop w:val="0"/>
                          <w:marBottom w:val="0"/>
                          <w:divBdr>
                            <w:top w:val="none" w:sz="0" w:space="0" w:color="auto"/>
                            <w:left w:val="none" w:sz="0" w:space="0" w:color="auto"/>
                            <w:bottom w:val="none" w:sz="0" w:space="0" w:color="auto"/>
                            <w:right w:val="none" w:sz="0" w:space="0" w:color="auto"/>
                          </w:divBdr>
                          <w:divsChild>
                            <w:div w:id="847213992">
                              <w:marLeft w:val="0"/>
                              <w:marRight w:val="0"/>
                              <w:marTop w:val="0"/>
                              <w:marBottom w:val="0"/>
                              <w:divBdr>
                                <w:top w:val="none" w:sz="0" w:space="0" w:color="auto"/>
                                <w:left w:val="none" w:sz="0" w:space="0" w:color="auto"/>
                                <w:bottom w:val="none" w:sz="0" w:space="0" w:color="auto"/>
                                <w:right w:val="none" w:sz="0" w:space="0" w:color="auto"/>
                              </w:divBdr>
                              <w:divsChild>
                                <w:div w:id="9504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66641">
              <w:marLeft w:val="0"/>
              <w:marRight w:val="0"/>
              <w:marTop w:val="0"/>
              <w:marBottom w:val="0"/>
              <w:divBdr>
                <w:top w:val="none" w:sz="0" w:space="0" w:color="auto"/>
                <w:left w:val="none" w:sz="0" w:space="0" w:color="auto"/>
                <w:bottom w:val="none" w:sz="0" w:space="0" w:color="auto"/>
                <w:right w:val="none" w:sz="0" w:space="0" w:color="auto"/>
              </w:divBdr>
            </w:div>
            <w:div w:id="168493587">
              <w:marLeft w:val="0"/>
              <w:marRight w:val="0"/>
              <w:marTop w:val="0"/>
              <w:marBottom w:val="0"/>
              <w:divBdr>
                <w:top w:val="none" w:sz="0" w:space="0" w:color="auto"/>
                <w:left w:val="none" w:sz="0" w:space="0" w:color="auto"/>
                <w:bottom w:val="none" w:sz="0" w:space="0" w:color="auto"/>
                <w:right w:val="none" w:sz="0" w:space="0" w:color="auto"/>
              </w:divBdr>
              <w:divsChild>
                <w:div w:id="1971856317">
                  <w:marLeft w:val="0"/>
                  <w:marRight w:val="0"/>
                  <w:marTop w:val="0"/>
                  <w:marBottom w:val="0"/>
                  <w:divBdr>
                    <w:top w:val="none" w:sz="0" w:space="0" w:color="auto"/>
                    <w:left w:val="none" w:sz="0" w:space="0" w:color="auto"/>
                    <w:bottom w:val="none" w:sz="0" w:space="0" w:color="auto"/>
                    <w:right w:val="none" w:sz="0" w:space="0" w:color="auto"/>
                  </w:divBdr>
                  <w:divsChild>
                    <w:div w:id="153226567">
                      <w:marLeft w:val="0"/>
                      <w:marRight w:val="0"/>
                      <w:marTop w:val="0"/>
                      <w:marBottom w:val="0"/>
                      <w:divBdr>
                        <w:top w:val="none" w:sz="0" w:space="0" w:color="auto"/>
                        <w:left w:val="none" w:sz="0" w:space="0" w:color="auto"/>
                        <w:bottom w:val="none" w:sz="0" w:space="0" w:color="auto"/>
                        <w:right w:val="none" w:sz="0" w:space="0" w:color="auto"/>
                      </w:divBdr>
                      <w:divsChild>
                        <w:div w:id="723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5933">
      <w:bodyDiv w:val="1"/>
      <w:marLeft w:val="0"/>
      <w:marRight w:val="0"/>
      <w:marTop w:val="0"/>
      <w:marBottom w:val="0"/>
      <w:divBdr>
        <w:top w:val="none" w:sz="0" w:space="0" w:color="auto"/>
        <w:left w:val="none" w:sz="0" w:space="0" w:color="auto"/>
        <w:bottom w:val="none" w:sz="0" w:space="0" w:color="auto"/>
        <w:right w:val="none" w:sz="0" w:space="0" w:color="auto"/>
      </w:divBdr>
      <w:divsChild>
        <w:div w:id="1142891326">
          <w:marLeft w:val="0"/>
          <w:marRight w:val="0"/>
          <w:marTop w:val="0"/>
          <w:marBottom w:val="0"/>
          <w:divBdr>
            <w:top w:val="none" w:sz="0" w:space="0" w:color="auto"/>
            <w:left w:val="none" w:sz="0" w:space="0" w:color="auto"/>
            <w:bottom w:val="none" w:sz="0" w:space="0" w:color="auto"/>
            <w:right w:val="none" w:sz="0" w:space="0" w:color="auto"/>
          </w:divBdr>
        </w:div>
      </w:divsChild>
    </w:div>
    <w:div w:id="125124161">
      <w:bodyDiv w:val="1"/>
      <w:marLeft w:val="0"/>
      <w:marRight w:val="0"/>
      <w:marTop w:val="0"/>
      <w:marBottom w:val="0"/>
      <w:divBdr>
        <w:top w:val="none" w:sz="0" w:space="0" w:color="auto"/>
        <w:left w:val="none" w:sz="0" w:space="0" w:color="auto"/>
        <w:bottom w:val="none" w:sz="0" w:space="0" w:color="auto"/>
        <w:right w:val="none" w:sz="0" w:space="0" w:color="auto"/>
      </w:divBdr>
    </w:div>
    <w:div w:id="379325992">
      <w:bodyDiv w:val="1"/>
      <w:marLeft w:val="0"/>
      <w:marRight w:val="0"/>
      <w:marTop w:val="0"/>
      <w:marBottom w:val="0"/>
      <w:divBdr>
        <w:top w:val="none" w:sz="0" w:space="0" w:color="auto"/>
        <w:left w:val="none" w:sz="0" w:space="0" w:color="auto"/>
        <w:bottom w:val="none" w:sz="0" w:space="0" w:color="auto"/>
        <w:right w:val="none" w:sz="0" w:space="0" w:color="auto"/>
      </w:divBdr>
    </w:div>
    <w:div w:id="382101605">
      <w:bodyDiv w:val="1"/>
      <w:marLeft w:val="0"/>
      <w:marRight w:val="0"/>
      <w:marTop w:val="0"/>
      <w:marBottom w:val="0"/>
      <w:divBdr>
        <w:top w:val="none" w:sz="0" w:space="0" w:color="auto"/>
        <w:left w:val="none" w:sz="0" w:space="0" w:color="auto"/>
        <w:bottom w:val="none" w:sz="0" w:space="0" w:color="auto"/>
        <w:right w:val="none" w:sz="0" w:space="0" w:color="auto"/>
      </w:divBdr>
    </w:div>
    <w:div w:id="412120149">
      <w:bodyDiv w:val="1"/>
      <w:marLeft w:val="0"/>
      <w:marRight w:val="0"/>
      <w:marTop w:val="0"/>
      <w:marBottom w:val="0"/>
      <w:divBdr>
        <w:top w:val="none" w:sz="0" w:space="0" w:color="auto"/>
        <w:left w:val="none" w:sz="0" w:space="0" w:color="auto"/>
        <w:bottom w:val="none" w:sz="0" w:space="0" w:color="auto"/>
        <w:right w:val="none" w:sz="0" w:space="0" w:color="auto"/>
      </w:divBdr>
    </w:div>
    <w:div w:id="455293910">
      <w:bodyDiv w:val="1"/>
      <w:marLeft w:val="0"/>
      <w:marRight w:val="0"/>
      <w:marTop w:val="0"/>
      <w:marBottom w:val="0"/>
      <w:divBdr>
        <w:top w:val="none" w:sz="0" w:space="0" w:color="auto"/>
        <w:left w:val="none" w:sz="0" w:space="0" w:color="auto"/>
        <w:bottom w:val="none" w:sz="0" w:space="0" w:color="auto"/>
        <w:right w:val="none" w:sz="0" w:space="0" w:color="auto"/>
      </w:divBdr>
      <w:divsChild>
        <w:div w:id="1348210780">
          <w:marLeft w:val="0"/>
          <w:marRight w:val="0"/>
          <w:marTop w:val="0"/>
          <w:marBottom w:val="0"/>
          <w:divBdr>
            <w:top w:val="none" w:sz="0" w:space="0" w:color="auto"/>
            <w:left w:val="none" w:sz="0" w:space="0" w:color="auto"/>
            <w:bottom w:val="none" w:sz="0" w:space="0" w:color="auto"/>
            <w:right w:val="none" w:sz="0" w:space="0" w:color="auto"/>
          </w:divBdr>
        </w:div>
      </w:divsChild>
    </w:div>
    <w:div w:id="522286080">
      <w:bodyDiv w:val="1"/>
      <w:marLeft w:val="0"/>
      <w:marRight w:val="0"/>
      <w:marTop w:val="0"/>
      <w:marBottom w:val="0"/>
      <w:divBdr>
        <w:top w:val="none" w:sz="0" w:space="0" w:color="auto"/>
        <w:left w:val="none" w:sz="0" w:space="0" w:color="auto"/>
        <w:bottom w:val="none" w:sz="0" w:space="0" w:color="auto"/>
        <w:right w:val="none" w:sz="0" w:space="0" w:color="auto"/>
      </w:divBdr>
      <w:divsChild>
        <w:div w:id="2022469030">
          <w:marLeft w:val="0"/>
          <w:marRight w:val="0"/>
          <w:marTop w:val="0"/>
          <w:marBottom w:val="0"/>
          <w:divBdr>
            <w:top w:val="none" w:sz="0" w:space="0" w:color="auto"/>
            <w:left w:val="none" w:sz="0" w:space="0" w:color="auto"/>
            <w:bottom w:val="none" w:sz="0" w:space="0" w:color="auto"/>
            <w:right w:val="none" w:sz="0" w:space="0" w:color="auto"/>
          </w:divBdr>
        </w:div>
      </w:divsChild>
    </w:div>
    <w:div w:id="570968898">
      <w:bodyDiv w:val="1"/>
      <w:marLeft w:val="0"/>
      <w:marRight w:val="0"/>
      <w:marTop w:val="0"/>
      <w:marBottom w:val="0"/>
      <w:divBdr>
        <w:top w:val="none" w:sz="0" w:space="0" w:color="auto"/>
        <w:left w:val="none" w:sz="0" w:space="0" w:color="auto"/>
        <w:bottom w:val="none" w:sz="0" w:space="0" w:color="auto"/>
        <w:right w:val="none" w:sz="0" w:space="0" w:color="auto"/>
      </w:divBdr>
      <w:divsChild>
        <w:div w:id="646864753">
          <w:marLeft w:val="547"/>
          <w:marRight w:val="0"/>
          <w:marTop w:val="120"/>
          <w:marBottom w:val="0"/>
          <w:divBdr>
            <w:top w:val="none" w:sz="0" w:space="0" w:color="auto"/>
            <w:left w:val="none" w:sz="0" w:space="0" w:color="auto"/>
            <w:bottom w:val="none" w:sz="0" w:space="0" w:color="auto"/>
            <w:right w:val="none" w:sz="0" w:space="0" w:color="auto"/>
          </w:divBdr>
        </w:div>
        <w:div w:id="901057692">
          <w:marLeft w:val="547"/>
          <w:marRight w:val="0"/>
          <w:marTop w:val="120"/>
          <w:marBottom w:val="0"/>
          <w:divBdr>
            <w:top w:val="none" w:sz="0" w:space="0" w:color="auto"/>
            <w:left w:val="none" w:sz="0" w:space="0" w:color="auto"/>
            <w:bottom w:val="none" w:sz="0" w:space="0" w:color="auto"/>
            <w:right w:val="none" w:sz="0" w:space="0" w:color="auto"/>
          </w:divBdr>
        </w:div>
        <w:div w:id="1806316573">
          <w:marLeft w:val="547"/>
          <w:marRight w:val="0"/>
          <w:marTop w:val="120"/>
          <w:marBottom w:val="0"/>
          <w:divBdr>
            <w:top w:val="none" w:sz="0" w:space="0" w:color="auto"/>
            <w:left w:val="none" w:sz="0" w:space="0" w:color="auto"/>
            <w:bottom w:val="none" w:sz="0" w:space="0" w:color="auto"/>
            <w:right w:val="none" w:sz="0" w:space="0" w:color="auto"/>
          </w:divBdr>
        </w:div>
      </w:divsChild>
    </w:div>
    <w:div w:id="690297949">
      <w:bodyDiv w:val="1"/>
      <w:marLeft w:val="0"/>
      <w:marRight w:val="0"/>
      <w:marTop w:val="0"/>
      <w:marBottom w:val="0"/>
      <w:divBdr>
        <w:top w:val="none" w:sz="0" w:space="0" w:color="auto"/>
        <w:left w:val="none" w:sz="0" w:space="0" w:color="auto"/>
        <w:bottom w:val="none" w:sz="0" w:space="0" w:color="auto"/>
        <w:right w:val="none" w:sz="0" w:space="0" w:color="auto"/>
      </w:divBdr>
      <w:divsChild>
        <w:div w:id="1295410501">
          <w:marLeft w:val="0"/>
          <w:marRight w:val="0"/>
          <w:marTop w:val="0"/>
          <w:marBottom w:val="0"/>
          <w:divBdr>
            <w:top w:val="none" w:sz="0" w:space="0" w:color="auto"/>
            <w:left w:val="none" w:sz="0" w:space="0" w:color="auto"/>
            <w:bottom w:val="none" w:sz="0" w:space="0" w:color="auto"/>
            <w:right w:val="none" w:sz="0" w:space="0" w:color="auto"/>
          </w:divBdr>
        </w:div>
      </w:divsChild>
    </w:div>
    <w:div w:id="703483937">
      <w:bodyDiv w:val="1"/>
      <w:marLeft w:val="0"/>
      <w:marRight w:val="0"/>
      <w:marTop w:val="0"/>
      <w:marBottom w:val="0"/>
      <w:divBdr>
        <w:top w:val="none" w:sz="0" w:space="0" w:color="auto"/>
        <w:left w:val="none" w:sz="0" w:space="0" w:color="auto"/>
        <w:bottom w:val="none" w:sz="0" w:space="0" w:color="auto"/>
        <w:right w:val="none" w:sz="0" w:space="0" w:color="auto"/>
      </w:divBdr>
      <w:divsChild>
        <w:div w:id="531261562">
          <w:marLeft w:val="547"/>
          <w:marRight w:val="0"/>
          <w:marTop w:val="120"/>
          <w:marBottom w:val="0"/>
          <w:divBdr>
            <w:top w:val="none" w:sz="0" w:space="0" w:color="auto"/>
            <w:left w:val="none" w:sz="0" w:space="0" w:color="auto"/>
            <w:bottom w:val="none" w:sz="0" w:space="0" w:color="auto"/>
            <w:right w:val="none" w:sz="0" w:space="0" w:color="auto"/>
          </w:divBdr>
        </w:div>
        <w:div w:id="786434400">
          <w:marLeft w:val="547"/>
          <w:marRight w:val="0"/>
          <w:marTop w:val="120"/>
          <w:marBottom w:val="0"/>
          <w:divBdr>
            <w:top w:val="none" w:sz="0" w:space="0" w:color="auto"/>
            <w:left w:val="none" w:sz="0" w:space="0" w:color="auto"/>
            <w:bottom w:val="none" w:sz="0" w:space="0" w:color="auto"/>
            <w:right w:val="none" w:sz="0" w:space="0" w:color="auto"/>
          </w:divBdr>
        </w:div>
        <w:div w:id="2112191792">
          <w:marLeft w:val="547"/>
          <w:marRight w:val="0"/>
          <w:marTop w:val="120"/>
          <w:marBottom w:val="0"/>
          <w:divBdr>
            <w:top w:val="none" w:sz="0" w:space="0" w:color="auto"/>
            <w:left w:val="none" w:sz="0" w:space="0" w:color="auto"/>
            <w:bottom w:val="none" w:sz="0" w:space="0" w:color="auto"/>
            <w:right w:val="none" w:sz="0" w:space="0" w:color="auto"/>
          </w:divBdr>
        </w:div>
      </w:divsChild>
    </w:div>
    <w:div w:id="781340807">
      <w:bodyDiv w:val="1"/>
      <w:marLeft w:val="0"/>
      <w:marRight w:val="0"/>
      <w:marTop w:val="0"/>
      <w:marBottom w:val="0"/>
      <w:divBdr>
        <w:top w:val="none" w:sz="0" w:space="0" w:color="auto"/>
        <w:left w:val="none" w:sz="0" w:space="0" w:color="auto"/>
        <w:bottom w:val="none" w:sz="0" w:space="0" w:color="auto"/>
        <w:right w:val="none" w:sz="0" w:space="0" w:color="auto"/>
      </w:divBdr>
    </w:div>
    <w:div w:id="809833990">
      <w:bodyDiv w:val="1"/>
      <w:marLeft w:val="0"/>
      <w:marRight w:val="0"/>
      <w:marTop w:val="0"/>
      <w:marBottom w:val="0"/>
      <w:divBdr>
        <w:top w:val="none" w:sz="0" w:space="0" w:color="auto"/>
        <w:left w:val="none" w:sz="0" w:space="0" w:color="auto"/>
        <w:bottom w:val="none" w:sz="0" w:space="0" w:color="auto"/>
        <w:right w:val="none" w:sz="0" w:space="0" w:color="auto"/>
      </w:divBdr>
    </w:div>
    <w:div w:id="1036271320">
      <w:bodyDiv w:val="1"/>
      <w:marLeft w:val="0"/>
      <w:marRight w:val="0"/>
      <w:marTop w:val="0"/>
      <w:marBottom w:val="0"/>
      <w:divBdr>
        <w:top w:val="none" w:sz="0" w:space="0" w:color="auto"/>
        <w:left w:val="none" w:sz="0" w:space="0" w:color="auto"/>
        <w:bottom w:val="none" w:sz="0" w:space="0" w:color="auto"/>
        <w:right w:val="none" w:sz="0" w:space="0" w:color="auto"/>
      </w:divBdr>
      <w:divsChild>
        <w:div w:id="1475372931">
          <w:marLeft w:val="0"/>
          <w:marRight w:val="0"/>
          <w:marTop w:val="0"/>
          <w:marBottom w:val="0"/>
          <w:divBdr>
            <w:top w:val="none" w:sz="0" w:space="0" w:color="auto"/>
            <w:left w:val="none" w:sz="0" w:space="0" w:color="auto"/>
            <w:bottom w:val="none" w:sz="0" w:space="0" w:color="auto"/>
            <w:right w:val="none" w:sz="0" w:space="0" w:color="auto"/>
          </w:divBdr>
        </w:div>
      </w:divsChild>
    </w:div>
    <w:div w:id="1052466602">
      <w:bodyDiv w:val="1"/>
      <w:marLeft w:val="0"/>
      <w:marRight w:val="0"/>
      <w:marTop w:val="0"/>
      <w:marBottom w:val="0"/>
      <w:divBdr>
        <w:top w:val="none" w:sz="0" w:space="0" w:color="auto"/>
        <w:left w:val="none" w:sz="0" w:space="0" w:color="auto"/>
        <w:bottom w:val="none" w:sz="0" w:space="0" w:color="auto"/>
        <w:right w:val="none" w:sz="0" w:space="0" w:color="auto"/>
      </w:divBdr>
    </w:div>
    <w:div w:id="1109010421">
      <w:bodyDiv w:val="1"/>
      <w:marLeft w:val="0"/>
      <w:marRight w:val="0"/>
      <w:marTop w:val="0"/>
      <w:marBottom w:val="0"/>
      <w:divBdr>
        <w:top w:val="none" w:sz="0" w:space="0" w:color="auto"/>
        <w:left w:val="none" w:sz="0" w:space="0" w:color="auto"/>
        <w:bottom w:val="none" w:sz="0" w:space="0" w:color="auto"/>
        <w:right w:val="none" w:sz="0" w:space="0" w:color="auto"/>
      </w:divBdr>
      <w:divsChild>
        <w:div w:id="40831093">
          <w:marLeft w:val="547"/>
          <w:marRight w:val="0"/>
          <w:marTop w:val="120"/>
          <w:marBottom w:val="0"/>
          <w:divBdr>
            <w:top w:val="none" w:sz="0" w:space="0" w:color="auto"/>
            <w:left w:val="none" w:sz="0" w:space="0" w:color="auto"/>
            <w:bottom w:val="none" w:sz="0" w:space="0" w:color="auto"/>
            <w:right w:val="none" w:sz="0" w:space="0" w:color="auto"/>
          </w:divBdr>
        </w:div>
        <w:div w:id="238834325">
          <w:marLeft w:val="547"/>
          <w:marRight w:val="0"/>
          <w:marTop w:val="120"/>
          <w:marBottom w:val="0"/>
          <w:divBdr>
            <w:top w:val="none" w:sz="0" w:space="0" w:color="auto"/>
            <w:left w:val="none" w:sz="0" w:space="0" w:color="auto"/>
            <w:bottom w:val="none" w:sz="0" w:space="0" w:color="auto"/>
            <w:right w:val="none" w:sz="0" w:space="0" w:color="auto"/>
          </w:divBdr>
        </w:div>
        <w:div w:id="783577328">
          <w:marLeft w:val="547"/>
          <w:marRight w:val="0"/>
          <w:marTop w:val="120"/>
          <w:marBottom w:val="0"/>
          <w:divBdr>
            <w:top w:val="none" w:sz="0" w:space="0" w:color="auto"/>
            <w:left w:val="none" w:sz="0" w:space="0" w:color="auto"/>
            <w:bottom w:val="none" w:sz="0" w:space="0" w:color="auto"/>
            <w:right w:val="none" w:sz="0" w:space="0" w:color="auto"/>
          </w:divBdr>
        </w:div>
        <w:div w:id="1482304559">
          <w:marLeft w:val="547"/>
          <w:marRight w:val="0"/>
          <w:marTop w:val="120"/>
          <w:marBottom w:val="0"/>
          <w:divBdr>
            <w:top w:val="none" w:sz="0" w:space="0" w:color="auto"/>
            <w:left w:val="none" w:sz="0" w:space="0" w:color="auto"/>
            <w:bottom w:val="none" w:sz="0" w:space="0" w:color="auto"/>
            <w:right w:val="none" w:sz="0" w:space="0" w:color="auto"/>
          </w:divBdr>
        </w:div>
      </w:divsChild>
    </w:div>
    <w:div w:id="1218007191">
      <w:bodyDiv w:val="1"/>
      <w:marLeft w:val="0"/>
      <w:marRight w:val="0"/>
      <w:marTop w:val="0"/>
      <w:marBottom w:val="0"/>
      <w:divBdr>
        <w:top w:val="none" w:sz="0" w:space="0" w:color="auto"/>
        <w:left w:val="none" w:sz="0" w:space="0" w:color="auto"/>
        <w:bottom w:val="none" w:sz="0" w:space="0" w:color="auto"/>
        <w:right w:val="none" w:sz="0" w:space="0" w:color="auto"/>
      </w:divBdr>
    </w:div>
    <w:div w:id="1329291209">
      <w:bodyDiv w:val="1"/>
      <w:marLeft w:val="0"/>
      <w:marRight w:val="0"/>
      <w:marTop w:val="0"/>
      <w:marBottom w:val="0"/>
      <w:divBdr>
        <w:top w:val="none" w:sz="0" w:space="0" w:color="auto"/>
        <w:left w:val="none" w:sz="0" w:space="0" w:color="auto"/>
        <w:bottom w:val="none" w:sz="0" w:space="0" w:color="auto"/>
        <w:right w:val="none" w:sz="0" w:space="0" w:color="auto"/>
      </w:divBdr>
    </w:div>
    <w:div w:id="1368680420">
      <w:bodyDiv w:val="1"/>
      <w:marLeft w:val="0"/>
      <w:marRight w:val="0"/>
      <w:marTop w:val="0"/>
      <w:marBottom w:val="0"/>
      <w:divBdr>
        <w:top w:val="none" w:sz="0" w:space="0" w:color="auto"/>
        <w:left w:val="none" w:sz="0" w:space="0" w:color="auto"/>
        <w:bottom w:val="none" w:sz="0" w:space="0" w:color="auto"/>
        <w:right w:val="none" w:sz="0" w:space="0" w:color="auto"/>
      </w:divBdr>
    </w:div>
    <w:div w:id="1410233857">
      <w:bodyDiv w:val="1"/>
      <w:marLeft w:val="0"/>
      <w:marRight w:val="0"/>
      <w:marTop w:val="0"/>
      <w:marBottom w:val="0"/>
      <w:divBdr>
        <w:top w:val="none" w:sz="0" w:space="0" w:color="auto"/>
        <w:left w:val="none" w:sz="0" w:space="0" w:color="auto"/>
        <w:bottom w:val="none" w:sz="0" w:space="0" w:color="auto"/>
        <w:right w:val="none" w:sz="0" w:space="0" w:color="auto"/>
      </w:divBdr>
    </w:div>
    <w:div w:id="1413505421">
      <w:bodyDiv w:val="1"/>
      <w:marLeft w:val="0"/>
      <w:marRight w:val="0"/>
      <w:marTop w:val="0"/>
      <w:marBottom w:val="0"/>
      <w:divBdr>
        <w:top w:val="none" w:sz="0" w:space="0" w:color="auto"/>
        <w:left w:val="none" w:sz="0" w:space="0" w:color="auto"/>
        <w:bottom w:val="none" w:sz="0" w:space="0" w:color="auto"/>
        <w:right w:val="none" w:sz="0" w:space="0" w:color="auto"/>
      </w:divBdr>
    </w:div>
    <w:div w:id="1452016373">
      <w:bodyDiv w:val="1"/>
      <w:marLeft w:val="0"/>
      <w:marRight w:val="0"/>
      <w:marTop w:val="0"/>
      <w:marBottom w:val="0"/>
      <w:divBdr>
        <w:top w:val="none" w:sz="0" w:space="0" w:color="auto"/>
        <w:left w:val="none" w:sz="0" w:space="0" w:color="auto"/>
        <w:bottom w:val="none" w:sz="0" w:space="0" w:color="auto"/>
        <w:right w:val="none" w:sz="0" w:space="0" w:color="auto"/>
      </w:divBdr>
      <w:divsChild>
        <w:div w:id="749229330">
          <w:marLeft w:val="547"/>
          <w:marRight w:val="0"/>
          <w:marTop w:val="120"/>
          <w:marBottom w:val="0"/>
          <w:divBdr>
            <w:top w:val="none" w:sz="0" w:space="0" w:color="auto"/>
            <w:left w:val="none" w:sz="0" w:space="0" w:color="auto"/>
            <w:bottom w:val="none" w:sz="0" w:space="0" w:color="auto"/>
            <w:right w:val="none" w:sz="0" w:space="0" w:color="auto"/>
          </w:divBdr>
        </w:div>
        <w:div w:id="1231425469">
          <w:marLeft w:val="547"/>
          <w:marRight w:val="0"/>
          <w:marTop w:val="120"/>
          <w:marBottom w:val="0"/>
          <w:divBdr>
            <w:top w:val="none" w:sz="0" w:space="0" w:color="auto"/>
            <w:left w:val="none" w:sz="0" w:space="0" w:color="auto"/>
            <w:bottom w:val="none" w:sz="0" w:space="0" w:color="auto"/>
            <w:right w:val="none" w:sz="0" w:space="0" w:color="auto"/>
          </w:divBdr>
        </w:div>
        <w:div w:id="1373381399">
          <w:marLeft w:val="547"/>
          <w:marRight w:val="0"/>
          <w:marTop w:val="120"/>
          <w:marBottom w:val="0"/>
          <w:divBdr>
            <w:top w:val="none" w:sz="0" w:space="0" w:color="auto"/>
            <w:left w:val="none" w:sz="0" w:space="0" w:color="auto"/>
            <w:bottom w:val="none" w:sz="0" w:space="0" w:color="auto"/>
            <w:right w:val="none" w:sz="0" w:space="0" w:color="auto"/>
          </w:divBdr>
        </w:div>
      </w:divsChild>
    </w:div>
    <w:div w:id="1529903283">
      <w:bodyDiv w:val="1"/>
      <w:marLeft w:val="0"/>
      <w:marRight w:val="0"/>
      <w:marTop w:val="0"/>
      <w:marBottom w:val="0"/>
      <w:divBdr>
        <w:top w:val="none" w:sz="0" w:space="0" w:color="auto"/>
        <w:left w:val="none" w:sz="0" w:space="0" w:color="auto"/>
        <w:bottom w:val="none" w:sz="0" w:space="0" w:color="auto"/>
        <w:right w:val="none" w:sz="0" w:space="0" w:color="auto"/>
      </w:divBdr>
    </w:div>
    <w:div w:id="1701736538">
      <w:bodyDiv w:val="1"/>
      <w:marLeft w:val="0"/>
      <w:marRight w:val="0"/>
      <w:marTop w:val="0"/>
      <w:marBottom w:val="0"/>
      <w:divBdr>
        <w:top w:val="none" w:sz="0" w:space="0" w:color="auto"/>
        <w:left w:val="none" w:sz="0" w:space="0" w:color="auto"/>
        <w:bottom w:val="none" w:sz="0" w:space="0" w:color="auto"/>
        <w:right w:val="none" w:sz="0" w:space="0" w:color="auto"/>
      </w:divBdr>
    </w:div>
    <w:div w:id="1798795312">
      <w:bodyDiv w:val="1"/>
      <w:marLeft w:val="0"/>
      <w:marRight w:val="0"/>
      <w:marTop w:val="0"/>
      <w:marBottom w:val="0"/>
      <w:divBdr>
        <w:top w:val="none" w:sz="0" w:space="0" w:color="auto"/>
        <w:left w:val="none" w:sz="0" w:space="0" w:color="auto"/>
        <w:bottom w:val="none" w:sz="0" w:space="0" w:color="auto"/>
        <w:right w:val="none" w:sz="0" w:space="0" w:color="auto"/>
      </w:divBdr>
      <w:divsChild>
        <w:div w:id="1432776911">
          <w:marLeft w:val="0"/>
          <w:marRight w:val="0"/>
          <w:marTop w:val="0"/>
          <w:marBottom w:val="0"/>
          <w:divBdr>
            <w:top w:val="none" w:sz="0" w:space="0" w:color="auto"/>
            <w:left w:val="none" w:sz="0" w:space="0" w:color="auto"/>
            <w:bottom w:val="none" w:sz="0" w:space="0" w:color="auto"/>
            <w:right w:val="none" w:sz="0" w:space="0" w:color="auto"/>
          </w:divBdr>
          <w:divsChild>
            <w:div w:id="17739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40642">
      <w:bodyDiv w:val="1"/>
      <w:marLeft w:val="0"/>
      <w:marRight w:val="0"/>
      <w:marTop w:val="0"/>
      <w:marBottom w:val="0"/>
      <w:divBdr>
        <w:top w:val="none" w:sz="0" w:space="0" w:color="auto"/>
        <w:left w:val="none" w:sz="0" w:space="0" w:color="auto"/>
        <w:bottom w:val="none" w:sz="0" w:space="0" w:color="auto"/>
        <w:right w:val="none" w:sz="0" w:space="0" w:color="auto"/>
      </w:divBdr>
    </w:div>
    <w:div w:id="2072339308">
      <w:bodyDiv w:val="1"/>
      <w:marLeft w:val="0"/>
      <w:marRight w:val="0"/>
      <w:marTop w:val="0"/>
      <w:marBottom w:val="0"/>
      <w:divBdr>
        <w:top w:val="none" w:sz="0" w:space="0" w:color="auto"/>
        <w:left w:val="none" w:sz="0" w:space="0" w:color="auto"/>
        <w:bottom w:val="none" w:sz="0" w:space="0" w:color="auto"/>
        <w:right w:val="none" w:sz="0" w:space="0" w:color="auto"/>
      </w:divBdr>
    </w:div>
    <w:div w:id="209585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ahrq.gov/sdoh/data-analytics/sdoh-dat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donahue.umass.edu/business-groups/economic-public-policy-research/massachusetts-population-estimates-program/population-projections" TargetMode="Externa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mass.gov/doc/b3-regions-of-massachusetts/download"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mass.gov/doc/final-cmir-report-phs-mee-0/download" TargetMode="External"/><Relationship Id="rId21" Type="http://schemas.openxmlformats.org/officeDocument/2006/relationships/hyperlink" Target="https://www.mass.gov/info-details/don-completed-projects" TargetMode="External"/><Relationship Id="rId34" Type="http://schemas.openxmlformats.org/officeDocument/2006/relationships/hyperlink" Target="http://www.justice.gov/atr/public/guidelines/hmg-2010.pdf" TargetMode="External"/><Relationship Id="rId42" Type="http://schemas.openxmlformats.org/officeDocument/2006/relationships/hyperlink" Target="https://www.pennlive.com/midstate/2014/11/health_care_costs_harrisburg_p.html" TargetMode="External"/><Relationship Id="rId47" Type="http://schemas.openxmlformats.org/officeDocument/2006/relationships/hyperlink" Target="https://www.mass.gov/doc/signature-healthcare-brockton-hospital-2019-pre-filed-testimony/download" TargetMode="External"/><Relationship Id="rId50" Type="http://schemas.openxmlformats.org/officeDocument/2006/relationships/hyperlink" Target="https://www.mckinsey.com/~/media/McKinsey/Industries/Healthcare%20Systems%20and%20Services/Our%20Insights/Walking%20out%20of%20the%20hospital/Walking-out-of-the-hospital.pdf" TargetMode="External"/><Relationship Id="rId55" Type="http://schemas.openxmlformats.org/officeDocument/2006/relationships/hyperlink" Target="https://www.census.gov/newsroom/press-releases/2021/2021-population-estimates.html" TargetMode="External"/><Relationship Id="rId63" Type="http://schemas.openxmlformats.org/officeDocument/2006/relationships/hyperlink" Target="https://www.pw.hks.harvard.edu/post/ma-healthcare-workforce" TargetMode="External"/><Relationship Id="rId68" Type="http://schemas.openxmlformats.org/officeDocument/2006/relationships/hyperlink" Target="https://www.mass.gov/doc/presentation-analysis-of-potential-cost-impact-of-mandated-nurse-to-patient-staffing-ratios/download" TargetMode="External"/><Relationship Id="rId76" Type="http://schemas.openxmlformats.org/officeDocument/2006/relationships/hyperlink" Target="https://www.cms.gov/Research-Statistics-Data-and-Systems/Statistics-Trends-and-Reports/NationalHealthExpendData/NationalHealthAccountsHistorical" TargetMode="External"/><Relationship Id="rId84" Type="http://schemas.openxmlformats.org/officeDocument/2006/relationships/hyperlink" Target="http://www.qualityindicators.ahrq.gov/modules/iqi_resources.aspx" TargetMode="External"/><Relationship Id="rId89" Type="http://schemas.openxmlformats.org/officeDocument/2006/relationships/hyperlink" Target="https://www.mass.gov/doc/2021-cost-trends-report-chartpack/download" TargetMode="External"/><Relationship Id="rId97" Type="http://schemas.openxmlformats.org/officeDocument/2006/relationships/hyperlink" Target="https://emma.msrb.org/P31408531-P31095080-P31504395.pdf" TargetMode="External"/><Relationship Id="rId7" Type="http://schemas.openxmlformats.org/officeDocument/2006/relationships/hyperlink" Target="https://www.mass.gov/doc/independent-cost-analysis-2/download" TargetMode="External"/><Relationship Id="rId71" Type="http://schemas.openxmlformats.org/officeDocument/2006/relationships/hyperlink" Target="http://www.chiamass.gov/relative-price-and-provider-price-variation/" TargetMode="External"/><Relationship Id="rId92" Type="http://schemas.openxmlformats.org/officeDocument/2006/relationships/hyperlink" Target="https://www.mass.gov/doc/b3-provider-organization-performance-variation/download" TargetMode="External"/><Relationship Id="rId2" Type="http://schemas.openxmlformats.org/officeDocument/2006/relationships/hyperlink" Target="https://www.mass.gov/doc/full-2021-cost-trends-hearing-presentation/download" TargetMode="External"/><Relationship Id="rId16" Type="http://schemas.openxmlformats.org/officeDocument/2006/relationships/hyperlink" Target="https://www.mass.gov/doc/tables-2/download" TargetMode="External"/><Relationship Id="rId29" Type="http://schemas.openxmlformats.org/officeDocument/2006/relationships/hyperlink" Target="https://www.mass.gov/doc/2018-cost-trends-report-chartpack/download" TargetMode="External"/><Relationship Id="rId11" Type="http://schemas.openxmlformats.org/officeDocument/2006/relationships/hyperlink" Target="https://www.mass.gov/doc/mass-general-brigham-incorporated-bwfh-application-form-and-attachments/download" TargetMode="External"/><Relationship Id="rId24" Type="http://schemas.openxmlformats.org/officeDocument/2006/relationships/hyperlink" Target="http://www.mass.gov/ago/docs/healthcare/cctcd5.pdf" TargetMode="External"/><Relationship Id="rId32" Type="http://schemas.openxmlformats.org/officeDocument/2006/relationships/hyperlink" Target="https://www.mass.gov/lists/don-mass-general-brigham-incorporated-multisite-21012113-as%23mass-general-brigham-incorporated-%E2%80%93-mgh-%E2%80%93-responses-to-don-questions" TargetMode="External"/><Relationship Id="rId37" Type="http://schemas.openxmlformats.org/officeDocument/2006/relationships/hyperlink" Target="https://www.ncbi.nlm.nih.gov/pmc/articles/PMC7517591/" TargetMode="External"/><Relationship Id="rId40" Type="http://schemas.openxmlformats.org/officeDocument/2006/relationships/hyperlink" Target="https://www.healthaffairs.org/doi/full/10.1377/hlthaff.22.6.68" TargetMode="External"/><Relationship Id="rId45" Type="http://schemas.openxmlformats.org/officeDocument/2006/relationships/hyperlink" Target="https://www.chiamass.gov/assets/docs/r/hospital-profiles/2019/FY19-Massachusetts-Hospital-Profiles-Technical-Appendix.pdf" TargetMode="External"/><Relationship Id="rId53" Type="http://schemas.openxmlformats.org/officeDocument/2006/relationships/hyperlink" Target="https://donahue.umass.edu/business-groups/economic-public-policy-research/massachusetts-population-estimates-program/population-projections" TargetMode="External"/><Relationship Id="rId58" Type="http://schemas.openxmlformats.org/officeDocument/2006/relationships/hyperlink" Target="https://donahue.umass.edu/business-groups/economic-public-policy-research/massachusetts-population-estimates-program/population-projections" TargetMode="External"/><Relationship Id="rId66" Type="http://schemas.openxmlformats.org/officeDocument/2006/relationships/hyperlink" Target="https://www.bostonglobe.com/2022/01/14/nation/baker-administration-issues-new-emergency-orders-mass-hospitals-struggle-amid-covid-19-surge/" TargetMode="External"/><Relationship Id="rId74" Type="http://schemas.openxmlformats.org/officeDocument/2006/relationships/hyperlink" Target="http://www.chiamass.gov/ma-apcd/" TargetMode="External"/><Relationship Id="rId79" Type="http://schemas.openxmlformats.org/officeDocument/2006/relationships/hyperlink" Target="https://www.chiamass.gov/assets/docs/r/pubs/2021/Relative-Price-Methodology-2019.pdf" TargetMode="External"/><Relationship Id="rId87" Type="http://schemas.openxmlformats.org/officeDocument/2006/relationships/hyperlink" Target="https://www.chiamass.gov/assets/docs/r/pubs/2020/A-Focus-on-Provider-Quality-Databook.xlsx" TargetMode="External"/><Relationship Id="rId5" Type="http://schemas.openxmlformats.org/officeDocument/2006/relationships/hyperlink" Target="https://www.mass.gov/doc/mass-general-brigham-incorporated-multisite-application-attachments/download" TargetMode="External"/><Relationship Id="rId61" Type="http://schemas.openxmlformats.org/officeDocument/2006/relationships/hyperlink" Target="https://doi.org/10.1016/j.jamcollsurg.2009.01.047" TargetMode="External"/><Relationship Id="rId82" Type="http://schemas.openxmlformats.org/officeDocument/2006/relationships/hyperlink" Target="https://www.aeaweb.org/articles?id=10.1257/aer.99.1.393" TargetMode="External"/><Relationship Id="rId90" Type="http://schemas.openxmlformats.org/officeDocument/2006/relationships/hyperlink" Target="https://www.mass.gov/doc/tme-by-provider-group/download" TargetMode="External"/><Relationship Id="rId95" Type="http://schemas.openxmlformats.org/officeDocument/2006/relationships/hyperlink" Target="https://www.chiamass.gov/assets/Uploads/mass-hospital-financials/2019-annual-report/Acute-Hospital-Health-System-Financial-Performance-Report-FY2019.pdf" TargetMode="External"/><Relationship Id="rId19" Type="http://schemas.openxmlformats.org/officeDocument/2006/relationships/hyperlink" Target="https://www.mass.gov/doc/independent-cost-analysis-4/download" TargetMode="External"/><Relationship Id="rId14" Type="http://schemas.openxmlformats.org/officeDocument/2006/relationships/hyperlink" Target="https://www.mass.gov/doc/ago-examination-into-cost-drivers/download" TargetMode="External"/><Relationship Id="rId22" Type="http://schemas.openxmlformats.org/officeDocument/2006/relationships/hyperlink" Target="https://www.mass.gov/info-details/don-pending-projects-and-applications" TargetMode="External"/><Relationship Id="rId27" Type="http://schemas.openxmlformats.org/officeDocument/2006/relationships/hyperlink" Target="https://www.mass.gov/doc/mass-general-brigham-public-comments-all-locations-batch-1/download" TargetMode="External"/><Relationship Id="rId30" Type="http://schemas.openxmlformats.org/officeDocument/2006/relationships/hyperlink" Target="https://www.mass.gov/service-details/annual-health-care-cost-trends-hearings" TargetMode="External"/><Relationship Id="rId35" Type="http://schemas.openxmlformats.org/officeDocument/2006/relationships/hyperlink" Target="https://www.mass.gov/doc/mass-general-brigham-incorporated-mgh-bed-summary-0/download" TargetMode="External"/><Relationship Id="rId43" Type="http://schemas.openxmlformats.org/officeDocument/2006/relationships/hyperlink" Target="https://pubmed.ncbi.nlm.nih.gov/26951624/" TargetMode="External"/><Relationship Id="rId48" Type="http://schemas.openxmlformats.org/officeDocument/2006/relationships/hyperlink" Target="https://www.mass.gov/doc/baystate-health-2018-pre-filed-testimony/download" TargetMode="External"/><Relationship Id="rId56" Type="http://schemas.openxmlformats.org/officeDocument/2006/relationships/hyperlink" Target="https://www.mass.gov/doc/mass-general-brigham-public-comments-all-locations-batch-1/download" TargetMode="External"/><Relationship Id="rId64" Type="http://schemas.openxmlformats.org/officeDocument/2006/relationships/hyperlink" Target="https://www.massnurses.org/news-and-events/p/openItem/12063" TargetMode="External"/><Relationship Id="rId69" Type="http://schemas.openxmlformats.org/officeDocument/2006/relationships/hyperlink" Target="https://www.mass.gov/doc/ago-examination-into-cost-drivers/download" TargetMode="External"/><Relationship Id="rId77" Type="http://schemas.openxmlformats.org/officeDocument/2006/relationships/hyperlink" Target="https://www.chiamass.gov/assets/2021-annual-report/2021-Annual-Report.pdf" TargetMode="External"/><Relationship Id="rId100" Type="http://schemas.openxmlformats.org/officeDocument/2006/relationships/hyperlink" Target="https://www.kff.org/medicare/state-indicator/total-medicare-beneficiaries/?currentTimeframe=0&amp;sortModel=%7B%22colId%22:%22Location%22,%22sort%22:%22asc%22%257" TargetMode="External"/><Relationship Id="rId8" Type="http://schemas.openxmlformats.org/officeDocument/2006/relationships/hyperlink" Target="https://www.mass.gov/doc/independent-cost-analysis-1/download" TargetMode="External"/><Relationship Id="rId51" Type="http://schemas.openxmlformats.org/officeDocument/2006/relationships/hyperlink" Target="https://doi.org/10.1002/hec.1646" TargetMode="External"/><Relationship Id="rId72" Type="http://schemas.openxmlformats.org/officeDocument/2006/relationships/hyperlink" Target="https://www.chiamass.gov/thce-tme-apm/" TargetMode="External"/><Relationship Id="rId80" Type="http://schemas.openxmlformats.org/officeDocument/2006/relationships/hyperlink" Target="https://doi.org/10.1111/ecin.12454" TargetMode="External"/><Relationship Id="rId85" Type="http://schemas.openxmlformats.org/officeDocument/2006/relationships/hyperlink" Target="http://www.qualityindicators.ahrq.gov/modules/psi_resources.aspx" TargetMode="External"/><Relationship Id="rId93" Type="http://schemas.openxmlformats.org/officeDocument/2006/relationships/hyperlink" Target="https://www.mghdisparitiessolutions.org/_files/ugd/888d39_7f1b7c0c157f464cbe72f37b3c14fc59.pdf" TargetMode="External"/><Relationship Id="rId98" Type="http://schemas.openxmlformats.org/officeDocument/2006/relationships/hyperlink" Target="https://www.bostonglobe.com/2021/12/10/business/mass-general-brigham-reports-profitable-year-despite-covid-challenges/" TargetMode="External"/><Relationship Id="rId3" Type="http://schemas.openxmlformats.org/officeDocument/2006/relationships/hyperlink" Target="https://www.mass.gov/doc/mass-general-brigham-incorporated-mgh-application-form-and-attachments/download" TargetMode="External"/><Relationship Id="rId12" Type="http://schemas.openxmlformats.org/officeDocument/2006/relationships/hyperlink" Target="https://www.mass.gov/doc/mass-general-brigham-incorporated-multisite-application/download" TargetMode="External"/><Relationship Id="rId17" Type="http://schemas.openxmlformats.org/officeDocument/2006/relationships/hyperlink" Target="https://www.mass.gov/doc/independent-cost-analysis-1/download" TargetMode="External"/><Relationship Id="rId25" Type="http://schemas.openxmlformats.org/officeDocument/2006/relationships/hyperlink" Target="https://www.mass.gov/doc/2015-cost-trends-report-provider-price-variation/download" TargetMode="External"/><Relationship Id="rId33" Type="http://schemas.openxmlformats.org/officeDocument/2006/relationships/hyperlink" Target="https://www.chiamass.gov/hospital-profiles/" TargetMode="External"/><Relationship Id="rId38" Type="http://schemas.openxmlformats.org/officeDocument/2006/relationships/hyperlink" Target="https://www.mass.gov/files/documents/2016/07/xf/community-hospitals-at-a-crossroads.pdf" TargetMode="External"/><Relationship Id="rId46" Type="http://schemas.openxmlformats.org/officeDocument/2006/relationships/hyperlink" Target="https://www.nytimes.com/2019/05/09/health/hospitals-prices-medicare.html" TargetMode="External"/><Relationship Id="rId59" Type="http://schemas.openxmlformats.org/officeDocument/2006/relationships/hyperlink" Target="https://doi.org/10.1001/jamasurg.2020.3318" TargetMode="External"/><Relationship Id="rId67" Type="http://schemas.openxmlformats.org/officeDocument/2006/relationships/hyperlink" Target="https://www.beckershospitalreview.com/hospital-management-administration/mass-general-brigham-ceo-capacity-crisis-to-continue.html" TargetMode="External"/><Relationship Id="rId20" Type="http://schemas.openxmlformats.org/officeDocument/2006/relationships/hyperlink" Target="https://www.mass.gov/doc/tables-4/download" TargetMode="External"/><Relationship Id="rId41" Type="http://schemas.openxmlformats.org/officeDocument/2006/relationships/hyperlink" Target="https://journals.sagepub.com/doi/10.1177/1077558711409946" TargetMode="External"/><Relationship Id="rId54" Type="http://schemas.openxmlformats.org/officeDocument/2006/relationships/hyperlink" Target="https://www.census.gov/data/tables/2017/demo/popproj/2017-summary-tables.html" TargetMode="External"/><Relationship Id="rId62" Type="http://schemas.openxmlformats.org/officeDocument/2006/relationships/hyperlink" Target="https://www.mercer.us/content/dam/mercer/assets/content-images/north-america/united-states/us-healthcare-news/us-2021-healthcare-labor-market-whitepaper.pdf" TargetMode="External"/><Relationship Id="rId70" Type="http://schemas.openxmlformats.org/officeDocument/2006/relationships/hyperlink" Target="https://www.mass.gov/service-details/ma-rpo-data" TargetMode="External"/><Relationship Id="rId75" Type="http://schemas.openxmlformats.org/officeDocument/2006/relationships/hyperlink" Target="http://www.mass.gov/ago/docs/healthcare/2010-hcctd-full.pdf" TargetMode="External"/><Relationship Id="rId83" Type="http://schemas.openxmlformats.org/officeDocument/2006/relationships/hyperlink" Target="https://www.chiamass.gov/assets/docs/r/pubs/2021/Relative-Price-Databook-2019.xlsx" TargetMode="External"/><Relationship Id="rId88" Type="http://schemas.openxmlformats.org/officeDocument/2006/relationships/hyperlink" Target="https://www.chiamass.gov/assets/docs/r/pubs/2021/Quality-Update-2021-MHQP-PES.xlsx" TargetMode="External"/><Relationship Id="rId91" Type="http://schemas.openxmlformats.org/officeDocument/2006/relationships/hyperlink" Target="https://www.mass.gov/doc/technical-bulletin-circ-1/download" TargetMode="External"/><Relationship Id="rId96" Type="http://schemas.openxmlformats.org/officeDocument/2006/relationships/hyperlink" Target="https://www.chiamass.gov/assets/Uploads/mass-hospital-financials/2018-annual-report/Acute-Hospital-Health-System-Financial-Performance-Report-FY2018.pdf" TargetMode="External"/><Relationship Id="rId1" Type="http://schemas.openxmlformats.org/officeDocument/2006/relationships/hyperlink" Target="https://www.mass.gov/alerts/independent-cost-analysis-reports-for-the-mass-general-brigham-applications" TargetMode="External"/><Relationship Id="rId6" Type="http://schemas.openxmlformats.org/officeDocument/2006/relationships/hyperlink" Target="https://www.eagletribune.com/news/new_hampshire/partners-healthcare-announces-salem-location/article_7b9838b3-4176-59bf-b538-36c11efc3cc0.html" TargetMode="External"/><Relationship Id="rId15" Type="http://schemas.openxmlformats.org/officeDocument/2006/relationships/hyperlink" Target="https://www.mass.gov/doc/independent-cost-analysis-2/download" TargetMode="External"/><Relationship Id="rId23" Type="http://schemas.openxmlformats.org/officeDocument/2006/relationships/hyperlink" Target="https://www.mass.gov/doc/2010-examination-of-health-care-cost-trends-and-cost-drivers-with-appendix/download" TargetMode="External"/><Relationship Id="rId28" Type="http://schemas.openxmlformats.org/officeDocument/2006/relationships/hyperlink" Target="https://www.mass.gov/doc/final-cmir-report-partners-south-shore-harbor/download" TargetMode="External"/><Relationship Id="rId36" Type="http://schemas.openxmlformats.org/officeDocument/2006/relationships/hyperlink" Target="https://www.mass.gov/doc/mass-general-brigham-incorporated-mgh-applicant-response-submission-excel-file-1/download" TargetMode="External"/><Relationship Id="rId49" Type="http://schemas.openxmlformats.org/officeDocument/2006/relationships/hyperlink" Target="https://www.urban.org/research/publication/addressing-health-care-market-consolidation-and-high-prices/view/full_report" TargetMode="External"/><Relationship Id="rId57" Type="http://schemas.openxmlformats.org/officeDocument/2006/relationships/hyperlink" Target="https://www.ncbi.nlm.nih.gov/pmc/articles/PMC2924574/" TargetMode="External"/><Relationship Id="rId10" Type="http://schemas.openxmlformats.org/officeDocument/2006/relationships/hyperlink" Target="https://www.mass.gov/doc/mass-general-brigham-incorporated-mgh-application-form-and-attachments/download" TargetMode="External"/><Relationship Id="rId31" Type="http://schemas.openxmlformats.org/officeDocument/2006/relationships/hyperlink" Target="https://emma.msrb.org/ER1298616-ER1012536-ER1417697.pdf" TargetMode="External"/><Relationship Id="rId44" Type="http://schemas.openxmlformats.org/officeDocument/2006/relationships/hyperlink" Target="https://pubmed.ncbi.nlm.nih.gov/30507654/" TargetMode="External"/><Relationship Id="rId52" Type="http://schemas.openxmlformats.org/officeDocument/2006/relationships/hyperlink" Target="https://doi.org/10.1016/j.jacr.2004.09.013" TargetMode="External"/><Relationship Id="rId60" Type="http://schemas.openxmlformats.org/officeDocument/2006/relationships/hyperlink" Target="https://doi.org/10.1186/1472-6963-9-121" TargetMode="External"/><Relationship Id="rId65" Type="http://schemas.openxmlformats.org/officeDocument/2006/relationships/hyperlink" Target="https://www.mass.gov/info-details/testimony-for-the-2021-health-care-cost-trends-hearing" TargetMode="External"/><Relationship Id="rId73" Type="http://schemas.openxmlformats.org/officeDocument/2006/relationships/hyperlink" Target="http://www.chiamass.gov/case-mix-data/" TargetMode="External"/><Relationship Id="rId78" Type="http://schemas.openxmlformats.org/officeDocument/2006/relationships/hyperlink" Target="https://www.hcup-us.ahrq.gov/toolssoftware/surgflags/surgeryflags.jsp" TargetMode="External"/><Relationship Id="rId81" Type="http://schemas.openxmlformats.org/officeDocument/2006/relationships/hyperlink" Target="https://dx.doi.org/10.1111%2F1475-6773.12278" TargetMode="External"/><Relationship Id="rId86" Type="http://schemas.openxmlformats.org/officeDocument/2006/relationships/hyperlink" Target="http://www.hcahpsonline.org/en/summary-analyses/" TargetMode="External"/><Relationship Id="rId94" Type="http://schemas.openxmlformats.org/officeDocument/2006/relationships/hyperlink" Target="https://www.chiamass.gov/assets/Uploads/mass-hospital-financials/2020-annual-report/Acute-Hospital-Financial-Performance-Report-2020-Databook.xlsx" TargetMode="External"/><Relationship Id="rId99" Type="http://schemas.openxmlformats.org/officeDocument/2006/relationships/hyperlink" Target="https://www.brookings.edu/wp-content/uploads/2021/03/Imaging_Paper_Final.pdf" TargetMode="External"/><Relationship Id="rId101" Type="http://schemas.openxmlformats.org/officeDocument/2006/relationships/hyperlink" Target="https://www.census.gov/history/pdf/medicare1966-2013.pdf" TargetMode="External"/><Relationship Id="rId4" Type="http://schemas.openxmlformats.org/officeDocument/2006/relationships/hyperlink" Target="https://www.mass.gov/doc/mass-general-brigham-incorporated-bwfh-application-form-and-attachments/download" TargetMode="External"/><Relationship Id="rId9" Type="http://schemas.openxmlformats.org/officeDocument/2006/relationships/hyperlink" Target="https://www.mass.gov/doc/independent-cost-analysis-4/download" TargetMode="External"/><Relationship Id="rId13" Type="http://schemas.openxmlformats.org/officeDocument/2006/relationships/hyperlink" Target="https://www.mass.gov/doc/mass-general-brigham-incorporated-multisite-application-attachments/download" TargetMode="External"/><Relationship Id="rId18" Type="http://schemas.openxmlformats.org/officeDocument/2006/relationships/hyperlink" Target="https://www.mass.gov/doc/tables-0/download" TargetMode="External"/><Relationship Id="rId39" Type="http://schemas.openxmlformats.org/officeDocument/2006/relationships/hyperlink" Target="https://onlinelibrary.wiley.com/doi/abs/10.1002/hec.1617" TargetMode="External"/></Relationships>
</file>

<file path=word/theme/theme1.xml><?xml version="1.0" encoding="utf-8"?>
<a:theme xmlns:a="http://schemas.openxmlformats.org/drawingml/2006/main" name="Office Theme">
  <a:themeElements>
    <a:clrScheme name="HPC">
      <a:dk1>
        <a:srgbClr val="000000"/>
      </a:dk1>
      <a:lt1>
        <a:sysClr val="window" lastClr="FFFFFF"/>
      </a:lt1>
      <a:dk2>
        <a:srgbClr val="A5A5A5"/>
      </a:dk2>
      <a:lt2>
        <a:srgbClr val="718DB9"/>
      </a:lt2>
      <a:accent1>
        <a:srgbClr val="094975"/>
      </a:accent1>
      <a:accent2>
        <a:srgbClr val="F2682A"/>
      </a:accent2>
      <a:accent3>
        <a:srgbClr val="FAA721"/>
      </a:accent3>
      <a:accent4>
        <a:srgbClr val="33A0C8"/>
      </a:accent4>
      <a:accent5>
        <a:srgbClr val="54C0A5"/>
      </a:accent5>
      <a:accent6>
        <a:srgbClr val="7030A0"/>
      </a:accent6>
      <a:hlink>
        <a:srgbClr val="496795"/>
      </a:hlink>
      <a:folHlink>
        <a:srgbClr val="A35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C7FE7-875F-4B28-8823-0CD320BD3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23517</Words>
  <Characters>134053</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157256</CharactersWithSpaces>
  <SharedDoc>false</SharedDoc>
  <HLinks>
    <vt:vector size="282" baseType="variant">
      <vt:variant>
        <vt:i4>3670113</vt:i4>
      </vt:variant>
      <vt:variant>
        <vt:i4>150</vt:i4>
      </vt:variant>
      <vt:variant>
        <vt:i4>0</vt:i4>
      </vt:variant>
      <vt:variant>
        <vt:i4>5</vt:i4>
      </vt:variant>
      <vt:variant>
        <vt:lpwstr>https://www.bostonglobe.com/2021/12/10/business/mass-general-brigham-reports-profitable-year-despite-covid-challenges/</vt:lpwstr>
      </vt:variant>
      <vt:variant>
        <vt:lpwstr/>
      </vt:variant>
      <vt:variant>
        <vt:i4>5439575</vt:i4>
      </vt:variant>
      <vt:variant>
        <vt:i4>147</vt:i4>
      </vt:variant>
      <vt:variant>
        <vt:i4>0</vt:i4>
      </vt:variant>
      <vt:variant>
        <vt:i4>5</vt:i4>
      </vt:variant>
      <vt:variant>
        <vt:lpwstr>https://www.chiamass.gov/assets/Uploads/mass-hospital-financials/2018-annual-report/Acute-Hospital-Health-System-Financial-Performance-Report-FY2018.pdf</vt:lpwstr>
      </vt:variant>
      <vt:variant>
        <vt:lpwstr/>
      </vt:variant>
      <vt:variant>
        <vt:i4>2097275</vt:i4>
      </vt:variant>
      <vt:variant>
        <vt:i4>144</vt:i4>
      </vt:variant>
      <vt:variant>
        <vt:i4>0</vt:i4>
      </vt:variant>
      <vt:variant>
        <vt:i4>5</vt:i4>
      </vt:variant>
      <vt:variant>
        <vt:lpwstr>https://www.chiamass.gov/assets/Uploads/mass-hospital-financials/2020-annual-report/Acute-Hospital-Financial-Performance-Report-2020-Databook.xlsx</vt:lpwstr>
      </vt:variant>
      <vt:variant>
        <vt:lpwstr/>
      </vt:variant>
      <vt:variant>
        <vt:i4>6225929</vt:i4>
      </vt:variant>
      <vt:variant>
        <vt:i4>141</vt:i4>
      </vt:variant>
      <vt:variant>
        <vt:i4>0</vt:i4>
      </vt:variant>
      <vt:variant>
        <vt:i4>5</vt:i4>
      </vt:variant>
      <vt:variant>
        <vt:lpwstr>https://www.mghdisparitiessolutions.org/_files/ugd/888d39_7f1b7c0c157f464cbe72f37b3c14fc59.pdf</vt:lpwstr>
      </vt:variant>
      <vt:variant>
        <vt:lpwstr/>
      </vt:variant>
      <vt:variant>
        <vt:i4>5439510</vt:i4>
      </vt:variant>
      <vt:variant>
        <vt:i4>138</vt:i4>
      </vt:variant>
      <vt:variant>
        <vt:i4>0</vt:i4>
      </vt:variant>
      <vt:variant>
        <vt:i4>5</vt:i4>
      </vt:variant>
      <vt:variant>
        <vt:lpwstr>https://www.mass.gov/doc/b3-provider-organization-performance-variation/download</vt:lpwstr>
      </vt:variant>
      <vt:variant>
        <vt:lpwstr/>
      </vt:variant>
      <vt:variant>
        <vt:i4>3145766</vt:i4>
      </vt:variant>
      <vt:variant>
        <vt:i4>135</vt:i4>
      </vt:variant>
      <vt:variant>
        <vt:i4>0</vt:i4>
      </vt:variant>
      <vt:variant>
        <vt:i4>5</vt:i4>
      </vt:variant>
      <vt:variant>
        <vt:lpwstr>https://www.mass.gov/doc/technical-bulletin-circ-1/download</vt:lpwstr>
      </vt:variant>
      <vt:variant>
        <vt:lpwstr/>
      </vt:variant>
      <vt:variant>
        <vt:i4>6684721</vt:i4>
      </vt:variant>
      <vt:variant>
        <vt:i4>126</vt:i4>
      </vt:variant>
      <vt:variant>
        <vt:i4>0</vt:i4>
      </vt:variant>
      <vt:variant>
        <vt:i4>5</vt:i4>
      </vt:variant>
      <vt:variant>
        <vt:lpwstr>https://www.mass.gov/doc/tme-by-provider-group/download</vt:lpwstr>
      </vt:variant>
      <vt:variant>
        <vt:lpwstr/>
      </vt:variant>
      <vt:variant>
        <vt:i4>6881335</vt:i4>
      </vt:variant>
      <vt:variant>
        <vt:i4>123</vt:i4>
      </vt:variant>
      <vt:variant>
        <vt:i4>0</vt:i4>
      </vt:variant>
      <vt:variant>
        <vt:i4>5</vt:i4>
      </vt:variant>
      <vt:variant>
        <vt:lpwstr>https://www.chiamass.gov/assets/docs/r/pubs/2021/Relative-Price-Databook-2019.xlsx</vt:lpwstr>
      </vt:variant>
      <vt:variant>
        <vt:lpwstr/>
      </vt:variant>
      <vt:variant>
        <vt:i4>6750250</vt:i4>
      </vt:variant>
      <vt:variant>
        <vt:i4>120</vt:i4>
      </vt:variant>
      <vt:variant>
        <vt:i4>0</vt:i4>
      </vt:variant>
      <vt:variant>
        <vt:i4>5</vt:i4>
      </vt:variant>
      <vt:variant>
        <vt:lpwstr>https://www.chiamass.gov/thce-tme-apm/</vt:lpwstr>
      </vt:variant>
      <vt:variant>
        <vt:lpwstr/>
      </vt:variant>
      <vt:variant>
        <vt:i4>1441881</vt:i4>
      </vt:variant>
      <vt:variant>
        <vt:i4>114</vt:i4>
      </vt:variant>
      <vt:variant>
        <vt:i4>0</vt:i4>
      </vt:variant>
      <vt:variant>
        <vt:i4>5</vt:i4>
      </vt:variant>
      <vt:variant>
        <vt:lpwstr>https://www.chiamass.gov/ma-apcd/</vt:lpwstr>
      </vt:variant>
      <vt:variant>
        <vt:lpwstr/>
      </vt:variant>
      <vt:variant>
        <vt:i4>5308486</vt:i4>
      </vt:variant>
      <vt:variant>
        <vt:i4>111</vt:i4>
      </vt:variant>
      <vt:variant>
        <vt:i4>0</vt:i4>
      </vt:variant>
      <vt:variant>
        <vt:i4>5</vt:i4>
      </vt:variant>
      <vt:variant>
        <vt:lpwstr>https://www.mass.gov/service-details/ma-rpo-data</vt:lpwstr>
      </vt:variant>
      <vt:variant>
        <vt:lpwstr/>
      </vt:variant>
      <vt:variant>
        <vt:i4>589837</vt:i4>
      </vt:variant>
      <vt:variant>
        <vt:i4>99</vt:i4>
      </vt:variant>
      <vt:variant>
        <vt:i4>0</vt:i4>
      </vt:variant>
      <vt:variant>
        <vt:i4>5</vt:i4>
      </vt:variant>
      <vt:variant>
        <vt:lpwstr>https://www.chiamass.gov/assets/docs/r/hospital-profiles/2019/FY19-Massachusetts-Hospital-Profiles-Databook-Revised.xlsx</vt:lpwstr>
      </vt:variant>
      <vt:variant>
        <vt:lpwstr/>
      </vt:variant>
      <vt:variant>
        <vt:i4>5963798</vt:i4>
      </vt:variant>
      <vt:variant>
        <vt:i4>96</vt:i4>
      </vt:variant>
      <vt:variant>
        <vt:i4>0</vt:i4>
      </vt:variant>
      <vt:variant>
        <vt:i4>5</vt:i4>
      </vt:variant>
      <vt:variant>
        <vt:lpwstr>https://www.mass.gov/doc/pre-filed-testimony-response-from-partners/download</vt:lpwstr>
      </vt:variant>
      <vt:variant>
        <vt:lpwstr/>
      </vt:variant>
      <vt:variant>
        <vt:i4>851988</vt:i4>
      </vt:variant>
      <vt:variant>
        <vt:i4>93</vt:i4>
      </vt:variant>
      <vt:variant>
        <vt:i4>0</vt:i4>
      </vt:variant>
      <vt:variant>
        <vt:i4>5</vt:i4>
      </vt:variant>
      <vt:variant>
        <vt:lpwstr>https://www.mass.gov/doc/2014-pre-filed-testimony-partners-healthcare-exhibits-and-questions/download</vt:lpwstr>
      </vt:variant>
      <vt:variant>
        <vt:lpwstr/>
      </vt:variant>
      <vt:variant>
        <vt:i4>5111888</vt:i4>
      </vt:variant>
      <vt:variant>
        <vt:i4>90</vt:i4>
      </vt:variant>
      <vt:variant>
        <vt:i4>0</vt:i4>
      </vt:variant>
      <vt:variant>
        <vt:i4>5</vt:i4>
      </vt:variant>
      <vt:variant>
        <vt:lpwstr>https://www.mass.gov/doc/2015-pre-filed-testimony-massachusetts-general-hospital/download</vt:lpwstr>
      </vt:variant>
      <vt:variant>
        <vt:lpwstr/>
      </vt:variant>
      <vt:variant>
        <vt:i4>7798830</vt:i4>
      </vt:variant>
      <vt:variant>
        <vt:i4>87</vt:i4>
      </vt:variant>
      <vt:variant>
        <vt:i4>0</vt:i4>
      </vt:variant>
      <vt:variant>
        <vt:i4>5</vt:i4>
      </vt:variant>
      <vt:variant>
        <vt:lpwstr>https://www.mass.gov/doc/partners-healthcare-2016-pft/download</vt:lpwstr>
      </vt:variant>
      <vt:variant>
        <vt:lpwstr/>
      </vt:variant>
      <vt:variant>
        <vt:i4>4063275</vt:i4>
      </vt:variant>
      <vt:variant>
        <vt:i4>84</vt:i4>
      </vt:variant>
      <vt:variant>
        <vt:i4>0</vt:i4>
      </vt:variant>
      <vt:variant>
        <vt:i4>5</vt:i4>
      </vt:variant>
      <vt:variant>
        <vt:lpwstr>https://www.mass.gov/doc/2017-pre-filed-testimony-partners/download</vt:lpwstr>
      </vt:variant>
      <vt:variant>
        <vt:lpwstr/>
      </vt:variant>
      <vt:variant>
        <vt:i4>6946928</vt:i4>
      </vt:variant>
      <vt:variant>
        <vt:i4>81</vt:i4>
      </vt:variant>
      <vt:variant>
        <vt:i4>0</vt:i4>
      </vt:variant>
      <vt:variant>
        <vt:i4>5</vt:i4>
      </vt:variant>
      <vt:variant>
        <vt:lpwstr>https://www.mass.gov/doc/partners-2018-pre-filed-testimony/download</vt:lpwstr>
      </vt:variant>
      <vt:variant>
        <vt:lpwstr/>
      </vt:variant>
      <vt:variant>
        <vt:i4>4587601</vt:i4>
      </vt:variant>
      <vt:variant>
        <vt:i4>78</vt:i4>
      </vt:variant>
      <vt:variant>
        <vt:i4>0</vt:i4>
      </vt:variant>
      <vt:variant>
        <vt:i4>5</vt:i4>
      </vt:variant>
      <vt:variant>
        <vt:lpwstr>https://www.mass.gov/doc/partners-healthcare-system-2019-pre-filed-testimony/download</vt:lpwstr>
      </vt:variant>
      <vt:variant>
        <vt:lpwstr/>
      </vt:variant>
      <vt:variant>
        <vt:i4>7733371</vt:i4>
      </vt:variant>
      <vt:variant>
        <vt:i4>75</vt:i4>
      </vt:variant>
      <vt:variant>
        <vt:i4>0</vt:i4>
      </vt:variant>
      <vt:variant>
        <vt:i4>5</vt:i4>
      </vt:variant>
      <vt:variant>
        <vt:lpwstr>https://www.mass.gov/doc/mass-general-brigham-2021-pre-filed-testimony/download</vt:lpwstr>
      </vt:variant>
      <vt:variant>
        <vt:lpwstr/>
      </vt:variant>
      <vt:variant>
        <vt:i4>8257656</vt:i4>
      </vt:variant>
      <vt:variant>
        <vt:i4>72</vt:i4>
      </vt:variant>
      <vt:variant>
        <vt:i4>0</vt:i4>
      </vt:variant>
      <vt:variant>
        <vt:i4>5</vt:i4>
      </vt:variant>
      <vt:variant>
        <vt:lpwstr>https://www.chiamass.gov/assets/docs/r/pubs/2021/Quality-Update-2021-MHQP-PES.xlsx</vt:lpwstr>
      </vt:variant>
      <vt:variant>
        <vt:lpwstr/>
      </vt:variant>
      <vt:variant>
        <vt:i4>1507405</vt:i4>
      </vt:variant>
      <vt:variant>
        <vt:i4>69</vt:i4>
      </vt:variant>
      <vt:variant>
        <vt:i4>0</vt:i4>
      </vt:variant>
      <vt:variant>
        <vt:i4>5</vt:i4>
      </vt:variant>
      <vt:variant>
        <vt:lpwstr>http://www.hcahpsonline.org/en/summary-analyses/</vt:lpwstr>
      </vt:variant>
      <vt:variant>
        <vt:lpwstr/>
      </vt:variant>
      <vt:variant>
        <vt:i4>3670132</vt:i4>
      </vt:variant>
      <vt:variant>
        <vt:i4>66</vt:i4>
      </vt:variant>
      <vt:variant>
        <vt:i4>0</vt:i4>
      </vt:variant>
      <vt:variant>
        <vt:i4>5</vt:i4>
      </vt:variant>
      <vt:variant>
        <vt:lpwstr>https://www.chiamass.gov/assets/docs/r/pubs/2020/A-Focus-on-Provider-Quality-Databook.xlsx</vt:lpwstr>
      </vt:variant>
      <vt:variant>
        <vt:lpwstr/>
      </vt:variant>
      <vt:variant>
        <vt:i4>6815753</vt:i4>
      </vt:variant>
      <vt:variant>
        <vt:i4>63</vt:i4>
      </vt:variant>
      <vt:variant>
        <vt:i4>0</vt:i4>
      </vt:variant>
      <vt:variant>
        <vt:i4>5</vt:i4>
      </vt:variant>
      <vt:variant>
        <vt:lpwstr>http://www.qualityindicators.ahrq.gov/modules/psi_resources.aspx</vt:lpwstr>
      </vt:variant>
      <vt:variant>
        <vt:lpwstr/>
      </vt:variant>
      <vt:variant>
        <vt:i4>6946832</vt:i4>
      </vt:variant>
      <vt:variant>
        <vt:i4>60</vt:i4>
      </vt:variant>
      <vt:variant>
        <vt:i4>0</vt:i4>
      </vt:variant>
      <vt:variant>
        <vt:i4>5</vt:i4>
      </vt:variant>
      <vt:variant>
        <vt:lpwstr>http://www.qualityindicators.ahrq.gov/modules/iqi_resources.aspx</vt:lpwstr>
      </vt:variant>
      <vt:variant>
        <vt:lpwstr/>
      </vt:variant>
      <vt:variant>
        <vt:i4>2883639</vt:i4>
      </vt:variant>
      <vt:variant>
        <vt:i4>57</vt:i4>
      </vt:variant>
      <vt:variant>
        <vt:i4>0</vt:i4>
      </vt:variant>
      <vt:variant>
        <vt:i4>5</vt:i4>
      </vt:variant>
      <vt:variant>
        <vt:lpwstr>https://www.mass.gov/doc/final-cmir-report-partners-south-shore-harbor/download</vt:lpwstr>
      </vt:variant>
      <vt:variant>
        <vt:lpwstr/>
      </vt:variant>
      <vt:variant>
        <vt:i4>5963854</vt:i4>
      </vt:variant>
      <vt:variant>
        <vt:i4>54</vt:i4>
      </vt:variant>
      <vt:variant>
        <vt:i4>0</vt:i4>
      </vt:variant>
      <vt:variant>
        <vt:i4>5</vt:i4>
      </vt:variant>
      <vt:variant>
        <vt:lpwstr>https://www.mass.gov/doc/final-cmir-report-partners-hallmark/download</vt:lpwstr>
      </vt:variant>
      <vt:variant>
        <vt:lpwstr/>
      </vt:variant>
      <vt:variant>
        <vt:i4>7012456</vt:i4>
      </vt:variant>
      <vt:variant>
        <vt:i4>51</vt:i4>
      </vt:variant>
      <vt:variant>
        <vt:i4>0</vt:i4>
      </vt:variant>
      <vt:variant>
        <vt:i4>5</vt:i4>
      </vt:variant>
      <vt:variant>
        <vt:lpwstr>https://www.mass.gov/doc/2015-cost-trends-report-provider-price-variation/download</vt:lpwstr>
      </vt:variant>
      <vt:variant>
        <vt:lpwstr/>
      </vt:variant>
      <vt:variant>
        <vt:i4>7274537</vt:i4>
      </vt:variant>
      <vt:variant>
        <vt:i4>48</vt:i4>
      </vt:variant>
      <vt:variant>
        <vt:i4>0</vt:i4>
      </vt:variant>
      <vt:variant>
        <vt:i4>5</vt:i4>
      </vt:variant>
      <vt:variant>
        <vt:lpwstr>http://www.mass.gov/ago/docs/healthcare/cctcd5.pdf</vt:lpwstr>
      </vt:variant>
      <vt:variant>
        <vt:lpwstr/>
      </vt:variant>
      <vt:variant>
        <vt:i4>2752630</vt:i4>
      </vt:variant>
      <vt:variant>
        <vt:i4>45</vt:i4>
      </vt:variant>
      <vt:variant>
        <vt:i4>0</vt:i4>
      </vt:variant>
      <vt:variant>
        <vt:i4>5</vt:i4>
      </vt:variant>
      <vt:variant>
        <vt:lpwstr>https://www.mass.gov/files/documents/2016/09/va/cctcd5.pdf</vt:lpwstr>
      </vt:variant>
      <vt:variant>
        <vt:lpwstr/>
      </vt:variant>
      <vt:variant>
        <vt:i4>6553653</vt:i4>
      </vt:variant>
      <vt:variant>
        <vt:i4>42</vt:i4>
      </vt:variant>
      <vt:variant>
        <vt:i4>0</vt:i4>
      </vt:variant>
      <vt:variant>
        <vt:i4>5</vt:i4>
      </vt:variant>
      <vt:variant>
        <vt:lpwstr>http://www.chiamass.gov/assets/docs/r/pubs/16/relative-price-chartbook-2014.pdf</vt:lpwstr>
      </vt:variant>
      <vt:variant>
        <vt:lpwstr/>
      </vt:variant>
      <vt:variant>
        <vt:i4>7143521</vt:i4>
      </vt:variant>
      <vt:variant>
        <vt:i4>39</vt:i4>
      </vt:variant>
      <vt:variant>
        <vt:i4>0</vt:i4>
      </vt:variant>
      <vt:variant>
        <vt:i4>5</vt:i4>
      </vt:variant>
      <vt:variant>
        <vt:lpwstr>https://www.mass.gov/doc/2014-cost-trends-full-report/download</vt:lpwstr>
      </vt:variant>
      <vt:variant>
        <vt:lpwstr/>
      </vt:variant>
      <vt:variant>
        <vt:i4>5046339</vt:i4>
      </vt:variant>
      <vt:variant>
        <vt:i4>36</vt:i4>
      </vt:variant>
      <vt:variant>
        <vt:i4>0</vt:i4>
      </vt:variant>
      <vt:variant>
        <vt:i4>5</vt:i4>
      </vt:variant>
      <vt:variant>
        <vt:lpwstr>https://archives.lib.state.ma.us/bitstream/handle/2452/200437/ocn821630123-v.1.pdf?sequence=1&amp;isAllowed=y</vt:lpwstr>
      </vt:variant>
      <vt:variant>
        <vt:lpwstr/>
      </vt:variant>
      <vt:variant>
        <vt:i4>5636107</vt:i4>
      </vt:variant>
      <vt:variant>
        <vt:i4>33</vt:i4>
      </vt:variant>
      <vt:variant>
        <vt:i4>0</vt:i4>
      </vt:variant>
      <vt:variant>
        <vt:i4>5</vt:i4>
      </vt:variant>
      <vt:variant>
        <vt:lpwstr>http://www.chiamass.gov/assets/docs/g/special-comm-ppr-report.pdf</vt:lpwstr>
      </vt:variant>
      <vt:variant>
        <vt:lpwstr/>
      </vt:variant>
      <vt:variant>
        <vt:i4>1966173</vt:i4>
      </vt:variant>
      <vt:variant>
        <vt:i4>30</vt:i4>
      </vt:variant>
      <vt:variant>
        <vt:i4>0</vt:i4>
      </vt:variant>
      <vt:variant>
        <vt:i4>5</vt:i4>
      </vt:variant>
      <vt:variant>
        <vt:lpwstr>https://www.mass.gov/doc/2010-examination-of-health-care-cost-trends-and-cost-drivers-with-appendix/download</vt:lpwstr>
      </vt:variant>
      <vt:variant>
        <vt:lpwstr/>
      </vt:variant>
      <vt:variant>
        <vt:i4>6750332</vt:i4>
      </vt:variant>
      <vt:variant>
        <vt:i4>27</vt:i4>
      </vt:variant>
      <vt:variant>
        <vt:i4>0</vt:i4>
      </vt:variant>
      <vt:variant>
        <vt:i4>5</vt:i4>
      </vt:variant>
      <vt:variant>
        <vt:lpwstr>https://www.mass.gov/doc/ago-examination-into-cost-drivers/download</vt:lpwstr>
      </vt:variant>
      <vt:variant>
        <vt:lpwstr/>
      </vt:variant>
      <vt:variant>
        <vt:i4>3997733</vt:i4>
      </vt:variant>
      <vt:variant>
        <vt:i4>24</vt:i4>
      </vt:variant>
      <vt:variant>
        <vt:i4>0</vt:i4>
      </vt:variant>
      <vt:variant>
        <vt:i4>5</vt:i4>
      </vt:variant>
      <vt:variant>
        <vt:lpwstr>https://www.mass.gov/info-details/don-pending-projects-and-applications</vt:lpwstr>
      </vt:variant>
      <vt:variant>
        <vt:lpwstr/>
      </vt:variant>
      <vt:variant>
        <vt:i4>5636173</vt:i4>
      </vt:variant>
      <vt:variant>
        <vt:i4>21</vt:i4>
      </vt:variant>
      <vt:variant>
        <vt:i4>0</vt:i4>
      </vt:variant>
      <vt:variant>
        <vt:i4>5</vt:i4>
      </vt:variant>
      <vt:variant>
        <vt:lpwstr>https://www.mass.gov/info-details/don-completed-projects</vt:lpwstr>
      </vt:variant>
      <vt:variant>
        <vt:lpwstr/>
      </vt:variant>
      <vt:variant>
        <vt:i4>3604601</vt:i4>
      </vt:variant>
      <vt:variant>
        <vt:i4>15</vt:i4>
      </vt:variant>
      <vt:variant>
        <vt:i4>0</vt:i4>
      </vt:variant>
      <vt:variant>
        <vt:i4>5</vt:i4>
      </vt:variant>
      <vt:variant>
        <vt:lpwstr>https://www.aha.org/system/files/media/file/2021/08/cra-merger-benefits-revisited-0821.pdf</vt:lpwstr>
      </vt:variant>
      <vt:variant>
        <vt:lpwstr/>
      </vt:variant>
      <vt:variant>
        <vt:i4>1638424</vt:i4>
      </vt:variant>
      <vt:variant>
        <vt:i4>12</vt:i4>
      </vt:variant>
      <vt:variant>
        <vt:i4>0</vt:i4>
      </vt:variant>
      <vt:variant>
        <vt:i4>5</vt:i4>
      </vt:variant>
      <vt:variant>
        <vt:lpwstr>https://www.aha.org/system/files/media/file/2019/09/cra-report-merger-benefits-2019-f.pdf</vt:lpwstr>
      </vt:variant>
      <vt:variant>
        <vt:lpwstr/>
      </vt:variant>
      <vt:variant>
        <vt:i4>262221</vt:i4>
      </vt:variant>
      <vt:variant>
        <vt:i4>9</vt:i4>
      </vt:variant>
      <vt:variant>
        <vt:i4>0</vt:i4>
      </vt:variant>
      <vt:variant>
        <vt:i4>5</vt:i4>
      </vt:variant>
      <vt:variant>
        <vt:lpwstr>https://www.aha.org/system/files/2018-04/Hospital-Merger-Full-Report-FINAL-1.pdf</vt:lpwstr>
      </vt:variant>
      <vt:variant>
        <vt:lpwstr/>
      </vt:variant>
      <vt:variant>
        <vt:i4>3604601</vt:i4>
      </vt:variant>
      <vt:variant>
        <vt:i4>6</vt:i4>
      </vt:variant>
      <vt:variant>
        <vt:i4>0</vt:i4>
      </vt:variant>
      <vt:variant>
        <vt:i4>5</vt:i4>
      </vt:variant>
      <vt:variant>
        <vt:lpwstr>https://www.aha.org/system/files/media/file/2021/08/cra-merger-benefits-revisited-0821.pdf</vt:lpwstr>
      </vt:variant>
      <vt:variant>
        <vt:lpwstr/>
      </vt:variant>
      <vt:variant>
        <vt:i4>1638424</vt:i4>
      </vt:variant>
      <vt:variant>
        <vt:i4>3</vt:i4>
      </vt:variant>
      <vt:variant>
        <vt:i4>0</vt:i4>
      </vt:variant>
      <vt:variant>
        <vt:i4>5</vt:i4>
      </vt:variant>
      <vt:variant>
        <vt:lpwstr>https://www.aha.org/system/files/media/file/2019/09/cra-report-merger-benefits-2019-f.pdf</vt:lpwstr>
      </vt:variant>
      <vt:variant>
        <vt:lpwstr/>
      </vt:variant>
      <vt:variant>
        <vt:i4>262221</vt:i4>
      </vt:variant>
      <vt:variant>
        <vt:i4>0</vt:i4>
      </vt:variant>
      <vt:variant>
        <vt:i4>0</vt:i4>
      </vt:variant>
      <vt:variant>
        <vt:i4>5</vt:i4>
      </vt:variant>
      <vt:variant>
        <vt:lpwstr>https://www.aha.org/system/files/2018-04/Hospital-Merger-Full-Report-FINAL-1.pdf</vt:lpwstr>
      </vt:variant>
      <vt:variant>
        <vt:lpwstr/>
      </vt:variant>
      <vt:variant>
        <vt:i4>7667787</vt:i4>
      </vt:variant>
      <vt:variant>
        <vt:i4>6</vt:i4>
      </vt:variant>
      <vt:variant>
        <vt:i4>0</vt:i4>
      </vt:variant>
      <vt:variant>
        <vt:i4>5</vt:i4>
      </vt:variant>
      <vt:variant>
        <vt:lpwstr>https://www.bluecrossmafoundation.org/sites/g/files/csphws2101/files/2021-12/Health_Equity_Primer_Dec 2021_final_0.pdf</vt:lpwstr>
      </vt:variant>
      <vt:variant>
        <vt:lpwstr/>
      </vt:variant>
      <vt:variant>
        <vt:i4>7143510</vt:i4>
      </vt:variant>
      <vt:variant>
        <vt:i4>3</vt:i4>
      </vt:variant>
      <vt:variant>
        <vt:i4>0</vt:i4>
      </vt:variant>
      <vt:variant>
        <vt:i4>5</vt:i4>
      </vt:variant>
      <vt:variant>
        <vt:lpwstr>\\HPC-FS-001.msd.govt.state.ma.us\Shared\HPC Market Performance\PIPs\4. Slide Decks\Board Meetings\2021 NOV\November 2021 - Executive Session - vFINAL3.pptx</vt:lpwstr>
      </vt:variant>
      <vt:variant>
        <vt:lpwstr/>
      </vt:variant>
      <vt:variant>
        <vt:i4>2293761</vt:i4>
      </vt:variant>
      <vt:variant>
        <vt:i4>0</vt:i4>
      </vt:variant>
      <vt:variant>
        <vt:i4>0</vt:i4>
      </vt:variant>
      <vt:variant>
        <vt:i4>5</vt:i4>
      </vt:variant>
      <vt:variant>
        <vt:lpwstr>mailto:dph.don@state.ma.us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Katherine (HPC)</dc:creator>
  <cp:keywords/>
  <dc:description/>
  <cp:lastModifiedBy>Cioffari-Macphee, Diana (DPH)</cp:lastModifiedBy>
  <cp:revision>5</cp:revision>
  <dcterms:created xsi:type="dcterms:W3CDTF">2022-02-02T19:31:00Z</dcterms:created>
  <dcterms:modified xsi:type="dcterms:W3CDTF">2022-02-02T19:45:00Z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