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19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0"/>
      </w:tblGrid>
      <w:tr w:rsidR="004C506F" w14:paraId="0CF4B002" w14:textId="77777777" w:rsidTr="00DD7166">
        <w:tc>
          <w:tcPr>
            <w:tcW w:w="10800" w:type="dxa"/>
            <w:tcBorders>
              <w:top w:val="nil"/>
              <w:left w:val="nil"/>
              <w:bottom w:val="nil"/>
              <w:right w:val="nil"/>
            </w:tcBorders>
          </w:tcPr>
          <w:p w14:paraId="1E50630D" w14:textId="77777777" w:rsidR="004C506F" w:rsidRDefault="004C506F" w:rsidP="004C506F">
            <w:pPr>
              <w:tabs>
                <w:tab w:val="left" w:pos="5742"/>
              </w:tabs>
            </w:pPr>
            <w:r>
              <w:rPr>
                <w:noProof/>
                <w:sz w:val="24"/>
                <w:szCs w:val="24"/>
              </w:rPr>
              <w:drawing>
                <wp:inline distT="0" distB="0" distL="0" distR="0" wp14:anchorId="527601A1" wp14:editId="142953BC">
                  <wp:extent cx="2317750" cy="616585"/>
                  <wp:effectExtent l="19050" t="0" r="6350" b="0"/>
                  <wp:docPr id="7"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8" cstate="print"/>
                          <a:srcRect/>
                          <a:stretch>
                            <a:fillRect/>
                          </a:stretch>
                        </pic:blipFill>
                        <pic:spPr bwMode="auto">
                          <a:xfrm>
                            <a:off x="0" y="0"/>
                            <a:ext cx="2317750" cy="616585"/>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sz w:val="24"/>
                <w:szCs w:val="24"/>
              </w:rPr>
              <w:drawing>
                <wp:inline distT="0" distB="0" distL="0" distR="0" wp14:anchorId="107E0966" wp14:editId="4E3B4713">
                  <wp:extent cx="436245" cy="553085"/>
                  <wp:effectExtent l="19050" t="0" r="190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36245" cy="553085"/>
                          </a:xfrm>
                          <a:prstGeom prst="rect">
                            <a:avLst/>
                          </a:prstGeom>
                          <a:noFill/>
                          <a:ln w="9525">
                            <a:noFill/>
                            <a:miter lim="800000"/>
                            <a:headEnd/>
                            <a:tailEnd/>
                          </a:ln>
                        </pic:spPr>
                      </pic:pic>
                    </a:graphicData>
                  </a:graphic>
                </wp:inline>
              </w:drawing>
            </w:r>
            <w:r>
              <w:t xml:space="preserve">  </w:t>
            </w:r>
          </w:p>
        </w:tc>
      </w:tr>
      <w:tr w:rsidR="004C506F" w:rsidRPr="00BC09E4" w14:paraId="0109737A" w14:textId="77777777" w:rsidTr="00DD7166">
        <w:tc>
          <w:tcPr>
            <w:tcW w:w="10800" w:type="dxa"/>
            <w:tcBorders>
              <w:top w:val="nil"/>
              <w:left w:val="nil"/>
              <w:bottom w:val="single" w:sz="18" w:space="0" w:color="auto"/>
              <w:right w:val="nil"/>
            </w:tcBorders>
          </w:tcPr>
          <w:p w14:paraId="2210FEBE" w14:textId="77777777" w:rsidR="004C506F" w:rsidRPr="00BC09E4" w:rsidRDefault="004C506F" w:rsidP="004C506F">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 xml:space="preserve">The </w:t>
            </w:r>
            <w:smartTag w:uri="urn:schemas-microsoft-com:office:smarttags" w:element="place">
              <w:smartTag w:uri="urn:schemas-microsoft-com:office:smarttags" w:element="PlaceType">
                <w:r w:rsidRPr="00BC09E4">
                  <w:rPr>
                    <w:rFonts w:ascii="Arial Narrow" w:hAnsi="Arial Narrow" w:cs="Arial"/>
                    <w:b/>
                    <w:sz w:val="20"/>
                    <w:szCs w:val="20"/>
                  </w:rPr>
                  <w:t>Commonwealth</w:t>
                </w:r>
              </w:smartTag>
              <w:r w:rsidRPr="00BC09E4">
                <w:rPr>
                  <w:rFonts w:ascii="Arial Narrow" w:hAnsi="Arial Narrow" w:cs="Arial"/>
                  <w:b/>
                  <w:sz w:val="20"/>
                  <w:szCs w:val="20"/>
                </w:rPr>
                <w:t xml:space="preserve"> of </w:t>
              </w:r>
              <w:smartTag w:uri="urn:schemas-microsoft-com:office:smarttags" w:element="PlaceName">
                <w:r w:rsidRPr="00BC09E4">
                  <w:rPr>
                    <w:rFonts w:ascii="Arial Narrow" w:hAnsi="Arial Narrow" w:cs="Arial"/>
                    <w:b/>
                    <w:sz w:val="20"/>
                    <w:szCs w:val="20"/>
                  </w:rPr>
                  <w:t>Massachusetts</w:t>
                </w:r>
              </w:smartTag>
            </w:smartTag>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w:t>
            </w:r>
            <w:r w:rsidRPr="00BC09E4">
              <w:rPr>
                <w:rFonts w:ascii="Arial Narrow" w:hAnsi="Arial Narrow" w:cs="Arial"/>
                <w:b/>
                <w:sz w:val="20"/>
                <w:szCs w:val="20"/>
              </w:rPr>
              <w:t>Thomas L. Weber,</w:t>
            </w:r>
            <w:r>
              <w:rPr>
                <w:rFonts w:ascii="Arial Narrow" w:hAnsi="Arial Narrow" w:cs="Arial"/>
                <w:b/>
                <w:sz w:val="20"/>
                <w:szCs w:val="20"/>
              </w:rPr>
              <w:t xml:space="preserve"> </w:t>
            </w:r>
            <w:r w:rsidRPr="00BC09E4">
              <w:rPr>
                <w:rFonts w:ascii="Arial Narrow" w:hAnsi="Arial Narrow" w:cs="Arial"/>
                <w:b/>
                <w:sz w:val="20"/>
                <w:szCs w:val="20"/>
              </w:rPr>
              <w:t>Commissioner</w:t>
            </w:r>
          </w:p>
        </w:tc>
      </w:tr>
    </w:tbl>
    <w:p w14:paraId="629FC87D" w14:textId="77777777" w:rsidR="007D4327" w:rsidRDefault="007D4327" w:rsidP="005E6747">
      <w:pPr>
        <w:spacing w:after="120"/>
        <w:jc w:val="center"/>
        <w:rPr>
          <w:rFonts w:ascii="Times New Roman" w:hAnsi="Times New Roman" w:cs="Times New Roman"/>
          <w:b/>
          <w:sz w:val="28"/>
        </w:rPr>
      </w:pPr>
    </w:p>
    <w:p w14:paraId="26DB53F5" w14:textId="77777777" w:rsidR="007D4327" w:rsidRDefault="007D4327" w:rsidP="005E6747">
      <w:pPr>
        <w:spacing w:after="120"/>
        <w:jc w:val="center"/>
        <w:rPr>
          <w:rFonts w:ascii="Times New Roman" w:hAnsi="Times New Roman" w:cs="Times New Roman"/>
          <w:b/>
          <w:sz w:val="28"/>
        </w:rPr>
      </w:pPr>
    </w:p>
    <w:p w14:paraId="47309633" w14:textId="77777777" w:rsidR="007D4327" w:rsidRDefault="007D4327" w:rsidP="005E6747">
      <w:pPr>
        <w:spacing w:after="120"/>
        <w:jc w:val="center"/>
        <w:rPr>
          <w:rFonts w:ascii="Times New Roman" w:hAnsi="Times New Roman" w:cs="Times New Roman"/>
          <w:b/>
          <w:sz w:val="28"/>
        </w:rPr>
      </w:pPr>
    </w:p>
    <w:p w14:paraId="2DFF0536" w14:textId="77777777" w:rsidR="007D4327" w:rsidRDefault="007D4327" w:rsidP="005E6747">
      <w:pPr>
        <w:spacing w:after="120"/>
        <w:jc w:val="center"/>
        <w:rPr>
          <w:rFonts w:ascii="Times New Roman" w:hAnsi="Times New Roman" w:cs="Times New Roman"/>
          <w:b/>
          <w:sz w:val="28"/>
        </w:rPr>
      </w:pPr>
    </w:p>
    <w:p w14:paraId="2B77A490" w14:textId="77777777" w:rsidR="007D4327" w:rsidRDefault="007D4327" w:rsidP="005E6747">
      <w:pPr>
        <w:spacing w:after="120"/>
        <w:jc w:val="center"/>
        <w:rPr>
          <w:rFonts w:ascii="Times New Roman" w:hAnsi="Times New Roman" w:cs="Times New Roman"/>
          <w:b/>
          <w:sz w:val="28"/>
        </w:rPr>
      </w:pPr>
    </w:p>
    <w:p w14:paraId="27F0E7C7" w14:textId="77777777" w:rsidR="007D4327" w:rsidRDefault="007D4327" w:rsidP="005E6747">
      <w:pPr>
        <w:spacing w:after="120"/>
        <w:jc w:val="center"/>
        <w:rPr>
          <w:rFonts w:ascii="Times New Roman" w:hAnsi="Times New Roman" w:cs="Times New Roman"/>
          <w:b/>
          <w:sz w:val="28"/>
        </w:rPr>
      </w:pPr>
    </w:p>
    <w:p w14:paraId="5FF8915C" w14:textId="77777777" w:rsidR="00DF2367" w:rsidRDefault="00DF2367" w:rsidP="005E6747">
      <w:pPr>
        <w:spacing w:after="120"/>
        <w:jc w:val="center"/>
        <w:rPr>
          <w:rFonts w:ascii="Times New Roman" w:hAnsi="Times New Roman" w:cs="Times New Roman"/>
          <w:b/>
          <w:sz w:val="28"/>
        </w:rPr>
      </w:pPr>
      <w:bookmarkStart w:id="0" w:name="_GoBack"/>
      <w:bookmarkEnd w:id="0"/>
    </w:p>
    <w:p w14:paraId="5DED6EFB" w14:textId="77777777" w:rsidR="00DF2367" w:rsidRDefault="00DF2367" w:rsidP="005E6747">
      <w:pPr>
        <w:spacing w:after="120"/>
        <w:jc w:val="center"/>
        <w:rPr>
          <w:rFonts w:ascii="Times New Roman" w:hAnsi="Times New Roman" w:cs="Times New Roman"/>
          <w:b/>
          <w:sz w:val="28"/>
        </w:rPr>
      </w:pPr>
    </w:p>
    <w:p w14:paraId="78C776FC" w14:textId="77777777" w:rsidR="00E656B8" w:rsidRPr="007D4327" w:rsidRDefault="007D4327" w:rsidP="007D4327">
      <w:pPr>
        <w:spacing w:after="120"/>
        <w:rPr>
          <w:rFonts w:ascii="Times New Roman" w:hAnsi="Times New Roman" w:cs="Times New Roman"/>
          <w:b/>
          <w:sz w:val="36"/>
          <w:szCs w:val="36"/>
        </w:rPr>
      </w:pPr>
      <w:r w:rsidRPr="007D4327">
        <w:rPr>
          <w:rFonts w:ascii="Times New Roman" w:hAnsi="Times New Roman" w:cs="Times New Roman"/>
          <w:b/>
          <w:sz w:val="36"/>
          <w:szCs w:val="36"/>
        </w:rPr>
        <w:t xml:space="preserve">Report on the </w:t>
      </w:r>
      <w:r w:rsidR="00E656B8" w:rsidRPr="007D4327">
        <w:rPr>
          <w:rFonts w:ascii="Times New Roman" w:hAnsi="Times New Roman" w:cs="Times New Roman"/>
          <w:b/>
          <w:sz w:val="36"/>
          <w:szCs w:val="36"/>
        </w:rPr>
        <w:t xml:space="preserve">Commonwealth </w:t>
      </w:r>
      <w:r w:rsidR="00C54B86" w:rsidRPr="007D4327">
        <w:rPr>
          <w:rFonts w:ascii="Times New Roman" w:hAnsi="Times New Roman" w:cs="Times New Roman"/>
          <w:b/>
          <w:sz w:val="36"/>
          <w:szCs w:val="36"/>
        </w:rPr>
        <w:t xml:space="preserve">Preschool </w:t>
      </w:r>
      <w:r w:rsidR="00D7514F" w:rsidRPr="007D4327">
        <w:rPr>
          <w:rFonts w:ascii="Times New Roman" w:hAnsi="Times New Roman" w:cs="Times New Roman"/>
          <w:b/>
          <w:sz w:val="36"/>
          <w:szCs w:val="36"/>
        </w:rPr>
        <w:t>Partnership</w:t>
      </w:r>
      <w:r w:rsidR="002D4DCC" w:rsidRPr="007D4327">
        <w:rPr>
          <w:rFonts w:ascii="Times New Roman" w:hAnsi="Times New Roman" w:cs="Times New Roman"/>
          <w:b/>
          <w:sz w:val="36"/>
          <w:szCs w:val="36"/>
        </w:rPr>
        <w:t xml:space="preserve"> Grant </w:t>
      </w:r>
    </w:p>
    <w:p w14:paraId="172C9FA7" w14:textId="479F509E" w:rsidR="007D4327" w:rsidRDefault="00BD472C" w:rsidP="005E6747">
      <w:pPr>
        <w:spacing w:after="120"/>
        <w:rPr>
          <w:rFonts w:ascii="Times New Roman" w:hAnsi="Times New Roman" w:cs="Times New Roman"/>
          <w:sz w:val="24"/>
          <w:szCs w:val="24"/>
        </w:rPr>
      </w:pPr>
      <w:r>
        <w:rPr>
          <w:rFonts w:ascii="Times New Roman" w:hAnsi="Times New Roman" w:cs="Times New Roman"/>
          <w:sz w:val="24"/>
          <w:szCs w:val="24"/>
        </w:rPr>
        <w:t>December</w:t>
      </w:r>
      <w:r w:rsidR="007D4327" w:rsidRPr="007D4327">
        <w:rPr>
          <w:rFonts w:ascii="Times New Roman" w:hAnsi="Times New Roman" w:cs="Times New Roman"/>
          <w:sz w:val="24"/>
          <w:szCs w:val="24"/>
        </w:rPr>
        <w:t>, 2016</w:t>
      </w:r>
    </w:p>
    <w:p w14:paraId="25F5981F" w14:textId="77777777" w:rsidR="004C506F" w:rsidRDefault="004C506F" w:rsidP="005E6747">
      <w:pPr>
        <w:spacing w:after="120"/>
        <w:rPr>
          <w:rFonts w:ascii="Times New Roman" w:hAnsi="Times New Roman" w:cs="Times New Roman"/>
          <w:sz w:val="24"/>
          <w:szCs w:val="24"/>
        </w:rPr>
      </w:pPr>
    </w:p>
    <w:p w14:paraId="59D9978E" w14:textId="77777777" w:rsidR="004C506F" w:rsidRDefault="004C506F" w:rsidP="005E6747">
      <w:pPr>
        <w:spacing w:after="120"/>
        <w:rPr>
          <w:rFonts w:ascii="Times New Roman" w:hAnsi="Times New Roman" w:cs="Times New Roman"/>
          <w:sz w:val="24"/>
          <w:szCs w:val="24"/>
        </w:rPr>
      </w:pPr>
    </w:p>
    <w:p w14:paraId="0B980891" w14:textId="77777777" w:rsidR="004C506F" w:rsidRDefault="004C506F" w:rsidP="005E6747">
      <w:pPr>
        <w:spacing w:after="120"/>
        <w:rPr>
          <w:rFonts w:ascii="Times New Roman" w:hAnsi="Times New Roman" w:cs="Times New Roman"/>
          <w:sz w:val="24"/>
          <w:szCs w:val="24"/>
        </w:rPr>
      </w:pPr>
    </w:p>
    <w:p w14:paraId="628D5E51" w14:textId="77777777" w:rsidR="004C506F" w:rsidRDefault="004C506F" w:rsidP="005E6747">
      <w:pPr>
        <w:spacing w:after="120"/>
        <w:rPr>
          <w:rFonts w:ascii="Times New Roman" w:hAnsi="Times New Roman" w:cs="Times New Roman"/>
          <w:sz w:val="24"/>
          <w:szCs w:val="24"/>
        </w:rPr>
      </w:pPr>
    </w:p>
    <w:p w14:paraId="646839BE" w14:textId="77777777" w:rsidR="004C506F" w:rsidRDefault="004C506F" w:rsidP="005E6747">
      <w:pPr>
        <w:spacing w:after="120"/>
        <w:rPr>
          <w:rFonts w:ascii="Times New Roman" w:hAnsi="Times New Roman" w:cs="Times New Roman"/>
          <w:sz w:val="24"/>
          <w:szCs w:val="24"/>
        </w:rPr>
      </w:pPr>
    </w:p>
    <w:p w14:paraId="0D7C1295" w14:textId="77777777" w:rsidR="004C506F" w:rsidRDefault="004C506F" w:rsidP="005E6747">
      <w:pPr>
        <w:spacing w:after="120"/>
        <w:rPr>
          <w:rFonts w:ascii="Times New Roman" w:hAnsi="Times New Roman" w:cs="Times New Roman"/>
          <w:sz w:val="24"/>
          <w:szCs w:val="24"/>
        </w:rPr>
      </w:pPr>
    </w:p>
    <w:p w14:paraId="6BE18876" w14:textId="77777777" w:rsidR="004C506F" w:rsidRDefault="004C506F" w:rsidP="005E6747">
      <w:pPr>
        <w:spacing w:after="120"/>
        <w:rPr>
          <w:rFonts w:ascii="Times New Roman" w:hAnsi="Times New Roman" w:cs="Times New Roman"/>
          <w:sz w:val="24"/>
          <w:szCs w:val="24"/>
        </w:rPr>
      </w:pPr>
    </w:p>
    <w:p w14:paraId="463D08C2" w14:textId="77777777" w:rsidR="004C506F" w:rsidRDefault="004C506F" w:rsidP="005E6747">
      <w:pPr>
        <w:spacing w:after="120"/>
        <w:rPr>
          <w:rFonts w:ascii="Times New Roman" w:hAnsi="Times New Roman" w:cs="Times New Roman"/>
          <w:sz w:val="24"/>
          <w:szCs w:val="24"/>
        </w:rPr>
      </w:pPr>
    </w:p>
    <w:p w14:paraId="2E85D7EA" w14:textId="77777777" w:rsidR="004C506F" w:rsidRDefault="004C506F" w:rsidP="005E6747">
      <w:pPr>
        <w:spacing w:after="120"/>
        <w:rPr>
          <w:rFonts w:ascii="Times New Roman" w:hAnsi="Times New Roman" w:cs="Times New Roman"/>
          <w:sz w:val="24"/>
          <w:szCs w:val="24"/>
        </w:rPr>
      </w:pPr>
    </w:p>
    <w:p w14:paraId="5FB8F2E3" w14:textId="77777777" w:rsidR="004C506F" w:rsidRDefault="004C506F" w:rsidP="005E6747">
      <w:pPr>
        <w:spacing w:after="120"/>
        <w:rPr>
          <w:rFonts w:ascii="Times New Roman" w:hAnsi="Times New Roman" w:cs="Times New Roman"/>
          <w:sz w:val="24"/>
          <w:szCs w:val="24"/>
        </w:rPr>
      </w:pPr>
    </w:p>
    <w:p w14:paraId="554AE839" w14:textId="77777777" w:rsidR="004C506F" w:rsidRDefault="004C506F" w:rsidP="005E6747">
      <w:pPr>
        <w:spacing w:after="120"/>
        <w:rPr>
          <w:rFonts w:ascii="Times New Roman" w:hAnsi="Times New Roman" w:cs="Times New Roman"/>
          <w:sz w:val="24"/>
          <w:szCs w:val="24"/>
        </w:rPr>
      </w:pPr>
    </w:p>
    <w:p w14:paraId="35BBB2EA" w14:textId="77777777" w:rsidR="004C506F" w:rsidRDefault="004C506F" w:rsidP="005E6747">
      <w:pPr>
        <w:spacing w:after="120"/>
        <w:rPr>
          <w:rFonts w:ascii="Times New Roman" w:hAnsi="Times New Roman" w:cs="Times New Roman"/>
          <w:sz w:val="24"/>
          <w:szCs w:val="24"/>
        </w:rPr>
      </w:pPr>
    </w:p>
    <w:p w14:paraId="7CCB9D89" w14:textId="77777777" w:rsidR="004C506F" w:rsidRDefault="004C506F" w:rsidP="005E6747">
      <w:pPr>
        <w:spacing w:after="120"/>
        <w:rPr>
          <w:rFonts w:ascii="Times New Roman" w:hAnsi="Times New Roman" w:cs="Times New Roman"/>
          <w:sz w:val="24"/>
          <w:szCs w:val="24"/>
        </w:rPr>
      </w:pPr>
    </w:p>
    <w:p w14:paraId="2A678B81" w14:textId="77777777" w:rsidR="004C506F" w:rsidRDefault="004C506F" w:rsidP="005E6747">
      <w:pPr>
        <w:spacing w:after="120"/>
        <w:rPr>
          <w:rFonts w:ascii="Times New Roman" w:hAnsi="Times New Roman" w:cs="Times New Roman"/>
          <w:sz w:val="24"/>
          <w:szCs w:val="24"/>
        </w:rPr>
      </w:pPr>
    </w:p>
    <w:p w14:paraId="615F9BB8" w14:textId="77777777" w:rsidR="004C506F" w:rsidRDefault="004C506F" w:rsidP="004C506F">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51 Sleeper St. 4th Floor </w:t>
      </w:r>
      <w:smartTag w:uri="urn:schemas-microsoft-com:office:smarttags" w:element="place">
        <w:smartTag w:uri="urn:schemas-microsoft-com:office:smarttags" w:element="City">
          <w:r>
            <w:rPr>
              <w:rFonts w:ascii="Helvetica" w:hAnsi="Helvetica" w:cs="Helvetica-Condensed"/>
              <w:color w:val="000000"/>
              <w:sz w:val="18"/>
              <w:szCs w:val="18"/>
            </w:rPr>
            <w:t>Boston</w:t>
          </w:r>
        </w:smartTag>
        <w:r>
          <w:rPr>
            <w:rFonts w:ascii="Helvetica" w:hAnsi="Helvetica" w:cs="Helvetica-Condensed"/>
            <w:color w:val="000000"/>
            <w:sz w:val="18"/>
            <w:szCs w:val="18"/>
          </w:rPr>
          <w:t xml:space="preserve">, </w:t>
        </w:r>
        <w:smartTag w:uri="urn:schemas-microsoft-com:office:smarttags" w:element="State">
          <w:r>
            <w:rPr>
              <w:rFonts w:ascii="Helvetica" w:hAnsi="Helvetica" w:cs="Helvetica-Condensed"/>
              <w:color w:val="000000"/>
              <w:sz w:val="18"/>
              <w:szCs w:val="18"/>
            </w:rPr>
            <w:t>MA</w:t>
          </w:r>
        </w:smartTag>
        <w:r>
          <w:rPr>
            <w:rFonts w:ascii="Helvetica" w:hAnsi="Helvetica" w:cs="Helvetica-Condensed"/>
            <w:color w:val="000000"/>
            <w:sz w:val="18"/>
            <w:szCs w:val="18"/>
          </w:rPr>
          <w:t xml:space="preserve"> </w:t>
        </w:r>
        <w:smartTag w:uri="urn:schemas-microsoft-com:office:smarttags" w:element="PostalCode">
          <w:r>
            <w:rPr>
              <w:rFonts w:ascii="Helvetica" w:hAnsi="Helvetica" w:cs="Helvetica-Condensed"/>
              <w:color w:val="000000"/>
              <w:sz w:val="18"/>
              <w:szCs w:val="18"/>
            </w:rPr>
            <w:t>02210</w:t>
          </w:r>
        </w:smartTag>
      </w:smartTag>
      <w:r>
        <w:rPr>
          <w:rFonts w:ascii="Helvetica" w:hAnsi="Helvetica" w:cs="Helvetica-Condensed"/>
          <w:color w:val="000000"/>
          <w:sz w:val="18"/>
          <w:szCs w:val="18"/>
        </w:rPr>
        <w:t xml:space="preserve"> </w:t>
      </w:r>
    </w:p>
    <w:p w14:paraId="2BE5C31A" w14:textId="77777777" w:rsidR="004C506F" w:rsidRPr="002122FB" w:rsidRDefault="004C506F" w:rsidP="004C506F">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617-988-6600 </w:t>
      </w:r>
      <w:r w:rsidRPr="00FA6FB0">
        <w:rPr>
          <w:rFonts w:ascii="Helvetica" w:hAnsi="Helvetica" w:cs="Helvetica-Condensed"/>
          <w:color w:val="000000"/>
          <w:sz w:val="18"/>
          <w:szCs w:val="18"/>
        </w:rPr>
        <w:t>•</w:t>
      </w:r>
      <w:r>
        <w:rPr>
          <w:rFonts w:ascii="Helvetica" w:hAnsi="Helvetica" w:cs="Helvetica-Condensed"/>
          <w:color w:val="000000"/>
          <w:sz w:val="18"/>
          <w:szCs w:val="18"/>
        </w:rPr>
        <w:t xml:space="preserve"> Fax: 617-988-2451</w:t>
      </w:r>
      <w:r w:rsidRPr="0085037E">
        <w:rPr>
          <w:rFonts w:ascii="Helvetica" w:hAnsi="Helvetica" w:cs="Helvetica-Condensed"/>
          <w:color w:val="000000"/>
          <w:sz w:val="18"/>
          <w:szCs w:val="18"/>
        </w:rPr>
        <w:t xml:space="preserve"> </w:t>
      </w:r>
      <w:r w:rsidRPr="00FA6FB0">
        <w:rPr>
          <w:rFonts w:ascii="Helvetica" w:hAnsi="Helvetica" w:cs="Helvetica-Condensed"/>
          <w:color w:val="000000"/>
          <w:sz w:val="18"/>
          <w:szCs w:val="18"/>
        </w:rPr>
        <w:t xml:space="preserve">• </w:t>
      </w:r>
      <w:r>
        <w:rPr>
          <w:rFonts w:ascii="Helvetica" w:hAnsi="Helvetica" w:cs="Helvetica-Condensed"/>
          <w:color w:val="000000"/>
          <w:sz w:val="18"/>
          <w:szCs w:val="18"/>
        </w:rPr>
        <w:t>c</w:t>
      </w:r>
      <w:r w:rsidRPr="006072E6">
        <w:rPr>
          <w:rFonts w:ascii="Helvetica" w:hAnsi="Helvetica" w:cs="Helvetica-Condensed"/>
          <w:color w:val="000000"/>
          <w:sz w:val="18"/>
          <w:szCs w:val="18"/>
        </w:rPr>
        <w:t>ommissioners.office@state.ma.us</w:t>
      </w:r>
    </w:p>
    <w:p w14:paraId="287A8D72" w14:textId="2063AD67" w:rsidR="004C506F" w:rsidRDefault="00DD7166" w:rsidP="004C506F">
      <w:pPr>
        <w:autoSpaceDE w:val="0"/>
        <w:autoSpaceDN w:val="0"/>
        <w:adjustRightInd w:val="0"/>
        <w:spacing w:after="60"/>
        <w:ind w:right="-1440" w:hanging="1440"/>
        <w:jc w:val="center"/>
        <w:rPr>
          <w:rFonts w:ascii="Helvetica" w:hAnsi="Helvetica" w:cs="HelveticaNeue-MediumCond"/>
          <w:sz w:val="18"/>
          <w:szCs w:val="18"/>
        </w:rPr>
      </w:pPr>
      <w:hyperlink r:id="rId10" w:history="1">
        <w:r w:rsidR="00183402" w:rsidRPr="00DB48EA">
          <w:rPr>
            <w:rStyle w:val="Hyperlink"/>
            <w:rFonts w:ascii="Helvetica" w:hAnsi="Helvetica" w:cs="HelveticaNeue-MediumCond"/>
            <w:sz w:val="18"/>
            <w:szCs w:val="18"/>
          </w:rPr>
          <w:t>www.mass.gov/eec</w:t>
        </w:r>
      </w:hyperlink>
    </w:p>
    <w:p w14:paraId="09646F9F" w14:textId="77777777" w:rsidR="00183402" w:rsidRDefault="00183402" w:rsidP="004C506F">
      <w:pPr>
        <w:autoSpaceDE w:val="0"/>
        <w:autoSpaceDN w:val="0"/>
        <w:adjustRightInd w:val="0"/>
        <w:spacing w:after="60"/>
        <w:ind w:right="-1440" w:hanging="1440"/>
        <w:jc w:val="center"/>
        <w:rPr>
          <w:rFonts w:ascii="Helvetica" w:hAnsi="Helvetica" w:cs="HelveticaNeue-MediumCond"/>
          <w:color w:val="999999"/>
          <w:sz w:val="18"/>
          <w:szCs w:val="18"/>
        </w:rPr>
      </w:pPr>
    </w:p>
    <w:p w14:paraId="00910F75" w14:textId="77777777" w:rsidR="00DF2367" w:rsidRDefault="00DF2367">
      <w:pPr>
        <w:rPr>
          <w:rFonts w:ascii="Helvetica" w:hAnsi="Helvetica" w:cs="HelveticaNeue-MediumCond"/>
          <w:color w:val="999999"/>
          <w:sz w:val="18"/>
          <w:szCs w:val="18"/>
        </w:rPr>
      </w:pPr>
      <w:r>
        <w:rPr>
          <w:rFonts w:ascii="Helvetica" w:hAnsi="Helvetica" w:cs="HelveticaNeue-MediumCond"/>
          <w:color w:val="999999"/>
          <w:sz w:val="18"/>
          <w:szCs w:val="18"/>
        </w:rPr>
        <w:br w:type="page"/>
      </w:r>
    </w:p>
    <w:p w14:paraId="580AA217" w14:textId="77777777" w:rsidR="00DF2367" w:rsidRPr="00152179" w:rsidRDefault="00DF2367" w:rsidP="004C506F">
      <w:pPr>
        <w:autoSpaceDE w:val="0"/>
        <w:autoSpaceDN w:val="0"/>
        <w:adjustRightInd w:val="0"/>
        <w:spacing w:after="60"/>
        <w:ind w:right="-1440" w:hanging="1440"/>
        <w:jc w:val="center"/>
      </w:pPr>
    </w:p>
    <w:sdt>
      <w:sdtPr>
        <w:rPr>
          <w:rFonts w:ascii="Times New Roman" w:eastAsiaTheme="minorHAnsi" w:hAnsi="Times New Roman" w:cs="Times New Roman"/>
          <w:b w:val="0"/>
          <w:bCs w:val="0"/>
          <w:color w:val="auto"/>
          <w:sz w:val="24"/>
          <w:szCs w:val="24"/>
        </w:rPr>
        <w:id w:val="15937921"/>
        <w:docPartObj>
          <w:docPartGallery w:val="Table of Contents"/>
          <w:docPartUnique/>
        </w:docPartObj>
      </w:sdtPr>
      <w:sdtEndPr/>
      <w:sdtContent>
        <w:p w14:paraId="2AF93B1A" w14:textId="77777777" w:rsidR="00DA6D20" w:rsidRPr="00DA6D20" w:rsidRDefault="00DA6D20" w:rsidP="005E6747">
          <w:pPr>
            <w:pStyle w:val="TOCHeading"/>
            <w:spacing w:after="120"/>
            <w:rPr>
              <w:rFonts w:ascii="Times New Roman" w:hAnsi="Times New Roman" w:cs="Times New Roman"/>
              <w:sz w:val="24"/>
              <w:szCs w:val="24"/>
            </w:rPr>
          </w:pPr>
          <w:r w:rsidRPr="00DA6D20">
            <w:rPr>
              <w:rFonts w:ascii="Times New Roman" w:hAnsi="Times New Roman" w:cs="Times New Roman"/>
            </w:rPr>
            <w:t>Table of Contents</w:t>
          </w:r>
        </w:p>
        <w:p w14:paraId="365D2538" w14:textId="77777777" w:rsidR="00AA38D2" w:rsidRPr="002B7BA4" w:rsidRDefault="006460BA" w:rsidP="005E6747">
          <w:pPr>
            <w:pStyle w:val="TOC1"/>
            <w:tabs>
              <w:tab w:val="right" w:leader="dot" w:pos="9350"/>
            </w:tabs>
            <w:spacing w:after="120"/>
            <w:rPr>
              <w:rFonts w:ascii="Times New Roman" w:eastAsiaTheme="minorEastAsia" w:hAnsi="Times New Roman" w:cs="Times New Roman"/>
              <w:noProof/>
              <w:sz w:val="24"/>
              <w:szCs w:val="24"/>
            </w:rPr>
          </w:pPr>
          <w:r w:rsidRPr="002B7BA4">
            <w:rPr>
              <w:rFonts w:ascii="Times New Roman" w:hAnsi="Times New Roman" w:cs="Times New Roman"/>
              <w:sz w:val="24"/>
              <w:szCs w:val="24"/>
            </w:rPr>
            <w:fldChar w:fldCharType="begin"/>
          </w:r>
          <w:r w:rsidR="00DA6D20" w:rsidRPr="002B7BA4">
            <w:rPr>
              <w:rFonts w:ascii="Times New Roman" w:hAnsi="Times New Roman" w:cs="Times New Roman"/>
              <w:sz w:val="24"/>
              <w:szCs w:val="24"/>
            </w:rPr>
            <w:instrText xml:space="preserve"> TOC \o "1-3" \h \z \u </w:instrText>
          </w:r>
          <w:r w:rsidRPr="002B7BA4">
            <w:rPr>
              <w:rFonts w:ascii="Times New Roman" w:hAnsi="Times New Roman" w:cs="Times New Roman"/>
              <w:sz w:val="24"/>
              <w:szCs w:val="24"/>
            </w:rPr>
            <w:fldChar w:fldCharType="separate"/>
          </w:r>
          <w:hyperlink w:anchor="_Toc462828759" w:history="1">
            <w:r w:rsidR="00AA38D2" w:rsidRPr="002B7BA4">
              <w:rPr>
                <w:rStyle w:val="Hyperlink"/>
                <w:rFonts w:ascii="Times New Roman" w:hAnsi="Times New Roman" w:cs="Times New Roman"/>
                <w:noProof/>
                <w:sz w:val="24"/>
                <w:szCs w:val="24"/>
              </w:rPr>
              <w:t>I. Overview of the Commonwealth Preschool Expansion Grant</w:t>
            </w:r>
            <w:r w:rsidR="00AA38D2" w:rsidRPr="002B7BA4">
              <w:rPr>
                <w:rFonts w:ascii="Times New Roman" w:hAnsi="Times New Roman" w:cs="Times New Roman"/>
                <w:noProof/>
                <w:webHidden/>
                <w:sz w:val="24"/>
                <w:szCs w:val="24"/>
              </w:rPr>
              <w:tab/>
            </w:r>
            <w:r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_Toc462828759 \h </w:instrText>
            </w:r>
            <w:r w:rsidRPr="002B7BA4">
              <w:rPr>
                <w:rFonts w:ascii="Times New Roman" w:hAnsi="Times New Roman" w:cs="Times New Roman"/>
                <w:noProof/>
                <w:webHidden/>
                <w:sz w:val="24"/>
                <w:szCs w:val="24"/>
              </w:rPr>
            </w:r>
            <w:r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3</w:t>
            </w:r>
            <w:r w:rsidRPr="002B7BA4">
              <w:rPr>
                <w:rFonts w:ascii="Times New Roman" w:hAnsi="Times New Roman" w:cs="Times New Roman"/>
                <w:noProof/>
                <w:webHidden/>
                <w:sz w:val="24"/>
                <w:szCs w:val="24"/>
              </w:rPr>
              <w:fldChar w:fldCharType="end"/>
            </w:r>
          </w:hyperlink>
        </w:p>
        <w:p w14:paraId="2E69A7D7" w14:textId="77777777" w:rsidR="00AA38D2" w:rsidRPr="002B7BA4" w:rsidRDefault="00DD7166" w:rsidP="005E6747">
          <w:pPr>
            <w:pStyle w:val="TOC1"/>
            <w:tabs>
              <w:tab w:val="right" w:leader="dot" w:pos="9350"/>
            </w:tabs>
            <w:spacing w:after="120"/>
            <w:rPr>
              <w:rFonts w:ascii="Times New Roman" w:eastAsiaTheme="minorEastAsia" w:hAnsi="Times New Roman" w:cs="Times New Roman"/>
              <w:noProof/>
              <w:sz w:val="24"/>
              <w:szCs w:val="24"/>
            </w:rPr>
          </w:pPr>
          <w:hyperlink w:anchor="_Toc462828760" w:history="1">
            <w:r w:rsidR="00AA38D2" w:rsidRPr="002B7BA4">
              <w:rPr>
                <w:rStyle w:val="Hyperlink"/>
                <w:rFonts w:ascii="Times New Roman" w:hAnsi="Times New Roman" w:cs="Times New Roman"/>
                <w:noProof/>
                <w:sz w:val="24"/>
                <w:szCs w:val="24"/>
              </w:rPr>
              <w:t>II. Local Community Strategic Plans for Preschool Expansion</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_Toc462828760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3</w:t>
            </w:r>
            <w:r w:rsidR="006460BA" w:rsidRPr="002B7BA4">
              <w:rPr>
                <w:rFonts w:ascii="Times New Roman" w:hAnsi="Times New Roman" w:cs="Times New Roman"/>
                <w:noProof/>
                <w:webHidden/>
                <w:sz w:val="24"/>
                <w:szCs w:val="24"/>
              </w:rPr>
              <w:fldChar w:fldCharType="end"/>
            </w:r>
          </w:hyperlink>
        </w:p>
        <w:p w14:paraId="2658BC6C" w14:textId="77777777" w:rsidR="00AA38D2" w:rsidRPr="002B7BA4" w:rsidRDefault="00DD7166" w:rsidP="005E6747">
          <w:pPr>
            <w:pStyle w:val="TOC2"/>
            <w:tabs>
              <w:tab w:val="right" w:leader="dot" w:pos="9350"/>
            </w:tabs>
            <w:spacing w:after="120"/>
            <w:rPr>
              <w:rFonts w:ascii="Times New Roman" w:eastAsiaTheme="minorEastAsia" w:hAnsi="Times New Roman" w:cs="Times New Roman"/>
              <w:noProof/>
              <w:sz w:val="24"/>
              <w:szCs w:val="24"/>
            </w:rPr>
          </w:pPr>
          <w:hyperlink w:anchor="_Toc462828761" w:history="1">
            <w:r w:rsidR="00AA38D2" w:rsidRPr="002B7BA4">
              <w:rPr>
                <w:rStyle w:val="Hyperlink"/>
                <w:rFonts w:ascii="Times New Roman" w:hAnsi="Times New Roman" w:cs="Times New Roman"/>
                <w:noProof/>
                <w:sz w:val="24"/>
                <w:szCs w:val="24"/>
              </w:rPr>
              <w:t>Partnerships and Planning</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_Toc462828761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5</w:t>
            </w:r>
            <w:r w:rsidR="006460BA" w:rsidRPr="002B7BA4">
              <w:rPr>
                <w:rFonts w:ascii="Times New Roman" w:hAnsi="Times New Roman" w:cs="Times New Roman"/>
                <w:noProof/>
                <w:webHidden/>
                <w:sz w:val="24"/>
                <w:szCs w:val="24"/>
              </w:rPr>
              <w:fldChar w:fldCharType="end"/>
            </w:r>
          </w:hyperlink>
        </w:p>
        <w:p w14:paraId="3541427E" w14:textId="77777777" w:rsidR="00AA38D2" w:rsidRPr="002B7BA4" w:rsidRDefault="00DD7166" w:rsidP="005E6747">
          <w:pPr>
            <w:pStyle w:val="TOC2"/>
            <w:tabs>
              <w:tab w:val="right" w:leader="dot" w:pos="9350"/>
            </w:tabs>
            <w:spacing w:after="120"/>
            <w:rPr>
              <w:rFonts w:ascii="Times New Roman" w:eastAsiaTheme="minorEastAsia" w:hAnsi="Times New Roman" w:cs="Times New Roman"/>
              <w:noProof/>
              <w:sz w:val="24"/>
              <w:szCs w:val="24"/>
            </w:rPr>
          </w:pPr>
          <w:hyperlink w:anchor="_Toc462828762" w:history="1">
            <w:r w:rsidR="00AA38D2" w:rsidRPr="002B7BA4">
              <w:rPr>
                <w:rStyle w:val="Hyperlink"/>
                <w:rFonts w:ascii="Times New Roman" w:hAnsi="Times New Roman" w:cs="Times New Roman"/>
                <w:noProof/>
                <w:sz w:val="24"/>
                <w:szCs w:val="24"/>
              </w:rPr>
              <w:t>Needs in the Community</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_Toc462828762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6</w:t>
            </w:r>
            <w:r w:rsidR="006460BA" w:rsidRPr="002B7BA4">
              <w:rPr>
                <w:rFonts w:ascii="Times New Roman" w:hAnsi="Times New Roman" w:cs="Times New Roman"/>
                <w:noProof/>
                <w:webHidden/>
                <w:sz w:val="24"/>
                <w:szCs w:val="24"/>
              </w:rPr>
              <w:fldChar w:fldCharType="end"/>
            </w:r>
          </w:hyperlink>
        </w:p>
        <w:p w14:paraId="23A0ABA6" w14:textId="77777777" w:rsidR="00AA38D2" w:rsidRPr="002B7BA4" w:rsidRDefault="00DD7166" w:rsidP="005E6747">
          <w:pPr>
            <w:pStyle w:val="TOC3"/>
            <w:tabs>
              <w:tab w:val="right" w:leader="dot" w:pos="9350"/>
            </w:tabs>
            <w:spacing w:after="120"/>
            <w:rPr>
              <w:rFonts w:ascii="Times New Roman" w:hAnsi="Times New Roman" w:cs="Times New Roman"/>
              <w:noProof/>
              <w:sz w:val="24"/>
              <w:szCs w:val="24"/>
            </w:rPr>
          </w:pPr>
          <w:hyperlink w:anchor="_Toc462828763" w:history="1">
            <w:r w:rsidR="00AA38D2" w:rsidRPr="002B7BA4">
              <w:rPr>
                <w:rStyle w:val="Hyperlink"/>
                <w:rFonts w:ascii="Times New Roman" w:hAnsi="Times New Roman" w:cs="Times New Roman"/>
                <w:noProof/>
                <w:sz w:val="24"/>
                <w:szCs w:val="24"/>
              </w:rPr>
              <w:t>Children and Families</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_Toc462828763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6</w:t>
            </w:r>
            <w:r w:rsidR="006460BA" w:rsidRPr="002B7BA4">
              <w:rPr>
                <w:rFonts w:ascii="Times New Roman" w:hAnsi="Times New Roman" w:cs="Times New Roman"/>
                <w:noProof/>
                <w:webHidden/>
                <w:sz w:val="24"/>
                <w:szCs w:val="24"/>
              </w:rPr>
              <w:fldChar w:fldCharType="end"/>
            </w:r>
          </w:hyperlink>
        </w:p>
        <w:p w14:paraId="65E5CAE8" w14:textId="77777777" w:rsidR="00AA38D2" w:rsidRPr="002B7BA4" w:rsidRDefault="00DD7166" w:rsidP="005E6747">
          <w:pPr>
            <w:pStyle w:val="TOC3"/>
            <w:tabs>
              <w:tab w:val="right" w:leader="dot" w:pos="9350"/>
            </w:tabs>
            <w:spacing w:after="120"/>
            <w:rPr>
              <w:rFonts w:ascii="Times New Roman" w:hAnsi="Times New Roman" w:cs="Times New Roman"/>
              <w:noProof/>
              <w:sz w:val="24"/>
              <w:szCs w:val="24"/>
            </w:rPr>
          </w:pPr>
          <w:hyperlink w:anchor="_Toc462828764" w:history="1">
            <w:r w:rsidR="00AA38D2" w:rsidRPr="002B7BA4">
              <w:rPr>
                <w:rStyle w:val="Hyperlink"/>
                <w:rFonts w:ascii="Times New Roman" w:hAnsi="Times New Roman" w:cs="Times New Roman"/>
                <w:noProof/>
                <w:sz w:val="24"/>
                <w:szCs w:val="24"/>
              </w:rPr>
              <w:t>Programs</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_Toc462828764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7</w:t>
            </w:r>
            <w:r w:rsidR="006460BA" w:rsidRPr="002B7BA4">
              <w:rPr>
                <w:rFonts w:ascii="Times New Roman" w:hAnsi="Times New Roman" w:cs="Times New Roman"/>
                <w:noProof/>
                <w:webHidden/>
                <w:sz w:val="24"/>
                <w:szCs w:val="24"/>
              </w:rPr>
              <w:fldChar w:fldCharType="end"/>
            </w:r>
          </w:hyperlink>
        </w:p>
        <w:p w14:paraId="3BA60AB0" w14:textId="77777777" w:rsidR="00AA38D2" w:rsidRPr="002B7BA4" w:rsidRDefault="00DD7166" w:rsidP="005E6747">
          <w:pPr>
            <w:pStyle w:val="TOC2"/>
            <w:tabs>
              <w:tab w:val="right" w:leader="dot" w:pos="9350"/>
            </w:tabs>
            <w:spacing w:after="120"/>
            <w:rPr>
              <w:rFonts w:ascii="Times New Roman" w:eastAsiaTheme="minorEastAsia" w:hAnsi="Times New Roman" w:cs="Times New Roman"/>
              <w:noProof/>
              <w:sz w:val="24"/>
              <w:szCs w:val="24"/>
            </w:rPr>
          </w:pPr>
          <w:hyperlink w:anchor="_Toc462828765" w:history="1">
            <w:r w:rsidR="00AA38D2" w:rsidRPr="002B7BA4">
              <w:rPr>
                <w:rStyle w:val="Hyperlink"/>
                <w:rFonts w:ascii="Times New Roman" w:hAnsi="Times New Roman" w:cs="Times New Roman"/>
                <w:noProof/>
                <w:sz w:val="24"/>
                <w:szCs w:val="24"/>
              </w:rPr>
              <w:t>Design of Preschool Programs</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_Toc462828765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8</w:t>
            </w:r>
            <w:r w:rsidR="006460BA" w:rsidRPr="002B7BA4">
              <w:rPr>
                <w:rFonts w:ascii="Times New Roman" w:hAnsi="Times New Roman" w:cs="Times New Roman"/>
                <w:noProof/>
                <w:webHidden/>
                <w:sz w:val="24"/>
                <w:szCs w:val="24"/>
              </w:rPr>
              <w:fldChar w:fldCharType="end"/>
            </w:r>
          </w:hyperlink>
        </w:p>
        <w:p w14:paraId="6BF4C4B2" w14:textId="77777777" w:rsidR="00AA38D2" w:rsidRPr="002B7BA4" w:rsidRDefault="00DD7166" w:rsidP="005E6747">
          <w:pPr>
            <w:pStyle w:val="TOC3"/>
            <w:tabs>
              <w:tab w:val="right" w:leader="dot" w:pos="9350"/>
            </w:tabs>
            <w:spacing w:after="120"/>
            <w:rPr>
              <w:rFonts w:ascii="Times New Roman" w:hAnsi="Times New Roman" w:cs="Times New Roman"/>
              <w:noProof/>
              <w:sz w:val="24"/>
              <w:szCs w:val="24"/>
            </w:rPr>
          </w:pPr>
          <w:hyperlink w:anchor="_Toc462828766" w:history="1">
            <w:r w:rsidR="00AA38D2" w:rsidRPr="002B7BA4">
              <w:rPr>
                <w:rStyle w:val="Hyperlink"/>
                <w:rFonts w:ascii="Times New Roman" w:hAnsi="Times New Roman" w:cs="Times New Roman"/>
                <w:noProof/>
                <w:sz w:val="24"/>
                <w:szCs w:val="24"/>
              </w:rPr>
              <w:t>New and Expansion Classrooms</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_Toc462828766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9</w:t>
            </w:r>
            <w:r w:rsidR="006460BA" w:rsidRPr="002B7BA4">
              <w:rPr>
                <w:rFonts w:ascii="Times New Roman" w:hAnsi="Times New Roman" w:cs="Times New Roman"/>
                <w:noProof/>
                <w:webHidden/>
                <w:sz w:val="24"/>
                <w:szCs w:val="24"/>
              </w:rPr>
              <w:fldChar w:fldCharType="end"/>
            </w:r>
          </w:hyperlink>
        </w:p>
        <w:p w14:paraId="282ADACD" w14:textId="77777777" w:rsidR="00AA38D2" w:rsidRPr="002B7BA4" w:rsidRDefault="00DD7166" w:rsidP="005E6747">
          <w:pPr>
            <w:pStyle w:val="TOC3"/>
            <w:tabs>
              <w:tab w:val="right" w:leader="dot" w:pos="9350"/>
            </w:tabs>
            <w:spacing w:after="120"/>
            <w:rPr>
              <w:rFonts w:ascii="Times New Roman" w:hAnsi="Times New Roman" w:cs="Times New Roman"/>
              <w:noProof/>
              <w:sz w:val="24"/>
              <w:szCs w:val="24"/>
            </w:rPr>
          </w:pPr>
          <w:hyperlink w:anchor="_Toc462828767" w:history="1">
            <w:r w:rsidR="00AA38D2" w:rsidRPr="002B7BA4">
              <w:rPr>
                <w:rStyle w:val="Hyperlink"/>
                <w:rFonts w:ascii="Times New Roman" w:hAnsi="Times New Roman" w:cs="Times New Roman"/>
                <w:noProof/>
                <w:sz w:val="24"/>
                <w:szCs w:val="24"/>
              </w:rPr>
              <w:t>Classrooms and Educators</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_Toc462828767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9</w:t>
            </w:r>
            <w:r w:rsidR="006460BA" w:rsidRPr="002B7BA4">
              <w:rPr>
                <w:rFonts w:ascii="Times New Roman" w:hAnsi="Times New Roman" w:cs="Times New Roman"/>
                <w:noProof/>
                <w:webHidden/>
                <w:sz w:val="24"/>
                <w:szCs w:val="24"/>
              </w:rPr>
              <w:fldChar w:fldCharType="end"/>
            </w:r>
          </w:hyperlink>
        </w:p>
        <w:p w14:paraId="0F18A0F3" w14:textId="77777777" w:rsidR="00AA38D2" w:rsidRPr="002B7BA4" w:rsidRDefault="00DD7166" w:rsidP="005E6747">
          <w:pPr>
            <w:pStyle w:val="TOC3"/>
            <w:tabs>
              <w:tab w:val="right" w:leader="dot" w:pos="9350"/>
            </w:tabs>
            <w:spacing w:after="120"/>
            <w:rPr>
              <w:rFonts w:ascii="Times New Roman" w:hAnsi="Times New Roman" w:cs="Times New Roman"/>
              <w:noProof/>
              <w:sz w:val="24"/>
              <w:szCs w:val="24"/>
            </w:rPr>
          </w:pPr>
          <w:hyperlink w:anchor="_Toc462828768" w:history="1">
            <w:r w:rsidR="00AA38D2" w:rsidRPr="002B7BA4">
              <w:rPr>
                <w:rStyle w:val="Hyperlink"/>
                <w:rFonts w:ascii="Times New Roman" w:hAnsi="Times New Roman" w:cs="Times New Roman"/>
                <w:noProof/>
                <w:sz w:val="24"/>
                <w:szCs w:val="24"/>
              </w:rPr>
              <w:t>Career Pathways and Professional Development</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_Toc462828768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10</w:t>
            </w:r>
            <w:r w:rsidR="006460BA" w:rsidRPr="002B7BA4">
              <w:rPr>
                <w:rFonts w:ascii="Times New Roman" w:hAnsi="Times New Roman" w:cs="Times New Roman"/>
                <w:noProof/>
                <w:webHidden/>
                <w:sz w:val="24"/>
                <w:szCs w:val="24"/>
              </w:rPr>
              <w:fldChar w:fldCharType="end"/>
            </w:r>
          </w:hyperlink>
        </w:p>
        <w:p w14:paraId="3EE33FC7" w14:textId="77777777" w:rsidR="00AA38D2" w:rsidRPr="002B7BA4" w:rsidRDefault="00DD7166" w:rsidP="005E6747">
          <w:pPr>
            <w:pStyle w:val="TOC3"/>
            <w:tabs>
              <w:tab w:val="right" w:leader="dot" w:pos="9350"/>
            </w:tabs>
            <w:spacing w:after="120"/>
            <w:rPr>
              <w:rFonts w:ascii="Times New Roman" w:hAnsi="Times New Roman" w:cs="Times New Roman"/>
              <w:noProof/>
              <w:sz w:val="24"/>
              <w:szCs w:val="24"/>
            </w:rPr>
          </w:pPr>
          <w:hyperlink w:anchor="_Toc462828769" w:history="1">
            <w:r w:rsidR="00AA38D2" w:rsidRPr="002B7BA4">
              <w:rPr>
                <w:rStyle w:val="Hyperlink"/>
                <w:rFonts w:ascii="Times New Roman" w:hAnsi="Times New Roman" w:cs="Times New Roman"/>
                <w:noProof/>
                <w:sz w:val="24"/>
                <w:szCs w:val="24"/>
              </w:rPr>
              <w:t>Transportation</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_Toc462828769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11</w:t>
            </w:r>
            <w:r w:rsidR="006460BA" w:rsidRPr="002B7BA4">
              <w:rPr>
                <w:rFonts w:ascii="Times New Roman" w:hAnsi="Times New Roman" w:cs="Times New Roman"/>
                <w:noProof/>
                <w:webHidden/>
                <w:sz w:val="24"/>
                <w:szCs w:val="24"/>
              </w:rPr>
              <w:fldChar w:fldCharType="end"/>
            </w:r>
          </w:hyperlink>
        </w:p>
        <w:p w14:paraId="2F12834B" w14:textId="77777777" w:rsidR="00AA38D2" w:rsidRPr="002B7BA4" w:rsidRDefault="00DD7166" w:rsidP="005E6747">
          <w:pPr>
            <w:pStyle w:val="TOC3"/>
            <w:tabs>
              <w:tab w:val="right" w:leader="dot" w:pos="9350"/>
            </w:tabs>
            <w:spacing w:after="120"/>
            <w:rPr>
              <w:rFonts w:ascii="Times New Roman" w:hAnsi="Times New Roman" w:cs="Times New Roman"/>
              <w:noProof/>
              <w:sz w:val="24"/>
              <w:szCs w:val="24"/>
            </w:rPr>
          </w:pPr>
          <w:hyperlink w:anchor="_Toc462828770" w:history="1">
            <w:r w:rsidR="00AA38D2" w:rsidRPr="002B7BA4">
              <w:rPr>
                <w:rStyle w:val="Hyperlink"/>
                <w:rFonts w:ascii="Times New Roman" w:hAnsi="Times New Roman" w:cs="Times New Roman"/>
                <w:noProof/>
                <w:sz w:val="24"/>
                <w:szCs w:val="24"/>
              </w:rPr>
              <w:t>Comprehensive Services, Family Engagement and Special Education</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_Toc462828770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11</w:t>
            </w:r>
            <w:r w:rsidR="006460BA" w:rsidRPr="002B7BA4">
              <w:rPr>
                <w:rFonts w:ascii="Times New Roman" w:hAnsi="Times New Roman" w:cs="Times New Roman"/>
                <w:noProof/>
                <w:webHidden/>
                <w:sz w:val="24"/>
                <w:szCs w:val="24"/>
              </w:rPr>
              <w:fldChar w:fldCharType="end"/>
            </w:r>
          </w:hyperlink>
        </w:p>
        <w:p w14:paraId="7443B174" w14:textId="77777777" w:rsidR="00AA38D2" w:rsidRPr="002B7BA4" w:rsidRDefault="00DD7166" w:rsidP="005E6747">
          <w:pPr>
            <w:pStyle w:val="TOC1"/>
            <w:tabs>
              <w:tab w:val="right" w:leader="dot" w:pos="9350"/>
            </w:tabs>
            <w:spacing w:after="120"/>
            <w:rPr>
              <w:rFonts w:ascii="Times New Roman" w:eastAsiaTheme="minorEastAsia" w:hAnsi="Times New Roman" w:cs="Times New Roman"/>
              <w:noProof/>
              <w:sz w:val="24"/>
              <w:szCs w:val="24"/>
            </w:rPr>
          </w:pPr>
          <w:hyperlink w:anchor="_Toc462828771" w:history="1">
            <w:r w:rsidR="00AA38D2" w:rsidRPr="002B7BA4">
              <w:rPr>
                <w:rStyle w:val="Hyperlink"/>
                <w:rFonts w:ascii="Times New Roman" w:hAnsi="Times New Roman" w:cs="Times New Roman"/>
                <w:noProof/>
                <w:sz w:val="24"/>
                <w:szCs w:val="24"/>
              </w:rPr>
              <w:t>III. Costs</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_Toc462828771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12</w:t>
            </w:r>
            <w:r w:rsidR="006460BA" w:rsidRPr="002B7BA4">
              <w:rPr>
                <w:rFonts w:ascii="Times New Roman" w:hAnsi="Times New Roman" w:cs="Times New Roman"/>
                <w:noProof/>
                <w:webHidden/>
                <w:sz w:val="24"/>
                <w:szCs w:val="24"/>
              </w:rPr>
              <w:fldChar w:fldCharType="end"/>
            </w:r>
          </w:hyperlink>
        </w:p>
        <w:p w14:paraId="63FBADD8" w14:textId="77777777" w:rsidR="00AA38D2" w:rsidRPr="002B7BA4" w:rsidRDefault="00DD7166" w:rsidP="005E6747">
          <w:pPr>
            <w:pStyle w:val="TOC1"/>
            <w:tabs>
              <w:tab w:val="right" w:leader="dot" w:pos="9350"/>
            </w:tabs>
            <w:spacing w:after="120"/>
            <w:rPr>
              <w:rFonts w:ascii="Times New Roman" w:eastAsiaTheme="minorEastAsia" w:hAnsi="Times New Roman" w:cs="Times New Roman"/>
              <w:noProof/>
              <w:sz w:val="24"/>
              <w:szCs w:val="24"/>
            </w:rPr>
          </w:pPr>
          <w:hyperlink w:anchor="_Toc462828772" w:history="1">
            <w:r w:rsidR="00AA38D2" w:rsidRPr="002B7BA4">
              <w:rPr>
                <w:rStyle w:val="Hyperlink"/>
                <w:rFonts w:ascii="Times New Roman" w:hAnsi="Times New Roman" w:cs="Times New Roman"/>
                <w:noProof/>
                <w:sz w:val="24"/>
                <w:szCs w:val="24"/>
              </w:rPr>
              <w:t>IV. Discussion</w:t>
            </w:r>
            <w:r w:rsidR="00AA38D2" w:rsidRPr="002B7BA4">
              <w:rPr>
                <w:rFonts w:ascii="Times New Roman" w:hAnsi="Times New Roman" w:cs="Times New Roman"/>
                <w:noProof/>
                <w:webHidden/>
                <w:sz w:val="24"/>
                <w:szCs w:val="24"/>
              </w:rPr>
              <w:tab/>
            </w:r>
            <w:r w:rsidR="006460BA" w:rsidRPr="002B7BA4">
              <w:rPr>
                <w:rFonts w:ascii="Times New Roman" w:hAnsi="Times New Roman" w:cs="Times New Roman"/>
                <w:noProof/>
                <w:webHidden/>
                <w:sz w:val="24"/>
                <w:szCs w:val="24"/>
              </w:rPr>
              <w:fldChar w:fldCharType="begin"/>
            </w:r>
            <w:r w:rsidR="00AA38D2" w:rsidRPr="002B7BA4">
              <w:rPr>
                <w:rFonts w:ascii="Times New Roman" w:hAnsi="Times New Roman" w:cs="Times New Roman"/>
                <w:noProof/>
                <w:webHidden/>
                <w:sz w:val="24"/>
                <w:szCs w:val="24"/>
              </w:rPr>
              <w:instrText xml:space="preserve"> PAGEREF _Toc462828772 \h </w:instrText>
            </w:r>
            <w:r w:rsidR="006460BA" w:rsidRPr="002B7BA4">
              <w:rPr>
                <w:rFonts w:ascii="Times New Roman" w:hAnsi="Times New Roman" w:cs="Times New Roman"/>
                <w:noProof/>
                <w:webHidden/>
                <w:sz w:val="24"/>
                <w:szCs w:val="24"/>
              </w:rPr>
            </w:r>
            <w:r w:rsidR="006460BA" w:rsidRPr="002B7BA4">
              <w:rPr>
                <w:rFonts w:ascii="Times New Roman" w:hAnsi="Times New Roman" w:cs="Times New Roman"/>
                <w:noProof/>
                <w:webHidden/>
                <w:sz w:val="24"/>
                <w:szCs w:val="24"/>
              </w:rPr>
              <w:fldChar w:fldCharType="separate"/>
            </w:r>
            <w:r w:rsidR="00AA38D2" w:rsidRPr="002B7BA4">
              <w:rPr>
                <w:rFonts w:ascii="Times New Roman" w:hAnsi="Times New Roman" w:cs="Times New Roman"/>
                <w:noProof/>
                <w:webHidden/>
                <w:sz w:val="24"/>
                <w:szCs w:val="24"/>
              </w:rPr>
              <w:t>12</w:t>
            </w:r>
            <w:r w:rsidR="006460BA" w:rsidRPr="002B7BA4">
              <w:rPr>
                <w:rFonts w:ascii="Times New Roman" w:hAnsi="Times New Roman" w:cs="Times New Roman"/>
                <w:noProof/>
                <w:webHidden/>
                <w:sz w:val="24"/>
                <w:szCs w:val="24"/>
              </w:rPr>
              <w:fldChar w:fldCharType="end"/>
            </w:r>
          </w:hyperlink>
        </w:p>
        <w:p w14:paraId="4949174D" w14:textId="77777777" w:rsidR="00DA6D20" w:rsidRPr="00DA6D20" w:rsidRDefault="006460BA" w:rsidP="005E6747">
          <w:pPr>
            <w:spacing w:after="120"/>
            <w:rPr>
              <w:rFonts w:ascii="Times New Roman" w:hAnsi="Times New Roman" w:cs="Times New Roman"/>
              <w:sz w:val="24"/>
              <w:szCs w:val="24"/>
            </w:rPr>
          </w:pPr>
          <w:r w:rsidRPr="002B7BA4">
            <w:rPr>
              <w:rFonts w:ascii="Times New Roman" w:hAnsi="Times New Roman" w:cs="Times New Roman"/>
              <w:sz w:val="24"/>
              <w:szCs w:val="24"/>
            </w:rPr>
            <w:fldChar w:fldCharType="end"/>
          </w:r>
        </w:p>
      </w:sdtContent>
    </w:sdt>
    <w:p w14:paraId="140FCB07" w14:textId="77777777" w:rsidR="00DA6D20" w:rsidRDefault="00DA6D20" w:rsidP="005E6747">
      <w:pPr>
        <w:spacing w:after="120"/>
        <w:rPr>
          <w:rFonts w:ascii="Times New Roman" w:hAnsi="Times New Roman" w:cs="Times New Roman"/>
          <w:b/>
          <w:sz w:val="28"/>
        </w:rPr>
      </w:pPr>
      <w:r>
        <w:rPr>
          <w:rFonts w:ascii="Times New Roman" w:hAnsi="Times New Roman" w:cs="Times New Roman"/>
          <w:b/>
          <w:sz w:val="28"/>
        </w:rPr>
        <w:br w:type="page"/>
      </w:r>
    </w:p>
    <w:p w14:paraId="5A165A5D" w14:textId="77777777" w:rsidR="00A55050" w:rsidRPr="0088178F" w:rsidRDefault="0088178F" w:rsidP="005E6747">
      <w:pPr>
        <w:pStyle w:val="Heading1"/>
        <w:spacing w:after="120"/>
        <w:rPr>
          <w:rStyle w:val="no0020spacingchar"/>
        </w:rPr>
      </w:pPr>
      <w:bookmarkStart w:id="1" w:name="_Toc462828759"/>
      <w:r w:rsidRPr="0088178F">
        <w:rPr>
          <w:rStyle w:val="no0020spacingchar"/>
        </w:rPr>
        <w:lastRenderedPageBreak/>
        <w:t xml:space="preserve">I. </w:t>
      </w:r>
      <w:r w:rsidR="00A55050" w:rsidRPr="0088178F">
        <w:rPr>
          <w:rStyle w:val="no0020spacingchar"/>
        </w:rPr>
        <w:t>Overview of the Commonwealth Preschool Expansion Grant</w:t>
      </w:r>
      <w:bookmarkEnd w:id="1"/>
      <w:r w:rsidR="00A55050" w:rsidRPr="0088178F">
        <w:rPr>
          <w:rStyle w:val="no0020spacingchar"/>
        </w:rPr>
        <w:t xml:space="preserve"> </w:t>
      </w:r>
    </w:p>
    <w:p w14:paraId="269586B7" w14:textId="77777777" w:rsidR="00A55050" w:rsidRDefault="00A55050" w:rsidP="005E6747">
      <w:pPr>
        <w:pStyle w:val="NoSpacing"/>
        <w:spacing w:after="120" w:line="276" w:lineRule="auto"/>
        <w:rPr>
          <w:rStyle w:val="no0020spacingchar"/>
          <w:rFonts w:ascii="Times New Roman" w:hAnsi="Times New Roman" w:cs="Times New Roman"/>
          <w:sz w:val="24"/>
        </w:rPr>
      </w:pPr>
    </w:p>
    <w:p w14:paraId="515DE7A8" w14:textId="65D8D1B1" w:rsidR="00A55050" w:rsidRDefault="00D34DF0" w:rsidP="005E6747">
      <w:pPr>
        <w:pStyle w:val="NoSpacing"/>
        <w:spacing w:after="120" w:line="276" w:lineRule="auto"/>
        <w:rPr>
          <w:rStyle w:val="no0020spacingchar"/>
          <w:rFonts w:ascii="Times New Roman" w:hAnsi="Times New Roman" w:cs="Times New Roman"/>
          <w:sz w:val="24"/>
        </w:rPr>
      </w:pPr>
      <w:r>
        <w:rPr>
          <w:rStyle w:val="no0020spacingchar"/>
          <w:rFonts w:ascii="Times New Roman" w:hAnsi="Times New Roman" w:cs="Times New Roman"/>
          <w:sz w:val="24"/>
        </w:rPr>
        <w:t xml:space="preserve">In 2015, the </w:t>
      </w:r>
      <w:r w:rsidRPr="00D34DF0">
        <w:rPr>
          <w:rStyle w:val="no0020spacingchar"/>
          <w:rFonts w:ascii="Times New Roman" w:hAnsi="Times New Roman" w:cs="Times New Roman"/>
          <w:sz w:val="24"/>
        </w:rPr>
        <w:t xml:space="preserve">Massachusetts Department of Early Education and Care (EEC) was awarded a federal Preschool Expansion Grant (PEG) from the U. S. Department of Education to expand high-quality early childhood education to four-year-old children whose families earn under 200 percent (200%) of the federal poverty line. </w:t>
      </w:r>
      <w:r>
        <w:rPr>
          <w:rStyle w:val="no0020spacingchar"/>
          <w:rFonts w:ascii="Times New Roman" w:hAnsi="Times New Roman" w:cs="Times New Roman"/>
          <w:sz w:val="24"/>
        </w:rPr>
        <w:t xml:space="preserve"> </w:t>
      </w:r>
      <w:r w:rsidRPr="00D34DF0">
        <w:rPr>
          <w:rStyle w:val="no0020spacingchar"/>
          <w:rFonts w:ascii="Times New Roman" w:hAnsi="Times New Roman" w:cs="Times New Roman"/>
          <w:sz w:val="24"/>
        </w:rPr>
        <w:t xml:space="preserve">Five high-need communities in Massachusetts -- Boston, Holyoke, Lawrence, Lowell, and Springfield -- are currently being funded through this federal grant to implement full-day, full-year preschool for four-year-olds through public-private partnerships between the local public school district as the lead education agency and two or three local licensed early learning providers. </w:t>
      </w:r>
      <w:r w:rsidR="00A55050">
        <w:rPr>
          <w:rStyle w:val="no0020spacingchar"/>
          <w:rFonts w:ascii="Times New Roman" w:hAnsi="Times New Roman" w:cs="Times New Roman"/>
          <w:sz w:val="24"/>
        </w:rPr>
        <w:t xml:space="preserve"> </w:t>
      </w:r>
    </w:p>
    <w:p w14:paraId="1A8CF552" w14:textId="77777777" w:rsidR="00A55050" w:rsidRDefault="00D34DF0" w:rsidP="005E6747">
      <w:pPr>
        <w:pStyle w:val="NoSpacing"/>
        <w:spacing w:after="120" w:line="276" w:lineRule="auto"/>
        <w:rPr>
          <w:rStyle w:val="no0020spacingchar"/>
          <w:rFonts w:ascii="Times New Roman" w:hAnsi="Times New Roman" w:cs="Times New Roman"/>
          <w:sz w:val="24"/>
          <w:szCs w:val="24"/>
        </w:rPr>
      </w:pPr>
      <w:r>
        <w:rPr>
          <w:rStyle w:val="no0020spacingchar"/>
          <w:rFonts w:ascii="Times New Roman" w:hAnsi="Times New Roman" w:cs="Times New Roman"/>
          <w:sz w:val="24"/>
        </w:rPr>
        <w:t xml:space="preserve">In </w:t>
      </w:r>
      <w:r w:rsidRPr="00D7514F">
        <w:rPr>
          <w:rStyle w:val="no0020spacingchar"/>
          <w:rFonts w:ascii="Times New Roman" w:hAnsi="Times New Roman" w:cs="Times New Roman"/>
          <w:sz w:val="24"/>
        </w:rPr>
        <w:t>FY1</w:t>
      </w:r>
      <w:r w:rsidR="00D7514F" w:rsidRPr="00D7514F">
        <w:rPr>
          <w:rStyle w:val="no0020spacingchar"/>
          <w:rFonts w:ascii="Times New Roman" w:hAnsi="Times New Roman" w:cs="Times New Roman"/>
          <w:sz w:val="24"/>
        </w:rPr>
        <w:t>6,</w:t>
      </w:r>
      <w:r w:rsidR="00D7514F">
        <w:rPr>
          <w:rStyle w:val="no0020spacingchar"/>
          <w:rFonts w:ascii="Times New Roman" w:hAnsi="Times New Roman" w:cs="Times New Roman"/>
          <w:color w:val="FF0000"/>
          <w:sz w:val="24"/>
        </w:rPr>
        <w:t xml:space="preserve"> </w:t>
      </w:r>
      <w:r>
        <w:rPr>
          <w:rStyle w:val="no0020spacingchar"/>
          <w:rFonts w:ascii="Times New Roman" w:hAnsi="Times New Roman" w:cs="Times New Roman"/>
          <w:sz w:val="24"/>
        </w:rPr>
        <w:t xml:space="preserve">the state established the </w:t>
      </w:r>
      <w:r w:rsidRPr="006C73FC">
        <w:rPr>
          <w:rStyle w:val="no0020spacingchar"/>
          <w:rFonts w:ascii="Times New Roman" w:hAnsi="Times New Roman" w:cs="Times New Roman"/>
          <w:b/>
          <w:sz w:val="24"/>
        </w:rPr>
        <w:t xml:space="preserve">Commonwealth Preschool </w:t>
      </w:r>
      <w:r w:rsidR="00D7514F">
        <w:rPr>
          <w:rStyle w:val="no0020spacingchar"/>
          <w:rFonts w:ascii="Times New Roman" w:hAnsi="Times New Roman" w:cs="Times New Roman"/>
          <w:b/>
          <w:sz w:val="24"/>
        </w:rPr>
        <w:t>Partnerships</w:t>
      </w:r>
      <w:r w:rsidRPr="006C73FC">
        <w:rPr>
          <w:rStyle w:val="no0020spacingchar"/>
          <w:rFonts w:ascii="Times New Roman" w:hAnsi="Times New Roman" w:cs="Times New Roman"/>
          <w:b/>
          <w:sz w:val="24"/>
        </w:rPr>
        <w:t xml:space="preserve"> Grant (Planning Grant)</w:t>
      </w:r>
      <w:r w:rsidR="00D7514F">
        <w:rPr>
          <w:rStyle w:val="no0020spacingchar"/>
          <w:rFonts w:ascii="Times New Roman" w:hAnsi="Times New Roman" w:cs="Times New Roman"/>
          <w:sz w:val="24"/>
        </w:rPr>
        <w:t xml:space="preserve"> in the amount of $500,000 </w:t>
      </w:r>
      <w:r w:rsidR="00A55050">
        <w:rPr>
          <w:rStyle w:val="no0020spacingchar"/>
          <w:rFonts w:ascii="Times New Roman" w:hAnsi="Times New Roman" w:cs="Times New Roman"/>
          <w:sz w:val="24"/>
        </w:rPr>
        <w:t>for</w:t>
      </w:r>
      <w:r>
        <w:rPr>
          <w:rStyle w:val="no0020spacingchar"/>
          <w:rFonts w:ascii="Times New Roman" w:hAnsi="Times New Roman" w:cs="Times New Roman"/>
          <w:sz w:val="24"/>
        </w:rPr>
        <w:t xml:space="preserve"> local communities to develop strategic plans for </w:t>
      </w:r>
      <w:r w:rsidRPr="00A55050">
        <w:rPr>
          <w:rStyle w:val="no0020spacingchar"/>
          <w:rFonts w:ascii="Times New Roman" w:hAnsi="Times New Roman" w:cs="Times New Roman"/>
          <w:sz w:val="24"/>
          <w:szCs w:val="24"/>
        </w:rPr>
        <w:t xml:space="preserve">preschool expansion.  The purpose of the </w:t>
      </w:r>
      <w:r w:rsidR="00A55050" w:rsidRPr="00A55050">
        <w:rPr>
          <w:rStyle w:val="no0020spacingchar"/>
          <w:rFonts w:ascii="Times New Roman" w:hAnsi="Times New Roman" w:cs="Times New Roman"/>
          <w:sz w:val="24"/>
          <w:szCs w:val="24"/>
        </w:rPr>
        <w:t xml:space="preserve">Planning Grant is </w:t>
      </w:r>
      <w:r w:rsidR="00704115">
        <w:rPr>
          <w:rStyle w:val="no0020spacingchar"/>
          <w:rFonts w:ascii="Times New Roman" w:hAnsi="Times New Roman" w:cs="Times New Roman"/>
          <w:sz w:val="24"/>
          <w:szCs w:val="24"/>
        </w:rPr>
        <w:t xml:space="preserve">to </w:t>
      </w:r>
      <w:r w:rsidR="00A55050" w:rsidRPr="00A55050">
        <w:rPr>
          <w:rStyle w:val="no0020spacingchar"/>
          <w:rFonts w:ascii="Times New Roman" w:hAnsi="Times New Roman" w:cs="Times New Roman"/>
          <w:sz w:val="24"/>
          <w:szCs w:val="24"/>
        </w:rPr>
        <w:t xml:space="preserve">support communities </w:t>
      </w:r>
      <w:r w:rsidR="00BC0DFE">
        <w:rPr>
          <w:rStyle w:val="no0020spacingchar"/>
          <w:rFonts w:ascii="Times New Roman" w:hAnsi="Times New Roman" w:cs="Times New Roman"/>
          <w:sz w:val="24"/>
          <w:szCs w:val="24"/>
        </w:rPr>
        <w:t xml:space="preserve">in identifying </w:t>
      </w:r>
      <w:r w:rsidR="00A55050" w:rsidRPr="00A55050">
        <w:rPr>
          <w:rStyle w:val="no0020spacingchar"/>
          <w:rFonts w:ascii="Times New Roman" w:hAnsi="Times New Roman" w:cs="Times New Roman"/>
          <w:sz w:val="24"/>
          <w:szCs w:val="24"/>
        </w:rPr>
        <w:t xml:space="preserve">the local infrastructure, funding and supports that would be needed to increase access to high quality preschool programs, in a manner similar to the parameters of the PEG, to children ages 2.9 through kindergarten entry. </w:t>
      </w:r>
      <w:r w:rsidR="00A55050">
        <w:rPr>
          <w:rStyle w:val="no0020spacingchar"/>
          <w:rFonts w:ascii="Times New Roman" w:hAnsi="Times New Roman" w:cs="Times New Roman"/>
          <w:sz w:val="24"/>
          <w:szCs w:val="24"/>
        </w:rPr>
        <w:t xml:space="preserve"> The Planning Grant aligns with the state's commitment to ensure children have high quality early education experiences that lead them to greater success in school and life.</w:t>
      </w:r>
    </w:p>
    <w:p w14:paraId="2CAC03BC" w14:textId="77777777" w:rsidR="006348AB" w:rsidRDefault="006C73FC" w:rsidP="005E6747">
      <w:pPr>
        <w:pStyle w:val="NoSpacing"/>
        <w:spacing w:after="120" w:line="276" w:lineRule="auto"/>
        <w:rPr>
          <w:rStyle w:val="no0020spacingchar"/>
          <w:rFonts w:ascii="Times New Roman" w:hAnsi="Times New Roman" w:cs="Times New Roman"/>
          <w:sz w:val="24"/>
          <w:szCs w:val="24"/>
        </w:rPr>
      </w:pPr>
      <w:r>
        <w:rPr>
          <w:rStyle w:val="no0020spacingchar"/>
          <w:rFonts w:ascii="Times New Roman" w:hAnsi="Times New Roman" w:cs="Times New Roman"/>
          <w:sz w:val="24"/>
          <w:szCs w:val="24"/>
        </w:rPr>
        <w:t xml:space="preserve">The thirteen communities that were awarded the Planning Grant include Athol, Brockton, Cape Cod, Fall River, Holyoke, Lawrence, Lowell, New Bedford, North Adams, Pittsfield, Somerville, Springfield and Worcester.  </w:t>
      </w:r>
      <w:r w:rsidR="00A55050">
        <w:rPr>
          <w:rStyle w:val="no0020spacingchar"/>
          <w:rFonts w:ascii="Times New Roman" w:hAnsi="Times New Roman" w:cs="Times New Roman"/>
          <w:sz w:val="24"/>
          <w:szCs w:val="24"/>
        </w:rPr>
        <w:t xml:space="preserve">The following report provides a summary </w:t>
      </w:r>
      <w:r>
        <w:rPr>
          <w:rStyle w:val="no0020spacingchar"/>
          <w:rFonts w:ascii="Times New Roman" w:hAnsi="Times New Roman" w:cs="Times New Roman"/>
          <w:sz w:val="24"/>
          <w:szCs w:val="24"/>
        </w:rPr>
        <w:t>of the strategic plans each of the communities developed to expand access to high quality preschool education for young children.</w:t>
      </w:r>
    </w:p>
    <w:p w14:paraId="5E181EEF" w14:textId="77777777" w:rsidR="00B320CC" w:rsidRDefault="00B320CC" w:rsidP="005E6747">
      <w:pPr>
        <w:pStyle w:val="NoSpacing"/>
        <w:spacing w:after="120" w:line="276" w:lineRule="auto"/>
        <w:rPr>
          <w:rStyle w:val="no0020spacingchar"/>
          <w:rFonts w:ascii="Times New Roman" w:hAnsi="Times New Roman" w:cs="Times New Roman"/>
          <w:sz w:val="24"/>
          <w:szCs w:val="24"/>
        </w:rPr>
      </w:pPr>
      <w:r>
        <w:rPr>
          <w:rStyle w:val="no0020spacingchar"/>
          <w:rFonts w:ascii="Times New Roman" w:hAnsi="Times New Roman" w:cs="Times New Roman"/>
          <w:sz w:val="24"/>
          <w:szCs w:val="24"/>
        </w:rPr>
        <w:t xml:space="preserve">Strategic plans submitted to EEC documented strong need for both expanded access and quality improvements to early education opportunities for 3 and 4 year old children in the thirteen communities. </w:t>
      </w:r>
    </w:p>
    <w:p w14:paraId="5E679648" w14:textId="77777777" w:rsidR="00B320CC" w:rsidRDefault="00B320CC" w:rsidP="00B320CC">
      <w:pPr>
        <w:pStyle w:val="NoSpacing"/>
        <w:numPr>
          <w:ilvl w:val="0"/>
          <w:numId w:val="20"/>
        </w:numPr>
        <w:spacing w:after="120" w:line="276" w:lineRule="auto"/>
        <w:rPr>
          <w:rStyle w:val="no0020spacingchar"/>
          <w:rFonts w:ascii="Times New Roman" w:hAnsi="Times New Roman" w:cs="Times New Roman"/>
          <w:sz w:val="24"/>
          <w:szCs w:val="24"/>
        </w:rPr>
      </w:pPr>
      <w:r>
        <w:rPr>
          <w:rStyle w:val="no0020spacingchar"/>
          <w:rFonts w:ascii="Times New Roman" w:hAnsi="Times New Roman" w:cs="Times New Roman"/>
          <w:sz w:val="24"/>
          <w:szCs w:val="24"/>
        </w:rPr>
        <w:t>Many communities noted the need to provide greater access to children not currently attending any formal early education program</w:t>
      </w:r>
    </w:p>
    <w:p w14:paraId="46FD31BB" w14:textId="77777777" w:rsidR="00B320CC" w:rsidRDefault="00B320CC" w:rsidP="00B320CC">
      <w:pPr>
        <w:pStyle w:val="NoSpacing"/>
        <w:numPr>
          <w:ilvl w:val="0"/>
          <w:numId w:val="20"/>
        </w:numPr>
        <w:spacing w:after="120" w:line="276" w:lineRule="auto"/>
        <w:rPr>
          <w:rStyle w:val="no0020spacingchar"/>
          <w:rFonts w:ascii="Times New Roman" w:hAnsi="Times New Roman" w:cs="Times New Roman"/>
          <w:sz w:val="24"/>
          <w:szCs w:val="24"/>
        </w:rPr>
      </w:pPr>
      <w:r>
        <w:rPr>
          <w:rStyle w:val="no0020spacingchar"/>
          <w:rFonts w:ascii="Times New Roman" w:hAnsi="Times New Roman" w:cs="Times New Roman"/>
          <w:sz w:val="24"/>
          <w:szCs w:val="24"/>
        </w:rPr>
        <w:t>All communities noted a strong need for affordable early education among families just over 200 percent of the poverty line and ineligible for any childcare subsidies, yet unable to bear the full cost.</w:t>
      </w:r>
    </w:p>
    <w:p w14:paraId="7A69AA26" w14:textId="77777777" w:rsidR="0000303E" w:rsidRDefault="0000303E" w:rsidP="00B320CC">
      <w:pPr>
        <w:pStyle w:val="NoSpacing"/>
        <w:numPr>
          <w:ilvl w:val="0"/>
          <w:numId w:val="20"/>
        </w:numPr>
        <w:spacing w:after="120" w:line="276" w:lineRule="auto"/>
        <w:rPr>
          <w:rStyle w:val="no0020spacingchar"/>
          <w:rFonts w:ascii="Times New Roman" w:hAnsi="Times New Roman" w:cs="Times New Roman"/>
          <w:sz w:val="24"/>
          <w:szCs w:val="24"/>
        </w:rPr>
      </w:pPr>
      <w:r>
        <w:rPr>
          <w:rStyle w:val="no0020spacingchar"/>
          <w:rFonts w:ascii="Times New Roman" w:hAnsi="Times New Roman" w:cs="Times New Roman"/>
          <w:sz w:val="24"/>
          <w:szCs w:val="24"/>
        </w:rPr>
        <w:t>Transportation was noted as a need for families in all communities but only some included the provision of transportation in their plans; others looked at how programs might be distributed geographically to address this need.</w:t>
      </w:r>
    </w:p>
    <w:p w14:paraId="42B15E21" w14:textId="77777777" w:rsidR="00B320CC" w:rsidRDefault="00B320CC" w:rsidP="00B320CC">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All plans also noted the need for on-going professional development supports for educators, in addition to efforts to ensure a competent and well-educated workforce through degree requirements and other measures of competency for educators.</w:t>
      </w:r>
    </w:p>
    <w:p w14:paraId="2974E83D" w14:textId="77777777" w:rsidR="00B320CC" w:rsidRDefault="00B320CC" w:rsidP="00B320CC">
      <w:pPr>
        <w:pStyle w:val="NoSpacing"/>
        <w:numPr>
          <w:ilvl w:val="0"/>
          <w:numId w:val="21"/>
        </w:numPr>
        <w:spacing w:after="120" w:line="276" w:lineRule="auto"/>
        <w:rPr>
          <w:rFonts w:ascii="Times New Roman" w:hAnsi="Times New Roman" w:cs="Times New Roman"/>
          <w:sz w:val="24"/>
          <w:szCs w:val="24"/>
        </w:rPr>
      </w:pPr>
      <w:r>
        <w:rPr>
          <w:rFonts w:ascii="Times New Roman" w:hAnsi="Times New Roman" w:cs="Times New Roman"/>
          <w:sz w:val="24"/>
          <w:szCs w:val="24"/>
        </w:rPr>
        <w:lastRenderedPageBreak/>
        <w:t>On-going professional supports such as trainings, coaching and professional learning communities were considered in all plans.</w:t>
      </w:r>
    </w:p>
    <w:p w14:paraId="04FE343F" w14:textId="77777777" w:rsidR="00B320CC" w:rsidRDefault="00B320CC" w:rsidP="00B320CC">
      <w:pPr>
        <w:pStyle w:val="NoSpacing"/>
        <w:numPr>
          <w:ilvl w:val="0"/>
          <w:numId w:val="21"/>
        </w:numPr>
        <w:spacing w:after="120" w:line="276" w:lineRule="auto"/>
        <w:rPr>
          <w:rFonts w:ascii="Times New Roman" w:hAnsi="Times New Roman" w:cs="Times New Roman"/>
          <w:sz w:val="24"/>
          <w:szCs w:val="24"/>
        </w:rPr>
      </w:pPr>
      <w:r>
        <w:rPr>
          <w:rFonts w:ascii="Times New Roman" w:hAnsi="Times New Roman" w:cs="Times New Roman"/>
          <w:sz w:val="24"/>
          <w:szCs w:val="24"/>
        </w:rPr>
        <w:t>Efforts to develop pathways to degree attainment were included in many plans through collaboration with local institutions of higher education.</w:t>
      </w:r>
    </w:p>
    <w:p w14:paraId="2726FE53" w14:textId="77777777" w:rsidR="00B320CC" w:rsidRDefault="00B320CC" w:rsidP="00B320CC">
      <w:pPr>
        <w:pStyle w:val="NoSpacing"/>
        <w:numPr>
          <w:ilvl w:val="0"/>
          <w:numId w:val="21"/>
        </w:num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Ways to increase educator compensation were considered as important to recruitment and retention, although not all plans </w:t>
      </w:r>
      <w:r w:rsidR="0000303E">
        <w:rPr>
          <w:rFonts w:ascii="Times New Roman" w:hAnsi="Times New Roman" w:cs="Times New Roman"/>
          <w:sz w:val="24"/>
          <w:szCs w:val="24"/>
        </w:rPr>
        <w:t>committed to salaries commensurate with those in public schools.</w:t>
      </w:r>
    </w:p>
    <w:p w14:paraId="1DF77ACA" w14:textId="77777777" w:rsidR="0000303E" w:rsidRDefault="0000303E" w:rsidP="0000303E">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The importance of collaboration between public schools, early education providers and other local stakeholders was acknowledged in all plans, both through the appreciation expressed for the value of the collaborative planning process and the integration of such collaborations in the leadership and decision making structures.</w:t>
      </w:r>
    </w:p>
    <w:p w14:paraId="3A2E598C" w14:textId="77777777" w:rsidR="0000303E" w:rsidRDefault="0000303E" w:rsidP="0000303E">
      <w:pPr>
        <w:pStyle w:val="NoSpacing"/>
        <w:numPr>
          <w:ilvl w:val="0"/>
          <w:numId w:val="22"/>
        </w:numPr>
        <w:spacing w:after="120" w:line="276" w:lineRule="auto"/>
        <w:rPr>
          <w:rFonts w:ascii="Times New Roman" w:hAnsi="Times New Roman" w:cs="Times New Roman"/>
          <w:sz w:val="24"/>
          <w:szCs w:val="24"/>
        </w:rPr>
      </w:pPr>
      <w:r>
        <w:rPr>
          <w:rFonts w:ascii="Times New Roman" w:hAnsi="Times New Roman" w:cs="Times New Roman"/>
          <w:sz w:val="24"/>
          <w:szCs w:val="24"/>
        </w:rPr>
        <w:t>The public school was identified as the lead agent in all but one plan.</w:t>
      </w:r>
    </w:p>
    <w:p w14:paraId="1F2E1240" w14:textId="77777777" w:rsidR="0000303E" w:rsidRDefault="0000303E" w:rsidP="0000303E">
      <w:pPr>
        <w:pStyle w:val="NoSpacing"/>
        <w:numPr>
          <w:ilvl w:val="0"/>
          <w:numId w:val="22"/>
        </w:numPr>
        <w:spacing w:after="120" w:line="276" w:lineRule="auto"/>
        <w:rPr>
          <w:rFonts w:ascii="Times New Roman" w:hAnsi="Times New Roman" w:cs="Times New Roman"/>
          <w:sz w:val="24"/>
          <w:szCs w:val="24"/>
        </w:rPr>
      </w:pPr>
      <w:r>
        <w:rPr>
          <w:rFonts w:ascii="Times New Roman" w:hAnsi="Times New Roman" w:cs="Times New Roman"/>
          <w:sz w:val="24"/>
          <w:szCs w:val="24"/>
        </w:rPr>
        <w:t>All plans outlined collaborative management structures that included local early education providers.</w:t>
      </w:r>
    </w:p>
    <w:p w14:paraId="457ED22E" w14:textId="77777777" w:rsidR="0000303E" w:rsidRDefault="0000303E" w:rsidP="0000303E">
      <w:pPr>
        <w:pStyle w:val="NoSpacing"/>
        <w:numPr>
          <w:ilvl w:val="0"/>
          <w:numId w:val="22"/>
        </w:numPr>
        <w:spacing w:after="120" w:line="276" w:lineRule="auto"/>
        <w:rPr>
          <w:rFonts w:ascii="Times New Roman" w:hAnsi="Times New Roman" w:cs="Times New Roman"/>
          <w:sz w:val="24"/>
          <w:szCs w:val="24"/>
        </w:rPr>
      </w:pPr>
      <w:r>
        <w:rPr>
          <w:rFonts w:ascii="Times New Roman" w:hAnsi="Times New Roman" w:cs="Times New Roman"/>
          <w:sz w:val="24"/>
          <w:szCs w:val="24"/>
        </w:rPr>
        <w:t>Many plans included an advisory group or steering committee to provide guidance to the community management, which included a broader group of stakeholders in the community, such as institutions of higher education and business leaders.</w:t>
      </w:r>
    </w:p>
    <w:p w14:paraId="2D51F9A4" w14:textId="77777777" w:rsidR="008050E5" w:rsidRPr="0004195B" w:rsidRDefault="002E42AC" w:rsidP="0000303E">
      <w:pPr>
        <w:pStyle w:val="NoSpacing"/>
        <w:numPr>
          <w:ilvl w:val="0"/>
          <w:numId w:val="22"/>
        </w:numPr>
        <w:spacing w:after="120" w:line="276" w:lineRule="auto"/>
        <w:rPr>
          <w:rFonts w:ascii="Times New Roman" w:hAnsi="Times New Roman" w:cs="Times New Roman"/>
          <w:sz w:val="24"/>
          <w:szCs w:val="24"/>
        </w:rPr>
      </w:pPr>
      <w:r>
        <w:rPr>
          <w:rFonts w:ascii="Times New Roman" w:hAnsi="Times New Roman" w:cs="Times New Roman"/>
          <w:sz w:val="24"/>
          <w:szCs w:val="24"/>
        </w:rPr>
        <w:t>The planning process provided the opportunity to develop a local system-wide vision for early education and effectively identify and deploy resources.</w:t>
      </w:r>
    </w:p>
    <w:p w14:paraId="3CE2D4A1" w14:textId="77777777" w:rsidR="006C73FC" w:rsidRPr="005E6747" w:rsidRDefault="0088178F" w:rsidP="005E6747">
      <w:pPr>
        <w:pStyle w:val="Heading1"/>
        <w:spacing w:after="120"/>
      </w:pPr>
      <w:bookmarkStart w:id="2" w:name="_Toc462828760"/>
      <w:r>
        <w:t xml:space="preserve">II. </w:t>
      </w:r>
      <w:r w:rsidR="006C73FC" w:rsidRPr="006C73FC">
        <w:t>Local Community Strategic Plans for Preschool Expansion</w:t>
      </w:r>
      <w:bookmarkEnd w:id="2"/>
    </w:p>
    <w:p w14:paraId="65040C56" w14:textId="77777777" w:rsidR="006348AB" w:rsidRDefault="006C73FC" w:rsidP="005E6747">
      <w:pPr>
        <w:pStyle w:val="NoSpacing"/>
        <w:spacing w:after="120" w:line="276" w:lineRule="auto"/>
        <w:rPr>
          <w:rFonts w:ascii="Times New Roman" w:hAnsi="Times New Roman" w:cs="Times New Roman"/>
          <w:sz w:val="24"/>
        </w:rPr>
      </w:pPr>
      <w:r>
        <w:rPr>
          <w:rFonts w:ascii="Times New Roman" w:hAnsi="Times New Roman" w:cs="Times New Roman"/>
          <w:sz w:val="24"/>
        </w:rPr>
        <w:t>Each of the thirteen communities received an award of up to</w:t>
      </w:r>
      <w:r w:rsidR="00A50012">
        <w:rPr>
          <w:rFonts w:ascii="Times New Roman" w:hAnsi="Times New Roman" w:cs="Times New Roman"/>
          <w:sz w:val="24"/>
        </w:rPr>
        <w:t xml:space="preserve"> $40,000</w:t>
      </w:r>
      <w:r w:rsidR="006348AB">
        <w:rPr>
          <w:rFonts w:ascii="Times New Roman" w:hAnsi="Times New Roman" w:cs="Times New Roman"/>
          <w:sz w:val="24"/>
        </w:rPr>
        <w:t xml:space="preserve"> to collaborate with public school districts, community based early education programs and other stakeholders to design a comprehensive plan for preschool expansion</w:t>
      </w:r>
      <w:r w:rsidR="00B13A9E">
        <w:rPr>
          <w:rFonts w:ascii="Times New Roman" w:hAnsi="Times New Roman" w:cs="Times New Roman"/>
          <w:sz w:val="24"/>
        </w:rPr>
        <w:t xml:space="preserve"> for children ages 2.9 to 5 years old</w:t>
      </w:r>
      <w:r w:rsidR="006348AB">
        <w:rPr>
          <w:rFonts w:ascii="Times New Roman" w:hAnsi="Times New Roman" w:cs="Times New Roman"/>
          <w:sz w:val="24"/>
        </w:rPr>
        <w:t xml:space="preserve">.  The communities </w:t>
      </w:r>
      <w:r w:rsidR="00B13A9E">
        <w:rPr>
          <w:rFonts w:ascii="Times New Roman" w:hAnsi="Times New Roman" w:cs="Times New Roman"/>
          <w:sz w:val="24"/>
        </w:rPr>
        <w:t>were required</w:t>
      </w:r>
      <w:r w:rsidR="006348AB">
        <w:rPr>
          <w:rFonts w:ascii="Times New Roman" w:hAnsi="Times New Roman" w:cs="Times New Roman"/>
          <w:sz w:val="24"/>
        </w:rPr>
        <w:t xml:space="preserve"> to address the following elements of high quality preschool in their planning process:</w:t>
      </w:r>
    </w:p>
    <w:p w14:paraId="675A3600" w14:textId="77777777" w:rsidR="006348AB" w:rsidRDefault="006348AB" w:rsidP="005E6747">
      <w:pPr>
        <w:pStyle w:val="Normal1"/>
        <w:spacing w:beforeAutospacing="0" w:after="120" w:afterAutospacing="0" w:line="276" w:lineRule="auto"/>
        <w:ind w:left="720" w:hanging="360"/>
      </w:pPr>
      <w:r>
        <w:rPr>
          <w:rStyle w:val="normalchar"/>
        </w:rPr>
        <w:t>•</w:t>
      </w:r>
      <w:r>
        <w:t>     </w:t>
      </w:r>
      <w:r>
        <w:rPr>
          <w:rStyle w:val="normalchar"/>
        </w:rPr>
        <w:t>Partnership between the local school district and private early learning providers in all areas of planning and implementation of expanded preschool programming</w:t>
      </w:r>
      <w:r w:rsidR="00A70FDD">
        <w:rPr>
          <w:rStyle w:val="normalchar"/>
        </w:rPr>
        <w:t>;</w:t>
      </w:r>
    </w:p>
    <w:p w14:paraId="0AD69A62" w14:textId="77777777" w:rsidR="006348AB" w:rsidRDefault="006348AB" w:rsidP="005E6747">
      <w:pPr>
        <w:pStyle w:val="Normal1"/>
        <w:spacing w:beforeAutospacing="0" w:after="120" w:afterAutospacing="0" w:line="276" w:lineRule="auto"/>
        <w:ind w:left="720" w:hanging="360"/>
      </w:pPr>
      <w:r>
        <w:rPr>
          <w:rStyle w:val="normalchar"/>
        </w:rPr>
        <w:t>•</w:t>
      </w:r>
      <w:r>
        <w:t>     </w:t>
      </w:r>
      <w:r>
        <w:rPr>
          <w:rStyle w:val="normalchar"/>
        </w:rPr>
        <w:t>Full-day, full-year programming (at least 8 hours/day, 12 months/year)</w:t>
      </w:r>
      <w:r w:rsidR="00A70FDD">
        <w:rPr>
          <w:rStyle w:val="normalchar"/>
        </w:rPr>
        <w:t>;</w:t>
      </w:r>
    </w:p>
    <w:p w14:paraId="65ED6928" w14:textId="49F15B73" w:rsidR="006348AB" w:rsidRDefault="006348AB" w:rsidP="005E6747">
      <w:pPr>
        <w:pStyle w:val="Normal1"/>
        <w:spacing w:beforeAutospacing="0" w:after="120" w:afterAutospacing="0" w:line="276" w:lineRule="auto"/>
        <w:ind w:left="720" w:hanging="360"/>
      </w:pPr>
      <w:r>
        <w:rPr>
          <w:rStyle w:val="normalchar"/>
        </w:rPr>
        <w:t>•</w:t>
      </w:r>
      <w:r>
        <w:t>     </w:t>
      </w:r>
      <w:r>
        <w:rPr>
          <w:rStyle w:val="normalchar"/>
        </w:rPr>
        <w:t>Level 4 rating in the Massachusetts Quality Rating and Information System (QRIS) or National Association for the Education of Young Children (NAEYC) accreditation</w:t>
      </w:r>
      <w:r w:rsidR="00704115">
        <w:rPr>
          <w:rStyle w:val="normalchar"/>
        </w:rPr>
        <w:t xml:space="preserve"> and Level 3 QRIS rating</w:t>
      </w:r>
      <w:r>
        <w:rPr>
          <w:rStyle w:val="normalchar"/>
        </w:rPr>
        <w:t xml:space="preserve"> of participating </w:t>
      </w:r>
      <w:r w:rsidR="009D36DB">
        <w:rPr>
          <w:rStyle w:val="normalchar"/>
        </w:rPr>
        <w:t xml:space="preserve">early learning providers </w:t>
      </w:r>
      <w:r>
        <w:rPr>
          <w:rStyle w:val="normalchar"/>
        </w:rPr>
        <w:t>within 4 years</w:t>
      </w:r>
      <w:r w:rsidR="00A70FDD">
        <w:rPr>
          <w:rStyle w:val="normalchar"/>
        </w:rPr>
        <w:t>;</w:t>
      </w:r>
    </w:p>
    <w:p w14:paraId="5FE80F47" w14:textId="77777777" w:rsidR="006348AB" w:rsidRDefault="006348AB" w:rsidP="005E6747">
      <w:pPr>
        <w:pStyle w:val="Normal1"/>
        <w:spacing w:beforeAutospacing="0" w:after="120" w:afterAutospacing="0" w:line="276" w:lineRule="auto"/>
        <w:ind w:left="720" w:hanging="360"/>
      </w:pPr>
      <w:r>
        <w:rPr>
          <w:rStyle w:val="normalchar"/>
        </w:rPr>
        <w:t>•</w:t>
      </w:r>
      <w:r>
        <w:t>     </w:t>
      </w:r>
      <w:r>
        <w:rPr>
          <w:rStyle w:val="normalchar"/>
        </w:rPr>
        <w:t>A maximum class size of 20 and maximum child-teacher ratio of 10:1</w:t>
      </w:r>
      <w:r w:rsidR="00A70FDD">
        <w:rPr>
          <w:rStyle w:val="normalchar"/>
        </w:rPr>
        <w:t>;</w:t>
      </w:r>
    </w:p>
    <w:p w14:paraId="649EF846" w14:textId="77777777" w:rsidR="006348AB" w:rsidRDefault="006348AB" w:rsidP="005E6747">
      <w:pPr>
        <w:pStyle w:val="Normal1"/>
        <w:spacing w:beforeAutospacing="0" w:after="120" w:afterAutospacing="0" w:line="276" w:lineRule="auto"/>
        <w:ind w:left="720" w:hanging="360"/>
      </w:pPr>
      <w:r>
        <w:rPr>
          <w:rStyle w:val="normalchar"/>
        </w:rPr>
        <w:lastRenderedPageBreak/>
        <w:t>•</w:t>
      </w:r>
      <w:r>
        <w:t>     </w:t>
      </w:r>
      <w:r>
        <w:rPr>
          <w:rStyle w:val="normalchar"/>
        </w:rPr>
        <w:t>A curriculum selected using the Massachusetts Common Core Standards and EEC Standards and Guidelines</w:t>
      </w:r>
      <w:r w:rsidR="00A70FDD">
        <w:rPr>
          <w:rStyle w:val="normalchar"/>
        </w:rPr>
        <w:t>;</w:t>
      </w:r>
    </w:p>
    <w:p w14:paraId="41A77B55" w14:textId="77777777" w:rsidR="006348AB" w:rsidRDefault="006348AB" w:rsidP="005E6747">
      <w:pPr>
        <w:pStyle w:val="Normal1"/>
        <w:spacing w:beforeAutospacing="0" w:after="120" w:afterAutospacing="0" w:line="276" w:lineRule="auto"/>
        <w:ind w:left="720" w:hanging="360"/>
      </w:pPr>
      <w:r>
        <w:rPr>
          <w:rStyle w:val="normalchar"/>
        </w:rPr>
        <w:t>•</w:t>
      </w:r>
      <w:r>
        <w:t>     </w:t>
      </w:r>
      <w:r>
        <w:rPr>
          <w:rStyle w:val="normalchar"/>
        </w:rPr>
        <w:t>Teaching Strategies Gold™ used as a formative assessment tool</w:t>
      </w:r>
      <w:r w:rsidR="00A70FDD">
        <w:rPr>
          <w:rStyle w:val="normalchar"/>
        </w:rPr>
        <w:t>;</w:t>
      </w:r>
    </w:p>
    <w:p w14:paraId="513346EB" w14:textId="77777777" w:rsidR="006348AB" w:rsidRDefault="006348AB" w:rsidP="005E6747">
      <w:pPr>
        <w:pStyle w:val="Normal1"/>
        <w:spacing w:beforeAutospacing="0" w:after="120" w:afterAutospacing="0" w:line="276" w:lineRule="auto"/>
        <w:ind w:left="720" w:hanging="360"/>
      </w:pPr>
      <w:r>
        <w:rPr>
          <w:rStyle w:val="normalchar"/>
        </w:rPr>
        <w:t>•</w:t>
      </w:r>
      <w:r>
        <w:t>     </w:t>
      </w:r>
      <w:r>
        <w:rPr>
          <w:rStyle w:val="normalchar"/>
        </w:rPr>
        <w:t xml:space="preserve">At least one educator in each classroom </w:t>
      </w:r>
      <w:r w:rsidR="007B6894">
        <w:rPr>
          <w:rStyle w:val="normalchar"/>
        </w:rPr>
        <w:t>with</w:t>
      </w:r>
      <w:r>
        <w:rPr>
          <w:rStyle w:val="normalchar"/>
        </w:rPr>
        <w:t xml:space="preserve"> a bachelor's degree in a relevant field</w:t>
      </w:r>
      <w:r w:rsidR="00A70FDD">
        <w:rPr>
          <w:rStyle w:val="normalchar"/>
        </w:rPr>
        <w:t>;</w:t>
      </w:r>
    </w:p>
    <w:p w14:paraId="37347372" w14:textId="77777777" w:rsidR="006348AB" w:rsidRDefault="006348AB" w:rsidP="005E6747">
      <w:pPr>
        <w:pStyle w:val="Normal1"/>
        <w:spacing w:beforeAutospacing="0" w:after="120" w:afterAutospacing="0" w:line="276" w:lineRule="auto"/>
        <w:ind w:left="720" w:hanging="360"/>
      </w:pPr>
      <w:r>
        <w:rPr>
          <w:rStyle w:val="normalchar"/>
        </w:rPr>
        <w:t>•</w:t>
      </w:r>
      <w:r>
        <w:t>     </w:t>
      </w:r>
      <w:r w:rsidR="00A70FDD">
        <w:rPr>
          <w:rStyle w:val="normalchar"/>
        </w:rPr>
        <w:t xml:space="preserve"> Educators </w:t>
      </w:r>
      <w:r>
        <w:rPr>
          <w:rStyle w:val="normalchar"/>
        </w:rPr>
        <w:t>paid salaries that are commensurate with those of comparable positions in the public schools</w:t>
      </w:r>
      <w:r w:rsidR="00A70FDD">
        <w:rPr>
          <w:rStyle w:val="normalchar"/>
        </w:rPr>
        <w:t>;</w:t>
      </w:r>
    </w:p>
    <w:p w14:paraId="723DC097" w14:textId="4B0C869F" w:rsidR="006348AB" w:rsidRDefault="006348AB" w:rsidP="005E6747">
      <w:pPr>
        <w:pStyle w:val="Normal1"/>
        <w:spacing w:beforeAutospacing="0" w:after="120" w:afterAutospacing="0" w:line="276" w:lineRule="auto"/>
        <w:ind w:left="720" w:hanging="360"/>
      </w:pPr>
      <w:r>
        <w:rPr>
          <w:rStyle w:val="normalchar"/>
        </w:rPr>
        <w:t>•</w:t>
      </w:r>
      <w:r>
        <w:t>     </w:t>
      </w:r>
      <w:r>
        <w:rPr>
          <w:rStyle w:val="normalchar"/>
        </w:rPr>
        <w:t xml:space="preserve">Professional development for all staff, including coaching, group trainings, and other supports for planning and implementation of curriculum, provided in collaboration with the local </w:t>
      </w:r>
      <w:r w:rsidR="00546E56">
        <w:rPr>
          <w:rStyle w:val="normalchar"/>
        </w:rPr>
        <w:t>public school district</w:t>
      </w:r>
      <w:r w:rsidR="00A70FDD">
        <w:rPr>
          <w:rStyle w:val="normalchar"/>
        </w:rPr>
        <w:t>;</w:t>
      </w:r>
    </w:p>
    <w:p w14:paraId="46125B70" w14:textId="77777777" w:rsidR="006348AB" w:rsidRDefault="006348AB" w:rsidP="005E6747">
      <w:pPr>
        <w:pStyle w:val="Normal1"/>
        <w:spacing w:beforeAutospacing="0" w:after="120" w:afterAutospacing="0" w:line="276" w:lineRule="auto"/>
        <w:ind w:left="720" w:hanging="360"/>
      </w:pPr>
      <w:r>
        <w:rPr>
          <w:rStyle w:val="normalchar"/>
        </w:rPr>
        <w:t>•</w:t>
      </w:r>
      <w:r>
        <w:t>     </w:t>
      </w:r>
      <w:r>
        <w:rPr>
          <w:rStyle w:val="normalchar"/>
        </w:rPr>
        <w:t>Family engagement activities, including support for the Kindergarten transition and information and resources about child development</w:t>
      </w:r>
      <w:r w:rsidR="00A70FDD">
        <w:rPr>
          <w:rStyle w:val="normalchar"/>
        </w:rPr>
        <w:t>;</w:t>
      </w:r>
    </w:p>
    <w:p w14:paraId="494AB7D2" w14:textId="77777777" w:rsidR="006348AB" w:rsidRDefault="006348AB" w:rsidP="005E6747">
      <w:pPr>
        <w:pStyle w:val="Normal1"/>
        <w:spacing w:beforeAutospacing="0" w:after="120" w:afterAutospacing="0" w:line="276" w:lineRule="auto"/>
        <w:ind w:left="720" w:hanging="360"/>
      </w:pPr>
      <w:r>
        <w:rPr>
          <w:rStyle w:val="normalchar"/>
        </w:rPr>
        <w:t>•</w:t>
      </w:r>
      <w:r>
        <w:t>     </w:t>
      </w:r>
      <w:r>
        <w:rPr>
          <w:rStyle w:val="normalchar"/>
        </w:rPr>
        <w:t>Comprehensive services (including services addressing health, mental health, and behavioral needs) provided to all families</w:t>
      </w:r>
      <w:r w:rsidR="00A70FDD">
        <w:rPr>
          <w:rStyle w:val="normalchar"/>
        </w:rPr>
        <w:t>;</w:t>
      </w:r>
    </w:p>
    <w:p w14:paraId="527ACEDA" w14:textId="77777777" w:rsidR="006348AB" w:rsidRDefault="006348AB" w:rsidP="005E6747">
      <w:pPr>
        <w:pStyle w:val="Normal1"/>
        <w:spacing w:beforeAutospacing="0" w:after="120" w:afterAutospacing="0" w:line="276" w:lineRule="auto"/>
        <w:ind w:left="720" w:hanging="360"/>
      </w:pPr>
      <w:r>
        <w:rPr>
          <w:rStyle w:val="normalchar"/>
        </w:rPr>
        <w:t>•</w:t>
      </w:r>
      <w:r>
        <w:t>     </w:t>
      </w:r>
      <w:r>
        <w:rPr>
          <w:rStyle w:val="normalchar"/>
        </w:rPr>
        <w:t>Inclusion of students receiving special education services (6.9% of students served) as well as children requiring other supports (e.g., children without permanent homes, dual language learners (DLLs), refugee or immigrant families, etc.)</w:t>
      </w:r>
      <w:r w:rsidR="00A70FDD">
        <w:rPr>
          <w:rStyle w:val="normalchar"/>
        </w:rPr>
        <w:t>; and</w:t>
      </w:r>
    </w:p>
    <w:p w14:paraId="4C5E59AF" w14:textId="77777777" w:rsidR="006348AB" w:rsidRDefault="006348AB" w:rsidP="005E6747">
      <w:pPr>
        <w:pStyle w:val="Normal1"/>
        <w:spacing w:beforeAutospacing="0" w:after="120" w:afterAutospacing="0" w:line="276" w:lineRule="auto"/>
        <w:ind w:left="720" w:hanging="360"/>
        <w:rPr>
          <w:rStyle w:val="normalchar"/>
        </w:rPr>
      </w:pPr>
      <w:r>
        <w:rPr>
          <w:rStyle w:val="normalchar"/>
        </w:rPr>
        <w:t>•</w:t>
      </w:r>
      <w:r>
        <w:t>     </w:t>
      </w:r>
      <w:r>
        <w:rPr>
          <w:rStyle w:val="normalchar"/>
        </w:rPr>
        <w:t>Effective efforts to build links with services for children from birth to age 3 (e.g., early intervention or home visiting services), as well as support for the transition to Kindergarten and connections with public elementary schools (e.g., through communication between Prekindergarten and Kindergarten teachers and sharing of Kindergarten expectations).</w:t>
      </w:r>
    </w:p>
    <w:p w14:paraId="5AA37C45" w14:textId="77777777" w:rsidR="005E6747" w:rsidRDefault="005E6747" w:rsidP="005E6747">
      <w:pPr>
        <w:pStyle w:val="Normal1"/>
        <w:spacing w:beforeAutospacing="0" w:after="120" w:afterAutospacing="0" w:line="276" w:lineRule="auto"/>
        <w:ind w:left="720" w:hanging="360"/>
      </w:pPr>
    </w:p>
    <w:p w14:paraId="4CE339E8" w14:textId="77777777" w:rsidR="00CB1FC1" w:rsidRPr="00A22350" w:rsidRDefault="00E75D01" w:rsidP="005E6747">
      <w:pPr>
        <w:pStyle w:val="NoSpacing"/>
        <w:spacing w:after="120" w:line="276" w:lineRule="auto"/>
        <w:rPr>
          <w:rFonts w:ascii="Times New Roman" w:hAnsi="Times New Roman" w:cs="Times New Roman"/>
          <w:b/>
          <w:sz w:val="24"/>
        </w:rPr>
      </w:pPr>
      <w:r>
        <w:rPr>
          <w:rFonts w:ascii="Times New Roman" w:hAnsi="Times New Roman" w:cs="Times New Roman"/>
          <w:b/>
          <w:sz w:val="24"/>
        </w:rPr>
        <w:t xml:space="preserve">Table 1. </w:t>
      </w:r>
      <w:r w:rsidR="00A22350" w:rsidRPr="00A22350">
        <w:rPr>
          <w:rFonts w:ascii="Times New Roman" w:hAnsi="Times New Roman" w:cs="Times New Roman"/>
          <w:b/>
          <w:sz w:val="24"/>
        </w:rPr>
        <w:t xml:space="preserve">Summary of the </w:t>
      </w:r>
      <w:r w:rsidR="004960E2" w:rsidRPr="00A22350">
        <w:rPr>
          <w:rFonts w:ascii="Times New Roman" w:hAnsi="Times New Roman" w:cs="Times New Roman"/>
          <w:b/>
          <w:sz w:val="24"/>
        </w:rPr>
        <w:t xml:space="preserve">Planning Grant </w:t>
      </w:r>
      <w:r w:rsidR="00A22350" w:rsidRPr="00A22350">
        <w:rPr>
          <w:rFonts w:ascii="Times New Roman" w:hAnsi="Times New Roman" w:cs="Times New Roman"/>
          <w:b/>
          <w:sz w:val="24"/>
        </w:rPr>
        <w:t xml:space="preserve">Communities </w:t>
      </w:r>
    </w:p>
    <w:tbl>
      <w:tblPr>
        <w:tblStyle w:val="TableGrid"/>
        <w:tblW w:w="0" w:type="auto"/>
        <w:tblInd w:w="648" w:type="dxa"/>
        <w:tblLook w:val="04A0" w:firstRow="1" w:lastRow="0" w:firstColumn="1" w:lastColumn="0" w:noHBand="0" w:noVBand="1"/>
      </w:tblPr>
      <w:tblGrid>
        <w:gridCol w:w="4351"/>
        <w:gridCol w:w="4351"/>
      </w:tblGrid>
      <w:tr w:rsidR="00CB1FC1" w14:paraId="6A2B439A" w14:textId="77777777" w:rsidTr="003C61B6">
        <w:tc>
          <w:tcPr>
            <w:tcW w:w="4351" w:type="dxa"/>
          </w:tcPr>
          <w:p w14:paraId="364E1B68" w14:textId="77777777" w:rsidR="00CB1FC1" w:rsidRDefault="00CB1FC1" w:rsidP="003C61B6">
            <w:pPr>
              <w:pStyle w:val="NoSpacing"/>
              <w:jc w:val="center"/>
              <w:rPr>
                <w:rFonts w:ascii="Times New Roman" w:hAnsi="Times New Roman" w:cs="Times New Roman"/>
                <w:sz w:val="24"/>
              </w:rPr>
            </w:pPr>
            <w:r>
              <w:rPr>
                <w:rFonts w:ascii="Times New Roman" w:hAnsi="Times New Roman" w:cs="Times New Roman"/>
                <w:sz w:val="24"/>
              </w:rPr>
              <w:t>Community</w:t>
            </w:r>
          </w:p>
        </w:tc>
        <w:tc>
          <w:tcPr>
            <w:tcW w:w="4351" w:type="dxa"/>
          </w:tcPr>
          <w:p w14:paraId="1B38B959" w14:textId="5504CDEA" w:rsidR="00CB1FC1" w:rsidRDefault="00CB1FC1" w:rsidP="003C61B6">
            <w:pPr>
              <w:pStyle w:val="NoSpacing"/>
              <w:jc w:val="center"/>
              <w:rPr>
                <w:rFonts w:ascii="Times New Roman" w:hAnsi="Times New Roman" w:cs="Times New Roman"/>
                <w:sz w:val="24"/>
              </w:rPr>
            </w:pPr>
            <w:r>
              <w:rPr>
                <w:rFonts w:ascii="Times New Roman" w:hAnsi="Times New Roman" w:cs="Times New Roman"/>
                <w:sz w:val="24"/>
              </w:rPr>
              <w:t>Grant Award Amount</w:t>
            </w:r>
          </w:p>
        </w:tc>
      </w:tr>
      <w:tr w:rsidR="00CB1FC1" w14:paraId="7DC83A9E" w14:textId="77777777" w:rsidTr="003C61B6">
        <w:tc>
          <w:tcPr>
            <w:tcW w:w="4351" w:type="dxa"/>
          </w:tcPr>
          <w:p w14:paraId="18CD5499"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Athol</w:t>
            </w:r>
          </w:p>
        </w:tc>
        <w:tc>
          <w:tcPr>
            <w:tcW w:w="4351" w:type="dxa"/>
          </w:tcPr>
          <w:p w14:paraId="18332968"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22,000</w:t>
            </w:r>
          </w:p>
        </w:tc>
      </w:tr>
      <w:tr w:rsidR="00CB1FC1" w14:paraId="07D24438" w14:textId="77777777" w:rsidTr="003C61B6">
        <w:tc>
          <w:tcPr>
            <w:tcW w:w="4351" w:type="dxa"/>
          </w:tcPr>
          <w:p w14:paraId="057DB650"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Brockton</w:t>
            </w:r>
          </w:p>
        </w:tc>
        <w:tc>
          <w:tcPr>
            <w:tcW w:w="4351" w:type="dxa"/>
          </w:tcPr>
          <w:p w14:paraId="42C7D8BB"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40,000</w:t>
            </w:r>
          </w:p>
        </w:tc>
      </w:tr>
      <w:tr w:rsidR="00CB1FC1" w14:paraId="153FDD8C" w14:textId="77777777" w:rsidTr="003C61B6">
        <w:tc>
          <w:tcPr>
            <w:tcW w:w="4351" w:type="dxa"/>
          </w:tcPr>
          <w:p w14:paraId="288FDA5B"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Cape Cod</w:t>
            </w:r>
          </w:p>
        </w:tc>
        <w:tc>
          <w:tcPr>
            <w:tcW w:w="4351" w:type="dxa"/>
          </w:tcPr>
          <w:p w14:paraId="31B8AFDF"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39,000</w:t>
            </w:r>
          </w:p>
        </w:tc>
      </w:tr>
      <w:tr w:rsidR="00CB1FC1" w14:paraId="3C649245" w14:textId="77777777" w:rsidTr="003C61B6">
        <w:tc>
          <w:tcPr>
            <w:tcW w:w="4351" w:type="dxa"/>
          </w:tcPr>
          <w:p w14:paraId="4E230E0A"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Fall River</w:t>
            </w:r>
          </w:p>
        </w:tc>
        <w:tc>
          <w:tcPr>
            <w:tcW w:w="4351" w:type="dxa"/>
          </w:tcPr>
          <w:p w14:paraId="31DE68BB"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40,000</w:t>
            </w:r>
          </w:p>
        </w:tc>
      </w:tr>
      <w:tr w:rsidR="00CB1FC1" w14:paraId="04DB486D" w14:textId="77777777" w:rsidTr="003C61B6">
        <w:tc>
          <w:tcPr>
            <w:tcW w:w="4351" w:type="dxa"/>
          </w:tcPr>
          <w:p w14:paraId="794C2DB7"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Holyoke</w:t>
            </w:r>
            <w:r w:rsidR="002E6C7C">
              <w:rPr>
                <w:rFonts w:ascii="Times New Roman" w:hAnsi="Times New Roman" w:cs="Times New Roman"/>
                <w:sz w:val="24"/>
              </w:rPr>
              <w:t>*</w:t>
            </w:r>
          </w:p>
        </w:tc>
        <w:tc>
          <w:tcPr>
            <w:tcW w:w="4351" w:type="dxa"/>
          </w:tcPr>
          <w:p w14:paraId="7A82BEB6"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40,000</w:t>
            </w:r>
          </w:p>
        </w:tc>
      </w:tr>
      <w:tr w:rsidR="00CB1FC1" w14:paraId="4471E8B3" w14:textId="77777777" w:rsidTr="003C61B6">
        <w:tc>
          <w:tcPr>
            <w:tcW w:w="4351" w:type="dxa"/>
          </w:tcPr>
          <w:p w14:paraId="6B763E42"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Lawrence</w:t>
            </w:r>
            <w:r w:rsidR="002E6C7C">
              <w:rPr>
                <w:rFonts w:ascii="Times New Roman" w:hAnsi="Times New Roman" w:cs="Times New Roman"/>
                <w:sz w:val="24"/>
              </w:rPr>
              <w:t>*</w:t>
            </w:r>
          </w:p>
        </w:tc>
        <w:tc>
          <w:tcPr>
            <w:tcW w:w="4351" w:type="dxa"/>
          </w:tcPr>
          <w:p w14:paraId="323F60D0"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39,000</w:t>
            </w:r>
          </w:p>
        </w:tc>
      </w:tr>
      <w:tr w:rsidR="00CB1FC1" w14:paraId="20A1F789" w14:textId="77777777" w:rsidTr="003C61B6">
        <w:tc>
          <w:tcPr>
            <w:tcW w:w="4351" w:type="dxa"/>
          </w:tcPr>
          <w:p w14:paraId="60F8EC66"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Lowell</w:t>
            </w:r>
            <w:r w:rsidR="002E6C7C">
              <w:rPr>
                <w:rFonts w:ascii="Times New Roman" w:hAnsi="Times New Roman" w:cs="Times New Roman"/>
                <w:sz w:val="24"/>
              </w:rPr>
              <w:t>*</w:t>
            </w:r>
          </w:p>
        </w:tc>
        <w:tc>
          <w:tcPr>
            <w:tcW w:w="4351" w:type="dxa"/>
          </w:tcPr>
          <w:p w14:paraId="4891E8EF"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40,000</w:t>
            </w:r>
          </w:p>
        </w:tc>
      </w:tr>
      <w:tr w:rsidR="00CB1FC1" w14:paraId="4F6A261A" w14:textId="77777777" w:rsidTr="003C61B6">
        <w:tc>
          <w:tcPr>
            <w:tcW w:w="4351" w:type="dxa"/>
          </w:tcPr>
          <w:p w14:paraId="00A20D07"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New Bedford</w:t>
            </w:r>
          </w:p>
        </w:tc>
        <w:tc>
          <w:tcPr>
            <w:tcW w:w="4351" w:type="dxa"/>
          </w:tcPr>
          <w:p w14:paraId="63DA793E"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40,000</w:t>
            </w:r>
          </w:p>
        </w:tc>
      </w:tr>
      <w:tr w:rsidR="00CB1FC1" w14:paraId="2379EE29" w14:textId="77777777" w:rsidTr="003C61B6">
        <w:tc>
          <w:tcPr>
            <w:tcW w:w="4351" w:type="dxa"/>
          </w:tcPr>
          <w:p w14:paraId="36448BF0"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North Adams</w:t>
            </w:r>
          </w:p>
        </w:tc>
        <w:tc>
          <w:tcPr>
            <w:tcW w:w="4351" w:type="dxa"/>
          </w:tcPr>
          <w:p w14:paraId="7EB93D84"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40,000</w:t>
            </w:r>
          </w:p>
        </w:tc>
      </w:tr>
      <w:tr w:rsidR="00CB1FC1" w14:paraId="5A481329" w14:textId="77777777" w:rsidTr="003C61B6">
        <w:tc>
          <w:tcPr>
            <w:tcW w:w="4351" w:type="dxa"/>
          </w:tcPr>
          <w:p w14:paraId="17B26274"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Pittsfield</w:t>
            </w:r>
          </w:p>
        </w:tc>
        <w:tc>
          <w:tcPr>
            <w:tcW w:w="4351" w:type="dxa"/>
          </w:tcPr>
          <w:p w14:paraId="3177C187"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40,000</w:t>
            </w:r>
          </w:p>
        </w:tc>
      </w:tr>
      <w:tr w:rsidR="00CB1FC1" w14:paraId="6D9C51E1" w14:textId="77777777" w:rsidTr="003C61B6">
        <w:tc>
          <w:tcPr>
            <w:tcW w:w="4351" w:type="dxa"/>
          </w:tcPr>
          <w:p w14:paraId="1A13F1CD"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Somerville</w:t>
            </w:r>
          </w:p>
        </w:tc>
        <w:tc>
          <w:tcPr>
            <w:tcW w:w="4351" w:type="dxa"/>
          </w:tcPr>
          <w:p w14:paraId="0A2FFA27"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40,000</w:t>
            </w:r>
          </w:p>
        </w:tc>
      </w:tr>
      <w:tr w:rsidR="00CB1FC1" w14:paraId="0898A7DD" w14:textId="77777777" w:rsidTr="003C61B6">
        <w:tc>
          <w:tcPr>
            <w:tcW w:w="4351" w:type="dxa"/>
          </w:tcPr>
          <w:p w14:paraId="20FE08EB"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Springfield</w:t>
            </w:r>
            <w:r w:rsidR="002E6C7C">
              <w:rPr>
                <w:rFonts w:ascii="Times New Roman" w:hAnsi="Times New Roman" w:cs="Times New Roman"/>
                <w:sz w:val="24"/>
              </w:rPr>
              <w:t>*</w:t>
            </w:r>
          </w:p>
        </w:tc>
        <w:tc>
          <w:tcPr>
            <w:tcW w:w="4351" w:type="dxa"/>
          </w:tcPr>
          <w:p w14:paraId="4CA8F3AA"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40,000</w:t>
            </w:r>
          </w:p>
        </w:tc>
      </w:tr>
      <w:tr w:rsidR="00CB1FC1" w14:paraId="19CE3C7B" w14:textId="77777777" w:rsidTr="003C61B6">
        <w:tc>
          <w:tcPr>
            <w:tcW w:w="4351" w:type="dxa"/>
          </w:tcPr>
          <w:p w14:paraId="636C7A5D"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Worcester</w:t>
            </w:r>
          </w:p>
        </w:tc>
        <w:tc>
          <w:tcPr>
            <w:tcW w:w="4351" w:type="dxa"/>
          </w:tcPr>
          <w:p w14:paraId="539F1AA6" w14:textId="77777777" w:rsidR="00CB1FC1" w:rsidRDefault="00CB1FC1" w:rsidP="003C61B6">
            <w:pPr>
              <w:pStyle w:val="NoSpacing"/>
              <w:rPr>
                <w:rFonts w:ascii="Times New Roman" w:hAnsi="Times New Roman" w:cs="Times New Roman"/>
                <w:sz w:val="24"/>
              </w:rPr>
            </w:pPr>
            <w:r>
              <w:rPr>
                <w:rFonts w:ascii="Times New Roman" w:hAnsi="Times New Roman" w:cs="Times New Roman"/>
                <w:sz w:val="24"/>
              </w:rPr>
              <w:t>$</w:t>
            </w:r>
            <w:r w:rsidR="00A50012">
              <w:rPr>
                <w:rFonts w:ascii="Times New Roman" w:hAnsi="Times New Roman" w:cs="Times New Roman"/>
                <w:sz w:val="24"/>
              </w:rPr>
              <w:t>40,000</w:t>
            </w:r>
          </w:p>
        </w:tc>
      </w:tr>
      <w:tr w:rsidR="00CB1FC1" w14:paraId="572C4C86" w14:textId="77777777" w:rsidTr="003C61B6">
        <w:tc>
          <w:tcPr>
            <w:tcW w:w="8702" w:type="dxa"/>
            <w:gridSpan w:val="2"/>
          </w:tcPr>
          <w:p w14:paraId="5FDDB316" w14:textId="0AC51832" w:rsidR="00CB1FC1" w:rsidRDefault="002E6C7C" w:rsidP="003C61B6">
            <w:pPr>
              <w:pStyle w:val="NoSpacing"/>
              <w:rPr>
                <w:rFonts w:ascii="Times New Roman" w:hAnsi="Times New Roman" w:cs="Times New Roman"/>
                <w:sz w:val="24"/>
              </w:rPr>
            </w:pPr>
            <w:r>
              <w:rPr>
                <w:rFonts w:ascii="Times New Roman" w:hAnsi="Times New Roman" w:cs="Times New Roman"/>
                <w:sz w:val="24"/>
              </w:rPr>
              <w:t xml:space="preserve">* PEG grantees                                     </w:t>
            </w:r>
            <w:r w:rsidR="00CB1FC1">
              <w:rPr>
                <w:rFonts w:ascii="Times New Roman" w:hAnsi="Times New Roman" w:cs="Times New Roman"/>
                <w:sz w:val="24"/>
              </w:rPr>
              <w:t>Total</w:t>
            </w:r>
            <w:r w:rsidR="00600D00">
              <w:rPr>
                <w:rFonts w:ascii="Times New Roman" w:hAnsi="Times New Roman" w:cs="Times New Roman"/>
                <w:sz w:val="24"/>
              </w:rPr>
              <w:t xml:space="preserve"> $</w:t>
            </w:r>
            <w:r w:rsidR="00A50012">
              <w:rPr>
                <w:rFonts w:ascii="Times New Roman" w:hAnsi="Times New Roman" w:cs="Times New Roman"/>
                <w:sz w:val="24"/>
              </w:rPr>
              <w:t>500,000</w:t>
            </w:r>
          </w:p>
        </w:tc>
      </w:tr>
    </w:tbl>
    <w:p w14:paraId="6FB80987" w14:textId="77777777" w:rsidR="00A415C2" w:rsidRPr="005E6747" w:rsidRDefault="00A415C2" w:rsidP="005E6747">
      <w:pPr>
        <w:pStyle w:val="Heading2"/>
        <w:spacing w:after="120"/>
      </w:pPr>
      <w:bookmarkStart w:id="3" w:name="_Toc462828761"/>
      <w:r w:rsidRPr="006F0A38">
        <w:lastRenderedPageBreak/>
        <w:t xml:space="preserve">Partnerships and </w:t>
      </w:r>
      <w:r w:rsidR="00BB22AA" w:rsidRPr="006F0A38">
        <w:t>Planning</w:t>
      </w:r>
      <w:bookmarkEnd w:id="3"/>
    </w:p>
    <w:p w14:paraId="025278AE" w14:textId="77777777" w:rsidR="007F28B2" w:rsidRDefault="00AD66D7" w:rsidP="005E6747">
      <w:pPr>
        <w:pStyle w:val="NoSpacing"/>
        <w:spacing w:after="120" w:line="276" w:lineRule="auto"/>
        <w:rPr>
          <w:rFonts w:ascii="Times New Roman" w:hAnsi="Times New Roman" w:cs="Times New Roman"/>
          <w:sz w:val="24"/>
        </w:rPr>
      </w:pPr>
      <w:r>
        <w:rPr>
          <w:rFonts w:ascii="Times New Roman" w:hAnsi="Times New Roman" w:cs="Times New Roman"/>
          <w:sz w:val="24"/>
        </w:rPr>
        <w:t>All local partnerships include</w:t>
      </w:r>
      <w:r w:rsidR="00F1626A">
        <w:rPr>
          <w:rFonts w:ascii="Times New Roman" w:hAnsi="Times New Roman" w:cs="Times New Roman"/>
          <w:sz w:val="24"/>
        </w:rPr>
        <w:t>d</w:t>
      </w:r>
      <w:r>
        <w:rPr>
          <w:rFonts w:ascii="Times New Roman" w:hAnsi="Times New Roman" w:cs="Times New Roman"/>
          <w:sz w:val="24"/>
        </w:rPr>
        <w:t xml:space="preserve"> community-based programs and pub</w:t>
      </w:r>
      <w:r w:rsidR="00542B40">
        <w:rPr>
          <w:rFonts w:ascii="Times New Roman" w:hAnsi="Times New Roman" w:cs="Times New Roman"/>
          <w:sz w:val="24"/>
        </w:rPr>
        <w:t xml:space="preserve">lic schools. Some partnerships </w:t>
      </w:r>
      <w:r>
        <w:rPr>
          <w:rFonts w:ascii="Times New Roman" w:hAnsi="Times New Roman" w:cs="Times New Roman"/>
          <w:sz w:val="24"/>
        </w:rPr>
        <w:t>include</w:t>
      </w:r>
      <w:r w:rsidR="00F1626A">
        <w:rPr>
          <w:rFonts w:ascii="Times New Roman" w:hAnsi="Times New Roman" w:cs="Times New Roman"/>
          <w:sz w:val="24"/>
        </w:rPr>
        <w:t>d</w:t>
      </w:r>
      <w:r>
        <w:rPr>
          <w:rFonts w:ascii="Times New Roman" w:hAnsi="Times New Roman" w:cs="Times New Roman"/>
          <w:sz w:val="24"/>
        </w:rPr>
        <w:t xml:space="preserve"> representatives from local municipalities and the city Mayor's office, philanthropic organizations, community colleges, non-profits and other existing early childhood consortiums. To support planning, most communities hired strategic planning consultants to facilitate meetings or to conduct needs assessments.  </w:t>
      </w:r>
      <w:r w:rsidR="00B13A9E">
        <w:rPr>
          <w:rFonts w:ascii="Times New Roman" w:hAnsi="Times New Roman" w:cs="Times New Roman"/>
          <w:sz w:val="24"/>
        </w:rPr>
        <w:t>Although the duration of the planning grant was short, most communities worked intensely to establish a partnershi</w:t>
      </w:r>
      <w:r w:rsidR="00D129C7">
        <w:rPr>
          <w:rFonts w:ascii="Times New Roman" w:hAnsi="Times New Roman" w:cs="Times New Roman"/>
          <w:sz w:val="24"/>
        </w:rPr>
        <w:t>p group that would</w:t>
      </w:r>
      <w:r w:rsidR="00B13A9E">
        <w:rPr>
          <w:rFonts w:ascii="Times New Roman" w:hAnsi="Times New Roman" w:cs="Times New Roman"/>
          <w:sz w:val="24"/>
        </w:rPr>
        <w:t xml:space="preserve"> create a plan for preschool implementation, often coordinating multiple initiatives and key stakeholders throughout the process</w:t>
      </w:r>
      <w:r w:rsidR="0071375B">
        <w:rPr>
          <w:rFonts w:ascii="Times New Roman" w:hAnsi="Times New Roman" w:cs="Times New Roman"/>
          <w:sz w:val="24"/>
        </w:rPr>
        <w:t>.</w:t>
      </w:r>
    </w:p>
    <w:p w14:paraId="30EC6FC6" w14:textId="77777777" w:rsidR="007F28B2" w:rsidRDefault="007F28B2" w:rsidP="005E6747">
      <w:pPr>
        <w:pStyle w:val="NoSpacing"/>
        <w:spacing w:after="120" w:line="276" w:lineRule="auto"/>
        <w:rPr>
          <w:rFonts w:ascii="Times New Roman" w:hAnsi="Times New Roman" w:cs="Times New Roman"/>
          <w:sz w:val="24"/>
        </w:rPr>
      </w:pPr>
      <w:r>
        <w:rPr>
          <w:rFonts w:ascii="Times New Roman" w:hAnsi="Times New Roman" w:cs="Times New Roman"/>
          <w:sz w:val="24"/>
        </w:rPr>
        <w:t>Many plans include a discussion of how preschool expansion fits into larger Birth to Grade Three vision</w:t>
      </w:r>
      <w:r w:rsidR="00D129C7">
        <w:rPr>
          <w:rFonts w:ascii="Times New Roman" w:hAnsi="Times New Roman" w:cs="Times New Roman"/>
          <w:sz w:val="24"/>
        </w:rPr>
        <w:t>s</w:t>
      </w:r>
      <w:r>
        <w:rPr>
          <w:rFonts w:ascii="Times New Roman" w:hAnsi="Times New Roman" w:cs="Times New Roman"/>
          <w:sz w:val="24"/>
        </w:rPr>
        <w:t>, and see expansion of preschool as a priority for ensuring that all children enter Kindergarten with the skills and readiness to succeed. The planning process built</w:t>
      </w:r>
      <w:r w:rsidR="00C668DC">
        <w:rPr>
          <w:rFonts w:ascii="Times New Roman" w:hAnsi="Times New Roman" w:cs="Times New Roman"/>
          <w:sz w:val="24"/>
        </w:rPr>
        <w:t xml:space="preserve"> on</w:t>
      </w:r>
      <w:r w:rsidR="00E75D01">
        <w:rPr>
          <w:rFonts w:ascii="Times New Roman" w:hAnsi="Times New Roman" w:cs="Times New Roman"/>
          <w:sz w:val="24"/>
        </w:rPr>
        <w:t xml:space="preserve"> existing </w:t>
      </w:r>
      <w:r w:rsidR="00C668DC">
        <w:rPr>
          <w:rFonts w:ascii="Times New Roman" w:hAnsi="Times New Roman" w:cs="Times New Roman"/>
          <w:sz w:val="24"/>
        </w:rPr>
        <w:t xml:space="preserve">local </w:t>
      </w:r>
      <w:r w:rsidR="00E75D01">
        <w:rPr>
          <w:rFonts w:ascii="Times New Roman" w:hAnsi="Times New Roman" w:cs="Times New Roman"/>
          <w:sz w:val="24"/>
        </w:rPr>
        <w:t>collaborations</w:t>
      </w:r>
      <w:r>
        <w:rPr>
          <w:rFonts w:ascii="Times New Roman" w:hAnsi="Times New Roman" w:cs="Times New Roman"/>
          <w:sz w:val="24"/>
        </w:rPr>
        <w:t>, many with longstan</w:t>
      </w:r>
      <w:r w:rsidR="00D129C7">
        <w:rPr>
          <w:rFonts w:ascii="Times New Roman" w:hAnsi="Times New Roman" w:cs="Times New Roman"/>
          <w:sz w:val="24"/>
        </w:rPr>
        <w:t>ding visions for ways to</w:t>
      </w:r>
      <w:r>
        <w:rPr>
          <w:rFonts w:ascii="Times New Roman" w:hAnsi="Times New Roman" w:cs="Times New Roman"/>
          <w:sz w:val="24"/>
        </w:rPr>
        <w:t xml:space="preserve"> enhance opportunities</w:t>
      </w:r>
      <w:r w:rsidR="00BE42CC">
        <w:rPr>
          <w:rFonts w:ascii="Times New Roman" w:hAnsi="Times New Roman" w:cs="Times New Roman"/>
          <w:sz w:val="24"/>
        </w:rPr>
        <w:t xml:space="preserve"> for the </w:t>
      </w:r>
      <w:r>
        <w:rPr>
          <w:rFonts w:ascii="Times New Roman" w:hAnsi="Times New Roman" w:cs="Times New Roman"/>
          <w:sz w:val="24"/>
        </w:rPr>
        <w:t>success of childre</w:t>
      </w:r>
      <w:r w:rsidR="00BE42CC">
        <w:rPr>
          <w:rFonts w:ascii="Times New Roman" w:hAnsi="Times New Roman" w:cs="Times New Roman"/>
          <w:sz w:val="24"/>
        </w:rPr>
        <w:t>n and families in the community.</w:t>
      </w:r>
      <w:r>
        <w:rPr>
          <w:rFonts w:ascii="Times New Roman" w:hAnsi="Times New Roman" w:cs="Times New Roman"/>
          <w:sz w:val="24"/>
        </w:rPr>
        <w:t xml:space="preserve"> </w:t>
      </w:r>
      <w:r w:rsidR="00B13A9E">
        <w:rPr>
          <w:rFonts w:ascii="Times New Roman" w:hAnsi="Times New Roman" w:cs="Times New Roman"/>
          <w:sz w:val="24"/>
        </w:rPr>
        <w:t xml:space="preserve">Several of the planning grant communities used this opportunity to expand on strategic </w:t>
      </w:r>
      <w:r w:rsidR="003827A0">
        <w:rPr>
          <w:rFonts w:ascii="Times New Roman" w:hAnsi="Times New Roman" w:cs="Times New Roman"/>
          <w:sz w:val="24"/>
        </w:rPr>
        <w:t xml:space="preserve">alignment </w:t>
      </w:r>
      <w:r w:rsidR="00B13A9E">
        <w:rPr>
          <w:rFonts w:ascii="Times New Roman" w:hAnsi="Times New Roman" w:cs="Times New Roman"/>
          <w:sz w:val="24"/>
        </w:rPr>
        <w:t xml:space="preserve">efforts established </w:t>
      </w:r>
      <w:r w:rsidR="00974F02">
        <w:rPr>
          <w:rFonts w:ascii="Times New Roman" w:hAnsi="Times New Roman" w:cs="Times New Roman"/>
          <w:sz w:val="24"/>
        </w:rPr>
        <w:t>through</w:t>
      </w:r>
      <w:r w:rsidR="00B13A9E">
        <w:rPr>
          <w:rFonts w:ascii="Times New Roman" w:hAnsi="Times New Roman" w:cs="Times New Roman"/>
          <w:sz w:val="24"/>
        </w:rPr>
        <w:t xml:space="preserve"> Birth to Grade Three Alignment</w:t>
      </w:r>
      <w:r w:rsidR="00271E90">
        <w:rPr>
          <w:rFonts w:ascii="Times New Roman" w:hAnsi="Times New Roman" w:cs="Times New Roman"/>
          <w:sz w:val="24"/>
        </w:rPr>
        <w:t xml:space="preserve"> grants</w:t>
      </w:r>
      <w:r w:rsidR="00B13A9E">
        <w:rPr>
          <w:rFonts w:ascii="Times New Roman" w:hAnsi="Times New Roman" w:cs="Times New Roman"/>
          <w:sz w:val="24"/>
        </w:rPr>
        <w:t xml:space="preserve"> previously awarded by EEC</w:t>
      </w:r>
      <w:r w:rsidR="00C668DC">
        <w:rPr>
          <w:rFonts w:ascii="Times New Roman" w:hAnsi="Times New Roman" w:cs="Times New Roman"/>
          <w:sz w:val="24"/>
        </w:rPr>
        <w:t>, CFCE Councils,</w:t>
      </w:r>
      <w:r w:rsidR="00271E90">
        <w:rPr>
          <w:rFonts w:ascii="Times New Roman" w:hAnsi="Times New Roman" w:cs="Times New Roman"/>
          <w:sz w:val="24"/>
        </w:rPr>
        <w:t xml:space="preserve"> PEG planning</w:t>
      </w:r>
      <w:r w:rsidR="00C668DC">
        <w:rPr>
          <w:rFonts w:ascii="Times New Roman" w:hAnsi="Times New Roman" w:cs="Times New Roman"/>
          <w:sz w:val="24"/>
        </w:rPr>
        <w:t xml:space="preserve"> and locally developed Kindergarten Readiness Initiatives</w:t>
      </w:r>
      <w:r w:rsidR="003827A0">
        <w:rPr>
          <w:rFonts w:ascii="Times New Roman" w:hAnsi="Times New Roman" w:cs="Times New Roman"/>
          <w:sz w:val="24"/>
        </w:rPr>
        <w:t xml:space="preserve">, toward goals such as kindergarten readiness, the establishment of public-private partnerships, access to high quality early learning experiences, and coordination of resources for families, and integration of various local, state and federal initiatives. </w:t>
      </w:r>
    </w:p>
    <w:p w14:paraId="7988BA1F" w14:textId="77777777" w:rsidR="00B13A9E" w:rsidRDefault="00B13A9E" w:rsidP="005E6747">
      <w:pPr>
        <w:pStyle w:val="NoSpacing"/>
        <w:spacing w:after="120" w:line="276" w:lineRule="auto"/>
        <w:rPr>
          <w:rFonts w:ascii="Times New Roman" w:hAnsi="Times New Roman" w:cs="Times New Roman"/>
          <w:sz w:val="24"/>
        </w:rPr>
      </w:pPr>
    </w:p>
    <w:p w14:paraId="0D593B24" w14:textId="77777777" w:rsidR="001C1031" w:rsidRPr="005E6747" w:rsidRDefault="00B13A9E" w:rsidP="005E6747">
      <w:pPr>
        <w:pStyle w:val="NoSpacing"/>
        <w:spacing w:after="120" w:line="276" w:lineRule="auto"/>
        <w:rPr>
          <w:rFonts w:ascii="Times New Roman" w:hAnsi="Times New Roman" w:cs="Times New Roman"/>
          <w:sz w:val="24"/>
        </w:rPr>
      </w:pPr>
      <w:r>
        <w:rPr>
          <w:rFonts w:ascii="Times New Roman" w:hAnsi="Times New Roman" w:cs="Times New Roman"/>
          <w:sz w:val="24"/>
        </w:rPr>
        <w:t xml:space="preserve">Strategic plans point to the significance of creating public-private partnerships as the foundation </w:t>
      </w:r>
      <w:r w:rsidR="00D03451">
        <w:rPr>
          <w:rFonts w:ascii="Times New Roman" w:hAnsi="Times New Roman" w:cs="Times New Roman"/>
          <w:sz w:val="24"/>
        </w:rPr>
        <w:t xml:space="preserve">for </w:t>
      </w:r>
      <w:r w:rsidR="00EF05FE">
        <w:rPr>
          <w:rFonts w:ascii="Times New Roman" w:hAnsi="Times New Roman" w:cs="Times New Roman"/>
          <w:sz w:val="24"/>
        </w:rPr>
        <w:t>successful planning</w:t>
      </w:r>
      <w:r>
        <w:rPr>
          <w:rFonts w:ascii="Times New Roman" w:hAnsi="Times New Roman" w:cs="Times New Roman"/>
          <w:sz w:val="24"/>
        </w:rPr>
        <w:t xml:space="preserve"> for preschool expansion. Partnerships allow for </w:t>
      </w:r>
      <w:r w:rsidR="00E60287">
        <w:rPr>
          <w:rFonts w:ascii="Times New Roman" w:hAnsi="Times New Roman" w:cs="Times New Roman"/>
          <w:sz w:val="24"/>
        </w:rPr>
        <w:t>input from various perspectives</w:t>
      </w:r>
      <w:r>
        <w:rPr>
          <w:rFonts w:ascii="Times New Roman" w:hAnsi="Times New Roman" w:cs="Times New Roman"/>
          <w:sz w:val="24"/>
        </w:rPr>
        <w:t xml:space="preserve"> and identification of existing resources and initiatives to create economies of scale, both key components of a feasible expansion model. Over the course of the grant period, multiple grant recipients reported the invaluable opportunity the planning grant provided, and </w:t>
      </w:r>
      <w:r w:rsidR="006D46CD">
        <w:rPr>
          <w:rFonts w:ascii="Times New Roman" w:hAnsi="Times New Roman" w:cs="Times New Roman"/>
          <w:sz w:val="24"/>
        </w:rPr>
        <w:t xml:space="preserve">how the planning process itself </w:t>
      </w:r>
      <w:r>
        <w:rPr>
          <w:rFonts w:ascii="Times New Roman" w:hAnsi="Times New Roman" w:cs="Times New Roman"/>
          <w:sz w:val="24"/>
        </w:rPr>
        <w:t xml:space="preserve">increased community level readiness </w:t>
      </w:r>
      <w:r w:rsidR="006D46CD">
        <w:rPr>
          <w:rFonts w:ascii="Times New Roman" w:hAnsi="Times New Roman" w:cs="Times New Roman"/>
          <w:sz w:val="24"/>
        </w:rPr>
        <w:t xml:space="preserve">through establishing local visions, identifying priorities, identifying barriers and potential solutions. </w:t>
      </w:r>
      <w:r w:rsidR="0071375B">
        <w:rPr>
          <w:rFonts w:ascii="Times New Roman" w:hAnsi="Times New Roman" w:cs="Times New Roman"/>
          <w:sz w:val="24"/>
        </w:rPr>
        <w:t xml:space="preserve">In some instances, public school officials, such as a Superintendent and Chief Academic Officer, endorsed strategic plans developed through these partnerships.  </w:t>
      </w:r>
    </w:p>
    <w:p w14:paraId="333E7B91" w14:textId="77777777" w:rsidR="00CB1FC1" w:rsidRPr="005E6747" w:rsidRDefault="00CB1FC1" w:rsidP="005E6747">
      <w:pPr>
        <w:pStyle w:val="Heading2"/>
        <w:spacing w:after="120"/>
      </w:pPr>
      <w:bookmarkStart w:id="4" w:name="_Toc462828762"/>
      <w:r w:rsidRPr="00BB22AA">
        <w:t>Needs in the Community</w:t>
      </w:r>
      <w:bookmarkEnd w:id="4"/>
    </w:p>
    <w:p w14:paraId="7F1738F2" w14:textId="1F8E1F6C" w:rsidR="00EC66C6" w:rsidRDefault="00577D03" w:rsidP="005E6747">
      <w:pPr>
        <w:pStyle w:val="NoSpacing"/>
        <w:spacing w:after="120" w:line="276" w:lineRule="auto"/>
        <w:rPr>
          <w:rFonts w:ascii="Times New Roman" w:hAnsi="Times New Roman" w:cs="Times New Roman"/>
          <w:sz w:val="24"/>
        </w:rPr>
      </w:pPr>
      <w:r>
        <w:rPr>
          <w:rFonts w:ascii="Times New Roman" w:hAnsi="Times New Roman" w:cs="Times New Roman"/>
          <w:sz w:val="24"/>
        </w:rPr>
        <w:t>Through surveys,</w:t>
      </w:r>
      <w:r w:rsidR="00600D00">
        <w:rPr>
          <w:rFonts w:ascii="Times New Roman" w:hAnsi="Times New Roman" w:cs="Times New Roman"/>
          <w:sz w:val="24"/>
        </w:rPr>
        <w:t xml:space="preserve"> focus groups, </w:t>
      </w:r>
      <w:r w:rsidR="00F349F2">
        <w:rPr>
          <w:rFonts w:ascii="Times New Roman" w:hAnsi="Times New Roman" w:cs="Times New Roman"/>
          <w:sz w:val="24"/>
        </w:rPr>
        <w:t>partnership</w:t>
      </w:r>
      <w:r>
        <w:rPr>
          <w:rFonts w:ascii="Times New Roman" w:hAnsi="Times New Roman" w:cs="Times New Roman"/>
          <w:sz w:val="24"/>
        </w:rPr>
        <w:t xml:space="preserve"> meetings, </w:t>
      </w:r>
      <w:r w:rsidR="00232344">
        <w:rPr>
          <w:rFonts w:ascii="Times New Roman" w:hAnsi="Times New Roman" w:cs="Times New Roman"/>
          <w:sz w:val="24"/>
        </w:rPr>
        <w:t xml:space="preserve">and evaluation of local and state data, </w:t>
      </w:r>
      <w:r w:rsidR="00600D00">
        <w:rPr>
          <w:rFonts w:ascii="Times New Roman" w:hAnsi="Times New Roman" w:cs="Times New Roman"/>
          <w:sz w:val="24"/>
        </w:rPr>
        <w:t>e</w:t>
      </w:r>
      <w:r w:rsidR="00CB1FC1">
        <w:rPr>
          <w:rFonts w:ascii="Times New Roman" w:hAnsi="Times New Roman" w:cs="Times New Roman"/>
          <w:sz w:val="24"/>
        </w:rPr>
        <w:t xml:space="preserve">ach community </w:t>
      </w:r>
      <w:r w:rsidR="00600D00">
        <w:rPr>
          <w:rFonts w:ascii="Times New Roman" w:hAnsi="Times New Roman" w:cs="Times New Roman"/>
          <w:sz w:val="24"/>
        </w:rPr>
        <w:t>collected feedback from</w:t>
      </w:r>
      <w:r w:rsidR="00CB1FC1">
        <w:rPr>
          <w:rFonts w:ascii="Times New Roman" w:hAnsi="Times New Roman" w:cs="Times New Roman"/>
          <w:sz w:val="24"/>
        </w:rPr>
        <w:t xml:space="preserve"> families, programs and other stakeholders on the critical needs of </w:t>
      </w:r>
      <w:r w:rsidR="00522959">
        <w:rPr>
          <w:rFonts w:ascii="Times New Roman" w:hAnsi="Times New Roman" w:cs="Times New Roman"/>
          <w:sz w:val="24"/>
        </w:rPr>
        <w:t>their community</w:t>
      </w:r>
      <w:r w:rsidR="00F349F2">
        <w:rPr>
          <w:rFonts w:ascii="Times New Roman" w:hAnsi="Times New Roman" w:cs="Times New Roman"/>
          <w:sz w:val="24"/>
        </w:rPr>
        <w:t xml:space="preserve"> to inform plans for preschool expansion</w:t>
      </w:r>
      <w:r w:rsidR="00600D00" w:rsidRPr="00602898">
        <w:rPr>
          <w:rFonts w:ascii="Times New Roman" w:hAnsi="Times New Roman" w:cs="Times New Roman"/>
          <w:sz w:val="24"/>
          <w:szCs w:val="24"/>
        </w:rPr>
        <w:t>.</w:t>
      </w:r>
      <w:r w:rsidR="00067362" w:rsidRPr="00602898">
        <w:rPr>
          <w:rFonts w:ascii="Times New Roman" w:hAnsi="Times New Roman" w:cs="Times New Roman"/>
          <w:sz w:val="24"/>
          <w:szCs w:val="24"/>
        </w:rPr>
        <w:t xml:space="preserve"> </w:t>
      </w:r>
      <w:r w:rsidR="00006280" w:rsidRPr="00602898">
        <w:rPr>
          <w:rFonts w:ascii="Times New Roman" w:hAnsi="Times New Roman" w:cs="Times New Roman"/>
          <w:sz w:val="24"/>
          <w:szCs w:val="24"/>
        </w:rPr>
        <w:t>G</w:t>
      </w:r>
      <w:r w:rsidR="00067362" w:rsidRPr="00602898">
        <w:rPr>
          <w:rFonts w:ascii="Times New Roman" w:hAnsi="Times New Roman" w:cs="Times New Roman"/>
          <w:sz w:val="24"/>
          <w:szCs w:val="24"/>
        </w:rPr>
        <w:t>rantees reported a lack of single-source, comprehensive data on the children and families in their communities and as such it was time-consuming to compile the data needed to assess the current use of early education programs and unmet needs of the community. The major findings from the needs assessment were as follows</w:t>
      </w:r>
      <w:r w:rsidR="00067362" w:rsidRPr="00546E56">
        <w:rPr>
          <w:rFonts w:ascii="Times New Roman" w:hAnsi="Times New Roman" w:cs="Times New Roman"/>
          <w:sz w:val="24"/>
        </w:rPr>
        <w:t>:</w:t>
      </w:r>
    </w:p>
    <w:p w14:paraId="38F0A2DC" w14:textId="77777777" w:rsidR="00BB22AA" w:rsidRPr="005E6747" w:rsidRDefault="00EC66C6" w:rsidP="005E6747">
      <w:pPr>
        <w:pStyle w:val="Heading3"/>
        <w:spacing w:after="120"/>
      </w:pPr>
      <w:bookmarkStart w:id="5" w:name="_Toc462828763"/>
      <w:r w:rsidRPr="00B452F5">
        <w:lastRenderedPageBreak/>
        <w:t>Children and Families</w:t>
      </w:r>
      <w:bookmarkEnd w:id="5"/>
    </w:p>
    <w:p w14:paraId="02A4B103" w14:textId="77777777" w:rsidR="00577D03" w:rsidRPr="00EC66C6" w:rsidRDefault="00577D03" w:rsidP="005E6747">
      <w:pPr>
        <w:pStyle w:val="NoSpacing"/>
        <w:spacing w:after="120" w:line="276" w:lineRule="auto"/>
        <w:rPr>
          <w:rFonts w:ascii="Times New Roman" w:hAnsi="Times New Roman" w:cs="Times New Roman"/>
          <w:b/>
          <w:i/>
          <w:sz w:val="24"/>
        </w:rPr>
      </w:pPr>
      <w:r>
        <w:rPr>
          <w:rFonts w:ascii="Times New Roman" w:hAnsi="Times New Roman" w:cs="Times New Roman"/>
          <w:b/>
          <w:i/>
          <w:sz w:val="24"/>
        </w:rPr>
        <w:tab/>
      </w:r>
      <w:r w:rsidR="00EC22DF">
        <w:rPr>
          <w:rFonts w:ascii="Times New Roman" w:hAnsi="Times New Roman" w:cs="Times New Roman"/>
          <w:b/>
          <w:i/>
          <w:sz w:val="24"/>
        </w:rPr>
        <w:t>Economically disadvantaged</w:t>
      </w:r>
    </w:p>
    <w:p w14:paraId="03276077" w14:textId="77777777" w:rsidR="00B452F5" w:rsidRPr="005E6747" w:rsidRDefault="001C1031" w:rsidP="005E6747">
      <w:pPr>
        <w:pStyle w:val="NoSpacing"/>
        <w:numPr>
          <w:ilvl w:val="0"/>
          <w:numId w:val="17"/>
        </w:numPr>
        <w:spacing w:after="120" w:line="276" w:lineRule="auto"/>
        <w:rPr>
          <w:rFonts w:ascii="Times New Roman" w:hAnsi="Times New Roman" w:cs="Times New Roman"/>
          <w:sz w:val="24"/>
        </w:rPr>
      </w:pPr>
      <w:r>
        <w:rPr>
          <w:rFonts w:ascii="Times New Roman" w:hAnsi="Times New Roman" w:cs="Times New Roman"/>
          <w:sz w:val="24"/>
        </w:rPr>
        <w:t xml:space="preserve">The children </w:t>
      </w:r>
      <w:r w:rsidR="00577D03">
        <w:rPr>
          <w:rFonts w:ascii="Times New Roman" w:hAnsi="Times New Roman" w:cs="Times New Roman"/>
          <w:sz w:val="24"/>
        </w:rPr>
        <w:t>with the highest need for</w:t>
      </w:r>
      <w:r>
        <w:rPr>
          <w:rFonts w:ascii="Times New Roman" w:hAnsi="Times New Roman" w:cs="Times New Roman"/>
          <w:sz w:val="24"/>
        </w:rPr>
        <w:t xml:space="preserve"> access to high quality preschool come </w:t>
      </w:r>
      <w:r w:rsidR="009A1D5A">
        <w:rPr>
          <w:rFonts w:ascii="Times New Roman" w:hAnsi="Times New Roman" w:cs="Times New Roman"/>
          <w:sz w:val="24"/>
        </w:rPr>
        <w:t xml:space="preserve">consistently </w:t>
      </w:r>
      <w:r w:rsidR="00577D03">
        <w:rPr>
          <w:rFonts w:ascii="Times New Roman" w:hAnsi="Times New Roman" w:cs="Times New Roman"/>
          <w:sz w:val="24"/>
        </w:rPr>
        <w:t xml:space="preserve">from low income families. </w:t>
      </w:r>
      <w:r>
        <w:rPr>
          <w:rFonts w:ascii="Times New Roman" w:hAnsi="Times New Roman" w:cs="Times New Roman"/>
          <w:sz w:val="24"/>
        </w:rPr>
        <w:t>These fami</w:t>
      </w:r>
      <w:r w:rsidR="009B523F">
        <w:rPr>
          <w:rFonts w:ascii="Times New Roman" w:hAnsi="Times New Roman" w:cs="Times New Roman"/>
          <w:sz w:val="24"/>
        </w:rPr>
        <w:t>lies face challenges such as un</w:t>
      </w:r>
      <w:r>
        <w:rPr>
          <w:rFonts w:ascii="Times New Roman" w:hAnsi="Times New Roman" w:cs="Times New Roman"/>
          <w:sz w:val="24"/>
        </w:rPr>
        <w:t>employment or under-employment, substance abuse, homelessness</w:t>
      </w:r>
      <w:r w:rsidR="00577D03">
        <w:rPr>
          <w:rFonts w:ascii="Times New Roman" w:hAnsi="Times New Roman" w:cs="Times New Roman"/>
          <w:sz w:val="24"/>
        </w:rPr>
        <w:t xml:space="preserve"> and housing insecurity. </w:t>
      </w:r>
      <w:r w:rsidR="009A1D5A">
        <w:rPr>
          <w:rFonts w:ascii="Times New Roman" w:hAnsi="Times New Roman" w:cs="Times New Roman"/>
          <w:sz w:val="24"/>
        </w:rPr>
        <w:t xml:space="preserve"> Many families have been on waitlists for </w:t>
      </w:r>
      <w:r w:rsidR="00577D03">
        <w:rPr>
          <w:rFonts w:ascii="Times New Roman" w:hAnsi="Times New Roman" w:cs="Times New Roman"/>
          <w:sz w:val="24"/>
        </w:rPr>
        <w:t>early education and</w:t>
      </w:r>
      <w:r w:rsidR="006C2E75">
        <w:rPr>
          <w:rFonts w:ascii="Times New Roman" w:hAnsi="Times New Roman" w:cs="Times New Roman"/>
          <w:sz w:val="24"/>
        </w:rPr>
        <w:t xml:space="preserve"> </w:t>
      </w:r>
      <w:r w:rsidR="009A1D5A">
        <w:rPr>
          <w:rFonts w:ascii="Times New Roman" w:hAnsi="Times New Roman" w:cs="Times New Roman"/>
          <w:sz w:val="24"/>
        </w:rPr>
        <w:t xml:space="preserve">care for extended periods of time. </w:t>
      </w:r>
      <w:r w:rsidR="004B4FCB">
        <w:rPr>
          <w:rFonts w:ascii="Times New Roman" w:hAnsi="Times New Roman" w:cs="Times New Roman"/>
          <w:sz w:val="24"/>
        </w:rPr>
        <w:t>Several</w:t>
      </w:r>
      <w:r w:rsidR="009A1D5A">
        <w:rPr>
          <w:rFonts w:ascii="Times New Roman" w:hAnsi="Times New Roman" w:cs="Times New Roman"/>
          <w:sz w:val="24"/>
        </w:rPr>
        <w:t xml:space="preserve"> </w:t>
      </w:r>
      <w:r w:rsidR="004B4FCB">
        <w:rPr>
          <w:rFonts w:ascii="Times New Roman" w:hAnsi="Times New Roman" w:cs="Times New Roman"/>
          <w:sz w:val="24"/>
        </w:rPr>
        <w:t>communities identified immigrant and/or refugee families reporting a high need for high quality early education programming.</w:t>
      </w:r>
    </w:p>
    <w:p w14:paraId="18AC5455" w14:textId="77777777" w:rsidR="00B452F5" w:rsidRPr="005E6747" w:rsidRDefault="009A1D5A" w:rsidP="005E6747">
      <w:pPr>
        <w:pStyle w:val="NoSpacing"/>
        <w:numPr>
          <w:ilvl w:val="0"/>
          <w:numId w:val="17"/>
        </w:numPr>
        <w:spacing w:after="120" w:line="276" w:lineRule="auto"/>
        <w:rPr>
          <w:rFonts w:ascii="Times New Roman" w:hAnsi="Times New Roman" w:cs="Times New Roman"/>
          <w:sz w:val="24"/>
        </w:rPr>
      </w:pPr>
      <w:r>
        <w:rPr>
          <w:rFonts w:ascii="Times New Roman" w:hAnsi="Times New Roman" w:cs="Times New Roman"/>
          <w:sz w:val="24"/>
        </w:rPr>
        <w:t>Families with an income of just over the current 200% of the Federal Poverty Line</w:t>
      </w:r>
      <w:r w:rsidR="003C7FC2">
        <w:rPr>
          <w:rFonts w:ascii="Times New Roman" w:hAnsi="Times New Roman" w:cs="Times New Roman"/>
          <w:sz w:val="24"/>
        </w:rPr>
        <w:t xml:space="preserve">, and working families in poverty who do not qualify for other financial assistance, </w:t>
      </w:r>
      <w:r>
        <w:rPr>
          <w:rFonts w:ascii="Times New Roman" w:hAnsi="Times New Roman" w:cs="Times New Roman"/>
          <w:sz w:val="24"/>
        </w:rPr>
        <w:t xml:space="preserve">are noted as </w:t>
      </w:r>
      <w:r w:rsidR="00B452F5">
        <w:rPr>
          <w:rFonts w:ascii="Times New Roman" w:hAnsi="Times New Roman" w:cs="Times New Roman"/>
          <w:sz w:val="24"/>
        </w:rPr>
        <w:t>demonstrating a particular need for free prekindergarten</w:t>
      </w:r>
      <w:r>
        <w:rPr>
          <w:rFonts w:ascii="Times New Roman" w:hAnsi="Times New Roman" w:cs="Times New Roman"/>
          <w:sz w:val="24"/>
        </w:rPr>
        <w:t>.</w:t>
      </w:r>
      <w:r w:rsidR="004B4FCB">
        <w:rPr>
          <w:rFonts w:ascii="Times New Roman" w:hAnsi="Times New Roman" w:cs="Times New Roman"/>
          <w:sz w:val="24"/>
        </w:rPr>
        <w:t xml:space="preserve"> Currently, PEG mandates that eligible children must be at or below 200% of the Federal Poverty line. </w:t>
      </w:r>
      <w:r w:rsidR="00D03451">
        <w:rPr>
          <w:rFonts w:ascii="Times New Roman" w:hAnsi="Times New Roman" w:cs="Times New Roman"/>
          <w:sz w:val="24"/>
        </w:rPr>
        <w:t>Yet families just over this threshold report struggling to afford quality early education.</w:t>
      </w:r>
    </w:p>
    <w:p w14:paraId="262BF39A" w14:textId="77777777" w:rsidR="00BB22AA" w:rsidRPr="005E6747" w:rsidRDefault="00D03451" w:rsidP="005E6747">
      <w:pPr>
        <w:pStyle w:val="NoSpacing"/>
        <w:numPr>
          <w:ilvl w:val="0"/>
          <w:numId w:val="17"/>
        </w:numPr>
        <w:spacing w:after="120" w:line="276" w:lineRule="auto"/>
        <w:rPr>
          <w:rFonts w:ascii="Times New Roman" w:hAnsi="Times New Roman" w:cs="Times New Roman"/>
          <w:sz w:val="24"/>
        </w:rPr>
      </w:pPr>
      <w:r>
        <w:rPr>
          <w:rFonts w:ascii="Times New Roman" w:hAnsi="Times New Roman" w:cs="Times New Roman"/>
          <w:sz w:val="24"/>
        </w:rPr>
        <w:t>Parents shared a desire for transportation services, either because access to personal transportation was limited or public transportation inadequate.</w:t>
      </w:r>
    </w:p>
    <w:p w14:paraId="7F2D2C08" w14:textId="77777777" w:rsidR="00577D03" w:rsidRPr="00577D03" w:rsidRDefault="00577D03" w:rsidP="005E6747">
      <w:pPr>
        <w:pStyle w:val="NoSpacing"/>
        <w:spacing w:after="120" w:line="276" w:lineRule="auto"/>
        <w:ind w:left="720"/>
        <w:rPr>
          <w:rFonts w:ascii="Times New Roman" w:hAnsi="Times New Roman" w:cs="Times New Roman"/>
          <w:b/>
          <w:i/>
          <w:sz w:val="24"/>
        </w:rPr>
      </w:pPr>
      <w:r w:rsidRPr="00577D03">
        <w:rPr>
          <w:rFonts w:ascii="Times New Roman" w:hAnsi="Times New Roman" w:cs="Times New Roman"/>
          <w:b/>
          <w:i/>
          <w:sz w:val="24"/>
        </w:rPr>
        <w:t>Full-day, full-year education and care</w:t>
      </w:r>
    </w:p>
    <w:p w14:paraId="02FF3BC7" w14:textId="77777777" w:rsidR="00BB22AA" w:rsidRPr="005E6747" w:rsidRDefault="006E0B22" w:rsidP="005E6747">
      <w:pPr>
        <w:pStyle w:val="NoSpacing"/>
        <w:numPr>
          <w:ilvl w:val="0"/>
          <w:numId w:val="10"/>
        </w:numPr>
        <w:spacing w:after="120" w:line="276" w:lineRule="auto"/>
        <w:rPr>
          <w:rFonts w:ascii="Times New Roman" w:hAnsi="Times New Roman" w:cs="Times New Roman"/>
          <w:sz w:val="24"/>
        </w:rPr>
      </w:pPr>
      <w:r>
        <w:rPr>
          <w:rFonts w:ascii="Times New Roman" w:hAnsi="Times New Roman" w:cs="Times New Roman"/>
          <w:sz w:val="24"/>
        </w:rPr>
        <w:t>There is a high demand for full-day, full-year preschool programs across all communities, although some communities also include opportunities for part-day, part-year programming to provide flexibility to families, noting that not every family needed the full time programming.</w:t>
      </w:r>
    </w:p>
    <w:p w14:paraId="14A4E0FE" w14:textId="77777777" w:rsidR="00232344" w:rsidRDefault="00232344" w:rsidP="005E6747">
      <w:pPr>
        <w:pStyle w:val="NoSpacing"/>
        <w:spacing w:after="120" w:line="276" w:lineRule="auto"/>
        <w:ind w:left="720"/>
        <w:rPr>
          <w:rFonts w:ascii="Times New Roman" w:hAnsi="Times New Roman" w:cs="Times New Roman"/>
          <w:b/>
          <w:i/>
          <w:sz w:val="24"/>
        </w:rPr>
      </w:pPr>
      <w:r w:rsidRPr="00232344">
        <w:rPr>
          <w:rFonts w:ascii="Times New Roman" w:hAnsi="Times New Roman" w:cs="Times New Roman"/>
          <w:b/>
          <w:i/>
          <w:sz w:val="24"/>
        </w:rPr>
        <w:t xml:space="preserve">No previous formal early education and care experience </w:t>
      </w:r>
    </w:p>
    <w:p w14:paraId="14581D63" w14:textId="77777777" w:rsidR="00EC66C6" w:rsidRPr="005E6747" w:rsidRDefault="00232344" w:rsidP="005E6747">
      <w:pPr>
        <w:pStyle w:val="NoSpacing"/>
        <w:numPr>
          <w:ilvl w:val="0"/>
          <w:numId w:val="10"/>
        </w:numPr>
        <w:spacing w:after="120" w:line="276" w:lineRule="auto"/>
        <w:rPr>
          <w:rFonts w:ascii="Times New Roman" w:hAnsi="Times New Roman" w:cs="Times New Roman"/>
          <w:sz w:val="24"/>
        </w:rPr>
      </w:pPr>
      <w:r>
        <w:rPr>
          <w:rFonts w:ascii="Times New Roman" w:hAnsi="Times New Roman" w:cs="Times New Roman"/>
          <w:sz w:val="24"/>
        </w:rPr>
        <w:t xml:space="preserve">Needs </w:t>
      </w:r>
      <w:r w:rsidR="00EC22DF">
        <w:rPr>
          <w:rFonts w:ascii="Times New Roman" w:hAnsi="Times New Roman" w:cs="Times New Roman"/>
          <w:sz w:val="24"/>
        </w:rPr>
        <w:t>assessments highlight</w:t>
      </w:r>
      <w:r>
        <w:rPr>
          <w:rFonts w:ascii="Times New Roman" w:hAnsi="Times New Roman" w:cs="Times New Roman"/>
          <w:sz w:val="24"/>
        </w:rPr>
        <w:t xml:space="preserve"> that many </w:t>
      </w:r>
      <w:r w:rsidRPr="00232344">
        <w:rPr>
          <w:rFonts w:ascii="Times New Roman" w:hAnsi="Times New Roman" w:cs="Times New Roman"/>
          <w:sz w:val="24"/>
        </w:rPr>
        <w:t xml:space="preserve">children enter kindergarten without prior early education </w:t>
      </w:r>
      <w:r>
        <w:rPr>
          <w:rFonts w:ascii="Times New Roman" w:hAnsi="Times New Roman" w:cs="Times New Roman"/>
          <w:sz w:val="24"/>
        </w:rPr>
        <w:t xml:space="preserve">experiences.  For example, in Lowell and Fall River, approximately 50% of children enter </w:t>
      </w:r>
      <w:r w:rsidRPr="00232344">
        <w:rPr>
          <w:rFonts w:ascii="Times New Roman" w:hAnsi="Times New Roman" w:cs="Times New Roman"/>
          <w:sz w:val="24"/>
        </w:rPr>
        <w:t>kindergarten without any formal preschool experience</w:t>
      </w:r>
      <w:r w:rsidR="00EC22DF">
        <w:rPr>
          <w:rFonts w:ascii="Times New Roman" w:hAnsi="Times New Roman" w:cs="Times New Roman"/>
          <w:sz w:val="24"/>
        </w:rPr>
        <w:t>, and up to 30%-40% of children in Cape Cod and Worcester.</w:t>
      </w:r>
    </w:p>
    <w:p w14:paraId="136C106C" w14:textId="77777777" w:rsidR="00BB22AA" w:rsidRPr="005E6747" w:rsidRDefault="00EC66C6" w:rsidP="005E6747">
      <w:pPr>
        <w:pStyle w:val="Heading3"/>
        <w:spacing w:after="120"/>
      </w:pPr>
      <w:bookmarkStart w:id="6" w:name="_Toc462828764"/>
      <w:r w:rsidRPr="00B452F5">
        <w:t>Programs</w:t>
      </w:r>
      <w:bookmarkEnd w:id="6"/>
    </w:p>
    <w:p w14:paraId="33BEAE37" w14:textId="77777777" w:rsidR="00EC22DF" w:rsidRDefault="00EC22DF" w:rsidP="005E6747">
      <w:pPr>
        <w:pStyle w:val="NoSpacing"/>
        <w:spacing w:after="120" w:line="276" w:lineRule="auto"/>
        <w:rPr>
          <w:rFonts w:ascii="Times New Roman" w:hAnsi="Times New Roman" w:cs="Times New Roman"/>
          <w:b/>
          <w:i/>
          <w:sz w:val="24"/>
        </w:rPr>
      </w:pPr>
      <w:r>
        <w:rPr>
          <w:rFonts w:ascii="Times New Roman" w:hAnsi="Times New Roman" w:cs="Times New Roman"/>
          <w:b/>
          <w:i/>
          <w:sz w:val="24"/>
        </w:rPr>
        <w:tab/>
        <w:t>Capacity and Expansion</w:t>
      </w:r>
    </w:p>
    <w:p w14:paraId="352E498D" w14:textId="77777777" w:rsidR="00EC22DF" w:rsidRDefault="00EC22DF" w:rsidP="005E6747">
      <w:pPr>
        <w:pStyle w:val="NoSpacing"/>
        <w:numPr>
          <w:ilvl w:val="0"/>
          <w:numId w:val="16"/>
        </w:numPr>
        <w:spacing w:after="120" w:line="276" w:lineRule="auto"/>
        <w:rPr>
          <w:rFonts w:ascii="Times New Roman" w:hAnsi="Times New Roman" w:cs="Times New Roman"/>
          <w:sz w:val="24"/>
        </w:rPr>
      </w:pPr>
      <w:r>
        <w:rPr>
          <w:rFonts w:ascii="Times New Roman" w:hAnsi="Times New Roman" w:cs="Times New Roman"/>
          <w:sz w:val="24"/>
        </w:rPr>
        <w:t xml:space="preserve">Most communities stated the need for new seats in their plans for expansion, </w:t>
      </w:r>
      <w:r w:rsidR="00BB22AA">
        <w:rPr>
          <w:rFonts w:ascii="Times New Roman" w:hAnsi="Times New Roman" w:cs="Times New Roman"/>
          <w:sz w:val="24"/>
        </w:rPr>
        <w:t xml:space="preserve">and </w:t>
      </w:r>
      <w:r w:rsidR="00FF72C3">
        <w:rPr>
          <w:rFonts w:ascii="Times New Roman" w:hAnsi="Times New Roman" w:cs="Times New Roman"/>
          <w:sz w:val="24"/>
        </w:rPr>
        <w:t xml:space="preserve">the number </w:t>
      </w:r>
      <w:r w:rsidR="00BB22AA">
        <w:rPr>
          <w:rFonts w:ascii="Times New Roman" w:hAnsi="Times New Roman" w:cs="Times New Roman"/>
          <w:sz w:val="24"/>
        </w:rPr>
        <w:t>largely depends</w:t>
      </w:r>
      <w:r>
        <w:rPr>
          <w:rFonts w:ascii="Times New Roman" w:hAnsi="Times New Roman" w:cs="Times New Roman"/>
          <w:sz w:val="24"/>
        </w:rPr>
        <w:t xml:space="preserve"> on the size of the communities. Most plans include a combination of new seats </w:t>
      </w:r>
      <w:r w:rsidR="00274480">
        <w:rPr>
          <w:rFonts w:ascii="Times New Roman" w:hAnsi="Times New Roman" w:cs="Times New Roman"/>
          <w:sz w:val="24"/>
        </w:rPr>
        <w:t>and</w:t>
      </w:r>
      <w:r>
        <w:rPr>
          <w:rFonts w:ascii="Times New Roman" w:hAnsi="Times New Roman" w:cs="Times New Roman"/>
          <w:sz w:val="24"/>
        </w:rPr>
        <w:t xml:space="preserve"> the enhancement of existing programs serving high-need children in a variety of ways, such </w:t>
      </w:r>
      <w:r w:rsidR="009B523F">
        <w:rPr>
          <w:rFonts w:ascii="Times New Roman" w:hAnsi="Times New Roman" w:cs="Times New Roman"/>
          <w:sz w:val="24"/>
        </w:rPr>
        <w:t xml:space="preserve">as </w:t>
      </w:r>
      <w:r>
        <w:rPr>
          <w:rFonts w:ascii="Times New Roman" w:hAnsi="Times New Roman" w:cs="Times New Roman"/>
          <w:sz w:val="24"/>
        </w:rPr>
        <w:t xml:space="preserve">extending to full-day or full-year, or offering additional services </w:t>
      </w:r>
      <w:r w:rsidR="00F06DE7">
        <w:rPr>
          <w:rFonts w:ascii="Times New Roman" w:hAnsi="Times New Roman" w:cs="Times New Roman"/>
          <w:sz w:val="24"/>
        </w:rPr>
        <w:t>like</w:t>
      </w:r>
      <w:r w:rsidR="009B523F">
        <w:rPr>
          <w:rFonts w:ascii="Times New Roman" w:hAnsi="Times New Roman" w:cs="Times New Roman"/>
          <w:sz w:val="24"/>
        </w:rPr>
        <w:t xml:space="preserve"> comprehensive services,</w:t>
      </w:r>
      <w:r>
        <w:rPr>
          <w:rFonts w:ascii="Times New Roman" w:hAnsi="Times New Roman" w:cs="Times New Roman"/>
          <w:sz w:val="24"/>
        </w:rPr>
        <w:t xml:space="preserve"> mental health, family engagement, and increased professional development </w:t>
      </w:r>
      <w:r w:rsidR="00A07530">
        <w:rPr>
          <w:rFonts w:ascii="Times New Roman" w:hAnsi="Times New Roman" w:cs="Times New Roman"/>
          <w:sz w:val="24"/>
        </w:rPr>
        <w:t xml:space="preserve">and compensation </w:t>
      </w:r>
      <w:r>
        <w:rPr>
          <w:rFonts w:ascii="Times New Roman" w:hAnsi="Times New Roman" w:cs="Times New Roman"/>
          <w:sz w:val="24"/>
        </w:rPr>
        <w:t>for educators.</w:t>
      </w:r>
    </w:p>
    <w:p w14:paraId="4BC86A55" w14:textId="77777777" w:rsidR="00BB22AA" w:rsidRPr="005E6747" w:rsidRDefault="00A07530" w:rsidP="005E6747">
      <w:pPr>
        <w:pStyle w:val="NoSpacing"/>
        <w:numPr>
          <w:ilvl w:val="0"/>
          <w:numId w:val="16"/>
        </w:numPr>
        <w:spacing w:after="120" w:line="276" w:lineRule="auto"/>
        <w:rPr>
          <w:rFonts w:ascii="Times New Roman" w:hAnsi="Times New Roman" w:cs="Times New Roman"/>
          <w:sz w:val="24"/>
        </w:rPr>
      </w:pPr>
      <w:r>
        <w:rPr>
          <w:rFonts w:ascii="Times New Roman" w:hAnsi="Times New Roman" w:cs="Times New Roman"/>
          <w:sz w:val="24"/>
        </w:rPr>
        <w:t>Some communities</w:t>
      </w:r>
      <w:r w:rsidR="001D0E8B">
        <w:rPr>
          <w:rFonts w:ascii="Times New Roman" w:hAnsi="Times New Roman" w:cs="Times New Roman"/>
          <w:sz w:val="24"/>
        </w:rPr>
        <w:t xml:space="preserve"> report</w:t>
      </w:r>
      <w:r w:rsidR="00D55F22">
        <w:rPr>
          <w:rFonts w:ascii="Times New Roman" w:hAnsi="Times New Roman" w:cs="Times New Roman"/>
          <w:sz w:val="24"/>
        </w:rPr>
        <w:t>ed</w:t>
      </w:r>
      <w:r w:rsidR="001D0E8B">
        <w:rPr>
          <w:rFonts w:ascii="Times New Roman" w:hAnsi="Times New Roman" w:cs="Times New Roman"/>
          <w:sz w:val="24"/>
        </w:rPr>
        <w:t xml:space="preserve"> they would need to identify, renovate/repurpose, or purchase additional space in order to implement preschool expansion plans. Some plans</w:t>
      </w:r>
      <w:r w:rsidR="00432853">
        <w:rPr>
          <w:rFonts w:ascii="Times New Roman" w:hAnsi="Times New Roman" w:cs="Times New Roman"/>
          <w:sz w:val="24"/>
        </w:rPr>
        <w:t xml:space="preserve"> note</w:t>
      </w:r>
      <w:r w:rsidR="00D55F22">
        <w:rPr>
          <w:rFonts w:ascii="Times New Roman" w:hAnsi="Times New Roman" w:cs="Times New Roman"/>
          <w:sz w:val="24"/>
        </w:rPr>
        <w:t>d</w:t>
      </w:r>
      <w:r w:rsidR="00432853">
        <w:rPr>
          <w:rFonts w:ascii="Times New Roman" w:hAnsi="Times New Roman" w:cs="Times New Roman"/>
          <w:sz w:val="24"/>
        </w:rPr>
        <w:t xml:space="preserve"> that </w:t>
      </w:r>
      <w:r w:rsidR="00432853">
        <w:rPr>
          <w:rFonts w:ascii="Times New Roman" w:hAnsi="Times New Roman" w:cs="Times New Roman"/>
          <w:sz w:val="24"/>
        </w:rPr>
        <w:lastRenderedPageBreak/>
        <w:t>the community does not have enough space to provide sufficient number of preschool seats to children that need it, when considering both</w:t>
      </w:r>
      <w:r w:rsidR="001D0E8B">
        <w:rPr>
          <w:rFonts w:ascii="Times New Roman" w:hAnsi="Times New Roman" w:cs="Times New Roman"/>
          <w:sz w:val="24"/>
        </w:rPr>
        <w:t xml:space="preserve"> public school buildings and community based programs</w:t>
      </w:r>
      <w:r w:rsidR="00432853">
        <w:rPr>
          <w:rFonts w:ascii="Times New Roman" w:hAnsi="Times New Roman" w:cs="Times New Roman"/>
          <w:sz w:val="24"/>
        </w:rPr>
        <w:t>.</w:t>
      </w:r>
      <w:r>
        <w:rPr>
          <w:rFonts w:ascii="Times New Roman" w:hAnsi="Times New Roman" w:cs="Times New Roman"/>
          <w:sz w:val="24"/>
        </w:rPr>
        <w:t xml:space="preserve"> Worcester and Pittsfield,</w:t>
      </w:r>
      <w:r w:rsidR="00432853">
        <w:rPr>
          <w:rFonts w:ascii="Times New Roman" w:hAnsi="Times New Roman" w:cs="Times New Roman"/>
          <w:sz w:val="24"/>
        </w:rPr>
        <w:t xml:space="preserve"> for example,</w:t>
      </w:r>
      <w:r>
        <w:rPr>
          <w:rFonts w:ascii="Times New Roman" w:hAnsi="Times New Roman" w:cs="Times New Roman"/>
          <w:sz w:val="24"/>
        </w:rPr>
        <w:t xml:space="preserve"> are at capacity </w:t>
      </w:r>
      <w:r w:rsidR="00432853">
        <w:rPr>
          <w:rFonts w:ascii="Times New Roman" w:hAnsi="Times New Roman" w:cs="Times New Roman"/>
          <w:sz w:val="24"/>
        </w:rPr>
        <w:t xml:space="preserve">which </w:t>
      </w:r>
      <w:r>
        <w:rPr>
          <w:rFonts w:ascii="Times New Roman" w:hAnsi="Times New Roman" w:cs="Times New Roman"/>
          <w:sz w:val="24"/>
        </w:rPr>
        <w:t xml:space="preserve">leads to long waiting lists, often leaving some children without access to any program. </w:t>
      </w:r>
      <w:r w:rsidR="001D0E8B">
        <w:rPr>
          <w:rFonts w:ascii="Times New Roman" w:hAnsi="Times New Roman" w:cs="Times New Roman"/>
          <w:sz w:val="24"/>
        </w:rPr>
        <w:t xml:space="preserve">In response to this challenge, communities creatively planned to use </w:t>
      </w:r>
      <w:r w:rsidR="004709B5">
        <w:rPr>
          <w:rFonts w:ascii="Times New Roman" w:hAnsi="Times New Roman" w:cs="Times New Roman"/>
          <w:sz w:val="24"/>
        </w:rPr>
        <w:t>a combination of existing space</w:t>
      </w:r>
      <w:r w:rsidR="001D0E8B">
        <w:rPr>
          <w:rFonts w:ascii="Times New Roman" w:hAnsi="Times New Roman" w:cs="Times New Roman"/>
          <w:sz w:val="24"/>
        </w:rPr>
        <w:t>, new space and renovated space for both new preschool slots and the enhancement of existing slots.</w:t>
      </w:r>
    </w:p>
    <w:p w14:paraId="62A41CFD" w14:textId="77777777" w:rsidR="00EC22DF" w:rsidRDefault="00A07530" w:rsidP="005E6747">
      <w:pPr>
        <w:pStyle w:val="NoSpacing"/>
        <w:spacing w:after="120" w:line="276" w:lineRule="auto"/>
        <w:rPr>
          <w:rFonts w:ascii="Times New Roman" w:hAnsi="Times New Roman" w:cs="Times New Roman"/>
          <w:b/>
          <w:i/>
          <w:sz w:val="24"/>
        </w:rPr>
      </w:pPr>
      <w:r>
        <w:rPr>
          <w:rFonts w:ascii="Times New Roman" w:hAnsi="Times New Roman" w:cs="Times New Roman"/>
          <w:b/>
          <w:i/>
          <w:sz w:val="24"/>
        </w:rPr>
        <w:tab/>
      </w:r>
      <w:r w:rsidR="00462A6C">
        <w:rPr>
          <w:rFonts w:ascii="Times New Roman" w:hAnsi="Times New Roman" w:cs="Times New Roman"/>
          <w:b/>
          <w:i/>
          <w:sz w:val="24"/>
        </w:rPr>
        <w:t xml:space="preserve">Program Quality </w:t>
      </w:r>
    </w:p>
    <w:p w14:paraId="4CF8F525" w14:textId="77777777" w:rsidR="00462A6C" w:rsidRDefault="00462A6C" w:rsidP="005E6747">
      <w:pPr>
        <w:pStyle w:val="NoSpacing"/>
        <w:numPr>
          <w:ilvl w:val="0"/>
          <w:numId w:val="19"/>
        </w:numPr>
        <w:spacing w:after="120" w:line="276" w:lineRule="auto"/>
        <w:rPr>
          <w:rFonts w:ascii="Times New Roman" w:hAnsi="Times New Roman" w:cs="Times New Roman"/>
          <w:sz w:val="24"/>
        </w:rPr>
      </w:pPr>
      <w:r>
        <w:rPr>
          <w:rFonts w:ascii="Times New Roman" w:hAnsi="Times New Roman" w:cs="Times New Roman"/>
          <w:sz w:val="24"/>
        </w:rPr>
        <w:t xml:space="preserve">Proposed expansion classrooms are engaged with the QRIS system, many with existing ratings of Level 2 or Level 3, </w:t>
      </w:r>
      <w:r w:rsidR="00D6298E">
        <w:rPr>
          <w:rFonts w:ascii="Times New Roman" w:hAnsi="Times New Roman" w:cs="Times New Roman"/>
          <w:sz w:val="24"/>
        </w:rPr>
        <w:t xml:space="preserve">and </w:t>
      </w:r>
      <w:r>
        <w:rPr>
          <w:rFonts w:ascii="Times New Roman" w:hAnsi="Times New Roman" w:cs="Times New Roman"/>
          <w:sz w:val="24"/>
        </w:rPr>
        <w:t>all with plans for upward movement in the system</w:t>
      </w:r>
      <w:r w:rsidR="00D6298E">
        <w:rPr>
          <w:rFonts w:ascii="Times New Roman" w:hAnsi="Times New Roman" w:cs="Times New Roman"/>
          <w:sz w:val="24"/>
        </w:rPr>
        <w:t>. Some programs are accredited or have plans to attain</w:t>
      </w:r>
      <w:r w:rsidR="004709B5">
        <w:rPr>
          <w:rFonts w:ascii="Times New Roman" w:hAnsi="Times New Roman" w:cs="Times New Roman"/>
          <w:sz w:val="24"/>
        </w:rPr>
        <w:t xml:space="preserve"> NAEYC</w:t>
      </w:r>
      <w:r w:rsidR="00D6298E">
        <w:rPr>
          <w:rFonts w:ascii="Times New Roman" w:hAnsi="Times New Roman" w:cs="Times New Roman"/>
          <w:sz w:val="24"/>
        </w:rPr>
        <w:t xml:space="preserve"> accreditation.</w:t>
      </w:r>
    </w:p>
    <w:p w14:paraId="05E1611D" w14:textId="77777777" w:rsidR="00D6298E" w:rsidRDefault="000A38A4" w:rsidP="005E6747">
      <w:pPr>
        <w:pStyle w:val="NoSpacing"/>
        <w:numPr>
          <w:ilvl w:val="0"/>
          <w:numId w:val="19"/>
        </w:numPr>
        <w:spacing w:after="120" w:line="276" w:lineRule="auto"/>
        <w:rPr>
          <w:rFonts w:ascii="Times New Roman" w:hAnsi="Times New Roman" w:cs="Times New Roman"/>
          <w:sz w:val="24"/>
        </w:rPr>
      </w:pPr>
      <w:r>
        <w:rPr>
          <w:rFonts w:ascii="Times New Roman" w:hAnsi="Times New Roman" w:cs="Times New Roman"/>
          <w:sz w:val="24"/>
        </w:rPr>
        <w:t>A f</w:t>
      </w:r>
      <w:r w:rsidR="00D6298E">
        <w:rPr>
          <w:rFonts w:ascii="Times New Roman" w:hAnsi="Times New Roman" w:cs="Times New Roman"/>
          <w:sz w:val="24"/>
        </w:rPr>
        <w:t>ew communities used classroom quality measures, such as the ERS or the CLASS, to measure</w:t>
      </w:r>
      <w:r w:rsidR="004709B5">
        <w:rPr>
          <w:rFonts w:ascii="Times New Roman" w:hAnsi="Times New Roman" w:cs="Times New Roman"/>
          <w:sz w:val="24"/>
        </w:rPr>
        <w:t xml:space="preserve"> existing program quality. Of those who did, m</w:t>
      </w:r>
      <w:r w:rsidR="00D6298E">
        <w:rPr>
          <w:rFonts w:ascii="Times New Roman" w:hAnsi="Times New Roman" w:cs="Times New Roman"/>
          <w:sz w:val="24"/>
        </w:rPr>
        <w:t xml:space="preserve">ost proposed expansion classrooms are in the mid to high range of quality on </w:t>
      </w:r>
      <w:r w:rsidR="007C4C90">
        <w:rPr>
          <w:rFonts w:ascii="Times New Roman" w:hAnsi="Times New Roman" w:cs="Times New Roman"/>
          <w:sz w:val="24"/>
        </w:rPr>
        <w:t>each</w:t>
      </w:r>
      <w:r w:rsidR="00D6298E">
        <w:rPr>
          <w:rFonts w:ascii="Times New Roman" w:hAnsi="Times New Roman" w:cs="Times New Roman"/>
          <w:sz w:val="24"/>
        </w:rPr>
        <w:t xml:space="preserve"> subscal</w:t>
      </w:r>
      <w:r w:rsidR="007C4C90">
        <w:rPr>
          <w:rFonts w:ascii="Times New Roman" w:hAnsi="Times New Roman" w:cs="Times New Roman"/>
          <w:sz w:val="24"/>
        </w:rPr>
        <w:t>e or dimension measured</w:t>
      </w:r>
      <w:r w:rsidR="00D9798A">
        <w:rPr>
          <w:rFonts w:ascii="Times New Roman" w:hAnsi="Times New Roman" w:cs="Times New Roman"/>
          <w:sz w:val="24"/>
        </w:rPr>
        <w:t>, although instructional quality scores tended to be lower.</w:t>
      </w:r>
    </w:p>
    <w:p w14:paraId="325752C1" w14:textId="77777777" w:rsidR="00D6298E" w:rsidRPr="005E6747" w:rsidRDefault="00D6298E" w:rsidP="005E6747">
      <w:pPr>
        <w:pStyle w:val="NoSpacing"/>
        <w:numPr>
          <w:ilvl w:val="0"/>
          <w:numId w:val="19"/>
        </w:numPr>
        <w:spacing w:after="120" w:line="276" w:lineRule="auto"/>
        <w:rPr>
          <w:rFonts w:ascii="Times New Roman" w:hAnsi="Times New Roman" w:cs="Times New Roman"/>
          <w:sz w:val="24"/>
        </w:rPr>
      </w:pPr>
      <w:r>
        <w:rPr>
          <w:rFonts w:ascii="Times New Roman" w:hAnsi="Times New Roman" w:cs="Times New Roman"/>
          <w:sz w:val="24"/>
        </w:rPr>
        <w:t>All communities have plans to engage in continuous quality improvement through a variety of educator and program supports</w:t>
      </w:r>
    </w:p>
    <w:p w14:paraId="5B0E78F3" w14:textId="77777777" w:rsidR="00D6298E" w:rsidRPr="00462A6C" w:rsidRDefault="00D6298E" w:rsidP="005E6747">
      <w:pPr>
        <w:pStyle w:val="NoSpacing"/>
        <w:spacing w:after="120" w:line="276" w:lineRule="auto"/>
        <w:rPr>
          <w:rFonts w:ascii="Times New Roman" w:hAnsi="Times New Roman" w:cs="Times New Roman"/>
          <w:sz w:val="24"/>
        </w:rPr>
      </w:pPr>
      <w:r>
        <w:rPr>
          <w:rFonts w:ascii="Times New Roman" w:hAnsi="Times New Roman" w:cs="Times New Roman"/>
          <w:b/>
          <w:i/>
          <w:sz w:val="24"/>
        </w:rPr>
        <w:tab/>
        <w:t>Educator Qualifications and Supports</w:t>
      </w:r>
    </w:p>
    <w:p w14:paraId="5542DD04" w14:textId="104D7A35" w:rsidR="00C44C6A" w:rsidRDefault="00BA56D8" w:rsidP="005E6747">
      <w:pPr>
        <w:pStyle w:val="NoSpacing"/>
        <w:numPr>
          <w:ilvl w:val="0"/>
          <w:numId w:val="10"/>
        </w:numPr>
        <w:spacing w:after="120" w:line="276" w:lineRule="auto"/>
        <w:rPr>
          <w:rFonts w:ascii="Times New Roman" w:hAnsi="Times New Roman" w:cs="Times New Roman"/>
          <w:sz w:val="24"/>
        </w:rPr>
      </w:pPr>
      <w:r>
        <w:rPr>
          <w:rFonts w:ascii="Times New Roman" w:hAnsi="Times New Roman" w:cs="Times New Roman"/>
          <w:sz w:val="24"/>
        </w:rPr>
        <w:t xml:space="preserve">The number of educators in the existing workforce that have at least a Bachelor’s degree varies across communities. </w:t>
      </w:r>
      <w:r w:rsidR="0075333E">
        <w:rPr>
          <w:rFonts w:ascii="Times New Roman" w:hAnsi="Times New Roman" w:cs="Times New Roman"/>
          <w:sz w:val="24"/>
        </w:rPr>
        <w:t>A</w:t>
      </w:r>
      <w:r w:rsidR="00C44C6A">
        <w:rPr>
          <w:rFonts w:ascii="Times New Roman" w:hAnsi="Times New Roman" w:cs="Times New Roman"/>
          <w:sz w:val="24"/>
        </w:rPr>
        <w:t>ll</w:t>
      </w:r>
      <w:r w:rsidR="0075333E">
        <w:rPr>
          <w:rFonts w:ascii="Times New Roman" w:hAnsi="Times New Roman" w:cs="Times New Roman"/>
          <w:sz w:val="24"/>
        </w:rPr>
        <w:t xml:space="preserve"> communities</w:t>
      </w:r>
      <w:r w:rsidR="00C44C6A">
        <w:rPr>
          <w:rFonts w:ascii="Times New Roman" w:hAnsi="Times New Roman" w:cs="Times New Roman"/>
          <w:sz w:val="24"/>
        </w:rPr>
        <w:t xml:space="preserve"> </w:t>
      </w:r>
      <w:r w:rsidR="007C4C90">
        <w:rPr>
          <w:rFonts w:ascii="Times New Roman" w:hAnsi="Times New Roman" w:cs="Times New Roman"/>
          <w:sz w:val="24"/>
        </w:rPr>
        <w:t>identify a</w:t>
      </w:r>
      <w:r w:rsidR="00F30D3A">
        <w:rPr>
          <w:rFonts w:ascii="Times New Roman" w:hAnsi="Times New Roman" w:cs="Times New Roman"/>
          <w:sz w:val="24"/>
        </w:rPr>
        <w:t xml:space="preserve"> need to create or expand upon existing pipelines toward degree attainment and increased competency of educators.</w:t>
      </w:r>
    </w:p>
    <w:p w14:paraId="0125BB06" w14:textId="77777777" w:rsidR="00A07530" w:rsidRDefault="00EC66C6" w:rsidP="005E6747">
      <w:pPr>
        <w:pStyle w:val="NoSpacing"/>
        <w:numPr>
          <w:ilvl w:val="0"/>
          <w:numId w:val="10"/>
        </w:numPr>
        <w:spacing w:after="120" w:line="276" w:lineRule="auto"/>
        <w:rPr>
          <w:rFonts w:ascii="Times New Roman" w:hAnsi="Times New Roman" w:cs="Times New Roman"/>
          <w:sz w:val="24"/>
        </w:rPr>
      </w:pPr>
      <w:r>
        <w:rPr>
          <w:rFonts w:ascii="Times New Roman" w:hAnsi="Times New Roman" w:cs="Times New Roman"/>
          <w:sz w:val="24"/>
        </w:rPr>
        <w:t>Teacher supports needed to offer high quality preschool include enhanced professional development on a variety of topics</w:t>
      </w:r>
      <w:r w:rsidR="00A07530">
        <w:rPr>
          <w:rFonts w:ascii="Times New Roman" w:hAnsi="Times New Roman" w:cs="Times New Roman"/>
          <w:sz w:val="24"/>
        </w:rPr>
        <w:t xml:space="preserve"> such as curriculum, formative assessment</w:t>
      </w:r>
      <w:r>
        <w:rPr>
          <w:rFonts w:ascii="Times New Roman" w:hAnsi="Times New Roman" w:cs="Times New Roman"/>
          <w:sz w:val="24"/>
        </w:rPr>
        <w:t xml:space="preserve">, </w:t>
      </w:r>
      <w:r w:rsidR="00A07530">
        <w:rPr>
          <w:rFonts w:ascii="Times New Roman" w:hAnsi="Times New Roman" w:cs="Times New Roman"/>
          <w:sz w:val="24"/>
        </w:rPr>
        <w:t>and serving children with identified special needs, and those who are English Language Learners.</w:t>
      </w:r>
    </w:p>
    <w:p w14:paraId="1F847D1E" w14:textId="77777777" w:rsidR="003C7FC2" w:rsidRDefault="00C44C6A" w:rsidP="005E6747">
      <w:pPr>
        <w:pStyle w:val="NoSpacing"/>
        <w:numPr>
          <w:ilvl w:val="0"/>
          <w:numId w:val="10"/>
        </w:numPr>
        <w:spacing w:after="120" w:line="276" w:lineRule="auto"/>
        <w:rPr>
          <w:rFonts w:ascii="Times New Roman" w:hAnsi="Times New Roman" w:cs="Times New Roman"/>
          <w:sz w:val="24"/>
        </w:rPr>
      </w:pPr>
      <w:r>
        <w:rPr>
          <w:rFonts w:ascii="Times New Roman" w:hAnsi="Times New Roman" w:cs="Times New Roman"/>
          <w:sz w:val="24"/>
        </w:rPr>
        <w:t>Plans address the need to offer c</w:t>
      </w:r>
      <w:r w:rsidR="00EC66C6">
        <w:rPr>
          <w:rFonts w:ascii="Times New Roman" w:hAnsi="Times New Roman" w:cs="Times New Roman"/>
          <w:sz w:val="24"/>
        </w:rPr>
        <w:t>oaching</w:t>
      </w:r>
      <w:r w:rsidR="00A07530">
        <w:rPr>
          <w:rFonts w:ascii="Times New Roman" w:hAnsi="Times New Roman" w:cs="Times New Roman"/>
          <w:sz w:val="24"/>
        </w:rPr>
        <w:t xml:space="preserve"> and increased compensation for educators </w:t>
      </w:r>
      <w:r>
        <w:rPr>
          <w:rFonts w:ascii="Times New Roman" w:hAnsi="Times New Roman" w:cs="Times New Roman"/>
          <w:sz w:val="24"/>
        </w:rPr>
        <w:t>in order to</w:t>
      </w:r>
      <w:r w:rsidR="004709B5">
        <w:rPr>
          <w:rFonts w:ascii="Times New Roman" w:hAnsi="Times New Roman" w:cs="Times New Roman"/>
          <w:sz w:val="24"/>
        </w:rPr>
        <w:t xml:space="preserve"> </w:t>
      </w:r>
      <w:r w:rsidR="00A07530">
        <w:rPr>
          <w:rFonts w:ascii="Times New Roman" w:hAnsi="Times New Roman" w:cs="Times New Roman"/>
          <w:sz w:val="24"/>
        </w:rPr>
        <w:t>attract, retain and support</w:t>
      </w:r>
      <w:r w:rsidR="00EC66C6">
        <w:rPr>
          <w:rFonts w:ascii="Times New Roman" w:hAnsi="Times New Roman" w:cs="Times New Roman"/>
          <w:sz w:val="24"/>
        </w:rPr>
        <w:t xml:space="preserve"> highly qualified staff </w:t>
      </w:r>
    </w:p>
    <w:p w14:paraId="38C0BA9F" w14:textId="77777777" w:rsidR="00FF72C3" w:rsidRPr="005E6747" w:rsidRDefault="003D1E0B" w:rsidP="005E6747">
      <w:pPr>
        <w:pStyle w:val="NoSpacing"/>
        <w:numPr>
          <w:ilvl w:val="0"/>
          <w:numId w:val="10"/>
        </w:numPr>
        <w:spacing w:after="120" w:line="276" w:lineRule="auto"/>
        <w:rPr>
          <w:rFonts w:ascii="Times New Roman" w:hAnsi="Times New Roman" w:cs="Times New Roman"/>
          <w:sz w:val="24"/>
        </w:rPr>
      </w:pPr>
      <w:r>
        <w:rPr>
          <w:rFonts w:ascii="Times New Roman" w:hAnsi="Times New Roman" w:cs="Times New Roman"/>
          <w:sz w:val="24"/>
        </w:rPr>
        <w:t xml:space="preserve">In </w:t>
      </w:r>
      <w:r w:rsidR="00FF72C3">
        <w:rPr>
          <w:rFonts w:ascii="Times New Roman" w:hAnsi="Times New Roman" w:cs="Times New Roman"/>
          <w:sz w:val="24"/>
        </w:rPr>
        <w:t>all communities, educator professional development, including training, coaching</w:t>
      </w:r>
      <w:r w:rsidR="00C44C6A">
        <w:rPr>
          <w:rFonts w:ascii="Times New Roman" w:hAnsi="Times New Roman" w:cs="Times New Roman"/>
          <w:sz w:val="24"/>
        </w:rPr>
        <w:t xml:space="preserve">, career pathway support, and </w:t>
      </w:r>
      <w:r w:rsidR="00FF72C3">
        <w:rPr>
          <w:rFonts w:ascii="Times New Roman" w:hAnsi="Times New Roman" w:cs="Times New Roman"/>
          <w:sz w:val="24"/>
        </w:rPr>
        <w:t>professional learning communities</w:t>
      </w:r>
      <w:r w:rsidR="00CC2E6C">
        <w:rPr>
          <w:rFonts w:ascii="Times New Roman" w:hAnsi="Times New Roman" w:cs="Times New Roman"/>
          <w:sz w:val="24"/>
        </w:rPr>
        <w:t xml:space="preserve">, would be offered to preschool educators across the community, and would rely on the existing expertise of the partners. </w:t>
      </w:r>
    </w:p>
    <w:p w14:paraId="54C4391E" w14:textId="77777777" w:rsidR="006C73FC" w:rsidRDefault="00814580" w:rsidP="005E6747">
      <w:pPr>
        <w:pStyle w:val="Heading2"/>
        <w:spacing w:after="120"/>
      </w:pPr>
      <w:bookmarkStart w:id="7" w:name="_Toc462828765"/>
      <w:r w:rsidRPr="00BB22AA">
        <w:t>Design of Preschool Programs</w:t>
      </w:r>
      <w:bookmarkEnd w:id="7"/>
    </w:p>
    <w:p w14:paraId="06D023D8" w14:textId="12A2B342" w:rsidR="00BB22AA" w:rsidRDefault="00BB22AA" w:rsidP="005E6747">
      <w:pPr>
        <w:pStyle w:val="NoSpacing"/>
        <w:spacing w:after="120" w:line="276" w:lineRule="auto"/>
        <w:rPr>
          <w:rFonts w:ascii="Times New Roman" w:hAnsi="Times New Roman" w:cs="Times New Roman"/>
          <w:sz w:val="24"/>
        </w:rPr>
      </w:pPr>
      <w:r>
        <w:rPr>
          <w:rFonts w:ascii="Times New Roman" w:hAnsi="Times New Roman" w:cs="Times New Roman"/>
          <w:sz w:val="24"/>
        </w:rPr>
        <w:t xml:space="preserve">With the exception of one community, all plans identified the local </w:t>
      </w:r>
      <w:r w:rsidR="004709B5">
        <w:rPr>
          <w:rFonts w:ascii="Times New Roman" w:hAnsi="Times New Roman" w:cs="Times New Roman"/>
          <w:sz w:val="24"/>
        </w:rPr>
        <w:t xml:space="preserve">public school district </w:t>
      </w:r>
      <w:r>
        <w:rPr>
          <w:rFonts w:ascii="Times New Roman" w:hAnsi="Times New Roman" w:cs="Times New Roman"/>
          <w:sz w:val="24"/>
        </w:rPr>
        <w:t xml:space="preserve">as the </w:t>
      </w:r>
      <w:r w:rsidR="004709B5">
        <w:rPr>
          <w:rFonts w:ascii="Times New Roman" w:hAnsi="Times New Roman" w:cs="Times New Roman"/>
          <w:sz w:val="24"/>
        </w:rPr>
        <w:t xml:space="preserve">potential </w:t>
      </w:r>
      <w:r>
        <w:rPr>
          <w:rFonts w:ascii="Times New Roman" w:hAnsi="Times New Roman" w:cs="Times New Roman"/>
          <w:sz w:val="24"/>
        </w:rPr>
        <w:t>lead</w:t>
      </w:r>
      <w:r w:rsidR="00067362">
        <w:rPr>
          <w:rFonts w:ascii="Times New Roman" w:hAnsi="Times New Roman" w:cs="Times New Roman"/>
          <w:sz w:val="24"/>
        </w:rPr>
        <w:t xml:space="preserve"> agent</w:t>
      </w:r>
      <w:r>
        <w:rPr>
          <w:rFonts w:ascii="Times New Roman" w:hAnsi="Times New Roman" w:cs="Times New Roman"/>
          <w:sz w:val="24"/>
        </w:rPr>
        <w:t>, and a plan for a mixed-delivery model to provide high quality preschool services</w:t>
      </w:r>
      <w:r w:rsidR="00546E56">
        <w:rPr>
          <w:rFonts w:ascii="Times New Roman" w:hAnsi="Times New Roman" w:cs="Times New Roman"/>
          <w:sz w:val="24"/>
        </w:rPr>
        <w:t xml:space="preserve"> through an early learning provider</w:t>
      </w:r>
      <w:r>
        <w:rPr>
          <w:rFonts w:ascii="Times New Roman" w:hAnsi="Times New Roman" w:cs="Times New Roman"/>
          <w:sz w:val="24"/>
        </w:rPr>
        <w:t xml:space="preserve">, consistent with the current Preschool Expansion Grant in Massachusetts. </w:t>
      </w:r>
      <w:r w:rsidR="00546E56">
        <w:rPr>
          <w:rFonts w:ascii="Times New Roman" w:hAnsi="Times New Roman" w:cs="Times New Roman"/>
          <w:sz w:val="24"/>
        </w:rPr>
        <w:t xml:space="preserve"> The early learning providers </w:t>
      </w:r>
      <w:r>
        <w:rPr>
          <w:rFonts w:ascii="Times New Roman" w:hAnsi="Times New Roman" w:cs="Times New Roman"/>
          <w:sz w:val="24"/>
        </w:rPr>
        <w:t xml:space="preserve">include mostly center-based, private non-profit and for-profit organizations, Head Start partners, in addition to a small number of family </w:t>
      </w:r>
      <w:r>
        <w:rPr>
          <w:rFonts w:ascii="Times New Roman" w:hAnsi="Times New Roman" w:cs="Times New Roman"/>
          <w:sz w:val="24"/>
        </w:rPr>
        <w:lastRenderedPageBreak/>
        <w:t>child care providers</w:t>
      </w:r>
      <w:r w:rsidR="003D1E0B">
        <w:rPr>
          <w:rFonts w:ascii="Times New Roman" w:hAnsi="Times New Roman" w:cs="Times New Roman"/>
          <w:sz w:val="24"/>
        </w:rPr>
        <w:t xml:space="preserve"> in </w:t>
      </w:r>
      <w:r w:rsidR="006A1C23">
        <w:rPr>
          <w:rFonts w:ascii="Times New Roman" w:hAnsi="Times New Roman" w:cs="Times New Roman"/>
          <w:sz w:val="24"/>
        </w:rPr>
        <w:t>a few</w:t>
      </w:r>
      <w:r w:rsidR="003D1E0B">
        <w:rPr>
          <w:rFonts w:ascii="Times New Roman" w:hAnsi="Times New Roman" w:cs="Times New Roman"/>
          <w:sz w:val="24"/>
        </w:rPr>
        <w:t xml:space="preserve"> communities</w:t>
      </w:r>
      <w:r>
        <w:rPr>
          <w:rFonts w:ascii="Times New Roman" w:hAnsi="Times New Roman" w:cs="Times New Roman"/>
          <w:sz w:val="24"/>
        </w:rPr>
        <w:t>. Approximately one third of communities include public preschool classrooms in plans for expansion</w:t>
      </w:r>
      <w:r w:rsidR="003D1E0B">
        <w:rPr>
          <w:rFonts w:ascii="Times New Roman" w:hAnsi="Times New Roman" w:cs="Times New Roman"/>
          <w:sz w:val="24"/>
        </w:rPr>
        <w:t>, some of which would be operated by the public schools and others that would be located in a public school but administered by an</w:t>
      </w:r>
      <w:r w:rsidR="00FD5993">
        <w:rPr>
          <w:rFonts w:ascii="Times New Roman" w:hAnsi="Times New Roman" w:cs="Times New Roman"/>
          <w:sz w:val="24"/>
        </w:rPr>
        <w:t xml:space="preserve"> </w:t>
      </w:r>
      <w:r w:rsidR="00546E56">
        <w:rPr>
          <w:rFonts w:ascii="Times New Roman" w:hAnsi="Times New Roman" w:cs="Times New Roman"/>
          <w:sz w:val="24"/>
        </w:rPr>
        <w:t>e</w:t>
      </w:r>
      <w:r w:rsidR="00FD5993">
        <w:rPr>
          <w:rFonts w:ascii="Times New Roman" w:hAnsi="Times New Roman" w:cs="Times New Roman"/>
          <w:sz w:val="24"/>
        </w:rPr>
        <w:t xml:space="preserve">arly </w:t>
      </w:r>
      <w:r w:rsidR="00546E56">
        <w:rPr>
          <w:rFonts w:ascii="Times New Roman" w:hAnsi="Times New Roman" w:cs="Times New Roman"/>
          <w:sz w:val="24"/>
        </w:rPr>
        <w:t>l</w:t>
      </w:r>
      <w:r w:rsidR="00FD5993">
        <w:rPr>
          <w:rFonts w:ascii="Times New Roman" w:hAnsi="Times New Roman" w:cs="Times New Roman"/>
          <w:sz w:val="24"/>
        </w:rPr>
        <w:t xml:space="preserve">earning </w:t>
      </w:r>
      <w:r w:rsidR="00546E56">
        <w:rPr>
          <w:rFonts w:ascii="Times New Roman" w:hAnsi="Times New Roman" w:cs="Times New Roman"/>
          <w:sz w:val="24"/>
        </w:rPr>
        <w:t>p</w:t>
      </w:r>
      <w:r w:rsidR="00FD5993">
        <w:rPr>
          <w:rFonts w:ascii="Times New Roman" w:hAnsi="Times New Roman" w:cs="Times New Roman"/>
          <w:sz w:val="24"/>
        </w:rPr>
        <w:t>rovider</w:t>
      </w:r>
      <w:r>
        <w:rPr>
          <w:rFonts w:ascii="Times New Roman" w:hAnsi="Times New Roman" w:cs="Times New Roman"/>
          <w:sz w:val="24"/>
        </w:rPr>
        <w:t>.</w:t>
      </w:r>
    </w:p>
    <w:p w14:paraId="79FBD72D" w14:textId="77777777" w:rsidR="00BB22AA" w:rsidRPr="005E6747" w:rsidRDefault="00BB22AA" w:rsidP="005E6747">
      <w:pPr>
        <w:pStyle w:val="NoSpacing"/>
        <w:spacing w:after="120" w:line="276" w:lineRule="auto"/>
        <w:rPr>
          <w:rFonts w:ascii="Times New Roman" w:hAnsi="Times New Roman" w:cs="Times New Roman"/>
          <w:sz w:val="24"/>
        </w:rPr>
      </w:pPr>
      <w:r>
        <w:rPr>
          <w:rFonts w:ascii="Times New Roman" w:hAnsi="Times New Roman" w:cs="Times New Roman"/>
          <w:sz w:val="24"/>
        </w:rPr>
        <w:t xml:space="preserve">Although the public school district is considered </w:t>
      </w:r>
      <w:r w:rsidR="00E349F4">
        <w:rPr>
          <w:rFonts w:ascii="Times New Roman" w:hAnsi="Times New Roman" w:cs="Times New Roman"/>
          <w:sz w:val="24"/>
        </w:rPr>
        <w:t>the</w:t>
      </w:r>
      <w:r>
        <w:rPr>
          <w:rFonts w:ascii="Times New Roman" w:hAnsi="Times New Roman" w:cs="Times New Roman"/>
          <w:sz w:val="24"/>
        </w:rPr>
        <w:t xml:space="preserve"> lead agent, plans include </w:t>
      </w:r>
      <w:r w:rsidR="00E349F4">
        <w:rPr>
          <w:rFonts w:ascii="Times New Roman" w:hAnsi="Times New Roman" w:cs="Times New Roman"/>
          <w:sz w:val="24"/>
        </w:rPr>
        <w:t xml:space="preserve">a variety of governance structures to </w:t>
      </w:r>
      <w:r>
        <w:rPr>
          <w:rFonts w:ascii="Times New Roman" w:hAnsi="Times New Roman" w:cs="Times New Roman"/>
          <w:sz w:val="24"/>
        </w:rPr>
        <w:t>support expansion efforts</w:t>
      </w:r>
      <w:r w:rsidR="00E349F4">
        <w:rPr>
          <w:rFonts w:ascii="Times New Roman" w:hAnsi="Times New Roman" w:cs="Times New Roman"/>
          <w:sz w:val="24"/>
        </w:rPr>
        <w:t>. For example</w:t>
      </w:r>
      <w:r w:rsidR="003F4343">
        <w:rPr>
          <w:rFonts w:ascii="Times New Roman" w:hAnsi="Times New Roman" w:cs="Times New Roman"/>
          <w:sz w:val="24"/>
        </w:rPr>
        <w:t>,</w:t>
      </w:r>
      <w:r>
        <w:rPr>
          <w:rFonts w:ascii="Times New Roman" w:hAnsi="Times New Roman" w:cs="Times New Roman"/>
          <w:sz w:val="24"/>
        </w:rPr>
        <w:t xml:space="preserve"> early childhood advisories</w:t>
      </w:r>
      <w:r w:rsidR="004A5EB0">
        <w:rPr>
          <w:rFonts w:ascii="Times New Roman" w:hAnsi="Times New Roman" w:cs="Times New Roman"/>
          <w:sz w:val="24"/>
        </w:rPr>
        <w:t>,</w:t>
      </w:r>
      <w:r>
        <w:rPr>
          <w:rFonts w:ascii="Times New Roman" w:hAnsi="Times New Roman" w:cs="Times New Roman"/>
          <w:sz w:val="24"/>
        </w:rPr>
        <w:t xml:space="preserve"> boards </w:t>
      </w:r>
      <w:r w:rsidR="004A5EB0">
        <w:rPr>
          <w:rFonts w:ascii="Times New Roman" w:hAnsi="Times New Roman" w:cs="Times New Roman"/>
          <w:sz w:val="24"/>
        </w:rPr>
        <w:t xml:space="preserve">and cabinets would be </w:t>
      </w:r>
      <w:r w:rsidR="003F4343">
        <w:rPr>
          <w:rFonts w:ascii="Times New Roman" w:hAnsi="Times New Roman" w:cs="Times New Roman"/>
          <w:sz w:val="24"/>
        </w:rPr>
        <w:t>utilized</w:t>
      </w:r>
      <w:r w:rsidR="004A5EB0">
        <w:rPr>
          <w:rFonts w:ascii="Times New Roman" w:hAnsi="Times New Roman" w:cs="Times New Roman"/>
          <w:sz w:val="24"/>
        </w:rPr>
        <w:t xml:space="preserve"> </w:t>
      </w:r>
      <w:r>
        <w:rPr>
          <w:rFonts w:ascii="Times New Roman" w:hAnsi="Times New Roman" w:cs="Times New Roman"/>
          <w:sz w:val="24"/>
        </w:rPr>
        <w:t xml:space="preserve">to oversee and </w:t>
      </w:r>
      <w:r w:rsidR="004A5EB0">
        <w:rPr>
          <w:rFonts w:ascii="Times New Roman" w:hAnsi="Times New Roman" w:cs="Times New Roman"/>
          <w:sz w:val="24"/>
        </w:rPr>
        <w:t xml:space="preserve">inform </w:t>
      </w:r>
      <w:r>
        <w:rPr>
          <w:rFonts w:ascii="Times New Roman" w:hAnsi="Times New Roman" w:cs="Times New Roman"/>
          <w:sz w:val="24"/>
        </w:rPr>
        <w:t xml:space="preserve">overall program activities and </w:t>
      </w:r>
      <w:r w:rsidR="003F4343">
        <w:rPr>
          <w:rFonts w:ascii="Times New Roman" w:hAnsi="Times New Roman" w:cs="Times New Roman"/>
          <w:sz w:val="24"/>
        </w:rPr>
        <w:t xml:space="preserve">determine </w:t>
      </w:r>
      <w:r w:rsidR="004A5EB0">
        <w:rPr>
          <w:rFonts w:ascii="Times New Roman" w:hAnsi="Times New Roman" w:cs="Times New Roman"/>
          <w:sz w:val="24"/>
        </w:rPr>
        <w:t>strategic direction</w:t>
      </w:r>
      <w:r w:rsidR="003F4343">
        <w:rPr>
          <w:rFonts w:ascii="Times New Roman" w:hAnsi="Times New Roman" w:cs="Times New Roman"/>
          <w:sz w:val="24"/>
        </w:rPr>
        <w:t>s</w:t>
      </w:r>
      <w:r w:rsidR="004A5EB0">
        <w:rPr>
          <w:rFonts w:ascii="Times New Roman" w:hAnsi="Times New Roman" w:cs="Times New Roman"/>
          <w:sz w:val="24"/>
        </w:rPr>
        <w:t>. In addition,</w:t>
      </w:r>
      <w:r>
        <w:rPr>
          <w:rFonts w:ascii="Times New Roman" w:hAnsi="Times New Roman" w:cs="Times New Roman"/>
          <w:sz w:val="24"/>
        </w:rPr>
        <w:t xml:space="preserve"> the development of local steering committees and working groups </w:t>
      </w:r>
      <w:r w:rsidR="00B52F7D">
        <w:rPr>
          <w:rFonts w:ascii="Times New Roman" w:hAnsi="Times New Roman" w:cs="Times New Roman"/>
          <w:sz w:val="24"/>
        </w:rPr>
        <w:t>would be</w:t>
      </w:r>
      <w:r>
        <w:rPr>
          <w:rFonts w:ascii="Times New Roman" w:hAnsi="Times New Roman" w:cs="Times New Roman"/>
          <w:sz w:val="24"/>
        </w:rPr>
        <w:t xml:space="preserve"> responsible for oversight of operations and program development priorities</w:t>
      </w:r>
      <w:r w:rsidR="00915DFE">
        <w:rPr>
          <w:rFonts w:ascii="Times New Roman" w:hAnsi="Times New Roman" w:cs="Times New Roman"/>
          <w:sz w:val="24"/>
        </w:rPr>
        <w:t>,</w:t>
      </w:r>
      <w:r>
        <w:rPr>
          <w:rFonts w:ascii="Times New Roman" w:hAnsi="Times New Roman" w:cs="Times New Roman"/>
          <w:sz w:val="24"/>
        </w:rPr>
        <w:t xml:space="preserve"> as iden</w:t>
      </w:r>
      <w:r w:rsidR="006F0A38">
        <w:rPr>
          <w:rFonts w:ascii="Times New Roman" w:hAnsi="Times New Roman" w:cs="Times New Roman"/>
          <w:sz w:val="24"/>
        </w:rPr>
        <w:t xml:space="preserve">tified by the governing body. A number of plans include the need to hire a coordinator to oversee general operations and expansion activities. </w:t>
      </w:r>
      <w:r w:rsidR="006F0A38">
        <w:rPr>
          <w:rFonts w:ascii="Times New Roman" w:hAnsi="Times New Roman" w:cs="Times New Roman"/>
          <w:sz w:val="24"/>
          <w:szCs w:val="24"/>
        </w:rPr>
        <w:t>Given the many challenges children and their families face, family engagement staff and some additional support staff</w:t>
      </w:r>
      <w:r w:rsidR="00BB56FB">
        <w:rPr>
          <w:rFonts w:ascii="Times New Roman" w:hAnsi="Times New Roman" w:cs="Times New Roman"/>
          <w:sz w:val="24"/>
          <w:szCs w:val="24"/>
        </w:rPr>
        <w:t>, including mental health consultants, would</w:t>
      </w:r>
      <w:r w:rsidR="006F0A38">
        <w:rPr>
          <w:rFonts w:ascii="Times New Roman" w:hAnsi="Times New Roman" w:cs="Times New Roman"/>
          <w:sz w:val="24"/>
          <w:szCs w:val="24"/>
        </w:rPr>
        <w:t xml:space="preserve"> be hired to support quality</w:t>
      </w:r>
      <w:r w:rsidR="00BB56FB">
        <w:rPr>
          <w:rFonts w:ascii="Times New Roman" w:hAnsi="Times New Roman" w:cs="Times New Roman"/>
          <w:sz w:val="24"/>
          <w:szCs w:val="24"/>
        </w:rPr>
        <w:t xml:space="preserve"> if plans for expansion were implemented</w:t>
      </w:r>
      <w:r w:rsidR="006F0A38">
        <w:rPr>
          <w:rFonts w:ascii="Times New Roman" w:hAnsi="Times New Roman" w:cs="Times New Roman"/>
          <w:sz w:val="24"/>
          <w:szCs w:val="24"/>
        </w:rPr>
        <w:t>.</w:t>
      </w:r>
    </w:p>
    <w:p w14:paraId="4D7AE503" w14:textId="77777777" w:rsidR="00D947EA" w:rsidRDefault="00FD3229"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Communities designed their preschool expansion programs to include the following </w:t>
      </w:r>
      <w:r w:rsidR="00E514F4">
        <w:rPr>
          <w:rFonts w:ascii="Times New Roman" w:hAnsi="Times New Roman" w:cs="Times New Roman"/>
          <w:sz w:val="24"/>
          <w:szCs w:val="24"/>
        </w:rPr>
        <w:t xml:space="preserve">criteria and design </w:t>
      </w:r>
      <w:r>
        <w:rPr>
          <w:rFonts w:ascii="Times New Roman" w:hAnsi="Times New Roman" w:cs="Times New Roman"/>
          <w:sz w:val="24"/>
          <w:szCs w:val="24"/>
        </w:rPr>
        <w:t xml:space="preserve">components: </w:t>
      </w:r>
    </w:p>
    <w:p w14:paraId="7EB0941B" w14:textId="77777777" w:rsidR="004A3635" w:rsidRPr="005E6747" w:rsidRDefault="00FD3229" w:rsidP="005E6747">
      <w:pPr>
        <w:pStyle w:val="NoSpacing"/>
        <w:spacing w:after="120" w:line="276" w:lineRule="auto"/>
        <w:rPr>
          <w:rFonts w:ascii="Times New Roman" w:hAnsi="Times New Roman" w:cs="Times New Roman"/>
          <w:b/>
          <w:i/>
          <w:sz w:val="24"/>
          <w:szCs w:val="24"/>
        </w:rPr>
      </w:pPr>
      <w:r w:rsidRPr="000D5454">
        <w:rPr>
          <w:rFonts w:ascii="Times New Roman" w:hAnsi="Times New Roman" w:cs="Times New Roman"/>
          <w:b/>
          <w:i/>
          <w:sz w:val="24"/>
          <w:szCs w:val="24"/>
        </w:rPr>
        <w:t>Eligibility</w:t>
      </w:r>
    </w:p>
    <w:p w14:paraId="572EBEDA" w14:textId="77777777" w:rsidR="009A025F" w:rsidRDefault="004A5EB0"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Each of the communities recommend the new preschool slots be available for working and low income families. Plans mention the need to consider families with an income just above the 200% of the Federal Poverty Line requirement, unlike the eligibility requirements of PEG. Flexibility with the income requirement would allow for communities to serve a broad range of families, and in some cases, offer a mixed-income model for preschool expansion. </w:t>
      </w:r>
    </w:p>
    <w:p w14:paraId="375C9287" w14:textId="77777777" w:rsidR="00DC2011" w:rsidRDefault="001D3732"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Many</w:t>
      </w:r>
      <w:r w:rsidR="00736656">
        <w:rPr>
          <w:rFonts w:ascii="Times New Roman" w:hAnsi="Times New Roman" w:cs="Times New Roman"/>
          <w:sz w:val="24"/>
          <w:szCs w:val="24"/>
        </w:rPr>
        <w:t xml:space="preserve"> communities would prioritize </w:t>
      </w:r>
      <w:r w:rsidR="004A3635">
        <w:rPr>
          <w:rFonts w:ascii="Times New Roman" w:hAnsi="Times New Roman" w:cs="Times New Roman"/>
          <w:sz w:val="24"/>
          <w:szCs w:val="24"/>
        </w:rPr>
        <w:t>children who have no previous early education experience</w:t>
      </w:r>
      <w:r w:rsidR="00232344">
        <w:rPr>
          <w:rFonts w:ascii="Times New Roman" w:hAnsi="Times New Roman" w:cs="Times New Roman"/>
          <w:sz w:val="24"/>
          <w:szCs w:val="24"/>
        </w:rPr>
        <w:t xml:space="preserve">, </w:t>
      </w:r>
      <w:r w:rsidR="004A5EB0">
        <w:rPr>
          <w:rFonts w:ascii="Times New Roman" w:hAnsi="Times New Roman" w:cs="Times New Roman"/>
          <w:sz w:val="24"/>
          <w:szCs w:val="24"/>
        </w:rPr>
        <w:t>as they see a large number of children</w:t>
      </w:r>
      <w:r w:rsidR="00232344">
        <w:rPr>
          <w:rFonts w:ascii="Times New Roman" w:hAnsi="Times New Roman" w:cs="Times New Roman"/>
          <w:sz w:val="24"/>
          <w:szCs w:val="24"/>
        </w:rPr>
        <w:t xml:space="preserve"> entering Kindergarten </w:t>
      </w:r>
      <w:r>
        <w:rPr>
          <w:rFonts w:ascii="Times New Roman" w:hAnsi="Times New Roman" w:cs="Times New Roman"/>
          <w:sz w:val="24"/>
          <w:szCs w:val="24"/>
        </w:rPr>
        <w:t>without such experience</w:t>
      </w:r>
      <w:r w:rsidR="004A3635">
        <w:rPr>
          <w:rFonts w:ascii="Times New Roman" w:hAnsi="Times New Roman" w:cs="Times New Roman"/>
          <w:sz w:val="24"/>
          <w:szCs w:val="24"/>
        </w:rPr>
        <w:t xml:space="preserve">.  </w:t>
      </w:r>
    </w:p>
    <w:p w14:paraId="756E1D01" w14:textId="77777777" w:rsidR="005713C1" w:rsidRDefault="00DC2011"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Other eligibility priorities varied depending on the unique needs of community</w:t>
      </w:r>
      <w:r w:rsidR="008963C4">
        <w:rPr>
          <w:rFonts w:ascii="Times New Roman" w:hAnsi="Times New Roman" w:cs="Times New Roman"/>
          <w:sz w:val="24"/>
          <w:szCs w:val="24"/>
        </w:rPr>
        <w:t xml:space="preserve">, including plans to develop local priority categories based on results from needs assessments. </w:t>
      </w:r>
      <w:r>
        <w:rPr>
          <w:rFonts w:ascii="Times New Roman" w:hAnsi="Times New Roman" w:cs="Times New Roman"/>
          <w:sz w:val="24"/>
          <w:szCs w:val="24"/>
        </w:rPr>
        <w:t xml:space="preserve"> </w:t>
      </w:r>
    </w:p>
    <w:p w14:paraId="1C5BB902" w14:textId="77777777" w:rsidR="00DC2011" w:rsidRPr="005E6747" w:rsidRDefault="00DC2011" w:rsidP="005E6747">
      <w:pPr>
        <w:pStyle w:val="Heading3"/>
        <w:spacing w:after="120"/>
      </w:pPr>
      <w:bookmarkStart w:id="8" w:name="_Toc462828766"/>
      <w:r w:rsidRPr="000D5454">
        <w:t>New and Expansion Classrooms</w:t>
      </w:r>
      <w:bookmarkEnd w:id="8"/>
    </w:p>
    <w:p w14:paraId="05D54F22" w14:textId="77777777" w:rsidR="008E7561" w:rsidRDefault="00DC2011"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Communities developed plans to open preschool classrooms in phases over a span of one to two years using </w:t>
      </w:r>
      <w:r w:rsidR="00E75E94">
        <w:rPr>
          <w:rFonts w:ascii="Times New Roman" w:hAnsi="Times New Roman" w:cs="Times New Roman"/>
          <w:sz w:val="24"/>
          <w:szCs w:val="24"/>
        </w:rPr>
        <w:t xml:space="preserve">various physical spaces, including </w:t>
      </w:r>
      <w:r>
        <w:rPr>
          <w:rFonts w:ascii="Times New Roman" w:hAnsi="Times New Roman" w:cs="Times New Roman"/>
          <w:sz w:val="24"/>
          <w:szCs w:val="24"/>
        </w:rPr>
        <w:t xml:space="preserve">existing space within public schools and </w:t>
      </w:r>
      <w:r w:rsidR="00E75E94">
        <w:rPr>
          <w:rFonts w:ascii="Times New Roman" w:hAnsi="Times New Roman" w:cs="Times New Roman"/>
          <w:sz w:val="24"/>
          <w:szCs w:val="24"/>
        </w:rPr>
        <w:t xml:space="preserve">private early learning programs, opening new facilities, or renovating existing facilities to better accommodate programs. </w:t>
      </w:r>
      <w:r w:rsidR="008E7561">
        <w:rPr>
          <w:rFonts w:ascii="Times New Roman" w:hAnsi="Times New Roman" w:cs="Times New Roman"/>
          <w:sz w:val="24"/>
          <w:szCs w:val="24"/>
        </w:rPr>
        <w:t xml:space="preserve">The location of preschool expansion classrooms varies by community, with some planning to centralize all classrooms in one location, and others offering expansion classrooms across multiple programs and locations in the community. </w:t>
      </w:r>
    </w:p>
    <w:p w14:paraId="634970D0" w14:textId="77777777" w:rsidR="008E7561" w:rsidRDefault="00E75E94" w:rsidP="005E6747">
      <w:pPr>
        <w:pStyle w:val="NoSpacing"/>
        <w:spacing w:after="120" w:line="276" w:lineRule="auto"/>
        <w:rPr>
          <w:rFonts w:ascii="Times New Roman" w:hAnsi="Times New Roman" w:cs="Times New Roman"/>
          <w:sz w:val="24"/>
        </w:rPr>
      </w:pPr>
      <w:r>
        <w:rPr>
          <w:rFonts w:ascii="Times New Roman" w:hAnsi="Times New Roman" w:cs="Times New Roman"/>
          <w:sz w:val="24"/>
        </w:rPr>
        <w:t>Most include plans to offer full-day, full-year programs, and some include a mix of full-year and part-year op</w:t>
      </w:r>
      <w:r w:rsidR="004709B5">
        <w:rPr>
          <w:rFonts w:ascii="Times New Roman" w:hAnsi="Times New Roman" w:cs="Times New Roman"/>
          <w:sz w:val="24"/>
        </w:rPr>
        <w:t>tions to offer flexibility</w:t>
      </w:r>
      <w:r>
        <w:rPr>
          <w:rFonts w:ascii="Times New Roman" w:hAnsi="Times New Roman" w:cs="Times New Roman"/>
          <w:sz w:val="24"/>
        </w:rPr>
        <w:t xml:space="preserve"> for families. Depending on the size of the community and the model design (new versus enhanced slots),  the number of preschool children to be served </w:t>
      </w:r>
      <w:r>
        <w:rPr>
          <w:rFonts w:ascii="Times New Roman" w:hAnsi="Times New Roman" w:cs="Times New Roman"/>
          <w:sz w:val="24"/>
        </w:rPr>
        <w:lastRenderedPageBreak/>
        <w:t xml:space="preserve">through expansion efforts range from 60 to 400, often through a combination of new and enhanced preschool slots. </w:t>
      </w:r>
    </w:p>
    <w:p w14:paraId="1379D4E0" w14:textId="77777777" w:rsidR="00DC2011" w:rsidRPr="005E6747" w:rsidRDefault="00E75E94" w:rsidP="005E6747">
      <w:pPr>
        <w:pStyle w:val="NoSpacing"/>
        <w:spacing w:after="120" w:line="276" w:lineRule="auto"/>
        <w:rPr>
          <w:rFonts w:ascii="Times New Roman" w:hAnsi="Times New Roman" w:cs="Times New Roman"/>
          <w:sz w:val="24"/>
        </w:rPr>
      </w:pPr>
      <w:r>
        <w:rPr>
          <w:rFonts w:ascii="Times New Roman" w:hAnsi="Times New Roman" w:cs="Times New Roman"/>
          <w:sz w:val="24"/>
        </w:rPr>
        <w:t xml:space="preserve">Although the majority of plans </w:t>
      </w:r>
      <w:r w:rsidR="001A173B">
        <w:rPr>
          <w:rFonts w:ascii="Times New Roman" w:hAnsi="Times New Roman" w:cs="Times New Roman"/>
          <w:sz w:val="24"/>
        </w:rPr>
        <w:t>indicated that</w:t>
      </w:r>
      <w:r>
        <w:rPr>
          <w:rFonts w:ascii="Times New Roman" w:hAnsi="Times New Roman" w:cs="Times New Roman"/>
          <w:sz w:val="24"/>
        </w:rPr>
        <w:t xml:space="preserve"> direct services </w:t>
      </w:r>
      <w:r w:rsidR="00A7422C">
        <w:rPr>
          <w:rFonts w:ascii="Times New Roman" w:hAnsi="Times New Roman" w:cs="Times New Roman"/>
          <w:sz w:val="24"/>
        </w:rPr>
        <w:t xml:space="preserve">will be </w:t>
      </w:r>
      <w:r w:rsidR="00B52F7D">
        <w:rPr>
          <w:rFonts w:ascii="Times New Roman" w:hAnsi="Times New Roman" w:cs="Times New Roman"/>
          <w:sz w:val="24"/>
        </w:rPr>
        <w:t>primarily provided</w:t>
      </w:r>
      <w:r>
        <w:rPr>
          <w:rFonts w:ascii="Times New Roman" w:hAnsi="Times New Roman" w:cs="Times New Roman"/>
          <w:sz w:val="24"/>
        </w:rPr>
        <w:t xml:space="preserve"> by private community based organizations,</w:t>
      </w:r>
      <w:r w:rsidR="00A7422C">
        <w:rPr>
          <w:rFonts w:ascii="Times New Roman" w:hAnsi="Times New Roman" w:cs="Times New Roman"/>
          <w:sz w:val="24"/>
        </w:rPr>
        <w:t xml:space="preserve"> or family child care </w:t>
      </w:r>
      <w:r w:rsidR="00B52F7D">
        <w:rPr>
          <w:rFonts w:ascii="Times New Roman" w:hAnsi="Times New Roman" w:cs="Times New Roman"/>
          <w:sz w:val="24"/>
        </w:rPr>
        <w:t>programs, some</w:t>
      </w:r>
      <w:r>
        <w:rPr>
          <w:rFonts w:ascii="Times New Roman" w:hAnsi="Times New Roman" w:cs="Times New Roman"/>
          <w:sz w:val="24"/>
        </w:rPr>
        <w:t xml:space="preserve"> consider</w:t>
      </w:r>
      <w:r w:rsidR="00E01FD4">
        <w:rPr>
          <w:rFonts w:ascii="Times New Roman" w:hAnsi="Times New Roman" w:cs="Times New Roman"/>
          <w:sz w:val="24"/>
        </w:rPr>
        <w:t>ed</w:t>
      </w:r>
      <w:r w:rsidR="00D048DB">
        <w:rPr>
          <w:rFonts w:ascii="Times New Roman" w:hAnsi="Times New Roman" w:cs="Times New Roman"/>
          <w:sz w:val="24"/>
        </w:rPr>
        <w:t xml:space="preserve"> the role of public schools in providing preschool programming, through opening new classrooms operated by public schools or enhancing existing public school slots </w:t>
      </w:r>
      <w:r w:rsidR="00A7422C">
        <w:rPr>
          <w:rFonts w:ascii="Times New Roman" w:hAnsi="Times New Roman" w:cs="Times New Roman"/>
          <w:sz w:val="24"/>
        </w:rPr>
        <w:t>through</w:t>
      </w:r>
      <w:r w:rsidR="00D048DB">
        <w:rPr>
          <w:rFonts w:ascii="Times New Roman" w:hAnsi="Times New Roman" w:cs="Times New Roman"/>
          <w:sz w:val="24"/>
        </w:rPr>
        <w:t xml:space="preserve"> extended day or extended year options for families. </w:t>
      </w:r>
    </w:p>
    <w:p w14:paraId="43E84BC6" w14:textId="77777777" w:rsidR="005D2CF5" w:rsidRPr="005E6747" w:rsidRDefault="00EC66C6" w:rsidP="005E6747">
      <w:pPr>
        <w:pStyle w:val="Heading3"/>
        <w:spacing w:after="120"/>
      </w:pPr>
      <w:bookmarkStart w:id="9" w:name="_Toc462828767"/>
      <w:r w:rsidRPr="000D5454">
        <w:t>Classroom</w:t>
      </w:r>
      <w:r w:rsidR="00A07530" w:rsidRPr="000D5454">
        <w:t xml:space="preserve">s </w:t>
      </w:r>
      <w:r w:rsidRPr="000D5454">
        <w:t xml:space="preserve">and </w:t>
      </w:r>
      <w:r w:rsidR="000D5454">
        <w:t>Educators</w:t>
      </w:r>
      <w:bookmarkEnd w:id="9"/>
    </w:p>
    <w:p w14:paraId="41AFBFD3" w14:textId="27B78BC6" w:rsidR="009F508D" w:rsidRDefault="002242EE"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Each of the communities included a robust plan for placing highly-qualified teachers in classrooms. Requirements for staff qualifications are mixed, although many plans mandate at least one B.A. degree teacher </w:t>
      </w:r>
      <w:r w:rsidR="00F55094">
        <w:rPr>
          <w:rFonts w:ascii="Times New Roman" w:hAnsi="Times New Roman" w:cs="Times New Roman"/>
          <w:sz w:val="24"/>
          <w:szCs w:val="24"/>
        </w:rPr>
        <w:t>in each classroom. When</w:t>
      </w:r>
      <w:r>
        <w:rPr>
          <w:rFonts w:ascii="Times New Roman" w:hAnsi="Times New Roman" w:cs="Times New Roman"/>
          <w:sz w:val="24"/>
          <w:szCs w:val="24"/>
        </w:rPr>
        <w:t xml:space="preserve"> family child care providers are included in plans, a combination of education level, length of experience, and competency</w:t>
      </w:r>
      <w:r w:rsidR="00F55094">
        <w:rPr>
          <w:rFonts w:ascii="Times New Roman" w:hAnsi="Times New Roman" w:cs="Times New Roman"/>
          <w:sz w:val="24"/>
          <w:szCs w:val="24"/>
        </w:rPr>
        <w:t xml:space="preserve"> are considered</w:t>
      </w:r>
      <w:r>
        <w:rPr>
          <w:rFonts w:ascii="Times New Roman" w:hAnsi="Times New Roman" w:cs="Times New Roman"/>
          <w:sz w:val="24"/>
          <w:szCs w:val="24"/>
        </w:rPr>
        <w:t xml:space="preserve"> as measures of st</w:t>
      </w:r>
      <w:r w:rsidR="00876DF1">
        <w:rPr>
          <w:rFonts w:ascii="Times New Roman" w:hAnsi="Times New Roman" w:cs="Times New Roman"/>
          <w:sz w:val="24"/>
          <w:szCs w:val="24"/>
        </w:rPr>
        <w:t>aff qualifications</w:t>
      </w:r>
      <w:r w:rsidR="008F4DC8">
        <w:rPr>
          <w:rFonts w:ascii="Times New Roman" w:hAnsi="Times New Roman" w:cs="Times New Roman"/>
          <w:sz w:val="24"/>
          <w:szCs w:val="24"/>
        </w:rPr>
        <w:t>, as they may not have hold a Bachelor’s degree</w:t>
      </w:r>
      <w:r w:rsidR="00876DF1">
        <w:rPr>
          <w:rFonts w:ascii="Times New Roman" w:hAnsi="Times New Roman" w:cs="Times New Roman"/>
          <w:sz w:val="24"/>
          <w:szCs w:val="24"/>
        </w:rPr>
        <w:t xml:space="preserve">. Most plans </w:t>
      </w:r>
      <w:r>
        <w:rPr>
          <w:rFonts w:ascii="Times New Roman" w:hAnsi="Times New Roman" w:cs="Times New Roman"/>
          <w:sz w:val="24"/>
          <w:szCs w:val="24"/>
        </w:rPr>
        <w:t xml:space="preserve">propose a three educator per classroom model. </w:t>
      </w:r>
    </w:p>
    <w:p w14:paraId="0E5ED3C7" w14:textId="77777777" w:rsidR="008D2430" w:rsidRDefault="009F508D"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Although difficult to ascertain </w:t>
      </w:r>
      <w:r w:rsidR="008D2430">
        <w:rPr>
          <w:rFonts w:ascii="Times New Roman" w:hAnsi="Times New Roman" w:cs="Times New Roman"/>
          <w:sz w:val="24"/>
          <w:szCs w:val="24"/>
        </w:rPr>
        <w:t xml:space="preserve">the </w:t>
      </w:r>
      <w:r>
        <w:rPr>
          <w:rFonts w:ascii="Times New Roman" w:hAnsi="Times New Roman" w:cs="Times New Roman"/>
          <w:sz w:val="24"/>
          <w:szCs w:val="24"/>
        </w:rPr>
        <w:t>precise salar</w:t>
      </w:r>
      <w:r w:rsidR="002242EE">
        <w:rPr>
          <w:rFonts w:ascii="Times New Roman" w:hAnsi="Times New Roman" w:cs="Times New Roman"/>
          <w:sz w:val="24"/>
          <w:szCs w:val="24"/>
        </w:rPr>
        <w:t>y and benefit package</w:t>
      </w:r>
      <w:r>
        <w:rPr>
          <w:rFonts w:ascii="Times New Roman" w:hAnsi="Times New Roman" w:cs="Times New Roman"/>
          <w:sz w:val="24"/>
          <w:szCs w:val="24"/>
        </w:rPr>
        <w:t xml:space="preserve"> fo</w:t>
      </w:r>
      <w:r w:rsidR="00F858C7">
        <w:rPr>
          <w:rFonts w:ascii="Times New Roman" w:hAnsi="Times New Roman" w:cs="Times New Roman"/>
          <w:sz w:val="24"/>
          <w:szCs w:val="24"/>
        </w:rPr>
        <w:t>r educators, all plans include</w:t>
      </w:r>
      <w:r w:rsidR="00E01FD4">
        <w:rPr>
          <w:rFonts w:ascii="Times New Roman" w:hAnsi="Times New Roman" w:cs="Times New Roman"/>
          <w:sz w:val="24"/>
          <w:szCs w:val="24"/>
        </w:rPr>
        <w:t>d</w:t>
      </w:r>
      <w:r w:rsidR="00F858C7">
        <w:rPr>
          <w:rFonts w:ascii="Times New Roman" w:hAnsi="Times New Roman" w:cs="Times New Roman"/>
          <w:sz w:val="24"/>
          <w:szCs w:val="24"/>
        </w:rPr>
        <w:t xml:space="preserve"> increases to</w:t>
      </w:r>
      <w:r>
        <w:rPr>
          <w:rFonts w:ascii="Times New Roman" w:hAnsi="Times New Roman" w:cs="Times New Roman"/>
          <w:sz w:val="24"/>
          <w:szCs w:val="24"/>
        </w:rPr>
        <w:t xml:space="preserve"> </w:t>
      </w:r>
      <w:r w:rsidR="002242EE">
        <w:rPr>
          <w:rFonts w:ascii="Times New Roman" w:hAnsi="Times New Roman" w:cs="Times New Roman"/>
          <w:sz w:val="24"/>
          <w:szCs w:val="24"/>
        </w:rPr>
        <w:t xml:space="preserve">current </w:t>
      </w:r>
      <w:r>
        <w:rPr>
          <w:rFonts w:ascii="Times New Roman" w:hAnsi="Times New Roman" w:cs="Times New Roman"/>
          <w:sz w:val="24"/>
          <w:szCs w:val="24"/>
        </w:rPr>
        <w:t xml:space="preserve">educator compensation to promote retention of highly qualified staff. </w:t>
      </w:r>
      <w:r w:rsidR="001160E7">
        <w:rPr>
          <w:rFonts w:ascii="Times New Roman" w:hAnsi="Times New Roman" w:cs="Times New Roman"/>
          <w:sz w:val="24"/>
          <w:szCs w:val="24"/>
        </w:rPr>
        <w:t xml:space="preserve">Communities </w:t>
      </w:r>
      <w:r w:rsidR="00E01FD4">
        <w:rPr>
          <w:rFonts w:ascii="Times New Roman" w:hAnsi="Times New Roman" w:cs="Times New Roman"/>
          <w:sz w:val="24"/>
          <w:szCs w:val="24"/>
        </w:rPr>
        <w:t>were</w:t>
      </w:r>
      <w:r w:rsidR="001160E7">
        <w:rPr>
          <w:rFonts w:ascii="Times New Roman" w:hAnsi="Times New Roman" w:cs="Times New Roman"/>
          <w:sz w:val="24"/>
          <w:szCs w:val="24"/>
        </w:rPr>
        <w:t xml:space="preserve"> at various points in the p</w:t>
      </w:r>
      <w:r w:rsidR="00F858C7">
        <w:rPr>
          <w:rFonts w:ascii="Times New Roman" w:hAnsi="Times New Roman" w:cs="Times New Roman"/>
          <w:sz w:val="24"/>
          <w:szCs w:val="24"/>
        </w:rPr>
        <w:t>rocess of</w:t>
      </w:r>
      <w:r w:rsidR="001160E7">
        <w:rPr>
          <w:rFonts w:ascii="Times New Roman" w:hAnsi="Times New Roman" w:cs="Times New Roman"/>
          <w:sz w:val="24"/>
          <w:szCs w:val="24"/>
        </w:rPr>
        <w:t xml:space="preserve"> determining the appropriate levels of compensation for educators, and approaches to addressing this challenge vary. For example, some communities explicitly cite</w:t>
      </w:r>
      <w:r w:rsidR="00E01FD4">
        <w:rPr>
          <w:rFonts w:ascii="Times New Roman" w:hAnsi="Times New Roman" w:cs="Times New Roman"/>
          <w:sz w:val="24"/>
          <w:szCs w:val="24"/>
        </w:rPr>
        <w:t>d</w:t>
      </w:r>
      <w:r w:rsidR="001160E7">
        <w:rPr>
          <w:rFonts w:ascii="Times New Roman" w:hAnsi="Times New Roman" w:cs="Times New Roman"/>
          <w:sz w:val="24"/>
          <w:szCs w:val="24"/>
        </w:rPr>
        <w:t xml:space="preserve"> salaries commensurate with the public school in plans for expansion, while others continue</w:t>
      </w:r>
      <w:r w:rsidR="00E01FD4">
        <w:rPr>
          <w:rFonts w:ascii="Times New Roman" w:hAnsi="Times New Roman" w:cs="Times New Roman"/>
          <w:sz w:val="24"/>
          <w:szCs w:val="24"/>
        </w:rPr>
        <w:t>d</w:t>
      </w:r>
      <w:r w:rsidR="001160E7">
        <w:rPr>
          <w:rFonts w:ascii="Times New Roman" w:hAnsi="Times New Roman" w:cs="Times New Roman"/>
          <w:sz w:val="24"/>
          <w:szCs w:val="24"/>
        </w:rPr>
        <w:t xml:space="preserve"> to explore this issue through collaborations with unions, local Head Start partners, and other relevant fields as a point of comparison. Recognizing the costs associated with increasing compensation of educators, one plan proposed increasing salaries of educators gradually over the course of a few years</w:t>
      </w:r>
      <w:r w:rsidR="00E54974">
        <w:rPr>
          <w:rFonts w:ascii="Times New Roman" w:hAnsi="Times New Roman" w:cs="Times New Roman"/>
          <w:sz w:val="24"/>
          <w:szCs w:val="24"/>
        </w:rPr>
        <w:t>, and another is considering a tiered model of compensation to incentivize educators toward career advancement</w:t>
      </w:r>
      <w:r w:rsidR="001160E7">
        <w:rPr>
          <w:rFonts w:ascii="Times New Roman" w:hAnsi="Times New Roman" w:cs="Times New Roman"/>
          <w:sz w:val="24"/>
          <w:szCs w:val="24"/>
        </w:rPr>
        <w:t xml:space="preserve">. </w:t>
      </w:r>
    </w:p>
    <w:p w14:paraId="66EF2FC4" w14:textId="77777777" w:rsidR="00A519C9" w:rsidRDefault="00E01FD4"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Plans relied</w:t>
      </w:r>
      <w:r w:rsidR="00A519C9">
        <w:rPr>
          <w:rFonts w:ascii="Times New Roman" w:hAnsi="Times New Roman" w:cs="Times New Roman"/>
          <w:sz w:val="24"/>
          <w:szCs w:val="24"/>
        </w:rPr>
        <w:t xml:space="preserve"> on current systems for measuring and benchmarking quality, including QRIS and/or NAEYC accreditation, and the CLASS observation tool as a method for measuring classroom quality. Some communities used this opportunity to understand the current level of quality being offered.  In these cases, existing quality of classrooms of expansion partners are moderate to high, as measured through QRIS, national accreditation systems and locally assessed levels of quality using the CLASS. </w:t>
      </w:r>
    </w:p>
    <w:p w14:paraId="01084E12" w14:textId="14D3BC83" w:rsidR="00DC2011" w:rsidRPr="00FD3229" w:rsidRDefault="00A519C9"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Implementation of an evidence-based, developmentally appropriate curriculum aligned with K-12 programs and/or kindergarten readiness indicators are components of each plan. Some communities intend to implement a consistent curriculum across all settings, while others are in the process of </w:t>
      </w:r>
      <w:r w:rsidR="00C24F82">
        <w:rPr>
          <w:rFonts w:ascii="Times New Roman" w:hAnsi="Times New Roman" w:cs="Times New Roman"/>
          <w:sz w:val="24"/>
          <w:szCs w:val="24"/>
        </w:rPr>
        <w:t xml:space="preserve">selecting or </w:t>
      </w:r>
      <w:r>
        <w:rPr>
          <w:rFonts w:ascii="Times New Roman" w:hAnsi="Times New Roman" w:cs="Times New Roman"/>
          <w:sz w:val="24"/>
          <w:szCs w:val="24"/>
        </w:rPr>
        <w:t xml:space="preserve">developing a curriculum that can be adopted in the future. </w:t>
      </w:r>
    </w:p>
    <w:p w14:paraId="36A7B02D" w14:textId="77777777" w:rsidR="005713C1" w:rsidRPr="005E6747" w:rsidRDefault="00462A6C" w:rsidP="005E6747">
      <w:pPr>
        <w:pStyle w:val="Heading3"/>
        <w:spacing w:after="120"/>
      </w:pPr>
      <w:bookmarkStart w:id="10" w:name="_Toc462828768"/>
      <w:r w:rsidRPr="00160403">
        <w:t xml:space="preserve">Career Pathways and </w:t>
      </w:r>
      <w:r w:rsidR="00FD3229" w:rsidRPr="00160403">
        <w:t>Professional Development</w:t>
      </w:r>
      <w:bookmarkEnd w:id="10"/>
    </w:p>
    <w:p w14:paraId="5A1E8B8F" w14:textId="558C767E" w:rsidR="00C44C6A" w:rsidRDefault="005713C1"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Professional development </w:t>
      </w:r>
      <w:r w:rsidR="001A504D">
        <w:rPr>
          <w:rFonts w:ascii="Times New Roman" w:hAnsi="Times New Roman" w:cs="Times New Roman"/>
          <w:sz w:val="24"/>
          <w:szCs w:val="24"/>
        </w:rPr>
        <w:t>(PD) trainings</w:t>
      </w:r>
      <w:r>
        <w:rPr>
          <w:rFonts w:ascii="Times New Roman" w:hAnsi="Times New Roman" w:cs="Times New Roman"/>
          <w:sz w:val="24"/>
          <w:szCs w:val="24"/>
        </w:rPr>
        <w:t xml:space="preserve"> and supports </w:t>
      </w:r>
      <w:r w:rsidR="004463F3">
        <w:rPr>
          <w:rFonts w:ascii="Times New Roman" w:hAnsi="Times New Roman" w:cs="Times New Roman"/>
          <w:sz w:val="24"/>
          <w:szCs w:val="24"/>
        </w:rPr>
        <w:t>are</w:t>
      </w:r>
      <w:r>
        <w:rPr>
          <w:rFonts w:ascii="Times New Roman" w:hAnsi="Times New Roman" w:cs="Times New Roman"/>
          <w:sz w:val="24"/>
          <w:szCs w:val="24"/>
        </w:rPr>
        <w:t xml:space="preserve"> included in t</w:t>
      </w:r>
      <w:r w:rsidR="001A504D">
        <w:rPr>
          <w:rFonts w:ascii="Times New Roman" w:hAnsi="Times New Roman" w:cs="Times New Roman"/>
          <w:sz w:val="24"/>
          <w:szCs w:val="24"/>
        </w:rPr>
        <w:t xml:space="preserve">he preschool expansion plans to </w:t>
      </w:r>
      <w:r>
        <w:rPr>
          <w:rFonts w:ascii="Times New Roman" w:hAnsi="Times New Roman" w:cs="Times New Roman"/>
          <w:sz w:val="24"/>
          <w:szCs w:val="24"/>
        </w:rPr>
        <w:t xml:space="preserve">ensure that teachers </w:t>
      </w:r>
      <w:r w:rsidR="002C0142">
        <w:rPr>
          <w:rFonts w:ascii="Times New Roman" w:hAnsi="Times New Roman" w:cs="Times New Roman"/>
          <w:sz w:val="24"/>
          <w:szCs w:val="24"/>
        </w:rPr>
        <w:t>are equipped to deliver</w:t>
      </w:r>
      <w:r>
        <w:rPr>
          <w:rFonts w:ascii="Times New Roman" w:hAnsi="Times New Roman" w:cs="Times New Roman"/>
          <w:sz w:val="24"/>
          <w:szCs w:val="24"/>
        </w:rPr>
        <w:t xml:space="preserve"> </w:t>
      </w:r>
      <w:r w:rsidR="002C0142">
        <w:rPr>
          <w:rFonts w:ascii="Times New Roman" w:hAnsi="Times New Roman" w:cs="Times New Roman"/>
          <w:sz w:val="24"/>
          <w:szCs w:val="24"/>
        </w:rPr>
        <w:t>high</w:t>
      </w:r>
      <w:r>
        <w:rPr>
          <w:rFonts w:ascii="Times New Roman" w:hAnsi="Times New Roman" w:cs="Times New Roman"/>
          <w:sz w:val="24"/>
          <w:szCs w:val="24"/>
        </w:rPr>
        <w:t xml:space="preserve"> quality education</w:t>
      </w:r>
      <w:r w:rsidR="00F44B33">
        <w:rPr>
          <w:rFonts w:ascii="Times New Roman" w:hAnsi="Times New Roman" w:cs="Times New Roman"/>
          <w:sz w:val="24"/>
          <w:szCs w:val="24"/>
        </w:rPr>
        <w:t xml:space="preserve"> and serve</w:t>
      </w:r>
      <w:r w:rsidR="00E01FD4">
        <w:rPr>
          <w:rFonts w:ascii="Times New Roman" w:hAnsi="Times New Roman" w:cs="Times New Roman"/>
          <w:sz w:val="24"/>
          <w:szCs w:val="24"/>
        </w:rPr>
        <w:t>d</w:t>
      </w:r>
      <w:r w:rsidR="00F44B33">
        <w:rPr>
          <w:rFonts w:ascii="Times New Roman" w:hAnsi="Times New Roman" w:cs="Times New Roman"/>
          <w:sz w:val="24"/>
          <w:szCs w:val="24"/>
        </w:rPr>
        <w:t xml:space="preserve"> as a </w:t>
      </w:r>
      <w:r w:rsidR="00F44B33">
        <w:rPr>
          <w:rFonts w:ascii="Times New Roman" w:hAnsi="Times New Roman" w:cs="Times New Roman"/>
          <w:sz w:val="24"/>
          <w:szCs w:val="24"/>
        </w:rPr>
        <w:lastRenderedPageBreak/>
        <w:t>mechanism to support continuous quality improvement</w:t>
      </w:r>
      <w:r w:rsidR="00E01FD4">
        <w:rPr>
          <w:rFonts w:ascii="Times New Roman" w:hAnsi="Times New Roman" w:cs="Times New Roman"/>
          <w:sz w:val="24"/>
          <w:szCs w:val="24"/>
        </w:rPr>
        <w:t>.  Approaches to PD varied</w:t>
      </w:r>
      <w:r w:rsidR="001A504D">
        <w:rPr>
          <w:rFonts w:ascii="Times New Roman" w:hAnsi="Times New Roman" w:cs="Times New Roman"/>
          <w:sz w:val="24"/>
          <w:szCs w:val="24"/>
        </w:rPr>
        <w:t xml:space="preserve"> from community to community.  </w:t>
      </w:r>
      <w:r w:rsidR="00C44C6A">
        <w:rPr>
          <w:rFonts w:ascii="Times New Roman" w:hAnsi="Times New Roman" w:cs="Times New Roman"/>
          <w:sz w:val="24"/>
          <w:szCs w:val="24"/>
        </w:rPr>
        <w:t>Plans</w:t>
      </w:r>
      <w:r w:rsidR="00DC2011">
        <w:rPr>
          <w:rFonts w:ascii="Times New Roman" w:hAnsi="Times New Roman" w:cs="Times New Roman"/>
          <w:sz w:val="24"/>
          <w:szCs w:val="24"/>
        </w:rPr>
        <w:t xml:space="preserve"> include</w:t>
      </w:r>
      <w:r w:rsidR="00E01FD4">
        <w:rPr>
          <w:rFonts w:ascii="Times New Roman" w:hAnsi="Times New Roman" w:cs="Times New Roman"/>
          <w:sz w:val="24"/>
          <w:szCs w:val="24"/>
        </w:rPr>
        <w:t>d</w:t>
      </w:r>
      <w:r w:rsidR="001A504D">
        <w:rPr>
          <w:rFonts w:ascii="Times New Roman" w:hAnsi="Times New Roman" w:cs="Times New Roman"/>
          <w:sz w:val="24"/>
          <w:szCs w:val="24"/>
        </w:rPr>
        <w:t xml:space="preserve"> coaching</w:t>
      </w:r>
      <w:r w:rsidR="00B52F7D">
        <w:rPr>
          <w:rFonts w:ascii="Times New Roman" w:hAnsi="Times New Roman" w:cs="Times New Roman"/>
          <w:sz w:val="24"/>
          <w:szCs w:val="24"/>
        </w:rPr>
        <w:t>,</w:t>
      </w:r>
      <w:r w:rsidR="001A504D">
        <w:rPr>
          <w:rFonts w:ascii="Times New Roman" w:hAnsi="Times New Roman" w:cs="Times New Roman"/>
          <w:sz w:val="24"/>
          <w:szCs w:val="24"/>
        </w:rPr>
        <w:t xml:space="preserve"> experienced teachers </w:t>
      </w:r>
      <w:r w:rsidR="00900953">
        <w:rPr>
          <w:rFonts w:ascii="Times New Roman" w:hAnsi="Times New Roman" w:cs="Times New Roman"/>
          <w:sz w:val="24"/>
          <w:szCs w:val="24"/>
        </w:rPr>
        <w:t>providing</w:t>
      </w:r>
      <w:r w:rsidR="001A504D">
        <w:rPr>
          <w:rFonts w:ascii="Times New Roman" w:hAnsi="Times New Roman" w:cs="Times New Roman"/>
          <w:sz w:val="24"/>
          <w:szCs w:val="24"/>
        </w:rPr>
        <w:t xml:space="preserve"> </w:t>
      </w:r>
      <w:r w:rsidR="00900953">
        <w:rPr>
          <w:rFonts w:ascii="Times New Roman" w:hAnsi="Times New Roman" w:cs="Times New Roman"/>
          <w:sz w:val="24"/>
          <w:szCs w:val="24"/>
        </w:rPr>
        <w:t xml:space="preserve">direct </w:t>
      </w:r>
      <w:r w:rsidR="00B52F7D">
        <w:rPr>
          <w:rFonts w:ascii="Times New Roman" w:hAnsi="Times New Roman" w:cs="Times New Roman"/>
          <w:sz w:val="24"/>
          <w:szCs w:val="24"/>
        </w:rPr>
        <w:t xml:space="preserve">support </w:t>
      </w:r>
      <w:r w:rsidR="00900953">
        <w:rPr>
          <w:rFonts w:ascii="Times New Roman" w:hAnsi="Times New Roman" w:cs="Times New Roman"/>
          <w:sz w:val="24"/>
          <w:szCs w:val="24"/>
        </w:rPr>
        <w:t xml:space="preserve">in the classroom to help educators improve their </w:t>
      </w:r>
      <w:r w:rsidR="00C44C6A">
        <w:rPr>
          <w:rFonts w:ascii="Times New Roman" w:hAnsi="Times New Roman" w:cs="Times New Roman"/>
          <w:sz w:val="24"/>
          <w:szCs w:val="24"/>
        </w:rPr>
        <w:t>classroom practices</w:t>
      </w:r>
      <w:r w:rsidR="002C0142">
        <w:rPr>
          <w:rFonts w:ascii="Times New Roman" w:hAnsi="Times New Roman" w:cs="Times New Roman"/>
          <w:sz w:val="24"/>
          <w:szCs w:val="24"/>
        </w:rPr>
        <w:t>,</w:t>
      </w:r>
      <w:r w:rsidR="00900953">
        <w:rPr>
          <w:rFonts w:ascii="Times New Roman" w:hAnsi="Times New Roman" w:cs="Times New Roman"/>
          <w:sz w:val="24"/>
          <w:szCs w:val="24"/>
        </w:rPr>
        <w:t xml:space="preserve"> </w:t>
      </w:r>
      <w:r w:rsidR="00C44C6A">
        <w:rPr>
          <w:rFonts w:ascii="Times New Roman" w:hAnsi="Times New Roman" w:cs="Times New Roman"/>
          <w:sz w:val="24"/>
          <w:szCs w:val="24"/>
        </w:rPr>
        <w:t xml:space="preserve">and </w:t>
      </w:r>
      <w:r w:rsidR="00900953">
        <w:rPr>
          <w:rFonts w:ascii="Times New Roman" w:hAnsi="Times New Roman" w:cs="Times New Roman"/>
          <w:sz w:val="24"/>
          <w:szCs w:val="24"/>
        </w:rPr>
        <w:t>Professional Learning Communities (PLCs)</w:t>
      </w:r>
      <w:r w:rsidR="00550E8C">
        <w:rPr>
          <w:rFonts w:ascii="Times New Roman" w:hAnsi="Times New Roman" w:cs="Times New Roman"/>
          <w:sz w:val="24"/>
          <w:szCs w:val="24"/>
        </w:rPr>
        <w:t xml:space="preserve">.  </w:t>
      </w:r>
      <w:r w:rsidR="00EC31B0">
        <w:rPr>
          <w:rFonts w:ascii="Times New Roman" w:hAnsi="Times New Roman" w:cs="Times New Roman"/>
          <w:sz w:val="24"/>
          <w:szCs w:val="24"/>
        </w:rPr>
        <w:t>Communities plan</w:t>
      </w:r>
      <w:r w:rsidR="00E01FD4">
        <w:rPr>
          <w:rFonts w:ascii="Times New Roman" w:hAnsi="Times New Roman" w:cs="Times New Roman"/>
          <w:sz w:val="24"/>
          <w:szCs w:val="24"/>
        </w:rPr>
        <w:t>ned</w:t>
      </w:r>
      <w:r w:rsidR="00EC31B0">
        <w:rPr>
          <w:rFonts w:ascii="Times New Roman" w:hAnsi="Times New Roman" w:cs="Times New Roman"/>
          <w:sz w:val="24"/>
          <w:szCs w:val="24"/>
        </w:rPr>
        <w:t xml:space="preserve"> to deliver PD </w:t>
      </w:r>
      <w:r w:rsidR="00CF5255">
        <w:rPr>
          <w:rFonts w:ascii="Times New Roman" w:hAnsi="Times New Roman" w:cs="Times New Roman"/>
          <w:sz w:val="24"/>
          <w:szCs w:val="24"/>
        </w:rPr>
        <w:t xml:space="preserve">and coursework </w:t>
      </w:r>
      <w:r w:rsidR="00EC31B0">
        <w:rPr>
          <w:rFonts w:ascii="Times New Roman" w:hAnsi="Times New Roman" w:cs="Times New Roman"/>
          <w:sz w:val="24"/>
          <w:szCs w:val="24"/>
        </w:rPr>
        <w:t>through Educator and Provider Support (EPS) grantees, as well as in partnership with community colleges and local institutions of higher education. Joint</w:t>
      </w:r>
      <w:r w:rsidR="00C44C6A">
        <w:rPr>
          <w:rFonts w:ascii="Times New Roman" w:hAnsi="Times New Roman" w:cs="Times New Roman"/>
          <w:sz w:val="24"/>
          <w:szCs w:val="24"/>
        </w:rPr>
        <w:t>, or shared PD betwe</w:t>
      </w:r>
      <w:r w:rsidR="00E01FD4">
        <w:rPr>
          <w:rFonts w:ascii="Times New Roman" w:hAnsi="Times New Roman" w:cs="Times New Roman"/>
          <w:sz w:val="24"/>
          <w:szCs w:val="24"/>
        </w:rPr>
        <w:t>en public schools and community-</w:t>
      </w:r>
      <w:r w:rsidR="00C44C6A">
        <w:rPr>
          <w:rFonts w:ascii="Times New Roman" w:hAnsi="Times New Roman" w:cs="Times New Roman"/>
          <w:sz w:val="24"/>
          <w:szCs w:val="24"/>
        </w:rPr>
        <w:t xml:space="preserve">based early education and care programs in </w:t>
      </w:r>
      <w:r w:rsidR="00822064">
        <w:rPr>
          <w:rFonts w:ascii="Times New Roman" w:hAnsi="Times New Roman" w:cs="Times New Roman"/>
          <w:sz w:val="24"/>
          <w:szCs w:val="24"/>
        </w:rPr>
        <w:t xml:space="preserve">all </w:t>
      </w:r>
      <w:r w:rsidR="00C44C6A">
        <w:rPr>
          <w:rFonts w:ascii="Times New Roman" w:hAnsi="Times New Roman" w:cs="Times New Roman"/>
          <w:sz w:val="24"/>
          <w:szCs w:val="24"/>
        </w:rPr>
        <w:t>plans</w:t>
      </w:r>
      <w:r w:rsidR="00822064">
        <w:rPr>
          <w:rFonts w:ascii="Times New Roman" w:hAnsi="Times New Roman" w:cs="Times New Roman"/>
          <w:sz w:val="24"/>
          <w:szCs w:val="24"/>
        </w:rPr>
        <w:t>, either through joint whole-group training or coaching,</w:t>
      </w:r>
      <w:r w:rsidR="00C44C6A">
        <w:rPr>
          <w:rFonts w:ascii="Times New Roman" w:hAnsi="Times New Roman" w:cs="Times New Roman"/>
          <w:sz w:val="24"/>
          <w:szCs w:val="24"/>
        </w:rPr>
        <w:t xml:space="preserve"> highlight</w:t>
      </w:r>
      <w:r w:rsidR="001563D0">
        <w:rPr>
          <w:rFonts w:ascii="Times New Roman" w:hAnsi="Times New Roman" w:cs="Times New Roman"/>
          <w:sz w:val="24"/>
          <w:szCs w:val="24"/>
        </w:rPr>
        <w:t>ed</w:t>
      </w:r>
      <w:r w:rsidR="00C44C6A">
        <w:rPr>
          <w:rFonts w:ascii="Times New Roman" w:hAnsi="Times New Roman" w:cs="Times New Roman"/>
          <w:sz w:val="24"/>
          <w:szCs w:val="24"/>
        </w:rPr>
        <w:t xml:space="preserve"> the intention</w:t>
      </w:r>
      <w:r w:rsidR="002C0142">
        <w:rPr>
          <w:rFonts w:ascii="Times New Roman" w:hAnsi="Times New Roman" w:cs="Times New Roman"/>
          <w:sz w:val="24"/>
          <w:szCs w:val="24"/>
        </w:rPr>
        <w:t xml:space="preserve"> to leverage local expertise,</w:t>
      </w:r>
      <w:r w:rsidR="00876DF1">
        <w:rPr>
          <w:rFonts w:ascii="Times New Roman" w:hAnsi="Times New Roman" w:cs="Times New Roman"/>
          <w:sz w:val="24"/>
          <w:szCs w:val="24"/>
        </w:rPr>
        <w:t xml:space="preserve"> align programming </w:t>
      </w:r>
      <w:r w:rsidR="00C44C6A">
        <w:rPr>
          <w:rFonts w:ascii="Times New Roman" w:hAnsi="Times New Roman" w:cs="Times New Roman"/>
          <w:sz w:val="24"/>
          <w:szCs w:val="24"/>
        </w:rPr>
        <w:t xml:space="preserve">and increase overall quality across communities. </w:t>
      </w:r>
    </w:p>
    <w:p w14:paraId="60DCD0C1" w14:textId="57C90CB2" w:rsidR="00DC2011" w:rsidRPr="005E6747" w:rsidRDefault="00CF5255"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Approximately half of the </w:t>
      </w:r>
      <w:r w:rsidR="00550E8C">
        <w:rPr>
          <w:rFonts w:ascii="Times New Roman" w:hAnsi="Times New Roman" w:cs="Times New Roman"/>
          <w:sz w:val="24"/>
          <w:szCs w:val="24"/>
        </w:rPr>
        <w:t xml:space="preserve">communities have established collaborations with </w:t>
      </w:r>
      <w:r>
        <w:rPr>
          <w:rFonts w:ascii="Times New Roman" w:hAnsi="Times New Roman" w:cs="Times New Roman"/>
          <w:sz w:val="24"/>
          <w:szCs w:val="24"/>
        </w:rPr>
        <w:t xml:space="preserve">vocational high schools and/or </w:t>
      </w:r>
      <w:r w:rsidR="00550E8C">
        <w:rPr>
          <w:rFonts w:ascii="Times New Roman" w:hAnsi="Times New Roman" w:cs="Times New Roman"/>
          <w:sz w:val="24"/>
          <w:szCs w:val="24"/>
        </w:rPr>
        <w:t xml:space="preserve">local colleges and universities </w:t>
      </w:r>
      <w:r>
        <w:rPr>
          <w:rFonts w:ascii="Times New Roman" w:hAnsi="Times New Roman" w:cs="Times New Roman"/>
          <w:sz w:val="24"/>
          <w:szCs w:val="24"/>
        </w:rPr>
        <w:t>toward the goal of offering career pathway</w:t>
      </w:r>
      <w:r w:rsidR="002C0142">
        <w:rPr>
          <w:rFonts w:ascii="Times New Roman" w:hAnsi="Times New Roman" w:cs="Times New Roman"/>
          <w:sz w:val="24"/>
          <w:szCs w:val="24"/>
        </w:rPr>
        <w:t>s</w:t>
      </w:r>
      <w:r>
        <w:rPr>
          <w:rFonts w:ascii="Times New Roman" w:hAnsi="Times New Roman" w:cs="Times New Roman"/>
          <w:sz w:val="24"/>
          <w:szCs w:val="24"/>
        </w:rPr>
        <w:t xml:space="preserve"> for educators. Through these collaborations, administrators </w:t>
      </w:r>
      <w:r w:rsidR="001563D0">
        <w:rPr>
          <w:rFonts w:ascii="Times New Roman" w:hAnsi="Times New Roman" w:cs="Times New Roman"/>
          <w:sz w:val="24"/>
          <w:szCs w:val="24"/>
        </w:rPr>
        <w:t xml:space="preserve">would </w:t>
      </w:r>
      <w:r>
        <w:rPr>
          <w:rFonts w:ascii="Times New Roman" w:hAnsi="Times New Roman" w:cs="Times New Roman"/>
          <w:sz w:val="24"/>
          <w:szCs w:val="24"/>
        </w:rPr>
        <w:t>connect educators to coursework, practicum experiences, and in some cases, a cohort model approach to support degree attainment.</w:t>
      </w:r>
      <w:r w:rsidR="00C66A79">
        <w:rPr>
          <w:rFonts w:ascii="Times New Roman" w:hAnsi="Times New Roman" w:cs="Times New Roman"/>
          <w:sz w:val="24"/>
          <w:szCs w:val="24"/>
        </w:rPr>
        <w:t xml:space="preserve"> In order to support the needs of a diverse workforce, some communities highlight</w:t>
      </w:r>
      <w:r w:rsidR="001563D0">
        <w:rPr>
          <w:rFonts w:ascii="Times New Roman" w:hAnsi="Times New Roman" w:cs="Times New Roman"/>
          <w:sz w:val="24"/>
          <w:szCs w:val="24"/>
        </w:rPr>
        <w:t>ed</w:t>
      </w:r>
      <w:r w:rsidR="00C66A79">
        <w:rPr>
          <w:rFonts w:ascii="Times New Roman" w:hAnsi="Times New Roman" w:cs="Times New Roman"/>
          <w:sz w:val="24"/>
          <w:szCs w:val="24"/>
        </w:rPr>
        <w:t xml:space="preserve"> the need to establish and expand upon pathways for English Language Learners.</w:t>
      </w:r>
      <w:r>
        <w:rPr>
          <w:rFonts w:ascii="Times New Roman" w:hAnsi="Times New Roman" w:cs="Times New Roman"/>
          <w:sz w:val="24"/>
          <w:szCs w:val="24"/>
        </w:rPr>
        <w:t xml:space="preserve"> One community is working </w:t>
      </w:r>
      <w:r w:rsidR="00C66A79">
        <w:rPr>
          <w:rFonts w:ascii="Times New Roman" w:hAnsi="Times New Roman" w:cs="Times New Roman"/>
          <w:sz w:val="24"/>
          <w:szCs w:val="24"/>
        </w:rPr>
        <w:t>to develop</w:t>
      </w:r>
      <w:r>
        <w:rPr>
          <w:rFonts w:ascii="Times New Roman" w:hAnsi="Times New Roman" w:cs="Times New Roman"/>
          <w:sz w:val="24"/>
          <w:szCs w:val="24"/>
        </w:rPr>
        <w:t xml:space="preserve"> a pilot program fo</w:t>
      </w:r>
      <w:r w:rsidR="00C66A79">
        <w:rPr>
          <w:rFonts w:ascii="Times New Roman" w:hAnsi="Times New Roman" w:cs="Times New Roman"/>
          <w:sz w:val="24"/>
          <w:szCs w:val="24"/>
        </w:rPr>
        <w:t>r family child care pro</w:t>
      </w:r>
      <w:r w:rsidR="004709B5">
        <w:rPr>
          <w:rFonts w:ascii="Times New Roman" w:hAnsi="Times New Roman" w:cs="Times New Roman"/>
          <w:sz w:val="24"/>
          <w:szCs w:val="24"/>
        </w:rPr>
        <w:t>viders by offering a competency-</w:t>
      </w:r>
      <w:r w:rsidR="00C66A79">
        <w:rPr>
          <w:rFonts w:ascii="Times New Roman" w:hAnsi="Times New Roman" w:cs="Times New Roman"/>
          <w:sz w:val="24"/>
          <w:szCs w:val="24"/>
        </w:rPr>
        <w:t xml:space="preserve">based strategy </w:t>
      </w:r>
      <w:r w:rsidR="00441458">
        <w:rPr>
          <w:rFonts w:ascii="Times New Roman" w:hAnsi="Times New Roman" w:cs="Times New Roman"/>
          <w:sz w:val="24"/>
          <w:szCs w:val="24"/>
        </w:rPr>
        <w:t xml:space="preserve">that takes both formal education and previous experience into account when determining qualifications </w:t>
      </w:r>
    </w:p>
    <w:p w14:paraId="124153DC" w14:textId="77777777" w:rsidR="004C3CB0" w:rsidRPr="005E6747" w:rsidRDefault="00BB56FB" w:rsidP="005E6747">
      <w:pPr>
        <w:pStyle w:val="Heading3"/>
        <w:spacing w:after="120"/>
      </w:pPr>
      <w:bookmarkStart w:id="11" w:name="_Toc462828769"/>
      <w:r w:rsidRPr="00EC1316">
        <w:t>Transportation</w:t>
      </w:r>
      <w:bookmarkEnd w:id="11"/>
    </w:p>
    <w:p w14:paraId="6F3AC6EE" w14:textId="77777777" w:rsidR="00CA1097" w:rsidRDefault="008E7561"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Through needs assessments, </w:t>
      </w:r>
      <w:r w:rsidR="006926D9">
        <w:rPr>
          <w:rFonts w:ascii="Times New Roman" w:hAnsi="Times New Roman" w:cs="Times New Roman"/>
          <w:sz w:val="24"/>
          <w:szCs w:val="24"/>
        </w:rPr>
        <w:t xml:space="preserve">most </w:t>
      </w:r>
      <w:r>
        <w:rPr>
          <w:rFonts w:ascii="Times New Roman" w:hAnsi="Times New Roman" w:cs="Times New Roman"/>
          <w:sz w:val="24"/>
          <w:szCs w:val="24"/>
        </w:rPr>
        <w:t xml:space="preserve">communities </w:t>
      </w:r>
      <w:r w:rsidR="002C0142">
        <w:rPr>
          <w:rFonts w:ascii="Times New Roman" w:hAnsi="Times New Roman" w:cs="Times New Roman"/>
          <w:sz w:val="24"/>
          <w:szCs w:val="24"/>
        </w:rPr>
        <w:t>noted that</w:t>
      </w:r>
      <w:r>
        <w:rPr>
          <w:rFonts w:ascii="Times New Roman" w:hAnsi="Times New Roman" w:cs="Times New Roman"/>
          <w:sz w:val="24"/>
          <w:szCs w:val="24"/>
        </w:rPr>
        <w:t xml:space="preserve"> transportation </w:t>
      </w:r>
      <w:r w:rsidR="002C0142">
        <w:rPr>
          <w:rFonts w:ascii="Times New Roman" w:hAnsi="Times New Roman" w:cs="Times New Roman"/>
          <w:sz w:val="24"/>
          <w:szCs w:val="24"/>
        </w:rPr>
        <w:t>enabled</w:t>
      </w:r>
      <w:r>
        <w:rPr>
          <w:rFonts w:ascii="Times New Roman" w:hAnsi="Times New Roman" w:cs="Times New Roman"/>
          <w:sz w:val="24"/>
          <w:szCs w:val="24"/>
        </w:rPr>
        <w:t xml:space="preserve"> families</w:t>
      </w:r>
      <w:r w:rsidR="002C0142">
        <w:rPr>
          <w:rFonts w:ascii="Times New Roman" w:hAnsi="Times New Roman" w:cs="Times New Roman"/>
          <w:sz w:val="24"/>
          <w:szCs w:val="24"/>
        </w:rPr>
        <w:t>'</w:t>
      </w:r>
      <w:r>
        <w:rPr>
          <w:rFonts w:ascii="Times New Roman" w:hAnsi="Times New Roman" w:cs="Times New Roman"/>
          <w:sz w:val="24"/>
          <w:szCs w:val="24"/>
        </w:rPr>
        <w:t xml:space="preserve"> access </w:t>
      </w:r>
      <w:r w:rsidR="002C0142">
        <w:rPr>
          <w:rFonts w:ascii="Times New Roman" w:hAnsi="Times New Roman" w:cs="Times New Roman"/>
          <w:sz w:val="24"/>
          <w:szCs w:val="24"/>
        </w:rPr>
        <w:t xml:space="preserve">to </w:t>
      </w:r>
      <w:r>
        <w:rPr>
          <w:rFonts w:ascii="Times New Roman" w:hAnsi="Times New Roman" w:cs="Times New Roman"/>
          <w:sz w:val="24"/>
          <w:szCs w:val="24"/>
        </w:rPr>
        <w:t xml:space="preserve">preschool programming. Although an identified need, offering transportation services to families requires substantial funding and administrative oversight. </w:t>
      </w:r>
      <w:r w:rsidR="006926D9">
        <w:rPr>
          <w:rFonts w:ascii="Times New Roman" w:hAnsi="Times New Roman" w:cs="Times New Roman"/>
          <w:sz w:val="24"/>
          <w:szCs w:val="24"/>
        </w:rPr>
        <w:t xml:space="preserve">Some </w:t>
      </w:r>
      <w:r w:rsidR="009E5E99">
        <w:rPr>
          <w:rFonts w:ascii="Times New Roman" w:hAnsi="Times New Roman" w:cs="Times New Roman"/>
          <w:sz w:val="24"/>
          <w:szCs w:val="24"/>
        </w:rPr>
        <w:t>communities indicate</w:t>
      </w:r>
      <w:r w:rsidR="001563D0">
        <w:rPr>
          <w:rFonts w:ascii="Times New Roman" w:hAnsi="Times New Roman" w:cs="Times New Roman"/>
          <w:sz w:val="24"/>
          <w:szCs w:val="24"/>
        </w:rPr>
        <w:t>d</w:t>
      </w:r>
      <w:r w:rsidR="009E5E99">
        <w:rPr>
          <w:rFonts w:ascii="Times New Roman" w:hAnsi="Times New Roman" w:cs="Times New Roman"/>
          <w:sz w:val="24"/>
          <w:szCs w:val="24"/>
        </w:rPr>
        <w:t xml:space="preserve"> that transportation costs are prohibitive, and in an effort to accommodate the needs of families throughout a particular city, planning communities considered</w:t>
      </w:r>
      <w:r w:rsidR="004709B5">
        <w:rPr>
          <w:rFonts w:ascii="Times New Roman" w:hAnsi="Times New Roman" w:cs="Times New Roman"/>
          <w:sz w:val="24"/>
          <w:szCs w:val="24"/>
        </w:rPr>
        <w:t xml:space="preserve"> the following:</w:t>
      </w:r>
      <w:r w:rsidR="009E5E99">
        <w:rPr>
          <w:rFonts w:ascii="Times New Roman" w:hAnsi="Times New Roman" w:cs="Times New Roman"/>
          <w:sz w:val="24"/>
          <w:szCs w:val="24"/>
        </w:rPr>
        <w:t xml:space="preserve"> classrooms in different geographic locations throughout the city</w:t>
      </w:r>
      <w:r w:rsidR="006926D9">
        <w:rPr>
          <w:rFonts w:ascii="Times New Roman" w:hAnsi="Times New Roman" w:cs="Times New Roman"/>
          <w:sz w:val="24"/>
          <w:szCs w:val="24"/>
        </w:rPr>
        <w:t>, off</w:t>
      </w:r>
      <w:r w:rsidR="002C0142">
        <w:rPr>
          <w:rFonts w:ascii="Times New Roman" w:hAnsi="Times New Roman" w:cs="Times New Roman"/>
          <w:sz w:val="24"/>
          <w:szCs w:val="24"/>
        </w:rPr>
        <w:t>ering limited transportation,</w:t>
      </w:r>
      <w:r w:rsidR="006926D9">
        <w:rPr>
          <w:rFonts w:ascii="Times New Roman" w:hAnsi="Times New Roman" w:cs="Times New Roman"/>
          <w:sz w:val="24"/>
          <w:szCs w:val="24"/>
        </w:rPr>
        <w:t xml:space="preserve"> reducing costs through a central pick up and drop off location, and subsidizing public transportation for families when available. At least five plans include transportation costs in proposed budgets.</w:t>
      </w:r>
    </w:p>
    <w:p w14:paraId="3CEE9884" w14:textId="77777777" w:rsidR="00BB56FB" w:rsidRPr="005E6747" w:rsidRDefault="00E514F4" w:rsidP="005E6747">
      <w:pPr>
        <w:pStyle w:val="Heading3"/>
        <w:spacing w:after="120"/>
      </w:pPr>
      <w:bookmarkStart w:id="12" w:name="_Toc462828770"/>
      <w:r w:rsidRPr="00EC1316">
        <w:t>C</w:t>
      </w:r>
      <w:r w:rsidR="00E361C9" w:rsidRPr="00EC1316">
        <w:t xml:space="preserve">omprehensive Services, </w:t>
      </w:r>
      <w:r w:rsidR="00BB56FB" w:rsidRPr="00EC1316">
        <w:t>Family E</w:t>
      </w:r>
      <w:r w:rsidR="00CA1097" w:rsidRPr="00EC1316">
        <w:t>ngag</w:t>
      </w:r>
      <w:r w:rsidRPr="00EC1316">
        <w:t>e</w:t>
      </w:r>
      <w:r w:rsidR="00CA1097" w:rsidRPr="00EC1316">
        <w:t>ment</w:t>
      </w:r>
      <w:r w:rsidR="00E361C9" w:rsidRPr="00EC1316">
        <w:t xml:space="preserve"> and Special Education</w:t>
      </w:r>
      <w:bookmarkEnd w:id="12"/>
    </w:p>
    <w:p w14:paraId="285DC3C4" w14:textId="77777777" w:rsidR="00305AAA" w:rsidRDefault="00BB56FB"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Using Head Start as a model for considering the role of comprehensive services and family engagement strategies, many plans </w:t>
      </w:r>
      <w:r w:rsidR="001563D0">
        <w:rPr>
          <w:rFonts w:ascii="Times New Roman" w:hAnsi="Times New Roman" w:cs="Times New Roman"/>
          <w:sz w:val="24"/>
          <w:szCs w:val="24"/>
        </w:rPr>
        <w:t>built</w:t>
      </w:r>
      <w:r>
        <w:rPr>
          <w:rFonts w:ascii="Times New Roman" w:hAnsi="Times New Roman" w:cs="Times New Roman"/>
          <w:sz w:val="24"/>
          <w:szCs w:val="24"/>
        </w:rPr>
        <w:t xml:space="preserve"> on existing services already being offered throughout the community, but will likely require hiring additional staff to support these efforts.</w:t>
      </w:r>
    </w:p>
    <w:p w14:paraId="302BF871" w14:textId="77777777" w:rsidR="00305AAA" w:rsidRDefault="00BB56FB"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Most plans outline</w:t>
      </w:r>
      <w:r w:rsidR="001563D0">
        <w:rPr>
          <w:rFonts w:ascii="Times New Roman" w:hAnsi="Times New Roman" w:cs="Times New Roman"/>
          <w:sz w:val="24"/>
          <w:szCs w:val="24"/>
        </w:rPr>
        <w:t>d</w:t>
      </w:r>
      <w:r>
        <w:rPr>
          <w:rFonts w:ascii="Times New Roman" w:hAnsi="Times New Roman" w:cs="Times New Roman"/>
          <w:sz w:val="24"/>
          <w:szCs w:val="24"/>
        </w:rPr>
        <w:t xml:space="preserve"> intensive comprehensive service supports, </w:t>
      </w:r>
      <w:r w:rsidR="00305AAA">
        <w:rPr>
          <w:rFonts w:ascii="Times New Roman" w:hAnsi="Times New Roman" w:cs="Times New Roman"/>
          <w:sz w:val="24"/>
          <w:szCs w:val="24"/>
        </w:rPr>
        <w:t>like</w:t>
      </w:r>
      <w:r>
        <w:rPr>
          <w:rFonts w:ascii="Times New Roman" w:hAnsi="Times New Roman" w:cs="Times New Roman"/>
          <w:sz w:val="24"/>
          <w:szCs w:val="24"/>
        </w:rPr>
        <w:t xml:space="preserve"> mental and behavioral health, </w:t>
      </w:r>
      <w:r w:rsidR="00305AAA">
        <w:rPr>
          <w:rFonts w:ascii="Times New Roman" w:hAnsi="Times New Roman" w:cs="Times New Roman"/>
          <w:sz w:val="24"/>
          <w:szCs w:val="24"/>
        </w:rPr>
        <w:t>speech and language pathologists, to work with each expansion program. Most plans consider</w:t>
      </w:r>
      <w:r w:rsidR="001563D0">
        <w:rPr>
          <w:rFonts w:ascii="Times New Roman" w:hAnsi="Times New Roman" w:cs="Times New Roman"/>
          <w:sz w:val="24"/>
          <w:szCs w:val="24"/>
        </w:rPr>
        <w:t>ed</w:t>
      </w:r>
      <w:r w:rsidR="00305AAA">
        <w:rPr>
          <w:rFonts w:ascii="Times New Roman" w:hAnsi="Times New Roman" w:cs="Times New Roman"/>
          <w:sz w:val="24"/>
          <w:szCs w:val="24"/>
        </w:rPr>
        <w:t xml:space="preserve"> leveraging and/or enhancing existing services offered through the public school, while others consider separate consultants in plans for expansion.</w:t>
      </w:r>
    </w:p>
    <w:p w14:paraId="21E6D068" w14:textId="77777777" w:rsidR="00E361C9" w:rsidRDefault="00305AAA"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 In addition,</w:t>
      </w:r>
      <w:r w:rsidR="00BB56FB">
        <w:rPr>
          <w:rFonts w:ascii="Times New Roman" w:hAnsi="Times New Roman" w:cs="Times New Roman"/>
          <w:sz w:val="24"/>
          <w:szCs w:val="24"/>
        </w:rPr>
        <w:t xml:space="preserve"> family engagement specia</w:t>
      </w:r>
      <w:r>
        <w:rPr>
          <w:rFonts w:ascii="Times New Roman" w:hAnsi="Times New Roman" w:cs="Times New Roman"/>
          <w:sz w:val="24"/>
          <w:szCs w:val="24"/>
        </w:rPr>
        <w:t xml:space="preserve">lists and family resource liaisons </w:t>
      </w:r>
      <w:r w:rsidR="001563D0">
        <w:rPr>
          <w:rFonts w:ascii="Times New Roman" w:hAnsi="Times New Roman" w:cs="Times New Roman"/>
          <w:sz w:val="24"/>
          <w:szCs w:val="24"/>
        </w:rPr>
        <w:t>were</w:t>
      </w:r>
      <w:r>
        <w:rPr>
          <w:rFonts w:ascii="Times New Roman" w:hAnsi="Times New Roman" w:cs="Times New Roman"/>
          <w:sz w:val="24"/>
          <w:szCs w:val="24"/>
        </w:rPr>
        <w:t xml:space="preserve"> included in most plans, recognizing the need to support the whole family as a priority for school readiness and </w:t>
      </w:r>
      <w:r>
        <w:rPr>
          <w:rFonts w:ascii="Times New Roman" w:hAnsi="Times New Roman" w:cs="Times New Roman"/>
          <w:sz w:val="24"/>
          <w:szCs w:val="24"/>
        </w:rPr>
        <w:lastRenderedPageBreak/>
        <w:t xml:space="preserve">overall success. Home visiting, playgroups, community events, </w:t>
      </w:r>
      <w:r w:rsidR="00C46D92">
        <w:rPr>
          <w:rFonts w:ascii="Times New Roman" w:hAnsi="Times New Roman" w:cs="Times New Roman"/>
          <w:sz w:val="24"/>
          <w:szCs w:val="24"/>
        </w:rPr>
        <w:t xml:space="preserve">parent education programs, </w:t>
      </w:r>
      <w:r>
        <w:rPr>
          <w:rFonts w:ascii="Times New Roman" w:hAnsi="Times New Roman" w:cs="Times New Roman"/>
          <w:sz w:val="24"/>
          <w:szCs w:val="24"/>
        </w:rPr>
        <w:t xml:space="preserve">family resource and welcome centers, and centralized recruitment and enrollment services are consistently mentioned as strategies for family engagement. </w:t>
      </w:r>
    </w:p>
    <w:p w14:paraId="2ED5F8F4" w14:textId="77777777" w:rsidR="003760A7" w:rsidRPr="00D947EA" w:rsidRDefault="00E361C9"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When addressed, plans include</w:t>
      </w:r>
      <w:r w:rsidR="001563D0">
        <w:rPr>
          <w:rFonts w:ascii="Times New Roman" w:hAnsi="Times New Roman" w:cs="Times New Roman"/>
          <w:sz w:val="24"/>
          <w:szCs w:val="24"/>
        </w:rPr>
        <w:t>d</w:t>
      </w:r>
      <w:r>
        <w:rPr>
          <w:rFonts w:ascii="Times New Roman" w:hAnsi="Times New Roman" w:cs="Times New Roman"/>
          <w:sz w:val="24"/>
          <w:szCs w:val="24"/>
        </w:rPr>
        <w:t xml:space="preserve"> the intention to provide services for children with identified special needs, with an IEP, in the child's primary education setting if possible. </w:t>
      </w:r>
      <w:r w:rsidR="00376AF0">
        <w:rPr>
          <w:rFonts w:ascii="Times New Roman" w:hAnsi="Times New Roman" w:cs="Times New Roman"/>
          <w:sz w:val="24"/>
          <w:szCs w:val="24"/>
        </w:rPr>
        <w:t>However,</w:t>
      </w:r>
      <w:r w:rsidR="002C0142">
        <w:rPr>
          <w:rFonts w:ascii="Times New Roman" w:hAnsi="Times New Roman" w:cs="Times New Roman"/>
          <w:sz w:val="24"/>
          <w:szCs w:val="24"/>
        </w:rPr>
        <w:t xml:space="preserve"> most </w:t>
      </w:r>
      <w:r w:rsidR="00376AF0">
        <w:rPr>
          <w:rFonts w:ascii="Times New Roman" w:hAnsi="Times New Roman" w:cs="Times New Roman"/>
          <w:sz w:val="24"/>
          <w:szCs w:val="24"/>
        </w:rPr>
        <w:t xml:space="preserve">also </w:t>
      </w:r>
      <w:r w:rsidR="002C0142">
        <w:rPr>
          <w:rFonts w:ascii="Times New Roman" w:hAnsi="Times New Roman" w:cs="Times New Roman"/>
          <w:sz w:val="24"/>
          <w:szCs w:val="24"/>
        </w:rPr>
        <w:t>acknowledge</w:t>
      </w:r>
      <w:r w:rsidR="001563D0">
        <w:rPr>
          <w:rFonts w:ascii="Times New Roman" w:hAnsi="Times New Roman" w:cs="Times New Roman"/>
          <w:sz w:val="24"/>
          <w:szCs w:val="24"/>
        </w:rPr>
        <w:t>d</w:t>
      </w:r>
      <w:r w:rsidR="00376AF0">
        <w:rPr>
          <w:rFonts w:ascii="Times New Roman" w:hAnsi="Times New Roman" w:cs="Times New Roman"/>
          <w:sz w:val="24"/>
          <w:szCs w:val="24"/>
        </w:rPr>
        <w:t xml:space="preserve"> the possibility that</w:t>
      </w:r>
      <w:r w:rsidR="002C0142">
        <w:rPr>
          <w:rFonts w:ascii="Times New Roman" w:hAnsi="Times New Roman" w:cs="Times New Roman"/>
          <w:sz w:val="24"/>
          <w:szCs w:val="24"/>
        </w:rPr>
        <w:t xml:space="preserve"> limited</w:t>
      </w:r>
      <w:r>
        <w:rPr>
          <w:rFonts w:ascii="Times New Roman" w:hAnsi="Times New Roman" w:cs="Times New Roman"/>
          <w:sz w:val="24"/>
          <w:szCs w:val="24"/>
        </w:rPr>
        <w:t xml:space="preserve"> resources may require the child to receive these services in a public school setting. </w:t>
      </w:r>
      <w:r w:rsidR="003760A7">
        <w:rPr>
          <w:rFonts w:ascii="Times New Roman" w:hAnsi="Times New Roman" w:cs="Times New Roman"/>
          <w:sz w:val="24"/>
          <w:szCs w:val="24"/>
        </w:rPr>
        <w:t>Increasing the prevalence of inclusion classrooms in non-public school settings may require additional professional development for educators and administrators.</w:t>
      </w:r>
    </w:p>
    <w:p w14:paraId="61BC73F1" w14:textId="77777777" w:rsidR="0056761E" w:rsidRPr="005E6747" w:rsidRDefault="0088178F" w:rsidP="005E6747">
      <w:pPr>
        <w:pStyle w:val="Heading1"/>
        <w:spacing w:after="120"/>
      </w:pPr>
      <w:bookmarkStart w:id="13" w:name="_Toc462828771"/>
      <w:r>
        <w:t xml:space="preserve">III. </w:t>
      </w:r>
      <w:r w:rsidR="00F537A1" w:rsidRPr="005C7BE7">
        <w:t>Costs</w:t>
      </w:r>
      <w:bookmarkEnd w:id="13"/>
    </w:p>
    <w:p w14:paraId="15B8D373" w14:textId="56F8EEF1" w:rsidR="00E07BB2" w:rsidRPr="00B52F7D" w:rsidRDefault="00E07BB2" w:rsidP="005E6747">
      <w:pPr>
        <w:pStyle w:val="NoSpacing"/>
        <w:spacing w:after="120" w:line="276" w:lineRule="auto"/>
        <w:rPr>
          <w:rFonts w:ascii="Times New Roman" w:hAnsi="Times New Roman" w:cs="Times New Roman"/>
          <w:sz w:val="24"/>
          <w:szCs w:val="24"/>
        </w:rPr>
      </w:pPr>
      <w:r w:rsidRPr="00B52F7D">
        <w:rPr>
          <w:rFonts w:ascii="Times New Roman" w:hAnsi="Times New Roman" w:cs="Times New Roman"/>
          <w:sz w:val="24"/>
          <w:szCs w:val="24"/>
        </w:rPr>
        <w:t>Although all plans request</w:t>
      </w:r>
      <w:r w:rsidR="001563D0">
        <w:rPr>
          <w:rFonts w:ascii="Times New Roman" w:hAnsi="Times New Roman" w:cs="Times New Roman"/>
          <w:sz w:val="24"/>
          <w:szCs w:val="24"/>
        </w:rPr>
        <w:t>ed</w:t>
      </w:r>
      <w:r w:rsidRPr="00B52F7D">
        <w:rPr>
          <w:rFonts w:ascii="Times New Roman" w:hAnsi="Times New Roman" w:cs="Times New Roman"/>
          <w:sz w:val="24"/>
          <w:szCs w:val="24"/>
        </w:rPr>
        <w:t xml:space="preserve"> implementation funding from the state, some plans mention</w:t>
      </w:r>
      <w:r w:rsidR="001563D0">
        <w:rPr>
          <w:rFonts w:ascii="Times New Roman" w:hAnsi="Times New Roman" w:cs="Times New Roman"/>
          <w:sz w:val="24"/>
          <w:szCs w:val="24"/>
        </w:rPr>
        <w:t>ed</w:t>
      </w:r>
      <w:r w:rsidRPr="00B52F7D">
        <w:rPr>
          <w:rFonts w:ascii="Times New Roman" w:hAnsi="Times New Roman" w:cs="Times New Roman"/>
          <w:sz w:val="24"/>
          <w:szCs w:val="24"/>
        </w:rPr>
        <w:t xml:space="preserve"> the potential for investment from local, philanthropic and private source</w:t>
      </w:r>
      <w:r w:rsidR="00876DF1">
        <w:rPr>
          <w:rFonts w:ascii="Times New Roman" w:hAnsi="Times New Roman" w:cs="Times New Roman"/>
          <w:sz w:val="24"/>
          <w:szCs w:val="24"/>
        </w:rPr>
        <w:t xml:space="preserve">s. Pittsfield, Springfield and </w:t>
      </w:r>
      <w:r w:rsidRPr="00B52F7D">
        <w:rPr>
          <w:rFonts w:ascii="Times New Roman" w:hAnsi="Times New Roman" w:cs="Times New Roman"/>
          <w:sz w:val="24"/>
          <w:szCs w:val="24"/>
        </w:rPr>
        <w:t>Holyoke propose</w:t>
      </w:r>
      <w:r w:rsidR="001563D0">
        <w:rPr>
          <w:rFonts w:ascii="Times New Roman" w:hAnsi="Times New Roman" w:cs="Times New Roman"/>
          <w:sz w:val="24"/>
          <w:szCs w:val="24"/>
        </w:rPr>
        <w:t>d</w:t>
      </w:r>
      <w:r w:rsidRPr="00B52F7D">
        <w:rPr>
          <w:rFonts w:ascii="Times New Roman" w:hAnsi="Times New Roman" w:cs="Times New Roman"/>
          <w:sz w:val="24"/>
          <w:szCs w:val="24"/>
        </w:rPr>
        <w:t xml:space="preserve"> partial funding with public school funds, Holyoke </w:t>
      </w:r>
      <w:r w:rsidR="004709B5">
        <w:rPr>
          <w:rFonts w:ascii="Times New Roman" w:hAnsi="Times New Roman" w:cs="Times New Roman"/>
          <w:sz w:val="24"/>
          <w:szCs w:val="24"/>
        </w:rPr>
        <w:t>proposing</w:t>
      </w:r>
      <w:r w:rsidRPr="00B52F7D">
        <w:rPr>
          <w:rFonts w:ascii="Times New Roman" w:hAnsi="Times New Roman" w:cs="Times New Roman"/>
          <w:sz w:val="24"/>
          <w:szCs w:val="24"/>
        </w:rPr>
        <w:t xml:space="preserve"> </w:t>
      </w:r>
      <w:r w:rsidR="004709B5">
        <w:rPr>
          <w:rFonts w:ascii="Times New Roman" w:hAnsi="Times New Roman" w:cs="Times New Roman"/>
          <w:sz w:val="24"/>
          <w:szCs w:val="24"/>
        </w:rPr>
        <w:t xml:space="preserve">the use of Chapter 70 funding. </w:t>
      </w:r>
      <w:r w:rsidR="00C263BA">
        <w:rPr>
          <w:rFonts w:ascii="Times New Roman" w:hAnsi="Times New Roman" w:cs="Times New Roman"/>
          <w:sz w:val="24"/>
          <w:szCs w:val="24"/>
        </w:rPr>
        <w:t>In the event the state would fund initial expansion efforts, a</w:t>
      </w:r>
      <w:r w:rsidR="004709B5">
        <w:rPr>
          <w:rFonts w:ascii="Times New Roman" w:hAnsi="Times New Roman" w:cs="Times New Roman"/>
          <w:sz w:val="24"/>
          <w:szCs w:val="24"/>
        </w:rPr>
        <w:t xml:space="preserve"> f</w:t>
      </w:r>
      <w:r w:rsidRPr="00B52F7D">
        <w:rPr>
          <w:rFonts w:ascii="Times New Roman" w:hAnsi="Times New Roman" w:cs="Times New Roman"/>
          <w:sz w:val="24"/>
          <w:szCs w:val="24"/>
        </w:rPr>
        <w:t>ew include</w:t>
      </w:r>
      <w:r w:rsidR="001563D0">
        <w:rPr>
          <w:rFonts w:ascii="Times New Roman" w:hAnsi="Times New Roman" w:cs="Times New Roman"/>
          <w:sz w:val="24"/>
          <w:szCs w:val="24"/>
        </w:rPr>
        <w:t>d</w:t>
      </w:r>
      <w:r w:rsidRPr="00B52F7D">
        <w:rPr>
          <w:rFonts w:ascii="Times New Roman" w:hAnsi="Times New Roman" w:cs="Times New Roman"/>
          <w:sz w:val="24"/>
          <w:szCs w:val="24"/>
        </w:rPr>
        <w:t xml:space="preserve"> plans to gradually shift some costs to </w:t>
      </w:r>
      <w:r w:rsidR="004709B5">
        <w:rPr>
          <w:rFonts w:ascii="Times New Roman" w:hAnsi="Times New Roman" w:cs="Times New Roman"/>
          <w:sz w:val="24"/>
          <w:szCs w:val="24"/>
        </w:rPr>
        <w:t xml:space="preserve">the </w:t>
      </w:r>
      <w:r w:rsidRPr="00B52F7D">
        <w:rPr>
          <w:rFonts w:ascii="Times New Roman" w:hAnsi="Times New Roman" w:cs="Times New Roman"/>
          <w:sz w:val="24"/>
          <w:szCs w:val="24"/>
        </w:rPr>
        <w:t xml:space="preserve">local municipalities over time. </w:t>
      </w:r>
    </w:p>
    <w:p w14:paraId="6E948FA8" w14:textId="1CDE7492" w:rsidR="003418D7" w:rsidRPr="00B52F7D" w:rsidRDefault="00E07BB2" w:rsidP="005E6747">
      <w:pPr>
        <w:pStyle w:val="NoSpacing"/>
        <w:spacing w:after="120" w:line="276" w:lineRule="auto"/>
        <w:rPr>
          <w:rFonts w:ascii="Times New Roman" w:hAnsi="Times New Roman" w:cs="Times New Roman"/>
          <w:sz w:val="24"/>
          <w:szCs w:val="24"/>
        </w:rPr>
      </w:pPr>
      <w:r w:rsidRPr="00B52F7D">
        <w:rPr>
          <w:rFonts w:ascii="Times New Roman" w:hAnsi="Times New Roman" w:cs="Times New Roman"/>
          <w:sz w:val="24"/>
          <w:szCs w:val="24"/>
        </w:rPr>
        <w:t>Consistent with PEG, many planning grant strategic plans include</w:t>
      </w:r>
      <w:r w:rsidR="001563D0">
        <w:rPr>
          <w:rFonts w:ascii="Times New Roman" w:hAnsi="Times New Roman" w:cs="Times New Roman"/>
          <w:sz w:val="24"/>
          <w:szCs w:val="24"/>
        </w:rPr>
        <w:t>d</w:t>
      </w:r>
      <w:r w:rsidRPr="00B52F7D">
        <w:rPr>
          <w:rFonts w:ascii="Times New Roman" w:hAnsi="Times New Roman" w:cs="Times New Roman"/>
          <w:sz w:val="24"/>
          <w:szCs w:val="24"/>
        </w:rPr>
        <w:t xml:space="preserve"> one-time start</w:t>
      </w:r>
      <w:r w:rsidR="00602898">
        <w:rPr>
          <w:rFonts w:ascii="Times New Roman" w:hAnsi="Times New Roman" w:cs="Times New Roman"/>
          <w:sz w:val="24"/>
          <w:szCs w:val="24"/>
        </w:rPr>
        <w:t>-</w:t>
      </w:r>
      <w:r w:rsidRPr="00B52F7D">
        <w:rPr>
          <w:rFonts w:ascii="Times New Roman" w:hAnsi="Times New Roman" w:cs="Times New Roman"/>
          <w:sz w:val="24"/>
          <w:szCs w:val="24"/>
        </w:rPr>
        <w:t>up costs in the calculations of costs for implementation, particularly for those communities who would require new or renovated space. Other upfront costs include</w:t>
      </w:r>
      <w:r w:rsidR="001563D0">
        <w:rPr>
          <w:rFonts w:ascii="Times New Roman" w:hAnsi="Times New Roman" w:cs="Times New Roman"/>
          <w:sz w:val="24"/>
          <w:szCs w:val="24"/>
        </w:rPr>
        <w:t>d</w:t>
      </w:r>
      <w:r w:rsidRPr="00B52F7D">
        <w:rPr>
          <w:rFonts w:ascii="Times New Roman" w:hAnsi="Times New Roman" w:cs="Times New Roman"/>
          <w:sz w:val="24"/>
          <w:szCs w:val="24"/>
        </w:rPr>
        <w:t xml:space="preserve"> the purchase of classroom materials for new classrooms, and costs for offering professional development to educators. </w:t>
      </w:r>
    </w:p>
    <w:p w14:paraId="545818AA" w14:textId="0B402E44" w:rsidR="0071375B" w:rsidRPr="00B52F7D" w:rsidRDefault="00CF43C0" w:rsidP="005E6747">
      <w:pPr>
        <w:pStyle w:val="NoSpacing"/>
        <w:spacing w:after="120" w:line="276" w:lineRule="auto"/>
        <w:rPr>
          <w:rFonts w:ascii="Times New Roman" w:hAnsi="Times New Roman" w:cs="Times New Roman"/>
          <w:sz w:val="24"/>
          <w:szCs w:val="24"/>
        </w:rPr>
      </w:pPr>
      <w:r w:rsidRPr="00B52F7D">
        <w:rPr>
          <w:rFonts w:ascii="Times New Roman" w:hAnsi="Times New Roman" w:cs="Times New Roman"/>
          <w:sz w:val="24"/>
          <w:szCs w:val="24"/>
        </w:rPr>
        <w:t>After initial start-up costs, plans included various levels of detail for estimated operating costs, often using a cost per child approach</w:t>
      </w:r>
      <w:r w:rsidR="00E1541E" w:rsidRPr="00B52F7D">
        <w:rPr>
          <w:rFonts w:ascii="Times New Roman" w:hAnsi="Times New Roman" w:cs="Times New Roman"/>
          <w:sz w:val="24"/>
          <w:szCs w:val="24"/>
        </w:rPr>
        <w:t>, although there were no ex</w:t>
      </w:r>
      <w:r w:rsidR="00376AF0">
        <w:rPr>
          <w:rFonts w:ascii="Times New Roman" w:hAnsi="Times New Roman" w:cs="Times New Roman"/>
          <w:sz w:val="24"/>
          <w:szCs w:val="24"/>
        </w:rPr>
        <w:t>plicit requirements about how to</w:t>
      </w:r>
      <w:r w:rsidR="00E1541E" w:rsidRPr="00B52F7D">
        <w:rPr>
          <w:rFonts w:ascii="Times New Roman" w:hAnsi="Times New Roman" w:cs="Times New Roman"/>
          <w:sz w:val="24"/>
          <w:szCs w:val="24"/>
        </w:rPr>
        <w:t xml:space="preserve"> identify costs</w:t>
      </w:r>
      <w:r w:rsidRPr="00B52F7D">
        <w:rPr>
          <w:rFonts w:ascii="Times New Roman" w:hAnsi="Times New Roman" w:cs="Times New Roman"/>
          <w:sz w:val="24"/>
          <w:szCs w:val="24"/>
        </w:rPr>
        <w:t>.</w:t>
      </w:r>
      <w:r w:rsidR="001563D0">
        <w:rPr>
          <w:rFonts w:ascii="Times New Roman" w:hAnsi="Times New Roman" w:cs="Times New Roman"/>
          <w:sz w:val="24"/>
          <w:szCs w:val="24"/>
        </w:rPr>
        <w:t xml:space="preserve"> Plans identified</w:t>
      </w:r>
      <w:r w:rsidR="0071375B" w:rsidRPr="00B52F7D">
        <w:rPr>
          <w:rFonts w:ascii="Times New Roman" w:hAnsi="Times New Roman" w:cs="Times New Roman"/>
          <w:sz w:val="24"/>
          <w:szCs w:val="24"/>
        </w:rPr>
        <w:t xml:space="preserve"> a significant range of estimated costs per child,</w:t>
      </w:r>
      <w:r w:rsidR="00951A1C">
        <w:rPr>
          <w:rFonts w:ascii="Times New Roman" w:hAnsi="Times New Roman" w:cs="Times New Roman"/>
          <w:sz w:val="24"/>
          <w:szCs w:val="24"/>
        </w:rPr>
        <w:t xml:space="preserve"> from approximately $10,000 to $31,000, although </w:t>
      </w:r>
      <w:r w:rsidR="0071375B" w:rsidRPr="00B52F7D">
        <w:rPr>
          <w:rFonts w:ascii="Times New Roman" w:hAnsi="Times New Roman" w:cs="Times New Roman"/>
          <w:sz w:val="24"/>
          <w:szCs w:val="24"/>
        </w:rPr>
        <w:t>mo</w:t>
      </w:r>
      <w:r w:rsidR="002D446F">
        <w:rPr>
          <w:rFonts w:ascii="Times New Roman" w:hAnsi="Times New Roman" w:cs="Times New Roman"/>
          <w:sz w:val="24"/>
          <w:szCs w:val="24"/>
        </w:rPr>
        <w:t xml:space="preserve">st plans </w:t>
      </w:r>
      <w:r w:rsidR="00951A1C">
        <w:rPr>
          <w:rFonts w:ascii="Times New Roman" w:hAnsi="Times New Roman" w:cs="Times New Roman"/>
          <w:sz w:val="24"/>
          <w:szCs w:val="24"/>
        </w:rPr>
        <w:t xml:space="preserve">indicated costs </w:t>
      </w:r>
      <w:r w:rsidR="002D446F">
        <w:rPr>
          <w:rFonts w:ascii="Times New Roman" w:hAnsi="Times New Roman" w:cs="Times New Roman"/>
          <w:sz w:val="24"/>
          <w:szCs w:val="24"/>
        </w:rPr>
        <w:t>between $13,000 to $19</w:t>
      </w:r>
      <w:r w:rsidR="0071375B" w:rsidRPr="00B52F7D">
        <w:rPr>
          <w:rFonts w:ascii="Times New Roman" w:hAnsi="Times New Roman" w:cs="Times New Roman"/>
          <w:sz w:val="24"/>
          <w:szCs w:val="24"/>
        </w:rPr>
        <w:t>,000 per child.</w:t>
      </w:r>
      <w:r w:rsidRPr="00B52F7D">
        <w:rPr>
          <w:rFonts w:ascii="Times New Roman" w:hAnsi="Times New Roman" w:cs="Times New Roman"/>
          <w:sz w:val="24"/>
          <w:szCs w:val="24"/>
        </w:rPr>
        <w:t xml:space="preserve"> These operating costs </w:t>
      </w:r>
      <w:r w:rsidR="001563D0">
        <w:rPr>
          <w:rFonts w:ascii="Times New Roman" w:hAnsi="Times New Roman" w:cs="Times New Roman"/>
          <w:sz w:val="24"/>
          <w:szCs w:val="24"/>
        </w:rPr>
        <w:t>were</w:t>
      </w:r>
      <w:r w:rsidRPr="00B52F7D">
        <w:rPr>
          <w:rFonts w:ascii="Times New Roman" w:hAnsi="Times New Roman" w:cs="Times New Roman"/>
          <w:sz w:val="24"/>
          <w:szCs w:val="24"/>
        </w:rPr>
        <w:t xml:space="preserve"> associated largely with personnel, including educators, administrators from the </w:t>
      </w:r>
      <w:r w:rsidR="00546E56">
        <w:rPr>
          <w:rFonts w:ascii="Times New Roman" w:hAnsi="Times New Roman" w:cs="Times New Roman"/>
          <w:sz w:val="24"/>
          <w:szCs w:val="24"/>
        </w:rPr>
        <w:t>public school districts and early learning providers</w:t>
      </w:r>
      <w:r w:rsidRPr="00B52F7D">
        <w:rPr>
          <w:rFonts w:ascii="Times New Roman" w:hAnsi="Times New Roman" w:cs="Times New Roman"/>
          <w:sz w:val="24"/>
          <w:szCs w:val="24"/>
        </w:rPr>
        <w:t xml:space="preserve">, as well as other direct service providers like family engagement specialists, mental health clinicians, and coaches. </w:t>
      </w:r>
      <w:r w:rsidR="00C46D92" w:rsidRPr="00B52F7D">
        <w:rPr>
          <w:rFonts w:ascii="Times New Roman" w:hAnsi="Times New Roman" w:cs="Times New Roman"/>
          <w:sz w:val="24"/>
          <w:szCs w:val="24"/>
        </w:rPr>
        <w:t>Some plans reflect</w:t>
      </w:r>
      <w:r w:rsidR="001563D0">
        <w:rPr>
          <w:rFonts w:ascii="Times New Roman" w:hAnsi="Times New Roman" w:cs="Times New Roman"/>
          <w:sz w:val="24"/>
          <w:szCs w:val="24"/>
        </w:rPr>
        <w:t>ed</w:t>
      </w:r>
      <w:r w:rsidR="00C46D92" w:rsidRPr="00B52F7D">
        <w:rPr>
          <w:rFonts w:ascii="Times New Roman" w:hAnsi="Times New Roman" w:cs="Times New Roman"/>
          <w:sz w:val="24"/>
          <w:szCs w:val="24"/>
        </w:rPr>
        <w:t xml:space="preserve"> cost savings due to shared staff across the programs. </w:t>
      </w:r>
      <w:r w:rsidR="00DB18B5" w:rsidRPr="00B52F7D">
        <w:rPr>
          <w:rFonts w:ascii="Times New Roman" w:hAnsi="Times New Roman" w:cs="Times New Roman"/>
          <w:sz w:val="24"/>
          <w:szCs w:val="24"/>
        </w:rPr>
        <w:t xml:space="preserve">Other expenses include utility costs, food and </w:t>
      </w:r>
      <w:r w:rsidR="0071375B" w:rsidRPr="00B52F7D">
        <w:rPr>
          <w:rFonts w:ascii="Times New Roman" w:hAnsi="Times New Roman" w:cs="Times New Roman"/>
          <w:sz w:val="24"/>
          <w:szCs w:val="24"/>
        </w:rPr>
        <w:t xml:space="preserve">facility </w:t>
      </w:r>
      <w:r w:rsidR="00DB18B5" w:rsidRPr="00B52F7D">
        <w:rPr>
          <w:rFonts w:ascii="Times New Roman" w:hAnsi="Times New Roman" w:cs="Times New Roman"/>
          <w:sz w:val="24"/>
          <w:szCs w:val="24"/>
        </w:rPr>
        <w:t>rent</w:t>
      </w:r>
      <w:r w:rsidR="0071375B" w:rsidRPr="00B52F7D">
        <w:rPr>
          <w:rFonts w:ascii="Times New Roman" w:hAnsi="Times New Roman" w:cs="Times New Roman"/>
          <w:sz w:val="24"/>
          <w:szCs w:val="24"/>
        </w:rPr>
        <w:t>.</w:t>
      </w:r>
    </w:p>
    <w:p w14:paraId="52B71CAE" w14:textId="4F19C4E6" w:rsidR="0056761E" w:rsidRPr="005E6747" w:rsidRDefault="0071375B" w:rsidP="005E6747">
      <w:pPr>
        <w:pStyle w:val="NoSpacing"/>
        <w:spacing w:after="120" w:line="276" w:lineRule="auto"/>
        <w:rPr>
          <w:rFonts w:ascii="Times New Roman" w:hAnsi="Times New Roman" w:cs="Times New Roman"/>
          <w:sz w:val="24"/>
          <w:szCs w:val="24"/>
        </w:rPr>
      </w:pPr>
      <w:r w:rsidRPr="00B52F7D">
        <w:rPr>
          <w:rFonts w:ascii="Times New Roman" w:hAnsi="Times New Roman" w:cs="Times New Roman"/>
          <w:sz w:val="24"/>
          <w:szCs w:val="24"/>
        </w:rPr>
        <w:t xml:space="preserve">A considerable amount of in-kind costs </w:t>
      </w:r>
      <w:r w:rsidR="001563D0">
        <w:rPr>
          <w:rFonts w:ascii="Times New Roman" w:hAnsi="Times New Roman" w:cs="Times New Roman"/>
          <w:sz w:val="24"/>
          <w:szCs w:val="24"/>
        </w:rPr>
        <w:t>were</w:t>
      </w:r>
      <w:r w:rsidRPr="00B52F7D">
        <w:rPr>
          <w:rFonts w:ascii="Times New Roman" w:hAnsi="Times New Roman" w:cs="Times New Roman"/>
          <w:sz w:val="24"/>
          <w:szCs w:val="24"/>
        </w:rPr>
        <w:t xml:space="preserve"> included in plans, including </w:t>
      </w:r>
      <w:r w:rsidR="0033628E">
        <w:rPr>
          <w:rFonts w:ascii="Times New Roman" w:hAnsi="Times New Roman" w:cs="Times New Roman"/>
          <w:sz w:val="24"/>
          <w:szCs w:val="24"/>
        </w:rPr>
        <w:t xml:space="preserve">public school district and early learning provider </w:t>
      </w:r>
      <w:r w:rsidRPr="00B52F7D">
        <w:rPr>
          <w:rFonts w:ascii="Times New Roman" w:hAnsi="Times New Roman" w:cs="Times New Roman"/>
          <w:sz w:val="24"/>
          <w:szCs w:val="24"/>
        </w:rPr>
        <w:t xml:space="preserve">administration staff time for overall grant management, materials, facility space and utilities, classroom materials, professional development resources, data analysts and technology support. </w:t>
      </w:r>
    </w:p>
    <w:p w14:paraId="55D420C4" w14:textId="77777777" w:rsidR="00842DBD" w:rsidRPr="005E6747" w:rsidRDefault="0088178F" w:rsidP="005E6747">
      <w:pPr>
        <w:pStyle w:val="Heading1"/>
        <w:spacing w:after="120"/>
      </w:pPr>
      <w:bookmarkStart w:id="14" w:name="_Toc462828772"/>
      <w:r>
        <w:t xml:space="preserve">IV. </w:t>
      </w:r>
      <w:r w:rsidR="0009099D" w:rsidRPr="00842DBD">
        <w:t>Discussion</w:t>
      </w:r>
      <w:bookmarkEnd w:id="14"/>
      <w:r w:rsidR="0009099D" w:rsidRPr="00842DBD">
        <w:t xml:space="preserve"> </w:t>
      </w:r>
    </w:p>
    <w:p w14:paraId="45F9EC13" w14:textId="5FEAB239" w:rsidR="00B504CC" w:rsidRPr="00842DBD" w:rsidRDefault="00376AF0"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S</w:t>
      </w:r>
      <w:r w:rsidR="0009099D" w:rsidRPr="00842DBD">
        <w:rPr>
          <w:rFonts w:ascii="Times New Roman" w:hAnsi="Times New Roman" w:cs="Times New Roman"/>
          <w:sz w:val="24"/>
          <w:szCs w:val="24"/>
        </w:rPr>
        <w:t>trategi</w:t>
      </w:r>
      <w:r>
        <w:rPr>
          <w:rFonts w:ascii="Times New Roman" w:hAnsi="Times New Roman" w:cs="Times New Roman"/>
          <w:sz w:val="24"/>
          <w:szCs w:val="24"/>
        </w:rPr>
        <w:t xml:space="preserve">c plans for preschool expansion </w:t>
      </w:r>
      <w:r w:rsidR="0009099D" w:rsidRPr="00842DBD">
        <w:rPr>
          <w:rFonts w:ascii="Times New Roman" w:hAnsi="Times New Roman" w:cs="Times New Roman"/>
          <w:sz w:val="24"/>
          <w:szCs w:val="24"/>
        </w:rPr>
        <w:t xml:space="preserve">indicate the need to expand </w:t>
      </w:r>
      <w:r>
        <w:rPr>
          <w:rFonts w:ascii="Times New Roman" w:hAnsi="Times New Roman" w:cs="Times New Roman"/>
          <w:sz w:val="24"/>
          <w:szCs w:val="24"/>
        </w:rPr>
        <w:t xml:space="preserve">access to </w:t>
      </w:r>
      <w:r w:rsidR="0009099D" w:rsidRPr="00842DBD">
        <w:rPr>
          <w:rFonts w:ascii="Times New Roman" w:hAnsi="Times New Roman" w:cs="Times New Roman"/>
          <w:sz w:val="24"/>
          <w:szCs w:val="24"/>
        </w:rPr>
        <w:t>high quality preschool</w:t>
      </w:r>
      <w:r>
        <w:rPr>
          <w:rFonts w:ascii="Times New Roman" w:hAnsi="Times New Roman" w:cs="Times New Roman"/>
          <w:sz w:val="24"/>
          <w:szCs w:val="24"/>
        </w:rPr>
        <w:t xml:space="preserve"> and to improve the quality of existing programs</w:t>
      </w:r>
      <w:r w:rsidR="0009099D" w:rsidRPr="00842DBD">
        <w:rPr>
          <w:rFonts w:ascii="Times New Roman" w:hAnsi="Times New Roman" w:cs="Times New Roman"/>
          <w:sz w:val="24"/>
          <w:szCs w:val="24"/>
        </w:rPr>
        <w:t xml:space="preserve">. Although there </w:t>
      </w:r>
      <w:r w:rsidR="001563D0">
        <w:rPr>
          <w:rFonts w:ascii="Times New Roman" w:hAnsi="Times New Roman" w:cs="Times New Roman"/>
          <w:sz w:val="24"/>
          <w:szCs w:val="24"/>
        </w:rPr>
        <w:t>was</w:t>
      </w:r>
      <w:r w:rsidR="0009099D" w:rsidRPr="00842DBD">
        <w:rPr>
          <w:rFonts w:ascii="Times New Roman" w:hAnsi="Times New Roman" w:cs="Times New Roman"/>
          <w:sz w:val="24"/>
          <w:szCs w:val="24"/>
        </w:rPr>
        <w:t xml:space="preserve"> some variation in </w:t>
      </w:r>
      <w:r w:rsidR="0009099D" w:rsidRPr="00842DBD">
        <w:rPr>
          <w:rFonts w:ascii="Times New Roman" w:hAnsi="Times New Roman" w:cs="Times New Roman"/>
          <w:sz w:val="24"/>
          <w:szCs w:val="24"/>
        </w:rPr>
        <w:lastRenderedPageBreak/>
        <w:t xml:space="preserve">the details of the plans, the general components included </w:t>
      </w:r>
      <w:r w:rsidR="00630068" w:rsidRPr="00842DBD">
        <w:rPr>
          <w:rFonts w:ascii="Times New Roman" w:hAnsi="Times New Roman" w:cs="Times New Roman"/>
          <w:sz w:val="24"/>
          <w:szCs w:val="24"/>
        </w:rPr>
        <w:t>throughout</w:t>
      </w:r>
      <w:r w:rsidR="0009099D" w:rsidRPr="00842DBD">
        <w:rPr>
          <w:rFonts w:ascii="Times New Roman" w:hAnsi="Times New Roman" w:cs="Times New Roman"/>
          <w:sz w:val="24"/>
          <w:szCs w:val="24"/>
        </w:rPr>
        <w:t xml:space="preserve"> explicitly outline how expansion of high quality presch</w:t>
      </w:r>
      <w:r w:rsidR="00630068" w:rsidRPr="00842DBD">
        <w:rPr>
          <w:rFonts w:ascii="Times New Roman" w:hAnsi="Times New Roman" w:cs="Times New Roman"/>
          <w:sz w:val="24"/>
          <w:szCs w:val="24"/>
        </w:rPr>
        <w:t>ool supports local goals and would fulfill unmet needs of childr</w:t>
      </w:r>
      <w:r w:rsidR="00112A6E" w:rsidRPr="00842DBD">
        <w:rPr>
          <w:rFonts w:ascii="Times New Roman" w:hAnsi="Times New Roman" w:cs="Times New Roman"/>
          <w:sz w:val="24"/>
          <w:szCs w:val="24"/>
        </w:rPr>
        <w:t>en and families in the community</w:t>
      </w:r>
      <w:r w:rsidR="00630068" w:rsidRPr="00842DBD">
        <w:rPr>
          <w:rFonts w:ascii="Times New Roman" w:hAnsi="Times New Roman" w:cs="Times New Roman"/>
          <w:sz w:val="24"/>
          <w:szCs w:val="24"/>
        </w:rPr>
        <w:t xml:space="preserve">.  Program components outlined above provide a fundamental structure for approaching expansion, yet require a substantial investment to be </w:t>
      </w:r>
      <w:r w:rsidR="00112A6E" w:rsidRPr="00842DBD">
        <w:rPr>
          <w:rFonts w:ascii="Times New Roman" w:hAnsi="Times New Roman" w:cs="Times New Roman"/>
          <w:sz w:val="24"/>
          <w:szCs w:val="24"/>
        </w:rPr>
        <w:t>successfully</w:t>
      </w:r>
      <w:r w:rsidR="00630068" w:rsidRPr="00842DBD">
        <w:rPr>
          <w:rFonts w:ascii="Times New Roman" w:hAnsi="Times New Roman" w:cs="Times New Roman"/>
          <w:sz w:val="24"/>
          <w:szCs w:val="24"/>
        </w:rPr>
        <w:t xml:space="preserve"> implemented. </w:t>
      </w:r>
    </w:p>
    <w:p w14:paraId="1FE26BD2" w14:textId="669C5BC4" w:rsidR="007C6A06" w:rsidRPr="00842DBD" w:rsidRDefault="00546E56" w:rsidP="005E6747">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The lack of single-source, comprehensive data on the children and families in each community </w:t>
      </w:r>
      <w:r w:rsidR="00376AF0">
        <w:rPr>
          <w:rFonts w:ascii="Times New Roman" w:hAnsi="Times New Roman" w:cs="Times New Roman"/>
          <w:sz w:val="24"/>
          <w:szCs w:val="24"/>
        </w:rPr>
        <w:t>made planning challenging; all communities needed to engage in direct data collection to fully understand</w:t>
      </w:r>
      <w:r w:rsidR="007C6A06" w:rsidRPr="00842DBD">
        <w:rPr>
          <w:rFonts w:ascii="Times New Roman" w:hAnsi="Times New Roman" w:cs="Times New Roman"/>
          <w:sz w:val="24"/>
          <w:szCs w:val="24"/>
        </w:rPr>
        <w:t xml:space="preserve"> how many children are </w:t>
      </w:r>
      <w:r w:rsidR="00376AF0">
        <w:rPr>
          <w:rFonts w:ascii="Times New Roman" w:hAnsi="Times New Roman" w:cs="Times New Roman"/>
          <w:sz w:val="24"/>
          <w:szCs w:val="24"/>
        </w:rPr>
        <w:t xml:space="preserve">and are not </w:t>
      </w:r>
      <w:r w:rsidR="007C6A06" w:rsidRPr="00842DBD">
        <w:rPr>
          <w:rFonts w:ascii="Times New Roman" w:hAnsi="Times New Roman" w:cs="Times New Roman"/>
          <w:sz w:val="24"/>
          <w:szCs w:val="24"/>
        </w:rPr>
        <w:t xml:space="preserve">currently being served, program capacity, and </w:t>
      </w:r>
      <w:r w:rsidR="00376AF0">
        <w:rPr>
          <w:rFonts w:ascii="Times New Roman" w:hAnsi="Times New Roman" w:cs="Times New Roman"/>
          <w:sz w:val="24"/>
          <w:szCs w:val="24"/>
        </w:rPr>
        <w:t xml:space="preserve">needs/capacity of the workforce. </w:t>
      </w:r>
      <w:r w:rsidR="007C6A06" w:rsidRPr="00842DBD">
        <w:rPr>
          <w:rFonts w:ascii="Times New Roman" w:hAnsi="Times New Roman" w:cs="Times New Roman"/>
          <w:sz w:val="24"/>
          <w:szCs w:val="24"/>
        </w:rPr>
        <w:t xml:space="preserve"> Understanding the needs of children and families </w:t>
      </w:r>
      <w:r w:rsidR="001563D0">
        <w:rPr>
          <w:rFonts w:ascii="Times New Roman" w:hAnsi="Times New Roman" w:cs="Times New Roman"/>
          <w:sz w:val="24"/>
          <w:szCs w:val="24"/>
        </w:rPr>
        <w:t>was</w:t>
      </w:r>
      <w:r w:rsidR="00747247">
        <w:rPr>
          <w:rFonts w:ascii="Times New Roman" w:hAnsi="Times New Roman" w:cs="Times New Roman"/>
          <w:sz w:val="24"/>
          <w:szCs w:val="24"/>
        </w:rPr>
        <w:t xml:space="preserve"> essential for communities engaged in</w:t>
      </w:r>
      <w:r w:rsidR="007C6A06" w:rsidRPr="00842DBD">
        <w:rPr>
          <w:rFonts w:ascii="Times New Roman" w:hAnsi="Times New Roman" w:cs="Times New Roman"/>
          <w:sz w:val="24"/>
          <w:szCs w:val="24"/>
        </w:rPr>
        <w:t xml:space="preserve"> intentional programmatic and financial planning and </w:t>
      </w:r>
      <w:r w:rsidR="001563D0">
        <w:rPr>
          <w:rFonts w:ascii="Times New Roman" w:hAnsi="Times New Roman" w:cs="Times New Roman"/>
          <w:sz w:val="24"/>
          <w:szCs w:val="24"/>
        </w:rPr>
        <w:t>could</w:t>
      </w:r>
      <w:r w:rsidR="00747247">
        <w:rPr>
          <w:rFonts w:ascii="Times New Roman" w:hAnsi="Times New Roman" w:cs="Times New Roman"/>
          <w:sz w:val="24"/>
          <w:szCs w:val="24"/>
        </w:rPr>
        <w:t xml:space="preserve"> support efforts to obtain </w:t>
      </w:r>
      <w:r w:rsidR="007C6A06" w:rsidRPr="00842DBD">
        <w:rPr>
          <w:rFonts w:ascii="Times New Roman" w:hAnsi="Times New Roman" w:cs="Times New Roman"/>
          <w:sz w:val="24"/>
          <w:szCs w:val="24"/>
        </w:rPr>
        <w:t>buy</w:t>
      </w:r>
      <w:r w:rsidR="00747247">
        <w:rPr>
          <w:rFonts w:ascii="Times New Roman" w:hAnsi="Times New Roman" w:cs="Times New Roman"/>
          <w:sz w:val="24"/>
          <w:szCs w:val="24"/>
        </w:rPr>
        <w:t xml:space="preserve">-in from various stakeholders, yet </w:t>
      </w:r>
      <w:r w:rsidR="007C1ED1">
        <w:rPr>
          <w:rFonts w:ascii="Times New Roman" w:hAnsi="Times New Roman" w:cs="Times New Roman"/>
          <w:sz w:val="24"/>
          <w:szCs w:val="24"/>
        </w:rPr>
        <w:t xml:space="preserve">holistic </w:t>
      </w:r>
      <w:r w:rsidR="00747247">
        <w:rPr>
          <w:rFonts w:ascii="Times New Roman" w:hAnsi="Times New Roman" w:cs="Times New Roman"/>
          <w:sz w:val="24"/>
          <w:szCs w:val="24"/>
        </w:rPr>
        <w:t xml:space="preserve">information about </w:t>
      </w:r>
      <w:r w:rsidR="007C1ED1">
        <w:rPr>
          <w:rFonts w:ascii="Times New Roman" w:hAnsi="Times New Roman" w:cs="Times New Roman"/>
          <w:sz w:val="24"/>
          <w:szCs w:val="24"/>
        </w:rPr>
        <w:t>local</w:t>
      </w:r>
      <w:r w:rsidR="00747247">
        <w:rPr>
          <w:rFonts w:ascii="Times New Roman" w:hAnsi="Times New Roman" w:cs="Times New Roman"/>
          <w:sz w:val="24"/>
          <w:szCs w:val="24"/>
        </w:rPr>
        <w:t xml:space="preserve"> </w:t>
      </w:r>
      <w:r w:rsidR="007C1ED1">
        <w:rPr>
          <w:rFonts w:ascii="Times New Roman" w:hAnsi="Times New Roman" w:cs="Times New Roman"/>
          <w:sz w:val="24"/>
          <w:szCs w:val="24"/>
        </w:rPr>
        <w:t xml:space="preserve">ECE </w:t>
      </w:r>
      <w:r w:rsidR="00747247">
        <w:rPr>
          <w:rFonts w:ascii="Times New Roman" w:hAnsi="Times New Roman" w:cs="Times New Roman"/>
          <w:sz w:val="24"/>
          <w:szCs w:val="24"/>
        </w:rPr>
        <w:t>system</w:t>
      </w:r>
      <w:r w:rsidR="007C1ED1">
        <w:rPr>
          <w:rFonts w:ascii="Times New Roman" w:hAnsi="Times New Roman" w:cs="Times New Roman"/>
          <w:sz w:val="24"/>
          <w:szCs w:val="24"/>
        </w:rPr>
        <w:t>s</w:t>
      </w:r>
      <w:r w:rsidR="00747247">
        <w:rPr>
          <w:rFonts w:ascii="Times New Roman" w:hAnsi="Times New Roman" w:cs="Times New Roman"/>
          <w:sz w:val="24"/>
          <w:szCs w:val="24"/>
        </w:rPr>
        <w:t xml:space="preserve"> </w:t>
      </w:r>
      <w:r w:rsidR="001563D0">
        <w:rPr>
          <w:rFonts w:ascii="Times New Roman" w:hAnsi="Times New Roman" w:cs="Times New Roman"/>
          <w:sz w:val="24"/>
          <w:szCs w:val="24"/>
        </w:rPr>
        <w:t>was</w:t>
      </w:r>
      <w:r w:rsidR="00747247">
        <w:rPr>
          <w:rFonts w:ascii="Times New Roman" w:hAnsi="Times New Roman" w:cs="Times New Roman"/>
          <w:sz w:val="24"/>
          <w:szCs w:val="24"/>
        </w:rPr>
        <w:t xml:space="preserve"> not readily available without </w:t>
      </w:r>
      <w:r w:rsidR="007C1ED1">
        <w:rPr>
          <w:rFonts w:ascii="Times New Roman" w:hAnsi="Times New Roman" w:cs="Times New Roman"/>
          <w:sz w:val="24"/>
          <w:szCs w:val="24"/>
        </w:rPr>
        <w:t>direct data collection to supplement existing sources</w:t>
      </w:r>
      <w:r w:rsidR="00747247">
        <w:rPr>
          <w:rFonts w:ascii="Times New Roman" w:hAnsi="Times New Roman" w:cs="Times New Roman"/>
          <w:sz w:val="24"/>
          <w:szCs w:val="24"/>
        </w:rPr>
        <w:t xml:space="preserve">. </w:t>
      </w:r>
    </w:p>
    <w:p w14:paraId="4C4F25BD" w14:textId="4E1896BC" w:rsidR="00B504CC" w:rsidRPr="00842DBD" w:rsidRDefault="007C6A06" w:rsidP="005E6747">
      <w:pPr>
        <w:pStyle w:val="NoSpacing"/>
        <w:spacing w:after="120" w:line="276" w:lineRule="auto"/>
        <w:rPr>
          <w:rFonts w:ascii="Times New Roman" w:hAnsi="Times New Roman" w:cs="Times New Roman"/>
          <w:sz w:val="24"/>
          <w:szCs w:val="24"/>
        </w:rPr>
      </w:pPr>
      <w:r w:rsidRPr="00842DBD">
        <w:rPr>
          <w:rFonts w:ascii="Times New Roman" w:hAnsi="Times New Roman" w:cs="Times New Roman"/>
          <w:sz w:val="24"/>
          <w:szCs w:val="24"/>
        </w:rPr>
        <w:t xml:space="preserve">Communities </w:t>
      </w:r>
      <w:r w:rsidR="00747247">
        <w:rPr>
          <w:rFonts w:ascii="Times New Roman" w:hAnsi="Times New Roman" w:cs="Times New Roman"/>
          <w:sz w:val="24"/>
          <w:szCs w:val="24"/>
        </w:rPr>
        <w:t xml:space="preserve">all </w:t>
      </w:r>
      <w:r w:rsidRPr="00842DBD">
        <w:rPr>
          <w:rFonts w:ascii="Times New Roman" w:hAnsi="Times New Roman" w:cs="Times New Roman"/>
          <w:sz w:val="24"/>
          <w:szCs w:val="24"/>
        </w:rPr>
        <w:t>highlight</w:t>
      </w:r>
      <w:r w:rsidR="001563D0">
        <w:rPr>
          <w:rFonts w:ascii="Times New Roman" w:hAnsi="Times New Roman" w:cs="Times New Roman"/>
          <w:sz w:val="24"/>
          <w:szCs w:val="24"/>
        </w:rPr>
        <w:t>ed</w:t>
      </w:r>
      <w:r w:rsidRPr="00842DBD">
        <w:rPr>
          <w:rFonts w:ascii="Times New Roman" w:hAnsi="Times New Roman" w:cs="Times New Roman"/>
          <w:sz w:val="24"/>
          <w:szCs w:val="24"/>
        </w:rPr>
        <w:t xml:space="preserve"> the need to provide intensive professional development, even for those with a Bachelor</w:t>
      </w:r>
      <w:r w:rsidR="003B6794">
        <w:rPr>
          <w:rFonts w:ascii="Times New Roman" w:hAnsi="Times New Roman" w:cs="Times New Roman"/>
          <w:sz w:val="24"/>
          <w:szCs w:val="24"/>
        </w:rPr>
        <w:t>’</w:t>
      </w:r>
      <w:r w:rsidRPr="00842DBD">
        <w:rPr>
          <w:rFonts w:ascii="Times New Roman" w:hAnsi="Times New Roman" w:cs="Times New Roman"/>
          <w:sz w:val="24"/>
          <w:szCs w:val="24"/>
        </w:rPr>
        <w:t xml:space="preserve">s degree, as well as explicit and clear pathways toward degree attainment for </w:t>
      </w:r>
      <w:r w:rsidR="003B6794">
        <w:rPr>
          <w:rFonts w:ascii="Times New Roman" w:hAnsi="Times New Roman" w:cs="Times New Roman"/>
          <w:sz w:val="24"/>
          <w:szCs w:val="24"/>
        </w:rPr>
        <w:t xml:space="preserve">the </w:t>
      </w:r>
      <w:r w:rsidRPr="00842DBD">
        <w:rPr>
          <w:rFonts w:ascii="Times New Roman" w:hAnsi="Times New Roman" w:cs="Times New Roman"/>
          <w:sz w:val="24"/>
          <w:szCs w:val="24"/>
        </w:rPr>
        <w:t>educators</w:t>
      </w:r>
      <w:r w:rsidR="003B6794">
        <w:rPr>
          <w:rFonts w:ascii="Times New Roman" w:hAnsi="Times New Roman" w:cs="Times New Roman"/>
          <w:sz w:val="24"/>
          <w:szCs w:val="24"/>
        </w:rPr>
        <w:t xml:space="preserve"> in the existing workforce that do not have a Bachelor’s</w:t>
      </w:r>
      <w:r w:rsidRPr="00842DBD">
        <w:rPr>
          <w:rFonts w:ascii="Times New Roman" w:hAnsi="Times New Roman" w:cs="Times New Roman"/>
          <w:sz w:val="24"/>
          <w:szCs w:val="24"/>
        </w:rPr>
        <w:t>. Many communities would continue to expand upon local partnerships to increase competency and support degree attainment through collaborations with colleges and universities</w:t>
      </w:r>
      <w:r w:rsidR="001563D0">
        <w:rPr>
          <w:rFonts w:ascii="Times New Roman" w:hAnsi="Times New Roman" w:cs="Times New Roman"/>
          <w:sz w:val="24"/>
          <w:szCs w:val="24"/>
        </w:rPr>
        <w:t>,</w:t>
      </w:r>
      <w:r w:rsidRPr="00842DBD">
        <w:rPr>
          <w:rFonts w:ascii="Times New Roman" w:hAnsi="Times New Roman" w:cs="Times New Roman"/>
          <w:sz w:val="24"/>
          <w:szCs w:val="24"/>
        </w:rPr>
        <w:t xml:space="preserve"> in response to the urgent need for qualified educators. </w:t>
      </w:r>
    </w:p>
    <w:p w14:paraId="1367A452" w14:textId="77777777" w:rsidR="00B504CC" w:rsidRPr="00842DBD" w:rsidRDefault="00E915B7" w:rsidP="005E6747">
      <w:pPr>
        <w:pStyle w:val="NoSpacing"/>
        <w:spacing w:after="120" w:line="276" w:lineRule="auto"/>
        <w:rPr>
          <w:rFonts w:ascii="Times New Roman" w:hAnsi="Times New Roman" w:cs="Times New Roman"/>
          <w:sz w:val="24"/>
          <w:szCs w:val="24"/>
        </w:rPr>
      </w:pPr>
      <w:r w:rsidRPr="00842DBD">
        <w:rPr>
          <w:rFonts w:ascii="Times New Roman" w:hAnsi="Times New Roman" w:cs="Times New Roman"/>
          <w:sz w:val="24"/>
          <w:szCs w:val="24"/>
        </w:rPr>
        <w:t xml:space="preserve">Although communities </w:t>
      </w:r>
      <w:r w:rsidR="003F3018">
        <w:rPr>
          <w:rFonts w:ascii="Times New Roman" w:hAnsi="Times New Roman" w:cs="Times New Roman"/>
          <w:sz w:val="24"/>
          <w:szCs w:val="24"/>
        </w:rPr>
        <w:t>organized the planning efforts in different ways</w:t>
      </w:r>
      <w:r w:rsidRPr="00842DBD">
        <w:rPr>
          <w:rFonts w:ascii="Times New Roman" w:hAnsi="Times New Roman" w:cs="Times New Roman"/>
          <w:sz w:val="24"/>
          <w:szCs w:val="24"/>
        </w:rPr>
        <w:t xml:space="preserve">, many unequivocally stated the necessary role of the state and </w:t>
      </w:r>
      <w:r w:rsidR="003F3018">
        <w:rPr>
          <w:rFonts w:ascii="Times New Roman" w:hAnsi="Times New Roman" w:cs="Times New Roman"/>
          <w:sz w:val="24"/>
          <w:szCs w:val="24"/>
        </w:rPr>
        <w:t>a broad range of local</w:t>
      </w:r>
      <w:r w:rsidRPr="00842DBD">
        <w:rPr>
          <w:rFonts w:ascii="Times New Roman" w:hAnsi="Times New Roman" w:cs="Times New Roman"/>
          <w:sz w:val="24"/>
          <w:szCs w:val="24"/>
        </w:rPr>
        <w:t xml:space="preserve"> early childhood stakeholders to support these efforts, through convening planning communities to share best practices, providing guidance on the integration of policies and initiatives, and contributing to the buy in and awareness at the local level.</w:t>
      </w:r>
    </w:p>
    <w:p w14:paraId="0A179D68" w14:textId="77777777" w:rsidR="007C6A06" w:rsidRPr="00842DBD" w:rsidRDefault="007C6A06" w:rsidP="005E6747">
      <w:pPr>
        <w:pStyle w:val="NoSpacing"/>
        <w:spacing w:after="120" w:line="276" w:lineRule="auto"/>
        <w:rPr>
          <w:rFonts w:ascii="Times New Roman" w:hAnsi="Times New Roman" w:cs="Times New Roman"/>
          <w:sz w:val="24"/>
          <w:szCs w:val="24"/>
        </w:rPr>
      </w:pPr>
      <w:r w:rsidRPr="00842DBD">
        <w:rPr>
          <w:rFonts w:ascii="Times New Roman" w:hAnsi="Times New Roman" w:cs="Times New Roman"/>
          <w:sz w:val="24"/>
          <w:szCs w:val="24"/>
        </w:rPr>
        <w:t xml:space="preserve">The activities that communities engaged in to plan for preschool expansion facilitated a necessary logistical and strategic </w:t>
      </w:r>
      <w:r w:rsidR="00376AF0">
        <w:rPr>
          <w:rFonts w:ascii="Times New Roman" w:hAnsi="Times New Roman" w:cs="Times New Roman"/>
          <w:sz w:val="24"/>
          <w:szCs w:val="24"/>
        </w:rPr>
        <w:t xml:space="preserve">planning </w:t>
      </w:r>
      <w:r w:rsidRPr="00842DBD">
        <w:rPr>
          <w:rFonts w:ascii="Times New Roman" w:hAnsi="Times New Roman" w:cs="Times New Roman"/>
          <w:sz w:val="24"/>
          <w:szCs w:val="24"/>
        </w:rPr>
        <w:t xml:space="preserve">process that arguably enhanced the foundation for effective implementation. The readiness of communities to engage in this process was largely related to the existing infrastructure and partnerships already in place at the local level. The development and enhancement of these local partnerships was critical, and the robust planning at the local level solidified goals and targeted actionable steps to implementation if funds were to become available. </w:t>
      </w:r>
    </w:p>
    <w:sectPr w:rsidR="007C6A06" w:rsidRPr="00842DBD" w:rsidSect="00C54B8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14647" w14:textId="77777777" w:rsidR="00847190" w:rsidRDefault="00847190" w:rsidP="00864B01">
      <w:pPr>
        <w:spacing w:after="0" w:line="240" w:lineRule="auto"/>
      </w:pPr>
      <w:r>
        <w:separator/>
      </w:r>
    </w:p>
  </w:endnote>
  <w:endnote w:type="continuationSeparator" w:id="0">
    <w:p w14:paraId="6C25C440" w14:textId="77777777" w:rsidR="00847190" w:rsidRDefault="00847190" w:rsidP="0086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7930"/>
      <w:docPartObj>
        <w:docPartGallery w:val="Page Numbers (Bottom of Page)"/>
        <w:docPartUnique/>
      </w:docPartObj>
    </w:sdtPr>
    <w:sdtEndPr/>
    <w:sdtContent>
      <w:p w14:paraId="37F10AA1" w14:textId="77777777" w:rsidR="008050E5" w:rsidRDefault="00876DF1">
        <w:pPr>
          <w:pStyle w:val="Footer"/>
          <w:jc w:val="center"/>
        </w:pPr>
        <w:r>
          <w:fldChar w:fldCharType="begin"/>
        </w:r>
        <w:r>
          <w:instrText xml:space="preserve"> PAGE   \* MERGEFORMAT </w:instrText>
        </w:r>
        <w:r>
          <w:fldChar w:fldCharType="separate"/>
        </w:r>
        <w:r w:rsidR="00DD7166">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C705B" w14:textId="77777777" w:rsidR="00847190" w:rsidRDefault="00847190" w:rsidP="00864B01">
      <w:pPr>
        <w:spacing w:after="0" w:line="240" w:lineRule="auto"/>
      </w:pPr>
      <w:r>
        <w:separator/>
      </w:r>
    </w:p>
  </w:footnote>
  <w:footnote w:type="continuationSeparator" w:id="0">
    <w:p w14:paraId="504C9216" w14:textId="77777777" w:rsidR="00847190" w:rsidRDefault="00847190" w:rsidP="00864B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FEE"/>
    <w:multiLevelType w:val="hybridMultilevel"/>
    <w:tmpl w:val="68B8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D4E88"/>
    <w:multiLevelType w:val="hybridMultilevel"/>
    <w:tmpl w:val="687E3332"/>
    <w:lvl w:ilvl="0" w:tplc="56AC9E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550B3"/>
    <w:multiLevelType w:val="hybridMultilevel"/>
    <w:tmpl w:val="7BAC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20D82"/>
    <w:multiLevelType w:val="hybridMultilevel"/>
    <w:tmpl w:val="DC46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16F64"/>
    <w:multiLevelType w:val="hybridMultilevel"/>
    <w:tmpl w:val="39223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F0BCD"/>
    <w:multiLevelType w:val="hybridMultilevel"/>
    <w:tmpl w:val="AF4442B4"/>
    <w:lvl w:ilvl="0" w:tplc="56AC9E0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1E340D"/>
    <w:multiLevelType w:val="hybridMultilevel"/>
    <w:tmpl w:val="0346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22268"/>
    <w:multiLevelType w:val="hybridMultilevel"/>
    <w:tmpl w:val="5126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B04FF"/>
    <w:multiLevelType w:val="hybridMultilevel"/>
    <w:tmpl w:val="D2F0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6132A"/>
    <w:multiLevelType w:val="hybridMultilevel"/>
    <w:tmpl w:val="C234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B203D"/>
    <w:multiLevelType w:val="hybridMultilevel"/>
    <w:tmpl w:val="03A6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7414E"/>
    <w:multiLevelType w:val="hybridMultilevel"/>
    <w:tmpl w:val="003A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61D20"/>
    <w:multiLevelType w:val="hybridMultilevel"/>
    <w:tmpl w:val="D47E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72344"/>
    <w:multiLevelType w:val="hybridMultilevel"/>
    <w:tmpl w:val="F552E266"/>
    <w:lvl w:ilvl="0" w:tplc="56AC9E0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9298D"/>
    <w:multiLevelType w:val="hybridMultilevel"/>
    <w:tmpl w:val="72D26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B65"/>
    <w:multiLevelType w:val="hybridMultilevel"/>
    <w:tmpl w:val="0EA66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C0A2B"/>
    <w:multiLevelType w:val="hybridMultilevel"/>
    <w:tmpl w:val="6B74C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97535"/>
    <w:multiLevelType w:val="hybridMultilevel"/>
    <w:tmpl w:val="9DC03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E2EC5"/>
    <w:multiLevelType w:val="hybridMultilevel"/>
    <w:tmpl w:val="F65E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E68EB"/>
    <w:multiLevelType w:val="hybridMultilevel"/>
    <w:tmpl w:val="B77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E098E"/>
    <w:multiLevelType w:val="hybridMultilevel"/>
    <w:tmpl w:val="690E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C0DD4"/>
    <w:multiLevelType w:val="hybridMultilevel"/>
    <w:tmpl w:val="7E2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7"/>
  </w:num>
  <w:num w:numId="4">
    <w:abstractNumId w:val="16"/>
  </w:num>
  <w:num w:numId="5">
    <w:abstractNumId w:val="12"/>
  </w:num>
  <w:num w:numId="6">
    <w:abstractNumId w:val="19"/>
  </w:num>
  <w:num w:numId="7">
    <w:abstractNumId w:val="13"/>
  </w:num>
  <w:num w:numId="8">
    <w:abstractNumId w:val="1"/>
  </w:num>
  <w:num w:numId="9">
    <w:abstractNumId w:val="5"/>
  </w:num>
  <w:num w:numId="10">
    <w:abstractNumId w:val="4"/>
  </w:num>
  <w:num w:numId="11">
    <w:abstractNumId w:val="18"/>
  </w:num>
  <w:num w:numId="12">
    <w:abstractNumId w:val="9"/>
  </w:num>
  <w:num w:numId="13">
    <w:abstractNumId w:val="7"/>
  </w:num>
  <w:num w:numId="14">
    <w:abstractNumId w:val="10"/>
  </w:num>
  <w:num w:numId="15">
    <w:abstractNumId w:val="8"/>
  </w:num>
  <w:num w:numId="16">
    <w:abstractNumId w:val="21"/>
  </w:num>
  <w:num w:numId="17">
    <w:abstractNumId w:val="2"/>
  </w:num>
  <w:num w:numId="18">
    <w:abstractNumId w:val="0"/>
  </w:num>
  <w:num w:numId="19">
    <w:abstractNumId w:val="6"/>
  </w:num>
  <w:num w:numId="20">
    <w:abstractNumId w:val="3"/>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CC"/>
    <w:rsid w:val="0000303E"/>
    <w:rsid w:val="00006280"/>
    <w:rsid w:val="00010808"/>
    <w:rsid w:val="0004195B"/>
    <w:rsid w:val="00061C76"/>
    <w:rsid w:val="00067362"/>
    <w:rsid w:val="00073E22"/>
    <w:rsid w:val="0009099D"/>
    <w:rsid w:val="000A38A4"/>
    <w:rsid w:val="000A5B9F"/>
    <w:rsid w:val="000D5454"/>
    <w:rsid w:val="000D6895"/>
    <w:rsid w:val="000E2FF0"/>
    <w:rsid w:val="000E35D8"/>
    <w:rsid w:val="00112A6E"/>
    <w:rsid w:val="001160E7"/>
    <w:rsid w:val="001272FD"/>
    <w:rsid w:val="0013469E"/>
    <w:rsid w:val="00141078"/>
    <w:rsid w:val="00152EBF"/>
    <w:rsid w:val="001563D0"/>
    <w:rsid w:val="00160403"/>
    <w:rsid w:val="00183402"/>
    <w:rsid w:val="001A173B"/>
    <w:rsid w:val="001A504D"/>
    <w:rsid w:val="001C1031"/>
    <w:rsid w:val="001D0E8B"/>
    <w:rsid w:val="001D3732"/>
    <w:rsid w:val="0020697C"/>
    <w:rsid w:val="002242EE"/>
    <w:rsid w:val="00232344"/>
    <w:rsid w:val="002572BB"/>
    <w:rsid w:val="00271E90"/>
    <w:rsid w:val="00274480"/>
    <w:rsid w:val="002B7BA4"/>
    <w:rsid w:val="002C0142"/>
    <w:rsid w:val="002D446F"/>
    <w:rsid w:val="002D4DCC"/>
    <w:rsid w:val="002E42AC"/>
    <w:rsid w:val="002E6C7C"/>
    <w:rsid w:val="00305AAA"/>
    <w:rsid w:val="0031300B"/>
    <w:rsid w:val="003134A7"/>
    <w:rsid w:val="003244DB"/>
    <w:rsid w:val="0033628E"/>
    <w:rsid w:val="003418D7"/>
    <w:rsid w:val="0036776A"/>
    <w:rsid w:val="003760A7"/>
    <w:rsid w:val="00376AF0"/>
    <w:rsid w:val="003827A0"/>
    <w:rsid w:val="00390F6C"/>
    <w:rsid w:val="003B6623"/>
    <w:rsid w:val="003B6794"/>
    <w:rsid w:val="003C61B6"/>
    <w:rsid w:val="003C7FC2"/>
    <w:rsid w:val="003D1E0B"/>
    <w:rsid w:val="003F3018"/>
    <w:rsid w:val="003F4343"/>
    <w:rsid w:val="00401FA1"/>
    <w:rsid w:val="00415B6C"/>
    <w:rsid w:val="00432853"/>
    <w:rsid w:val="00441458"/>
    <w:rsid w:val="004434A6"/>
    <w:rsid w:val="004463F3"/>
    <w:rsid w:val="00455458"/>
    <w:rsid w:val="00462A6C"/>
    <w:rsid w:val="004709B5"/>
    <w:rsid w:val="004960E2"/>
    <w:rsid w:val="004A3635"/>
    <w:rsid w:val="004A5EB0"/>
    <w:rsid w:val="004B4FCB"/>
    <w:rsid w:val="004C0D09"/>
    <w:rsid w:val="004C3CB0"/>
    <w:rsid w:val="004C506F"/>
    <w:rsid w:val="005030F2"/>
    <w:rsid w:val="00513E2F"/>
    <w:rsid w:val="00520C67"/>
    <w:rsid w:val="00522959"/>
    <w:rsid w:val="005326A4"/>
    <w:rsid w:val="00542B40"/>
    <w:rsid w:val="00546E56"/>
    <w:rsid w:val="00550E8C"/>
    <w:rsid w:val="0056761E"/>
    <w:rsid w:val="005713C1"/>
    <w:rsid w:val="00577D03"/>
    <w:rsid w:val="005B7ECF"/>
    <w:rsid w:val="005C7BE7"/>
    <w:rsid w:val="005D2540"/>
    <w:rsid w:val="005D2CF5"/>
    <w:rsid w:val="005D3D04"/>
    <w:rsid w:val="005E6747"/>
    <w:rsid w:val="00600D00"/>
    <w:rsid w:val="006014B0"/>
    <w:rsid w:val="00602898"/>
    <w:rsid w:val="00611081"/>
    <w:rsid w:val="00630068"/>
    <w:rsid w:val="006348AB"/>
    <w:rsid w:val="006460BA"/>
    <w:rsid w:val="00651E7E"/>
    <w:rsid w:val="00684807"/>
    <w:rsid w:val="006926D9"/>
    <w:rsid w:val="00695804"/>
    <w:rsid w:val="006A1C23"/>
    <w:rsid w:val="006C2E75"/>
    <w:rsid w:val="006C73FC"/>
    <w:rsid w:val="006D46CD"/>
    <w:rsid w:val="006E0B22"/>
    <w:rsid w:val="006F0A38"/>
    <w:rsid w:val="00704115"/>
    <w:rsid w:val="0071375B"/>
    <w:rsid w:val="00714575"/>
    <w:rsid w:val="00731645"/>
    <w:rsid w:val="00736656"/>
    <w:rsid w:val="00747247"/>
    <w:rsid w:val="00752EF4"/>
    <w:rsid w:val="0075333E"/>
    <w:rsid w:val="007B6894"/>
    <w:rsid w:val="007B7620"/>
    <w:rsid w:val="007C138B"/>
    <w:rsid w:val="007C1ED1"/>
    <w:rsid w:val="007C4C90"/>
    <w:rsid w:val="007C6A06"/>
    <w:rsid w:val="007D2B5E"/>
    <w:rsid w:val="007D4327"/>
    <w:rsid w:val="007E3CBE"/>
    <w:rsid w:val="007E719A"/>
    <w:rsid w:val="007E7322"/>
    <w:rsid w:val="007F28B2"/>
    <w:rsid w:val="00800EDE"/>
    <w:rsid w:val="008050E5"/>
    <w:rsid w:val="008068DA"/>
    <w:rsid w:val="00814580"/>
    <w:rsid w:val="00822064"/>
    <w:rsid w:val="00842DBD"/>
    <w:rsid w:val="00847190"/>
    <w:rsid w:val="00864B01"/>
    <w:rsid w:val="00876DF1"/>
    <w:rsid w:val="0088178F"/>
    <w:rsid w:val="008825B3"/>
    <w:rsid w:val="008963C4"/>
    <w:rsid w:val="008B55AB"/>
    <w:rsid w:val="008D2430"/>
    <w:rsid w:val="008E251A"/>
    <w:rsid w:val="008E7561"/>
    <w:rsid w:val="008F4DC8"/>
    <w:rsid w:val="008F5DB0"/>
    <w:rsid w:val="00900953"/>
    <w:rsid w:val="00903550"/>
    <w:rsid w:val="00915DFE"/>
    <w:rsid w:val="00951A1C"/>
    <w:rsid w:val="00974F02"/>
    <w:rsid w:val="00984ED1"/>
    <w:rsid w:val="009A025F"/>
    <w:rsid w:val="009A06A5"/>
    <w:rsid w:val="009A1D5A"/>
    <w:rsid w:val="009B523F"/>
    <w:rsid w:val="009D36DB"/>
    <w:rsid w:val="009E54BC"/>
    <w:rsid w:val="009E5E99"/>
    <w:rsid w:val="009F508D"/>
    <w:rsid w:val="00A07530"/>
    <w:rsid w:val="00A22350"/>
    <w:rsid w:val="00A415C2"/>
    <w:rsid w:val="00A50012"/>
    <w:rsid w:val="00A51436"/>
    <w:rsid w:val="00A519C9"/>
    <w:rsid w:val="00A55050"/>
    <w:rsid w:val="00A60B85"/>
    <w:rsid w:val="00A64ACF"/>
    <w:rsid w:val="00A65E20"/>
    <w:rsid w:val="00A70659"/>
    <w:rsid w:val="00A70FDD"/>
    <w:rsid w:val="00A7422C"/>
    <w:rsid w:val="00A92D93"/>
    <w:rsid w:val="00AA38D2"/>
    <w:rsid w:val="00AA5157"/>
    <w:rsid w:val="00AB0953"/>
    <w:rsid w:val="00AD303D"/>
    <w:rsid w:val="00AD66D7"/>
    <w:rsid w:val="00B05A04"/>
    <w:rsid w:val="00B13A9E"/>
    <w:rsid w:val="00B320CC"/>
    <w:rsid w:val="00B425E7"/>
    <w:rsid w:val="00B452F5"/>
    <w:rsid w:val="00B504CC"/>
    <w:rsid w:val="00B519AD"/>
    <w:rsid w:val="00B52F7D"/>
    <w:rsid w:val="00B90641"/>
    <w:rsid w:val="00BA56D8"/>
    <w:rsid w:val="00BB22AA"/>
    <w:rsid w:val="00BB56FB"/>
    <w:rsid w:val="00BC0DFE"/>
    <w:rsid w:val="00BC2069"/>
    <w:rsid w:val="00BC3294"/>
    <w:rsid w:val="00BD472C"/>
    <w:rsid w:val="00BE42CC"/>
    <w:rsid w:val="00C03980"/>
    <w:rsid w:val="00C07661"/>
    <w:rsid w:val="00C24F82"/>
    <w:rsid w:val="00C263BA"/>
    <w:rsid w:val="00C44C6A"/>
    <w:rsid w:val="00C46D92"/>
    <w:rsid w:val="00C541DA"/>
    <w:rsid w:val="00C54B86"/>
    <w:rsid w:val="00C55CEB"/>
    <w:rsid w:val="00C668DC"/>
    <w:rsid w:val="00C66A79"/>
    <w:rsid w:val="00C9468F"/>
    <w:rsid w:val="00CA1097"/>
    <w:rsid w:val="00CB1FC1"/>
    <w:rsid w:val="00CC2E6C"/>
    <w:rsid w:val="00CC4B48"/>
    <w:rsid w:val="00CF43C0"/>
    <w:rsid w:val="00CF5255"/>
    <w:rsid w:val="00D00797"/>
    <w:rsid w:val="00D03451"/>
    <w:rsid w:val="00D048DB"/>
    <w:rsid w:val="00D129C7"/>
    <w:rsid w:val="00D34DF0"/>
    <w:rsid w:val="00D530C5"/>
    <w:rsid w:val="00D55F22"/>
    <w:rsid w:val="00D6298E"/>
    <w:rsid w:val="00D7514F"/>
    <w:rsid w:val="00D77CB0"/>
    <w:rsid w:val="00D93AE1"/>
    <w:rsid w:val="00D947EA"/>
    <w:rsid w:val="00D9798A"/>
    <w:rsid w:val="00DA6D20"/>
    <w:rsid w:val="00DB18B5"/>
    <w:rsid w:val="00DC2011"/>
    <w:rsid w:val="00DD0D5D"/>
    <w:rsid w:val="00DD2234"/>
    <w:rsid w:val="00DD3630"/>
    <w:rsid w:val="00DD7166"/>
    <w:rsid w:val="00DF2367"/>
    <w:rsid w:val="00DF7556"/>
    <w:rsid w:val="00E01FD4"/>
    <w:rsid w:val="00E07BB2"/>
    <w:rsid w:val="00E1541E"/>
    <w:rsid w:val="00E23B86"/>
    <w:rsid w:val="00E349F4"/>
    <w:rsid w:val="00E361C9"/>
    <w:rsid w:val="00E40587"/>
    <w:rsid w:val="00E514F4"/>
    <w:rsid w:val="00E54974"/>
    <w:rsid w:val="00E60287"/>
    <w:rsid w:val="00E656B8"/>
    <w:rsid w:val="00E75D01"/>
    <w:rsid w:val="00E75E94"/>
    <w:rsid w:val="00E915B7"/>
    <w:rsid w:val="00EC1316"/>
    <w:rsid w:val="00EC22DF"/>
    <w:rsid w:val="00EC31B0"/>
    <w:rsid w:val="00EC66C6"/>
    <w:rsid w:val="00EE4F88"/>
    <w:rsid w:val="00EF05FE"/>
    <w:rsid w:val="00EF1AE1"/>
    <w:rsid w:val="00F03A30"/>
    <w:rsid w:val="00F06DE7"/>
    <w:rsid w:val="00F1626A"/>
    <w:rsid w:val="00F30D3A"/>
    <w:rsid w:val="00F33197"/>
    <w:rsid w:val="00F349F2"/>
    <w:rsid w:val="00F44B33"/>
    <w:rsid w:val="00F537A1"/>
    <w:rsid w:val="00F55094"/>
    <w:rsid w:val="00F858C7"/>
    <w:rsid w:val="00FA3012"/>
    <w:rsid w:val="00FB072F"/>
    <w:rsid w:val="00FD3229"/>
    <w:rsid w:val="00FD5993"/>
    <w:rsid w:val="00FE7347"/>
    <w:rsid w:val="00FF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01172FC"/>
  <w15:docId w15:val="{62D1E55B-84B7-4212-BB80-FB2808A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DCC"/>
  </w:style>
  <w:style w:type="paragraph" w:styleId="Heading1">
    <w:name w:val="heading 1"/>
    <w:basedOn w:val="Normal"/>
    <w:next w:val="Normal"/>
    <w:link w:val="Heading1Char"/>
    <w:uiPriority w:val="9"/>
    <w:qFormat/>
    <w:rsid w:val="00041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19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52F5"/>
    <w:pPr>
      <w:keepNext/>
      <w:keepLines/>
      <w:spacing w:before="200" w:after="0"/>
      <w:ind w:left="72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DCC"/>
    <w:pPr>
      <w:ind w:left="720"/>
      <w:contextualSpacing/>
    </w:pPr>
  </w:style>
  <w:style w:type="paragraph" w:customStyle="1" w:styleId="no0020spacing">
    <w:name w:val="no_0020spacing"/>
    <w:basedOn w:val="Normal"/>
    <w:rsid w:val="00D34DF0"/>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no0020spacingchar">
    <w:name w:val="no_0020spacing__char"/>
    <w:basedOn w:val="DefaultParagraphFont"/>
    <w:rsid w:val="00D34DF0"/>
  </w:style>
  <w:style w:type="paragraph" w:styleId="NoSpacing">
    <w:name w:val="No Spacing"/>
    <w:uiPriority w:val="1"/>
    <w:qFormat/>
    <w:rsid w:val="00D34DF0"/>
    <w:pPr>
      <w:spacing w:after="0" w:line="240" w:lineRule="auto"/>
    </w:pPr>
  </w:style>
  <w:style w:type="paragraph" w:customStyle="1" w:styleId="Normal1">
    <w:name w:val="Normal1"/>
    <w:basedOn w:val="Normal"/>
    <w:rsid w:val="006348AB"/>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normalchar">
    <w:name w:val="normal__char"/>
    <w:basedOn w:val="DefaultParagraphFont"/>
    <w:rsid w:val="006348AB"/>
  </w:style>
  <w:style w:type="table" w:styleId="TableGrid">
    <w:name w:val="Table Grid"/>
    <w:basedOn w:val="TableNormal"/>
    <w:uiPriority w:val="59"/>
    <w:rsid w:val="00CB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7BB2"/>
    <w:rPr>
      <w:sz w:val="16"/>
      <w:szCs w:val="16"/>
    </w:rPr>
  </w:style>
  <w:style w:type="paragraph" w:styleId="CommentText">
    <w:name w:val="annotation text"/>
    <w:basedOn w:val="Normal"/>
    <w:link w:val="CommentTextChar"/>
    <w:uiPriority w:val="99"/>
    <w:semiHidden/>
    <w:unhideWhenUsed/>
    <w:rsid w:val="00E07BB2"/>
    <w:pPr>
      <w:spacing w:line="240" w:lineRule="auto"/>
    </w:pPr>
    <w:rPr>
      <w:sz w:val="20"/>
      <w:szCs w:val="20"/>
    </w:rPr>
  </w:style>
  <w:style w:type="character" w:customStyle="1" w:styleId="CommentTextChar">
    <w:name w:val="Comment Text Char"/>
    <w:basedOn w:val="DefaultParagraphFont"/>
    <w:link w:val="CommentText"/>
    <w:uiPriority w:val="99"/>
    <w:semiHidden/>
    <w:rsid w:val="00E07BB2"/>
    <w:rPr>
      <w:sz w:val="20"/>
      <w:szCs w:val="20"/>
    </w:rPr>
  </w:style>
  <w:style w:type="paragraph" w:styleId="BalloonText">
    <w:name w:val="Balloon Text"/>
    <w:basedOn w:val="Normal"/>
    <w:link w:val="BalloonTextChar"/>
    <w:uiPriority w:val="99"/>
    <w:semiHidden/>
    <w:unhideWhenUsed/>
    <w:rsid w:val="00E0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BB2"/>
    <w:rPr>
      <w:rFonts w:ascii="Tahoma" w:hAnsi="Tahoma" w:cs="Tahoma"/>
      <w:sz w:val="16"/>
      <w:szCs w:val="16"/>
    </w:rPr>
  </w:style>
  <w:style w:type="character" w:customStyle="1" w:styleId="Heading1Char">
    <w:name w:val="Heading 1 Char"/>
    <w:basedOn w:val="DefaultParagraphFont"/>
    <w:link w:val="Heading1"/>
    <w:uiPriority w:val="9"/>
    <w:rsid w:val="000419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195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DA6D20"/>
    <w:pPr>
      <w:outlineLvl w:val="9"/>
    </w:pPr>
  </w:style>
  <w:style w:type="paragraph" w:styleId="TOC1">
    <w:name w:val="toc 1"/>
    <w:basedOn w:val="Normal"/>
    <w:next w:val="Normal"/>
    <w:autoRedefine/>
    <w:uiPriority w:val="39"/>
    <w:unhideWhenUsed/>
    <w:rsid w:val="00DA6D20"/>
    <w:pPr>
      <w:spacing w:after="100"/>
    </w:pPr>
  </w:style>
  <w:style w:type="paragraph" w:styleId="TOC2">
    <w:name w:val="toc 2"/>
    <w:basedOn w:val="Normal"/>
    <w:next w:val="Normal"/>
    <w:autoRedefine/>
    <w:uiPriority w:val="39"/>
    <w:unhideWhenUsed/>
    <w:rsid w:val="00DA6D20"/>
    <w:pPr>
      <w:spacing w:after="100"/>
      <w:ind w:left="220"/>
    </w:pPr>
  </w:style>
  <w:style w:type="character" w:styleId="Hyperlink">
    <w:name w:val="Hyperlink"/>
    <w:basedOn w:val="DefaultParagraphFont"/>
    <w:uiPriority w:val="99"/>
    <w:unhideWhenUsed/>
    <w:rsid w:val="00DA6D20"/>
    <w:rPr>
      <w:color w:val="0000FF" w:themeColor="hyperlink"/>
      <w:u w:val="single"/>
    </w:rPr>
  </w:style>
  <w:style w:type="character" w:customStyle="1" w:styleId="Heading3Char">
    <w:name w:val="Heading 3 Char"/>
    <w:basedOn w:val="DefaultParagraphFont"/>
    <w:link w:val="Heading3"/>
    <w:uiPriority w:val="9"/>
    <w:rsid w:val="00B452F5"/>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unhideWhenUsed/>
    <w:rsid w:val="00AA38D2"/>
    <w:pPr>
      <w:spacing w:after="100"/>
      <w:ind w:left="440"/>
    </w:pPr>
  </w:style>
  <w:style w:type="paragraph" w:styleId="Header">
    <w:name w:val="header"/>
    <w:basedOn w:val="Normal"/>
    <w:link w:val="HeaderChar"/>
    <w:uiPriority w:val="99"/>
    <w:unhideWhenUsed/>
    <w:rsid w:val="00864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B01"/>
  </w:style>
  <w:style w:type="paragraph" w:styleId="Footer">
    <w:name w:val="footer"/>
    <w:basedOn w:val="Normal"/>
    <w:link w:val="FooterChar"/>
    <w:uiPriority w:val="99"/>
    <w:unhideWhenUsed/>
    <w:rsid w:val="00864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B01"/>
  </w:style>
  <w:style w:type="paragraph" w:styleId="CommentSubject">
    <w:name w:val="annotation subject"/>
    <w:basedOn w:val="CommentText"/>
    <w:next w:val="CommentText"/>
    <w:link w:val="CommentSubjectChar"/>
    <w:uiPriority w:val="99"/>
    <w:semiHidden/>
    <w:unhideWhenUsed/>
    <w:rsid w:val="00AD303D"/>
    <w:rPr>
      <w:b/>
      <w:bCs/>
    </w:rPr>
  </w:style>
  <w:style w:type="character" w:customStyle="1" w:styleId="CommentSubjectChar">
    <w:name w:val="Comment Subject Char"/>
    <w:basedOn w:val="CommentTextChar"/>
    <w:link w:val="CommentSubject"/>
    <w:uiPriority w:val="99"/>
    <w:semiHidden/>
    <w:rsid w:val="00AD3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ec"/>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78E3E-90C9-40F1-8460-85102B6D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4727</Words>
  <Characters>26947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31611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2016-12-21T18:20:00Z</dcterms:created>
  <dc:creator>EEC,</dc:creator>
  <lastModifiedBy>Hart, Kathleen (EEC)</lastModifiedBy>
  <dcterms:modified xsi:type="dcterms:W3CDTF">2017-02-02T22:07:00Z</dcterms:modified>
  <revision>7</revision>
</coreProperties>
</file>