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9910" w14:textId="77777777" w:rsidR="00950A5A" w:rsidRPr="008F1B64" w:rsidRDefault="00950A5A" w:rsidP="00950A5A">
      <w:pPr>
        <w:pStyle w:val="Heading1"/>
        <w:jc w:val="left"/>
        <w:rPr>
          <w:rFonts w:ascii="Bookman Old Style" w:hAnsi="Bookman Old Style"/>
          <w:i/>
          <w:iCs/>
          <w:sz w:val="20"/>
          <w:szCs w:val="20"/>
        </w:rPr>
      </w:pPr>
      <w:r>
        <w:rPr>
          <w:rFonts w:ascii="Bookman Old Style" w:hAnsi="Bookman Old Style"/>
          <w:i/>
          <w:sz w:val="20"/>
        </w:rPr>
        <w:t xml:space="preserve">Commonwealth </w:t>
      </w:r>
      <w:proofErr w:type="spellStart"/>
      <w:r>
        <w:rPr>
          <w:rFonts w:ascii="Bookman Old Style" w:hAnsi="Bookman Old Style"/>
          <w:i/>
          <w:sz w:val="20"/>
        </w:rPr>
        <w:t>of</w:t>
      </w:r>
      <w:proofErr w:type="spellEnd"/>
      <w:r>
        <w:rPr>
          <w:rFonts w:ascii="Bookman Old Style" w:hAnsi="Bookman Old Style"/>
          <w:i/>
          <w:sz w:val="20"/>
        </w:rPr>
        <w:t xml:space="preserve"> Massachusetts</w:t>
      </w:r>
    </w:p>
    <w:p w14:paraId="5A0CC105" w14:textId="77777777" w:rsidR="00950A5A" w:rsidRPr="008F1B64" w:rsidRDefault="00950A5A" w:rsidP="00950A5A">
      <w:pPr>
        <w:spacing w:after="0"/>
        <w:rPr>
          <w:rFonts w:ascii="Bookman Old Style" w:hAnsi="Bookman Old Style"/>
          <w:b/>
          <w:bCs/>
          <w:i/>
          <w:iCs/>
          <w:sz w:val="20"/>
          <w:szCs w:val="20"/>
        </w:rPr>
      </w:pPr>
      <w:proofErr w:type="spellStart"/>
      <w:r>
        <w:rPr>
          <w:rFonts w:ascii="Bookman Old Style" w:hAnsi="Bookman Old Style"/>
          <w:b/>
          <w:i/>
          <w:sz w:val="20"/>
        </w:rPr>
        <w:t>Executive</w:t>
      </w:r>
      <w:proofErr w:type="spellEnd"/>
      <w:r>
        <w:rPr>
          <w:rFonts w:ascii="Bookman Old Style" w:hAnsi="Bookman Old Style"/>
          <w:b/>
          <w:i/>
          <w:sz w:val="20"/>
        </w:rPr>
        <w:t xml:space="preserve"> Office </w:t>
      </w:r>
      <w:proofErr w:type="spellStart"/>
      <w:r>
        <w:rPr>
          <w:rFonts w:ascii="Bookman Old Style" w:hAnsi="Bookman Old Style"/>
          <w:b/>
          <w:i/>
          <w:sz w:val="20"/>
        </w:rPr>
        <w:t>of</w:t>
      </w:r>
      <w:proofErr w:type="spellEnd"/>
      <w:r>
        <w:rPr>
          <w:rFonts w:ascii="Bookman Old Style" w:hAnsi="Bookman Old Style"/>
          <w:b/>
          <w:i/>
          <w:sz w:val="20"/>
        </w:rPr>
        <w:t xml:space="preserve"> Health and </w:t>
      </w:r>
      <w:proofErr w:type="spellStart"/>
      <w:r>
        <w:rPr>
          <w:rFonts w:ascii="Bookman Old Style" w:hAnsi="Bookman Old Style"/>
          <w:b/>
          <w:i/>
          <w:sz w:val="20"/>
        </w:rPr>
        <w:t>Human</w:t>
      </w:r>
      <w:proofErr w:type="spellEnd"/>
      <w:r>
        <w:rPr>
          <w:rFonts w:ascii="Bookman Old Style" w:hAnsi="Bookman Old Style"/>
          <w:b/>
          <w:i/>
          <w:sz w:val="20"/>
        </w:rPr>
        <w:t xml:space="preserve"> Services</w:t>
      </w:r>
    </w:p>
    <w:p w14:paraId="3655BE39" w14:textId="5B004D1F" w:rsidR="00950A5A" w:rsidRPr="008F1B64" w:rsidRDefault="00004B79" w:rsidP="00950A5A">
      <w:pPr>
        <w:rPr>
          <w:rFonts w:ascii="Bookman Old Style" w:hAnsi="Bookman Old Style"/>
          <w:sz w:val="20"/>
          <w:szCs w:val="20"/>
        </w:rPr>
      </w:pPr>
      <w:hyperlink r:id="rId10" w:history="1">
        <w:r>
          <w:rPr>
            <w:rStyle w:val="Hyperlink"/>
            <w:rFonts w:ascii="Bookman Old Style" w:hAnsi="Bookman Old Style"/>
            <w:sz w:val="20"/>
          </w:rPr>
          <w:t>www.mass.gov/masshealth</w:t>
        </w:r>
      </w:hyperlink>
    </w:p>
    <w:p w14:paraId="40F237B9" w14:textId="77777777" w:rsidR="00950A5A" w:rsidRDefault="00950A5A" w:rsidP="008F1B64">
      <w:pPr>
        <w:pStyle w:val="Heading1"/>
      </w:pPr>
    </w:p>
    <w:p w14:paraId="4C09535A" w14:textId="3A21E245" w:rsidR="00043DAD" w:rsidRPr="00950A5A" w:rsidRDefault="00043DAD" w:rsidP="008F1B64">
      <w:pPr>
        <w:pStyle w:val="Heading1"/>
        <w:spacing w:after="80"/>
        <w:rPr>
          <w:b w:val="0"/>
          <w:bCs w:val="0"/>
          <w:sz w:val="36"/>
          <w:szCs w:val="36"/>
        </w:rPr>
      </w:pPr>
      <w:r>
        <w:rPr>
          <w:sz w:val="36"/>
        </w:rPr>
        <w:t>Folha de dados do processo de reclamação sobre a regra comunitária</w:t>
      </w:r>
    </w:p>
    <w:p w14:paraId="19C178B4" w14:textId="77777777" w:rsidR="006B3534" w:rsidRDefault="00206629" w:rsidP="00206629">
      <w:pPr>
        <w:spacing w:after="0" w:line="240" w:lineRule="auto"/>
        <w:jc w:val="center"/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hd w:val="clear" w:color="auto" w:fill="FFFFFF"/>
        </w:rPr>
        <w:t>Dispensas dos serviços domiciliares e comunitários</w:t>
      </w:r>
    </w:p>
    <w:p w14:paraId="0AB00158" w14:textId="7EF89EFB" w:rsidR="00206629" w:rsidRDefault="00C97AB9" w:rsidP="001E7F0F">
      <w:pPr>
        <w:pStyle w:val="Heading2"/>
        <w:spacing w:after="80"/>
      </w:pPr>
      <w:r>
        <w:t>Histórico</w:t>
      </w:r>
    </w:p>
    <w:p w14:paraId="1B745926" w14:textId="7F005763" w:rsidR="00206629" w:rsidRDefault="60D53BF7" w:rsidP="001059D3">
      <w:pPr>
        <w:spacing w:after="120" w:line="240" w:lineRule="auto"/>
        <w:rPr>
          <w:color w:val="141414"/>
          <w:sz w:val="24"/>
          <w:szCs w:val="24"/>
        </w:rPr>
      </w:pPr>
      <w:r>
        <w:rPr>
          <w:color w:val="000000"/>
          <w:sz w:val="24"/>
          <w:shd w:val="clear" w:color="auto" w:fill="FFFFFF"/>
        </w:rPr>
        <w:t>Uma regra federal – a Regra Federal – exige que os serviços domiciliares e comunitários (</w:t>
      </w:r>
      <w:proofErr w:type="spellStart"/>
      <w:r>
        <w:rPr>
          <w:color w:val="000000"/>
          <w:sz w:val="24"/>
          <w:shd w:val="clear" w:color="auto" w:fill="FFFFFF"/>
        </w:rPr>
        <w:t>HCBS</w:t>
      </w:r>
      <w:proofErr w:type="spellEnd"/>
      <w:r>
        <w:rPr>
          <w:color w:val="000000"/>
          <w:sz w:val="24"/>
          <w:shd w:val="clear" w:color="auto" w:fill="FFFFFF"/>
        </w:rPr>
        <w:t xml:space="preserve">) cobertos pelas dispensas </w:t>
      </w:r>
      <w:proofErr w:type="spellStart"/>
      <w:r>
        <w:rPr>
          <w:color w:val="000000"/>
          <w:sz w:val="24"/>
          <w:shd w:val="clear" w:color="auto" w:fill="FFFFFF"/>
        </w:rPr>
        <w:t>HCBS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Medicaid</w:t>
      </w:r>
      <w:proofErr w:type="spellEnd"/>
      <w:r>
        <w:rPr>
          <w:color w:val="000000"/>
          <w:sz w:val="24"/>
          <w:shd w:val="clear" w:color="auto" w:fill="FFFFFF"/>
        </w:rPr>
        <w:t xml:space="preserve"> sejam prestados em locais que atendam a determinados critérios. A Regra Comunitária assegura que os participantes da dispensa dos Serviços Domiciliares e Comunitários (</w:t>
      </w:r>
      <w:r w:rsidRPr="0010633F">
        <w:rPr>
          <w:i/>
          <w:iCs/>
          <w:color w:val="000000"/>
          <w:sz w:val="24"/>
          <w:shd w:val="clear" w:color="auto" w:fill="FFFFFF"/>
        </w:rPr>
        <w:t xml:space="preserve">Home and Community </w:t>
      </w:r>
      <w:proofErr w:type="spellStart"/>
      <w:r w:rsidRPr="0010633F">
        <w:rPr>
          <w:i/>
          <w:iCs/>
          <w:color w:val="000000"/>
          <w:sz w:val="24"/>
          <w:shd w:val="clear" w:color="auto" w:fill="FFFFFF"/>
        </w:rPr>
        <w:t>Based</w:t>
      </w:r>
      <w:proofErr w:type="spellEnd"/>
      <w:r w:rsidRPr="0010633F">
        <w:rPr>
          <w:i/>
          <w:iCs/>
          <w:color w:val="000000"/>
          <w:sz w:val="24"/>
          <w:shd w:val="clear" w:color="auto" w:fill="FFFFFF"/>
        </w:rPr>
        <w:t xml:space="preserve"> Services</w:t>
      </w:r>
      <w:r>
        <w:rPr>
          <w:color w:val="000000"/>
          <w:sz w:val="24"/>
          <w:shd w:val="clear" w:color="auto" w:fill="FFFFFF"/>
        </w:rPr>
        <w:t xml:space="preserve"> - </w:t>
      </w:r>
      <w:proofErr w:type="spellStart"/>
      <w:r>
        <w:rPr>
          <w:color w:val="000000"/>
          <w:sz w:val="24"/>
          <w:shd w:val="clear" w:color="auto" w:fill="FFFFFF"/>
        </w:rPr>
        <w:t>HCBS</w:t>
      </w:r>
      <w:proofErr w:type="spellEnd"/>
      <w:r>
        <w:rPr>
          <w:color w:val="000000"/>
          <w:sz w:val="24"/>
          <w:shd w:val="clear" w:color="auto" w:fill="FFFFFF"/>
        </w:rPr>
        <w:t>) tenham acesso aos benefícios da vida em comunidade, e que eles vivenciem e recebam serviços em ambientes integrados e não institucionais.</w:t>
      </w:r>
    </w:p>
    <w:p w14:paraId="4AFA33CB" w14:textId="2EA11DED" w:rsidR="00043DAD" w:rsidRPr="00043DAD" w:rsidRDefault="00206629" w:rsidP="6D52A0BE">
      <w:pPr>
        <w:spacing w:after="0" w:line="240" w:lineRule="auto"/>
        <w:rPr>
          <w:color w:val="141414"/>
          <w:sz w:val="24"/>
          <w:szCs w:val="24"/>
        </w:rPr>
      </w:pPr>
      <w:r>
        <w:rPr>
          <w:sz w:val="24"/>
        </w:rPr>
        <w:t xml:space="preserve">A Regra Comunitária aplica-se </w:t>
      </w:r>
    </w:p>
    <w:p w14:paraId="4429DDB5" w14:textId="3F5391C7" w:rsidR="00206629" w:rsidRPr="001059D3" w:rsidRDefault="00043DAD" w:rsidP="001059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À residência do participante, ou seja, onde o participante da renúncia mora </w:t>
      </w:r>
    </w:p>
    <w:p w14:paraId="3529DEF9" w14:textId="5703F9C3" w:rsidR="00206629" w:rsidRPr="001059D3" w:rsidRDefault="00043DAD" w:rsidP="001059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</w:rPr>
        <w:t>A outros locais onde serviços são prestados aos participantes</w:t>
      </w:r>
      <w:r w:rsidR="0010633F">
        <w:rPr>
          <w:sz w:val="24"/>
        </w:rPr>
        <w:t>.</w:t>
      </w:r>
      <w:r>
        <w:rPr>
          <w:sz w:val="24"/>
        </w:rPr>
        <w:t xml:space="preserve"> </w:t>
      </w:r>
      <w:proofErr w:type="gramStart"/>
      <w:r>
        <w:rPr>
          <w:sz w:val="24"/>
        </w:rPr>
        <w:t>Pode</w:t>
      </w:r>
      <w:proofErr w:type="gramEnd"/>
      <w:r>
        <w:rPr>
          <w:sz w:val="24"/>
        </w:rPr>
        <w:t xml:space="preserve"> incluir o local onde o participante da dispensa trabalha ou frequenta um programa diário</w:t>
      </w:r>
    </w:p>
    <w:p w14:paraId="1247761D" w14:textId="5FE7F07D" w:rsidR="00206629" w:rsidRDefault="00043DAD" w:rsidP="008F1B64">
      <w:pPr>
        <w:spacing w:before="120" w:after="80" w:line="240" w:lineRule="auto"/>
        <w:rPr>
          <w:sz w:val="24"/>
          <w:szCs w:val="24"/>
        </w:rPr>
      </w:pPr>
      <w:r>
        <w:rPr>
          <w:sz w:val="24"/>
        </w:rPr>
        <w:t>As listas abaixo descrevem alguns recursos da residência ou outros locais que estão em conformidade com a Regra Comunitária.</w:t>
      </w:r>
    </w:p>
    <w:p w14:paraId="78010C01" w14:textId="77777777" w:rsidR="007F24B2" w:rsidRDefault="007F24B2" w:rsidP="001059D3">
      <w:pPr>
        <w:spacing w:before="120" w:after="120" w:line="240" w:lineRule="auto"/>
        <w:rPr>
          <w:sz w:val="24"/>
          <w:szCs w:val="24"/>
        </w:rPr>
        <w:sectPr w:rsidR="007F24B2" w:rsidSect="001E7F0F">
          <w:footerReference w:type="default" r:id="rId11"/>
          <w:pgSz w:w="12240" w:h="15840"/>
          <w:pgMar w:top="806" w:right="1296" w:bottom="1152" w:left="1296" w:header="720" w:footer="720" w:gutter="0"/>
          <w:cols w:space="720"/>
          <w:docGrid w:linePitch="360"/>
        </w:sectPr>
      </w:pPr>
    </w:p>
    <w:p w14:paraId="415E0240" w14:textId="77777777" w:rsidR="007F24B2" w:rsidRPr="001059D3" w:rsidRDefault="007F24B2" w:rsidP="007F24B2">
      <w:pPr>
        <w:rPr>
          <w:b/>
          <w:bCs/>
          <w:sz w:val="24"/>
          <w:szCs w:val="24"/>
        </w:rPr>
      </w:pPr>
      <w:r>
        <w:rPr>
          <w:b/>
          <w:sz w:val="24"/>
        </w:rPr>
        <w:t>Características da residência</w:t>
      </w:r>
    </w:p>
    <w:p w14:paraId="4E893547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Faz parte de uma comunidade.</w:t>
      </w:r>
    </w:p>
    <w:p w14:paraId="00CDD171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pode participar ativamente da comunidade.</w:t>
      </w:r>
    </w:p>
    <w:p w14:paraId="72E89E0F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pode estar na comunidade quando quiser.</w:t>
      </w:r>
    </w:p>
    <w:p w14:paraId="6104A6A0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pode escolher seus companheiros de quarto.</w:t>
      </w:r>
    </w:p>
    <w:p w14:paraId="0A793333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pode decorar como preferir.</w:t>
      </w:r>
    </w:p>
    <w:p w14:paraId="66ADF4A8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tem proteções legais contra ser despejado.</w:t>
      </w:r>
    </w:p>
    <w:p w14:paraId="3A8FB5A9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Você pode acessar todos os espaços de convivência da residência. </w:t>
      </w:r>
    </w:p>
    <w:p w14:paraId="3638EC10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tem privacidade e pode trancar a porta do seu quarto.</w:t>
      </w:r>
    </w:p>
    <w:p w14:paraId="40C4E938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pode receber visitas quando preferir.</w:t>
      </w:r>
    </w:p>
    <w:p w14:paraId="5D33E727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estabelece seu horário.</w:t>
      </w:r>
    </w:p>
    <w:p w14:paraId="2B37ACE5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pode se alimentar quando preferir.</w:t>
      </w:r>
    </w:p>
    <w:p w14:paraId="11F08BFC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pode gastar seu dinheiro como preferir.</w:t>
      </w:r>
    </w:p>
    <w:p w14:paraId="5436FE44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Você pode interagir com pessoas com ou sem deficiências.</w:t>
      </w:r>
    </w:p>
    <w:p w14:paraId="6D4A8CF3" w14:textId="77777777" w:rsidR="007F24B2" w:rsidRPr="001059D3" w:rsidRDefault="007F24B2" w:rsidP="007F24B2">
      <w:pPr>
        <w:rPr>
          <w:b/>
          <w:bCs/>
          <w:sz w:val="24"/>
          <w:szCs w:val="24"/>
        </w:rPr>
      </w:pPr>
      <w:r>
        <w:rPr>
          <w:b/>
          <w:sz w:val="24"/>
        </w:rPr>
        <w:t>Características de outros locais de serviço</w:t>
      </w:r>
    </w:p>
    <w:p w14:paraId="600E498D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>Fazem parte de uma comunidade.</w:t>
      </w:r>
    </w:p>
    <w:p w14:paraId="1F28890E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>Você pode participar ativamente da comunidade.</w:t>
      </w:r>
    </w:p>
    <w:p w14:paraId="711EA7F6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>Você pode estar na comunidade quando quiser.</w:t>
      </w:r>
    </w:p>
    <w:p w14:paraId="401E8C51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>Você decide se quer trabalhar e onde.</w:t>
      </w:r>
    </w:p>
    <w:p w14:paraId="6EF9D451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>Você participa da decisão sobre horários e programações.</w:t>
      </w:r>
    </w:p>
    <w:p w14:paraId="01531FEA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>Você pode optar por ser voluntário.</w:t>
      </w:r>
    </w:p>
    <w:p w14:paraId="6CFC0A7A" w14:textId="3B150CF0" w:rsid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>Você pode interagir com pessoas com ou sem deficiências.</w:t>
      </w:r>
    </w:p>
    <w:p w14:paraId="0C56AE32" w14:textId="30FB6C1D" w:rsidR="007F24B2" w:rsidRDefault="007F24B2" w:rsidP="00093E90">
      <w:pPr>
        <w:ind w:left="360"/>
        <w:rPr>
          <w:sz w:val="24"/>
          <w:szCs w:val="24"/>
        </w:rPr>
      </w:pPr>
    </w:p>
    <w:p w14:paraId="386F4FF4" w14:textId="77777777" w:rsidR="0013050A" w:rsidRDefault="0013050A" w:rsidP="00093E90">
      <w:pPr>
        <w:ind w:left="360"/>
        <w:rPr>
          <w:sz w:val="24"/>
          <w:szCs w:val="24"/>
        </w:rPr>
      </w:pPr>
    </w:p>
    <w:p w14:paraId="6775E5BD" w14:textId="77777777" w:rsidR="0013050A" w:rsidRDefault="0013050A" w:rsidP="00093E90">
      <w:pPr>
        <w:ind w:left="360"/>
        <w:rPr>
          <w:sz w:val="24"/>
          <w:szCs w:val="24"/>
        </w:rPr>
      </w:pPr>
    </w:p>
    <w:p w14:paraId="087D9E00" w14:textId="56231CD9" w:rsidR="0013050A" w:rsidRDefault="0013050A" w:rsidP="007F24B2">
      <w:pPr>
        <w:rPr>
          <w:sz w:val="24"/>
          <w:szCs w:val="24"/>
        </w:rPr>
      </w:pPr>
    </w:p>
    <w:p w14:paraId="5B366C89" w14:textId="77777777" w:rsidR="007F24B2" w:rsidRDefault="007F24B2" w:rsidP="006F1F81">
      <w:pPr>
        <w:rPr>
          <w:sz w:val="24"/>
          <w:szCs w:val="24"/>
        </w:rPr>
        <w:sectPr w:rsidR="007F24B2" w:rsidSect="007F24B2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</w:p>
    <w:p w14:paraId="21178A2B" w14:textId="77777777" w:rsidR="00F91D34" w:rsidRDefault="00F91D34" w:rsidP="00F91D34">
      <w:pPr>
        <w:spacing w:after="100" w:afterAutospacing="1" w:line="240" w:lineRule="auto"/>
        <w:rPr>
          <w:sz w:val="24"/>
          <w:szCs w:val="24"/>
        </w:rPr>
        <w:sectPr w:rsidR="00F91D34" w:rsidSect="007F24B2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7EB8F581" w14:textId="414EA0C5" w:rsidR="006F1F81" w:rsidRPr="00093E90" w:rsidRDefault="00C97AB9" w:rsidP="001059D3">
      <w:pPr>
        <w:spacing w:after="120" w:line="240" w:lineRule="auto"/>
        <w:rPr>
          <w:sz w:val="24"/>
          <w:szCs w:val="24"/>
        </w:rPr>
      </w:pPr>
      <w:r>
        <w:rPr>
          <w:sz w:val="24"/>
        </w:rPr>
        <w:lastRenderedPageBreak/>
        <w:t xml:space="preserve">Um participante da dispensa </w:t>
      </w:r>
      <w:proofErr w:type="spellStart"/>
      <w:r>
        <w:rPr>
          <w:sz w:val="24"/>
        </w:rPr>
        <w:t>HCBS</w:t>
      </w:r>
      <w:proofErr w:type="spellEnd"/>
      <w:r>
        <w:rPr>
          <w:sz w:val="24"/>
        </w:rPr>
        <w:t xml:space="preserve"> pode enviar uma reclamação para o estado se acreditar que um dos locais não tem tais características.</w:t>
      </w:r>
    </w:p>
    <w:p w14:paraId="700E1F71" w14:textId="1CA65A2D" w:rsidR="00043DAD" w:rsidRPr="00093E90" w:rsidRDefault="00043DAD" w:rsidP="00043DAD">
      <w:pPr>
        <w:spacing w:after="120" w:line="240" w:lineRule="auto"/>
        <w:rPr>
          <w:rFonts w:cstheme="minorHAnsi"/>
          <w:sz w:val="24"/>
          <w:szCs w:val="24"/>
        </w:rPr>
      </w:pPr>
      <w:r>
        <w:rPr>
          <w:sz w:val="24"/>
        </w:rPr>
        <w:t>Para reportar um local que você acredita não estar em conformidade com a Regra Comunitária:</w:t>
      </w:r>
    </w:p>
    <w:p w14:paraId="0148210C" w14:textId="6C479976" w:rsidR="00E855D2" w:rsidRPr="00093E90" w:rsidRDefault="00AB6D2C" w:rsidP="00744A7B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</w:rPr>
        <w:t xml:space="preserve">Acesse o site </w:t>
      </w:r>
      <w:hyperlink r:id="rId12" w:history="1">
        <w:r>
          <w:rPr>
            <w:rStyle w:val="Hyperlink"/>
            <w:sz w:val="24"/>
          </w:rPr>
          <w:t>www.mass.gov/info-details/community-rule-grievance-process</w:t>
        </w:r>
      </w:hyperlink>
      <w:r>
        <w:rPr>
          <w:sz w:val="24"/>
        </w:rPr>
        <w:t xml:space="preserve">, preencha o Formulário para reclamação de regra comunitária e envie-o para o e-mail </w:t>
      </w:r>
      <w:hyperlink r:id="rId13" w:history="1">
        <w:r>
          <w:rPr>
            <w:rStyle w:val="Hyperlink"/>
            <w:sz w:val="24"/>
          </w:rPr>
          <w:t>CommunityRuleGrievance@mass.gov</w:t>
        </w:r>
      </w:hyperlink>
      <w:r>
        <w:rPr>
          <w:sz w:val="24"/>
        </w:rPr>
        <w:t>, ou</w:t>
      </w:r>
    </w:p>
    <w:p w14:paraId="6B0B0D16" w14:textId="3B2F94EF" w:rsidR="00AB4D52" w:rsidRPr="00093E90" w:rsidRDefault="00043DAD" w:rsidP="00043DA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>Ligue para (617) 573-1751</w:t>
      </w:r>
    </w:p>
    <w:p w14:paraId="0945D9B8" w14:textId="57BE2223" w:rsidR="006F1F81" w:rsidRDefault="006F1F81" w:rsidP="006F1F81">
      <w:pPr>
        <w:spacing w:after="100" w:afterAutospacing="1" w:line="240" w:lineRule="auto"/>
        <w:rPr>
          <w:sz w:val="24"/>
          <w:szCs w:val="24"/>
        </w:rPr>
      </w:pPr>
    </w:p>
    <w:sectPr w:rsidR="006F1F81" w:rsidSect="006F1F81">
      <w:footerReference w:type="defaul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3C5B" w14:textId="77777777" w:rsidR="00043DAD" w:rsidRDefault="00043DAD" w:rsidP="00043DAD">
      <w:pPr>
        <w:spacing w:after="0" w:line="240" w:lineRule="auto"/>
      </w:pPr>
      <w:r>
        <w:separator/>
      </w:r>
    </w:p>
  </w:endnote>
  <w:endnote w:type="continuationSeparator" w:id="0">
    <w:p w14:paraId="14C8E448" w14:textId="77777777" w:rsidR="00043DAD" w:rsidRDefault="00043DAD" w:rsidP="0004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389A" w14:textId="2456351D" w:rsidR="00043DAD" w:rsidRPr="001059D3" w:rsidRDefault="00B25A0F">
    <w:pPr>
      <w:pStyle w:val="Footer"/>
      <w:rPr>
        <w:sz w:val="18"/>
        <w:szCs w:val="18"/>
      </w:rPr>
    </w:pPr>
    <w:proofErr w:type="spellStart"/>
    <w:r>
      <w:rPr>
        <w:sz w:val="18"/>
      </w:rPr>
      <w:t>CRGP</w:t>
    </w:r>
    <w:proofErr w:type="spellEnd"/>
    <w:r>
      <w:rPr>
        <w:sz w:val="18"/>
      </w:rPr>
      <w:t>-F-</w:t>
    </w:r>
    <w:r w:rsidR="0010633F">
      <w:rPr>
        <w:sz w:val="18"/>
      </w:rPr>
      <w:t>PT-BR-</w:t>
    </w:r>
    <w:r>
      <w:rPr>
        <w:sz w:val="18"/>
      </w:rPr>
      <w:t>0623</w:t>
    </w:r>
    <w:r>
      <w:rPr>
        <w:sz w:val="18"/>
      </w:rPr>
      <w:tab/>
    </w:r>
    <w:r w:rsidR="008F1B64" w:rsidRPr="008F1B64">
      <w:rPr>
        <w:sz w:val="18"/>
      </w:rPr>
      <w:fldChar w:fldCharType="begin"/>
    </w:r>
    <w:r w:rsidR="008F1B64" w:rsidRPr="008F1B64">
      <w:rPr>
        <w:sz w:val="18"/>
      </w:rPr>
      <w:instrText xml:space="preserve"> PAGE   \* MERGEFORMAT </w:instrText>
    </w:r>
    <w:r w:rsidR="008F1B64" w:rsidRPr="008F1B64">
      <w:rPr>
        <w:sz w:val="18"/>
      </w:rPr>
      <w:fldChar w:fldCharType="separate"/>
    </w:r>
    <w:r w:rsidR="008F1B64" w:rsidRPr="008F1B64">
      <w:rPr>
        <w:sz w:val="18"/>
      </w:rPr>
      <w:t>1</w:t>
    </w:r>
    <w:r w:rsidR="008F1B64" w:rsidRPr="008F1B64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343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ECFB3" w14:textId="293DB5A3" w:rsidR="008F1B64" w:rsidRDefault="008F1B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3B728" w14:textId="441460B5" w:rsidR="00F91D34" w:rsidRPr="001059D3" w:rsidRDefault="00F91D3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A2A5" w14:textId="77777777" w:rsidR="00043DAD" w:rsidRDefault="00043DAD" w:rsidP="00043DAD">
      <w:pPr>
        <w:spacing w:after="0" w:line="240" w:lineRule="auto"/>
      </w:pPr>
      <w:r>
        <w:separator/>
      </w:r>
    </w:p>
  </w:footnote>
  <w:footnote w:type="continuationSeparator" w:id="0">
    <w:p w14:paraId="42C3BE89" w14:textId="77777777" w:rsidR="00043DAD" w:rsidRDefault="00043DAD" w:rsidP="00043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21E0"/>
    <w:multiLevelType w:val="hybridMultilevel"/>
    <w:tmpl w:val="63067ACA"/>
    <w:lvl w:ilvl="0" w:tplc="1F545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52F4"/>
    <w:multiLevelType w:val="hybridMultilevel"/>
    <w:tmpl w:val="B684903E"/>
    <w:lvl w:ilvl="0" w:tplc="80723BE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B1465"/>
    <w:multiLevelType w:val="hybridMultilevel"/>
    <w:tmpl w:val="5900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14271"/>
    <w:multiLevelType w:val="hybridMultilevel"/>
    <w:tmpl w:val="4C1E86CC"/>
    <w:lvl w:ilvl="0" w:tplc="80723B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E5FB3"/>
    <w:multiLevelType w:val="hybridMultilevel"/>
    <w:tmpl w:val="D75C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45CB2"/>
    <w:multiLevelType w:val="hybridMultilevel"/>
    <w:tmpl w:val="3B2C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94746"/>
    <w:multiLevelType w:val="hybridMultilevel"/>
    <w:tmpl w:val="0468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C7696"/>
    <w:multiLevelType w:val="hybridMultilevel"/>
    <w:tmpl w:val="69AA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F349C"/>
    <w:multiLevelType w:val="hybridMultilevel"/>
    <w:tmpl w:val="F5C63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74BE2"/>
    <w:multiLevelType w:val="hybridMultilevel"/>
    <w:tmpl w:val="D80E4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910428">
    <w:abstractNumId w:val="9"/>
  </w:num>
  <w:num w:numId="2" w16cid:durableId="1752963920">
    <w:abstractNumId w:val="1"/>
  </w:num>
  <w:num w:numId="3" w16cid:durableId="1482383048">
    <w:abstractNumId w:val="3"/>
  </w:num>
  <w:num w:numId="4" w16cid:durableId="1936205252">
    <w:abstractNumId w:val="4"/>
  </w:num>
  <w:num w:numId="5" w16cid:durableId="1443301989">
    <w:abstractNumId w:val="0"/>
  </w:num>
  <w:num w:numId="6" w16cid:durableId="560674037">
    <w:abstractNumId w:val="7"/>
  </w:num>
  <w:num w:numId="7" w16cid:durableId="1629815509">
    <w:abstractNumId w:val="5"/>
  </w:num>
  <w:num w:numId="8" w16cid:durableId="51662088">
    <w:abstractNumId w:val="8"/>
  </w:num>
  <w:num w:numId="9" w16cid:durableId="201287974">
    <w:abstractNumId w:val="2"/>
  </w:num>
  <w:num w:numId="10" w16cid:durableId="788548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0B"/>
    <w:rsid w:val="000000E4"/>
    <w:rsid w:val="00034F96"/>
    <w:rsid w:val="00043DAD"/>
    <w:rsid w:val="00093E90"/>
    <w:rsid w:val="000A0F43"/>
    <w:rsid w:val="000B26FE"/>
    <w:rsid w:val="000E5F79"/>
    <w:rsid w:val="000F24E4"/>
    <w:rsid w:val="001059D3"/>
    <w:rsid w:val="0010633F"/>
    <w:rsid w:val="00107184"/>
    <w:rsid w:val="0013050A"/>
    <w:rsid w:val="001859C4"/>
    <w:rsid w:val="001D4E4E"/>
    <w:rsid w:val="001E1AF7"/>
    <w:rsid w:val="001E7F0F"/>
    <w:rsid w:val="00206629"/>
    <w:rsid w:val="00232519"/>
    <w:rsid w:val="00253301"/>
    <w:rsid w:val="002977C0"/>
    <w:rsid w:val="002C1ACD"/>
    <w:rsid w:val="002C668A"/>
    <w:rsid w:val="003172FC"/>
    <w:rsid w:val="003377DE"/>
    <w:rsid w:val="00393091"/>
    <w:rsid w:val="003F2035"/>
    <w:rsid w:val="00464A7D"/>
    <w:rsid w:val="00496A9D"/>
    <w:rsid w:val="004F426E"/>
    <w:rsid w:val="004F5C47"/>
    <w:rsid w:val="004F7BD8"/>
    <w:rsid w:val="00512F81"/>
    <w:rsid w:val="005B05BC"/>
    <w:rsid w:val="005B5DB7"/>
    <w:rsid w:val="005D08EB"/>
    <w:rsid w:val="005D6A6E"/>
    <w:rsid w:val="005F7062"/>
    <w:rsid w:val="006519A8"/>
    <w:rsid w:val="006676EE"/>
    <w:rsid w:val="006B3534"/>
    <w:rsid w:val="006B52E1"/>
    <w:rsid w:val="006D3E35"/>
    <w:rsid w:val="006F1F81"/>
    <w:rsid w:val="006F6BAC"/>
    <w:rsid w:val="007001BA"/>
    <w:rsid w:val="00715203"/>
    <w:rsid w:val="00752243"/>
    <w:rsid w:val="007E1CB6"/>
    <w:rsid w:val="007F24B2"/>
    <w:rsid w:val="007F6355"/>
    <w:rsid w:val="00805F04"/>
    <w:rsid w:val="008428A3"/>
    <w:rsid w:val="008A24CF"/>
    <w:rsid w:val="008E3D86"/>
    <w:rsid w:val="008F1B64"/>
    <w:rsid w:val="0093006A"/>
    <w:rsid w:val="00935412"/>
    <w:rsid w:val="00950A5A"/>
    <w:rsid w:val="00956642"/>
    <w:rsid w:val="00964E0B"/>
    <w:rsid w:val="00970296"/>
    <w:rsid w:val="00971406"/>
    <w:rsid w:val="00991694"/>
    <w:rsid w:val="00A622C9"/>
    <w:rsid w:val="00A83B97"/>
    <w:rsid w:val="00AB4D52"/>
    <w:rsid w:val="00AB6D2C"/>
    <w:rsid w:val="00B24F53"/>
    <w:rsid w:val="00B25A0F"/>
    <w:rsid w:val="00B7520A"/>
    <w:rsid w:val="00B76493"/>
    <w:rsid w:val="00BB18D5"/>
    <w:rsid w:val="00BC6D79"/>
    <w:rsid w:val="00C97AB9"/>
    <w:rsid w:val="00CE73D5"/>
    <w:rsid w:val="00D164E5"/>
    <w:rsid w:val="00D518DE"/>
    <w:rsid w:val="00DE571F"/>
    <w:rsid w:val="00E855D2"/>
    <w:rsid w:val="00E87DDE"/>
    <w:rsid w:val="00EE36A0"/>
    <w:rsid w:val="00F12163"/>
    <w:rsid w:val="00F51DBC"/>
    <w:rsid w:val="00F7022E"/>
    <w:rsid w:val="00F74C6C"/>
    <w:rsid w:val="00F81425"/>
    <w:rsid w:val="00F91D34"/>
    <w:rsid w:val="00FC7757"/>
    <w:rsid w:val="00FC7864"/>
    <w:rsid w:val="02676628"/>
    <w:rsid w:val="093F2299"/>
    <w:rsid w:val="103A751B"/>
    <w:rsid w:val="1438D42A"/>
    <w:rsid w:val="1B300D07"/>
    <w:rsid w:val="1B8A146A"/>
    <w:rsid w:val="1EEC1C0E"/>
    <w:rsid w:val="1F04B2E2"/>
    <w:rsid w:val="24B2A521"/>
    <w:rsid w:val="29618469"/>
    <w:rsid w:val="2F004D89"/>
    <w:rsid w:val="31A728AB"/>
    <w:rsid w:val="33493C44"/>
    <w:rsid w:val="365AD3EC"/>
    <w:rsid w:val="37E41E6E"/>
    <w:rsid w:val="3DB52F4A"/>
    <w:rsid w:val="3E7F6CE6"/>
    <w:rsid w:val="4B563539"/>
    <w:rsid w:val="4CC916F2"/>
    <w:rsid w:val="4E8DD5FB"/>
    <w:rsid w:val="5546D3CB"/>
    <w:rsid w:val="59170D8C"/>
    <w:rsid w:val="5A355A26"/>
    <w:rsid w:val="5F40C0A9"/>
    <w:rsid w:val="60D53BF7"/>
    <w:rsid w:val="64E18F9A"/>
    <w:rsid w:val="6D52A0BE"/>
    <w:rsid w:val="6E02D366"/>
    <w:rsid w:val="6EDB3D0F"/>
    <w:rsid w:val="7FA5C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9EE8FE"/>
  <w15:chartTrackingRefBased/>
  <w15:docId w15:val="{EEDD5890-A13A-416C-B71F-3D141CF0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DAD"/>
    <w:pPr>
      <w:spacing w:after="0" w:line="240" w:lineRule="auto"/>
      <w:jc w:val="center"/>
      <w:outlineLvl w:val="0"/>
    </w:pPr>
    <w:rPr>
      <w:rFonts w:cstheme="minorHAnsi"/>
      <w:b/>
      <w:bCs/>
      <w:color w:val="000000"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D34"/>
    <w:pPr>
      <w:spacing w:before="120" w:after="120" w:line="240" w:lineRule="auto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F8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EE36A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D3E3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C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AD"/>
  </w:style>
  <w:style w:type="paragraph" w:styleId="Footer">
    <w:name w:val="footer"/>
    <w:basedOn w:val="Normal"/>
    <w:link w:val="FooterChar"/>
    <w:uiPriority w:val="99"/>
    <w:unhideWhenUsed/>
    <w:rsid w:val="0004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AD"/>
  </w:style>
  <w:style w:type="character" w:customStyle="1" w:styleId="Heading1Char">
    <w:name w:val="Heading 1 Char"/>
    <w:basedOn w:val="DefaultParagraphFont"/>
    <w:link w:val="Heading1"/>
    <w:uiPriority w:val="9"/>
    <w:rsid w:val="00043DAD"/>
    <w:rPr>
      <w:rFonts w:cstheme="minorHAnsi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D34"/>
    <w:rPr>
      <w:rFonts w:cstheme="minorHAnsi"/>
      <w:b/>
      <w:b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6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unityRuleGrievan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ommunity-rule-grievance-proc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1" ma:contentTypeDescription="Create a new document." ma:contentTypeScope="" ma:versionID="20f0cdfc7215a34880dc944faf44325e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777573387117f62acb91d08ce2308d6e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DF60A-2295-4919-B183-48EF51CC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81269-2BB4-4DF7-9BA8-2D71CD51ABBD}">
  <ds:schemaRefs>
    <ds:schemaRef ds:uri="http://www.w3.org/XML/1998/namespace"/>
    <ds:schemaRef ds:uri="fd2e816c-d1fb-4f26-8b49-df26b1d7fe4a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36c891a-0252-4974-8600-27cecaf0be66"/>
  </ds:schemaRefs>
</ds:datastoreItem>
</file>

<file path=customXml/itemProps3.xml><?xml version="1.0" encoding="utf-8"?>
<ds:datastoreItem xmlns:ds="http://schemas.openxmlformats.org/officeDocument/2006/customXml" ds:itemID="{4CBA1C45-7B49-49C7-9EA4-BBB6C8174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Simonian, Kim M. (EHS)</dc:creator>
  <cp:keywords/>
  <dc:description/>
  <cp:lastModifiedBy>Erika Schulz</cp:lastModifiedBy>
  <cp:revision>3</cp:revision>
  <cp:lastPrinted>2023-06-08T16:48:00Z</cp:lastPrinted>
  <dcterms:created xsi:type="dcterms:W3CDTF">2023-07-28T23:05:00Z</dcterms:created>
  <dcterms:modified xsi:type="dcterms:W3CDTF">2023-07-28T23:05:00Z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