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833E" w14:textId="77777777" w:rsidR="00662AB6" w:rsidRDefault="003B1746" w:rsidP="00662AB6">
      <w:pPr>
        <w:pStyle w:val="Title"/>
      </w:pPr>
      <w:r>
        <w:t xml:space="preserve">Compensating Balance Account </w:t>
      </w:r>
      <w:r w:rsidR="00662AB6">
        <w:t>Report</w:t>
      </w:r>
    </w:p>
    <w:p w14:paraId="6436B2E5" w14:textId="77777777" w:rsidR="003B1746" w:rsidRPr="000007F9" w:rsidRDefault="00F07BB1" w:rsidP="003B1746">
      <w:pPr>
        <w:pStyle w:val="Subtitle"/>
        <w:rPr>
          <w:b/>
        </w:rPr>
      </w:pPr>
      <w:r>
        <w:rPr>
          <w:b/>
        </w:rPr>
        <w:t xml:space="preserve">Pursuant to </w:t>
      </w:r>
      <w:r w:rsidR="003B1746" w:rsidRPr="000007F9">
        <w:rPr>
          <w:b/>
        </w:rPr>
        <w:t>M.G.L. Chapter 44, Section 53F</w:t>
      </w:r>
    </w:p>
    <w:p w14:paraId="2179DF13" w14:textId="77777777" w:rsidR="003B1746" w:rsidRDefault="003B1746" w:rsidP="003B1746">
      <w:pPr>
        <w:pStyle w:val="Subtitle"/>
        <w:jc w:val="left"/>
      </w:pPr>
    </w:p>
    <w:p w14:paraId="5B6F943F" w14:textId="77777777" w:rsidR="003B1746" w:rsidRDefault="003B1746" w:rsidP="003B1746">
      <w:pPr>
        <w:pStyle w:val="Subtitle"/>
        <w:jc w:val="left"/>
      </w:pPr>
      <w:r>
        <w:t>City, Town or District ________________________________________________</w:t>
      </w:r>
    </w:p>
    <w:p w14:paraId="62972581" w14:textId="77777777" w:rsidR="00920FE8" w:rsidRDefault="00920FE8" w:rsidP="003B1746">
      <w:pPr>
        <w:pStyle w:val="Subtitle"/>
        <w:jc w:val="left"/>
      </w:pPr>
    </w:p>
    <w:p w14:paraId="5B869FED" w14:textId="08FAC9BB" w:rsidR="00AC2872" w:rsidRPr="001C748B" w:rsidRDefault="00AC2872" w:rsidP="000D68B3">
      <w:pPr>
        <w:spacing w:after="120"/>
        <w:rPr>
          <w:sz w:val="22"/>
          <w:szCs w:val="22"/>
        </w:rPr>
      </w:pPr>
      <w:r w:rsidRPr="001C748B">
        <w:rPr>
          <w:sz w:val="22"/>
          <w:szCs w:val="22"/>
        </w:rPr>
        <w:t xml:space="preserve">If you had a Compensating Balance Account </w:t>
      </w:r>
      <w:r w:rsidR="003F0E7D" w:rsidRPr="001C748B">
        <w:rPr>
          <w:sz w:val="22"/>
          <w:szCs w:val="22"/>
        </w:rPr>
        <w:t xml:space="preserve">between </w:t>
      </w:r>
      <w:r w:rsidRPr="001C748B">
        <w:rPr>
          <w:sz w:val="22"/>
          <w:szCs w:val="22"/>
        </w:rPr>
        <w:t xml:space="preserve">July 1, </w:t>
      </w:r>
      <w:proofErr w:type="gramStart"/>
      <w:r w:rsidRPr="001C748B">
        <w:rPr>
          <w:sz w:val="22"/>
          <w:szCs w:val="22"/>
        </w:rPr>
        <w:t>20</w:t>
      </w:r>
      <w:r w:rsidR="00622C8F">
        <w:rPr>
          <w:sz w:val="22"/>
          <w:szCs w:val="22"/>
        </w:rPr>
        <w:t>2</w:t>
      </w:r>
      <w:r w:rsidR="00796B57">
        <w:rPr>
          <w:sz w:val="22"/>
          <w:szCs w:val="22"/>
        </w:rPr>
        <w:t>2</w:t>
      </w:r>
      <w:proofErr w:type="gramEnd"/>
      <w:r w:rsidR="007058D9" w:rsidRPr="001C748B">
        <w:rPr>
          <w:sz w:val="22"/>
          <w:szCs w:val="22"/>
        </w:rPr>
        <w:t xml:space="preserve"> </w:t>
      </w:r>
      <w:r w:rsidR="003F0E7D" w:rsidRPr="001C748B">
        <w:rPr>
          <w:sz w:val="22"/>
          <w:szCs w:val="22"/>
        </w:rPr>
        <w:t xml:space="preserve">and </w:t>
      </w:r>
      <w:r w:rsidRPr="001C748B">
        <w:rPr>
          <w:sz w:val="22"/>
          <w:szCs w:val="22"/>
        </w:rPr>
        <w:t>June 30, 20</w:t>
      </w:r>
      <w:r w:rsidR="00C42CA3">
        <w:rPr>
          <w:sz w:val="22"/>
          <w:szCs w:val="22"/>
        </w:rPr>
        <w:t>2</w:t>
      </w:r>
      <w:r w:rsidR="00796B57">
        <w:rPr>
          <w:sz w:val="22"/>
          <w:szCs w:val="22"/>
        </w:rPr>
        <w:t>3</w:t>
      </w:r>
      <w:r w:rsidRPr="001C748B">
        <w:rPr>
          <w:sz w:val="22"/>
          <w:szCs w:val="22"/>
        </w:rPr>
        <w:t xml:space="preserve"> (FY20</w:t>
      </w:r>
      <w:r w:rsidR="00C42CA3">
        <w:rPr>
          <w:sz w:val="22"/>
          <w:szCs w:val="22"/>
        </w:rPr>
        <w:t>2</w:t>
      </w:r>
      <w:r w:rsidR="00796B57">
        <w:rPr>
          <w:sz w:val="22"/>
          <w:szCs w:val="22"/>
        </w:rPr>
        <w:t>3</w:t>
      </w:r>
      <w:r w:rsidRPr="001C748B">
        <w:rPr>
          <w:sz w:val="22"/>
          <w:szCs w:val="22"/>
        </w:rPr>
        <w:t>), p</w:t>
      </w:r>
      <w:r w:rsidR="003B1746" w:rsidRPr="001C748B">
        <w:rPr>
          <w:sz w:val="22"/>
          <w:szCs w:val="22"/>
        </w:rPr>
        <w:t>lease complete this report</w:t>
      </w:r>
      <w:r w:rsidRPr="001C748B">
        <w:rPr>
          <w:sz w:val="22"/>
          <w:szCs w:val="22"/>
        </w:rPr>
        <w:t xml:space="preserve"> </w:t>
      </w:r>
      <w:r w:rsidR="003B1746" w:rsidRPr="001C748B">
        <w:rPr>
          <w:sz w:val="22"/>
          <w:szCs w:val="22"/>
        </w:rPr>
        <w:t>and</w:t>
      </w:r>
      <w:r w:rsidRPr="001C748B">
        <w:rPr>
          <w:sz w:val="22"/>
          <w:szCs w:val="22"/>
        </w:rPr>
        <w:t xml:space="preserve"> provide it</w:t>
      </w:r>
      <w:r w:rsidR="003B1746" w:rsidRPr="001C748B">
        <w:rPr>
          <w:sz w:val="22"/>
          <w:szCs w:val="22"/>
        </w:rPr>
        <w:t xml:space="preserve"> to the Office of the Inspector General (OIG) </w:t>
      </w:r>
      <w:r w:rsidRPr="001C748B">
        <w:rPr>
          <w:sz w:val="22"/>
          <w:szCs w:val="22"/>
        </w:rPr>
        <w:t xml:space="preserve">by </w:t>
      </w:r>
      <w:r w:rsidR="003F0E7D" w:rsidRPr="001C748B">
        <w:rPr>
          <w:sz w:val="22"/>
          <w:szCs w:val="22"/>
        </w:rPr>
        <w:t>October 31</w:t>
      </w:r>
      <w:r w:rsidRPr="001C748B">
        <w:rPr>
          <w:sz w:val="22"/>
          <w:szCs w:val="22"/>
        </w:rPr>
        <w:t>, 20</w:t>
      </w:r>
      <w:r w:rsidR="00C42CA3">
        <w:rPr>
          <w:sz w:val="22"/>
          <w:szCs w:val="22"/>
        </w:rPr>
        <w:t>2</w:t>
      </w:r>
      <w:r w:rsidR="00796B57">
        <w:rPr>
          <w:sz w:val="22"/>
          <w:szCs w:val="22"/>
        </w:rPr>
        <w:t>3</w:t>
      </w:r>
      <w:r w:rsidRPr="001C748B">
        <w:rPr>
          <w:sz w:val="22"/>
          <w:szCs w:val="22"/>
        </w:rPr>
        <w:t>.  Complete one report for each Compensating Balance Account.</w:t>
      </w:r>
      <w:r w:rsidR="000B6027">
        <w:rPr>
          <w:sz w:val="22"/>
          <w:szCs w:val="22"/>
        </w:rPr>
        <w:t xml:space="preserve"> You </w:t>
      </w:r>
      <w:r w:rsidR="000B6027" w:rsidRPr="000B6027">
        <w:rPr>
          <w:sz w:val="22"/>
          <w:szCs w:val="22"/>
        </w:rPr>
        <w:t xml:space="preserve">may sign the document with a </w:t>
      </w:r>
      <w:r w:rsidR="000B6027" w:rsidRPr="000B6027">
        <w:rPr>
          <w:b/>
          <w:bCs/>
          <w:sz w:val="22"/>
          <w:szCs w:val="22"/>
        </w:rPr>
        <w:t>/s/</w:t>
      </w:r>
      <w:r w:rsidR="000B6027" w:rsidRPr="000B6027">
        <w:rPr>
          <w:sz w:val="22"/>
          <w:szCs w:val="22"/>
        </w:rPr>
        <w:t xml:space="preserve"> and </w:t>
      </w:r>
      <w:r w:rsidR="000B6027">
        <w:rPr>
          <w:sz w:val="22"/>
          <w:szCs w:val="22"/>
        </w:rPr>
        <w:t xml:space="preserve">a </w:t>
      </w:r>
      <w:r w:rsidR="000B6027" w:rsidRPr="000B6027">
        <w:rPr>
          <w:sz w:val="22"/>
          <w:szCs w:val="22"/>
        </w:rPr>
        <w:t>typed name on the signature line.</w:t>
      </w:r>
    </w:p>
    <w:p w14:paraId="56B22DAC" w14:textId="77777777" w:rsidR="009762AB" w:rsidRPr="001C748B" w:rsidRDefault="009762AB" w:rsidP="009762AB">
      <w:pPr>
        <w:jc w:val="both"/>
        <w:rPr>
          <w:sz w:val="22"/>
          <w:szCs w:val="22"/>
        </w:rPr>
      </w:pPr>
      <w:r w:rsidRPr="001C748B">
        <w:rPr>
          <w:sz w:val="22"/>
          <w:szCs w:val="22"/>
        </w:rPr>
        <w:t xml:space="preserve">NOTE: Cities, towns and districts must follow M.G.L. c. 30B, </w:t>
      </w:r>
      <w:r w:rsidRPr="001C748B">
        <w:rPr>
          <w:i/>
          <w:iCs/>
          <w:sz w:val="22"/>
          <w:szCs w:val="22"/>
        </w:rPr>
        <w:t>The Uniform Procurement Act</w:t>
      </w:r>
      <w:r w:rsidRPr="001C748B">
        <w:rPr>
          <w:sz w:val="22"/>
          <w:szCs w:val="22"/>
        </w:rPr>
        <w:t xml:space="preserve">, to enter into a compensating balance agreement with a bank (or to obtain other banking services).  </w:t>
      </w:r>
      <w:r w:rsidRPr="001C748B">
        <w:rPr>
          <w:i/>
          <w:iCs/>
          <w:sz w:val="22"/>
          <w:szCs w:val="22"/>
        </w:rPr>
        <w:t xml:space="preserve">See </w:t>
      </w:r>
      <w:r w:rsidR="00F13C28" w:rsidRPr="001C748B">
        <w:rPr>
          <w:sz w:val="22"/>
          <w:szCs w:val="22"/>
        </w:rPr>
        <w:t>M.G.L. c. 44,</w:t>
      </w:r>
      <w:r w:rsidRPr="001C748B">
        <w:rPr>
          <w:sz w:val="22"/>
          <w:szCs w:val="22"/>
        </w:rPr>
        <w:t xml:space="preserve"> </w:t>
      </w:r>
      <w:r w:rsidR="00F13C28" w:rsidRPr="001C748B">
        <w:rPr>
          <w:sz w:val="22"/>
          <w:szCs w:val="22"/>
        </w:rPr>
        <w:t xml:space="preserve">§ </w:t>
      </w:r>
      <w:r w:rsidRPr="001C748B">
        <w:rPr>
          <w:sz w:val="22"/>
          <w:szCs w:val="22"/>
        </w:rPr>
        <w:t>53F.</w:t>
      </w:r>
    </w:p>
    <w:p w14:paraId="0C8F12E1" w14:textId="77777777" w:rsidR="003B1746" w:rsidRDefault="003B1746">
      <w:r>
        <w:rPr>
          <w:noProof/>
        </w:rPr>
        <mc:AlternateContent>
          <mc:Choice Requires="wps">
            <w:drawing>
              <wp:anchor distT="0" distB="0" distL="114300" distR="114300" simplePos="0" relativeHeight="251659264" behindDoc="0" locked="0" layoutInCell="1" allowOverlap="1" wp14:anchorId="17462B34" wp14:editId="79F41C77">
                <wp:simplePos x="0" y="0"/>
                <wp:positionH relativeFrom="column">
                  <wp:posOffset>11927</wp:posOffset>
                </wp:positionH>
                <wp:positionV relativeFrom="paragraph">
                  <wp:posOffset>118855</wp:posOffset>
                </wp:positionV>
                <wp:extent cx="6854024" cy="0"/>
                <wp:effectExtent l="0" t="19050" r="4445" b="19050"/>
                <wp:wrapNone/>
                <wp:docPr id="1" name="Straight Connector 1"/>
                <wp:cNvGraphicFramePr/>
                <a:graphic xmlns:a="http://schemas.openxmlformats.org/drawingml/2006/main">
                  <a:graphicData uri="http://schemas.microsoft.com/office/word/2010/wordprocessingShape">
                    <wps:wsp>
                      <wps:cNvCnPr/>
                      <wps:spPr>
                        <a:xfrm>
                          <a:off x="0" y="0"/>
                          <a:ext cx="6854024" cy="0"/>
                        </a:xfrm>
                        <a:prstGeom prst="line">
                          <a:avLst/>
                        </a:prstGeom>
                        <a:ln w="349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0A3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35pt" to="540.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" strokecolor="#0070c0" strokeweight="2.75pt"/>
            </w:pict>
          </mc:Fallback>
        </mc:AlternateContent>
      </w:r>
    </w:p>
    <w:p w14:paraId="67D3EAB9" w14:textId="1DA364EB" w:rsidR="002C4B07" w:rsidRPr="00E1521D" w:rsidRDefault="002C4B07" w:rsidP="000755C3">
      <w:pPr>
        <w:spacing w:before="120"/>
        <w:rPr>
          <w:rFonts w:eastAsia="Times New Roman"/>
          <w:sz w:val="22"/>
          <w:szCs w:val="22"/>
        </w:rPr>
      </w:pPr>
      <w:r>
        <w:rPr>
          <w:sz w:val="22"/>
        </w:rPr>
        <w:t xml:space="preserve">Bank Name  </w:t>
      </w:r>
      <w:r w:rsidR="00E10A2F">
        <w:rPr>
          <w:sz w:val="22"/>
        </w:rPr>
        <w:t xml:space="preserve">    </w:t>
      </w:r>
      <w:r w:rsidRPr="00E1521D">
        <w:rPr>
          <w:rFonts w:eastAsia="Times New Roman"/>
          <w:sz w:val="22"/>
          <w:szCs w:val="22"/>
        </w:rPr>
        <w:t>______________________________________________________</w:t>
      </w:r>
      <w:r w:rsidR="00E1521D">
        <w:rPr>
          <w:rFonts w:eastAsia="Times New Roman"/>
          <w:sz w:val="22"/>
          <w:szCs w:val="22"/>
          <w:u w:val="single"/>
        </w:rPr>
        <w:t xml:space="preserve">            </w:t>
      </w:r>
      <w:r w:rsidRPr="00E1521D">
        <w:rPr>
          <w:rFonts w:eastAsia="Times New Roman"/>
          <w:sz w:val="22"/>
          <w:szCs w:val="22"/>
        </w:rPr>
        <w:t>_</w:t>
      </w:r>
    </w:p>
    <w:p w14:paraId="47E0A2C2" w14:textId="77777777" w:rsidR="00F13C28" w:rsidRDefault="00F13C28" w:rsidP="000755C3">
      <w:pPr>
        <w:rPr>
          <w:sz w:val="22"/>
        </w:rPr>
      </w:pPr>
    </w:p>
    <w:p w14:paraId="0FD0C75E" w14:textId="77777777" w:rsidR="002C4B07" w:rsidRDefault="002C4B07" w:rsidP="000755C3">
      <w:pPr>
        <w:rPr>
          <w:sz w:val="22"/>
        </w:rPr>
      </w:pPr>
      <w:r>
        <w:rPr>
          <w:sz w:val="22"/>
        </w:rPr>
        <w:t xml:space="preserve">Account </w:t>
      </w:r>
      <w:r w:rsidR="003F0E7D">
        <w:rPr>
          <w:sz w:val="22"/>
        </w:rPr>
        <w:t xml:space="preserve">No.    </w:t>
      </w:r>
      <w:r>
        <w:t>_________________________________________________________</w:t>
      </w:r>
    </w:p>
    <w:p w14:paraId="577D2149" w14:textId="77777777" w:rsidR="00F13C28" w:rsidRDefault="00F13C28" w:rsidP="002C4B07">
      <w:pPr>
        <w:pStyle w:val="Subtitle"/>
        <w:ind w:left="1440" w:hanging="1440"/>
        <w:jc w:val="left"/>
        <w:rPr>
          <w:sz w:val="22"/>
          <w:u w:val="single"/>
        </w:rPr>
      </w:pPr>
    </w:p>
    <w:p w14:paraId="7672D9F0" w14:textId="77777777" w:rsidR="003B1746" w:rsidRDefault="002C4B07" w:rsidP="00495749">
      <w:pPr>
        <w:pStyle w:val="Heading2"/>
        <w:spacing w:before="0"/>
        <w:rPr>
          <w:sz w:val="22"/>
        </w:rPr>
      </w:pPr>
      <w:r w:rsidRPr="00495749">
        <w:rPr>
          <w:rFonts w:ascii="Times New Roman" w:hAnsi="Times New Roman"/>
          <w:color w:val="000000" w:themeColor="text1"/>
          <w:sz w:val="24"/>
          <w:u w:val="single"/>
        </w:rPr>
        <w:t>Definitions:</w:t>
      </w:r>
      <w:r>
        <w:rPr>
          <w:sz w:val="22"/>
        </w:rPr>
        <w:t xml:space="preserve"> </w:t>
      </w:r>
      <w:r>
        <w:rPr>
          <w:sz w:val="22"/>
        </w:rPr>
        <w:tab/>
      </w:r>
    </w:p>
    <w:p w14:paraId="2F1FC606" w14:textId="77777777" w:rsidR="003B1746" w:rsidRDefault="003B1746">
      <w:pPr>
        <w:rPr>
          <w:sz w:val="22"/>
        </w:rPr>
      </w:pPr>
    </w:p>
    <w:p w14:paraId="70FC9524" w14:textId="77777777" w:rsidR="003B1746" w:rsidRDefault="003B1746" w:rsidP="00E10A2F">
      <w:pPr>
        <w:spacing w:after="180"/>
        <w:ind w:left="360"/>
        <w:jc w:val="both"/>
        <w:rPr>
          <w:sz w:val="22"/>
        </w:rPr>
      </w:pPr>
      <w:r w:rsidRPr="002C4B07">
        <w:rPr>
          <w:sz w:val="22"/>
        </w:rPr>
        <w:t xml:space="preserve">Excess or (Deficit) </w:t>
      </w:r>
      <w:r w:rsidRPr="002C4B07">
        <w:rPr>
          <w:b/>
          <w:sz w:val="22"/>
        </w:rPr>
        <w:t xml:space="preserve">Earnings Credits </w:t>
      </w:r>
      <w:r w:rsidRPr="002C4B07">
        <w:rPr>
          <w:sz w:val="22"/>
        </w:rPr>
        <w:t xml:space="preserve">are the earnings on a </w:t>
      </w:r>
      <w:r w:rsidR="003F0E7D">
        <w:rPr>
          <w:sz w:val="22"/>
        </w:rPr>
        <w:t>C</w:t>
      </w:r>
      <w:r w:rsidRPr="002C4B07">
        <w:rPr>
          <w:sz w:val="22"/>
        </w:rPr>
        <w:t>ompensating</w:t>
      </w:r>
      <w:r w:rsidRPr="002C4B07">
        <w:rPr>
          <w:b/>
          <w:sz w:val="22"/>
        </w:rPr>
        <w:t xml:space="preserve"> </w:t>
      </w:r>
      <w:r w:rsidR="003F0E7D">
        <w:rPr>
          <w:sz w:val="22"/>
        </w:rPr>
        <w:t>B</w:t>
      </w:r>
      <w:r w:rsidRPr="002C4B07">
        <w:rPr>
          <w:sz w:val="22"/>
        </w:rPr>
        <w:t>alance</w:t>
      </w:r>
      <w:r w:rsidRPr="002C4B07">
        <w:rPr>
          <w:b/>
          <w:sz w:val="22"/>
        </w:rPr>
        <w:t xml:space="preserve"> </w:t>
      </w:r>
      <w:r w:rsidR="003F0E7D">
        <w:rPr>
          <w:sz w:val="22"/>
        </w:rPr>
        <w:t>A</w:t>
      </w:r>
      <w:r w:rsidRPr="002C4B07">
        <w:rPr>
          <w:sz w:val="22"/>
        </w:rPr>
        <w:t>ccount that may be used to pay for account service charges. These excess or deficit credits are usually reported on the customer analysis report from your bank.</w:t>
      </w:r>
    </w:p>
    <w:p w14:paraId="24F2726D" w14:textId="77777777" w:rsidR="003B1746" w:rsidRDefault="003B1746" w:rsidP="00E10A2F">
      <w:pPr>
        <w:spacing w:after="180"/>
        <w:ind w:left="360"/>
        <w:jc w:val="both"/>
        <w:rPr>
          <w:sz w:val="22"/>
        </w:rPr>
      </w:pPr>
      <w:r w:rsidRPr="002C4B07">
        <w:rPr>
          <w:sz w:val="22"/>
        </w:rPr>
        <w:t xml:space="preserve">Excess or (Deficit) </w:t>
      </w:r>
      <w:r w:rsidRPr="002C4B07">
        <w:rPr>
          <w:b/>
          <w:sz w:val="22"/>
        </w:rPr>
        <w:t>Balance</w:t>
      </w:r>
      <w:r w:rsidRPr="002C4B07">
        <w:rPr>
          <w:sz w:val="22"/>
        </w:rPr>
        <w:t xml:space="preserve"> is the average collected balance maintained on deposit either above or below the balance</w:t>
      </w:r>
      <w:r w:rsidR="00696D3B">
        <w:rPr>
          <w:sz w:val="22"/>
        </w:rPr>
        <w:t xml:space="preserve"> </w:t>
      </w:r>
      <w:r w:rsidRPr="002C4B07">
        <w:rPr>
          <w:sz w:val="22"/>
        </w:rPr>
        <w:t>required to generate enough earnings credits to pay for account service charges. You may have to compute this balance according to the instruction below.</w:t>
      </w:r>
    </w:p>
    <w:p w14:paraId="041C8C41" w14:textId="77777777" w:rsidR="002C4B07" w:rsidRPr="00495749" w:rsidRDefault="002C4B07" w:rsidP="00495749">
      <w:pPr>
        <w:pStyle w:val="Heading2"/>
        <w:spacing w:before="0"/>
        <w:rPr>
          <w:rFonts w:ascii="Times New Roman" w:hAnsi="Times New Roman"/>
          <w:color w:val="000000" w:themeColor="text1"/>
          <w:sz w:val="24"/>
          <w:u w:val="single"/>
        </w:rPr>
      </w:pPr>
      <w:r w:rsidRPr="00495749">
        <w:rPr>
          <w:rFonts w:ascii="Times New Roman" w:hAnsi="Times New Roman"/>
          <w:color w:val="000000" w:themeColor="text1"/>
          <w:sz w:val="24"/>
          <w:u w:val="single"/>
        </w:rPr>
        <w:t>Instructions:</w:t>
      </w:r>
    </w:p>
    <w:p w14:paraId="563D461F" w14:textId="77777777" w:rsidR="002C4B07" w:rsidRDefault="002C4B07" w:rsidP="002C4B07">
      <w:pPr>
        <w:pStyle w:val="Subtitle"/>
        <w:tabs>
          <w:tab w:val="left" w:pos="360"/>
          <w:tab w:val="left" w:pos="450"/>
        </w:tabs>
        <w:jc w:val="left"/>
        <w:rPr>
          <w:sz w:val="22"/>
        </w:rPr>
      </w:pPr>
    </w:p>
    <w:p w14:paraId="07B7E90F" w14:textId="6145D7A0" w:rsidR="002C4B07" w:rsidRPr="00D60C11" w:rsidRDefault="002C4B07" w:rsidP="00D60C11">
      <w:pPr>
        <w:pStyle w:val="ListParagraph"/>
        <w:numPr>
          <w:ilvl w:val="0"/>
          <w:numId w:val="4"/>
        </w:numPr>
        <w:spacing w:after="120"/>
        <w:contextualSpacing w:val="0"/>
        <w:jc w:val="both"/>
        <w:rPr>
          <w:sz w:val="22"/>
          <w:szCs w:val="22"/>
        </w:rPr>
      </w:pPr>
      <w:r w:rsidRPr="00D60C11">
        <w:rPr>
          <w:sz w:val="22"/>
          <w:szCs w:val="22"/>
        </w:rPr>
        <w:t xml:space="preserve">Obtain the monthly excess or deficit earnings credit figures from the customer analysis report from your bank. Add all the credits from July </w:t>
      </w:r>
      <w:r w:rsidR="0070505C" w:rsidRPr="00D60C11">
        <w:rPr>
          <w:sz w:val="22"/>
          <w:szCs w:val="22"/>
        </w:rPr>
        <w:t xml:space="preserve">1, </w:t>
      </w:r>
      <w:proofErr w:type="gramStart"/>
      <w:r w:rsidRPr="00D60C11">
        <w:rPr>
          <w:sz w:val="22"/>
          <w:szCs w:val="22"/>
        </w:rPr>
        <w:t>20</w:t>
      </w:r>
      <w:r w:rsidR="00622C8F">
        <w:rPr>
          <w:sz w:val="22"/>
          <w:szCs w:val="22"/>
        </w:rPr>
        <w:t>2</w:t>
      </w:r>
      <w:r w:rsidR="00796B57">
        <w:rPr>
          <w:sz w:val="22"/>
          <w:szCs w:val="22"/>
        </w:rPr>
        <w:t>2</w:t>
      </w:r>
      <w:proofErr w:type="gramEnd"/>
      <w:r w:rsidRPr="00D60C11">
        <w:rPr>
          <w:sz w:val="22"/>
          <w:szCs w:val="22"/>
        </w:rPr>
        <w:t xml:space="preserve"> to June </w:t>
      </w:r>
      <w:r w:rsidR="0070505C" w:rsidRPr="00D60C11">
        <w:rPr>
          <w:sz w:val="22"/>
          <w:szCs w:val="22"/>
        </w:rPr>
        <w:t xml:space="preserve">30, </w:t>
      </w:r>
      <w:r w:rsidRPr="00D60C11">
        <w:rPr>
          <w:sz w:val="22"/>
          <w:szCs w:val="22"/>
        </w:rPr>
        <w:t>20</w:t>
      </w:r>
      <w:r w:rsidR="00DC38CB">
        <w:rPr>
          <w:sz w:val="22"/>
          <w:szCs w:val="22"/>
        </w:rPr>
        <w:t>2</w:t>
      </w:r>
      <w:r w:rsidR="00796B57">
        <w:rPr>
          <w:sz w:val="22"/>
          <w:szCs w:val="22"/>
        </w:rPr>
        <w:t>3</w:t>
      </w:r>
      <w:r w:rsidRPr="00D60C11">
        <w:rPr>
          <w:sz w:val="22"/>
          <w:szCs w:val="22"/>
        </w:rPr>
        <w:t xml:space="preserve">, and enter the sum in the appropriate space below. Be sure to separate any amounts accumulated from previous </w:t>
      </w:r>
      <w:r w:rsidR="00796B57" w:rsidRPr="00D60C11">
        <w:rPr>
          <w:sz w:val="22"/>
          <w:szCs w:val="22"/>
        </w:rPr>
        <w:t>years and</w:t>
      </w:r>
      <w:r w:rsidRPr="00D60C11">
        <w:rPr>
          <w:sz w:val="22"/>
          <w:szCs w:val="22"/>
        </w:rPr>
        <w:t xml:space="preserve"> determine if the figures are monthly or cumulative for the year.</w:t>
      </w:r>
    </w:p>
    <w:p w14:paraId="3574971A" w14:textId="6AE55E89" w:rsidR="002C4B07" w:rsidRPr="00D60C11" w:rsidRDefault="002C4B07" w:rsidP="00D60C11">
      <w:pPr>
        <w:pStyle w:val="ListParagraph"/>
        <w:numPr>
          <w:ilvl w:val="0"/>
          <w:numId w:val="4"/>
        </w:numPr>
        <w:spacing w:after="120"/>
        <w:contextualSpacing w:val="0"/>
        <w:jc w:val="both"/>
        <w:rPr>
          <w:sz w:val="22"/>
          <w:szCs w:val="22"/>
        </w:rPr>
      </w:pPr>
      <w:r w:rsidRPr="00D60C11">
        <w:rPr>
          <w:sz w:val="22"/>
          <w:szCs w:val="22"/>
        </w:rPr>
        <w:t xml:space="preserve">Compute each month’s excess or deficit balance by taking the bank’s average daily ledger balance and subtracting both any identified deposit float (due to check clearing time) and the balance that would be required to generate enough earnings credits to compensate for banking service charges.  Add all the resulting balances from July </w:t>
      </w:r>
      <w:r w:rsidR="0070505C" w:rsidRPr="00D60C11">
        <w:rPr>
          <w:sz w:val="22"/>
          <w:szCs w:val="22"/>
        </w:rPr>
        <w:t xml:space="preserve">1, </w:t>
      </w:r>
      <w:proofErr w:type="gramStart"/>
      <w:r w:rsidRPr="00D60C11">
        <w:rPr>
          <w:sz w:val="22"/>
          <w:szCs w:val="22"/>
        </w:rPr>
        <w:t>20</w:t>
      </w:r>
      <w:r w:rsidR="00622C8F">
        <w:rPr>
          <w:sz w:val="22"/>
          <w:szCs w:val="22"/>
        </w:rPr>
        <w:t>2</w:t>
      </w:r>
      <w:r w:rsidR="00796B57">
        <w:rPr>
          <w:sz w:val="22"/>
          <w:szCs w:val="22"/>
        </w:rPr>
        <w:t>2</w:t>
      </w:r>
      <w:proofErr w:type="gramEnd"/>
      <w:r w:rsidR="00BF4ED6">
        <w:rPr>
          <w:sz w:val="22"/>
          <w:szCs w:val="22"/>
        </w:rPr>
        <w:t xml:space="preserve"> </w:t>
      </w:r>
      <w:r w:rsidRPr="00D60C11">
        <w:rPr>
          <w:sz w:val="22"/>
          <w:szCs w:val="22"/>
        </w:rPr>
        <w:t xml:space="preserve">to June </w:t>
      </w:r>
      <w:r w:rsidR="0070505C" w:rsidRPr="00D60C11">
        <w:rPr>
          <w:sz w:val="22"/>
          <w:szCs w:val="22"/>
        </w:rPr>
        <w:t xml:space="preserve">30, </w:t>
      </w:r>
      <w:r w:rsidR="0070318D">
        <w:rPr>
          <w:sz w:val="22"/>
          <w:szCs w:val="22"/>
        </w:rPr>
        <w:t>20</w:t>
      </w:r>
      <w:r w:rsidR="00DC38CB">
        <w:rPr>
          <w:sz w:val="22"/>
          <w:szCs w:val="22"/>
        </w:rPr>
        <w:t>2</w:t>
      </w:r>
      <w:r w:rsidR="00796B57">
        <w:rPr>
          <w:sz w:val="22"/>
          <w:szCs w:val="22"/>
        </w:rPr>
        <w:t>3</w:t>
      </w:r>
      <w:r w:rsidRPr="00D60C11">
        <w:rPr>
          <w:sz w:val="22"/>
          <w:szCs w:val="22"/>
        </w:rPr>
        <w:t xml:space="preserve">, divide by the number of months involved, and enter the average in the appropriate space below. </w:t>
      </w:r>
    </w:p>
    <w:p w14:paraId="54D59231" w14:textId="77777777" w:rsidR="002C4B07" w:rsidRPr="00D60C11" w:rsidRDefault="002C4B07" w:rsidP="00D60C11">
      <w:pPr>
        <w:pStyle w:val="ListParagraph"/>
        <w:numPr>
          <w:ilvl w:val="0"/>
          <w:numId w:val="4"/>
        </w:numPr>
        <w:spacing w:after="120"/>
        <w:contextualSpacing w:val="0"/>
        <w:jc w:val="both"/>
        <w:rPr>
          <w:sz w:val="22"/>
          <w:szCs w:val="22"/>
        </w:rPr>
      </w:pPr>
      <w:r w:rsidRPr="00D60C11">
        <w:rPr>
          <w:sz w:val="22"/>
          <w:szCs w:val="22"/>
        </w:rPr>
        <w:t xml:space="preserve">Contact your bank if you cannot find </w:t>
      </w:r>
      <w:r w:rsidR="0070505C" w:rsidRPr="00D60C11">
        <w:rPr>
          <w:sz w:val="22"/>
          <w:szCs w:val="22"/>
        </w:rPr>
        <w:t xml:space="preserve">any of </w:t>
      </w:r>
      <w:r w:rsidRPr="00D60C11">
        <w:rPr>
          <w:sz w:val="22"/>
          <w:szCs w:val="22"/>
        </w:rPr>
        <w:t xml:space="preserve">the figures mentioned above on your customer analysis report. </w:t>
      </w:r>
    </w:p>
    <w:p w14:paraId="20564229" w14:textId="7C2C39A3" w:rsidR="002C4B07" w:rsidRPr="00D60C11" w:rsidRDefault="002C4B07" w:rsidP="00D60C11">
      <w:pPr>
        <w:pStyle w:val="ListParagraph"/>
        <w:numPr>
          <w:ilvl w:val="0"/>
          <w:numId w:val="4"/>
        </w:numPr>
        <w:spacing w:after="120"/>
        <w:contextualSpacing w:val="0"/>
        <w:jc w:val="both"/>
        <w:rPr>
          <w:sz w:val="22"/>
          <w:szCs w:val="22"/>
        </w:rPr>
      </w:pPr>
      <w:r w:rsidRPr="00D60C11">
        <w:rPr>
          <w:sz w:val="22"/>
          <w:szCs w:val="22"/>
        </w:rPr>
        <w:t xml:space="preserve">Contact </w:t>
      </w:r>
      <w:r w:rsidR="00BF4ED6">
        <w:rPr>
          <w:sz w:val="22"/>
          <w:szCs w:val="22"/>
        </w:rPr>
        <w:t>Kerri-Anne Hollingshead</w:t>
      </w:r>
      <w:r w:rsidRPr="00D60C11">
        <w:rPr>
          <w:sz w:val="22"/>
          <w:szCs w:val="22"/>
        </w:rPr>
        <w:t xml:space="preserve"> at (617) 722-88</w:t>
      </w:r>
      <w:r w:rsidR="00B16799">
        <w:rPr>
          <w:sz w:val="22"/>
          <w:szCs w:val="22"/>
        </w:rPr>
        <w:t>71</w:t>
      </w:r>
      <w:r w:rsidRPr="00D60C11">
        <w:rPr>
          <w:sz w:val="22"/>
          <w:szCs w:val="22"/>
        </w:rPr>
        <w:t xml:space="preserve"> if you have questions about completing this </w:t>
      </w:r>
      <w:r w:rsidR="00FD2774" w:rsidRPr="00D60C11">
        <w:rPr>
          <w:sz w:val="22"/>
          <w:szCs w:val="22"/>
        </w:rPr>
        <w:t>report</w:t>
      </w:r>
      <w:r w:rsidRPr="00D60C11">
        <w:rPr>
          <w:sz w:val="22"/>
          <w:szCs w:val="22"/>
        </w:rPr>
        <w:t>.</w:t>
      </w:r>
    </w:p>
    <w:p w14:paraId="2834E900" w14:textId="77777777" w:rsidR="002C4B07" w:rsidRDefault="002C4B07" w:rsidP="002C4B07">
      <w:pPr>
        <w:pStyle w:val="Subtitle"/>
        <w:tabs>
          <w:tab w:val="left" w:pos="7920"/>
        </w:tabs>
        <w:ind w:firstLine="360"/>
        <w:jc w:val="left"/>
        <w:rPr>
          <w:sz w:val="22"/>
        </w:rPr>
      </w:pPr>
    </w:p>
    <w:p w14:paraId="10DB7121" w14:textId="28716C33" w:rsidR="002C4B07" w:rsidRPr="00F129E9" w:rsidRDefault="002C4B07" w:rsidP="00E10A2F">
      <w:pPr>
        <w:pStyle w:val="Subtitle"/>
        <w:tabs>
          <w:tab w:val="left" w:pos="7920"/>
          <w:tab w:val="right" w:pos="10800"/>
        </w:tabs>
        <w:jc w:val="left"/>
        <w:rPr>
          <w:sz w:val="22"/>
          <w:szCs w:val="22"/>
        </w:rPr>
      </w:pPr>
      <w:r>
        <w:rPr>
          <w:b/>
          <w:sz w:val="22"/>
        </w:rPr>
        <w:t xml:space="preserve">Total Excess or (Deficit) Earnings </w:t>
      </w:r>
      <w:r w:rsidRPr="00F129E9">
        <w:rPr>
          <w:b/>
          <w:szCs w:val="24"/>
        </w:rPr>
        <w:t>Credits</w:t>
      </w:r>
      <w:r w:rsidR="00F129E9">
        <w:rPr>
          <w:b/>
          <w:szCs w:val="24"/>
        </w:rPr>
        <w:t xml:space="preserve"> </w:t>
      </w:r>
      <w:r w:rsidR="009762AB">
        <w:rPr>
          <w:b/>
          <w:szCs w:val="24"/>
        </w:rPr>
        <w:t>for FY</w:t>
      </w:r>
      <w:r w:rsidR="00404FE0">
        <w:rPr>
          <w:b/>
          <w:szCs w:val="24"/>
        </w:rPr>
        <w:t>20</w:t>
      </w:r>
      <w:r w:rsidR="00DC38CB">
        <w:rPr>
          <w:b/>
          <w:szCs w:val="24"/>
        </w:rPr>
        <w:t>2</w:t>
      </w:r>
      <w:r w:rsidR="00796B57">
        <w:rPr>
          <w:b/>
          <w:szCs w:val="24"/>
        </w:rPr>
        <w:t>3</w:t>
      </w:r>
      <w:r w:rsidR="00404FE0">
        <w:rPr>
          <w:b/>
          <w:szCs w:val="24"/>
        </w:rPr>
        <w:t xml:space="preserve"> (7/1/20</w:t>
      </w:r>
      <w:r w:rsidR="00622C8F">
        <w:rPr>
          <w:b/>
          <w:szCs w:val="24"/>
        </w:rPr>
        <w:t>2</w:t>
      </w:r>
      <w:r w:rsidR="00796B57">
        <w:rPr>
          <w:b/>
          <w:szCs w:val="24"/>
        </w:rPr>
        <w:t>2</w:t>
      </w:r>
      <w:r w:rsidR="0070318D">
        <w:rPr>
          <w:b/>
          <w:szCs w:val="24"/>
        </w:rPr>
        <w:t>-6/30/20</w:t>
      </w:r>
      <w:r w:rsidR="00DC38CB">
        <w:rPr>
          <w:b/>
          <w:szCs w:val="24"/>
        </w:rPr>
        <w:t>2</w:t>
      </w:r>
      <w:r w:rsidR="00796B57">
        <w:rPr>
          <w:b/>
          <w:szCs w:val="24"/>
        </w:rPr>
        <w:t>3</w:t>
      </w:r>
      <w:r w:rsidR="00404FE0">
        <w:rPr>
          <w:b/>
          <w:szCs w:val="24"/>
        </w:rPr>
        <w:t xml:space="preserve">)  </w:t>
      </w:r>
      <w:r w:rsidR="0025397D">
        <w:rPr>
          <w:b/>
          <w:szCs w:val="24"/>
        </w:rPr>
        <w:t xml:space="preserve"> </w:t>
      </w:r>
      <w:r w:rsidR="009762AB">
        <w:rPr>
          <w:b/>
          <w:szCs w:val="24"/>
        </w:rPr>
        <w:t xml:space="preserve"> </w:t>
      </w:r>
      <w:r w:rsidR="0025397D">
        <w:rPr>
          <w:b/>
          <w:szCs w:val="24"/>
        </w:rPr>
        <w:t xml:space="preserve">               </w:t>
      </w:r>
      <w:r w:rsidRPr="00F129E9">
        <w:rPr>
          <w:sz w:val="22"/>
          <w:szCs w:val="22"/>
        </w:rPr>
        <w:t>$_______________</w:t>
      </w:r>
      <w:r w:rsidR="00404FE0">
        <w:rPr>
          <w:sz w:val="22"/>
          <w:szCs w:val="22"/>
        </w:rPr>
        <w:t>_____</w:t>
      </w:r>
    </w:p>
    <w:p w14:paraId="4D8FC772" w14:textId="77777777" w:rsidR="00F129E9" w:rsidRDefault="00F129E9" w:rsidP="00F129E9">
      <w:pPr>
        <w:pStyle w:val="Subtitle"/>
        <w:tabs>
          <w:tab w:val="left" w:pos="7920"/>
          <w:tab w:val="right" w:pos="10800"/>
        </w:tabs>
        <w:jc w:val="left"/>
        <w:rPr>
          <w:b/>
          <w:sz w:val="22"/>
        </w:rPr>
      </w:pPr>
    </w:p>
    <w:p w14:paraId="1FE32CB1" w14:textId="6F5D980C" w:rsidR="002C4B07" w:rsidRDefault="002C4B07" w:rsidP="002C4B07">
      <w:pPr>
        <w:pStyle w:val="Subtitle"/>
        <w:tabs>
          <w:tab w:val="left" w:pos="5400"/>
          <w:tab w:val="left" w:pos="5490"/>
          <w:tab w:val="left" w:pos="7920"/>
        </w:tabs>
        <w:jc w:val="left"/>
        <w:rPr>
          <w:sz w:val="22"/>
        </w:rPr>
      </w:pPr>
      <w:r>
        <w:rPr>
          <w:b/>
          <w:sz w:val="22"/>
        </w:rPr>
        <w:t xml:space="preserve">Average Excess or (Deficit) Balance </w:t>
      </w:r>
      <w:r w:rsidR="009762AB">
        <w:rPr>
          <w:b/>
          <w:szCs w:val="24"/>
        </w:rPr>
        <w:t>for FY</w:t>
      </w:r>
      <w:r w:rsidR="00404FE0">
        <w:rPr>
          <w:b/>
          <w:szCs w:val="24"/>
        </w:rPr>
        <w:t>20</w:t>
      </w:r>
      <w:r w:rsidR="00DC38CB">
        <w:rPr>
          <w:b/>
          <w:szCs w:val="24"/>
        </w:rPr>
        <w:t>2</w:t>
      </w:r>
      <w:r w:rsidR="00796B57">
        <w:rPr>
          <w:b/>
          <w:szCs w:val="24"/>
        </w:rPr>
        <w:t>3</w:t>
      </w:r>
      <w:r w:rsidR="00404FE0">
        <w:rPr>
          <w:b/>
          <w:szCs w:val="24"/>
        </w:rPr>
        <w:t xml:space="preserve"> (7/1/20</w:t>
      </w:r>
      <w:r w:rsidR="00622C8F">
        <w:rPr>
          <w:b/>
          <w:szCs w:val="24"/>
        </w:rPr>
        <w:t>2</w:t>
      </w:r>
      <w:r w:rsidR="00796B57">
        <w:rPr>
          <w:b/>
          <w:szCs w:val="24"/>
        </w:rPr>
        <w:t>2</w:t>
      </w:r>
      <w:r w:rsidR="00404FE0">
        <w:rPr>
          <w:b/>
          <w:szCs w:val="24"/>
        </w:rPr>
        <w:t>-6/30/20</w:t>
      </w:r>
      <w:r w:rsidR="00DC38CB">
        <w:rPr>
          <w:b/>
          <w:szCs w:val="24"/>
        </w:rPr>
        <w:t>2</w:t>
      </w:r>
      <w:r w:rsidR="00796B57">
        <w:rPr>
          <w:b/>
          <w:szCs w:val="24"/>
        </w:rPr>
        <w:t>3</w:t>
      </w:r>
      <w:r w:rsidR="00404FE0">
        <w:rPr>
          <w:b/>
          <w:szCs w:val="24"/>
        </w:rPr>
        <w:t>)</w:t>
      </w:r>
      <w:r w:rsidR="00404FE0">
        <w:rPr>
          <w:b/>
          <w:sz w:val="22"/>
        </w:rPr>
        <w:t xml:space="preserve">             </w:t>
      </w:r>
      <w:r w:rsidR="0025397D">
        <w:rPr>
          <w:b/>
          <w:sz w:val="22"/>
        </w:rPr>
        <w:t xml:space="preserve">       </w:t>
      </w:r>
      <w:r w:rsidR="009762AB">
        <w:rPr>
          <w:b/>
          <w:sz w:val="22"/>
        </w:rPr>
        <w:t xml:space="preserve"> </w:t>
      </w:r>
      <w:r w:rsidR="0025397D">
        <w:rPr>
          <w:b/>
          <w:sz w:val="22"/>
        </w:rPr>
        <w:t xml:space="preserve">          </w:t>
      </w:r>
      <w:r w:rsidR="00404FE0">
        <w:rPr>
          <w:b/>
          <w:sz w:val="22"/>
        </w:rPr>
        <w:t xml:space="preserve"> </w:t>
      </w:r>
      <w:r w:rsidR="00404FE0">
        <w:rPr>
          <w:sz w:val="22"/>
          <w:szCs w:val="22"/>
        </w:rPr>
        <w:t>$____________________</w:t>
      </w:r>
    </w:p>
    <w:p w14:paraId="693658B1" w14:textId="77777777" w:rsidR="002C4B07" w:rsidRDefault="002C4B07" w:rsidP="002C4B07">
      <w:pPr>
        <w:pStyle w:val="Subtitle"/>
        <w:tabs>
          <w:tab w:val="left" w:pos="7920"/>
        </w:tabs>
        <w:jc w:val="left"/>
        <w:rPr>
          <w:sz w:val="22"/>
        </w:rPr>
      </w:pPr>
    </w:p>
    <w:p w14:paraId="64F568B2" w14:textId="77777777" w:rsidR="00021649" w:rsidRDefault="00021649" w:rsidP="001C748B">
      <w:pPr>
        <w:rPr>
          <w:sz w:val="22"/>
          <w:szCs w:val="22"/>
        </w:rPr>
      </w:pPr>
    </w:p>
    <w:p w14:paraId="35BE722B" w14:textId="77777777" w:rsidR="002C4B07" w:rsidRPr="00021649" w:rsidRDefault="002C4B07" w:rsidP="001C748B">
      <w:pPr>
        <w:rPr>
          <w:sz w:val="22"/>
          <w:szCs w:val="22"/>
        </w:rPr>
      </w:pPr>
      <w:r w:rsidRPr="00021649">
        <w:rPr>
          <w:sz w:val="22"/>
          <w:szCs w:val="22"/>
        </w:rPr>
        <w:t>Submitted</w:t>
      </w:r>
      <w:r w:rsidR="0045067C" w:rsidRPr="00021649">
        <w:rPr>
          <w:sz w:val="22"/>
          <w:szCs w:val="22"/>
        </w:rPr>
        <w:t xml:space="preserve"> </w:t>
      </w:r>
      <w:r w:rsidR="00E10A2F" w:rsidRPr="00021649">
        <w:rPr>
          <w:sz w:val="22"/>
          <w:szCs w:val="22"/>
        </w:rPr>
        <w:t xml:space="preserve">by: </w:t>
      </w:r>
      <w:r w:rsidR="0025397D" w:rsidRPr="00021649">
        <w:rPr>
          <w:sz w:val="22"/>
          <w:szCs w:val="22"/>
        </w:rPr>
        <w:t xml:space="preserve"> </w:t>
      </w:r>
      <w:r w:rsidR="00E10A2F" w:rsidRPr="00021649">
        <w:rPr>
          <w:sz w:val="22"/>
          <w:szCs w:val="22"/>
        </w:rPr>
        <w:t xml:space="preserve"> </w:t>
      </w:r>
      <w:r w:rsidR="0045067C" w:rsidRPr="00021649">
        <w:rPr>
          <w:sz w:val="22"/>
          <w:szCs w:val="22"/>
        </w:rPr>
        <w:t>__________________________      __________________________       __________________________</w:t>
      </w:r>
    </w:p>
    <w:p w14:paraId="662EBEF9" w14:textId="77777777" w:rsidR="002C4B07" w:rsidRPr="00021649" w:rsidRDefault="002C4B07" w:rsidP="001C748B">
      <w:pPr>
        <w:rPr>
          <w:sz w:val="22"/>
          <w:szCs w:val="22"/>
        </w:rPr>
      </w:pPr>
      <w:r w:rsidRPr="00021649">
        <w:rPr>
          <w:sz w:val="22"/>
          <w:szCs w:val="22"/>
        </w:rPr>
        <w:t xml:space="preserve">                         </w:t>
      </w:r>
      <w:r w:rsidR="00E10A2F" w:rsidRPr="00021649">
        <w:rPr>
          <w:sz w:val="22"/>
          <w:szCs w:val="22"/>
        </w:rPr>
        <w:t xml:space="preserve">Name                     </w:t>
      </w:r>
      <w:r w:rsidR="0025397D" w:rsidRPr="00021649">
        <w:rPr>
          <w:sz w:val="22"/>
          <w:szCs w:val="22"/>
        </w:rPr>
        <w:t xml:space="preserve">               </w:t>
      </w:r>
      <w:r w:rsidR="00E10A2F" w:rsidRPr="00021649">
        <w:rPr>
          <w:sz w:val="22"/>
          <w:szCs w:val="22"/>
        </w:rPr>
        <w:t xml:space="preserve">    </w:t>
      </w:r>
      <w:r w:rsidR="0088772E" w:rsidRPr="00021649">
        <w:rPr>
          <w:sz w:val="22"/>
          <w:szCs w:val="22"/>
        </w:rPr>
        <w:t xml:space="preserve">    </w:t>
      </w:r>
      <w:r w:rsidR="00E10A2F" w:rsidRPr="00021649">
        <w:rPr>
          <w:sz w:val="22"/>
          <w:szCs w:val="22"/>
        </w:rPr>
        <w:t xml:space="preserve"> </w:t>
      </w:r>
      <w:r w:rsidR="0045067C" w:rsidRPr="00021649">
        <w:rPr>
          <w:sz w:val="22"/>
          <w:szCs w:val="22"/>
        </w:rPr>
        <w:t xml:space="preserve">  </w:t>
      </w:r>
      <w:r w:rsidR="00E10A2F" w:rsidRPr="00021649">
        <w:rPr>
          <w:sz w:val="22"/>
          <w:szCs w:val="22"/>
        </w:rPr>
        <w:t xml:space="preserve"> </w:t>
      </w:r>
      <w:r w:rsidR="0045067C" w:rsidRPr="00021649">
        <w:rPr>
          <w:sz w:val="22"/>
          <w:szCs w:val="22"/>
        </w:rPr>
        <w:t xml:space="preserve"> </w:t>
      </w:r>
      <w:r w:rsidRPr="00021649">
        <w:rPr>
          <w:sz w:val="22"/>
          <w:szCs w:val="22"/>
        </w:rPr>
        <w:t>Signat</w:t>
      </w:r>
      <w:r w:rsidR="00E10A2F" w:rsidRPr="00021649">
        <w:rPr>
          <w:sz w:val="22"/>
          <w:szCs w:val="22"/>
        </w:rPr>
        <w:t xml:space="preserve">ure              </w:t>
      </w:r>
      <w:r w:rsidR="0045067C" w:rsidRPr="00021649">
        <w:rPr>
          <w:sz w:val="22"/>
          <w:szCs w:val="22"/>
        </w:rPr>
        <w:t xml:space="preserve">                              Title</w:t>
      </w:r>
    </w:p>
    <w:p w14:paraId="2A61511E" w14:textId="77777777" w:rsidR="0045067C" w:rsidRPr="00021649" w:rsidRDefault="0025397D" w:rsidP="001C748B">
      <w:pPr>
        <w:rPr>
          <w:sz w:val="22"/>
          <w:szCs w:val="22"/>
        </w:rPr>
      </w:pPr>
      <w:r w:rsidRPr="00021649">
        <w:rPr>
          <w:sz w:val="22"/>
          <w:szCs w:val="22"/>
        </w:rPr>
        <w:t>_________________________</w:t>
      </w:r>
      <w:r w:rsidR="0045067C" w:rsidRPr="00021649">
        <w:rPr>
          <w:sz w:val="22"/>
          <w:szCs w:val="22"/>
        </w:rPr>
        <w:t>______________      __________________________      __________________________</w:t>
      </w:r>
    </w:p>
    <w:p w14:paraId="7271ACA2" w14:textId="77777777" w:rsidR="002C4B07" w:rsidRPr="00021649" w:rsidRDefault="0025397D" w:rsidP="001C748B">
      <w:pPr>
        <w:rPr>
          <w:sz w:val="22"/>
          <w:szCs w:val="22"/>
        </w:rPr>
      </w:pPr>
      <w:r w:rsidRPr="00021649">
        <w:rPr>
          <w:sz w:val="22"/>
          <w:szCs w:val="22"/>
        </w:rPr>
        <w:t xml:space="preserve">Email Address                               </w:t>
      </w:r>
      <w:r w:rsidR="0045067C" w:rsidRPr="00021649">
        <w:rPr>
          <w:sz w:val="22"/>
          <w:szCs w:val="22"/>
        </w:rPr>
        <w:t xml:space="preserve">                           </w:t>
      </w:r>
      <w:r w:rsidRPr="00021649">
        <w:rPr>
          <w:sz w:val="22"/>
          <w:szCs w:val="22"/>
        </w:rPr>
        <w:t xml:space="preserve">  Phone Number                               </w:t>
      </w:r>
      <w:r w:rsidR="0045067C" w:rsidRPr="00021649">
        <w:rPr>
          <w:sz w:val="22"/>
          <w:szCs w:val="22"/>
        </w:rPr>
        <w:t xml:space="preserve">   </w:t>
      </w:r>
      <w:r w:rsidRPr="00021649">
        <w:rPr>
          <w:sz w:val="22"/>
          <w:szCs w:val="22"/>
        </w:rPr>
        <w:t xml:space="preserve"> Date</w:t>
      </w:r>
      <w:r w:rsidRPr="00021649">
        <w:rPr>
          <w:sz w:val="22"/>
          <w:szCs w:val="22"/>
        </w:rPr>
        <w:tab/>
      </w:r>
    </w:p>
    <w:p w14:paraId="0DF8C0A9" w14:textId="77777777" w:rsidR="00F129E9" w:rsidRPr="00021649" w:rsidRDefault="00F129E9" w:rsidP="001C748B">
      <w:pPr>
        <w:rPr>
          <w:sz w:val="22"/>
          <w:szCs w:val="22"/>
        </w:rPr>
      </w:pPr>
    </w:p>
    <w:p w14:paraId="1B03C5F9" w14:textId="77777777" w:rsidR="0045067C" w:rsidRPr="00021649" w:rsidRDefault="0045067C" w:rsidP="001C748B">
      <w:pPr>
        <w:rPr>
          <w:sz w:val="22"/>
          <w:szCs w:val="22"/>
        </w:rPr>
      </w:pPr>
      <w:r w:rsidRPr="00021649">
        <w:rPr>
          <w:sz w:val="22"/>
          <w:szCs w:val="22"/>
        </w:rPr>
        <w:t xml:space="preserve">Submitted for: </w:t>
      </w:r>
      <w:r w:rsidR="001C4105" w:rsidRPr="00021649">
        <w:rPr>
          <w:sz w:val="22"/>
          <w:szCs w:val="22"/>
        </w:rPr>
        <w:t xml:space="preserve"> </w:t>
      </w:r>
      <w:r w:rsidRPr="00021649">
        <w:rPr>
          <w:sz w:val="22"/>
          <w:szCs w:val="22"/>
        </w:rPr>
        <w:t xml:space="preserve"> ____ Treasurer   ____ Collector</w:t>
      </w:r>
      <w:r w:rsidR="001C4105" w:rsidRPr="00021649">
        <w:rPr>
          <w:sz w:val="22"/>
          <w:szCs w:val="22"/>
        </w:rPr>
        <w:t xml:space="preserve">      Name:   _____________________________</w:t>
      </w:r>
      <w:r w:rsidR="00787A0C" w:rsidRPr="00021649">
        <w:rPr>
          <w:sz w:val="22"/>
          <w:szCs w:val="22"/>
        </w:rPr>
        <w:t>____________________</w:t>
      </w:r>
      <w:r w:rsidR="001C4105" w:rsidRPr="00021649">
        <w:rPr>
          <w:sz w:val="22"/>
          <w:szCs w:val="22"/>
        </w:rPr>
        <w:t xml:space="preserve"> </w:t>
      </w:r>
    </w:p>
    <w:p w14:paraId="7ACEAC3B" w14:textId="77777777" w:rsidR="0045067C" w:rsidRDefault="0045067C" w:rsidP="001C748B"/>
    <w:p w14:paraId="65B25E46" w14:textId="11F7EBA7" w:rsidR="00956E5F" w:rsidRPr="00956E5F" w:rsidRDefault="002C4B07" w:rsidP="001C748B">
      <w:r>
        <w:t>Return by</w:t>
      </w:r>
      <w:r w:rsidR="00E10A2F">
        <w:t xml:space="preserve"> </w:t>
      </w:r>
      <w:r w:rsidR="00E10A2F" w:rsidRPr="001C4105">
        <w:rPr>
          <w:b/>
          <w:u w:val="single"/>
        </w:rPr>
        <w:t>October 31</w:t>
      </w:r>
      <w:r w:rsidRPr="001C4105">
        <w:rPr>
          <w:b/>
          <w:u w:val="single"/>
        </w:rPr>
        <w:t xml:space="preserve">, </w:t>
      </w:r>
      <w:proofErr w:type="gramStart"/>
      <w:r w:rsidRPr="001C4105">
        <w:rPr>
          <w:b/>
          <w:u w:val="single"/>
        </w:rPr>
        <w:t>20</w:t>
      </w:r>
      <w:r w:rsidR="00DC38CB">
        <w:rPr>
          <w:b/>
          <w:u w:val="single"/>
        </w:rPr>
        <w:t>2</w:t>
      </w:r>
      <w:r w:rsidR="00796B57">
        <w:rPr>
          <w:b/>
          <w:u w:val="single"/>
        </w:rPr>
        <w:t>3</w:t>
      </w:r>
      <w:proofErr w:type="gramEnd"/>
      <w:r>
        <w:t xml:space="preserve"> to</w:t>
      </w:r>
      <w:r w:rsidRPr="0025397D">
        <w:t xml:space="preserve"> </w:t>
      </w:r>
      <w:hyperlink r:id="rId11" w:history="1">
        <w:r w:rsidR="00622C8F" w:rsidRPr="00A67461">
          <w:rPr>
            <w:rStyle w:val="Hyperlink"/>
          </w:rPr>
          <w:t>MA-IGO-General-Mail@mass.gov</w:t>
        </w:r>
      </w:hyperlink>
      <w:r>
        <w:rPr>
          <w:szCs w:val="22"/>
        </w:rPr>
        <w:t xml:space="preserve"> </w:t>
      </w:r>
      <w:r w:rsidR="00247B73">
        <w:rPr>
          <w:szCs w:val="22"/>
        </w:rPr>
        <w:t xml:space="preserve">  </w:t>
      </w:r>
      <w:r w:rsidR="0025397D">
        <w:rPr>
          <w:szCs w:val="22"/>
        </w:rPr>
        <w:t xml:space="preserve">    </w:t>
      </w:r>
      <w:r>
        <w:rPr>
          <w:szCs w:val="22"/>
        </w:rPr>
        <w:t xml:space="preserve">Subject line: </w:t>
      </w:r>
      <w:r w:rsidR="00247B73" w:rsidRPr="0025397D">
        <w:rPr>
          <w:b/>
          <w:szCs w:val="22"/>
        </w:rPr>
        <w:t>53F Report</w:t>
      </w:r>
    </w:p>
    <w:p w14:paraId="06D7939A" w14:textId="77777777" w:rsidR="00956E5F" w:rsidRDefault="00956E5F" w:rsidP="001C4105">
      <w:pPr>
        <w:rPr>
          <w:sz w:val="22"/>
        </w:rPr>
      </w:pPr>
    </w:p>
    <w:sectPr w:rsidR="00956E5F" w:rsidSect="003B174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AA8E" w14:textId="77777777" w:rsidR="00956E5F" w:rsidRDefault="00956E5F" w:rsidP="00956E5F">
      <w:r>
        <w:separator/>
      </w:r>
    </w:p>
  </w:endnote>
  <w:endnote w:type="continuationSeparator" w:id="0">
    <w:p w14:paraId="791702ED" w14:textId="77777777" w:rsidR="00956E5F" w:rsidRDefault="00956E5F" w:rsidP="0095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A9C2" w14:textId="77777777" w:rsidR="00956E5F" w:rsidRPr="00956E5F" w:rsidRDefault="00956E5F" w:rsidP="00956E5F">
    <w:pPr>
      <w:ind w:left="450" w:right="450"/>
      <w:rPr>
        <w:sz w:val="18"/>
        <w:szCs w:val="18"/>
      </w:rPr>
    </w:pPr>
    <w:r w:rsidRPr="00956E5F">
      <w:rPr>
        <w:sz w:val="18"/>
        <w:szCs w:val="18"/>
      </w:rPr>
      <w:t xml:space="preserve">Office of the Inspector General | One Ashburton Place, Room 1311 | Boston, MA 02108 | (617) 727-9140 | </w:t>
    </w:r>
    <w:hyperlink r:id="rId1" w:history="1">
      <w:r w:rsidRPr="00956E5F">
        <w:rPr>
          <w:sz w:val="18"/>
          <w:szCs w:val="18"/>
        </w:rPr>
        <w:t>www.mass.gov/ig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F260" w14:textId="77777777" w:rsidR="00956E5F" w:rsidRDefault="00956E5F" w:rsidP="00956E5F">
      <w:r>
        <w:separator/>
      </w:r>
    </w:p>
  </w:footnote>
  <w:footnote w:type="continuationSeparator" w:id="0">
    <w:p w14:paraId="63CF3BBE" w14:textId="77777777" w:rsidR="00956E5F" w:rsidRDefault="00956E5F" w:rsidP="00956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DA059B"/>
    <w:multiLevelType w:val="hybridMultilevel"/>
    <w:tmpl w:val="5EF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6DE1"/>
    <w:multiLevelType w:val="hybridMultilevel"/>
    <w:tmpl w:val="42DEAED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3117F1"/>
    <w:multiLevelType w:val="hybridMultilevel"/>
    <w:tmpl w:val="9F6A0D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746"/>
    <w:rsid w:val="000007F9"/>
    <w:rsid w:val="00017790"/>
    <w:rsid w:val="00021649"/>
    <w:rsid w:val="000755C3"/>
    <w:rsid w:val="000B6027"/>
    <w:rsid w:val="000D68B3"/>
    <w:rsid w:val="001C4105"/>
    <w:rsid w:val="001C6F23"/>
    <w:rsid w:val="001C748B"/>
    <w:rsid w:val="001D392A"/>
    <w:rsid w:val="001F186A"/>
    <w:rsid w:val="0022762C"/>
    <w:rsid w:val="00247B73"/>
    <w:rsid w:val="0025397D"/>
    <w:rsid w:val="002829D0"/>
    <w:rsid w:val="002C4B07"/>
    <w:rsid w:val="00360754"/>
    <w:rsid w:val="003B1746"/>
    <w:rsid w:val="003F0E7D"/>
    <w:rsid w:val="003F2A38"/>
    <w:rsid w:val="00404FE0"/>
    <w:rsid w:val="0045067C"/>
    <w:rsid w:val="00495749"/>
    <w:rsid w:val="004F1C98"/>
    <w:rsid w:val="00520D2B"/>
    <w:rsid w:val="00586D50"/>
    <w:rsid w:val="005A7155"/>
    <w:rsid w:val="005C285B"/>
    <w:rsid w:val="005C44BC"/>
    <w:rsid w:val="00622C8F"/>
    <w:rsid w:val="00662AB6"/>
    <w:rsid w:val="00696D3B"/>
    <w:rsid w:val="006A284D"/>
    <w:rsid w:val="006B29D6"/>
    <w:rsid w:val="006B72A4"/>
    <w:rsid w:val="006D2340"/>
    <w:rsid w:val="006D5E93"/>
    <w:rsid w:val="006F67FD"/>
    <w:rsid w:val="0070318D"/>
    <w:rsid w:val="0070505C"/>
    <w:rsid w:val="007058D9"/>
    <w:rsid w:val="00715C50"/>
    <w:rsid w:val="00787A0C"/>
    <w:rsid w:val="00796B57"/>
    <w:rsid w:val="007C6A2B"/>
    <w:rsid w:val="007D5C79"/>
    <w:rsid w:val="007E76A7"/>
    <w:rsid w:val="00875653"/>
    <w:rsid w:val="0088772E"/>
    <w:rsid w:val="00895A43"/>
    <w:rsid w:val="008D64AC"/>
    <w:rsid w:val="008F787F"/>
    <w:rsid w:val="00920FE8"/>
    <w:rsid w:val="00956E5F"/>
    <w:rsid w:val="009762AB"/>
    <w:rsid w:val="009C7556"/>
    <w:rsid w:val="00AA2EDF"/>
    <w:rsid w:val="00AB52E9"/>
    <w:rsid w:val="00AC2872"/>
    <w:rsid w:val="00B16799"/>
    <w:rsid w:val="00B65FDE"/>
    <w:rsid w:val="00BF4ED6"/>
    <w:rsid w:val="00C42CA3"/>
    <w:rsid w:val="00C974EB"/>
    <w:rsid w:val="00CD3766"/>
    <w:rsid w:val="00D41095"/>
    <w:rsid w:val="00D411CE"/>
    <w:rsid w:val="00D60C11"/>
    <w:rsid w:val="00D9207F"/>
    <w:rsid w:val="00DC38CB"/>
    <w:rsid w:val="00DC4A4C"/>
    <w:rsid w:val="00E10A2F"/>
    <w:rsid w:val="00E1521D"/>
    <w:rsid w:val="00E63A67"/>
    <w:rsid w:val="00EA047E"/>
    <w:rsid w:val="00EF14A1"/>
    <w:rsid w:val="00EF6939"/>
    <w:rsid w:val="00F07BB1"/>
    <w:rsid w:val="00F129E9"/>
    <w:rsid w:val="00F13C28"/>
    <w:rsid w:val="00FD2774"/>
    <w:rsid w:val="00FF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1760"/>
  <w15:docId w15:val="{B76B91CD-A92D-4D78-B147-2E6BCA5E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57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60754"/>
    <w:pPr>
      <w:keepLines/>
      <w:widowControl w:val="0"/>
      <w:spacing w:after="120"/>
      <w:jc w:val="both"/>
    </w:pPr>
    <w:rPr>
      <w:rFonts w:eastAsia="Times New Roman" w:cs="Arial"/>
      <w:snapToGrid w:val="0"/>
      <w:szCs w:val="20"/>
    </w:rPr>
  </w:style>
  <w:style w:type="character" w:customStyle="1" w:styleId="FootnoteTextChar">
    <w:name w:val="Footnote Text Char"/>
    <w:basedOn w:val="DefaultParagraphFont"/>
    <w:link w:val="FootnoteText"/>
    <w:semiHidden/>
    <w:rsid w:val="00360754"/>
    <w:rPr>
      <w:rFonts w:eastAsia="Times New Roman" w:cs="Arial"/>
      <w:snapToGrid w:val="0"/>
      <w:szCs w:val="20"/>
    </w:rPr>
  </w:style>
  <w:style w:type="paragraph" w:styleId="Title">
    <w:name w:val="Title"/>
    <w:basedOn w:val="Normal"/>
    <w:link w:val="TitleChar"/>
    <w:qFormat/>
    <w:rsid w:val="003B1746"/>
    <w:pPr>
      <w:jc w:val="center"/>
    </w:pPr>
    <w:rPr>
      <w:rFonts w:eastAsia="Times New Roman"/>
      <w:sz w:val="36"/>
      <w:szCs w:val="20"/>
    </w:rPr>
  </w:style>
  <w:style w:type="character" w:customStyle="1" w:styleId="TitleChar">
    <w:name w:val="Title Char"/>
    <w:basedOn w:val="DefaultParagraphFont"/>
    <w:link w:val="Title"/>
    <w:rsid w:val="003B1746"/>
    <w:rPr>
      <w:rFonts w:eastAsia="Times New Roman"/>
      <w:sz w:val="36"/>
      <w:szCs w:val="20"/>
    </w:rPr>
  </w:style>
  <w:style w:type="paragraph" w:styleId="Subtitle">
    <w:name w:val="Subtitle"/>
    <w:basedOn w:val="Normal"/>
    <w:link w:val="SubtitleChar"/>
    <w:qFormat/>
    <w:rsid w:val="003B1746"/>
    <w:pPr>
      <w:jc w:val="center"/>
    </w:pPr>
    <w:rPr>
      <w:rFonts w:eastAsia="Times New Roman"/>
      <w:szCs w:val="20"/>
    </w:rPr>
  </w:style>
  <w:style w:type="character" w:customStyle="1" w:styleId="SubtitleChar">
    <w:name w:val="Subtitle Char"/>
    <w:basedOn w:val="DefaultParagraphFont"/>
    <w:link w:val="Subtitle"/>
    <w:rsid w:val="003B1746"/>
    <w:rPr>
      <w:rFonts w:eastAsia="Times New Roman"/>
      <w:szCs w:val="20"/>
    </w:rPr>
  </w:style>
  <w:style w:type="paragraph" w:styleId="ListParagraph">
    <w:name w:val="List Paragraph"/>
    <w:basedOn w:val="Normal"/>
    <w:uiPriority w:val="34"/>
    <w:qFormat/>
    <w:rsid w:val="003B1746"/>
    <w:pPr>
      <w:ind w:left="720"/>
      <w:contextualSpacing/>
    </w:pPr>
  </w:style>
  <w:style w:type="paragraph" w:styleId="Footer">
    <w:name w:val="footer"/>
    <w:basedOn w:val="Normal"/>
    <w:link w:val="FooterChar"/>
    <w:uiPriority w:val="99"/>
    <w:unhideWhenUsed/>
    <w:qFormat/>
    <w:rsid w:val="00956E5F"/>
    <w:pPr>
      <w:tabs>
        <w:tab w:val="center" w:pos="4680"/>
        <w:tab w:val="right" w:pos="9360"/>
      </w:tabs>
      <w:jc w:val="both"/>
    </w:pPr>
    <w:rPr>
      <w:snapToGrid w:val="0"/>
    </w:rPr>
  </w:style>
  <w:style w:type="character" w:customStyle="1" w:styleId="FooterChar">
    <w:name w:val="Footer Char"/>
    <w:basedOn w:val="DefaultParagraphFont"/>
    <w:link w:val="Footer"/>
    <w:uiPriority w:val="99"/>
    <w:rsid w:val="00956E5F"/>
    <w:rPr>
      <w:snapToGrid w:val="0"/>
    </w:rPr>
  </w:style>
  <w:style w:type="paragraph" w:styleId="Header">
    <w:name w:val="header"/>
    <w:basedOn w:val="Normal"/>
    <w:link w:val="HeaderChar"/>
    <w:uiPriority w:val="99"/>
    <w:unhideWhenUsed/>
    <w:rsid w:val="00956E5F"/>
    <w:pPr>
      <w:tabs>
        <w:tab w:val="center" w:pos="4680"/>
        <w:tab w:val="right" w:pos="9360"/>
      </w:tabs>
    </w:pPr>
  </w:style>
  <w:style w:type="character" w:customStyle="1" w:styleId="HeaderChar">
    <w:name w:val="Header Char"/>
    <w:basedOn w:val="DefaultParagraphFont"/>
    <w:link w:val="Header"/>
    <w:uiPriority w:val="99"/>
    <w:rsid w:val="00956E5F"/>
  </w:style>
  <w:style w:type="character" w:styleId="Hyperlink">
    <w:name w:val="Hyperlink"/>
    <w:uiPriority w:val="99"/>
    <w:unhideWhenUsed/>
    <w:rsid w:val="002C4B07"/>
    <w:rPr>
      <w:color w:val="0000FF"/>
      <w:u w:val="single"/>
    </w:rPr>
  </w:style>
  <w:style w:type="character" w:styleId="FollowedHyperlink">
    <w:name w:val="FollowedHyperlink"/>
    <w:basedOn w:val="DefaultParagraphFont"/>
    <w:uiPriority w:val="99"/>
    <w:semiHidden/>
    <w:unhideWhenUsed/>
    <w:rsid w:val="002C4B07"/>
    <w:rPr>
      <w:color w:val="800080" w:themeColor="followedHyperlink"/>
      <w:u w:val="single"/>
    </w:rPr>
  </w:style>
  <w:style w:type="paragraph" w:styleId="BalloonText">
    <w:name w:val="Balloon Text"/>
    <w:basedOn w:val="Normal"/>
    <w:link w:val="BalloonTextChar"/>
    <w:uiPriority w:val="99"/>
    <w:semiHidden/>
    <w:unhideWhenUsed/>
    <w:rsid w:val="002829D0"/>
    <w:rPr>
      <w:rFonts w:ascii="Tahoma" w:hAnsi="Tahoma" w:cs="Tahoma"/>
      <w:sz w:val="16"/>
      <w:szCs w:val="16"/>
    </w:rPr>
  </w:style>
  <w:style w:type="character" w:customStyle="1" w:styleId="BalloonTextChar">
    <w:name w:val="Balloon Text Char"/>
    <w:basedOn w:val="DefaultParagraphFont"/>
    <w:link w:val="BalloonText"/>
    <w:uiPriority w:val="99"/>
    <w:semiHidden/>
    <w:rsid w:val="002829D0"/>
    <w:rPr>
      <w:rFonts w:ascii="Tahoma" w:hAnsi="Tahoma" w:cs="Tahoma"/>
      <w:sz w:val="16"/>
      <w:szCs w:val="16"/>
    </w:rPr>
  </w:style>
  <w:style w:type="character" w:styleId="CommentReference">
    <w:name w:val="annotation reference"/>
    <w:basedOn w:val="DefaultParagraphFont"/>
    <w:uiPriority w:val="99"/>
    <w:semiHidden/>
    <w:unhideWhenUsed/>
    <w:rsid w:val="00E10A2F"/>
    <w:rPr>
      <w:sz w:val="16"/>
      <w:szCs w:val="16"/>
    </w:rPr>
  </w:style>
  <w:style w:type="paragraph" w:styleId="CommentText">
    <w:name w:val="annotation text"/>
    <w:basedOn w:val="Normal"/>
    <w:link w:val="CommentTextChar"/>
    <w:uiPriority w:val="99"/>
    <w:semiHidden/>
    <w:unhideWhenUsed/>
    <w:rsid w:val="00E10A2F"/>
    <w:rPr>
      <w:sz w:val="20"/>
      <w:szCs w:val="20"/>
    </w:rPr>
  </w:style>
  <w:style w:type="character" w:customStyle="1" w:styleId="CommentTextChar">
    <w:name w:val="Comment Text Char"/>
    <w:basedOn w:val="DefaultParagraphFont"/>
    <w:link w:val="CommentText"/>
    <w:uiPriority w:val="99"/>
    <w:semiHidden/>
    <w:rsid w:val="00E10A2F"/>
    <w:rPr>
      <w:sz w:val="20"/>
      <w:szCs w:val="20"/>
    </w:rPr>
  </w:style>
  <w:style w:type="paragraph" w:styleId="CommentSubject">
    <w:name w:val="annotation subject"/>
    <w:basedOn w:val="CommentText"/>
    <w:next w:val="CommentText"/>
    <w:link w:val="CommentSubjectChar"/>
    <w:uiPriority w:val="99"/>
    <w:semiHidden/>
    <w:unhideWhenUsed/>
    <w:rsid w:val="00E10A2F"/>
    <w:rPr>
      <w:b/>
      <w:bCs/>
    </w:rPr>
  </w:style>
  <w:style w:type="character" w:customStyle="1" w:styleId="CommentSubjectChar">
    <w:name w:val="Comment Subject Char"/>
    <w:basedOn w:val="CommentTextChar"/>
    <w:link w:val="CommentSubject"/>
    <w:uiPriority w:val="99"/>
    <w:semiHidden/>
    <w:rsid w:val="00E10A2F"/>
    <w:rPr>
      <w:b/>
      <w:bCs/>
      <w:sz w:val="20"/>
      <w:szCs w:val="20"/>
    </w:rPr>
  </w:style>
  <w:style w:type="paragraph" w:styleId="Revision">
    <w:name w:val="Revision"/>
    <w:hidden/>
    <w:uiPriority w:val="99"/>
    <w:semiHidden/>
    <w:rsid w:val="00E10A2F"/>
  </w:style>
  <w:style w:type="character" w:customStyle="1" w:styleId="Heading2Char">
    <w:name w:val="Heading 2 Char"/>
    <w:basedOn w:val="DefaultParagraphFont"/>
    <w:link w:val="Heading2"/>
    <w:uiPriority w:val="9"/>
    <w:rsid w:val="00495749"/>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622C8F"/>
    <w:rPr>
      <w:color w:val="605E5C"/>
      <w:shd w:val="clear" w:color="auto" w:fill="E1DFDD"/>
    </w:rPr>
  </w:style>
  <w:style w:type="character" w:styleId="Strong">
    <w:name w:val="Strong"/>
    <w:basedOn w:val="DefaultParagraphFont"/>
    <w:uiPriority w:val="22"/>
    <w:qFormat/>
    <w:rsid w:val="000B6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GO-General-Mail@mas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ate.ma.us/ig/ig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b4fa68f-8365-4ccc-abd1-09d4e5e2796a" xsi:nil="true"/>
    <lcf76f155ced4ddcb4097134ff3c332f xmlns="b6e93765-97f4-49ef-82cd-f303b04078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6086DFD51F3942A9AE3279F4CE5470" ma:contentTypeVersion="14" ma:contentTypeDescription="Create a new document." ma:contentTypeScope="" ma:versionID="de1b709577954253a6ccc7a0ce169f6c">
  <xsd:schema xmlns:xsd="http://www.w3.org/2001/XMLSchema" xmlns:xs="http://www.w3.org/2001/XMLSchema" xmlns:p="http://schemas.microsoft.com/office/2006/metadata/properties" xmlns:ns2="b6e93765-97f4-49ef-82cd-f303b04078b9" xmlns:ns3="9b4fa68f-8365-4ccc-abd1-09d4e5e2796a" targetNamespace="http://schemas.microsoft.com/office/2006/metadata/properties" ma:root="true" ma:fieldsID="5247ee3caf5b74d9033bc53e93ecc8de" ns2:_="" ns3:_="">
    <xsd:import namespace="b6e93765-97f4-49ef-82cd-f303b04078b9"/>
    <xsd:import namespace="9b4fa68f-8365-4ccc-abd1-09d4e5e27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93765-97f4-49ef-82cd-f303b0407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fa68f-8365-4ccc-abd1-09d4e5e279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0bf416-3779-460c-b7bd-245ccf8d2fcf}" ma:internalName="TaxCatchAll" ma:showField="CatchAllData" ma:web="9b4fa68f-8365-4ccc-abd1-09d4e5e279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9632F-6396-4C3A-BDB1-445A46876BF9}">
  <ds:schemaRefs>
    <ds:schemaRef ds:uri="http://schemas.openxmlformats.org/officeDocument/2006/bibliography"/>
  </ds:schemaRefs>
</ds:datastoreItem>
</file>

<file path=customXml/itemProps2.xml><?xml version="1.0" encoding="utf-8"?>
<ds:datastoreItem xmlns:ds="http://schemas.openxmlformats.org/officeDocument/2006/customXml" ds:itemID="{9AD602A4-A558-4992-85C7-D15AB6118FBF}">
  <ds:schemaRefs>
    <ds:schemaRef ds:uri="9b4fa68f-8365-4ccc-abd1-09d4e5e279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e93765-97f4-49ef-82cd-f303b04078b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289F177-BF45-4FE2-82F0-568497D2C943}">
  <ds:schemaRefs>
    <ds:schemaRef ds:uri="http://schemas.microsoft.com/sharepoint/v3/contenttype/forms"/>
  </ds:schemaRefs>
</ds:datastoreItem>
</file>

<file path=customXml/itemProps4.xml><?xml version="1.0" encoding="utf-8"?>
<ds:datastoreItem xmlns:ds="http://schemas.openxmlformats.org/officeDocument/2006/customXml" ds:itemID="{E7E90906-8BCE-4DE5-AF57-7DC824F66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93765-97f4-49ef-82cd-f303b04078b9"/>
    <ds:schemaRef ds:uri="9b4fa68f-8365-4ccc-abd1-09d4e5e27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Compensating Balance Account Report Form - 53F Report, October 2018</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Compensating Balance Account Report Form - 53F Report, October 2018</dc:title>
  <dc:subject>Compensating Balance Accounts</dc:subject>
  <dc:creator>Massachusetts Office of the Inspector General</dc:creator>
  <cp:keywords>Compensating Balance Accounts</cp:keywords>
  <cp:lastModifiedBy>Kolesar, Mary K. (IGO)</cp:lastModifiedBy>
  <cp:revision>4</cp:revision>
  <cp:lastPrinted>2023-08-16T14:23:00Z</cp:lastPrinted>
  <dcterms:created xsi:type="dcterms:W3CDTF">2023-08-16T14:14:00Z</dcterms:created>
  <dcterms:modified xsi:type="dcterms:W3CDTF">2023-08-16T15:05:00Z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0x010100B96086DFD51F3942A9AE3279F4CE5470</vt:lpwstr>
  </property>
  <property fmtid="{D5CDD505-2E9C-101B-9397-08002B2CF9AE}" pid="3" name="Order">
    <vt:r8>539400</vt:r8>
  </property>
  <property fmtid="{D5CDD505-2E9C-101B-9397-08002B2CF9AE}" pid="4" name="MediaServiceImageTags">
    <vt:lpwstr/>
  </property>
</Properties>
</file>