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0692" w14:textId="07B8A6A7" w:rsidR="00284DD7" w:rsidRDefault="00010B5C" w:rsidP="00E52620">
      <w:pPr>
        <w:ind w:left="-360"/>
        <w:rPr>
          <w:b/>
          <w:color w:val="303BA2"/>
          <w:szCs w:val="22"/>
        </w:rPr>
      </w:pPr>
      <w:r w:rsidRPr="006E5DED">
        <w:rPr>
          <w:noProof/>
          <w:color w:val="1F497D" w:themeColor="text2"/>
        </w:rPr>
        <mc:AlternateContent>
          <mc:Choice Requires="wps">
            <w:drawing>
              <wp:anchor distT="0" distB="0" distL="114300" distR="114300" simplePos="0" relativeHeight="251663360" behindDoc="0" locked="0" layoutInCell="1" allowOverlap="1" wp14:anchorId="5DBCA956" wp14:editId="13EEABEF">
                <wp:simplePos x="0" y="0"/>
                <wp:positionH relativeFrom="column">
                  <wp:posOffset>1487170</wp:posOffset>
                </wp:positionH>
                <wp:positionV relativeFrom="paragraph">
                  <wp:posOffset>328930</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289C4320" w14:textId="77777777" w:rsidR="00284DD7" w:rsidRPr="00B77A8A" w:rsidRDefault="00284DD7" w:rsidP="00284DD7">
                            <w:pPr>
                              <w:pStyle w:val="Header"/>
                              <w:jc w:val="center"/>
                              <w:rPr>
                                <w:color w:val="1F497D" w:themeColor="text2"/>
                                <w:sz w:val="28"/>
                                <w:szCs w:val="28"/>
                              </w:rPr>
                            </w:pPr>
                            <w:r w:rsidRPr="00B77A8A">
                              <w:rPr>
                                <w:color w:val="1F497D" w:themeColor="text2"/>
                                <w:sz w:val="28"/>
                                <w:szCs w:val="28"/>
                              </w:rPr>
                              <w:t>EXECUTIVE OFFICE OF ELDER AFFAIRS</w:t>
                            </w:r>
                          </w:p>
                          <w:p w14:paraId="0DC7E9E3" w14:textId="77777777" w:rsidR="00284DD7" w:rsidRPr="00153DCE" w:rsidRDefault="00284DD7" w:rsidP="00284DD7">
                            <w:pPr>
                              <w:pStyle w:val="Header"/>
                              <w:jc w:val="center"/>
                              <w:rPr>
                                <w:b/>
                                <w:color w:val="1F497D" w:themeColor="text2"/>
                              </w:rPr>
                            </w:pPr>
                            <w:r w:rsidRPr="00153DCE">
                              <w:rPr>
                                <w:b/>
                                <w:color w:val="1F497D" w:themeColor="text2"/>
                              </w:rPr>
                              <w:t>COMMONWEALTH OF MASSACHUSETTS</w:t>
                            </w:r>
                          </w:p>
                          <w:p w14:paraId="496452FA" w14:textId="77777777" w:rsidR="00284DD7" w:rsidRPr="00153DCE" w:rsidRDefault="00284DD7" w:rsidP="00284DD7">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28D00C6D" w14:textId="77777777" w:rsidR="00284DD7" w:rsidRPr="00F61CA1" w:rsidRDefault="00284DD7" w:rsidP="00284DD7">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8"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CA956" id="_x0000_t202" coordsize="21600,21600" o:spt="202" path="m,l,21600r21600,l21600,xe">
                <v:stroke joinstyle="miter"/>
                <v:path gradientshapeok="t" o:connecttype="rect"/>
              </v:shapetype>
              <v:shape id="Text Box 2" o:spid="_x0000_s1026" type="#_x0000_t202" style="position:absolute;left:0;text-align:left;margin-left:117.1pt;margin-top:25.9pt;width:282.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" filled="f" stroked="f">
                <v:textbox style="mso-fit-shape-to-text:t">
                  <w:txbxContent>
                    <w:p w14:paraId="289C4320" w14:textId="77777777" w:rsidR="00284DD7" w:rsidRPr="00B77A8A" w:rsidRDefault="00284DD7" w:rsidP="00284DD7">
                      <w:pPr>
                        <w:pStyle w:val="Header"/>
                        <w:jc w:val="center"/>
                        <w:rPr>
                          <w:color w:val="1F497D" w:themeColor="text2"/>
                          <w:sz w:val="28"/>
                          <w:szCs w:val="28"/>
                        </w:rPr>
                      </w:pPr>
                      <w:r w:rsidRPr="00B77A8A">
                        <w:rPr>
                          <w:color w:val="1F497D" w:themeColor="text2"/>
                          <w:sz w:val="28"/>
                          <w:szCs w:val="28"/>
                        </w:rPr>
                        <w:t>EXECUTIVE OFFICE OF ELDER AFFAIRS</w:t>
                      </w:r>
                    </w:p>
                    <w:p w14:paraId="0DC7E9E3" w14:textId="77777777" w:rsidR="00284DD7" w:rsidRPr="00153DCE" w:rsidRDefault="00284DD7" w:rsidP="00284DD7">
                      <w:pPr>
                        <w:pStyle w:val="Header"/>
                        <w:jc w:val="center"/>
                        <w:rPr>
                          <w:b/>
                          <w:color w:val="1F497D" w:themeColor="text2"/>
                        </w:rPr>
                      </w:pPr>
                      <w:r w:rsidRPr="00153DCE">
                        <w:rPr>
                          <w:b/>
                          <w:color w:val="1F497D" w:themeColor="text2"/>
                        </w:rPr>
                        <w:t>COMMONWEALTH OF MASSACHUSETTS</w:t>
                      </w:r>
                    </w:p>
                    <w:p w14:paraId="496452FA" w14:textId="77777777" w:rsidR="00284DD7" w:rsidRPr="00153DCE" w:rsidRDefault="00284DD7" w:rsidP="00284DD7">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28D00C6D" w14:textId="77777777" w:rsidR="00284DD7" w:rsidRPr="00F61CA1" w:rsidRDefault="00284DD7" w:rsidP="00284DD7">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9" w:history="1">
                        <w:r w:rsidRPr="002A602D">
                          <w:rPr>
                            <w:rStyle w:val="Hyperlink"/>
                          </w:rPr>
                          <w:t>Mass.gov/elders</w:t>
                        </w:r>
                      </w:hyperlink>
                      <w:r>
                        <w:rPr>
                          <w:color w:val="1F497D" w:themeColor="text2"/>
                        </w:rPr>
                        <w:t xml:space="preserve"> </w:t>
                      </w:r>
                    </w:p>
                  </w:txbxContent>
                </v:textbox>
              </v:shape>
            </w:pict>
          </mc:Fallback>
        </mc:AlternateContent>
      </w:r>
      <w:r>
        <w:rPr>
          <w:noProof/>
          <w:color w:val="1F497D" w:themeColor="text2"/>
        </w:rPr>
        <w:drawing>
          <wp:inline distT="0" distB="0" distL="0" distR="0" wp14:anchorId="07B52A92" wp14:editId="3ADBC8F8">
            <wp:extent cx="1164590" cy="1377950"/>
            <wp:effectExtent l="0" t="0" r="0" b="0"/>
            <wp:docPr id="2" name="Picture 2"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Seal of the Commonwealth of Massachusetts &#10;A blue and yellow emblem with a shield and a sword  &#10;"/>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B70B454" w14:textId="7E6F1D01" w:rsidR="00284DD7" w:rsidRDefault="00284DD7" w:rsidP="00E52620">
      <w:pPr>
        <w:ind w:left="-360"/>
        <w:rPr>
          <w:b/>
          <w:color w:val="303BA2"/>
          <w:szCs w:val="22"/>
        </w:rPr>
      </w:pPr>
    </w:p>
    <w:tbl>
      <w:tblPr>
        <w:tblStyle w:val="TableGrid2"/>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755FE" w:rsidRPr="002F44A1" w14:paraId="44886A3B" w14:textId="77777777" w:rsidTr="00CC3467">
        <w:tc>
          <w:tcPr>
            <w:tcW w:w="4765" w:type="dxa"/>
          </w:tcPr>
          <w:p w14:paraId="14A5EC1D" w14:textId="77777777" w:rsidR="001755FE" w:rsidRPr="002F44A1" w:rsidRDefault="001755FE" w:rsidP="00CC3467">
            <w:pPr>
              <w:rPr>
                <w:rFonts w:ascii="Calibri" w:eastAsia="Calibri" w:hAnsi="Calibri"/>
                <w:sz w:val="22"/>
                <w:szCs w:val="22"/>
              </w:rPr>
            </w:pPr>
            <w:r w:rsidRPr="002F44A1">
              <w:rPr>
                <w:rFonts w:ascii="Calibri" w:eastAsia="Calibri" w:hAnsi="Calibri"/>
                <w:b/>
                <w:color w:val="1F497D"/>
                <w:sz w:val="22"/>
                <w:szCs w:val="22"/>
              </w:rPr>
              <w:t>MAURA T. HEALEY</w:t>
            </w:r>
            <w:r w:rsidRPr="002F44A1">
              <w:rPr>
                <w:rFonts w:ascii="Calibri" w:eastAsia="Calibri" w:hAnsi="Calibri"/>
                <w:b/>
                <w:color w:val="1F497D"/>
                <w:sz w:val="22"/>
                <w:szCs w:val="22"/>
              </w:rPr>
              <w:tab/>
              <w:t xml:space="preserve">                                                                                                                      </w:t>
            </w:r>
          </w:p>
        </w:tc>
        <w:tc>
          <w:tcPr>
            <w:tcW w:w="4775" w:type="dxa"/>
          </w:tcPr>
          <w:p w14:paraId="3C5FDC04" w14:textId="77777777" w:rsidR="001755FE" w:rsidRPr="002F44A1" w:rsidRDefault="001755FE" w:rsidP="00CC3467">
            <w:pPr>
              <w:jc w:val="right"/>
              <w:rPr>
                <w:rFonts w:ascii="Calibri" w:eastAsia="Calibri" w:hAnsi="Calibri"/>
                <w:sz w:val="22"/>
                <w:szCs w:val="22"/>
              </w:rPr>
            </w:pPr>
            <w:r w:rsidRPr="002F44A1">
              <w:rPr>
                <w:rFonts w:ascii="Calibri" w:eastAsia="Calibri" w:hAnsi="Calibri"/>
                <w:b/>
                <w:color w:val="1F497D"/>
                <w:sz w:val="22"/>
                <w:szCs w:val="22"/>
              </w:rPr>
              <w:t>KATHLEEN E. WALSH</w:t>
            </w:r>
          </w:p>
        </w:tc>
      </w:tr>
      <w:tr w:rsidR="001755FE" w:rsidRPr="002F44A1" w14:paraId="27A06DAC" w14:textId="77777777" w:rsidTr="00CC3467">
        <w:tc>
          <w:tcPr>
            <w:tcW w:w="4765" w:type="dxa"/>
          </w:tcPr>
          <w:p w14:paraId="40603F09" w14:textId="77777777" w:rsidR="001755FE" w:rsidRPr="002F44A1" w:rsidRDefault="001755FE" w:rsidP="00CC3467">
            <w:pPr>
              <w:rPr>
                <w:rFonts w:ascii="Calibri" w:eastAsia="Calibri" w:hAnsi="Calibri"/>
                <w:sz w:val="22"/>
                <w:szCs w:val="22"/>
              </w:rPr>
            </w:pPr>
            <w:r w:rsidRPr="002F44A1">
              <w:rPr>
                <w:rFonts w:ascii="Calibri" w:eastAsia="Calibri" w:hAnsi="Calibri"/>
                <w:color w:val="1F497D"/>
                <w:sz w:val="20"/>
                <w:szCs w:val="20"/>
              </w:rPr>
              <w:t>GOVERNOR</w:t>
            </w:r>
            <w:r w:rsidRPr="002F44A1">
              <w:rPr>
                <w:rFonts w:ascii="Calibri" w:eastAsia="Calibri" w:hAnsi="Calibri"/>
                <w:b/>
                <w:color w:val="1F497D"/>
                <w:sz w:val="22"/>
                <w:szCs w:val="22"/>
              </w:rPr>
              <w:t xml:space="preserve">   </w:t>
            </w:r>
          </w:p>
        </w:tc>
        <w:tc>
          <w:tcPr>
            <w:tcW w:w="4775" w:type="dxa"/>
          </w:tcPr>
          <w:p w14:paraId="475F21CC" w14:textId="77777777" w:rsidR="001755FE" w:rsidRPr="002F44A1" w:rsidRDefault="001755FE" w:rsidP="00CC3467">
            <w:pPr>
              <w:jc w:val="right"/>
              <w:rPr>
                <w:rFonts w:ascii="Calibri" w:eastAsia="Calibri" w:hAnsi="Calibri"/>
                <w:sz w:val="22"/>
                <w:szCs w:val="22"/>
              </w:rPr>
            </w:pPr>
            <w:r w:rsidRPr="002F44A1">
              <w:rPr>
                <w:rFonts w:ascii="Calibri" w:eastAsia="Calibri" w:hAnsi="Calibri"/>
                <w:color w:val="1F497D"/>
                <w:sz w:val="20"/>
                <w:szCs w:val="20"/>
              </w:rPr>
              <w:t>SECRETARY, EXECUTIVE OFFICE OF</w:t>
            </w:r>
          </w:p>
        </w:tc>
      </w:tr>
      <w:tr w:rsidR="001755FE" w:rsidRPr="002F44A1" w14:paraId="225DDD1F" w14:textId="77777777" w:rsidTr="00CC3467">
        <w:tc>
          <w:tcPr>
            <w:tcW w:w="4765" w:type="dxa"/>
          </w:tcPr>
          <w:p w14:paraId="509C1BCD" w14:textId="77777777" w:rsidR="001755FE" w:rsidRPr="002F44A1" w:rsidRDefault="001755FE" w:rsidP="00CC3467">
            <w:pPr>
              <w:rPr>
                <w:rFonts w:ascii="Calibri" w:eastAsia="Calibri" w:hAnsi="Calibri"/>
                <w:sz w:val="22"/>
                <w:szCs w:val="22"/>
              </w:rPr>
            </w:pPr>
          </w:p>
        </w:tc>
        <w:tc>
          <w:tcPr>
            <w:tcW w:w="4775" w:type="dxa"/>
          </w:tcPr>
          <w:p w14:paraId="0FE369C8" w14:textId="77777777" w:rsidR="001755FE" w:rsidRPr="002F44A1" w:rsidRDefault="001755FE" w:rsidP="00CC3467">
            <w:pPr>
              <w:jc w:val="right"/>
              <w:rPr>
                <w:rFonts w:ascii="Calibri" w:eastAsia="Calibri" w:hAnsi="Calibri"/>
                <w:sz w:val="22"/>
                <w:szCs w:val="22"/>
              </w:rPr>
            </w:pPr>
            <w:r w:rsidRPr="002F44A1">
              <w:rPr>
                <w:rFonts w:ascii="Calibri" w:eastAsia="Calibri" w:hAnsi="Calibri"/>
                <w:color w:val="1F497D"/>
                <w:sz w:val="20"/>
                <w:szCs w:val="20"/>
              </w:rPr>
              <w:t>HEALTH AND HUMAN SERVICES</w:t>
            </w:r>
          </w:p>
        </w:tc>
      </w:tr>
      <w:tr w:rsidR="001755FE" w:rsidRPr="002F44A1" w14:paraId="541D01B5" w14:textId="77777777" w:rsidTr="00CC3467">
        <w:tc>
          <w:tcPr>
            <w:tcW w:w="4765" w:type="dxa"/>
          </w:tcPr>
          <w:p w14:paraId="05F8C256" w14:textId="77777777" w:rsidR="001755FE" w:rsidRPr="002F44A1" w:rsidRDefault="001755FE" w:rsidP="00CC3467">
            <w:pPr>
              <w:rPr>
                <w:rFonts w:ascii="Calibri" w:eastAsia="Calibri" w:hAnsi="Calibri"/>
                <w:sz w:val="22"/>
                <w:szCs w:val="22"/>
              </w:rPr>
            </w:pPr>
          </w:p>
        </w:tc>
        <w:tc>
          <w:tcPr>
            <w:tcW w:w="4775" w:type="dxa"/>
          </w:tcPr>
          <w:p w14:paraId="33440914" w14:textId="77777777" w:rsidR="001755FE" w:rsidRPr="002F44A1" w:rsidRDefault="001755FE" w:rsidP="00CC3467">
            <w:pPr>
              <w:rPr>
                <w:rFonts w:ascii="Calibri" w:eastAsia="Calibri" w:hAnsi="Calibri"/>
                <w:sz w:val="22"/>
                <w:szCs w:val="22"/>
              </w:rPr>
            </w:pPr>
          </w:p>
        </w:tc>
      </w:tr>
      <w:tr w:rsidR="001755FE" w:rsidRPr="002F44A1" w14:paraId="6C8A2D6D" w14:textId="77777777" w:rsidTr="00CC3467">
        <w:tc>
          <w:tcPr>
            <w:tcW w:w="4765" w:type="dxa"/>
          </w:tcPr>
          <w:p w14:paraId="77D7547E" w14:textId="77777777" w:rsidR="001755FE" w:rsidRPr="002F44A1" w:rsidRDefault="001755FE" w:rsidP="00CC3467">
            <w:pPr>
              <w:rPr>
                <w:rFonts w:ascii="Calibri" w:eastAsia="Calibri" w:hAnsi="Calibri"/>
                <w:sz w:val="22"/>
                <w:szCs w:val="22"/>
              </w:rPr>
            </w:pPr>
            <w:r w:rsidRPr="002F44A1">
              <w:rPr>
                <w:rFonts w:ascii="Calibri" w:eastAsia="Calibri" w:hAnsi="Calibri"/>
                <w:b/>
                <w:color w:val="1F497D"/>
                <w:sz w:val="22"/>
                <w:szCs w:val="22"/>
              </w:rPr>
              <w:t xml:space="preserve">KIMBERLEY DRISCOLL                                   </w:t>
            </w:r>
            <w:r w:rsidRPr="002F44A1">
              <w:rPr>
                <w:rFonts w:ascii="Calibri" w:eastAsia="Calibri" w:hAnsi="Calibri"/>
                <w:color w:val="1F497D"/>
                <w:sz w:val="22"/>
                <w:szCs w:val="22"/>
              </w:rPr>
              <w:t xml:space="preserve">     </w:t>
            </w:r>
          </w:p>
        </w:tc>
        <w:tc>
          <w:tcPr>
            <w:tcW w:w="4775" w:type="dxa"/>
          </w:tcPr>
          <w:p w14:paraId="1AD15A84" w14:textId="77777777" w:rsidR="001755FE" w:rsidRPr="002F44A1" w:rsidRDefault="001755FE" w:rsidP="00CC3467">
            <w:pPr>
              <w:jc w:val="right"/>
              <w:rPr>
                <w:rFonts w:ascii="Calibri" w:eastAsia="Calibri" w:hAnsi="Calibri"/>
                <w:sz w:val="22"/>
                <w:szCs w:val="22"/>
              </w:rPr>
            </w:pPr>
            <w:r w:rsidRPr="002F44A1">
              <w:rPr>
                <w:rFonts w:ascii="Calibri" w:eastAsia="Calibri" w:hAnsi="Calibri"/>
                <w:b/>
                <w:color w:val="1F497D"/>
                <w:sz w:val="22"/>
                <w:szCs w:val="22"/>
              </w:rPr>
              <w:t>ELIZABETH C. CHEN, PhD, MBA, MPH</w:t>
            </w:r>
            <w:r w:rsidRPr="002F44A1">
              <w:rPr>
                <w:rFonts w:ascii="Calibri" w:eastAsia="Calibri" w:hAnsi="Calibri"/>
                <w:sz w:val="22"/>
                <w:szCs w:val="22"/>
              </w:rPr>
              <w:t xml:space="preserve">         </w:t>
            </w:r>
          </w:p>
        </w:tc>
      </w:tr>
      <w:tr w:rsidR="001755FE" w:rsidRPr="002F44A1" w14:paraId="020DCE7E" w14:textId="77777777" w:rsidTr="00CC3467">
        <w:tc>
          <w:tcPr>
            <w:tcW w:w="4765" w:type="dxa"/>
          </w:tcPr>
          <w:p w14:paraId="0BFDA6A3" w14:textId="77777777" w:rsidR="001755FE" w:rsidRPr="002F44A1" w:rsidRDefault="001755FE" w:rsidP="00CC3467">
            <w:pPr>
              <w:rPr>
                <w:rFonts w:ascii="Calibri" w:eastAsia="Calibri" w:hAnsi="Calibri"/>
                <w:sz w:val="22"/>
                <w:szCs w:val="22"/>
              </w:rPr>
            </w:pPr>
            <w:r w:rsidRPr="002F44A1">
              <w:rPr>
                <w:rFonts w:ascii="Calibri" w:eastAsia="Calibri" w:hAnsi="Calibri"/>
                <w:color w:val="1F497D"/>
                <w:sz w:val="20"/>
                <w:szCs w:val="20"/>
              </w:rPr>
              <w:t>LIEUTENANT GOVERNOR</w:t>
            </w:r>
          </w:p>
        </w:tc>
        <w:tc>
          <w:tcPr>
            <w:tcW w:w="4775" w:type="dxa"/>
          </w:tcPr>
          <w:p w14:paraId="1CEE6E65" w14:textId="77777777" w:rsidR="001755FE" w:rsidRPr="002F44A1" w:rsidRDefault="001755FE" w:rsidP="00CC3467">
            <w:pPr>
              <w:jc w:val="right"/>
              <w:rPr>
                <w:rFonts w:ascii="Calibri" w:eastAsia="Calibri" w:hAnsi="Calibri"/>
                <w:sz w:val="22"/>
                <w:szCs w:val="22"/>
              </w:rPr>
            </w:pPr>
            <w:r w:rsidRPr="002F44A1">
              <w:rPr>
                <w:rFonts w:ascii="Calibri" w:eastAsia="Calibri" w:hAnsi="Calibri"/>
                <w:color w:val="1F497D"/>
                <w:sz w:val="20"/>
                <w:szCs w:val="20"/>
              </w:rPr>
              <w:t>SECRETARY, EXECUTIVE OFFICE OF ELDER AFFAIRS</w:t>
            </w:r>
          </w:p>
        </w:tc>
      </w:tr>
    </w:tbl>
    <w:p w14:paraId="1266E4D0" w14:textId="77777777" w:rsidR="00F8230E" w:rsidRDefault="00F8230E" w:rsidP="00E52620">
      <w:pPr>
        <w:ind w:left="-360"/>
        <w:rPr>
          <w:b/>
          <w:color w:val="303BA2"/>
          <w:szCs w:val="22"/>
        </w:rPr>
      </w:pPr>
    </w:p>
    <w:bookmarkStart w:id="0" w:name="_Hlk53737669" w:displacedByCustomXml="next"/>
    <w:sdt>
      <w:sdtPr>
        <w:id w:val="-543602408"/>
        <w:placeholder>
          <w:docPart w:val="B508E33D901443D2A66324089DE36243"/>
        </w:placeholder>
        <w:date w:fullDate="2024-04-10T00:00:00Z">
          <w:dateFormat w:val="MMMM d, yyyy"/>
          <w:lid w:val="en-US"/>
          <w:storeMappedDataAs w:val="dateTime"/>
          <w:calendar w:val="gregorian"/>
        </w:date>
      </w:sdtPr>
      <w:sdtEndPr/>
      <w:sdtContent>
        <w:p w14:paraId="58E8D190" w14:textId="3A7030EF" w:rsidR="004E4D4D" w:rsidRPr="004E4D4D" w:rsidRDefault="00151738" w:rsidP="004E4D4D">
          <w:r>
            <w:t>April 10, 2024</w:t>
          </w:r>
        </w:p>
      </w:sdtContent>
    </w:sdt>
    <w:p w14:paraId="76BC5C7F" w14:textId="3D52EF7B" w:rsidR="004E4D4D" w:rsidRDefault="004E4D4D" w:rsidP="004E4D4D">
      <w:pPr>
        <w:rPr>
          <w:sz w:val="12"/>
          <w:szCs w:val="12"/>
        </w:rPr>
      </w:pPr>
    </w:p>
    <w:p w14:paraId="31BA1D79" w14:textId="77777777" w:rsidR="00C40A03" w:rsidRPr="00262C64" w:rsidRDefault="00C40A03" w:rsidP="004E4D4D">
      <w:pPr>
        <w:rPr>
          <w:sz w:val="12"/>
          <w:szCs w:val="12"/>
        </w:rPr>
      </w:pPr>
    </w:p>
    <w:p w14:paraId="693272F0" w14:textId="76697657" w:rsidR="000A4A02" w:rsidRDefault="000A4A02" w:rsidP="000A4A02">
      <w:r>
        <w:t>Ms. Deborah A. Dastoli, Executive Director</w:t>
      </w:r>
    </w:p>
    <w:p w14:paraId="4F705E64" w14:textId="77777777" w:rsidR="000A4A02" w:rsidRDefault="000A4A02" w:rsidP="000A4A02">
      <w:r>
        <w:t>Elizabeth Calsey House at Lion’s Mouth Road</w:t>
      </w:r>
    </w:p>
    <w:p w14:paraId="24E2102D" w14:textId="77777777" w:rsidR="000A4A02" w:rsidRDefault="000A4A02" w:rsidP="000A4A02">
      <w:r>
        <w:t>286 Lion’s Mouth Road</w:t>
      </w:r>
    </w:p>
    <w:p w14:paraId="3F77B476" w14:textId="0F934CC4" w:rsidR="00367400" w:rsidRDefault="000A4A02" w:rsidP="000A4A02">
      <w:r>
        <w:t>Amesbury, MA 01913</w:t>
      </w:r>
    </w:p>
    <w:p w14:paraId="5D3628FD" w14:textId="77777777" w:rsidR="000A4A02" w:rsidRDefault="000A4A02" w:rsidP="000A4A02">
      <w:pPr>
        <w:rPr>
          <w:b/>
          <w:bCs/>
        </w:rPr>
      </w:pPr>
    </w:p>
    <w:p w14:paraId="650301C7" w14:textId="7F3B11A2" w:rsidR="004E4D4D" w:rsidRPr="004E4D4D" w:rsidRDefault="004E4D4D" w:rsidP="004E4D4D">
      <w:pPr>
        <w:rPr>
          <w:b/>
          <w:bCs/>
        </w:rPr>
      </w:pPr>
      <w:r w:rsidRPr="004E4D4D">
        <w:rPr>
          <w:b/>
          <w:bCs/>
        </w:rPr>
        <w:t>RE: COMPLIANCE REVIEW REPORT</w:t>
      </w:r>
    </w:p>
    <w:p w14:paraId="3F6822FC" w14:textId="77777777" w:rsidR="004E4D4D" w:rsidRPr="004E4D4D" w:rsidRDefault="004E4D4D" w:rsidP="004E4D4D"/>
    <w:p w14:paraId="1912E269" w14:textId="38222ED0" w:rsidR="004E4D4D" w:rsidRPr="004E4D4D" w:rsidRDefault="004E4D4D" w:rsidP="1FEB3076">
      <w:pPr>
        <w:rPr>
          <w:rFonts w:ascii="New times roman" w:hAnsi="New times roman"/>
        </w:rPr>
      </w:pPr>
      <w:r>
        <w:t>Dear M</w:t>
      </w:r>
      <w:r w:rsidR="00E01818">
        <w:t>s</w:t>
      </w:r>
      <w:r>
        <w:t>.</w:t>
      </w:r>
      <w:r w:rsidR="006D5EE7">
        <w:t xml:space="preserve"> </w:t>
      </w:r>
      <w:r w:rsidR="000A4A02">
        <w:t>Dastoli</w:t>
      </w:r>
      <w:r>
        <w:t>,</w:t>
      </w:r>
    </w:p>
    <w:p w14:paraId="048486DA" w14:textId="77777777" w:rsidR="004E4D4D" w:rsidRPr="004E4D4D" w:rsidRDefault="004E4D4D" w:rsidP="004E4D4D"/>
    <w:p w14:paraId="6B360F37" w14:textId="77777777" w:rsidR="004E4D4D" w:rsidRPr="004E4D4D" w:rsidRDefault="004E4D4D" w:rsidP="004E4D4D">
      <w:r w:rsidRPr="004E4D4D">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13F2AFC3" w14:textId="77777777" w:rsidR="004E4D4D" w:rsidRPr="004E4D4D" w:rsidRDefault="004E4D4D" w:rsidP="004E4D4D">
      <w:pPr>
        <w:tabs>
          <w:tab w:val="left" w:pos="270"/>
        </w:tabs>
        <w:rPr>
          <w:color w:val="FF0000"/>
        </w:rPr>
      </w:pPr>
      <w:r w:rsidRPr="004E4D4D">
        <w:rPr>
          <w:color w:val="FF0000"/>
        </w:rPr>
        <w:t xml:space="preserve"> </w:t>
      </w:r>
    </w:p>
    <w:tbl>
      <w:tblPr>
        <w:tblStyle w:val="TableGrid1"/>
        <w:tblpPr w:leftFromText="180" w:rightFromText="180" w:vertAnchor="text" w:tblpXSpec="right" w:tblpY="1"/>
        <w:tblOverlap w:val="never"/>
        <w:tblW w:w="9270" w:type="dxa"/>
        <w:tblLook w:val="04A0" w:firstRow="1" w:lastRow="0" w:firstColumn="1" w:lastColumn="0" w:noHBand="0" w:noVBand="1"/>
      </w:tblPr>
      <w:tblGrid>
        <w:gridCol w:w="3505"/>
        <w:gridCol w:w="5765"/>
      </w:tblGrid>
      <w:tr w:rsidR="004E4D4D" w:rsidRPr="004E4D4D" w14:paraId="536A75AA" w14:textId="77777777" w:rsidTr="00B3473F">
        <w:trPr>
          <w:trHeight w:val="353"/>
        </w:trPr>
        <w:tc>
          <w:tcPr>
            <w:tcW w:w="3505" w:type="dxa"/>
            <w:shd w:val="clear" w:color="auto" w:fill="F2F2F2" w:themeFill="background1" w:themeFillShade="F2"/>
          </w:tcPr>
          <w:p w14:paraId="604D8C34" w14:textId="77777777" w:rsidR="004E4D4D" w:rsidRPr="004E4D4D" w:rsidRDefault="004E4D4D" w:rsidP="00A402FE">
            <w:pPr>
              <w:rPr>
                <w:b/>
                <w:bCs/>
                <w:u w:val="single"/>
              </w:rPr>
            </w:pPr>
            <w:r w:rsidRPr="004E4D4D">
              <w:rPr>
                <w:b/>
                <w:bCs/>
              </w:rPr>
              <w:t>Residence Name:</w:t>
            </w:r>
          </w:p>
        </w:tc>
        <w:tc>
          <w:tcPr>
            <w:tcW w:w="5765" w:type="dxa"/>
          </w:tcPr>
          <w:p w14:paraId="1A0881DB" w14:textId="5C546AC6" w:rsidR="004E4D4D" w:rsidRPr="003E3D46" w:rsidRDefault="000A4A02" w:rsidP="000A4A02">
            <w:r>
              <w:t>Elizabeth Calsey House at Lion’s Mouth Road</w:t>
            </w:r>
          </w:p>
        </w:tc>
      </w:tr>
      <w:tr w:rsidR="004E4D4D" w:rsidRPr="004E4D4D" w14:paraId="6DDC61B8" w14:textId="77777777" w:rsidTr="00B3473F">
        <w:tc>
          <w:tcPr>
            <w:tcW w:w="3505" w:type="dxa"/>
            <w:shd w:val="clear" w:color="auto" w:fill="F2F2F2" w:themeFill="background1" w:themeFillShade="F2"/>
          </w:tcPr>
          <w:p w14:paraId="3630E30F" w14:textId="77777777" w:rsidR="004E4D4D" w:rsidRPr="004E4D4D" w:rsidRDefault="004E4D4D" w:rsidP="00A402FE">
            <w:pPr>
              <w:rPr>
                <w:b/>
                <w:bCs/>
                <w:u w:val="single"/>
              </w:rPr>
            </w:pPr>
            <w:r w:rsidRPr="004E4D4D">
              <w:rPr>
                <w:b/>
                <w:bCs/>
              </w:rPr>
              <w:t>Address:</w:t>
            </w:r>
          </w:p>
        </w:tc>
        <w:tc>
          <w:tcPr>
            <w:tcW w:w="5765" w:type="dxa"/>
          </w:tcPr>
          <w:p w14:paraId="5BF6B4F8" w14:textId="77777777" w:rsidR="000A4A02" w:rsidRDefault="000A4A02" w:rsidP="000A4A02">
            <w:r>
              <w:t>286 Lion’s Mouth Road</w:t>
            </w:r>
          </w:p>
          <w:p w14:paraId="2D5D42E7" w14:textId="40B169B5" w:rsidR="004E4D4D" w:rsidRPr="006717BD" w:rsidRDefault="000A4A02" w:rsidP="000A4A02">
            <w:r>
              <w:t>Amesbury, MA 01913</w:t>
            </w:r>
          </w:p>
        </w:tc>
      </w:tr>
      <w:tr w:rsidR="004E4D4D" w:rsidRPr="004E4D4D" w14:paraId="4D75F8FF" w14:textId="77777777" w:rsidTr="00B3473F">
        <w:tc>
          <w:tcPr>
            <w:tcW w:w="3505" w:type="dxa"/>
            <w:shd w:val="clear" w:color="auto" w:fill="F2F2F2" w:themeFill="background1" w:themeFillShade="F2"/>
          </w:tcPr>
          <w:p w14:paraId="3A9DCCD3" w14:textId="77777777" w:rsidR="004E4D4D" w:rsidRPr="004E4D4D" w:rsidRDefault="004E4D4D" w:rsidP="00A402FE">
            <w:pPr>
              <w:rPr>
                <w:b/>
                <w:bCs/>
                <w:u w:val="single"/>
              </w:rPr>
            </w:pPr>
            <w:r w:rsidRPr="004E4D4D">
              <w:rPr>
                <w:b/>
                <w:bCs/>
              </w:rPr>
              <w:t>Initial Certification:</w:t>
            </w:r>
          </w:p>
        </w:tc>
        <w:tc>
          <w:tcPr>
            <w:tcW w:w="5765" w:type="dxa"/>
          </w:tcPr>
          <w:p w14:paraId="52C79397" w14:textId="7870EE1D" w:rsidR="004E4D4D" w:rsidRPr="004E4D4D" w:rsidRDefault="00B01D77" w:rsidP="00A402FE">
            <w:r>
              <w:t>5</w:t>
            </w:r>
            <w:r w:rsidR="003E38C8" w:rsidRPr="000B3219">
              <w:t>/</w:t>
            </w:r>
            <w:r>
              <w:t>31</w:t>
            </w:r>
            <w:r w:rsidR="003E38C8" w:rsidRPr="000B3219">
              <w:t>/</w:t>
            </w:r>
            <w:r w:rsidR="00A2657B">
              <w:t>20</w:t>
            </w:r>
            <w:r>
              <w:t>02</w:t>
            </w:r>
          </w:p>
        </w:tc>
      </w:tr>
      <w:tr w:rsidR="004E4D4D" w:rsidRPr="004E4D4D" w14:paraId="51392323" w14:textId="77777777" w:rsidTr="00B3473F">
        <w:trPr>
          <w:trHeight w:val="278"/>
        </w:trPr>
        <w:tc>
          <w:tcPr>
            <w:tcW w:w="3505" w:type="dxa"/>
            <w:shd w:val="clear" w:color="auto" w:fill="F2F2F2" w:themeFill="background1" w:themeFillShade="F2"/>
          </w:tcPr>
          <w:p w14:paraId="41DE331E" w14:textId="77777777" w:rsidR="004E4D4D" w:rsidRPr="004E4D4D" w:rsidRDefault="004E4D4D" w:rsidP="00A402FE">
            <w:pPr>
              <w:rPr>
                <w:b/>
                <w:bCs/>
                <w:u w:val="single"/>
              </w:rPr>
            </w:pPr>
            <w:r w:rsidRPr="004E4D4D">
              <w:rPr>
                <w:b/>
                <w:bCs/>
              </w:rPr>
              <w:t>Current Certification:</w:t>
            </w:r>
          </w:p>
        </w:tc>
        <w:tc>
          <w:tcPr>
            <w:tcW w:w="5765" w:type="dxa"/>
          </w:tcPr>
          <w:p w14:paraId="045BCFA2" w14:textId="25863657" w:rsidR="004E4D4D" w:rsidRPr="004E4D4D" w:rsidRDefault="4607662F" w:rsidP="00A402FE">
            <w:r>
              <w:t>Certified through</w:t>
            </w:r>
            <w:r w:rsidR="1FBF751F">
              <w:t xml:space="preserve"> </w:t>
            </w:r>
            <w:r w:rsidR="00522929">
              <w:t>5</w:t>
            </w:r>
            <w:r w:rsidR="0054615B">
              <w:t>/</w:t>
            </w:r>
            <w:r w:rsidR="00A16B17">
              <w:t>9</w:t>
            </w:r>
            <w:r w:rsidR="1FBF751F">
              <w:t>/202</w:t>
            </w:r>
            <w:r w:rsidR="0092206D">
              <w:t>4</w:t>
            </w:r>
          </w:p>
        </w:tc>
      </w:tr>
      <w:tr w:rsidR="004E4D4D" w:rsidRPr="004E4D4D" w14:paraId="236622AB" w14:textId="77777777" w:rsidTr="00B3473F">
        <w:tc>
          <w:tcPr>
            <w:tcW w:w="3505" w:type="dxa"/>
            <w:shd w:val="clear" w:color="auto" w:fill="F2F2F2" w:themeFill="background1" w:themeFillShade="F2"/>
          </w:tcPr>
          <w:p w14:paraId="1805D2C7" w14:textId="77777777" w:rsidR="004E4D4D" w:rsidRPr="004E4D4D" w:rsidRDefault="004E4D4D" w:rsidP="00A402FE">
            <w:pPr>
              <w:rPr>
                <w:b/>
                <w:bCs/>
                <w:u w:val="single"/>
              </w:rPr>
            </w:pPr>
            <w:r w:rsidRPr="004E4D4D">
              <w:rPr>
                <w:b/>
                <w:bCs/>
              </w:rPr>
              <w:t>Last Compliance Review:</w:t>
            </w:r>
          </w:p>
        </w:tc>
        <w:tc>
          <w:tcPr>
            <w:tcW w:w="5765" w:type="dxa"/>
          </w:tcPr>
          <w:p w14:paraId="3273E6B3" w14:textId="548901F7" w:rsidR="004E4D4D" w:rsidRPr="004E4D4D" w:rsidRDefault="00365BFA" w:rsidP="00A402FE">
            <w:r>
              <w:t>9/20/2022</w:t>
            </w:r>
          </w:p>
        </w:tc>
      </w:tr>
      <w:tr w:rsidR="004E4D4D" w:rsidRPr="004E4D4D" w14:paraId="28DAA072" w14:textId="77777777" w:rsidTr="00B3473F">
        <w:tc>
          <w:tcPr>
            <w:tcW w:w="3505" w:type="dxa"/>
            <w:shd w:val="clear" w:color="auto" w:fill="F2F2F2" w:themeFill="background1" w:themeFillShade="F2"/>
          </w:tcPr>
          <w:p w14:paraId="204CB218" w14:textId="77777777" w:rsidR="004E4D4D" w:rsidRPr="004E4D4D" w:rsidRDefault="004E4D4D" w:rsidP="00A402FE">
            <w:pPr>
              <w:rPr>
                <w:b/>
                <w:bCs/>
                <w:u w:val="single"/>
              </w:rPr>
            </w:pPr>
            <w:r w:rsidRPr="004E4D4D">
              <w:rPr>
                <w:b/>
                <w:bCs/>
              </w:rPr>
              <w:t># Certified Total Units:</w:t>
            </w:r>
          </w:p>
        </w:tc>
        <w:tc>
          <w:tcPr>
            <w:tcW w:w="5765" w:type="dxa"/>
          </w:tcPr>
          <w:p w14:paraId="3959107F" w14:textId="0FC1EC48" w:rsidR="004E4D4D" w:rsidRPr="004E4D4D" w:rsidRDefault="00B81362" w:rsidP="00A402FE">
            <w:r>
              <w:t>26</w:t>
            </w:r>
          </w:p>
        </w:tc>
      </w:tr>
      <w:tr w:rsidR="004E4D4D" w:rsidRPr="004E4D4D" w14:paraId="62CAB609" w14:textId="77777777" w:rsidTr="00B3473F">
        <w:tc>
          <w:tcPr>
            <w:tcW w:w="3505" w:type="dxa"/>
            <w:shd w:val="clear" w:color="auto" w:fill="F2F2F2" w:themeFill="background1" w:themeFillShade="F2"/>
          </w:tcPr>
          <w:p w14:paraId="6649F3C1" w14:textId="77777777" w:rsidR="004E4D4D" w:rsidRPr="004E4D4D" w:rsidRDefault="004E4D4D" w:rsidP="00A402FE">
            <w:pPr>
              <w:rPr>
                <w:b/>
                <w:bCs/>
                <w:u w:val="single"/>
              </w:rPr>
            </w:pPr>
            <w:r w:rsidRPr="004E4D4D">
              <w:rPr>
                <w:b/>
                <w:bCs/>
              </w:rPr>
              <w:t>Special Care Residences:</w:t>
            </w:r>
          </w:p>
        </w:tc>
        <w:tc>
          <w:tcPr>
            <w:tcW w:w="5765" w:type="dxa"/>
          </w:tcPr>
          <w:p w14:paraId="3E1911C0" w14:textId="117FA213" w:rsidR="004E4D4D" w:rsidRPr="004E4D4D" w:rsidRDefault="00B81362" w:rsidP="00A402FE">
            <w:r>
              <w:t>0</w:t>
            </w:r>
          </w:p>
        </w:tc>
      </w:tr>
      <w:tr w:rsidR="004E4D4D" w:rsidRPr="004E4D4D" w14:paraId="07B3E585" w14:textId="77777777" w:rsidTr="00B3473F">
        <w:tc>
          <w:tcPr>
            <w:tcW w:w="3505" w:type="dxa"/>
            <w:shd w:val="clear" w:color="auto" w:fill="F2F2F2" w:themeFill="background1" w:themeFillShade="F2"/>
          </w:tcPr>
          <w:p w14:paraId="15B65575" w14:textId="77777777" w:rsidR="004E4D4D" w:rsidRPr="004E4D4D" w:rsidRDefault="004E4D4D" w:rsidP="00A402FE">
            <w:pPr>
              <w:rPr>
                <w:b/>
                <w:bCs/>
                <w:u w:val="single"/>
              </w:rPr>
            </w:pPr>
            <w:r w:rsidRPr="004E4D4D">
              <w:rPr>
                <w:b/>
                <w:bCs/>
              </w:rPr>
              <w:t>Special Care Units:</w:t>
            </w:r>
          </w:p>
        </w:tc>
        <w:tc>
          <w:tcPr>
            <w:tcW w:w="5765" w:type="dxa"/>
          </w:tcPr>
          <w:p w14:paraId="0EF92959" w14:textId="13BE2FE6" w:rsidR="004E4D4D" w:rsidRPr="004E4D4D" w:rsidRDefault="00B81362" w:rsidP="00A402FE">
            <w:r>
              <w:t>0</w:t>
            </w:r>
          </w:p>
        </w:tc>
      </w:tr>
      <w:tr w:rsidR="004E4D4D" w:rsidRPr="004E4D4D" w14:paraId="7EE8C47F" w14:textId="77777777" w:rsidTr="00B3473F">
        <w:tc>
          <w:tcPr>
            <w:tcW w:w="3505" w:type="dxa"/>
            <w:shd w:val="clear" w:color="auto" w:fill="F2F2F2" w:themeFill="background1" w:themeFillShade="F2"/>
          </w:tcPr>
          <w:p w14:paraId="1B78DCE9" w14:textId="77777777" w:rsidR="004E4D4D" w:rsidRPr="004E4D4D" w:rsidRDefault="004E4D4D" w:rsidP="00A402FE">
            <w:pPr>
              <w:rPr>
                <w:b/>
                <w:bCs/>
                <w:u w:val="single"/>
              </w:rPr>
            </w:pPr>
            <w:r w:rsidRPr="004E4D4D">
              <w:rPr>
                <w:b/>
                <w:bCs/>
              </w:rPr>
              <w:t>Action Taken:</w:t>
            </w:r>
          </w:p>
        </w:tc>
        <w:tc>
          <w:tcPr>
            <w:tcW w:w="5765" w:type="dxa"/>
          </w:tcPr>
          <w:p w14:paraId="06BF95F6" w14:textId="68BAD023" w:rsidR="004E4D4D" w:rsidRPr="004E4D4D" w:rsidRDefault="000901E7" w:rsidP="00A402FE">
            <w:r>
              <w:t>No</w:t>
            </w:r>
          </w:p>
        </w:tc>
      </w:tr>
      <w:tr w:rsidR="004E4D4D" w:rsidRPr="004E4D4D" w14:paraId="05EE572F" w14:textId="77777777" w:rsidTr="00B3473F">
        <w:tc>
          <w:tcPr>
            <w:tcW w:w="3505" w:type="dxa"/>
            <w:shd w:val="clear" w:color="auto" w:fill="F2F2F2" w:themeFill="background1" w:themeFillShade="F2"/>
          </w:tcPr>
          <w:p w14:paraId="42C73CF0" w14:textId="2F447D10" w:rsidR="004E4D4D" w:rsidRPr="004E4D4D" w:rsidRDefault="004E4D4D" w:rsidP="00A402FE">
            <w:pPr>
              <w:rPr>
                <w:b/>
                <w:bCs/>
                <w:u w:val="single"/>
              </w:rPr>
            </w:pPr>
            <w:r w:rsidRPr="004E4D4D">
              <w:rPr>
                <w:b/>
                <w:bCs/>
              </w:rPr>
              <w:t>Previous Action:</w:t>
            </w:r>
            <w:r w:rsidR="004D3540">
              <w:rPr>
                <w:b/>
                <w:bCs/>
              </w:rPr>
              <w:t xml:space="preserve"> </w:t>
            </w:r>
          </w:p>
        </w:tc>
        <w:tc>
          <w:tcPr>
            <w:tcW w:w="5765" w:type="dxa"/>
          </w:tcPr>
          <w:p w14:paraId="7079A651" w14:textId="48C100B2" w:rsidR="004E4D4D" w:rsidRPr="004E4D4D" w:rsidRDefault="00F07C79" w:rsidP="00A402FE">
            <w:r>
              <w:t>No</w:t>
            </w:r>
          </w:p>
        </w:tc>
      </w:tr>
      <w:tr w:rsidR="004E4D4D" w:rsidRPr="004E4D4D" w14:paraId="40A077F3" w14:textId="77777777" w:rsidTr="00B3473F">
        <w:tc>
          <w:tcPr>
            <w:tcW w:w="3505" w:type="dxa"/>
            <w:shd w:val="clear" w:color="auto" w:fill="F2F2F2" w:themeFill="background1" w:themeFillShade="F2"/>
          </w:tcPr>
          <w:p w14:paraId="23934CF7" w14:textId="77777777" w:rsidR="004E4D4D" w:rsidRPr="004E4D4D" w:rsidRDefault="004E4D4D" w:rsidP="00A402FE">
            <w:pPr>
              <w:rPr>
                <w:b/>
                <w:bCs/>
                <w:u w:val="single"/>
              </w:rPr>
            </w:pPr>
            <w:r w:rsidRPr="004E4D4D">
              <w:rPr>
                <w:b/>
                <w:bCs/>
              </w:rPr>
              <w:t>Owner:</w:t>
            </w:r>
          </w:p>
        </w:tc>
        <w:tc>
          <w:tcPr>
            <w:tcW w:w="5765" w:type="dxa"/>
          </w:tcPr>
          <w:p w14:paraId="64FC5D9F" w14:textId="2753B431" w:rsidR="004E4D4D" w:rsidRPr="004E4D4D" w:rsidRDefault="00442385" w:rsidP="00A402FE">
            <w:r w:rsidRPr="002065A7">
              <w:t>Elizabeth Calsey House at Lion’s Mouth Road, Inc.</w:t>
            </w:r>
          </w:p>
        </w:tc>
      </w:tr>
    </w:tbl>
    <w:p w14:paraId="4B3ACFD2" w14:textId="77777777" w:rsidR="004E4D4D" w:rsidRPr="004E4D4D" w:rsidRDefault="004E4D4D" w:rsidP="000A5376">
      <w:pPr>
        <w:numPr>
          <w:ilvl w:val="0"/>
          <w:numId w:val="3"/>
        </w:numPr>
        <w:tabs>
          <w:tab w:val="left" w:pos="0"/>
          <w:tab w:val="left" w:pos="270"/>
        </w:tabs>
        <w:contextualSpacing/>
      </w:pPr>
      <w:bookmarkStart w:id="1" w:name="_Hlk115880134"/>
      <w:r w:rsidRPr="004E4D4D">
        <w:rPr>
          <w:b/>
          <w:bCs/>
          <w:u w:val="single"/>
        </w:rPr>
        <w:lastRenderedPageBreak/>
        <w:t>Summary of Actions</w:t>
      </w:r>
      <w:r w:rsidRPr="004E4D4D">
        <w:rPr>
          <w:b/>
          <w:bCs/>
        </w:rPr>
        <w:t>.</w:t>
      </w:r>
      <w:r w:rsidRPr="004E4D4D">
        <w:t xml:space="preserve"> </w:t>
      </w:r>
    </w:p>
    <w:bookmarkEnd w:id="1"/>
    <w:p w14:paraId="7A9C3D10" w14:textId="51B8EBC9" w:rsidR="004E4D4D" w:rsidRDefault="00BE0AD5" w:rsidP="004E4D4D">
      <w:pPr>
        <w:tabs>
          <w:tab w:val="left" w:pos="270"/>
        </w:tabs>
        <w:contextualSpacing/>
      </w:pPr>
      <w:r w:rsidRPr="00BE0AD5">
        <w:t xml:space="preserve">EOEA conducted an on-site compliance review on </w:t>
      </w:r>
      <w:r>
        <w:t xml:space="preserve">April </w:t>
      </w:r>
      <w:r w:rsidR="005A2B76">
        <w:t>9</w:t>
      </w:r>
      <w:r w:rsidRPr="00BE0AD5">
        <w:t xml:space="preserve">, 2024. </w:t>
      </w:r>
      <w:r w:rsidR="005A2B76">
        <w:t>Elizabeth Calsey House at Lion’s Mouth Road</w:t>
      </w:r>
      <w:r w:rsidRPr="00BE0AD5">
        <w:t xml:space="preserve"> (Residence) will continue to be certified until the Executive Office of Elder Affairs (Elder Affairs) issues a notice regarding final approval or denial of the application for recertification.  Final approval will be granted when the issues discussed below have been clarified or corrected in writing.</w:t>
      </w:r>
    </w:p>
    <w:p w14:paraId="1BB5F997" w14:textId="77777777" w:rsidR="00BE0AD5" w:rsidRPr="004E4D4D" w:rsidRDefault="00BE0AD5" w:rsidP="004E4D4D">
      <w:pPr>
        <w:tabs>
          <w:tab w:val="left" w:pos="270"/>
        </w:tabs>
        <w:contextualSpacing/>
        <w:rPr>
          <w:szCs w:val="20"/>
        </w:rPr>
      </w:pPr>
    </w:p>
    <w:p w14:paraId="56DF8DE4" w14:textId="77777777" w:rsidR="004E4D4D" w:rsidRPr="004E4D4D" w:rsidRDefault="004E4D4D" w:rsidP="000A5376">
      <w:pPr>
        <w:numPr>
          <w:ilvl w:val="0"/>
          <w:numId w:val="3"/>
        </w:numPr>
        <w:contextualSpacing/>
        <w:jc w:val="both"/>
        <w:rPr>
          <w:szCs w:val="20"/>
        </w:rPr>
      </w:pPr>
      <w:bookmarkStart w:id="2" w:name="_Hlk115880097"/>
      <w:r w:rsidRPr="004E4D4D">
        <w:rPr>
          <w:b/>
          <w:u w:val="single"/>
        </w:rPr>
        <w:t>Findings</w:t>
      </w:r>
      <w:r w:rsidRPr="004E4D4D">
        <w:rPr>
          <w:b/>
        </w:rPr>
        <w:t>.</w:t>
      </w:r>
    </w:p>
    <w:p w14:paraId="59534010" w14:textId="77777777" w:rsidR="004E4D4D" w:rsidRPr="004E4D4D" w:rsidRDefault="004E4D4D" w:rsidP="004E4D4D">
      <w:r w:rsidRPr="004E4D4D">
        <w:t>In accordance with 651 CMR 12.09(4)(b), this compliance report cites the specific portion of the law(s) or regulation(s) that have been violated and sets forth the corrective action required to be taken by the Residence.</w:t>
      </w:r>
    </w:p>
    <w:p w14:paraId="69CD96A7" w14:textId="77777777" w:rsidR="004E4D4D" w:rsidRPr="004E4D4D" w:rsidRDefault="004E4D4D" w:rsidP="004E4D4D">
      <w:pPr>
        <w:contextualSpacing/>
        <w:rPr>
          <w:i/>
        </w:rPr>
      </w:pPr>
    </w:p>
    <w:p w14:paraId="0F1973A4" w14:textId="77777777" w:rsidR="004E4D4D" w:rsidRPr="004E4D4D" w:rsidRDefault="004E4D4D" w:rsidP="004E4D4D">
      <w:pPr>
        <w:contextualSpacing/>
        <w:rPr>
          <w:i/>
          <w:color w:val="FF0000"/>
        </w:rPr>
      </w:pPr>
    </w:p>
    <w:p w14:paraId="5E760E6D" w14:textId="77777777" w:rsidR="004E4D4D" w:rsidRPr="004E4D4D" w:rsidRDefault="004E4D4D" w:rsidP="004E4D4D">
      <w:pPr>
        <w:tabs>
          <w:tab w:val="left" w:pos="270"/>
        </w:tabs>
        <w:contextualSpacing/>
        <w:rPr>
          <w:b/>
          <w:u w:val="single"/>
        </w:rPr>
      </w:pPr>
      <w:r w:rsidRPr="004E4D4D">
        <w:rPr>
          <w:b/>
          <w:bCs/>
        </w:rPr>
        <w:t>Continue to next page.</w:t>
      </w:r>
    </w:p>
    <w:p w14:paraId="7214601C" w14:textId="77777777" w:rsidR="004E4D4D" w:rsidRPr="004E4D4D" w:rsidRDefault="004E4D4D" w:rsidP="004E4D4D">
      <w:pPr>
        <w:tabs>
          <w:tab w:val="left" w:pos="270"/>
        </w:tabs>
        <w:contextualSpacing/>
        <w:rPr>
          <w:b/>
          <w:u w:val="single"/>
        </w:rPr>
      </w:pPr>
    </w:p>
    <w:bookmarkEnd w:id="2"/>
    <w:p w14:paraId="12B7FD53" w14:textId="77777777" w:rsidR="004E4D4D" w:rsidRPr="004E4D4D" w:rsidRDefault="004E4D4D" w:rsidP="004E4D4D">
      <w:pPr>
        <w:tabs>
          <w:tab w:val="left" w:pos="270"/>
        </w:tabs>
        <w:contextualSpacing/>
        <w:rPr>
          <w:b/>
          <w:u w:val="single"/>
        </w:rPr>
      </w:pPr>
    </w:p>
    <w:p w14:paraId="377E030A" w14:textId="77777777" w:rsidR="004E4D4D" w:rsidRPr="004E4D4D" w:rsidRDefault="004E4D4D" w:rsidP="004E4D4D">
      <w:pPr>
        <w:tabs>
          <w:tab w:val="left" w:pos="270"/>
        </w:tabs>
        <w:contextualSpacing/>
        <w:rPr>
          <w:b/>
          <w:color w:val="FF0000"/>
          <w:u w:val="single"/>
        </w:rPr>
      </w:pPr>
    </w:p>
    <w:p w14:paraId="78475EB6" w14:textId="77777777" w:rsidR="004E4D4D" w:rsidRPr="004E4D4D" w:rsidRDefault="004E4D4D" w:rsidP="004E4D4D">
      <w:pPr>
        <w:tabs>
          <w:tab w:val="left" w:pos="270"/>
        </w:tabs>
        <w:contextualSpacing/>
        <w:rPr>
          <w:b/>
          <w:color w:val="FF0000"/>
          <w:u w:val="single"/>
        </w:rPr>
      </w:pPr>
    </w:p>
    <w:p w14:paraId="65096247" w14:textId="77777777" w:rsidR="004E4D4D" w:rsidRPr="004E4D4D" w:rsidRDefault="004E4D4D" w:rsidP="004E4D4D">
      <w:pPr>
        <w:tabs>
          <w:tab w:val="left" w:pos="270"/>
        </w:tabs>
        <w:contextualSpacing/>
        <w:rPr>
          <w:b/>
          <w:color w:val="FF0000"/>
          <w:u w:val="single"/>
        </w:rPr>
      </w:pPr>
    </w:p>
    <w:p w14:paraId="340C28DE" w14:textId="77777777" w:rsidR="004E4D4D" w:rsidRPr="004E4D4D" w:rsidRDefault="004E4D4D" w:rsidP="004E4D4D">
      <w:pPr>
        <w:tabs>
          <w:tab w:val="left" w:pos="270"/>
        </w:tabs>
        <w:contextualSpacing/>
        <w:rPr>
          <w:b/>
          <w:color w:val="FF0000"/>
          <w:u w:val="single"/>
        </w:rPr>
      </w:pPr>
    </w:p>
    <w:p w14:paraId="518895C7" w14:textId="77777777" w:rsidR="004E4D4D" w:rsidRPr="004E4D4D" w:rsidRDefault="004E4D4D" w:rsidP="004E4D4D">
      <w:pPr>
        <w:tabs>
          <w:tab w:val="left" w:pos="270"/>
        </w:tabs>
        <w:contextualSpacing/>
        <w:rPr>
          <w:b/>
          <w:color w:val="FF0000"/>
          <w:u w:val="single"/>
        </w:rPr>
      </w:pPr>
    </w:p>
    <w:p w14:paraId="7FE6D7EB" w14:textId="77777777" w:rsidR="004E4D4D" w:rsidRPr="004E4D4D" w:rsidRDefault="004E4D4D" w:rsidP="004E4D4D">
      <w:pPr>
        <w:tabs>
          <w:tab w:val="left" w:pos="270"/>
        </w:tabs>
        <w:contextualSpacing/>
        <w:rPr>
          <w:b/>
          <w:color w:val="FF0000"/>
          <w:u w:val="single"/>
        </w:rPr>
      </w:pPr>
    </w:p>
    <w:p w14:paraId="55F65066" w14:textId="77777777" w:rsidR="004E4D4D" w:rsidRPr="004E4D4D" w:rsidRDefault="004E4D4D" w:rsidP="004E4D4D">
      <w:pPr>
        <w:tabs>
          <w:tab w:val="left" w:pos="270"/>
        </w:tabs>
        <w:contextualSpacing/>
        <w:rPr>
          <w:b/>
          <w:color w:val="FF0000"/>
          <w:u w:val="single"/>
        </w:rPr>
        <w:sectPr w:rsidR="004E4D4D" w:rsidRPr="004E4D4D" w:rsidSect="00127237">
          <w:headerReference w:type="default" r:id="rId11"/>
          <w:footerReference w:type="default" r:id="rId12"/>
          <w:headerReference w:type="first" r:id="rId13"/>
          <w:footerReference w:type="first" r:id="rId14"/>
          <w:pgSz w:w="12240" w:h="15840" w:code="1"/>
          <w:pgMar w:top="720" w:right="1440" w:bottom="288" w:left="1440" w:header="720" w:footer="720" w:gutter="0"/>
          <w:cols w:space="720"/>
          <w:titlePg/>
          <w:docGrid w:linePitch="360"/>
        </w:sectPr>
      </w:pPr>
    </w:p>
    <w:tbl>
      <w:tblPr>
        <w:tblStyle w:val="TableGrid1"/>
        <w:tblW w:w="14935" w:type="dxa"/>
        <w:tblInd w:w="-995" w:type="dxa"/>
        <w:tblLook w:val="04A0" w:firstRow="1" w:lastRow="0" w:firstColumn="1" w:lastColumn="0" w:noHBand="0" w:noVBand="1"/>
      </w:tblPr>
      <w:tblGrid>
        <w:gridCol w:w="1697"/>
        <w:gridCol w:w="3972"/>
        <w:gridCol w:w="2882"/>
        <w:gridCol w:w="3580"/>
        <w:gridCol w:w="1764"/>
        <w:gridCol w:w="1040"/>
      </w:tblGrid>
      <w:tr w:rsidR="004E4D4D" w:rsidRPr="004E4D4D" w14:paraId="34833A01" w14:textId="77777777" w:rsidTr="00145906">
        <w:tc>
          <w:tcPr>
            <w:tcW w:w="1697" w:type="dxa"/>
            <w:shd w:val="clear" w:color="auto" w:fill="F2F2F2" w:themeFill="background1" w:themeFillShade="F2"/>
          </w:tcPr>
          <w:p w14:paraId="657746F9" w14:textId="77777777" w:rsidR="004E4D4D" w:rsidRPr="004E4D4D" w:rsidRDefault="004E4D4D" w:rsidP="004E4D4D">
            <w:pPr>
              <w:spacing w:before="240" w:after="200" w:line="276" w:lineRule="auto"/>
              <w:jc w:val="center"/>
              <w:rPr>
                <w:b/>
                <w:bCs/>
                <w:u w:val="single"/>
              </w:rPr>
            </w:pPr>
            <w:r w:rsidRPr="004E4D4D">
              <w:rPr>
                <w:b/>
                <w:bCs/>
                <w:u w:val="single"/>
              </w:rPr>
              <w:lastRenderedPageBreak/>
              <w:t>FINDING REFERENCE</w:t>
            </w:r>
          </w:p>
        </w:tc>
        <w:tc>
          <w:tcPr>
            <w:tcW w:w="3972" w:type="dxa"/>
            <w:shd w:val="clear" w:color="auto" w:fill="F2F2F2" w:themeFill="background1" w:themeFillShade="F2"/>
          </w:tcPr>
          <w:p w14:paraId="2BEAAA35" w14:textId="77777777" w:rsidR="004E4D4D" w:rsidRPr="004E4D4D" w:rsidRDefault="004E4D4D" w:rsidP="004E4D4D">
            <w:pPr>
              <w:spacing w:before="240" w:after="200" w:line="276" w:lineRule="auto"/>
              <w:jc w:val="center"/>
              <w:rPr>
                <w:b/>
                <w:bCs/>
                <w:u w:val="single"/>
              </w:rPr>
            </w:pPr>
            <w:r w:rsidRPr="004E4D4D">
              <w:rPr>
                <w:b/>
                <w:bCs/>
                <w:smallCaps/>
                <w:u w:val="single"/>
              </w:rPr>
              <w:t>Subject Area</w:t>
            </w:r>
          </w:p>
        </w:tc>
        <w:tc>
          <w:tcPr>
            <w:tcW w:w="2882" w:type="dxa"/>
            <w:shd w:val="clear" w:color="auto" w:fill="F2F2F2" w:themeFill="background1" w:themeFillShade="F2"/>
          </w:tcPr>
          <w:p w14:paraId="64906E5F" w14:textId="77777777" w:rsidR="004E4D4D" w:rsidRPr="004E4D4D" w:rsidRDefault="004E4D4D" w:rsidP="004E4D4D">
            <w:pPr>
              <w:spacing w:before="240" w:after="200" w:line="276" w:lineRule="auto"/>
              <w:jc w:val="center"/>
              <w:rPr>
                <w:b/>
                <w:bCs/>
                <w:u w:val="single"/>
              </w:rPr>
            </w:pPr>
            <w:r w:rsidRPr="004E4D4D">
              <w:rPr>
                <w:b/>
                <w:bCs/>
                <w:smallCaps/>
                <w:u w:val="single"/>
              </w:rPr>
              <w:t>Regulation Citation</w:t>
            </w:r>
          </w:p>
        </w:tc>
        <w:tc>
          <w:tcPr>
            <w:tcW w:w="3580" w:type="dxa"/>
            <w:shd w:val="clear" w:color="auto" w:fill="F2F2F2" w:themeFill="background1" w:themeFillShade="F2"/>
          </w:tcPr>
          <w:p w14:paraId="13E7186B" w14:textId="77777777" w:rsidR="004E4D4D" w:rsidRPr="004E4D4D" w:rsidRDefault="004E4D4D" w:rsidP="004E4D4D">
            <w:pPr>
              <w:spacing w:before="240" w:after="200" w:line="276" w:lineRule="auto"/>
              <w:jc w:val="center"/>
              <w:rPr>
                <w:b/>
                <w:bCs/>
                <w:u w:val="single"/>
              </w:rPr>
            </w:pPr>
            <w:r w:rsidRPr="004E4D4D">
              <w:rPr>
                <w:b/>
                <w:bCs/>
                <w:smallCaps/>
                <w:u w:val="single"/>
              </w:rPr>
              <w:t>Finding</w:t>
            </w:r>
          </w:p>
        </w:tc>
        <w:tc>
          <w:tcPr>
            <w:tcW w:w="1764" w:type="dxa"/>
            <w:shd w:val="clear" w:color="auto" w:fill="F2F2F2" w:themeFill="background1" w:themeFillShade="F2"/>
          </w:tcPr>
          <w:p w14:paraId="23A0758C" w14:textId="77777777" w:rsidR="004E4D4D" w:rsidRPr="004E4D4D" w:rsidRDefault="004E4D4D" w:rsidP="004E4D4D">
            <w:pPr>
              <w:spacing w:before="240" w:after="200" w:line="276" w:lineRule="auto"/>
              <w:jc w:val="center"/>
              <w:rPr>
                <w:b/>
                <w:bCs/>
                <w:u w:val="single"/>
              </w:rPr>
            </w:pPr>
            <w:r w:rsidRPr="004E4D4D">
              <w:rPr>
                <w:b/>
                <w:bCs/>
                <w:smallCaps/>
                <w:u w:val="single"/>
              </w:rPr>
              <w:t>Corrective Action</w:t>
            </w:r>
          </w:p>
        </w:tc>
        <w:tc>
          <w:tcPr>
            <w:tcW w:w="1040" w:type="dxa"/>
            <w:shd w:val="clear" w:color="auto" w:fill="F2F2F2" w:themeFill="background1" w:themeFillShade="F2"/>
          </w:tcPr>
          <w:p w14:paraId="5DCA49EF" w14:textId="77777777" w:rsidR="004E4D4D" w:rsidRPr="004E4D4D" w:rsidRDefault="004E4D4D" w:rsidP="004E4D4D">
            <w:pPr>
              <w:spacing w:before="240" w:after="200" w:line="276" w:lineRule="auto"/>
              <w:jc w:val="center"/>
              <w:rPr>
                <w:b/>
                <w:bCs/>
                <w:u w:val="single"/>
              </w:rPr>
            </w:pPr>
            <w:r w:rsidRPr="004E4D4D">
              <w:rPr>
                <w:b/>
                <w:bCs/>
                <w:smallCaps/>
                <w:u w:val="single"/>
              </w:rPr>
              <w:t>Repeat  finding</w:t>
            </w:r>
          </w:p>
        </w:tc>
      </w:tr>
      <w:tr w:rsidR="00BE4AED" w:rsidRPr="004E4D4D" w14:paraId="25093513" w14:textId="77777777" w:rsidTr="00145906">
        <w:tc>
          <w:tcPr>
            <w:tcW w:w="1697" w:type="dxa"/>
          </w:tcPr>
          <w:p w14:paraId="4FC38E10" w14:textId="69E6F1AA" w:rsidR="00BE4AED" w:rsidRPr="004E4D4D" w:rsidRDefault="008D2139" w:rsidP="00BE4AED">
            <w:pPr>
              <w:jc w:val="center"/>
              <w:rPr>
                <w:b/>
                <w:bCs/>
              </w:rPr>
            </w:pPr>
            <w:r>
              <w:rPr>
                <w:b/>
                <w:bCs/>
              </w:rPr>
              <w:t>A</w:t>
            </w:r>
          </w:p>
        </w:tc>
        <w:tc>
          <w:tcPr>
            <w:tcW w:w="3972" w:type="dxa"/>
          </w:tcPr>
          <w:p w14:paraId="7DFC1BE8" w14:textId="22FA6402" w:rsidR="008C181A" w:rsidRDefault="00BE4AED" w:rsidP="008C181A">
            <w:pPr>
              <w:spacing w:after="120"/>
            </w:pPr>
            <w:r w:rsidRPr="003936BB">
              <w:t>General Requirements for an ALR</w:t>
            </w:r>
            <w:r w:rsidR="008C181A">
              <w:t>:</w:t>
            </w:r>
          </w:p>
          <w:p w14:paraId="1C2DEE01" w14:textId="7ADB5433" w:rsidR="00BE4AED" w:rsidRPr="004E4D4D" w:rsidRDefault="00BE4AED" w:rsidP="00037702">
            <w:pPr>
              <w:spacing w:after="120"/>
            </w:pPr>
            <w:r w:rsidRPr="003936BB">
              <w:rPr>
                <w:b/>
                <w:bCs/>
              </w:rPr>
              <w:t>Quality Assurance and Performance Improvement</w:t>
            </w:r>
          </w:p>
        </w:tc>
        <w:tc>
          <w:tcPr>
            <w:tcW w:w="2882" w:type="dxa"/>
          </w:tcPr>
          <w:p w14:paraId="29106F50" w14:textId="39B31BF6" w:rsidR="00BE4AED" w:rsidRPr="004E4D4D" w:rsidRDefault="007B1F7E" w:rsidP="00BE4AED">
            <w:r w:rsidRPr="00213451">
              <w:t>651 CMR 12.04(10)</w:t>
            </w:r>
            <w:r w:rsidR="006D5EE7">
              <w:t>(a)</w:t>
            </w:r>
            <w:r w:rsidR="00535C92">
              <w:t>(c)</w:t>
            </w:r>
          </w:p>
        </w:tc>
        <w:tc>
          <w:tcPr>
            <w:tcW w:w="3580" w:type="dxa"/>
          </w:tcPr>
          <w:p w14:paraId="60D119C4" w14:textId="77777777" w:rsidR="00BE4AED" w:rsidRDefault="00D25344" w:rsidP="00037702">
            <w:pPr>
              <w:spacing w:after="120"/>
            </w:pPr>
            <w:r w:rsidRPr="00213451">
              <w:t>Missing or incomplete components of the Quality Assurance and Performance Improvement requirements.</w:t>
            </w:r>
          </w:p>
          <w:p w14:paraId="768B0675" w14:textId="15560C03" w:rsidR="00E375CA" w:rsidRPr="004E4D4D" w:rsidRDefault="00E375CA" w:rsidP="00037702">
            <w:pPr>
              <w:spacing w:after="120"/>
            </w:pPr>
          </w:p>
        </w:tc>
        <w:tc>
          <w:tcPr>
            <w:tcW w:w="1764" w:type="dxa"/>
          </w:tcPr>
          <w:p w14:paraId="4E83B1C3" w14:textId="6C48360E" w:rsidR="00BE4AED" w:rsidRPr="004E4D4D" w:rsidRDefault="00105C6F" w:rsidP="00BE4AED">
            <w:pPr>
              <w:rPr>
                <w:sz w:val="21"/>
                <w:szCs w:val="21"/>
              </w:rPr>
            </w:pPr>
            <w:r w:rsidRPr="004E4D4D">
              <w:t>See IV A</w:t>
            </w:r>
          </w:p>
        </w:tc>
        <w:tc>
          <w:tcPr>
            <w:tcW w:w="1040" w:type="dxa"/>
          </w:tcPr>
          <w:p w14:paraId="2D47580A" w14:textId="20DE09BA" w:rsidR="00BE4AED" w:rsidRPr="004E4D4D" w:rsidRDefault="00A974B9" w:rsidP="00BE4AED">
            <w:pPr>
              <w:jc w:val="center"/>
            </w:pPr>
            <w:r>
              <w:t>YES</w:t>
            </w:r>
          </w:p>
        </w:tc>
      </w:tr>
      <w:tr w:rsidR="00423A0C" w:rsidRPr="004E4D4D" w14:paraId="051F91DA" w14:textId="77777777" w:rsidTr="00145906">
        <w:tc>
          <w:tcPr>
            <w:tcW w:w="1697" w:type="dxa"/>
          </w:tcPr>
          <w:p w14:paraId="2BB58A0E" w14:textId="377F86C2" w:rsidR="00423A0C" w:rsidRDefault="00423A0C" w:rsidP="00423A0C">
            <w:pPr>
              <w:jc w:val="center"/>
              <w:rPr>
                <w:b/>
                <w:bCs/>
              </w:rPr>
            </w:pPr>
            <w:r>
              <w:rPr>
                <w:b/>
                <w:bCs/>
              </w:rPr>
              <w:t>B</w:t>
            </w:r>
          </w:p>
        </w:tc>
        <w:tc>
          <w:tcPr>
            <w:tcW w:w="3972" w:type="dxa"/>
          </w:tcPr>
          <w:p w14:paraId="175221F3" w14:textId="77777777" w:rsidR="00423A0C" w:rsidRPr="009904BE" w:rsidRDefault="00423A0C" w:rsidP="00423A0C">
            <w:pPr>
              <w:spacing w:after="120"/>
            </w:pPr>
            <w:r w:rsidRPr="004E4D4D">
              <w:t xml:space="preserve">General Requirements for an ALR - </w:t>
            </w:r>
            <w:r w:rsidRPr="009904BE">
              <w:t xml:space="preserve">Emergency Preparedness Plan and Reporting Requirements: </w:t>
            </w:r>
          </w:p>
          <w:p w14:paraId="44ED229F" w14:textId="77777777" w:rsidR="00423A0C" w:rsidRPr="009904BE" w:rsidRDefault="00423A0C" w:rsidP="00423A0C">
            <w:pPr>
              <w:spacing w:after="120"/>
              <w:rPr>
                <w:b/>
                <w:bCs/>
              </w:rPr>
            </w:pPr>
            <w:r w:rsidRPr="009904BE">
              <w:rPr>
                <w:b/>
                <w:bCs/>
              </w:rPr>
              <w:t>Reporting Resident Specific Emergencies</w:t>
            </w:r>
          </w:p>
          <w:p w14:paraId="6E7E130D" w14:textId="77777777" w:rsidR="00423A0C" w:rsidRPr="008D2C38" w:rsidRDefault="00423A0C" w:rsidP="00423A0C">
            <w:pPr>
              <w:spacing w:after="240"/>
              <w:rPr>
                <w:rFonts w:eastAsiaTheme="minorHAnsi"/>
              </w:rPr>
            </w:pPr>
          </w:p>
        </w:tc>
        <w:tc>
          <w:tcPr>
            <w:tcW w:w="2882" w:type="dxa"/>
          </w:tcPr>
          <w:p w14:paraId="58560234" w14:textId="77777777" w:rsidR="00423A0C" w:rsidRPr="004E4D4D" w:rsidRDefault="00423A0C" w:rsidP="00423A0C">
            <w:r w:rsidRPr="004E4D4D">
              <w:t>651 CMR 12.04(11)(e)</w:t>
            </w:r>
          </w:p>
          <w:p w14:paraId="75ADBD00" w14:textId="77777777" w:rsidR="00423A0C" w:rsidRPr="008D2C38" w:rsidRDefault="00423A0C" w:rsidP="00423A0C"/>
        </w:tc>
        <w:tc>
          <w:tcPr>
            <w:tcW w:w="3580" w:type="dxa"/>
          </w:tcPr>
          <w:p w14:paraId="769F79ED" w14:textId="77777777" w:rsidR="00423A0C" w:rsidRPr="004E4D4D" w:rsidRDefault="00423A0C" w:rsidP="00423A0C">
            <w:r w:rsidRPr="004E4D4D">
              <w:t>Resident specific incident reports submitted late to EOEA.</w:t>
            </w:r>
          </w:p>
          <w:p w14:paraId="5F156EA9" w14:textId="77777777" w:rsidR="00423A0C" w:rsidRPr="004E4D4D" w:rsidRDefault="00423A0C" w:rsidP="00423A0C"/>
          <w:p w14:paraId="25389CC4" w14:textId="77777777" w:rsidR="00423A0C" w:rsidRPr="008D2C38" w:rsidRDefault="00423A0C" w:rsidP="00423A0C"/>
        </w:tc>
        <w:tc>
          <w:tcPr>
            <w:tcW w:w="1764" w:type="dxa"/>
          </w:tcPr>
          <w:p w14:paraId="07E2D71C" w14:textId="54432315" w:rsidR="00423A0C" w:rsidRPr="008D2C38" w:rsidRDefault="00423A0C" w:rsidP="00423A0C">
            <w:r w:rsidRPr="00F221CD">
              <w:t>See IV A</w:t>
            </w:r>
          </w:p>
        </w:tc>
        <w:tc>
          <w:tcPr>
            <w:tcW w:w="1040" w:type="dxa"/>
          </w:tcPr>
          <w:p w14:paraId="246300B9" w14:textId="764DDD09" w:rsidR="00423A0C" w:rsidRPr="004E4D4D" w:rsidRDefault="00F016F3" w:rsidP="00423A0C">
            <w:pPr>
              <w:jc w:val="center"/>
            </w:pPr>
            <w:r>
              <w:t>YES</w:t>
            </w:r>
          </w:p>
        </w:tc>
      </w:tr>
      <w:tr w:rsidR="006132DD" w:rsidRPr="004E4D4D" w14:paraId="2B85D200" w14:textId="77777777" w:rsidTr="00145906">
        <w:tc>
          <w:tcPr>
            <w:tcW w:w="1697" w:type="dxa"/>
          </w:tcPr>
          <w:p w14:paraId="0D0A0098" w14:textId="23A83F13" w:rsidR="006132DD" w:rsidRPr="004E4D4D" w:rsidRDefault="00BB7A5F" w:rsidP="006132DD">
            <w:pPr>
              <w:jc w:val="center"/>
              <w:rPr>
                <w:b/>
                <w:bCs/>
              </w:rPr>
            </w:pPr>
            <w:r>
              <w:rPr>
                <w:b/>
                <w:bCs/>
              </w:rPr>
              <w:t>C</w:t>
            </w:r>
          </w:p>
        </w:tc>
        <w:tc>
          <w:tcPr>
            <w:tcW w:w="3972" w:type="dxa"/>
          </w:tcPr>
          <w:p w14:paraId="36E26903" w14:textId="77777777" w:rsidR="006132DD" w:rsidRPr="008D2C38" w:rsidRDefault="006132DD" w:rsidP="006132DD">
            <w:pPr>
              <w:spacing w:after="240"/>
              <w:rPr>
                <w:rFonts w:eastAsiaTheme="minorHAnsi"/>
              </w:rPr>
            </w:pPr>
            <w:r w:rsidRPr="008D2C38">
              <w:rPr>
                <w:rFonts w:eastAsiaTheme="minorHAnsi"/>
              </w:rPr>
              <w:t xml:space="preserve">Reports to EOEA: </w:t>
            </w:r>
          </w:p>
          <w:p w14:paraId="16C3FA13" w14:textId="77777777" w:rsidR="006132DD" w:rsidRDefault="006132DD" w:rsidP="006132DD">
            <w:pPr>
              <w:rPr>
                <w:b/>
                <w:bCs/>
              </w:rPr>
            </w:pPr>
            <w:r w:rsidRPr="006132DD">
              <w:rPr>
                <w:b/>
                <w:bCs/>
              </w:rPr>
              <w:t>Annual Reports</w:t>
            </w:r>
          </w:p>
          <w:p w14:paraId="5AF52558" w14:textId="26E36BF0" w:rsidR="006132DD" w:rsidRPr="006132DD" w:rsidRDefault="006132DD" w:rsidP="006132DD">
            <w:pPr>
              <w:rPr>
                <w:b/>
                <w:bCs/>
              </w:rPr>
            </w:pPr>
          </w:p>
        </w:tc>
        <w:tc>
          <w:tcPr>
            <w:tcW w:w="2882" w:type="dxa"/>
          </w:tcPr>
          <w:p w14:paraId="51F05250" w14:textId="7DB0937A" w:rsidR="006132DD" w:rsidRPr="004E4D4D" w:rsidRDefault="006132DD" w:rsidP="006132DD">
            <w:r w:rsidRPr="008D2C38">
              <w:t>651 CMR 12.04(13)</w:t>
            </w:r>
          </w:p>
        </w:tc>
        <w:tc>
          <w:tcPr>
            <w:tcW w:w="3580" w:type="dxa"/>
          </w:tcPr>
          <w:p w14:paraId="422A70C2" w14:textId="0EF50C6E" w:rsidR="006132DD" w:rsidRPr="004E4D4D" w:rsidRDefault="006132DD" w:rsidP="006132DD">
            <w:r w:rsidRPr="008D2C38">
              <w:t>Unsubmitted Annual Report</w:t>
            </w:r>
            <w:r w:rsidR="00C256A4">
              <w:t>s</w:t>
            </w:r>
          </w:p>
        </w:tc>
        <w:tc>
          <w:tcPr>
            <w:tcW w:w="1764" w:type="dxa"/>
          </w:tcPr>
          <w:p w14:paraId="71349678" w14:textId="555AA66D" w:rsidR="006132DD" w:rsidRPr="004E4D4D" w:rsidRDefault="006132DD" w:rsidP="006132DD">
            <w:r w:rsidRPr="008D2C38">
              <w:t>See IV A &amp; B</w:t>
            </w:r>
          </w:p>
        </w:tc>
        <w:tc>
          <w:tcPr>
            <w:tcW w:w="1040" w:type="dxa"/>
          </w:tcPr>
          <w:p w14:paraId="097D6B30" w14:textId="2D890A69" w:rsidR="006132DD" w:rsidRPr="004E4D4D" w:rsidRDefault="006132DD" w:rsidP="006132DD">
            <w:pPr>
              <w:jc w:val="center"/>
            </w:pPr>
          </w:p>
        </w:tc>
      </w:tr>
      <w:tr w:rsidR="00AD6D70" w:rsidRPr="004E4D4D" w14:paraId="00094EAE" w14:textId="77777777" w:rsidTr="00145906">
        <w:tc>
          <w:tcPr>
            <w:tcW w:w="1697" w:type="dxa"/>
          </w:tcPr>
          <w:p w14:paraId="7162C4B5" w14:textId="6D67729A" w:rsidR="00AD6D70" w:rsidRDefault="00BB7A5F" w:rsidP="00AD6D70">
            <w:pPr>
              <w:jc w:val="center"/>
              <w:rPr>
                <w:b/>
                <w:bCs/>
              </w:rPr>
            </w:pPr>
            <w:r>
              <w:rPr>
                <w:b/>
                <w:bCs/>
              </w:rPr>
              <w:t>D</w:t>
            </w:r>
          </w:p>
        </w:tc>
        <w:tc>
          <w:tcPr>
            <w:tcW w:w="3972" w:type="dxa"/>
          </w:tcPr>
          <w:p w14:paraId="29D9C8C4" w14:textId="77777777" w:rsidR="00AD6D70" w:rsidRDefault="00AD6D70" w:rsidP="00AD6D70">
            <w:r w:rsidRPr="00650CCB">
              <w:t>Training Requirements:</w:t>
            </w:r>
          </w:p>
          <w:p w14:paraId="22F7C911" w14:textId="77777777" w:rsidR="00AD6D70" w:rsidRDefault="00AD6D70" w:rsidP="00AD6D70">
            <w:pPr>
              <w:rPr>
                <w:b/>
                <w:bCs/>
              </w:rPr>
            </w:pPr>
          </w:p>
          <w:p w14:paraId="752143C5" w14:textId="48C72011" w:rsidR="00AD6D70" w:rsidRPr="00A07399" w:rsidRDefault="00AD6D70" w:rsidP="00AD6D70">
            <w:pPr>
              <w:spacing w:after="120"/>
            </w:pPr>
            <w:r w:rsidRPr="009753C2">
              <w:rPr>
                <w:b/>
                <w:bCs/>
              </w:rPr>
              <w:t>LBGTQ</w:t>
            </w:r>
            <w:r w:rsidR="00D71670">
              <w:rPr>
                <w:b/>
                <w:bCs/>
              </w:rPr>
              <w:t xml:space="preserve"> Training</w:t>
            </w:r>
          </w:p>
        </w:tc>
        <w:tc>
          <w:tcPr>
            <w:tcW w:w="2882" w:type="dxa"/>
          </w:tcPr>
          <w:p w14:paraId="2F84550A" w14:textId="77777777" w:rsidR="00AD6D70" w:rsidRPr="009753C2" w:rsidRDefault="00AD6D70" w:rsidP="00AD6D70">
            <w:r w:rsidRPr="009753C2">
              <w:t>M.G.L. c. 19A, § 43</w:t>
            </w:r>
          </w:p>
          <w:p w14:paraId="02BF26EB" w14:textId="77777777" w:rsidR="00AD6D70" w:rsidRPr="00650CCB" w:rsidRDefault="00AD6D70" w:rsidP="00AD6D70">
            <w:r w:rsidRPr="009753C2">
              <w:t>651 CMR 12.04(1)(e)</w:t>
            </w:r>
          </w:p>
          <w:p w14:paraId="1831CBB0" w14:textId="06C1BE22" w:rsidR="00AD6D70" w:rsidRPr="00C46BB3" w:rsidRDefault="00AD6D70" w:rsidP="00AD6D70"/>
        </w:tc>
        <w:tc>
          <w:tcPr>
            <w:tcW w:w="3580" w:type="dxa"/>
          </w:tcPr>
          <w:p w14:paraId="495FE0CD" w14:textId="6DF455A5" w:rsidR="00AD6D70" w:rsidRPr="00C46BB3" w:rsidRDefault="00AD6D70" w:rsidP="00AD6D70">
            <w:r>
              <w:t>Missing</w:t>
            </w:r>
            <w:r w:rsidRPr="009753C2">
              <w:t xml:space="preserve"> LGBTQ training</w:t>
            </w:r>
            <w:r w:rsidR="00075FCF">
              <w:t>s</w:t>
            </w:r>
            <w:r w:rsidRPr="009753C2">
              <w:t>.</w:t>
            </w:r>
          </w:p>
        </w:tc>
        <w:tc>
          <w:tcPr>
            <w:tcW w:w="1764" w:type="dxa"/>
          </w:tcPr>
          <w:p w14:paraId="7E3FE558" w14:textId="6ACE7844" w:rsidR="00AD6D70" w:rsidRPr="007C2F2D" w:rsidRDefault="00AD6D70" w:rsidP="00AD6D70">
            <w:r w:rsidRPr="00650CCB">
              <w:t>See IV A</w:t>
            </w:r>
          </w:p>
        </w:tc>
        <w:tc>
          <w:tcPr>
            <w:tcW w:w="1040" w:type="dxa"/>
          </w:tcPr>
          <w:p w14:paraId="744E6F1B" w14:textId="77777777" w:rsidR="00AD6D70" w:rsidRPr="004E4D4D" w:rsidRDefault="00AD6D70" w:rsidP="00AD6D70">
            <w:pPr>
              <w:jc w:val="center"/>
            </w:pPr>
          </w:p>
        </w:tc>
      </w:tr>
    </w:tbl>
    <w:p w14:paraId="61D5DACA" w14:textId="77777777" w:rsidR="004E4D4D" w:rsidRPr="004E4D4D" w:rsidRDefault="004E4D4D" w:rsidP="004E4D4D">
      <w:pPr>
        <w:spacing w:after="200" w:line="276" w:lineRule="auto"/>
        <w:rPr>
          <w:b/>
          <w:bCs/>
          <w:color w:val="C00000"/>
          <w:u w:val="single"/>
        </w:rPr>
        <w:sectPr w:rsidR="004E4D4D" w:rsidRPr="004E4D4D" w:rsidSect="00127237">
          <w:headerReference w:type="even" r:id="rId15"/>
          <w:headerReference w:type="default" r:id="rId16"/>
          <w:footerReference w:type="default" r:id="rId17"/>
          <w:headerReference w:type="first" r:id="rId18"/>
          <w:footerReference w:type="first" r:id="rId19"/>
          <w:pgSz w:w="15840" w:h="12240" w:orient="landscape"/>
          <w:pgMar w:top="1440" w:right="2430" w:bottom="0" w:left="1440" w:header="720" w:footer="720" w:gutter="0"/>
          <w:cols w:space="720"/>
          <w:titlePg/>
          <w:docGrid w:linePitch="360"/>
        </w:sectPr>
      </w:pPr>
    </w:p>
    <w:p w14:paraId="64375318" w14:textId="77777777" w:rsidR="004E4D4D" w:rsidRPr="004E4D4D" w:rsidRDefault="004E4D4D" w:rsidP="000A5376">
      <w:pPr>
        <w:numPr>
          <w:ilvl w:val="0"/>
          <w:numId w:val="3"/>
        </w:numPr>
        <w:contextualSpacing/>
      </w:pPr>
      <w:r w:rsidRPr="004E4D4D">
        <w:rPr>
          <w:b/>
          <w:bCs/>
          <w:u w:val="single"/>
        </w:rPr>
        <w:lastRenderedPageBreak/>
        <w:t>Summary of Compliance Review</w:t>
      </w:r>
    </w:p>
    <w:p w14:paraId="1F9256C8" w14:textId="2FA394A5" w:rsidR="005004E6" w:rsidRPr="00C03117" w:rsidRDefault="005004E6" w:rsidP="005371C2">
      <w:pPr>
        <w:tabs>
          <w:tab w:val="left" w:pos="450"/>
          <w:tab w:val="left" w:pos="900"/>
        </w:tabs>
        <w:ind w:left="216"/>
        <w:rPr>
          <w:bCs/>
          <w:i/>
          <w:color w:val="C00000"/>
          <w:sz w:val="12"/>
          <w:szCs w:val="12"/>
        </w:rPr>
      </w:pPr>
      <w:bookmarkStart w:id="3" w:name="_Hlk115866141"/>
    </w:p>
    <w:p w14:paraId="312A8394" w14:textId="39BB033C" w:rsidR="00465271" w:rsidRPr="00414FC2" w:rsidRDefault="00F07024" w:rsidP="00A60E56">
      <w:pPr>
        <w:rPr>
          <w:b/>
          <w:bCs/>
        </w:rPr>
      </w:pPr>
      <w:r>
        <w:rPr>
          <w:b/>
          <w:bCs/>
        </w:rPr>
        <w:t>A</w:t>
      </w:r>
      <w:r w:rsidR="00465271" w:rsidRPr="000435F8">
        <w:rPr>
          <w:b/>
          <w:bCs/>
        </w:rPr>
        <w:t xml:space="preserve">. </w:t>
      </w:r>
      <w:r w:rsidR="00465271" w:rsidRPr="0045472D">
        <w:rPr>
          <w:b/>
          <w:bCs/>
        </w:rPr>
        <w:t xml:space="preserve">Quality </w:t>
      </w:r>
      <w:r w:rsidR="00465271" w:rsidRPr="00414FC2">
        <w:rPr>
          <w:b/>
          <w:bCs/>
        </w:rPr>
        <w:t>Assurance and Performance Improvement</w:t>
      </w:r>
    </w:p>
    <w:p w14:paraId="71E8BC6C" w14:textId="4730B18D" w:rsidR="006A6D9F" w:rsidRPr="0053344B" w:rsidRDefault="00465271" w:rsidP="000A5376">
      <w:pPr>
        <w:pStyle w:val="ListParagraph"/>
        <w:numPr>
          <w:ilvl w:val="0"/>
          <w:numId w:val="5"/>
        </w:numPr>
        <w:spacing w:after="0" w:line="240" w:lineRule="auto"/>
        <w:ind w:left="810"/>
        <w:rPr>
          <w:iCs/>
        </w:rPr>
      </w:pPr>
      <w:r w:rsidRPr="00C03117">
        <w:rPr>
          <w:iCs/>
        </w:rPr>
        <w:t xml:space="preserve">EOEA reviewed documentation to ensure the Residence has established an effective, ongoing quality improvement and assurance program for Service Planning, Resident Safety Assurances and Medication Quality </w:t>
      </w:r>
      <w:bookmarkStart w:id="4" w:name="_Hlk114160263"/>
      <w:r w:rsidR="004B245C" w:rsidRPr="0053344B">
        <w:rPr>
          <w:iCs/>
        </w:rPr>
        <w:t xml:space="preserve">for </w:t>
      </w:r>
      <w:bookmarkStart w:id="5" w:name="_Hlk114664712"/>
      <w:r w:rsidR="004B245C" w:rsidRPr="0053344B">
        <w:rPr>
          <w:iCs/>
        </w:rPr>
        <w:t>the calendar year</w:t>
      </w:r>
      <w:r w:rsidR="00691D10">
        <w:rPr>
          <w:iCs/>
        </w:rPr>
        <w:t>s 2022 and</w:t>
      </w:r>
      <w:r w:rsidR="004B245C" w:rsidRPr="0053344B">
        <w:rPr>
          <w:iCs/>
        </w:rPr>
        <w:t xml:space="preserve"> </w:t>
      </w:r>
      <w:bookmarkEnd w:id="4"/>
      <w:bookmarkEnd w:id="5"/>
      <w:r w:rsidR="003E4E57">
        <w:rPr>
          <w:iCs/>
        </w:rPr>
        <w:t>2023</w:t>
      </w:r>
      <w:r w:rsidRPr="004B245C">
        <w:rPr>
          <w:iCs/>
        </w:rPr>
        <w:t>.</w:t>
      </w:r>
    </w:p>
    <w:p w14:paraId="7E53A57B" w14:textId="7D66A112" w:rsidR="00A60E56" w:rsidRPr="00A60E56" w:rsidRDefault="00A60E56" w:rsidP="00AB0651">
      <w:pPr>
        <w:ind w:left="576"/>
        <w:contextualSpacing/>
        <w:rPr>
          <w:b/>
          <w:bCs/>
          <w:sz w:val="12"/>
          <w:szCs w:val="12"/>
        </w:rPr>
      </w:pPr>
      <w:r>
        <w:rPr>
          <w:rFonts w:eastAsiaTheme="minorHAnsi"/>
          <w:b/>
          <w:bCs/>
        </w:rPr>
        <w:t xml:space="preserve">   </w:t>
      </w:r>
    </w:p>
    <w:p w14:paraId="33C4649F" w14:textId="13DDACC5" w:rsidR="00DB6784" w:rsidRPr="00DE536E" w:rsidRDefault="00A60E56" w:rsidP="00DB6784">
      <w:pPr>
        <w:ind w:left="576"/>
        <w:contextualSpacing/>
        <w:rPr>
          <w:u w:val="single"/>
        </w:rPr>
      </w:pPr>
      <w:r>
        <w:rPr>
          <w:b/>
          <w:bCs/>
        </w:rPr>
        <w:t xml:space="preserve"> </w:t>
      </w:r>
      <w:r w:rsidR="00DB6784">
        <w:rPr>
          <w:b/>
          <w:bCs/>
        </w:rPr>
        <w:t xml:space="preserve">   </w:t>
      </w:r>
      <w:r w:rsidR="00DB6784" w:rsidRPr="00DE536E">
        <w:rPr>
          <w:rFonts w:eastAsiaTheme="minorHAnsi"/>
          <w:b/>
          <w:bCs/>
        </w:rPr>
        <w:t>Service Planning</w:t>
      </w:r>
    </w:p>
    <w:p w14:paraId="51BAB603" w14:textId="32185626" w:rsidR="00DB6784" w:rsidRDefault="00DB6784" w:rsidP="00DB6784">
      <w:pPr>
        <w:pStyle w:val="ListParagraph"/>
        <w:numPr>
          <w:ilvl w:val="1"/>
          <w:numId w:val="2"/>
        </w:numPr>
        <w:spacing w:after="120" w:line="240" w:lineRule="auto"/>
        <w:ind w:left="1080" w:hanging="270"/>
        <w:rPr>
          <w:b/>
          <w:bCs/>
        </w:rPr>
      </w:pPr>
      <w:r w:rsidRPr="00DB6784">
        <w:t xml:space="preserve">Documentation </w:t>
      </w:r>
      <w:r w:rsidR="001343B3" w:rsidRPr="00646983">
        <w:rPr>
          <w:iCs/>
        </w:rPr>
        <w:t xml:space="preserve">of </w:t>
      </w:r>
      <w:r w:rsidR="00691D10">
        <w:rPr>
          <w:iCs/>
        </w:rPr>
        <w:t xml:space="preserve">the </w:t>
      </w:r>
      <w:r w:rsidR="001343B3" w:rsidRPr="00646983">
        <w:rPr>
          <w:iCs/>
        </w:rPr>
        <w:t xml:space="preserve">date </w:t>
      </w:r>
      <w:r w:rsidR="00691D10">
        <w:rPr>
          <w:iCs/>
        </w:rPr>
        <w:t>the audit was completed on</w:t>
      </w:r>
      <w:r w:rsidR="001343B3" w:rsidRPr="00646983">
        <w:rPr>
          <w:iCs/>
        </w:rPr>
        <w:t xml:space="preserve"> </w:t>
      </w:r>
      <w:r w:rsidRPr="00DE536E">
        <w:t xml:space="preserve">was missing for </w:t>
      </w:r>
      <w:r w:rsidR="00691D10">
        <w:t xml:space="preserve">all </w:t>
      </w:r>
      <w:r w:rsidRPr="00DE536E">
        <w:t>calendar year</w:t>
      </w:r>
      <w:r w:rsidR="00691D10">
        <w:t>s</w:t>
      </w:r>
      <w:r w:rsidRPr="00DE536E">
        <w:t xml:space="preserve"> reviewed.</w:t>
      </w:r>
    </w:p>
    <w:p w14:paraId="506B5E7A" w14:textId="050E822C" w:rsidR="004A2175" w:rsidRPr="00DF608D" w:rsidRDefault="000E671A" w:rsidP="008D2139">
      <w:pPr>
        <w:tabs>
          <w:tab w:val="left" w:pos="450"/>
        </w:tabs>
        <w:ind w:left="720"/>
        <w:rPr>
          <w:b/>
          <w:bCs/>
          <w:sz w:val="22"/>
          <w:szCs w:val="22"/>
        </w:rPr>
      </w:pPr>
      <w:r>
        <w:rPr>
          <w:b/>
          <w:bCs/>
        </w:rPr>
        <w:t xml:space="preserve"> </w:t>
      </w:r>
      <w:r w:rsidR="004A2175" w:rsidRPr="00DF608D">
        <w:rPr>
          <w:b/>
          <w:bCs/>
        </w:rPr>
        <w:t>Medication administration observation</w:t>
      </w:r>
    </w:p>
    <w:p w14:paraId="42144BAE" w14:textId="6CBACFED" w:rsidR="004A2175" w:rsidRPr="004A2175" w:rsidRDefault="0009010F" w:rsidP="000A5376">
      <w:pPr>
        <w:pStyle w:val="ListParagraph"/>
        <w:numPr>
          <w:ilvl w:val="0"/>
          <w:numId w:val="5"/>
        </w:numPr>
        <w:spacing w:after="0" w:line="240" w:lineRule="auto"/>
        <w:ind w:left="1170"/>
        <w:rPr>
          <w:iCs/>
        </w:rPr>
      </w:pPr>
      <w:r w:rsidRPr="00E10316">
        <w:t xml:space="preserve">EOEA observed </w:t>
      </w:r>
      <w:r>
        <w:t>one</w:t>
      </w:r>
      <w:r w:rsidRPr="00E10316">
        <w:t xml:space="preserve"> </w:t>
      </w:r>
      <w:r w:rsidR="005371FD">
        <w:t>PCA</w:t>
      </w:r>
      <w:r w:rsidRPr="00E10316">
        <w:t xml:space="preserve"> providing medication </w:t>
      </w:r>
      <w:r w:rsidR="005371FD">
        <w:t>observation</w:t>
      </w:r>
      <w:r w:rsidRPr="00E10316">
        <w:t xml:space="preserve"> </w:t>
      </w:r>
      <w:r w:rsidR="00305B4E">
        <w:t>for</w:t>
      </w:r>
      <w:r w:rsidRPr="00E10316">
        <w:t xml:space="preserve"> </w:t>
      </w:r>
      <w:r w:rsidR="005371FD">
        <w:t>four</w:t>
      </w:r>
      <w:r w:rsidRPr="00E10316">
        <w:t xml:space="preserve"> Residents to ensure the Residence has developed and implemented systems that support and promote safe </w:t>
      </w:r>
      <w:r w:rsidR="005371FD">
        <w:t>SAMM</w:t>
      </w:r>
      <w:r w:rsidR="00A077C4">
        <w:t>.</w:t>
      </w:r>
    </w:p>
    <w:p w14:paraId="47FE1561" w14:textId="5ACBCB0C" w:rsidR="00D51DBF" w:rsidRPr="00D51DBF" w:rsidRDefault="0073302B" w:rsidP="00D51DBF">
      <w:pPr>
        <w:spacing w:before="120"/>
        <w:ind w:left="1080"/>
        <w:rPr>
          <w:b/>
          <w:bCs/>
        </w:rPr>
      </w:pPr>
      <w:r>
        <w:rPr>
          <w:b/>
          <w:bCs/>
        </w:rPr>
        <w:t xml:space="preserve"> </w:t>
      </w:r>
      <w:r w:rsidR="008D2139">
        <w:rPr>
          <w:b/>
          <w:bCs/>
        </w:rPr>
        <w:t>SAMM</w:t>
      </w:r>
    </w:p>
    <w:p w14:paraId="0029C256" w14:textId="5927BBB9" w:rsidR="006765AA" w:rsidRDefault="0081549A" w:rsidP="000A5376">
      <w:pPr>
        <w:pStyle w:val="ListParagraph"/>
        <w:numPr>
          <w:ilvl w:val="2"/>
          <w:numId w:val="8"/>
        </w:numPr>
        <w:spacing w:after="0" w:line="240" w:lineRule="auto"/>
        <w:ind w:hanging="270"/>
      </w:pPr>
      <w:r w:rsidRPr="00BD4AD8">
        <w:rPr>
          <w:rFonts w:cs="Times New Roman"/>
          <w:bCs/>
          <w:szCs w:val="24"/>
        </w:rPr>
        <w:t xml:space="preserve">One Resident’s medication storage </w:t>
      </w:r>
      <w:r>
        <w:rPr>
          <w:rFonts w:cs="Times New Roman"/>
          <w:bCs/>
          <w:szCs w:val="24"/>
        </w:rPr>
        <w:t>unit</w:t>
      </w:r>
      <w:r w:rsidRPr="00BD4AD8">
        <w:rPr>
          <w:rFonts w:cs="Times New Roman"/>
          <w:bCs/>
          <w:szCs w:val="24"/>
        </w:rPr>
        <w:t xml:space="preserve"> contained </w:t>
      </w:r>
      <w:r>
        <w:rPr>
          <w:rFonts w:cs="Times New Roman"/>
          <w:bCs/>
          <w:szCs w:val="24"/>
        </w:rPr>
        <w:t xml:space="preserve">two </w:t>
      </w:r>
      <w:r w:rsidRPr="00BD4AD8">
        <w:rPr>
          <w:rFonts w:cs="Times New Roman"/>
          <w:bCs/>
          <w:szCs w:val="24"/>
        </w:rPr>
        <w:t>expired medications</w:t>
      </w:r>
      <w:r w:rsidR="00D51DBF">
        <w:t>.</w:t>
      </w:r>
    </w:p>
    <w:bookmarkEnd w:id="3"/>
    <w:p w14:paraId="1A010FA8" w14:textId="77777777" w:rsidR="005371FD" w:rsidRPr="005371FD" w:rsidRDefault="005371FD" w:rsidP="00DF7D6F">
      <w:pPr>
        <w:rPr>
          <w:b/>
          <w:sz w:val="12"/>
          <w:szCs w:val="12"/>
        </w:rPr>
      </w:pPr>
    </w:p>
    <w:p w14:paraId="3499E939" w14:textId="7AAE7809" w:rsidR="00DF7D6F" w:rsidRPr="008D2C38" w:rsidRDefault="005371FD" w:rsidP="00DF7D6F">
      <w:pPr>
        <w:rPr>
          <w:bCs/>
        </w:rPr>
      </w:pPr>
      <w:r>
        <w:rPr>
          <w:b/>
        </w:rPr>
        <w:t>B</w:t>
      </w:r>
      <w:r w:rsidR="00DF7D6F" w:rsidRPr="008D2C38">
        <w:rPr>
          <w:b/>
        </w:rPr>
        <w:t xml:space="preserve">. </w:t>
      </w:r>
      <w:r w:rsidR="00DF7D6F" w:rsidRPr="008D2C38">
        <w:rPr>
          <w:b/>
          <w:bCs/>
        </w:rPr>
        <w:t xml:space="preserve">Reports to EOEA- </w:t>
      </w:r>
      <w:r w:rsidR="00DF7D6F" w:rsidRPr="008D2C38">
        <w:rPr>
          <w:b/>
        </w:rPr>
        <w:t>Annual Reports</w:t>
      </w:r>
      <w:r w:rsidR="00DF7D6F" w:rsidRPr="008D2C38">
        <w:t xml:space="preserve"> </w:t>
      </w:r>
    </w:p>
    <w:p w14:paraId="0F94EF66" w14:textId="77777777" w:rsidR="00DF7D6F" w:rsidRPr="0034168E" w:rsidRDefault="00DF7D6F" w:rsidP="00DF7D6F">
      <w:pPr>
        <w:numPr>
          <w:ilvl w:val="0"/>
          <w:numId w:val="19"/>
        </w:numPr>
        <w:ind w:left="936"/>
        <w:contextualSpacing/>
        <w:rPr>
          <w:rFonts w:eastAsiaTheme="minorHAnsi"/>
          <w:b/>
          <w:bCs/>
        </w:rPr>
      </w:pPr>
      <w:r w:rsidRPr="0034168E">
        <w:rPr>
          <w:rFonts w:eastAsiaTheme="minorHAnsi"/>
          <w:color w:val="000000"/>
        </w:rPr>
        <w:t xml:space="preserve">EOEA </w:t>
      </w:r>
      <w:r w:rsidRPr="008D2C38">
        <w:rPr>
          <w:rFonts w:eastAsiaTheme="minorHAnsi"/>
          <w:color w:val="000000"/>
        </w:rPr>
        <w:t>requires the Sponsor of the Residence to file a financial disclosure annually, within 90 days following the end of the fiscal year to assess the fiscal condition and ability to meet the needs of its Residents</w:t>
      </w:r>
      <w:r w:rsidRPr="0034168E">
        <w:rPr>
          <w:rFonts w:eastAsiaTheme="minorHAnsi"/>
          <w:color w:val="000000"/>
        </w:rPr>
        <w:t>.</w:t>
      </w:r>
    </w:p>
    <w:p w14:paraId="5FB0DEAA" w14:textId="13F03DB6" w:rsidR="00DF7D6F" w:rsidRDefault="00DF7D6F" w:rsidP="00DF7D6F">
      <w:pPr>
        <w:pStyle w:val="ListParagraph"/>
        <w:numPr>
          <w:ilvl w:val="0"/>
          <w:numId w:val="18"/>
        </w:numPr>
        <w:spacing w:after="0" w:line="240" w:lineRule="auto"/>
        <w:ind w:left="1296"/>
        <w:rPr>
          <w:color w:val="000000"/>
        </w:rPr>
      </w:pPr>
      <w:r w:rsidRPr="008D2C38">
        <w:rPr>
          <w:color w:val="000000"/>
        </w:rPr>
        <w:t>The Residence’s annual financial disclosure was not submitted to EOEA by the 2024</w:t>
      </w:r>
      <w:r w:rsidRPr="008D2C38">
        <w:rPr>
          <w:b/>
          <w:bCs/>
          <w:color w:val="000000"/>
        </w:rPr>
        <w:t xml:space="preserve"> </w:t>
      </w:r>
      <w:r w:rsidRPr="008D2C38">
        <w:rPr>
          <w:color w:val="000000"/>
        </w:rPr>
        <w:t>deadline</w:t>
      </w:r>
      <w:r w:rsidR="00855EBF">
        <w:rPr>
          <w:color w:val="000000"/>
        </w:rPr>
        <w:t>.</w:t>
      </w:r>
    </w:p>
    <w:p w14:paraId="727B2E08" w14:textId="77777777" w:rsidR="00855EBF" w:rsidRPr="00855EBF" w:rsidRDefault="00855EBF" w:rsidP="00855EBF">
      <w:pPr>
        <w:rPr>
          <w:color w:val="000000"/>
          <w:sz w:val="12"/>
          <w:szCs w:val="12"/>
        </w:rPr>
      </w:pPr>
    </w:p>
    <w:p w14:paraId="3D6423D5" w14:textId="77777777" w:rsidR="00D83913" w:rsidRPr="00D83913" w:rsidRDefault="00D83913" w:rsidP="00D83913">
      <w:pPr>
        <w:numPr>
          <w:ilvl w:val="0"/>
          <w:numId w:val="19"/>
        </w:numPr>
        <w:ind w:left="936"/>
        <w:contextualSpacing/>
        <w:rPr>
          <w:rFonts w:eastAsiaTheme="minorHAnsi"/>
          <w:color w:val="000000"/>
        </w:rPr>
      </w:pPr>
      <w:r w:rsidRPr="00D83913">
        <w:rPr>
          <w:rFonts w:eastAsiaTheme="minorHAnsi"/>
          <w:color w:val="000000"/>
        </w:rPr>
        <w:t>EOEA requires the Residence to file an annual report of aggregate information form indicating specified information explained fully under 651 CMR 12.04(13)(2)(a) prior to March 1st of the following year.</w:t>
      </w:r>
    </w:p>
    <w:p w14:paraId="0E1772C0" w14:textId="4B3959FF" w:rsidR="00DF7D6F" w:rsidRPr="00D83913" w:rsidRDefault="00D83913" w:rsidP="00D83913">
      <w:pPr>
        <w:pStyle w:val="ListParagraph"/>
        <w:numPr>
          <w:ilvl w:val="0"/>
          <w:numId w:val="18"/>
        </w:numPr>
        <w:spacing w:after="0" w:line="240" w:lineRule="auto"/>
        <w:ind w:left="1296"/>
        <w:rPr>
          <w:color w:val="000000"/>
        </w:rPr>
      </w:pPr>
      <w:r w:rsidRPr="003F332F">
        <w:rPr>
          <w:color w:val="000000"/>
        </w:rPr>
        <w:t xml:space="preserve">The Residence’s annual </w:t>
      </w:r>
      <w:r w:rsidRPr="00D83913">
        <w:rPr>
          <w:color w:val="000000"/>
        </w:rPr>
        <w:t>aggregate information</w:t>
      </w:r>
      <w:r w:rsidRPr="003F332F">
        <w:rPr>
          <w:color w:val="000000"/>
        </w:rPr>
        <w:t xml:space="preserve"> </w:t>
      </w:r>
      <w:r>
        <w:rPr>
          <w:color w:val="000000"/>
        </w:rPr>
        <w:t>form</w:t>
      </w:r>
      <w:r w:rsidRPr="003F332F">
        <w:rPr>
          <w:color w:val="000000"/>
        </w:rPr>
        <w:t xml:space="preserve"> was not submitted to EOEA by </w:t>
      </w:r>
      <w:r>
        <w:rPr>
          <w:color w:val="000000"/>
        </w:rPr>
        <w:t xml:space="preserve">the </w:t>
      </w:r>
      <w:proofErr w:type="gramStart"/>
      <w:r>
        <w:rPr>
          <w:color w:val="000000"/>
        </w:rPr>
        <w:t>March</w:t>
      </w:r>
      <w:proofErr w:type="gramEnd"/>
      <w:r>
        <w:rPr>
          <w:color w:val="000000"/>
        </w:rPr>
        <w:t xml:space="preserve"> 1, </w:t>
      </w:r>
      <w:proofErr w:type="gramStart"/>
      <w:r>
        <w:rPr>
          <w:color w:val="000000"/>
        </w:rPr>
        <w:t>2024, deadline</w:t>
      </w:r>
      <w:proofErr w:type="gramEnd"/>
      <w:r w:rsidRPr="003F332F">
        <w:rPr>
          <w:color w:val="000000"/>
        </w:rPr>
        <w:t>.</w:t>
      </w:r>
    </w:p>
    <w:p w14:paraId="5EF5C8EC" w14:textId="77777777" w:rsidR="00D83913" w:rsidRPr="00D83913" w:rsidRDefault="00D83913" w:rsidP="00395607">
      <w:pPr>
        <w:tabs>
          <w:tab w:val="left" w:pos="180"/>
        </w:tabs>
        <w:rPr>
          <w:b/>
          <w:bCs/>
          <w:sz w:val="12"/>
          <w:szCs w:val="12"/>
        </w:rPr>
      </w:pPr>
    </w:p>
    <w:p w14:paraId="41F4B579" w14:textId="77777777" w:rsidR="00525013" w:rsidRPr="004E4D4D" w:rsidRDefault="00525013" w:rsidP="00525013">
      <w:pPr>
        <w:tabs>
          <w:tab w:val="left" w:pos="180"/>
          <w:tab w:val="left" w:pos="270"/>
        </w:tabs>
      </w:pPr>
      <w:r>
        <w:rPr>
          <w:b/>
        </w:rPr>
        <w:t>C</w:t>
      </w:r>
      <w:r w:rsidRPr="004E4D4D">
        <w:rPr>
          <w:b/>
        </w:rPr>
        <w:t xml:space="preserve">. </w:t>
      </w:r>
      <w:r>
        <w:rPr>
          <w:b/>
        </w:rPr>
        <w:t xml:space="preserve"> </w:t>
      </w:r>
      <w:r w:rsidRPr="004E4D4D">
        <w:rPr>
          <w:b/>
          <w:bCs/>
        </w:rPr>
        <w:t xml:space="preserve">Reporting Resident-specific Emergencies – Incident Reports </w:t>
      </w:r>
    </w:p>
    <w:p w14:paraId="63E2A8B7" w14:textId="6440F788" w:rsidR="00525013" w:rsidRPr="004E4D4D" w:rsidRDefault="00525013" w:rsidP="00525013">
      <w:pPr>
        <w:pStyle w:val="ListParagraph"/>
        <w:numPr>
          <w:ilvl w:val="0"/>
          <w:numId w:val="5"/>
        </w:numPr>
        <w:spacing w:after="0" w:line="240" w:lineRule="auto"/>
        <w:ind w:left="810"/>
      </w:pPr>
      <w:bookmarkStart w:id="6" w:name="_Hlk106356871"/>
      <w:r w:rsidRPr="00C03117">
        <w:rPr>
          <w:iCs/>
        </w:rPr>
        <w:t xml:space="preserve">EOEA reviewed the Residence records </w:t>
      </w:r>
      <w:bookmarkStart w:id="7" w:name="_Hlk107996322"/>
      <w:r w:rsidRPr="00C03117">
        <w:rPr>
          <w:iCs/>
        </w:rPr>
        <w:t xml:space="preserve">and submitted incident reports from </w:t>
      </w:r>
      <w:r>
        <w:rPr>
          <w:iCs/>
        </w:rPr>
        <w:t>September 2</w:t>
      </w:r>
      <w:r w:rsidR="00B071AE">
        <w:rPr>
          <w:iCs/>
        </w:rPr>
        <w:t>0</w:t>
      </w:r>
      <w:r w:rsidRPr="00C03117">
        <w:rPr>
          <w:iCs/>
        </w:rPr>
        <w:t xml:space="preserve">, </w:t>
      </w:r>
      <w:proofErr w:type="gramStart"/>
      <w:r w:rsidRPr="00C03117">
        <w:rPr>
          <w:iCs/>
        </w:rPr>
        <w:t>202</w:t>
      </w:r>
      <w:r>
        <w:rPr>
          <w:iCs/>
        </w:rPr>
        <w:t>2</w:t>
      </w:r>
      <w:proofErr w:type="gramEnd"/>
      <w:r w:rsidRPr="00C03117">
        <w:rPr>
          <w:iCs/>
        </w:rPr>
        <w:t xml:space="preserve"> through </w:t>
      </w:r>
      <w:bookmarkEnd w:id="6"/>
      <w:bookmarkEnd w:id="7"/>
      <w:r>
        <w:rPr>
          <w:iCs/>
        </w:rPr>
        <w:t>April 9</w:t>
      </w:r>
      <w:r w:rsidRPr="00C03117">
        <w:rPr>
          <w:iCs/>
        </w:rPr>
        <w:t xml:space="preserve">, </w:t>
      </w:r>
      <w:proofErr w:type="gramStart"/>
      <w:r w:rsidRPr="00C03117">
        <w:rPr>
          <w:iCs/>
        </w:rPr>
        <w:t>202</w:t>
      </w:r>
      <w:r>
        <w:rPr>
          <w:iCs/>
        </w:rPr>
        <w:t>4</w:t>
      </w:r>
      <w:proofErr w:type="gramEnd"/>
      <w:r>
        <w:rPr>
          <w:iCs/>
        </w:rPr>
        <w:t xml:space="preserve"> </w:t>
      </w:r>
      <w:r w:rsidRPr="00C03117">
        <w:rPr>
          <w:iCs/>
        </w:rPr>
        <w:t>for evidence that all occurrences of an incident or accident that has or may have a Significant Negative Effect on a Resident’s health, safety or welfare were reported to EOEA within 24 hours after the occurrence of the incident or accident.</w:t>
      </w:r>
    </w:p>
    <w:p w14:paraId="096F5272" w14:textId="665F6D46" w:rsidR="00525013" w:rsidRDefault="00525013" w:rsidP="00525013">
      <w:pPr>
        <w:numPr>
          <w:ilvl w:val="0"/>
          <w:numId w:val="17"/>
        </w:numPr>
        <w:spacing w:after="120"/>
        <w:ind w:left="1170"/>
        <w:contextualSpacing/>
        <w:rPr>
          <w:bCs/>
        </w:rPr>
      </w:pPr>
      <w:r w:rsidRPr="005371C2">
        <w:rPr>
          <w:bCs/>
        </w:rPr>
        <w:t xml:space="preserve">The Residence filed </w:t>
      </w:r>
      <w:r>
        <w:rPr>
          <w:bCs/>
        </w:rPr>
        <w:t>seven</w:t>
      </w:r>
      <w:r w:rsidRPr="005371C2">
        <w:rPr>
          <w:bCs/>
        </w:rPr>
        <w:t xml:space="preserve"> incident report</w:t>
      </w:r>
      <w:r>
        <w:rPr>
          <w:bCs/>
        </w:rPr>
        <w:t>s</w:t>
      </w:r>
      <w:r w:rsidRPr="005371C2">
        <w:rPr>
          <w:bCs/>
        </w:rPr>
        <w:t xml:space="preserve"> greater than 24 hours after the occurrence of</w:t>
      </w:r>
      <w:r>
        <w:rPr>
          <w:bCs/>
        </w:rPr>
        <w:t xml:space="preserve"> </w:t>
      </w:r>
      <w:r w:rsidRPr="005371C2">
        <w:rPr>
          <w:bCs/>
        </w:rPr>
        <w:t>the incident during the period reviewed.</w:t>
      </w:r>
    </w:p>
    <w:p w14:paraId="679542DA" w14:textId="77777777" w:rsidR="0074768D" w:rsidRDefault="0074768D" w:rsidP="00803DB1">
      <w:pPr>
        <w:rPr>
          <w:sz w:val="12"/>
          <w:szCs w:val="12"/>
        </w:rPr>
      </w:pPr>
    </w:p>
    <w:p w14:paraId="0A729A0B" w14:textId="4C2BC729" w:rsidR="00BE4D35" w:rsidRPr="00DB48A2" w:rsidRDefault="00B13750" w:rsidP="00BE4D35">
      <w:pPr>
        <w:rPr>
          <w:iCs/>
          <w:color w:val="000000"/>
        </w:rPr>
      </w:pPr>
      <w:r>
        <w:rPr>
          <w:b/>
        </w:rPr>
        <w:t>D</w:t>
      </w:r>
      <w:r w:rsidR="00495AF6">
        <w:rPr>
          <w:b/>
        </w:rPr>
        <w:t xml:space="preserve">. </w:t>
      </w:r>
      <w:r w:rsidR="00495AF6" w:rsidRPr="00650CCB">
        <w:rPr>
          <w:b/>
        </w:rPr>
        <w:t>Training Requirements</w:t>
      </w:r>
      <w:r w:rsidR="00495AF6" w:rsidRPr="00DB48A2">
        <w:rPr>
          <w:b/>
        </w:rPr>
        <w:t xml:space="preserve"> </w:t>
      </w:r>
      <w:r w:rsidR="00D91AF0">
        <w:rPr>
          <w:b/>
        </w:rPr>
        <w:t>–</w:t>
      </w:r>
      <w:r w:rsidR="00BE4D35" w:rsidRPr="00DB48A2">
        <w:rPr>
          <w:b/>
        </w:rPr>
        <w:t xml:space="preserve"> </w:t>
      </w:r>
      <w:r w:rsidR="00495AF6">
        <w:rPr>
          <w:b/>
        </w:rPr>
        <w:t>LGBTQ</w:t>
      </w:r>
      <w:r w:rsidR="00D91AF0">
        <w:rPr>
          <w:b/>
        </w:rPr>
        <w:t xml:space="preserve"> Training</w:t>
      </w:r>
    </w:p>
    <w:p w14:paraId="63CF4980" w14:textId="77777777" w:rsidR="00D91AF0" w:rsidRPr="00D91AF0" w:rsidRDefault="00D91AF0" w:rsidP="00D91AF0">
      <w:pPr>
        <w:pStyle w:val="ListParagraph"/>
        <w:numPr>
          <w:ilvl w:val="0"/>
          <w:numId w:val="5"/>
        </w:numPr>
        <w:spacing w:after="0" w:line="240" w:lineRule="auto"/>
        <w:ind w:left="810"/>
        <w:rPr>
          <w:iCs/>
        </w:rPr>
      </w:pPr>
      <w:r w:rsidRPr="00D91AF0">
        <w:rPr>
          <w:iCs/>
        </w:rPr>
        <w:t>EOEA reviewed four personnel records to determine compliance with training requirements.</w:t>
      </w:r>
    </w:p>
    <w:p w14:paraId="22439BE1" w14:textId="331BB5F4" w:rsidR="00D91AF0" w:rsidRPr="007917C3" w:rsidRDefault="00D91AF0" w:rsidP="00D91AF0">
      <w:pPr>
        <w:pStyle w:val="ListParagraph"/>
        <w:numPr>
          <w:ilvl w:val="1"/>
          <w:numId w:val="2"/>
        </w:numPr>
        <w:spacing w:after="0" w:line="240" w:lineRule="auto"/>
        <w:ind w:left="1080" w:hanging="270"/>
        <w:rPr>
          <w:rFonts w:cs="Times New Roman"/>
        </w:rPr>
      </w:pPr>
      <w:r>
        <w:rPr>
          <w:rFonts w:cs="Times New Roman"/>
        </w:rPr>
        <w:t>Three</w:t>
      </w:r>
      <w:r w:rsidRPr="007917C3">
        <w:rPr>
          <w:rFonts w:cs="Times New Roman"/>
        </w:rPr>
        <w:t xml:space="preserve"> records were missing documentation to confirm completion of required LGBTQ training. </w:t>
      </w:r>
    </w:p>
    <w:p w14:paraId="09991A00" w14:textId="77777777" w:rsidR="00A754F0" w:rsidRDefault="00A754F0" w:rsidP="00803DB1">
      <w:pPr>
        <w:rPr>
          <w:sz w:val="12"/>
          <w:szCs w:val="12"/>
        </w:rPr>
      </w:pPr>
    </w:p>
    <w:p w14:paraId="42EBDAEE" w14:textId="77777777" w:rsidR="004E4D4D" w:rsidRPr="004E4D4D" w:rsidRDefault="004E4D4D" w:rsidP="000A5376">
      <w:pPr>
        <w:numPr>
          <w:ilvl w:val="0"/>
          <w:numId w:val="3"/>
        </w:numPr>
        <w:contextualSpacing/>
        <w:rPr>
          <w:bCs/>
        </w:rPr>
      </w:pPr>
      <w:bookmarkStart w:id="8" w:name="_Hlk53738466"/>
      <w:r w:rsidRPr="004E4D4D">
        <w:rPr>
          <w:b/>
          <w:u w:val="single"/>
        </w:rPr>
        <w:t>Corrective Actions</w:t>
      </w:r>
      <w:r w:rsidRPr="004E4D4D">
        <w:rPr>
          <w:b/>
        </w:rPr>
        <w:t>.</w:t>
      </w:r>
    </w:p>
    <w:p w14:paraId="6D3AAC7B" w14:textId="77777777" w:rsidR="004E4D4D" w:rsidRPr="004E4D4D" w:rsidRDefault="004E4D4D" w:rsidP="004E4D4D">
      <w:pPr>
        <w:ind w:left="216"/>
        <w:rPr>
          <w:b/>
          <w:bCs/>
        </w:rPr>
      </w:pPr>
      <w:r w:rsidRPr="004E4D4D">
        <w:rPr>
          <w:b/>
          <w:bCs/>
        </w:rPr>
        <w:t>A. General Corrective Actions</w:t>
      </w:r>
    </w:p>
    <w:p w14:paraId="7EF7EA95" w14:textId="77777777" w:rsidR="004E4D4D" w:rsidRPr="004E4D4D" w:rsidRDefault="004E4D4D" w:rsidP="004E4D4D">
      <w:pPr>
        <w:ind w:left="216"/>
        <w:rPr>
          <w:b/>
          <w:bCs/>
        </w:rPr>
      </w:pPr>
      <w:r w:rsidRPr="004E4D4D">
        <w:t>Complete and submit to EOEA each of the following:</w:t>
      </w:r>
    </w:p>
    <w:p w14:paraId="042BC87E" w14:textId="4D72F378" w:rsidR="004E4D4D" w:rsidRPr="00D10F0E" w:rsidRDefault="00D10F0E" w:rsidP="00D10F0E">
      <w:pPr>
        <w:numPr>
          <w:ilvl w:val="0"/>
          <w:numId w:val="1"/>
        </w:numPr>
        <w:tabs>
          <w:tab w:val="left" w:pos="450"/>
        </w:tabs>
        <w:ind w:left="936"/>
        <w:rPr>
          <w:rFonts w:eastAsiaTheme="minorHAnsi"/>
        </w:rPr>
      </w:pPr>
      <w:r>
        <w:rPr>
          <w:rFonts w:eastAsiaTheme="minorHAnsi"/>
        </w:rPr>
        <w:lastRenderedPageBreak/>
        <w:t xml:space="preserve">A </w:t>
      </w:r>
      <w:r w:rsidR="004E4D4D" w:rsidRPr="004E4D4D">
        <w:rPr>
          <w:rFonts w:eastAsiaTheme="minorHAnsi"/>
        </w:rPr>
        <w:t xml:space="preserve">specific plan of what will be or has been done to correct each of the cited in Section </w:t>
      </w:r>
      <w:r>
        <w:rPr>
          <w:rFonts w:eastAsiaTheme="minorHAnsi"/>
        </w:rPr>
        <w:t xml:space="preserve">    </w:t>
      </w:r>
      <w:r w:rsidR="004E4D4D" w:rsidRPr="00D10F0E">
        <w:rPr>
          <w:rFonts w:eastAsiaTheme="minorHAnsi"/>
        </w:rPr>
        <w:t xml:space="preserve">above. </w:t>
      </w:r>
    </w:p>
    <w:p w14:paraId="1EB732FD" w14:textId="77777777" w:rsidR="004E4D4D" w:rsidRPr="004E4D4D" w:rsidRDefault="004E4D4D" w:rsidP="00B3583B">
      <w:pPr>
        <w:numPr>
          <w:ilvl w:val="0"/>
          <w:numId w:val="1"/>
        </w:numPr>
        <w:tabs>
          <w:tab w:val="left" w:pos="450"/>
        </w:tabs>
        <w:ind w:left="936"/>
      </w:pPr>
      <w:r w:rsidRPr="004E4D4D">
        <w:rPr>
          <w:rFonts w:eastAsiaTheme="minorHAnsi"/>
        </w:rPr>
        <w:t xml:space="preserve">Provide a description of what will be done to prevent recurrence of each of the </w:t>
      </w:r>
      <w:proofErr w:type="gramStart"/>
      <w:r w:rsidRPr="004E4D4D">
        <w:rPr>
          <w:rFonts w:eastAsiaTheme="minorHAnsi"/>
        </w:rPr>
        <w:t>issue</w:t>
      </w:r>
      <w:proofErr w:type="gramEnd"/>
      <w:r w:rsidRPr="004E4D4D">
        <w:rPr>
          <w:rFonts w:eastAsiaTheme="minorHAnsi"/>
        </w:rPr>
        <w:t xml:space="preserve">(s) identified in Section II to </w:t>
      </w:r>
      <w:r w:rsidRPr="004E4D4D">
        <w:t>ensure the problem does not recur.</w:t>
      </w:r>
    </w:p>
    <w:p w14:paraId="752BC3A3" w14:textId="77777777" w:rsidR="004E4D4D" w:rsidRPr="004E4D4D" w:rsidRDefault="004E4D4D" w:rsidP="00B3583B">
      <w:pPr>
        <w:numPr>
          <w:ilvl w:val="0"/>
          <w:numId w:val="1"/>
        </w:numPr>
        <w:tabs>
          <w:tab w:val="left" w:pos="450"/>
        </w:tabs>
        <w:ind w:left="936"/>
      </w:pPr>
      <w:r w:rsidRPr="004E4D4D">
        <w:t xml:space="preserve">Identify the designation of the individual(s) who will be responsible for monitoring the correction; and, </w:t>
      </w:r>
    </w:p>
    <w:p w14:paraId="2AFD391B" w14:textId="77777777" w:rsidR="004E4D4D" w:rsidRPr="004E4D4D" w:rsidRDefault="004E4D4D" w:rsidP="00B3583B">
      <w:pPr>
        <w:numPr>
          <w:ilvl w:val="0"/>
          <w:numId w:val="1"/>
        </w:numPr>
        <w:tabs>
          <w:tab w:val="left" w:pos="450"/>
        </w:tabs>
        <w:ind w:left="936"/>
      </w:pPr>
      <w:r w:rsidRPr="004E4D4D">
        <w:t>The date by which each correction will be achieved.</w:t>
      </w:r>
    </w:p>
    <w:p w14:paraId="5B8F875F" w14:textId="77777777" w:rsidR="00536294" w:rsidRPr="00B615FA" w:rsidRDefault="00536294" w:rsidP="00673773">
      <w:pPr>
        <w:tabs>
          <w:tab w:val="left" w:pos="720"/>
        </w:tabs>
        <w:rPr>
          <w:b/>
          <w:bCs/>
          <w:sz w:val="12"/>
          <w:szCs w:val="12"/>
        </w:rPr>
      </w:pPr>
    </w:p>
    <w:p w14:paraId="50CE99B7" w14:textId="77777777" w:rsidR="00EF6675" w:rsidRPr="008E3446" w:rsidRDefault="00EF6675" w:rsidP="00EF6675">
      <w:pPr>
        <w:ind w:left="216"/>
        <w:contextualSpacing/>
      </w:pPr>
      <w:r w:rsidRPr="008E3446">
        <w:rPr>
          <w:b/>
          <w:bCs/>
        </w:rPr>
        <w:t>B. Specific Corrective Actions.</w:t>
      </w:r>
      <w:r w:rsidRPr="008E3446">
        <w:t xml:space="preserve"> </w:t>
      </w:r>
    </w:p>
    <w:p w14:paraId="20EBDF4B" w14:textId="37A54546" w:rsidR="00EF6675" w:rsidRPr="00D73175" w:rsidRDefault="00EF6675" w:rsidP="00EF6675">
      <w:pPr>
        <w:ind w:left="216"/>
        <w:contextualSpacing/>
        <w:rPr>
          <w:rFonts w:eastAsiaTheme="minorHAnsi"/>
          <w:color w:val="000000"/>
        </w:rPr>
      </w:pPr>
      <w:r w:rsidRPr="00D73175">
        <w:rPr>
          <w:rFonts w:eastAsiaTheme="minorHAnsi"/>
          <w:color w:val="000000"/>
        </w:rPr>
        <w:t>Submit to EOEA the following:</w:t>
      </w:r>
    </w:p>
    <w:p w14:paraId="5A377216" w14:textId="77777777" w:rsidR="000A5711" w:rsidRDefault="000A5711" w:rsidP="006617BE">
      <w:pPr>
        <w:numPr>
          <w:ilvl w:val="0"/>
          <w:numId w:val="16"/>
        </w:numPr>
        <w:tabs>
          <w:tab w:val="left" w:pos="450"/>
        </w:tabs>
        <w:rPr>
          <w:u w:val="single"/>
        </w:rPr>
      </w:pPr>
      <w:r w:rsidRPr="008D2C38">
        <w:t>An Annual Financial Disclosure Report completed and submitted by the Residence Sponsor.</w:t>
      </w:r>
      <w:r>
        <w:t xml:space="preserve"> The report can be accessed at the following link: </w:t>
      </w:r>
      <w:hyperlink r:id="rId20" w:history="1">
        <w:r w:rsidRPr="006617BE">
          <w:rPr>
            <w:u w:val="single"/>
          </w:rPr>
          <w:t>https://app.keysurvey.com/f/41705341/10f4/</w:t>
        </w:r>
      </w:hyperlink>
    </w:p>
    <w:p w14:paraId="21A0AAFC" w14:textId="7DBC89D0" w:rsidR="00A226B9" w:rsidRPr="00A226B9" w:rsidRDefault="001947F2" w:rsidP="00D10F0E">
      <w:pPr>
        <w:tabs>
          <w:tab w:val="left" w:pos="360"/>
        </w:tabs>
        <w:rPr>
          <w:b/>
          <w:bCs/>
          <w:sz w:val="12"/>
          <w:szCs w:val="12"/>
        </w:rPr>
      </w:pPr>
      <w:r>
        <w:rPr>
          <w:b/>
          <w:bCs/>
        </w:rPr>
        <w:t xml:space="preserve">    </w:t>
      </w:r>
    </w:p>
    <w:p w14:paraId="741C721C" w14:textId="77777777" w:rsidR="00915139" w:rsidRDefault="00915139" w:rsidP="004E4D4D">
      <w:pPr>
        <w:contextualSpacing/>
      </w:pPr>
    </w:p>
    <w:p w14:paraId="243A8E21" w14:textId="424F37CC" w:rsidR="004E4D4D" w:rsidRPr="004E4D4D" w:rsidRDefault="004E4D4D" w:rsidP="004E4D4D">
      <w:pPr>
        <w:contextualSpacing/>
      </w:pPr>
      <w:r w:rsidRPr="004E4D4D">
        <w:t>If a particular finding cannot be corrected within 30 days due to the nature of the corrective action, the Residence’s corrective action response must include a schedule for completion within a reasonable period.</w:t>
      </w:r>
    </w:p>
    <w:bookmarkEnd w:id="8"/>
    <w:p w14:paraId="317E2BBE" w14:textId="77777777" w:rsidR="004E4D4D" w:rsidRPr="002A32FF" w:rsidRDefault="004E4D4D" w:rsidP="004E4D4D">
      <w:pPr>
        <w:spacing w:after="120"/>
        <w:rPr>
          <w:rFonts w:ascii="New times roman" w:hAnsi="New times roman"/>
          <w:b/>
          <w:bCs/>
          <w:sz w:val="12"/>
          <w:szCs w:val="12"/>
          <w:u w:val="single"/>
        </w:rPr>
      </w:pPr>
    </w:p>
    <w:p w14:paraId="5060F0AA" w14:textId="77777777" w:rsidR="004E4D4D" w:rsidRPr="004E4D4D" w:rsidRDefault="004E4D4D" w:rsidP="004E4D4D">
      <w:pPr>
        <w:spacing w:after="120"/>
        <w:rPr>
          <w:rFonts w:ascii="New times roman" w:hAnsi="New times roman"/>
          <w:b/>
          <w:bCs/>
          <w:u w:val="single"/>
        </w:rPr>
      </w:pPr>
      <w:r w:rsidRPr="004E4D4D">
        <w:rPr>
          <w:rFonts w:ascii="New times roman" w:hAnsi="New times roman"/>
          <w:b/>
          <w:bCs/>
          <w:u w:val="single"/>
        </w:rPr>
        <w:t>NEXT STEPS:</w:t>
      </w:r>
    </w:p>
    <w:p w14:paraId="31FD7F07" w14:textId="652266D8" w:rsidR="004E4D4D" w:rsidRPr="004E4D4D" w:rsidRDefault="004E4D4D" w:rsidP="004E4D4D">
      <w:pPr>
        <w:rPr>
          <w:rFonts w:ascii="New times roman" w:hAnsi="New times roman"/>
        </w:rPr>
      </w:pPr>
      <w:r w:rsidRPr="004E4D4D">
        <w:rPr>
          <w:rFonts w:ascii="New times roman" w:hAnsi="New times roman"/>
        </w:rPr>
        <w:t xml:space="preserve">In accordance with 651 CMR 12.09(4)(g), you are required to respond in writing to EOEA within 10 days after receiving this notice indicating your agreement or disagreement with the findings.  If you agree with the findings, please submit in writing to EOEA all required information/corrections by </w:t>
      </w:r>
      <w:sdt>
        <w:sdtPr>
          <w:rPr>
            <w:rFonts w:ascii="New times roman" w:hAnsi="New times roman"/>
          </w:rPr>
          <w:alias w:val="POC Due Date"/>
          <w:tag w:val="POC Due Date"/>
          <w:id w:val="380987826"/>
          <w:placeholder>
            <w:docPart w:val="9C65A9257AC344A4A43B45BBCA319653"/>
          </w:placeholder>
          <w:date w:fullDate="2024-05-10T00:00:00Z">
            <w:dateFormat w:val="MMMM d, yyyy"/>
            <w:lid w:val="en-US"/>
            <w:storeMappedDataAs w:val="dateTime"/>
            <w:calendar w:val="gregorian"/>
          </w:date>
        </w:sdtPr>
        <w:sdtEndPr/>
        <w:sdtContent>
          <w:r w:rsidR="00154B26">
            <w:rPr>
              <w:rFonts w:ascii="New times roman" w:hAnsi="New times roman"/>
            </w:rPr>
            <w:t>May 10, 2024</w:t>
          </w:r>
        </w:sdtContent>
      </w:sdt>
      <w:r w:rsidRPr="004E4D4D">
        <w:rPr>
          <w:rFonts w:ascii="New times roman" w:hAnsi="New times roman"/>
        </w:rPr>
        <w:t>.</w:t>
      </w:r>
    </w:p>
    <w:p w14:paraId="64FEFE24" w14:textId="77777777" w:rsidR="004E4D4D" w:rsidRPr="004E4D4D" w:rsidRDefault="004E4D4D" w:rsidP="004E4D4D">
      <w:pPr>
        <w:rPr>
          <w:rFonts w:ascii="New times roman" w:hAnsi="New times roman"/>
        </w:rPr>
      </w:pPr>
    </w:p>
    <w:p w14:paraId="256899AD" w14:textId="77777777" w:rsidR="004E4D4D" w:rsidRPr="004E4D4D" w:rsidRDefault="004E4D4D" w:rsidP="004E4D4D">
      <w:pPr>
        <w:rPr>
          <w:rFonts w:ascii="New times roman" w:hAnsi="New times roman"/>
        </w:rPr>
      </w:pPr>
      <w:r w:rsidRPr="004E4D4D">
        <w:rPr>
          <w:rFonts w:ascii="New times roman" w:hAnsi="New times roman"/>
        </w:rP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38DC3938" w14:textId="77777777" w:rsidR="004E4D4D" w:rsidRPr="004E4D4D" w:rsidRDefault="004E4D4D" w:rsidP="004E4D4D"/>
    <w:p w14:paraId="738BFC19" w14:textId="77777777" w:rsidR="004E4D4D" w:rsidRPr="004E4D4D" w:rsidRDefault="004E4D4D" w:rsidP="004E4D4D">
      <w:r w:rsidRPr="004E4D4D">
        <w:t>If you have any questions regarding this matter, please contact</w:t>
      </w:r>
      <w:r w:rsidRPr="004E4D4D">
        <w:rPr>
          <w:b/>
          <w:bCs/>
        </w:rPr>
        <w:t xml:space="preserve"> </w:t>
      </w:r>
      <w:r w:rsidRPr="004E4D4D">
        <w:t xml:space="preserve">me at 617-222-7411or by email at </w:t>
      </w:r>
      <w:hyperlink r:id="rId21" w:history="1">
        <w:r w:rsidRPr="004E4D4D">
          <w:rPr>
            <w:color w:val="0000FF"/>
            <w:u w:val="single"/>
          </w:rPr>
          <w:t>Christopher.mundy2@mass.gov</w:t>
        </w:r>
      </w:hyperlink>
      <w:r w:rsidRPr="004E4D4D">
        <w:rPr>
          <w:color w:val="0000FF"/>
          <w:u w:val="single"/>
        </w:rPr>
        <w:t>.</w:t>
      </w:r>
    </w:p>
    <w:p w14:paraId="5C53345B" w14:textId="77777777" w:rsidR="004E4D4D" w:rsidRPr="004E4D4D" w:rsidRDefault="004E4D4D" w:rsidP="004E4D4D"/>
    <w:p w14:paraId="7F0C68D6" w14:textId="77777777" w:rsidR="004E4D4D" w:rsidRPr="004E4D4D" w:rsidRDefault="004E4D4D" w:rsidP="004E4D4D">
      <w:r w:rsidRPr="004E4D4D">
        <w:t>Sincerely,</w:t>
      </w:r>
    </w:p>
    <w:p w14:paraId="2CD847DF" w14:textId="77777777" w:rsidR="004E4D4D" w:rsidRPr="004E4D4D" w:rsidRDefault="004E4D4D" w:rsidP="00A16310">
      <w:pPr>
        <w:tabs>
          <w:tab w:val="left" w:pos="360"/>
        </w:tabs>
      </w:pPr>
    </w:p>
    <w:p w14:paraId="7444EF79" w14:textId="77777777" w:rsidR="00063FB5" w:rsidRDefault="00063FB5" w:rsidP="004E4D4D"/>
    <w:p w14:paraId="004A0597" w14:textId="468B97A2" w:rsidR="004E4D4D" w:rsidRPr="004E4D4D" w:rsidRDefault="004E4D4D" w:rsidP="004E4D4D">
      <w:r w:rsidRPr="004E4D4D">
        <w:t>Christopher Mundy</w:t>
      </w:r>
    </w:p>
    <w:p w14:paraId="32C52196" w14:textId="77777777" w:rsidR="004E4D4D" w:rsidRPr="004E4D4D" w:rsidRDefault="004E4D4D" w:rsidP="004E4D4D">
      <w:r w:rsidRPr="004E4D4D">
        <w:t xml:space="preserve">Assisted Living Certification Specialist </w:t>
      </w:r>
    </w:p>
    <w:p w14:paraId="77809B4A" w14:textId="77777777" w:rsidR="004E4D4D" w:rsidRPr="004E4D4D" w:rsidRDefault="004E4D4D" w:rsidP="004E4D4D"/>
    <w:p w14:paraId="4C288BFD" w14:textId="77777777" w:rsidR="006E6A1F" w:rsidRDefault="004E4D4D" w:rsidP="006E6A1F">
      <w:r w:rsidRPr="004E4D4D">
        <w:t xml:space="preserve">CC: </w:t>
      </w:r>
      <w:bookmarkEnd w:id="0"/>
      <w:r w:rsidR="006E6A1F">
        <w:t>Elizabeth Calsey House at Lion’s Mouth Road, LLC</w:t>
      </w:r>
    </w:p>
    <w:p w14:paraId="4A8F49DE" w14:textId="1F5287B8" w:rsidR="006E6A1F" w:rsidRDefault="006E6A1F" w:rsidP="006E6A1F">
      <w:r>
        <w:t xml:space="preserve">       286 Lion’s Mouth Road</w:t>
      </w:r>
    </w:p>
    <w:p w14:paraId="7E2806FA" w14:textId="0104981A" w:rsidR="00C95153" w:rsidRPr="008A0ACA" w:rsidRDefault="006E6A1F" w:rsidP="006E6A1F">
      <w:r>
        <w:t xml:space="preserve">       Amesbury, MA 01913</w:t>
      </w:r>
    </w:p>
    <w:sectPr w:rsidR="00C95153" w:rsidRPr="008A0ACA" w:rsidSect="00127237">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1C45" w14:textId="77777777" w:rsidR="005C057E" w:rsidRDefault="005C057E" w:rsidP="00897F08">
      <w:r>
        <w:separator/>
      </w:r>
    </w:p>
  </w:endnote>
  <w:endnote w:type="continuationSeparator" w:id="0">
    <w:p w14:paraId="79F31493" w14:textId="77777777" w:rsidR="005C057E" w:rsidRDefault="005C057E"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JVHAF X+ Times New Roman PSMT">
    <w:altName w:val="Cambria"/>
    <w:panose1 w:val="00000000000000000000"/>
    <w:charset w:val="00"/>
    <w:family w:val="roman"/>
    <w:notTrueType/>
    <w:pitch w:val="default"/>
    <w:sig w:usb0="00000003" w:usb1="00000000" w:usb2="00000000" w:usb3="00000000" w:csb0="00000001"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352AF135" w14:textId="77777777" w:rsidR="004E4D4D" w:rsidRDefault="004E4D4D"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4B744AD5" w14:textId="77777777" w:rsidR="004E4D4D" w:rsidRDefault="004E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3911" w14:textId="77777777" w:rsidR="004E4D4D" w:rsidRDefault="004E4D4D" w:rsidP="000B6618">
    <w:pPr>
      <w:pStyle w:val="Footer"/>
      <w:ind w:firstLine="216"/>
      <w:jc w:val="right"/>
    </w:pPr>
  </w:p>
  <w:p w14:paraId="284A402E" w14:textId="77777777" w:rsidR="004E4D4D" w:rsidRDefault="004E4D4D" w:rsidP="00E4675B">
    <w:pPr>
      <w:pStyle w:val="Footer"/>
      <w:ind w:firstLine="216"/>
      <w:jc w:val="right"/>
    </w:pPr>
  </w:p>
  <w:p w14:paraId="438CFA0E" w14:textId="77777777" w:rsidR="004E4D4D" w:rsidRDefault="004E4D4D" w:rsidP="000B6618">
    <w:pPr>
      <w:pStyle w:val="Footer"/>
      <w:ind w:firstLine="216"/>
      <w:jc w:val="right"/>
    </w:pPr>
  </w:p>
  <w:p w14:paraId="1261C0A8" w14:textId="77777777" w:rsidR="004E4D4D" w:rsidRDefault="004E4D4D">
    <w:pPr>
      <w:pStyle w:val="Footer"/>
      <w:jc w:val="right"/>
    </w:pPr>
  </w:p>
  <w:p w14:paraId="4B28B124" w14:textId="77777777" w:rsidR="004E4D4D" w:rsidRDefault="004E4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3F06425E" w14:textId="77777777" w:rsidR="004E4D4D" w:rsidRDefault="004E4D4D"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6E2CF034" w14:textId="77777777" w:rsidR="004E4D4D" w:rsidRDefault="004E4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61AB" w14:textId="77777777" w:rsidR="004E4D4D" w:rsidRDefault="004E4D4D"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p w14:paraId="071F9625" w14:textId="77777777" w:rsidR="004E4D4D" w:rsidRDefault="004E4D4D" w:rsidP="007461EF">
    <w:pPr>
      <w:pStyle w:val="Footer"/>
      <w:ind w:firstLine="21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10EA" w14:textId="77777777" w:rsidR="00237A0A" w:rsidRDefault="00237A0A" w:rsidP="00237A0A">
    <w:pPr>
      <w:pStyle w:val="Footer"/>
      <w:ind w:firstLine="216"/>
      <w:jc w:val="right"/>
    </w:pPr>
    <w:r>
      <w:tab/>
    </w:r>
    <w:r>
      <w:tab/>
      <w:t xml:space="preserve">Page </w:t>
    </w:r>
    <w:r>
      <w:rPr>
        <w:b/>
        <w:bCs/>
      </w:rPr>
      <w:fldChar w:fldCharType="begin"/>
    </w:r>
    <w:r>
      <w:rPr>
        <w:b/>
        <w:bCs/>
      </w:rPr>
      <w:instrText xml:space="preserve"> PAGE </w:instrText>
    </w:r>
    <w:r>
      <w:rPr>
        <w:b/>
        <w:bCs/>
      </w:rPr>
      <w:fldChar w:fldCharType="separate"/>
    </w:r>
    <w:r>
      <w:rPr>
        <w:b/>
        <w:bCs/>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p w14:paraId="30D65D37" w14:textId="3C32C38A" w:rsidR="00ED7C1C" w:rsidRDefault="00ED7C1C" w:rsidP="00ED7C1C">
    <w:pPr>
      <w:pStyle w:val="Footer"/>
    </w:pPr>
  </w:p>
  <w:p w14:paraId="2AC2C4B9" w14:textId="77777777" w:rsidR="00897F08" w:rsidRDefault="00897F08" w:rsidP="00E52620">
    <w:pPr>
      <w:pStyle w:val="Footer"/>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4EF2" w14:textId="77777777" w:rsidR="005C057E" w:rsidRDefault="005C057E" w:rsidP="00897F08">
      <w:r>
        <w:separator/>
      </w:r>
    </w:p>
  </w:footnote>
  <w:footnote w:type="continuationSeparator" w:id="0">
    <w:p w14:paraId="2BF3F6D2" w14:textId="77777777" w:rsidR="005C057E" w:rsidRDefault="005C057E" w:rsidP="0089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636C" w14:textId="77777777" w:rsidR="005A2B76" w:rsidRDefault="005A2B76" w:rsidP="002A67AC">
    <w:pPr>
      <w:pStyle w:val="Header"/>
    </w:pPr>
    <w:r>
      <w:t xml:space="preserve">Elizabeth Calsey House at Lion’s Mouth Road </w:t>
    </w:r>
  </w:p>
  <w:p w14:paraId="5F67A003" w14:textId="144628AD" w:rsidR="004E4D4D" w:rsidRDefault="00BD72AD" w:rsidP="002A67AC">
    <w:pPr>
      <w:pStyle w:val="Header"/>
    </w:pPr>
    <w:r>
      <w:t xml:space="preserve">April </w:t>
    </w:r>
    <w:r w:rsidR="005A2B76">
      <w:t>10</w:t>
    </w:r>
    <w:r w:rsidR="00AD7F01">
      <w:t>, 2024</w:t>
    </w:r>
  </w:p>
  <w:p w14:paraId="05B86CFA" w14:textId="77777777" w:rsidR="00AD7F01" w:rsidRDefault="00AD7F01" w:rsidP="002A6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EB3076" w14:paraId="60B5D530" w14:textId="77777777" w:rsidTr="00262C64">
      <w:trPr>
        <w:trHeight w:val="300"/>
      </w:trPr>
      <w:tc>
        <w:tcPr>
          <w:tcW w:w="3120" w:type="dxa"/>
        </w:tcPr>
        <w:p w14:paraId="5B79C181" w14:textId="436819F1" w:rsidR="1FEB3076" w:rsidRDefault="1FEB3076" w:rsidP="1FEB3076">
          <w:pPr>
            <w:pStyle w:val="Header"/>
            <w:ind w:left="-115"/>
          </w:pPr>
        </w:p>
      </w:tc>
      <w:tc>
        <w:tcPr>
          <w:tcW w:w="3120" w:type="dxa"/>
        </w:tcPr>
        <w:p w14:paraId="513F8088" w14:textId="5F4C6AB0" w:rsidR="1FEB3076" w:rsidRDefault="1FEB3076" w:rsidP="1FEB3076">
          <w:pPr>
            <w:pStyle w:val="Header"/>
            <w:jc w:val="center"/>
          </w:pPr>
        </w:p>
      </w:tc>
      <w:tc>
        <w:tcPr>
          <w:tcW w:w="3120" w:type="dxa"/>
        </w:tcPr>
        <w:p w14:paraId="05594619" w14:textId="0CEC70C0" w:rsidR="1FEB3076" w:rsidRDefault="1FEB3076" w:rsidP="1FEB3076">
          <w:pPr>
            <w:pStyle w:val="Header"/>
            <w:ind w:right="-115"/>
            <w:jc w:val="right"/>
          </w:pPr>
        </w:p>
      </w:tc>
    </w:tr>
  </w:tbl>
  <w:p w14:paraId="15882A4C" w14:textId="29BEEE4E" w:rsidR="1FEB3076" w:rsidRDefault="1FEB3076" w:rsidP="1FEB3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60AC" w14:textId="77777777" w:rsidR="004E4D4D" w:rsidRDefault="004E4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16B4" w14:textId="77777777" w:rsidR="005A2B76" w:rsidRDefault="005A2B76" w:rsidP="005A2B76">
    <w:pPr>
      <w:pStyle w:val="Header"/>
    </w:pPr>
    <w:r>
      <w:t xml:space="preserve">Elizabeth Calsey House at Lion’s Mouth Road </w:t>
    </w:r>
  </w:p>
  <w:p w14:paraId="1928747B" w14:textId="442BEA41" w:rsidR="004E4D4D" w:rsidRPr="00C43844" w:rsidRDefault="005A2B76" w:rsidP="005A2B76">
    <w:pPr>
      <w:pStyle w:val="Header"/>
    </w:pPr>
    <w:r>
      <w:t>April 10,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F8B9" w14:textId="77777777" w:rsidR="005A2B76" w:rsidRDefault="005A2B76" w:rsidP="005A2B76">
    <w:pPr>
      <w:pStyle w:val="Header"/>
    </w:pPr>
    <w:r>
      <w:t xml:space="preserve">Elizabeth Calsey House at Lion’s Mouth Road </w:t>
    </w:r>
  </w:p>
  <w:p w14:paraId="5D23563E" w14:textId="6271B310" w:rsidR="004E4D4D" w:rsidRPr="005A2B76" w:rsidRDefault="005A2B76" w:rsidP="005A2B76">
    <w:pPr>
      <w:pStyle w:val="Header"/>
    </w:pPr>
    <w:r>
      <w:t>April 10,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70A"/>
    <w:multiLevelType w:val="hybridMultilevel"/>
    <w:tmpl w:val="7D4898C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B">
      <w:start w:val="1"/>
      <w:numFmt w:val="bullet"/>
      <w:lvlText w:val=""/>
      <w:lvlJc w:val="left"/>
      <w:pPr>
        <w:ind w:left="144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424510"/>
    <w:multiLevelType w:val="hybridMultilevel"/>
    <w:tmpl w:val="9752B3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16E69"/>
    <w:multiLevelType w:val="hybridMultilevel"/>
    <w:tmpl w:val="6CEAC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4F4422"/>
    <w:multiLevelType w:val="hybridMultilevel"/>
    <w:tmpl w:val="52CA6CEA"/>
    <w:lvl w:ilvl="0" w:tplc="FFFFFFFF">
      <w:start w:val="1"/>
      <w:numFmt w:val="decimal"/>
      <w:lvlText w:val="%1."/>
      <w:lvlJc w:val="left"/>
      <w:pPr>
        <w:ind w:left="2592" w:hanging="360"/>
      </w:pPr>
      <w:rPr>
        <w:rFonts w:hint="default"/>
      </w:rPr>
    </w:lvl>
    <w:lvl w:ilvl="1" w:tplc="FFFFFFFF" w:tentative="1">
      <w:start w:val="1"/>
      <w:numFmt w:val="bullet"/>
      <w:lvlText w:val="o"/>
      <w:lvlJc w:val="left"/>
      <w:pPr>
        <w:ind w:left="3312" w:hanging="360"/>
      </w:pPr>
      <w:rPr>
        <w:rFonts w:ascii="Courier New" w:hAnsi="Courier New" w:cs="Courier New" w:hint="default"/>
      </w:rPr>
    </w:lvl>
    <w:lvl w:ilvl="2" w:tplc="FFFFFFFF" w:tentative="1">
      <w:start w:val="1"/>
      <w:numFmt w:val="bullet"/>
      <w:lvlText w:val=""/>
      <w:lvlJc w:val="left"/>
      <w:pPr>
        <w:ind w:left="4032" w:hanging="360"/>
      </w:pPr>
      <w:rPr>
        <w:rFonts w:ascii="Wingdings" w:hAnsi="Wingdings" w:hint="default"/>
      </w:rPr>
    </w:lvl>
    <w:lvl w:ilvl="3" w:tplc="FFFFFFFF">
      <w:start w:val="1"/>
      <w:numFmt w:val="decimal"/>
      <w:lvlText w:val="%4."/>
      <w:lvlJc w:val="left"/>
      <w:pPr>
        <w:ind w:left="4752" w:hanging="360"/>
      </w:pPr>
      <w:rPr>
        <w:rFonts w:hint="default"/>
      </w:rPr>
    </w:lvl>
    <w:lvl w:ilvl="4" w:tplc="FFFFFFFF">
      <w:start w:val="1"/>
      <w:numFmt w:val="bullet"/>
      <w:lvlText w:val="o"/>
      <w:lvlJc w:val="left"/>
      <w:pPr>
        <w:ind w:left="5472" w:hanging="360"/>
      </w:pPr>
      <w:rPr>
        <w:rFonts w:ascii="Courier New" w:hAnsi="Courier New" w:cs="Courier New" w:hint="default"/>
      </w:rPr>
    </w:lvl>
    <w:lvl w:ilvl="5" w:tplc="FFFFFFFF" w:tentative="1">
      <w:start w:val="1"/>
      <w:numFmt w:val="bullet"/>
      <w:lvlText w:val=""/>
      <w:lvlJc w:val="left"/>
      <w:pPr>
        <w:ind w:left="6192" w:hanging="360"/>
      </w:pPr>
      <w:rPr>
        <w:rFonts w:ascii="Wingdings" w:hAnsi="Wingdings" w:hint="default"/>
      </w:rPr>
    </w:lvl>
    <w:lvl w:ilvl="6" w:tplc="FFFFFFFF" w:tentative="1">
      <w:start w:val="1"/>
      <w:numFmt w:val="bullet"/>
      <w:lvlText w:val=""/>
      <w:lvlJc w:val="left"/>
      <w:pPr>
        <w:ind w:left="6912" w:hanging="360"/>
      </w:pPr>
      <w:rPr>
        <w:rFonts w:ascii="Symbol" w:hAnsi="Symbol" w:hint="default"/>
      </w:rPr>
    </w:lvl>
    <w:lvl w:ilvl="7" w:tplc="FFFFFFFF" w:tentative="1">
      <w:start w:val="1"/>
      <w:numFmt w:val="bullet"/>
      <w:lvlText w:val="o"/>
      <w:lvlJc w:val="left"/>
      <w:pPr>
        <w:ind w:left="7632" w:hanging="360"/>
      </w:pPr>
      <w:rPr>
        <w:rFonts w:ascii="Courier New" w:hAnsi="Courier New" w:cs="Courier New" w:hint="default"/>
      </w:rPr>
    </w:lvl>
    <w:lvl w:ilvl="8" w:tplc="FFFFFFFF" w:tentative="1">
      <w:start w:val="1"/>
      <w:numFmt w:val="bullet"/>
      <w:lvlText w:val=""/>
      <w:lvlJc w:val="left"/>
      <w:pPr>
        <w:ind w:left="8352" w:hanging="360"/>
      </w:pPr>
      <w:rPr>
        <w:rFonts w:ascii="Wingdings" w:hAnsi="Wingdings" w:hint="default"/>
      </w:rPr>
    </w:lvl>
  </w:abstractNum>
  <w:abstractNum w:abstractNumId="4" w15:restartNumberingAfterBreak="0">
    <w:nsid w:val="2409384E"/>
    <w:multiLevelType w:val="hybridMultilevel"/>
    <w:tmpl w:val="B464F8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15EF3"/>
    <w:multiLevelType w:val="hybridMultilevel"/>
    <w:tmpl w:val="F0708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53909"/>
    <w:multiLevelType w:val="hybridMultilevel"/>
    <w:tmpl w:val="F360741A"/>
    <w:lvl w:ilvl="0" w:tplc="8A1A68E0">
      <w:start w:val="651"/>
      <w:numFmt w:val="bullet"/>
      <w:lvlText w:val="-"/>
      <w:lvlJc w:val="left"/>
      <w:pPr>
        <w:ind w:left="720" w:hanging="360"/>
      </w:pPr>
      <w:rPr>
        <w:rFonts w:ascii="Times New Roman" w:eastAsia="Times New Roman" w:hAnsi="Times New Roman" w:cs="Times New Roman"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744EB"/>
    <w:multiLevelType w:val="hybridMultilevel"/>
    <w:tmpl w:val="93B2A9C6"/>
    <w:lvl w:ilvl="0" w:tplc="BA34F412">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273774E"/>
    <w:multiLevelType w:val="hybridMultilevel"/>
    <w:tmpl w:val="29DEB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7B77EB"/>
    <w:multiLevelType w:val="hybridMultilevel"/>
    <w:tmpl w:val="85965C12"/>
    <w:lvl w:ilvl="0" w:tplc="56CE74DE">
      <w:start w:val="1"/>
      <w:numFmt w:val="decimal"/>
      <w:lvlText w:val="%1."/>
      <w:lvlJc w:val="left"/>
      <w:pPr>
        <w:ind w:left="25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A13F5"/>
    <w:multiLevelType w:val="hybridMultilevel"/>
    <w:tmpl w:val="52CA6CEA"/>
    <w:lvl w:ilvl="0" w:tplc="FFFFFFFF">
      <w:start w:val="1"/>
      <w:numFmt w:val="decimal"/>
      <w:lvlText w:val="%1."/>
      <w:lvlJc w:val="left"/>
      <w:pPr>
        <w:ind w:left="2592" w:hanging="360"/>
      </w:pPr>
      <w:rPr>
        <w:rFonts w:hint="default"/>
      </w:rPr>
    </w:lvl>
    <w:lvl w:ilvl="1" w:tplc="FFFFFFFF" w:tentative="1">
      <w:start w:val="1"/>
      <w:numFmt w:val="bullet"/>
      <w:lvlText w:val="o"/>
      <w:lvlJc w:val="left"/>
      <w:pPr>
        <w:ind w:left="3312" w:hanging="360"/>
      </w:pPr>
      <w:rPr>
        <w:rFonts w:ascii="Courier New" w:hAnsi="Courier New" w:cs="Courier New" w:hint="default"/>
      </w:rPr>
    </w:lvl>
    <w:lvl w:ilvl="2" w:tplc="FFFFFFFF" w:tentative="1">
      <w:start w:val="1"/>
      <w:numFmt w:val="bullet"/>
      <w:lvlText w:val=""/>
      <w:lvlJc w:val="left"/>
      <w:pPr>
        <w:ind w:left="4032" w:hanging="360"/>
      </w:pPr>
      <w:rPr>
        <w:rFonts w:ascii="Wingdings" w:hAnsi="Wingdings" w:hint="default"/>
      </w:rPr>
    </w:lvl>
    <w:lvl w:ilvl="3" w:tplc="FFFFFFFF">
      <w:start w:val="1"/>
      <w:numFmt w:val="decimal"/>
      <w:lvlText w:val="%4."/>
      <w:lvlJc w:val="left"/>
      <w:pPr>
        <w:ind w:left="4752" w:hanging="360"/>
      </w:pPr>
      <w:rPr>
        <w:rFonts w:hint="default"/>
      </w:rPr>
    </w:lvl>
    <w:lvl w:ilvl="4" w:tplc="FFFFFFFF">
      <w:start w:val="1"/>
      <w:numFmt w:val="bullet"/>
      <w:lvlText w:val="o"/>
      <w:lvlJc w:val="left"/>
      <w:pPr>
        <w:ind w:left="5472" w:hanging="360"/>
      </w:pPr>
      <w:rPr>
        <w:rFonts w:ascii="Courier New" w:hAnsi="Courier New" w:cs="Courier New" w:hint="default"/>
      </w:rPr>
    </w:lvl>
    <w:lvl w:ilvl="5" w:tplc="FFFFFFFF" w:tentative="1">
      <w:start w:val="1"/>
      <w:numFmt w:val="bullet"/>
      <w:lvlText w:val=""/>
      <w:lvlJc w:val="left"/>
      <w:pPr>
        <w:ind w:left="6192" w:hanging="360"/>
      </w:pPr>
      <w:rPr>
        <w:rFonts w:ascii="Wingdings" w:hAnsi="Wingdings" w:hint="default"/>
      </w:rPr>
    </w:lvl>
    <w:lvl w:ilvl="6" w:tplc="FFFFFFFF" w:tentative="1">
      <w:start w:val="1"/>
      <w:numFmt w:val="bullet"/>
      <w:lvlText w:val=""/>
      <w:lvlJc w:val="left"/>
      <w:pPr>
        <w:ind w:left="6912" w:hanging="360"/>
      </w:pPr>
      <w:rPr>
        <w:rFonts w:ascii="Symbol" w:hAnsi="Symbol" w:hint="default"/>
      </w:rPr>
    </w:lvl>
    <w:lvl w:ilvl="7" w:tplc="FFFFFFFF" w:tentative="1">
      <w:start w:val="1"/>
      <w:numFmt w:val="bullet"/>
      <w:lvlText w:val="o"/>
      <w:lvlJc w:val="left"/>
      <w:pPr>
        <w:ind w:left="7632" w:hanging="360"/>
      </w:pPr>
      <w:rPr>
        <w:rFonts w:ascii="Courier New" w:hAnsi="Courier New" w:cs="Courier New" w:hint="default"/>
      </w:rPr>
    </w:lvl>
    <w:lvl w:ilvl="8" w:tplc="FFFFFFFF" w:tentative="1">
      <w:start w:val="1"/>
      <w:numFmt w:val="bullet"/>
      <w:lvlText w:val=""/>
      <w:lvlJc w:val="left"/>
      <w:pPr>
        <w:ind w:left="8352" w:hanging="360"/>
      </w:pPr>
      <w:rPr>
        <w:rFonts w:ascii="Wingdings" w:hAnsi="Wingdings" w:hint="default"/>
      </w:rPr>
    </w:lvl>
  </w:abstractNum>
  <w:abstractNum w:abstractNumId="11" w15:restartNumberingAfterBreak="0">
    <w:nsid w:val="47107BBD"/>
    <w:multiLevelType w:val="hybridMultilevel"/>
    <w:tmpl w:val="FE9092E4"/>
    <w:lvl w:ilvl="0" w:tplc="04090001">
      <w:start w:val="1"/>
      <w:numFmt w:val="bullet"/>
      <w:lvlText w:val=""/>
      <w:lvlJc w:val="left"/>
      <w:pPr>
        <w:ind w:left="90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A6224"/>
    <w:multiLevelType w:val="hybridMultilevel"/>
    <w:tmpl w:val="AA783E10"/>
    <w:lvl w:ilvl="0" w:tplc="74CC3214">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453F8"/>
    <w:multiLevelType w:val="hybridMultilevel"/>
    <w:tmpl w:val="7C38EA30"/>
    <w:lvl w:ilvl="0" w:tplc="9502D0DC">
      <w:start w:val="1"/>
      <w:numFmt w:val="bullet"/>
      <w:lvlText w:val=""/>
      <w:lvlJc w:val="left"/>
      <w:pPr>
        <w:ind w:left="360" w:hanging="360"/>
      </w:pPr>
      <w:rPr>
        <w:rFonts w:ascii="Symbol" w:hAnsi="Symbol" w:hint="default"/>
        <w:sz w:val="20"/>
        <w:szCs w:val="20"/>
      </w:rPr>
    </w:lvl>
    <w:lvl w:ilvl="1" w:tplc="A3EE6AAE">
      <w:start w:val="1"/>
      <w:numFmt w:val="bullet"/>
      <w:lvlText w:val=""/>
      <w:lvlJc w:val="left"/>
      <w:pPr>
        <w:ind w:left="720" w:hanging="360"/>
      </w:pPr>
      <w:rPr>
        <w:rFonts w:ascii="Wingdings" w:hAnsi="Wingdings" w:hint="default"/>
        <w:sz w:val="20"/>
        <w:szCs w:val="2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C295F37"/>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5" w15:restartNumberingAfterBreak="0">
    <w:nsid w:val="625B0484"/>
    <w:multiLevelType w:val="hybridMultilevel"/>
    <w:tmpl w:val="4F46ABBA"/>
    <w:lvl w:ilvl="0" w:tplc="4ECC5CD0">
      <w:start w:val="1"/>
      <w:numFmt w:val="upperRoman"/>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65313F"/>
    <w:multiLevelType w:val="hybridMultilevel"/>
    <w:tmpl w:val="8970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54FC5"/>
    <w:multiLevelType w:val="hybridMultilevel"/>
    <w:tmpl w:val="EC6C6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15CB"/>
    <w:multiLevelType w:val="hybridMultilevel"/>
    <w:tmpl w:val="68F0185C"/>
    <w:lvl w:ilvl="0" w:tplc="CA98AB5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236AB"/>
    <w:multiLevelType w:val="hybridMultilevel"/>
    <w:tmpl w:val="496E7666"/>
    <w:lvl w:ilvl="0" w:tplc="C9CC4876">
      <w:start w:val="1"/>
      <w:numFmt w:val="bullet"/>
      <w:lvlText w:val=""/>
      <w:lvlJc w:val="left"/>
      <w:pPr>
        <w:ind w:left="1008" w:hanging="288"/>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B13C2B"/>
    <w:multiLevelType w:val="hybridMultilevel"/>
    <w:tmpl w:val="7F34901E"/>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755918D7"/>
    <w:multiLevelType w:val="hybridMultilevel"/>
    <w:tmpl w:val="392A7BCC"/>
    <w:lvl w:ilvl="0" w:tplc="D968F558">
      <w:start w:val="1"/>
      <w:numFmt w:val="decimal"/>
      <w:lvlText w:val="%1."/>
      <w:lvlJc w:val="left"/>
      <w:pPr>
        <w:ind w:left="1080"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1368" w:hanging="360"/>
      </w:pPr>
    </w:lvl>
    <w:lvl w:ilvl="4" w:tplc="04090019" w:tentative="1">
      <w:start w:val="1"/>
      <w:numFmt w:val="lowerLetter"/>
      <w:lvlText w:val="%5."/>
      <w:lvlJc w:val="left"/>
      <w:pPr>
        <w:ind w:left="2088" w:hanging="360"/>
      </w:pPr>
    </w:lvl>
    <w:lvl w:ilvl="5" w:tplc="0409001B" w:tentative="1">
      <w:start w:val="1"/>
      <w:numFmt w:val="lowerRoman"/>
      <w:lvlText w:val="%6."/>
      <w:lvlJc w:val="right"/>
      <w:pPr>
        <w:ind w:left="2808" w:hanging="180"/>
      </w:pPr>
    </w:lvl>
    <w:lvl w:ilvl="6" w:tplc="0409000F" w:tentative="1">
      <w:start w:val="1"/>
      <w:numFmt w:val="decimal"/>
      <w:lvlText w:val="%7."/>
      <w:lvlJc w:val="left"/>
      <w:pPr>
        <w:ind w:left="3528" w:hanging="360"/>
      </w:pPr>
    </w:lvl>
    <w:lvl w:ilvl="7" w:tplc="04090019" w:tentative="1">
      <w:start w:val="1"/>
      <w:numFmt w:val="lowerLetter"/>
      <w:lvlText w:val="%8."/>
      <w:lvlJc w:val="left"/>
      <w:pPr>
        <w:ind w:left="4248" w:hanging="360"/>
      </w:pPr>
    </w:lvl>
    <w:lvl w:ilvl="8" w:tplc="0409001B" w:tentative="1">
      <w:start w:val="1"/>
      <w:numFmt w:val="lowerRoman"/>
      <w:lvlText w:val="%9."/>
      <w:lvlJc w:val="right"/>
      <w:pPr>
        <w:ind w:left="4968" w:hanging="180"/>
      </w:pPr>
    </w:lvl>
  </w:abstractNum>
  <w:num w:numId="1" w16cid:durableId="2062554775">
    <w:abstractNumId w:val="14"/>
  </w:num>
  <w:num w:numId="2" w16cid:durableId="695539325">
    <w:abstractNumId w:val="11"/>
  </w:num>
  <w:num w:numId="3" w16cid:durableId="1428039445">
    <w:abstractNumId w:val="15"/>
  </w:num>
  <w:num w:numId="4" w16cid:durableId="230965694">
    <w:abstractNumId w:val="7"/>
  </w:num>
  <w:num w:numId="5" w16cid:durableId="1588148329">
    <w:abstractNumId w:val="17"/>
  </w:num>
  <w:num w:numId="6" w16cid:durableId="879049831">
    <w:abstractNumId w:val="6"/>
  </w:num>
  <w:num w:numId="7" w16cid:durableId="1713185251">
    <w:abstractNumId w:val="9"/>
  </w:num>
  <w:num w:numId="8" w16cid:durableId="85882985">
    <w:abstractNumId w:val="0"/>
  </w:num>
  <w:num w:numId="9" w16cid:durableId="1172256004">
    <w:abstractNumId w:val="19"/>
  </w:num>
  <w:num w:numId="10" w16cid:durableId="2056925133">
    <w:abstractNumId w:val="20"/>
  </w:num>
  <w:num w:numId="11" w16cid:durableId="490412334">
    <w:abstractNumId w:val="12"/>
  </w:num>
  <w:num w:numId="12" w16cid:durableId="738554902">
    <w:abstractNumId w:val="1"/>
  </w:num>
  <w:num w:numId="13" w16cid:durableId="1214610830">
    <w:abstractNumId w:val="10"/>
  </w:num>
  <w:num w:numId="14" w16cid:durableId="1880168088">
    <w:abstractNumId w:val="18"/>
  </w:num>
  <w:num w:numId="15" w16cid:durableId="160194035">
    <w:abstractNumId w:val="3"/>
  </w:num>
  <w:num w:numId="16" w16cid:durableId="1643801883">
    <w:abstractNumId w:val="21"/>
  </w:num>
  <w:num w:numId="17" w16cid:durableId="1396583000">
    <w:abstractNumId w:val="5"/>
  </w:num>
  <w:num w:numId="18" w16cid:durableId="641348583">
    <w:abstractNumId w:val="16"/>
  </w:num>
  <w:num w:numId="19" w16cid:durableId="1883244198">
    <w:abstractNumId w:val="2"/>
  </w:num>
  <w:num w:numId="20" w16cid:durableId="1236434580">
    <w:abstractNumId w:val="13"/>
  </w:num>
  <w:num w:numId="21" w16cid:durableId="1761365037">
    <w:abstractNumId w:val="8"/>
  </w:num>
  <w:num w:numId="22" w16cid:durableId="57043245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14DF"/>
    <w:rsid w:val="00002110"/>
    <w:rsid w:val="000032B6"/>
    <w:rsid w:val="0000394C"/>
    <w:rsid w:val="00004D64"/>
    <w:rsid w:val="00010B5C"/>
    <w:rsid w:val="00011858"/>
    <w:rsid w:val="000139B9"/>
    <w:rsid w:val="00021D19"/>
    <w:rsid w:val="00022C3A"/>
    <w:rsid w:val="00025502"/>
    <w:rsid w:val="000255B8"/>
    <w:rsid w:val="00026D87"/>
    <w:rsid w:val="000315B9"/>
    <w:rsid w:val="000331AA"/>
    <w:rsid w:val="00037702"/>
    <w:rsid w:val="00042FB1"/>
    <w:rsid w:val="000435F8"/>
    <w:rsid w:val="000439C8"/>
    <w:rsid w:val="00044044"/>
    <w:rsid w:val="00050D88"/>
    <w:rsid w:val="000529E3"/>
    <w:rsid w:val="00053D44"/>
    <w:rsid w:val="00055996"/>
    <w:rsid w:val="00056D2B"/>
    <w:rsid w:val="00057461"/>
    <w:rsid w:val="00063FB5"/>
    <w:rsid w:val="0006476A"/>
    <w:rsid w:val="00070F0A"/>
    <w:rsid w:val="000759E5"/>
    <w:rsid w:val="00075FCF"/>
    <w:rsid w:val="00080D48"/>
    <w:rsid w:val="000854F7"/>
    <w:rsid w:val="0009010F"/>
    <w:rsid w:val="000901E7"/>
    <w:rsid w:val="0009474C"/>
    <w:rsid w:val="000A00B2"/>
    <w:rsid w:val="000A1B12"/>
    <w:rsid w:val="000A2265"/>
    <w:rsid w:val="000A4956"/>
    <w:rsid w:val="000A4A02"/>
    <w:rsid w:val="000A5376"/>
    <w:rsid w:val="000A5711"/>
    <w:rsid w:val="000A63A9"/>
    <w:rsid w:val="000B2E21"/>
    <w:rsid w:val="000B3C1E"/>
    <w:rsid w:val="000B5619"/>
    <w:rsid w:val="000C27CD"/>
    <w:rsid w:val="000C28B1"/>
    <w:rsid w:val="000C3440"/>
    <w:rsid w:val="000C4F42"/>
    <w:rsid w:val="000D1279"/>
    <w:rsid w:val="000D6542"/>
    <w:rsid w:val="000D79C8"/>
    <w:rsid w:val="000E0D61"/>
    <w:rsid w:val="000E39A0"/>
    <w:rsid w:val="000E671A"/>
    <w:rsid w:val="000F26DF"/>
    <w:rsid w:val="000F2969"/>
    <w:rsid w:val="000F53D2"/>
    <w:rsid w:val="000F6CF5"/>
    <w:rsid w:val="001023DB"/>
    <w:rsid w:val="00104BAA"/>
    <w:rsid w:val="00105C6F"/>
    <w:rsid w:val="00113323"/>
    <w:rsid w:val="00115EAD"/>
    <w:rsid w:val="001219C9"/>
    <w:rsid w:val="00123C21"/>
    <w:rsid w:val="001243B3"/>
    <w:rsid w:val="00127237"/>
    <w:rsid w:val="001311CD"/>
    <w:rsid w:val="00133A2B"/>
    <w:rsid w:val="00133FB1"/>
    <w:rsid w:val="001343B3"/>
    <w:rsid w:val="00137D72"/>
    <w:rsid w:val="001438C3"/>
    <w:rsid w:val="001506A2"/>
    <w:rsid w:val="001511E3"/>
    <w:rsid w:val="00151738"/>
    <w:rsid w:val="001531ED"/>
    <w:rsid w:val="0015388B"/>
    <w:rsid w:val="00154143"/>
    <w:rsid w:val="00154B26"/>
    <w:rsid w:val="0015632F"/>
    <w:rsid w:val="00160A1F"/>
    <w:rsid w:val="00160DA2"/>
    <w:rsid w:val="00165739"/>
    <w:rsid w:val="00166CA0"/>
    <w:rsid w:val="0017463A"/>
    <w:rsid w:val="001755FE"/>
    <w:rsid w:val="0017572E"/>
    <w:rsid w:val="00180DF7"/>
    <w:rsid w:val="00180EEC"/>
    <w:rsid w:val="00187431"/>
    <w:rsid w:val="00187C95"/>
    <w:rsid w:val="00190952"/>
    <w:rsid w:val="0019446D"/>
    <w:rsid w:val="001947F2"/>
    <w:rsid w:val="001952F0"/>
    <w:rsid w:val="0019626D"/>
    <w:rsid w:val="001A0414"/>
    <w:rsid w:val="001A4312"/>
    <w:rsid w:val="001A535F"/>
    <w:rsid w:val="001A5DDB"/>
    <w:rsid w:val="001A68CD"/>
    <w:rsid w:val="001C428D"/>
    <w:rsid w:val="001C606B"/>
    <w:rsid w:val="001D09CF"/>
    <w:rsid w:val="001D4409"/>
    <w:rsid w:val="001D5C70"/>
    <w:rsid w:val="001D7DED"/>
    <w:rsid w:val="001E4AC2"/>
    <w:rsid w:val="001E6822"/>
    <w:rsid w:val="001E6973"/>
    <w:rsid w:val="001E6C90"/>
    <w:rsid w:val="001E7ED6"/>
    <w:rsid w:val="001F01FE"/>
    <w:rsid w:val="001F0895"/>
    <w:rsid w:val="001F27F8"/>
    <w:rsid w:val="001F2A95"/>
    <w:rsid w:val="001F40D7"/>
    <w:rsid w:val="0020156E"/>
    <w:rsid w:val="00201D87"/>
    <w:rsid w:val="00203C7F"/>
    <w:rsid w:val="0020451C"/>
    <w:rsid w:val="00205948"/>
    <w:rsid w:val="00211E17"/>
    <w:rsid w:val="00214316"/>
    <w:rsid w:val="00224555"/>
    <w:rsid w:val="002327E3"/>
    <w:rsid w:val="00234492"/>
    <w:rsid w:val="00237A0A"/>
    <w:rsid w:val="00237FA5"/>
    <w:rsid w:val="00242E6B"/>
    <w:rsid w:val="00242ECF"/>
    <w:rsid w:val="00243D50"/>
    <w:rsid w:val="0024520E"/>
    <w:rsid w:val="0025104A"/>
    <w:rsid w:val="00252B22"/>
    <w:rsid w:val="002603D8"/>
    <w:rsid w:val="00262C64"/>
    <w:rsid w:val="00264826"/>
    <w:rsid w:val="002710EC"/>
    <w:rsid w:val="0027714C"/>
    <w:rsid w:val="0027920B"/>
    <w:rsid w:val="002813C4"/>
    <w:rsid w:val="00281FEB"/>
    <w:rsid w:val="00284DD7"/>
    <w:rsid w:val="0029233C"/>
    <w:rsid w:val="00295B8D"/>
    <w:rsid w:val="002A0BCE"/>
    <w:rsid w:val="002A32FF"/>
    <w:rsid w:val="002A50F0"/>
    <w:rsid w:val="002A67AC"/>
    <w:rsid w:val="002B5450"/>
    <w:rsid w:val="002B65B8"/>
    <w:rsid w:val="002C2365"/>
    <w:rsid w:val="002D198F"/>
    <w:rsid w:val="002E3252"/>
    <w:rsid w:val="002E765F"/>
    <w:rsid w:val="002F2522"/>
    <w:rsid w:val="002F72B2"/>
    <w:rsid w:val="002F7638"/>
    <w:rsid w:val="003021C4"/>
    <w:rsid w:val="00302C45"/>
    <w:rsid w:val="00303CCD"/>
    <w:rsid w:val="00304AB9"/>
    <w:rsid w:val="00305B4E"/>
    <w:rsid w:val="0031222F"/>
    <w:rsid w:val="00316DA9"/>
    <w:rsid w:val="00317253"/>
    <w:rsid w:val="00321B23"/>
    <w:rsid w:val="00322F0D"/>
    <w:rsid w:val="00334789"/>
    <w:rsid w:val="00340574"/>
    <w:rsid w:val="00341AE3"/>
    <w:rsid w:val="0034252B"/>
    <w:rsid w:val="00353589"/>
    <w:rsid w:val="00356E65"/>
    <w:rsid w:val="003579A6"/>
    <w:rsid w:val="00362358"/>
    <w:rsid w:val="003634A1"/>
    <w:rsid w:val="0036370C"/>
    <w:rsid w:val="00365BFA"/>
    <w:rsid w:val="00367400"/>
    <w:rsid w:val="00367932"/>
    <w:rsid w:val="00370177"/>
    <w:rsid w:val="0037042B"/>
    <w:rsid w:val="0037251F"/>
    <w:rsid w:val="003748A0"/>
    <w:rsid w:val="00375116"/>
    <w:rsid w:val="00376CFF"/>
    <w:rsid w:val="003770F6"/>
    <w:rsid w:val="00386F24"/>
    <w:rsid w:val="00387DE6"/>
    <w:rsid w:val="0039210B"/>
    <w:rsid w:val="0039219B"/>
    <w:rsid w:val="00395607"/>
    <w:rsid w:val="00395EA6"/>
    <w:rsid w:val="0039735C"/>
    <w:rsid w:val="003A06AF"/>
    <w:rsid w:val="003A11B0"/>
    <w:rsid w:val="003A4EF5"/>
    <w:rsid w:val="003B0BA9"/>
    <w:rsid w:val="003B1C36"/>
    <w:rsid w:val="003B4833"/>
    <w:rsid w:val="003C1B3D"/>
    <w:rsid w:val="003C3735"/>
    <w:rsid w:val="003D5003"/>
    <w:rsid w:val="003D79C4"/>
    <w:rsid w:val="003E3550"/>
    <w:rsid w:val="003E38C8"/>
    <w:rsid w:val="003E3D46"/>
    <w:rsid w:val="003E4E57"/>
    <w:rsid w:val="003F3328"/>
    <w:rsid w:val="003F42C9"/>
    <w:rsid w:val="00411780"/>
    <w:rsid w:val="00423A0C"/>
    <w:rsid w:val="0042427B"/>
    <w:rsid w:val="00425682"/>
    <w:rsid w:val="00425F2D"/>
    <w:rsid w:val="00426A64"/>
    <w:rsid w:val="00431863"/>
    <w:rsid w:val="00431B0F"/>
    <w:rsid w:val="004328BA"/>
    <w:rsid w:val="00442385"/>
    <w:rsid w:val="00444355"/>
    <w:rsid w:val="0044568E"/>
    <w:rsid w:val="00451031"/>
    <w:rsid w:val="00451A3E"/>
    <w:rsid w:val="0045305F"/>
    <w:rsid w:val="0045456F"/>
    <w:rsid w:val="00454CCE"/>
    <w:rsid w:val="00465271"/>
    <w:rsid w:val="0046744D"/>
    <w:rsid w:val="004801CF"/>
    <w:rsid w:val="0049343B"/>
    <w:rsid w:val="0049346A"/>
    <w:rsid w:val="00494808"/>
    <w:rsid w:val="00495AF6"/>
    <w:rsid w:val="004966C8"/>
    <w:rsid w:val="004A2175"/>
    <w:rsid w:val="004A6B33"/>
    <w:rsid w:val="004A782C"/>
    <w:rsid w:val="004B19C0"/>
    <w:rsid w:val="004B22A8"/>
    <w:rsid w:val="004B245C"/>
    <w:rsid w:val="004B4ECF"/>
    <w:rsid w:val="004B5617"/>
    <w:rsid w:val="004B7002"/>
    <w:rsid w:val="004B70FA"/>
    <w:rsid w:val="004D1B7F"/>
    <w:rsid w:val="004D3540"/>
    <w:rsid w:val="004D49B0"/>
    <w:rsid w:val="004D545D"/>
    <w:rsid w:val="004D6A65"/>
    <w:rsid w:val="004E260B"/>
    <w:rsid w:val="004E44E8"/>
    <w:rsid w:val="004E4D4D"/>
    <w:rsid w:val="004F4A41"/>
    <w:rsid w:val="005004E6"/>
    <w:rsid w:val="00500788"/>
    <w:rsid w:val="00504D19"/>
    <w:rsid w:val="00511905"/>
    <w:rsid w:val="00512EB3"/>
    <w:rsid w:val="00514DB7"/>
    <w:rsid w:val="00515B18"/>
    <w:rsid w:val="00515E8F"/>
    <w:rsid w:val="00522338"/>
    <w:rsid w:val="00522929"/>
    <w:rsid w:val="00525013"/>
    <w:rsid w:val="00527E58"/>
    <w:rsid w:val="0053344B"/>
    <w:rsid w:val="00535C92"/>
    <w:rsid w:val="00536294"/>
    <w:rsid w:val="00536C15"/>
    <w:rsid w:val="00536E1F"/>
    <w:rsid w:val="005371C2"/>
    <w:rsid w:val="005371FD"/>
    <w:rsid w:val="00540513"/>
    <w:rsid w:val="00540726"/>
    <w:rsid w:val="0054615B"/>
    <w:rsid w:val="0054643C"/>
    <w:rsid w:val="00563EB7"/>
    <w:rsid w:val="0056725A"/>
    <w:rsid w:val="0056730F"/>
    <w:rsid w:val="005765C7"/>
    <w:rsid w:val="0057693B"/>
    <w:rsid w:val="005A0023"/>
    <w:rsid w:val="005A0C45"/>
    <w:rsid w:val="005A2B76"/>
    <w:rsid w:val="005A4E10"/>
    <w:rsid w:val="005C057E"/>
    <w:rsid w:val="005C4E0F"/>
    <w:rsid w:val="005C6C0C"/>
    <w:rsid w:val="005D0E34"/>
    <w:rsid w:val="005D1583"/>
    <w:rsid w:val="005D350B"/>
    <w:rsid w:val="005D4D0C"/>
    <w:rsid w:val="005D56E7"/>
    <w:rsid w:val="005D5CB9"/>
    <w:rsid w:val="005D600F"/>
    <w:rsid w:val="005D626B"/>
    <w:rsid w:val="005D719F"/>
    <w:rsid w:val="005E73E3"/>
    <w:rsid w:val="005F026B"/>
    <w:rsid w:val="005F212A"/>
    <w:rsid w:val="00603E2F"/>
    <w:rsid w:val="00607DCF"/>
    <w:rsid w:val="006132DD"/>
    <w:rsid w:val="00620938"/>
    <w:rsid w:val="00622A11"/>
    <w:rsid w:val="00635549"/>
    <w:rsid w:val="00645A0F"/>
    <w:rsid w:val="006473E2"/>
    <w:rsid w:val="00647ECD"/>
    <w:rsid w:val="006502FC"/>
    <w:rsid w:val="0065093B"/>
    <w:rsid w:val="00650E5A"/>
    <w:rsid w:val="00652DE1"/>
    <w:rsid w:val="00653282"/>
    <w:rsid w:val="0065329A"/>
    <w:rsid w:val="00655A7C"/>
    <w:rsid w:val="00661798"/>
    <w:rsid w:val="006617BE"/>
    <w:rsid w:val="00663584"/>
    <w:rsid w:val="00670089"/>
    <w:rsid w:val="00671265"/>
    <w:rsid w:val="006717BD"/>
    <w:rsid w:val="00673773"/>
    <w:rsid w:val="006756B8"/>
    <w:rsid w:val="006765AA"/>
    <w:rsid w:val="00682A04"/>
    <w:rsid w:val="006868C4"/>
    <w:rsid w:val="00691D10"/>
    <w:rsid w:val="00692600"/>
    <w:rsid w:val="006A4845"/>
    <w:rsid w:val="006A6D9F"/>
    <w:rsid w:val="006B1FE4"/>
    <w:rsid w:val="006B2EEC"/>
    <w:rsid w:val="006B4437"/>
    <w:rsid w:val="006C3303"/>
    <w:rsid w:val="006C7275"/>
    <w:rsid w:val="006D1CC0"/>
    <w:rsid w:val="006D422A"/>
    <w:rsid w:val="006D5EE7"/>
    <w:rsid w:val="006D6008"/>
    <w:rsid w:val="006E1A0F"/>
    <w:rsid w:val="006E5CC4"/>
    <w:rsid w:val="006E6A1F"/>
    <w:rsid w:val="006E6FFD"/>
    <w:rsid w:val="006F7EA5"/>
    <w:rsid w:val="00710388"/>
    <w:rsid w:val="007123C8"/>
    <w:rsid w:val="007140BC"/>
    <w:rsid w:val="00715C2D"/>
    <w:rsid w:val="00720396"/>
    <w:rsid w:val="007302FE"/>
    <w:rsid w:val="00731A20"/>
    <w:rsid w:val="00732824"/>
    <w:rsid w:val="0073302B"/>
    <w:rsid w:val="0073581D"/>
    <w:rsid w:val="00735AC3"/>
    <w:rsid w:val="00741E6F"/>
    <w:rsid w:val="00742CB6"/>
    <w:rsid w:val="00742CBB"/>
    <w:rsid w:val="00743904"/>
    <w:rsid w:val="007447AC"/>
    <w:rsid w:val="0074768D"/>
    <w:rsid w:val="00752FC8"/>
    <w:rsid w:val="00756F12"/>
    <w:rsid w:val="00761120"/>
    <w:rsid w:val="00767FB8"/>
    <w:rsid w:val="007726AC"/>
    <w:rsid w:val="00775E07"/>
    <w:rsid w:val="00780E81"/>
    <w:rsid w:val="00781228"/>
    <w:rsid w:val="0078624C"/>
    <w:rsid w:val="0079059D"/>
    <w:rsid w:val="007A0E94"/>
    <w:rsid w:val="007A1D5F"/>
    <w:rsid w:val="007A5B93"/>
    <w:rsid w:val="007B08E7"/>
    <w:rsid w:val="007B1F7E"/>
    <w:rsid w:val="007B27DF"/>
    <w:rsid w:val="007B46D9"/>
    <w:rsid w:val="007C0945"/>
    <w:rsid w:val="007C7C53"/>
    <w:rsid w:val="007D31B3"/>
    <w:rsid w:val="007D60DE"/>
    <w:rsid w:val="007D7C54"/>
    <w:rsid w:val="007E09D6"/>
    <w:rsid w:val="007E1008"/>
    <w:rsid w:val="007E104A"/>
    <w:rsid w:val="007E27AB"/>
    <w:rsid w:val="007E3B50"/>
    <w:rsid w:val="007E45E5"/>
    <w:rsid w:val="007E5B37"/>
    <w:rsid w:val="007F11FB"/>
    <w:rsid w:val="00803DB1"/>
    <w:rsid w:val="008046C7"/>
    <w:rsid w:val="0080781A"/>
    <w:rsid w:val="00811652"/>
    <w:rsid w:val="00814B82"/>
    <w:rsid w:val="00815265"/>
    <w:rsid w:val="0081549A"/>
    <w:rsid w:val="00821678"/>
    <w:rsid w:val="00824D7D"/>
    <w:rsid w:val="00824EF1"/>
    <w:rsid w:val="00834B2A"/>
    <w:rsid w:val="008359BA"/>
    <w:rsid w:val="00837BC6"/>
    <w:rsid w:val="00844292"/>
    <w:rsid w:val="00846819"/>
    <w:rsid w:val="00850906"/>
    <w:rsid w:val="0085583A"/>
    <w:rsid w:val="00855EBF"/>
    <w:rsid w:val="0086297F"/>
    <w:rsid w:val="00866750"/>
    <w:rsid w:val="00866CC1"/>
    <w:rsid w:val="00870259"/>
    <w:rsid w:val="0087397D"/>
    <w:rsid w:val="00874A3E"/>
    <w:rsid w:val="008836E6"/>
    <w:rsid w:val="008857E6"/>
    <w:rsid w:val="00892E45"/>
    <w:rsid w:val="0089580A"/>
    <w:rsid w:val="0089658E"/>
    <w:rsid w:val="00897568"/>
    <w:rsid w:val="00897F08"/>
    <w:rsid w:val="008A0169"/>
    <w:rsid w:val="008A0ACA"/>
    <w:rsid w:val="008A0D86"/>
    <w:rsid w:val="008A3A7B"/>
    <w:rsid w:val="008A7D0D"/>
    <w:rsid w:val="008B28EA"/>
    <w:rsid w:val="008B4CA3"/>
    <w:rsid w:val="008B7D1C"/>
    <w:rsid w:val="008C181A"/>
    <w:rsid w:val="008C531B"/>
    <w:rsid w:val="008C56AF"/>
    <w:rsid w:val="008C6272"/>
    <w:rsid w:val="008C752E"/>
    <w:rsid w:val="008D2139"/>
    <w:rsid w:val="008D3F8A"/>
    <w:rsid w:val="008D57E5"/>
    <w:rsid w:val="008E22C9"/>
    <w:rsid w:val="008E3080"/>
    <w:rsid w:val="008F7CBC"/>
    <w:rsid w:val="00901C59"/>
    <w:rsid w:val="00902ECE"/>
    <w:rsid w:val="009034CD"/>
    <w:rsid w:val="00904B28"/>
    <w:rsid w:val="009067D9"/>
    <w:rsid w:val="009126A8"/>
    <w:rsid w:val="00915139"/>
    <w:rsid w:val="0092206D"/>
    <w:rsid w:val="00922336"/>
    <w:rsid w:val="00927371"/>
    <w:rsid w:val="00935B1F"/>
    <w:rsid w:val="00940A7A"/>
    <w:rsid w:val="00947B81"/>
    <w:rsid w:val="00950279"/>
    <w:rsid w:val="009503D0"/>
    <w:rsid w:val="00950A56"/>
    <w:rsid w:val="009610EF"/>
    <w:rsid w:val="0096132B"/>
    <w:rsid w:val="00962E54"/>
    <w:rsid w:val="00970BA5"/>
    <w:rsid w:val="00970D7E"/>
    <w:rsid w:val="00976723"/>
    <w:rsid w:val="009821BA"/>
    <w:rsid w:val="009904BE"/>
    <w:rsid w:val="00991D24"/>
    <w:rsid w:val="009A4235"/>
    <w:rsid w:val="009A591E"/>
    <w:rsid w:val="009C1B2F"/>
    <w:rsid w:val="009C75B3"/>
    <w:rsid w:val="009D1374"/>
    <w:rsid w:val="009D6CB3"/>
    <w:rsid w:val="009E2211"/>
    <w:rsid w:val="009E2534"/>
    <w:rsid w:val="009E2562"/>
    <w:rsid w:val="009E73F0"/>
    <w:rsid w:val="009F0AA7"/>
    <w:rsid w:val="009F4118"/>
    <w:rsid w:val="00A001F6"/>
    <w:rsid w:val="00A077C4"/>
    <w:rsid w:val="00A1308A"/>
    <w:rsid w:val="00A16310"/>
    <w:rsid w:val="00A16B17"/>
    <w:rsid w:val="00A20327"/>
    <w:rsid w:val="00A226B9"/>
    <w:rsid w:val="00A22DE8"/>
    <w:rsid w:val="00A2657B"/>
    <w:rsid w:val="00A275B3"/>
    <w:rsid w:val="00A27886"/>
    <w:rsid w:val="00A30FA6"/>
    <w:rsid w:val="00A402FE"/>
    <w:rsid w:val="00A54E96"/>
    <w:rsid w:val="00A60E56"/>
    <w:rsid w:val="00A6317D"/>
    <w:rsid w:val="00A708DC"/>
    <w:rsid w:val="00A754F0"/>
    <w:rsid w:val="00A7755B"/>
    <w:rsid w:val="00A80EC0"/>
    <w:rsid w:val="00A8265F"/>
    <w:rsid w:val="00A85C1D"/>
    <w:rsid w:val="00A900DC"/>
    <w:rsid w:val="00A91458"/>
    <w:rsid w:val="00A9171F"/>
    <w:rsid w:val="00A974B9"/>
    <w:rsid w:val="00AA268F"/>
    <w:rsid w:val="00AB0651"/>
    <w:rsid w:val="00AB1AC6"/>
    <w:rsid w:val="00AB1B93"/>
    <w:rsid w:val="00AB6CA4"/>
    <w:rsid w:val="00AC1288"/>
    <w:rsid w:val="00AC2F4C"/>
    <w:rsid w:val="00AC701A"/>
    <w:rsid w:val="00AD05C6"/>
    <w:rsid w:val="00AD4A83"/>
    <w:rsid w:val="00AD6D70"/>
    <w:rsid w:val="00AD7F01"/>
    <w:rsid w:val="00AE1F10"/>
    <w:rsid w:val="00AF6BD9"/>
    <w:rsid w:val="00B01D77"/>
    <w:rsid w:val="00B02138"/>
    <w:rsid w:val="00B0362B"/>
    <w:rsid w:val="00B071AE"/>
    <w:rsid w:val="00B13750"/>
    <w:rsid w:val="00B16F20"/>
    <w:rsid w:val="00B2146F"/>
    <w:rsid w:val="00B23F7C"/>
    <w:rsid w:val="00B3473F"/>
    <w:rsid w:val="00B3583B"/>
    <w:rsid w:val="00B35EDB"/>
    <w:rsid w:val="00B42C9B"/>
    <w:rsid w:val="00B5031B"/>
    <w:rsid w:val="00B51682"/>
    <w:rsid w:val="00B5280E"/>
    <w:rsid w:val="00B5498E"/>
    <w:rsid w:val="00B54A64"/>
    <w:rsid w:val="00B56C9E"/>
    <w:rsid w:val="00B615FA"/>
    <w:rsid w:val="00B654BC"/>
    <w:rsid w:val="00B65D9E"/>
    <w:rsid w:val="00B7177E"/>
    <w:rsid w:val="00B7521A"/>
    <w:rsid w:val="00B81362"/>
    <w:rsid w:val="00B813AA"/>
    <w:rsid w:val="00B8299E"/>
    <w:rsid w:val="00B83B5A"/>
    <w:rsid w:val="00B91025"/>
    <w:rsid w:val="00B929A9"/>
    <w:rsid w:val="00B937D8"/>
    <w:rsid w:val="00B94908"/>
    <w:rsid w:val="00B97B33"/>
    <w:rsid w:val="00BA2629"/>
    <w:rsid w:val="00BA7497"/>
    <w:rsid w:val="00BB155B"/>
    <w:rsid w:val="00BB7A5F"/>
    <w:rsid w:val="00BC5980"/>
    <w:rsid w:val="00BD2973"/>
    <w:rsid w:val="00BD4881"/>
    <w:rsid w:val="00BD49A6"/>
    <w:rsid w:val="00BD72AD"/>
    <w:rsid w:val="00BE0AD5"/>
    <w:rsid w:val="00BE271E"/>
    <w:rsid w:val="00BE4AED"/>
    <w:rsid w:val="00BE4D35"/>
    <w:rsid w:val="00BE57AD"/>
    <w:rsid w:val="00BF124D"/>
    <w:rsid w:val="00BF291E"/>
    <w:rsid w:val="00C00372"/>
    <w:rsid w:val="00C00D1F"/>
    <w:rsid w:val="00C01588"/>
    <w:rsid w:val="00C03117"/>
    <w:rsid w:val="00C039B0"/>
    <w:rsid w:val="00C17507"/>
    <w:rsid w:val="00C256A4"/>
    <w:rsid w:val="00C277CC"/>
    <w:rsid w:val="00C31C31"/>
    <w:rsid w:val="00C32BF4"/>
    <w:rsid w:val="00C32E8C"/>
    <w:rsid w:val="00C37084"/>
    <w:rsid w:val="00C40A03"/>
    <w:rsid w:val="00C43844"/>
    <w:rsid w:val="00C45319"/>
    <w:rsid w:val="00C45B32"/>
    <w:rsid w:val="00C461CB"/>
    <w:rsid w:val="00C469CC"/>
    <w:rsid w:val="00C50AB1"/>
    <w:rsid w:val="00C55927"/>
    <w:rsid w:val="00C63195"/>
    <w:rsid w:val="00C65D2C"/>
    <w:rsid w:val="00C65E59"/>
    <w:rsid w:val="00C67182"/>
    <w:rsid w:val="00C71CA2"/>
    <w:rsid w:val="00C74BF0"/>
    <w:rsid w:val="00C74EBA"/>
    <w:rsid w:val="00C7568A"/>
    <w:rsid w:val="00C81E62"/>
    <w:rsid w:val="00C82F32"/>
    <w:rsid w:val="00C95153"/>
    <w:rsid w:val="00CA0124"/>
    <w:rsid w:val="00CA6B79"/>
    <w:rsid w:val="00CA789D"/>
    <w:rsid w:val="00CB1352"/>
    <w:rsid w:val="00CB2F62"/>
    <w:rsid w:val="00CB6B64"/>
    <w:rsid w:val="00CC34F2"/>
    <w:rsid w:val="00CD308F"/>
    <w:rsid w:val="00CD3111"/>
    <w:rsid w:val="00CD32C7"/>
    <w:rsid w:val="00CD52F2"/>
    <w:rsid w:val="00CD604B"/>
    <w:rsid w:val="00CD638C"/>
    <w:rsid w:val="00CE0234"/>
    <w:rsid w:val="00CE20D7"/>
    <w:rsid w:val="00CE62C0"/>
    <w:rsid w:val="00CE7312"/>
    <w:rsid w:val="00CF59AC"/>
    <w:rsid w:val="00CF5E36"/>
    <w:rsid w:val="00CF77AB"/>
    <w:rsid w:val="00D0093A"/>
    <w:rsid w:val="00D050E6"/>
    <w:rsid w:val="00D10F0E"/>
    <w:rsid w:val="00D13698"/>
    <w:rsid w:val="00D172F2"/>
    <w:rsid w:val="00D20248"/>
    <w:rsid w:val="00D24C5D"/>
    <w:rsid w:val="00D25344"/>
    <w:rsid w:val="00D2684D"/>
    <w:rsid w:val="00D305A3"/>
    <w:rsid w:val="00D308A5"/>
    <w:rsid w:val="00D30BB8"/>
    <w:rsid w:val="00D478B9"/>
    <w:rsid w:val="00D47E1F"/>
    <w:rsid w:val="00D51DBF"/>
    <w:rsid w:val="00D525C8"/>
    <w:rsid w:val="00D57630"/>
    <w:rsid w:val="00D63579"/>
    <w:rsid w:val="00D71670"/>
    <w:rsid w:val="00D73E08"/>
    <w:rsid w:val="00D83913"/>
    <w:rsid w:val="00D854F8"/>
    <w:rsid w:val="00D87EA4"/>
    <w:rsid w:val="00D91817"/>
    <w:rsid w:val="00D91AF0"/>
    <w:rsid w:val="00D92212"/>
    <w:rsid w:val="00D9354A"/>
    <w:rsid w:val="00DA08C1"/>
    <w:rsid w:val="00DA346D"/>
    <w:rsid w:val="00DA45E7"/>
    <w:rsid w:val="00DA4BEC"/>
    <w:rsid w:val="00DB48A2"/>
    <w:rsid w:val="00DB4956"/>
    <w:rsid w:val="00DB6784"/>
    <w:rsid w:val="00DC1B1A"/>
    <w:rsid w:val="00DC7BA5"/>
    <w:rsid w:val="00DD24F3"/>
    <w:rsid w:val="00DE7049"/>
    <w:rsid w:val="00DF7D6F"/>
    <w:rsid w:val="00E01818"/>
    <w:rsid w:val="00E0766C"/>
    <w:rsid w:val="00E106B7"/>
    <w:rsid w:val="00E14A9A"/>
    <w:rsid w:val="00E14D33"/>
    <w:rsid w:val="00E21CBA"/>
    <w:rsid w:val="00E375CA"/>
    <w:rsid w:val="00E44F12"/>
    <w:rsid w:val="00E52620"/>
    <w:rsid w:val="00E55BD5"/>
    <w:rsid w:val="00E61835"/>
    <w:rsid w:val="00E66D71"/>
    <w:rsid w:val="00E67D58"/>
    <w:rsid w:val="00E72E0C"/>
    <w:rsid w:val="00E80AC9"/>
    <w:rsid w:val="00E83E5B"/>
    <w:rsid w:val="00E928BD"/>
    <w:rsid w:val="00E95C89"/>
    <w:rsid w:val="00EA00F7"/>
    <w:rsid w:val="00EA0EED"/>
    <w:rsid w:val="00EB6E4F"/>
    <w:rsid w:val="00EC2770"/>
    <w:rsid w:val="00EC43A3"/>
    <w:rsid w:val="00EC4A06"/>
    <w:rsid w:val="00ED0575"/>
    <w:rsid w:val="00ED3FE0"/>
    <w:rsid w:val="00ED7C1C"/>
    <w:rsid w:val="00EE2153"/>
    <w:rsid w:val="00EE26AA"/>
    <w:rsid w:val="00EE2AE8"/>
    <w:rsid w:val="00EE5023"/>
    <w:rsid w:val="00EE63BE"/>
    <w:rsid w:val="00EF03AA"/>
    <w:rsid w:val="00EF6675"/>
    <w:rsid w:val="00F016F3"/>
    <w:rsid w:val="00F03D0F"/>
    <w:rsid w:val="00F04836"/>
    <w:rsid w:val="00F05338"/>
    <w:rsid w:val="00F07024"/>
    <w:rsid w:val="00F07C79"/>
    <w:rsid w:val="00F07DBF"/>
    <w:rsid w:val="00F10438"/>
    <w:rsid w:val="00F1098F"/>
    <w:rsid w:val="00F109BA"/>
    <w:rsid w:val="00F221CD"/>
    <w:rsid w:val="00F22D6D"/>
    <w:rsid w:val="00F23411"/>
    <w:rsid w:val="00F278E7"/>
    <w:rsid w:val="00F31A0B"/>
    <w:rsid w:val="00F3500A"/>
    <w:rsid w:val="00F36F53"/>
    <w:rsid w:val="00F41302"/>
    <w:rsid w:val="00F419AF"/>
    <w:rsid w:val="00F41E3F"/>
    <w:rsid w:val="00F425C8"/>
    <w:rsid w:val="00F45C2A"/>
    <w:rsid w:val="00F47751"/>
    <w:rsid w:val="00F5689D"/>
    <w:rsid w:val="00F568CE"/>
    <w:rsid w:val="00F57794"/>
    <w:rsid w:val="00F76833"/>
    <w:rsid w:val="00F7709C"/>
    <w:rsid w:val="00F778CC"/>
    <w:rsid w:val="00F80A20"/>
    <w:rsid w:val="00F8230E"/>
    <w:rsid w:val="00F871C4"/>
    <w:rsid w:val="00F90442"/>
    <w:rsid w:val="00F918B9"/>
    <w:rsid w:val="00F92BEB"/>
    <w:rsid w:val="00FA18BB"/>
    <w:rsid w:val="00FA5E0B"/>
    <w:rsid w:val="00FB05B7"/>
    <w:rsid w:val="00FB1056"/>
    <w:rsid w:val="00FB1D31"/>
    <w:rsid w:val="00FB2E56"/>
    <w:rsid w:val="00FB5288"/>
    <w:rsid w:val="00FC0687"/>
    <w:rsid w:val="00FC58C4"/>
    <w:rsid w:val="00FD0915"/>
    <w:rsid w:val="00FE3D2E"/>
    <w:rsid w:val="00FE3D98"/>
    <w:rsid w:val="01455B1F"/>
    <w:rsid w:val="0170BA72"/>
    <w:rsid w:val="04EBC14B"/>
    <w:rsid w:val="0A027EB2"/>
    <w:rsid w:val="0C0B5FAB"/>
    <w:rsid w:val="0E4E6D9E"/>
    <w:rsid w:val="11B2804F"/>
    <w:rsid w:val="169A1E6F"/>
    <w:rsid w:val="16AACC7A"/>
    <w:rsid w:val="1820BF62"/>
    <w:rsid w:val="1AC780FA"/>
    <w:rsid w:val="1C2CA1C6"/>
    <w:rsid w:val="1FBF751F"/>
    <w:rsid w:val="1FEB3076"/>
    <w:rsid w:val="21B4149D"/>
    <w:rsid w:val="23279790"/>
    <w:rsid w:val="2559D8C8"/>
    <w:rsid w:val="27FB08B3"/>
    <w:rsid w:val="29525164"/>
    <w:rsid w:val="2AF09F36"/>
    <w:rsid w:val="34917639"/>
    <w:rsid w:val="3A4BA4DD"/>
    <w:rsid w:val="43B5F984"/>
    <w:rsid w:val="45E61A83"/>
    <w:rsid w:val="4607662F"/>
    <w:rsid w:val="4B917E31"/>
    <w:rsid w:val="5064EF54"/>
    <w:rsid w:val="507092EA"/>
    <w:rsid w:val="537A34D6"/>
    <w:rsid w:val="560FACE6"/>
    <w:rsid w:val="56428845"/>
    <w:rsid w:val="57519A52"/>
    <w:rsid w:val="57B5C353"/>
    <w:rsid w:val="57DE58A6"/>
    <w:rsid w:val="597A2907"/>
    <w:rsid w:val="5B15F968"/>
    <w:rsid w:val="5C964E9F"/>
    <w:rsid w:val="5FB9DD53"/>
    <w:rsid w:val="6095037A"/>
    <w:rsid w:val="62425616"/>
    <w:rsid w:val="65A593BE"/>
    <w:rsid w:val="6E14C5DA"/>
    <w:rsid w:val="6E344751"/>
    <w:rsid w:val="72C06262"/>
    <w:rsid w:val="788A4E45"/>
    <w:rsid w:val="794F990E"/>
    <w:rsid w:val="7E345357"/>
    <w:rsid w:val="7E852AE6"/>
    <w:rsid w:val="7E8C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59E"/>
  <w15:docId w15:val="{95480932-BFAB-4455-A93B-E7C76050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paragraph" w:styleId="Heading8">
    <w:name w:val="heading 8"/>
    <w:basedOn w:val="Normal"/>
    <w:next w:val="Normal"/>
    <w:link w:val="Heading8Char"/>
    <w:semiHidden/>
    <w:unhideWhenUsed/>
    <w:qFormat/>
    <w:rsid w:val="00ED7C1C"/>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uiPriority w:val="99"/>
    <w:rsid w:val="00281FEB"/>
    <w:pPr>
      <w:ind w:firstLine="720"/>
    </w:pPr>
    <w:rPr>
      <w:szCs w:val="20"/>
    </w:rPr>
  </w:style>
  <w:style w:type="character" w:customStyle="1" w:styleId="BodyText2Char">
    <w:name w:val="Body Text 2 Char"/>
    <w:basedOn w:val="DefaultParagraphFont"/>
    <w:link w:val="BodyText2"/>
    <w:uiPriority w:val="99"/>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nhideWhenUsed/>
    <w:rsid w:val="000E39A0"/>
    <w:rPr>
      <w:color w:val="800080" w:themeColor="followedHyperlink"/>
      <w:u w:val="single"/>
    </w:rPr>
  </w:style>
  <w:style w:type="paragraph" w:styleId="BodyText">
    <w:name w:val="Body Text"/>
    <w:basedOn w:val="Normal"/>
    <w:link w:val="BodyTextChar"/>
    <w:uiPriority w:val="1"/>
    <w:unhideWhenUsed/>
    <w:qFormat/>
    <w:rsid w:val="00ED7C1C"/>
    <w:pPr>
      <w:spacing w:after="120"/>
    </w:pPr>
  </w:style>
  <w:style w:type="character" w:customStyle="1" w:styleId="BodyTextChar">
    <w:name w:val="Body Text Char"/>
    <w:basedOn w:val="DefaultParagraphFont"/>
    <w:link w:val="BodyText"/>
    <w:uiPriority w:val="1"/>
    <w:rsid w:val="00ED7C1C"/>
    <w:rPr>
      <w:rFonts w:ascii="Times New Roman" w:eastAsia="Times New Roman" w:hAnsi="Times New Roman" w:cs="Times New Roman"/>
      <w:sz w:val="24"/>
      <w:szCs w:val="24"/>
    </w:rPr>
  </w:style>
  <w:style w:type="paragraph" w:customStyle="1" w:styleId="Heading81">
    <w:name w:val="Heading 81"/>
    <w:basedOn w:val="Normal"/>
    <w:next w:val="Normal"/>
    <w:semiHidden/>
    <w:unhideWhenUsed/>
    <w:qFormat/>
    <w:rsid w:val="00ED7C1C"/>
    <w:pPr>
      <w:keepNext/>
      <w:keepLines/>
      <w:spacing w:before="40"/>
      <w:outlineLvl w:val="7"/>
    </w:pPr>
    <w:rPr>
      <w:rFonts w:ascii="Calibri Light" w:hAnsi="Calibri Light"/>
      <w:color w:val="272727"/>
      <w:sz w:val="21"/>
      <w:szCs w:val="21"/>
    </w:rPr>
  </w:style>
  <w:style w:type="numbering" w:customStyle="1" w:styleId="NoList1">
    <w:name w:val="No List1"/>
    <w:next w:val="NoList"/>
    <w:uiPriority w:val="99"/>
    <w:semiHidden/>
    <w:unhideWhenUsed/>
    <w:rsid w:val="00ED7C1C"/>
  </w:style>
  <w:style w:type="paragraph" w:customStyle="1" w:styleId="ExecOffice">
    <w:name w:val="Exec Office"/>
    <w:basedOn w:val="Normal"/>
    <w:rsid w:val="00ED7C1C"/>
    <w:pPr>
      <w:framePr w:w="6927" w:hSpace="187" w:wrap="notBeside" w:vAnchor="text" w:hAnchor="page" w:x="3594" w:y="1"/>
      <w:jc w:val="center"/>
    </w:pPr>
    <w:rPr>
      <w:rFonts w:ascii="Arial" w:hAnsi="Arial"/>
      <w:sz w:val="28"/>
      <w:szCs w:val="20"/>
    </w:rPr>
  </w:style>
  <w:style w:type="paragraph" w:customStyle="1" w:styleId="Weld">
    <w:name w:val="Weld"/>
    <w:basedOn w:val="Normal"/>
    <w:rsid w:val="00ED7C1C"/>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ED7C1C"/>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rsid w:val="00ED7C1C"/>
    <w:rPr>
      <w:rFonts w:ascii="Tahoma" w:hAnsi="Tahoma" w:cs="Tahoma"/>
      <w:sz w:val="16"/>
      <w:szCs w:val="16"/>
    </w:rPr>
  </w:style>
  <w:style w:type="character" w:customStyle="1" w:styleId="BalloonTextChar">
    <w:name w:val="Balloon Text Char"/>
    <w:basedOn w:val="DefaultParagraphFont"/>
    <w:link w:val="BalloonText"/>
    <w:rsid w:val="00ED7C1C"/>
    <w:rPr>
      <w:rFonts w:ascii="Tahoma" w:eastAsia="Times New Roman" w:hAnsi="Tahoma" w:cs="Tahoma"/>
      <w:sz w:val="16"/>
      <w:szCs w:val="16"/>
    </w:rPr>
  </w:style>
  <w:style w:type="paragraph" w:styleId="NormalWeb">
    <w:name w:val="Normal (Web)"/>
    <w:basedOn w:val="Normal"/>
    <w:uiPriority w:val="99"/>
    <w:rsid w:val="00ED7C1C"/>
    <w:pPr>
      <w:spacing w:before="100" w:beforeAutospacing="1" w:after="100" w:afterAutospacing="1"/>
    </w:pPr>
    <w:rPr>
      <w:rFonts w:ascii="Arial Unicode MS" w:cs="Arial Unicode MS"/>
      <w:color w:val="000000"/>
    </w:rPr>
  </w:style>
  <w:style w:type="character" w:styleId="CommentReference">
    <w:name w:val="annotation reference"/>
    <w:rsid w:val="00ED7C1C"/>
    <w:rPr>
      <w:sz w:val="16"/>
      <w:szCs w:val="16"/>
    </w:rPr>
  </w:style>
  <w:style w:type="paragraph" w:styleId="CommentText">
    <w:name w:val="annotation text"/>
    <w:basedOn w:val="Normal"/>
    <w:link w:val="CommentTextChar"/>
    <w:rsid w:val="00ED7C1C"/>
    <w:rPr>
      <w:sz w:val="20"/>
      <w:szCs w:val="20"/>
    </w:rPr>
  </w:style>
  <w:style w:type="character" w:customStyle="1" w:styleId="CommentTextChar">
    <w:name w:val="Comment Text Char"/>
    <w:basedOn w:val="DefaultParagraphFont"/>
    <w:link w:val="CommentText"/>
    <w:rsid w:val="00ED7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D7C1C"/>
    <w:rPr>
      <w:b/>
      <w:bCs/>
    </w:rPr>
  </w:style>
  <w:style w:type="character" w:customStyle="1" w:styleId="CommentSubjectChar">
    <w:name w:val="Comment Subject Char"/>
    <w:basedOn w:val="CommentTextChar"/>
    <w:link w:val="CommentSubject"/>
    <w:rsid w:val="00ED7C1C"/>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ED7C1C"/>
    <w:rPr>
      <w:color w:val="808080"/>
      <w:shd w:val="clear" w:color="auto" w:fill="E6E6E6"/>
    </w:rPr>
  </w:style>
  <w:style w:type="paragraph" w:styleId="Revision">
    <w:name w:val="Revision"/>
    <w:hidden/>
    <w:uiPriority w:val="99"/>
    <w:semiHidden/>
    <w:rsid w:val="00ED7C1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ED7C1C"/>
    <w:rPr>
      <w:sz w:val="20"/>
      <w:szCs w:val="20"/>
    </w:rPr>
  </w:style>
  <w:style w:type="character" w:customStyle="1" w:styleId="FootnoteTextChar">
    <w:name w:val="Footnote Text Char"/>
    <w:basedOn w:val="DefaultParagraphFont"/>
    <w:link w:val="FootnoteText"/>
    <w:rsid w:val="00ED7C1C"/>
    <w:rPr>
      <w:rFonts w:ascii="Times New Roman" w:eastAsia="Times New Roman" w:hAnsi="Times New Roman" w:cs="Times New Roman"/>
      <w:sz w:val="20"/>
      <w:szCs w:val="20"/>
    </w:rPr>
  </w:style>
  <w:style w:type="character" w:styleId="FootnoteReference">
    <w:name w:val="footnote reference"/>
    <w:rsid w:val="00ED7C1C"/>
    <w:rPr>
      <w:vertAlign w:val="superscript"/>
    </w:rPr>
  </w:style>
  <w:style w:type="character" w:customStyle="1" w:styleId="UnresolvedMention2">
    <w:name w:val="Unresolved Mention2"/>
    <w:basedOn w:val="DefaultParagraphFont"/>
    <w:uiPriority w:val="99"/>
    <w:semiHidden/>
    <w:unhideWhenUsed/>
    <w:rsid w:val="00ED7C1C"/>
    <w:rPr>
      <w:color w:val="605E5C"/>
      <w:shd w:val="clear" w:color="auto" w:fill="E1DFDD"/>
    </w:rPr>
  </w:style>
  <w:style w:type="character" w:styleId="Strong">
    <w:name w:val="Strong"/>
    <w:basedOn w:val="DefaultParagraphFont"/>
    <w:uiPriority w:val="22"/>
    <w:qFormat/>
    <w:rsid w:val="00ED7C1C"/>
    <w:rPr>
      <w:b/>
      <w:bCs/>
    </w:rPr>
  </w:style>
  <w:style w:type="character" w:customStyle="1" w:styleId="UnresolvedMention3">
    <w:name w:val="Unresolved Mention3"/>
    <w:basedOn w:val="DefaultParagraphFont"/>
    <w:uiPriority w:val="99"/>
    <w:semiHidden/>
    <w:unhideWhenUsed/>
    <w:rsid w:val="00ED7C1C"/>
    <w:rPr>
      <w:color w:val="605E5C"/>
      <w:shd w:val="clear" w:color="auto" w:fill="E1DFDD"/>
    </w:rPr>
  </w:style>
  <w:style w:type="character" w:customStyle="1" w:styleId="xn-person">
    <w:name w:val="xn-person"/>
    <w:basedOn w:val="DefaultParagraphFont"/>
    <w:rsid w:val="00ED7C1C"/>
  </w:style>
  <w:style w:type="paragraph" w:customStyle="1" w:styleId="CM27">
    <w:name w:val="CM27"/>
    <w:basedOn w:val="Normal"/>
    <w:uiPriority w:val="99"/>
    <w:rsid w:val="00ED7C1C"/>
    <w:pPr>
      <w:autoSpaceDE w:val="0"/>
      <w:autoSpaceDN w:val="0"/>
    </w:pPr>
    <w:rPr>
      <w:rFonts w:eastAsia="Calibri"/>
    </w:rPr>
  </w:style>
  <w:style w:type="paragraph" w:customStyle="1" w:styleId="TableParagraph">
    <w:name w:val="Table Paragraph"/>
    <w:basedOn w:val="Normal"/>
    <w:uiPriority w:val="1"/>
    <w:qFormat/>
    <w:rsid w:val="00ED7C1C"/>
    <w:pPr>
      <w:widowControl w:val="0"/>
    </w:pPr>
    <w:rPr>
      <w:rFonts w:ascii="Calibri" w:eastAsia="Calibri" w:hAnsi="Calibri"/>
      <w:sz w:val="22"/>
      <w:szCs w:val="22"/>
    </w:rPr>
  </w:style>
  <w:style w:type="character" w:styleId="PlaceholderText">
    <w:name w:val="Placeholder Text"/>
    <w:basedOn w:val="DefaultParagraphFont"/>
    <w:uiPriority w:val="99"/>
    <w:semiHidden/>
    <w:rsid w:val="00ED7C1C"/>
    <w:rPr>
      <w:color w:val="808080"/>
    </w:rPr>
  </w:style>
  <w:style w:type="character" w:customStyle="1" w:styleId="Heading8Char">
    <w:name w:val="Heading 8 Char"/>
    <w:basedOn w:val="DefaultParagraphFont"/>
    <w:link w:val="Heading8"/>
    <w:semiHidden/>
    <w:rsid w:val="00ED7C1C"/>
    <w:rPr>
      <w:rFonts w:ascii="Calibri Light" w:eastAsia="Times New Roman" w:hAnsi="Calibri Light" w:cs="Times New Roman"/>
      <w:color w:val="272727"/>
      <w:sz w:val="21"/>
      <w:szCs w:val="21"/>
    </w:rPr>
  </w:style>
  <w:style w:type="table" w:styleId="TableGrid">
    <w:name w:val="Table Grid"/>
    <w:basedOn w:val="TableNormal"/>
    <w:uiPriority w:val="59"/>
    <w:rsid w:val="00ED7C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7C1C"/>
    <w:rPr>
      <w:i/>
      <w:iCs/>
    </w:rPr>
  </w:style>
  <w:style w:type="character" w:customStyle="1" w:styleId="ListParagraphChar">
    <w:name w:val="List Paragraph Char"/>
    <w:link w:val="ListParagraph"/>
    <w:uiPriority w:val="34"/>
    <w:rsid w:val="00ED7C1C"/>
    <w:rPr>
      <w:rFonts w:ascii="Times New Roman" w:hAnsi="Times New Roman"/>
      <w:sz w:val="24"/>
    </w:rPr>
  </w:style>
  <w:style w:type="paragraph" w:styleId="BlockText">
    <w:name w:val="Block Text"/>
    <w:basedOn w:val="Normal"/>
    <w:rsid w:val="00ED7C1C"/>
    <w:pPr>
      <w:widowControl w:val="0"/>
      <w:tabs>
        <w:tab w:val="left" w:pos="9000"/>
      </w:tabs>
      <w:spacing w:before="120"/>
      <w:ind w:left="180" w:right="360" w:hanging="180"/>
    </w:pPr>
    <w:rPr>
      <w:sz w:val="23"/>
      <w:szCs w:val="22"/>
    </w:rPr>
  </w:style>
  <w:style w:type="character" w:customStyle="1" w:styleId="UnresolvedMention4">
    <w:name w:val="Unresolved Mention4"/>
    <w:basedOn w:val="DefaultParagraphFont"/>
    <w:uiPriority w:val="99"/>
    <w:semiHidden/>
    <w:unhideWhenUsed/>
    <w:rsid w:val="00ED7C1C"/>
    <w:rPr>
      <w:color w:val="605E5C"/>
      <w:shd w:val="clear" w:color="auto" w:fill="E1DFDD"/>
    </w:rPr>
  </w:style>
  <w:style w:type="paragraph" w:customStyle="1" w:styleId="Default">
    <w:name w:val="Default"/>
    <w:rsid w:val="00ED7C1C"/>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Heading8Char1">
    <w:name w:val="Heading 8 Char1"/>
    <w:basedOn w:val="DefaultParagraphFont"/>
    <w:uiPriority w:val="9"/>
    <w:semiHidden/>
    <w:rsid w:val="00ED7C1C"/>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4E4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81A"/>
    <w:pPr>
      <w:spacing w:before="100" w:beforeAutospacing="1" w:after="100" w:afterAutospacing="1"/>
    </w:pPr>
  </w:style>
  <w:style w:type="character" w:customStyle="1" w:styleId="normaltextrun">
    <w:name w:val="normaltextrun"/>
    <w:basedOn w:val="DefaultParagraphFont"/>
    <w:rsid w:val="008C181A"/>
  </w:style>
  <w:style w:type="character" w:customStyle="1" w:styleId="eop">
    <w:name w:val="eop"/>
    <w:basedOn w:val="DefaultParagraphFont"/>
    <w:rsid w:val="008C181A"/>
  </w:style>
  <w:style w:type="table" w:customStyle="1" w:styleId="TableGrid2">
    <w:name w:val="Table Grid2"/>
    <w:basedOn w:val="TableNormal"/>
    <w:next w:val="TableGrid"/>
    <w:uiPriority w:val="39"/>
    <w:rsid w:val="0017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etext0017">
    <w:name w:val="adbe_text_0017"/>
    <w:basedOn w:val="Default"/>
    <w:next w:val="Default"/>
    <w:uiPriority w:val="99"/>
    <w:rsid w:val="00D854F8"/>
    <w:rPr>
      <w:rFonts w:ascii="JVHAF X+ Times New Roman PSMT" w:eastAsiaTheme="minorHAnsi" w:hAnsi="JVHAF X+ Times New Roman PSM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928211">
      <w:bodyDiv w:val="1"/>
      <w:marLeft w:val="0"/>
      <w:marRight w:val="0"/>
      <w:marTop w:val="0"/>
      <w:marBottom w:val="0"/>
      <w:divBdr>
        <w:top w:val="none" w:sz="0" w:space="0" w:color="auto"/>
        <w:left w:val="none" w:sz="0" w:space="0" w:color="auto"/>
        <w:bottom w:val="none" w:sz="0" w:space="0" w:color="auto"/>
        <w:right w:val="none" w:sz="0" w:space="0" w:color="auto"/>
      </w:divBdr>
      <w:divsChild>
        <w:div w:id="19549421">
          <w:marLeft w:val="0"/>
          <w:marRight w:val="0"/>
          <w:marTop w:val="0"/>
          <w:marBottom w:val="0"/>
          <w:divBdr>
            <w:top w:val="none" w:sz="0" w:space="0" w:color="auto"/>
            <w:left w:val="none" w:sz="0" w:space="0" w:color="auto"/>
            <w:bottom w:val="none" w:sz="0" w:space="0" w:color="auto"/>
            <w:right w:val="none" w:sz="0" w:space="0" w:color="auto"/>
          </w:divBdr>
        </w:div>
        <w:div w:id="1272665035">
          <w:marLeft w:val="0"/>
          <w:marRight w:val="0"/>
          <w:marTop w:val="0"/>
          <w:marBottom w:val="0"/>
          <w:divBdr>
            <w:top w:val="none" w:sz="0" w:space="0" w:color="auto"/>
            <w:left w:val="none" w:sz="0" w:space="0" w:color="auto"/>
            <w:bottom w:val="none" w:sz="0" w:space="0" w:color="auto"/>
            <w:right w:val="none" w:sz="0" w:space="0" w:color="auto"/>
          </w:divBdr>
        </w:div>
      </w:divsChild>
    </w:div>
    <w:div w:id="1015811768">
      <w:bodyDiv w:val="1"/>
      <w:marLeft w:val="0"/>
      <w:marRight w:val="0"/>
      <w:marTop w:val="0"/>
      <w:marBottom w:val="0"/>
      <w:divBdr>
        <w:top w:val="none" w:sz="0" w:space="0" w:color="auto"/>
        <w:left w:val="none" w:sz="0" w:space="0" w:color="auto"/>
        <w:bottom w:val="none" w:sz="0" w:space="0" w:color="auto"/>
        <w:right w:val="none" w:sz="0" w:space="0" w:color="auto"/>
      </w:divBdr>
    </w:div>
    <w:div w:id="1104494619">
      <w:bodyDiv w:val="1"/>
      <w:marLeft w:val="0"/>
      <w:marRight w:val="0"/>
      <w:marTop w:val="0"/>
      <w:marBottom w:val="0"/>
      <w:divBdr>
        <w:top w:val="none" w:sz="0" w:space="0" w:color="auto"/>
        <w:left w:val="none" w:sz="0" w:space="0" w:color="auto"/>
        <w:bottom w:val="none" w:sz="0" w:space="0" w:color="auto"/>
        <w:right w:val="none" w:sz="0" w:space="0" w:color="auto"/>
      </w:divBdr>
    </w:div>
    <w:div w:id="13925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executive-office-of-elder-affairs"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Christopher.mundy2@mass.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app.keysurvey.com/f/41705341/10f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ss.gov/orgs/executive-office-of-elder-affairs" TargetMode="External"/><Relationship Id="rId14" Type="http://schemas.openxmlformats.org/officeDocument/2006/relationships/footer" Target="footer2.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8E33D901443D2A66324089DE36243"/>
        <w:category>
          <w:name w:val="General"/>
          <w:gallery w:val="placeholder"/>
        </w:category>
        <w:types>
          <w:type w:val="bbPlcHdr"/>
        </w:types>
        <w:behaviors>
          <w:behavior w:val="content"/>
        </w:behaviors>
        <w:guid w:val="{92844CA9-B61D-4384-BF10-0B92AA356E4E}"/>
      </w:docPartPr>
      <w:docPartBody>
        <w:p w:rsidR="002D406C" w:rsidRDefault="000D727E" w:rsidP="000D727E">
          <w:pPr>
            <w:pStyle w:val="B508E33D901443D2A66324089DE36243"/>
          </w:pPr>
          <w:r w:rsidRPr="00712757">
            <w:rPr>
              <w:rStyle w:val="PlaceholderText"/>
            </w:rPr>
            <w:t>Click or tap to enter a date.</w:t>
          </w:r>
        </w:p>
      </w:docPartBody>
    </w:docPart>
    <w:docPart>
      <w:docPartPr>
        <w:name w:val="9C65A9257AC344A4A43B45BBCA319653"/>
        <w:category>
          <w:name w:val="General"/>
          <w:gallery w:val="placeholder"/>
        </w:category>
        <w:types>
          <w:type w:val="bbPlcHdr"/>
        </w:types>
        <w:behaviors>
          <w:behavior w:val="content"/>
        </w:behaviors>
        <w:guid w:val="{8C3EE249-60F7-4B24-9701-25105B1E9010}"/>
      </w:docPartPr>
      <w:docPartBody>
        <w:p w:rsidR="002D406C" w:rsidRDefault="000D727E" w:rsidP="000D727E">
          <w:pPr>
            <w:pStyle w:val="9C65A9257AC344A4A43B45BBCA319653"/>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JVHAF X+ Times New Roman PSMT">
    <w:altName w:val="Cambria"/>
    <w:panose1 w:val="00000000000000000000"/>
    <w:charset w:val="00"/>
    <w:family w:val="roman"/>
    <w:notTrueType/>
    <w:pitch w:val="default"/>
    <w:sig w:usb0="00000003" w:usb1="00000000" w:usb2="00000000" w:usb3="00000000" w:csb0="00000001"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7E"/>
    <w:rsid w:val="00040EE8"/>
    <w:rsid w:val="000666D5"/>
    <w:rsid w:val="00077F40"/>
    <w:rsid w:val="000C7F9C"/>
    <w:rsid w:val="000D727E"/>
    <w:rsid w:val="00116BA6"/>
    <w:rsid w:val="00156BEB"/>
    <w:rsid w:val="001D04DF"/>
    <w:rsid w:val="0020747E"/>
    <w:rsid w:val="00232ADF"/>
    <w:rsid w:val="00260447"/>
    <w:rsid w:val="002714E9"/>
    <w:rsid w:val="002D406C"/>
    <w:rsid w:val="0039305E"/>
    <w:rsid w:val="003F251C"/>
    <w:rsid w:val="00443649"/>
    <w:rsid w:val="004769FF"/>
    <w:rsid w:val="0049479D"/>
    <w:rsid w:val="0054756B"/>
    <w:rsid w:val="00570A4F"/>
    <w:rsid w:val="005873CD"/>
    <w:rsid w:val="005A7F53"/>
    <w:rsid w:val="005D2664"/>
    <w:rsid w:val="00672D7A"/>
    <w:rsid w:val="00693891"/>
    <w:rsid w:val="0070789C"/>
    <w:rsid w:val="00713461"/>
    <w:rsid w:val="00765724"/>
    <w:rsid w:val="009672E0"/>
    <w:rsid w:val="009874F1"/>
    <w:rsid w:val="00A756FD"/>
    <w:rsid w:val="00AB7FB1"/>
    <w:rsid w:val="00AC081D"/>
    <w:rsid w:val="00AC607F"/>
    <w:rsid w:val="00B66262"/>
    <w:rsid w:val="00BA7707"/>
    <w:rsid w:val="00C26314"/>
    <w:rsid w:val="00CB373B"/>
    <w:rsid w:val="00CC399A"/>
    <w:rsid w:val="00CF127E"/>
    <w:rsid w:val="00D71C0F"/>
    <w:rsid w:val="00DB0E70"/>
    <w:rsid w:val="00E73C5D"/>
    <w:rsid w:val="00EA5BC4"/>
    <w:rsid w:val="00EE2153"/>
    <w:rsid w:val="00FF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461"/>
    <w:rPr>
      <w:color w:val="808080"/>
    </w:rPr>
  </w:style>
  <w:style w:type="paragraph" w:customStyle="1" w:styleId="B508E33D901443D2A66324089DE36243">
    <w:name w:val="B508E33D901443D2A66324089DE36243"/>
    <w:rsid w:val="000D727E"/>
  </w:style>
  <w:style w:type="paragraph" w:customStyle="1" w:styleId="9C65A9257AC344A4A43B45BBCA319653">
    <w:name w:val="9C65A9257AC344A4A43B45BBCA319653"/>
    <w:rsid w:val="000D7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C007-9A3F-488D-9374-6FCB1392420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Smith, Kate (ELD)</cp:lastModifiedBy>
  <cp:revision>3</cp:revision>
  <cp:lastPrinted>2023-02-02T18:01:00Z</cp:lastPrinted>
  <dcterms:created xsi:type="dcterms:W3CDTF">2024-04-10T17:47:00Z</dcterms:created>
  <dcterms:modified xsi:type="dcterms:W3CDTF">2026-04-17T15:06:00Z</dcterms:modified>
</cp:coreProperties>
</file>