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3C53E" w14:textId="77777777" w:rsidR="00A00B2B" w:rsidRPr="00A00B2B" w:rsidRDefault="00A00B2B" w:rsidP="00A00B2B">
      <w:pPr>
        <w:jc w:val="center"/>
        <w:rPr>
          <w:rFonts w:ascii="Century Schoolbook" w:hAnsi="Century Schoolbook"/>
        </w:rPr>
      </w:pPr>
      <w:smartTag w:uri="urn:schemas-microsoft-com:office:smarttags" w:element="place">
        <w:smartTag w:uri="urn:schemas-microsoft-com:office:smarttags" w:element="PlaceType">
          <w:r w:rsidRPr="00A00B2B">
            <w:rPr>
              <w:rFonts w:ascii="Century Schoolbook" w:hAnsi="Century Schoolbook"/>
            </w:rPr>
            <w:t>COMMONWEALTH</w:t>
          </w:r>
        </w:smartTag>
        <w:r w:rsidRPr="00A00B2B">
          <w:rPr>
            <w:rFonts w:ascii="Century Schoolbook" w:hAnsi="Century Schoolbook"/>
          </w:rPr>
          <w:t xml:space="preserve"> OF </w:t>
        </w:r>
        <w:smartTag w:uri="urn:schemas-microsoft-com:office:smarttags" w:element="PlaceName">
          <w:r w:rsidRPr="00A00B2B">
            <w:rPr>
              <w:rFonts w:ascii="Century Schoolbook" w:hAnsi="Century Schoolbook"/>
            </w:rPr>
            <w:t>MASSACHUSETTS</w:t>
          </w:r>
        </w:smartTag>
      </w:smartTag>
    </w:p>
    <w:p w14:paraId="6B12888E" w14:textId="77777777" w:rsidR="00A00B2B" w:rsidRPr="00A00B2B" w:rsidRDefault="00A00B2B" w:rsidP="00A00B2B">
      <w:pPr>
        <w:rPr>
          <w:rFonts w:ascii="Century Schoolbook" w:hAnsi="Century Schoolbook"/>
        </w:rPr>
      </w:pPr>
    </w:p>
    <w:p w14:paraId="410D8FCB" w14:textId="77777777" w:rsidR="00A00B2B" w:rsidRPr="00A00B2B" w:rsidRDefault="00A00B2B" w:rsidP="00A00B2B">
      <w:pPr>
        <w:rPr>
          <w:rFonts w:ascii="Century Schoolbook" w:hAnsi="Century Schoolbook"/>
        </w:rPr>
      </w:pPr>
      <w:r w:rsidRPr="00A00B2B">
        <w:rPr>
          <w:rFonts w:ascii="Century Schoolbook" w:hAnsi="Century Schoolbook"/>
        </w:rPr>
        <w:t>SUFFOLK COUNTY</w:t>
      </w:r>
      <w:r w:rsidRPr="00A00B2B">
        <w:rPr>
          <w:rFonts w:ascii="Century Schoolbook" w:hAnsi="Century Schoolbook"/>
        </w:rPr>
        <w:tab/>
      </w:r>
      <w:r w:rsidRPr="00A00B2B">
        <w:rPr>
          <w:rFonts w:ascii="Century Schoolbook" w:hAnsi="Century Schoolbook"/>
        </w:rPr>
        <w:tab/>
      </w:r>
      <w:r w:rsidRPr="00A00B2B">
        <w:rPr>
          <w:rFonts w:ascii="Century Schoolbook" w:hAnsi="Century Schoolbook"/>
        </w:rPr>
        <w:tab/>
      </w:r>
      <w:r w:rsidRPr="00A00B2B">
        <w:rPr>
          <w:rFonts w:ascii="Century Schoolbook" w:hAnsi="Century Schoolbook"/>
        </w:rPr>
        <w:tab/>
      </w:r>
      <w:r w:rsidRPr="00A00B2B">
        <w:rPr>
          <w:rFonts w:ascii="Century Schoolbook" w:hAnsi="Century Schoolbook"/>
        </w:rPr>
        <w:tab/>
        <w:t xml:space="preserve">BOARD OF REGISTRATION </w:t>
      </w:r>
    </w:p>
    <w:p w14:paraId="40524147" w14:textId="77777777" w:rsidR="00A00B2B" w:rsidRPr="00A00B2B" w:rsidRDefault="00A00B2B" w:rsidP="00A00B2B">
      <w:pPr>
        <w:ind w:left="4320" w:firstLine="720"/>
        <w:rPr>
          <w:rFonts w:ascii="Century Schoolbook" w:hAnsi="Century Schoolbook"/>
        </w:rPr>
      </w:pPr>
      <w:r w:rsidRPr="00A00B2B">
        <w:rPr>
          <w:rFonts w:ascii="Century Schoolbook" w:hAnsi="Century Schoolbook"/>
        </w:rPr>
        <w:t xml:space="preserve">    </w:t>
      </w:r>
      <w:r w:rsidRPr="00A00B2B">
        <w:rPr>
          <w:rFonts w:ascii="Century Schoolbook" w:hAnsi="Century Schoolbook"/>
        </w:rPr>
        <w:tab/>
        <w:t>IN PHARMACY</w:t>
      </w:r>
    </w:p>
    <w:p w14:paraId="2E9F152A" w14:textId="77777777" w:rsidR="00A00B2B" w:rsidRPr="00A00B2B" w:rsidRDefault="00A00B2B" w:rsidP="00A00B2B">
      <w:pPr>
        <w:rPr>
          <w:rFonts w:ascii="Century Schoolbook" w:hAnsi="Century Schoolbook"/>
        </w:rPr>
      </w:pPr>
    </w:p>
    <w:p w14:paraId="27FBB3F7" w14:textId="77777777" w:rsidR="00A00B2B" w:rsidRPr="00A00B2B" w:rsidRDefault="00A00B2B" w:rsidP="00A00B2B">
      <w:pPr>
        <w:ind w:left="3600" w:hanging="3600"/>
        <w:rPr>
          <w:rFonts w:ascii="Century Schoolbook" w:hAnsi="Century Schoolbook"/>
        </w:rPr>
      </w:pPr>
      <w:r w:rsidRPr="00A00B2B">
        <w:rPr>
          <w:rFonts w:ascii="Century Schoolbook" w:hAnsi="Century Schoolbook"/>
        </w:rPr>
        <w:t>In the Matter of</w:t>
      </w:r>
      <w:r w:rsidRPr="00A00B2B">
        <w:rPr>
          <w:rFonts w:ascii="Century Schoolbook" w:hAnsi="Century Schoolbook"/>
        </w:rPr>
        <w:tab/>
        <w:t>)</w:t>
      </w:r>
      <w:r w:rsidRPr="00A00B2B">
        <w:rPr>
          <w:rFonts w:ascii="Century Schoolbook" w:hAnsi="Century Schoolbook"/>
        </w:rPr>
        <w:tab/>
      </w:r>
      <w:r w:rsidRPr="00A00B2B">
        <w:rPr>
          <w:rFonts w:ascii="Century Schoolbook" w:hAnsi="Century Schoolbook"/>
        </w:rPr>
        <w:tab/>
      </w:r>
      <w:r w:rsidRPr="00A00B2B">
        <w:rPr>
          <w:rFonts w:ascii="Century Schoolbook" w:hAnsi="Century Schoolbook"/>
        </w:rPr>
        <w:tab/>
      </w:r>
      <w:r w:rsidRPr="00A00B2B">
        <w:rPr>
          <w:rFonts w:ascii="Century Schoolbook" w:hAnsi="Century Schoolbook"/>
        </w:rPr>
        <w:tab/>
      </w:r>
      <w:r w:rsidRPr="00A00B2B">
        <w:rPr>
          <w:rFonts w:ascii="Century Schoolbook" w:hAnsi="Century Schoolbook"/>
        </w:rPr>
        <w:tab/>
      </w:r>
      <w:r w:rsidRPr="00A00B2B">
        <w:rPr>
          <w:rFonts w:ascii="Century Schoolbook" w:hAnsi="Century Schoolbook"/>
        </w:rPr>
        <w:tab/>
      </w:r>
      <w:r w:rsidRPr="00A00B2B">
        <w:rPr>
          <w:rFonts w:ascii="Century Schoolbook" w:hAnsi="Century Schoolbook"/>
        </w:rPr>
        <w:tab/>
      </w:r>
      <w:r w:rsidRPr="00A00B2B">
        <w:rPr>
          <w:rFonts w:ascii="Century Schoolbook" w:hAnsi="Century Schoolbook"/>
        </w:rPr>
        <w:tab/>
        <w:t xml:space="preserve">    </w:t>
      </w:r>
    </w:p>
    <w:p w14:paraId="7E33DE0C" w14:textId="77777777" w:rsidR="00A00B2B" w:rsidRPr="00A00B2B" w:rsidRDefault="008A58D9" w:rsidP="00A00B2B">
      <w:pPr>
        <w:rPr>
          <w:rFonts w:ascii="Century Schoolbook" w:hAnsi="Century Schoolbook"/>
        </w:rPr>
      </w:pPr>
      <w:r>
        <w:rPr>
          <w:rFonts w:ascii="Century Schoolbook" w:hAnsi="Century Schoolbook"/>
        </w:rPr>
        <w:t>Conley’s Drug Store</w:t>
      </w:r>
      <w:r w:rsidR="00A00B2B" w:rsidRPr="00A00B2B">
        <w:rPr>
          <w:rFonts w:ascii="Century Schoolbook" w:hAnsi="Century Schoolbook"/>
        </w:rPr>
        <w:tab/>
      </w:r>
      <w:r w:rsidR="00A00B2B" w:rsidRPr="00A00B2B">
        <w:rPr>
          <w:rFonts w:ascii="Century Schoolbook" w:hAnsi="Century Schoolbook"/>
        </w:rPr>
        <w:tab/>
        <w:t>)</w:t>
      </w:r>
      <w:r w:rsidR="00A00B2B" w:rsidRPr="00A00B2B">
        <w:rPr>
          <w:rFonts w:ascii="Century Schoolbook" w:hAnsi="Century Schoolbook"/>
        </w:rPr>
        <w:tab/>
      </w:r>
      <w:r w:rsidR="00A00B2B" w:rsidRPr="00A00B2B">
        <w:rPr>
          <w:rFonts w:ascii="Century Schoolbook" w:hAnsi="Century Schoolbook"/>
        </w:rPr>
        <w:tab/>
      </w:r>
      <w:r w:rsidR="00A00B2B" w:rsidRPr="00A00B2B">
        <w:rPr>
          <w:rFonts w:ascii="Century Schoolbook" w:hAnsi="Century Schoolbook"/>
        </w:rPr>
        <w:tab/>
        <w:t>PHA-</w:t>
      </w:r>
      <w:r>
        <w:rPr>
          <w:rFonts w:ascii="Century Schoolbook" w:hAnsi="Century Schoolbook"/>
        </w:rPr>
        <w:t>2016-0188</w:t>
      </w:r>
    </w:p>
    <w:p w14:paraId="26DA71F7" w14:textId="77777777" w:rsidR="00A00B2B" w:rsidRPr="00A00B2B" w:rsidRDefault="008A58D9" w:rsidP="00A00B2B">
      <w:pPr>
        <w:rPr>
          <w:rFonts w:ascii="Century Schoolbook" w:hAnsi="Century Schoolbook"/>
        </w:rPr>
      </w:pPr>
      <w:r>
        <w:rPr>
          <w:rFonts w:ascii="Century Schoolbook" w:hAnsi="Century Schoolbook"/>
        </w:rPr>
        <w:t>DS2654</w:t>
      </w:r>
      <w:r w:rsidR="00A00B2B" w:rsidRPr="00A00B2B">
        <w:rPr>
          <w:rFonts w:ascii="Century Schoolbook" w:hAnsi="Century Schoolbook"/>
        </w:rPr>
        <w:tab/>
      </w:r>
      <w:r w:rsidR="00A00B2B" w:rsidRPr="00A00B2B">
        <w:rPr>
          <w:rFonts w:ascii="Century Schoolbook" w:hAnsi="Century Schoolbook"/>
        </w:rPr>
        <w:tab/>
      </w:r>
      <w:r w:rsidR="00A00B2B" w:rsidRPr="00A00B2B">
        <w:rPr>
          <w:rFonts w:ascii="Century Schoolbook" w:hAnsi="Century Schoolbook"/>
        </w:rPr>
        <w:tab/>
      </w:r>
      <w:r w:rsidR="00A00B2B" w:rsidRPr="00A00B2B">
        <w:rPr>
          <w:rFonts w:ascii="Century Schoolbook" w:hAnsi="Century Schoolbook"/>
        </w:rPr>
        <w:tab/>
        <w:t>)</w:t>
      </w:r>
    </w:p>
    <w:p w14:paraId="2552D119" w14:textId="77777777" w:rsidR="00A00B2B" w:rsidRPr="00A00B2B" w:rsidRDefault="00A00B2B" w:rsidP="00A00B2B">
      <w:pPr>
        <w:rPr>
          <w:rFonts w:ascii="Century Schoolbook" w:hAnsi="Century Schoolbook"/>
        </w:rPr>
      </w:pPr>
    </w:p>
    <w:p w14:paraId="752C60AE" w14:textId="77777777" w:rsidR="00635497" w:rsidRDefault="00A00B2B" w:rsidP="008B145A">
      <w:pPr>
        <w:jc w:val="center"/>
        <w:rPr>
          <w:rFonts w:ascii="Century Schoolbook" w:hAnsi="Century Schoolbook"/>
          <w:b/>
          <w:u w:val="single"/>
        </w:rPr>
      </w:pPr>
      <w:r>
        <w:rPr>
          <w:rFonts w:ascii="Century Schoolbook" w:hAnsi="Century Schoolbook"/>
          <w:b/>
          <w:u w:val="single"/>
        </w:rPr>
        <w:t>FINAL DECISION AND ORDER</w:t>
      </w:r>
    </w:p>
    <w:p w14:paraId="4285E0AE" w14:textId="77777777" w:rsidR="00A00B2B" w:rsidRDefault="00A00B2B" w:rsidP="00A00B2B">
      <w:pPr>
        <w:jc w:val="center"/>
        <w:rPr>
          <w:rFonts w:ascii="Century Schoolbook" w:hAnsi="Century Schoolbook"/>
          <w:b/>
          <w:u w:val="single"/>
        </w:rPr>
      </w:pPr>
    </w:p>
    <w:p w14:paraId="25095B97" w14:textId="77777777" w:rsidR="00A00B2B" w:rsidRDefault="00A00B2B" w:rsidP="00A00B2B">
      <w:pPr>
        <w:jc w:val="center"/>
        <w:rPr>
          <w:rFonts w:ascii="Century Schoolbook" w:hAnsi="Century Schoolbook"/>
        </w:rPr>
      </w:pPr>
      <w:r>
        <w:rPr>
          <w:rFonts w:ascii="Century Schoolbook" w:hAnsi="Century Schoolbook"/>
          <w:b/>
          <w:u w:val="single"/>
        </w:rPr>
        <w:t>Final Decision</w:t>
      </w:r>
    </w:p>
    <w:p w14:paraId="730B644D" w14:textId="77777777" w:rsidR="00A00B2B" w:rsidRDefault="00A00B2B" w:rsidP="00A00B2B">
      <w:pPr>
        <w:rPr>
          <w:rFonts w:ascii="Century Schoolbook" w:hAnsi="Century Schoolbook"/>
        </w:rPr>
      </w:pPr>
    </w:p>
    <w:p w14:paraId="1713E3DF" w14:textId="77777777" w:rsidR="00A21BE3" w:rsidRDefault="00A00B2B" w:rsidP="00A00B2B">
      <w:pPr>
        <w:jc w:val="both"/>
        <w:rPr>
          <w:rFonts w:ascii="Century Schoolbook" w:hAnsi="Century Schoolbook"/>
        </w:rPr>
      </w:pPr>
      <w:r>
        <w:rPr>
          <w:rFonts w:ascii="Century Schoolbook" w:hAnsi="Century Schoolbook"/>
        </w:rPr>
        <w:tab/>
      </w:r>
      <w:r w:rsidR="00A21BE3">
        <w:rPr>
          <w:rFonts w:ascii="Century Schoolbook" w:hAnsi="Century Schoolbook"/>
        </w:rPr>
        <w:t xml:space="preserve">On </w:t>
      </w:r>
      <w:r w:rsidR="000C55EA">
        <w:rPr>
          <w:rFonts w:ascii="Century Schoolbook" w:hAnsi="Century Schoolbook"/>
        </w:rPr>
        <w:t>April 30, 2018</w:t>
      </w:r>
      <w:r w:rsidR="00A21BE3">
        <w:rPr>
          <w:rFonts w:ascii="Century Schoolbook" w:hAnsi="Century Schoolbook"/>
        </w:rPr>
        <w:t xml:space="preserve">, the Board of Registration in Pharmacy (“Board”) issued to </w:t>
      </w:r>
      <w:r w:rsidR="008A58D9">
        <w:rPr>
          <w:rFonts w:ascii="Century Schoolbook" w:hAnsi="Century Schoolbook"/>
        </w:rPr>
        <w:t>Conley’s Drug Store</w:t>
      </w:r>
      <w:r w:rsidR="00A21BE3">
        <w:rPr>
          <w:rFonts w:ascii="Century Schoolbook" w:hAnsi="Century Schoolbook"/>
        </w:rPr>
        <w:t xml:space="preserve"> (“Respondent”), </w:t>
      </w:r>
      <w:r w:rsidR="000C55EA">
        <w:rPr>
          <w:rFonts w:ascii="Century Schoolbook" w:hAnsi="Century Schoolbook"/>
        </w:rPr>
        <w:t>DS2654</w:t>
      </w:r>
      <w:r w:rsidR="00A21BE3">
        <w:rPr>
          <w:rFonts w:ascii="Century Schoolbook" w:hAnsi="Century Schoolbook"/>
        </w:rPr>
        <w:t xml:space="preserve">, an Order to Show Cause why it should not take disciplinary action against </w:t>
      </w:r>
      <w:r w:rsidR="000C55EA">
        <w:rPr>
          <w:rFonts w:ascii="Century Schoolbook" w:hAnsi="Century Schoolbook"/>
        </w:rPr>
        <w:t>its pharmacy license</w:t>
      </w:r>
      <w:r w:rsidR="00A21BE3">
        <w:rPr>
          <w:rFonts w:ascii="Century Schoolbook" w:hAnsi="Century Schoolbook"/>
        </w:rPr>
        <w:t>.  The Order to Show Cause</w:t>
      </w:r>
      <w:r w:rsidR="000C55EA">
        <w:rPr>
          <w:rFonts w:ascii="Century Schoolbook" w:hAnsi="Century Schoolbook"/>
        </w:rPr>
        <w:t xml:space="preserve"> alleged inspectional deficiencies and violations observed during an October 17, 2016 inspection.  </w:t>
      </w:r>
      <w:r w:rsidR="00A21BE3">
        <w:rPr>
          <w:rFonts w:ascii="Century Schoolbook" w:hAnsi="Century Schoolbook"/>
        </w:rPr>
        <w:t xml:space="preserve">  </w:t>
      </w:r>
    </w:p>
    <w:p w14:paraId="7119AC43" w14:textId="77777777" w:rsidR="00A21BE3" w:rsidRDefault="00A21BE3" w:rsidP="00A00B2B">
      <w:pPr>
        <w:jc w:val="both"/>
        <w:rPr>
          <w:rFonts w:ascii="Century Schoolbook" w:hAnsi="Century Schoolbook"/>
        </w:rPr>
      </w:pPr>
    </w:p>
    <w:p w14:paraId="00F286C5" w14:textId="77777777" w:rsidR="00A00B2B" w:rsidRPr="00DB4266" w:rsidRDefault="00A00B2B" w:rsidP="00A21BE3">
      <w:pPr>
        <w:ind w:firstLine="720"/>
        <w:jc w:val="both"/>
        <w:rPr>
          <w:rFonts w:ascii="Century Schoolbook" w:hAnsi="Century Schoolbook"/>
        </w:rPr>
      </w:pPr>
      <w:r>
        <w:rPr>
          <w:rFonts w:ascii="Century Schoolbook" w:hAnsi="Century Schoolbook"/>
        </w:rPr>
        <w:t xml:space="preserve">On or about </w:t>
      </w:r>
      <w:r w:rsidR="00A73985">
        <w:rPr>
          <w:rFonts w:ascii="Century Schoolbook" w:hAnsi="Century Schoolbook"/>
        </w:rPr>
        <w:t>January 24, 2019</w:t>
      </w:r>
      <w:r>
        <w:rPr>
          <w:rFonts w:ascii="Century Schoolbook" w:hAnsi="Century Schoolbook"/>
        </w:rPr>
        <w:t>,</w:t>
      </w:r>
      <w:r w:rsidR="00A21BE3">
        <w:rPr>
          <w:rFonts w:ascii="Century Schoolbook" w:hAnsi="Century Schoolbook"/>
        </w:rPr>
        <w:t xml:space="preserve"> </w:t>
      </w:r>
      <w:r>
        <w:rPr>
          <w:rFonts w:ascii="Century Schoolbook" w:hAnsi="Century Schoolbook"/>
        </w:rPr>
        <w:t>Respondent and Prosecuting Counsel filed a</w:t>
      </w:r>
      <w:r w:rsidR="00A73985">
        <w:rPr>
          <w:rFonts w:ascii="Century Schoolbook" w:hAnsi="Century Schoolbook"/>
        </w:rPr>
        <w:t>n Agreement of the Parties Relative to Request for Sanction Hearing (“Sanction Hearing Document”)</w:t>
      </w:r>
      <w:r>
        <w:rPr>
          <w:rFonts w:ascii="Century Schoolbook" w:hAnsi="Century Schoolbook"/>
        </w:rPr>
        <w:t xml:space="preserve"> containing stipulations of fact and law along with a request for a sanction</w:t>
      </w:r>
      <w:r w:rsidR="00A73985">
        <w:rPr>
          <w:rFonts w:ascii="Century Schoolbook" w:hAnsi="Century Schoolbook"/>
        </w:rPr>
        <w:t xml:space="preserve"> hearing before the Board.  </w:t>
      </w:r>
      <w:r>
        <w:rPr>
          <w:rFonts w:ascii="Century Schoolbook" w:hAnsi="Century Schoolbook"/>
        </w:rPr>
        <w:t xml:space="preserve">The Board reviewed the Sanction Hearing Document on or about </w:t>
      </w:r>
      <w:r w:rsidR="00A73985">
        <w:rPr>
          <w:rFonts w:ascii="Century Schoolbook" w:hAnsi="Century Schoolbook"/>
        </w:rPr>
        <w:t>May 2, 2018</w:t>
      </w:r>
      <w:r>
        <w:rPr>
          <w:rFonts w:ascii="Century Schoolbook" w:hAnsi="Century Schoolbook"/>
        </w:rPr>
        <w:t xml:space="preserve"> and determined the stipulations in the Sanction Hearing Document were sufficient to stand in place of findings from a hearing.  The Board voted to adopt the stipulations and to proceed as the parties requested with a Sanction Hearing </w:t>
      </w:r>
      <w:r w:rsidRPr="00DB4266">
        <w:rPr>
          <w:rFonts w:ascii="Century Schoolbook" w:hAnsi="Century Schoolbook"/>
        </w:rPr>
        <w:t>before the Board.  The Sanction Hearing Document</w:t>
      </w:r>
      <w:r w:rsidR="00A73985" w:rsidRPr="00DB4266">
        <w:rPr>
          <w:rFonts w:ascii="Century Schoolbook" w:hAnsi="Century Schoolbook"/>
        </w:rPr>
        <w:t xml:space="preserve"> is</w:t>
      </w:r>
      <w:r w:rsidRPr="00DB4266">
        <w:rPr>
          <w:rFonts w:ascii="Century Schoolbook" w:hAnsi="Century Schoolbook"/>
        </w:rPr>
        <w:t xml:space="preserve"> attached hereto and incorporated by reference into the Final Decision.  </w:t>
      </w:r>
    </w:p>
    <w:p w14:paraId="7328F3ED" w14:textId="77777777" w:rsidR="00A00B2B" w:rsidRPr="00DB4266" w:rsidRDefault="00A00B2B" w:rsidP="00A00B2B">
      <w:pPr>
        <w:jc w:val="both"/>
        <w:rPr>
          <w:rFonts w:ascii="Century Schoolbook" w:hAnsi="Century Schoolbook"/>
        </w:rPr>
      </w:pPr>
    </w:p>
    <w:p w14:paraId="0522CC6E" w14:textId="77777777" w:rsidR="00DF6FDD" w:rsidRPr="00DB4266" w:rsidRDefault="00A00B2B" w:rsidP="00A00B2B">
      <w:pPr>
        <w:jc w:val="both"/>
        <w:rPr>
          <w:rFonts w:ascii="Century Schoolbook" w:hAnsi="Century Schoolbook"/>
        </w:rPr>
      </w:pPr>
      <w:r w:rsidRPr="00DB4266">
        <w:rPr>
          <w:rFonts w:ascii="Century Schoolbook" w:hAnsi="Century Schoolbook"/>
        </w:rPr>
        <w:tab/>
        <w:t xml:space="preserve">The Board held a </w:t>
      </w:r>
      <w:r w:rsidR="00A73985" w:rsidRPr="00DB4266">
        <w:rPr>
          <w:rFonts w:ascii="Century Schoolbook" w:hAnsi="Century Schoolbook"/>
        </w:rPr>
        <w:t>Sanction Hearing on September 5, 2019</w:t>
      </w:r>
      <w:r w:rsidR="00DF6FDD" w:rsidRPr="00DB4266">
        <w:rPr>
          <w:rFonts w:ascii="Century Schoolbook" w:hAnsi="Century Schoolbook"/>
        </w:rPr>
        <w:t>, during which Prosecuting Counsel and Respondent address</w:t>
      </w:r>
      <w:r w:rsidR="000B7B29" w:rsidRPr="00DB4266">
        <w:rPr>
          <w:rFonts w:ascii="Century Schoolbook" w:hAnsi="Century Schoolbook"/>
        </w:rPr>
        <w:t>ed</w:t>
      </w:r>
      <w:r w:rsidR="00DF6FDD" w:rsidRPr="00DB4266">
        <w:rPr>
          <w:rFonts w:ascii="Century Schoolbook" w:hAnsi="Century Schoolbook"/>
        </w:rPr>
        <w:t xml:space="preserve"> the Board.  </w:t>
      </w:r>
      <w:r w:rsidRPr="00DB4266">
        <w:rPr>
          <w:rFonts w:ascii="Century Schoolbook" w:hAnsi="Century Schoolbook"/>
        </w:rPr>
        <w:t xml:space="preserve">  </w:t>
      </w:r>
    </w:p>
    <w:p w14:paraId="2309443F" w14:textId="77777777" w:rsidR="00DF6FDD" w:rsidRPr="00DB4266" w:rsidRDefault="00DF6FDD" w:rsidP="00A00B2B">
      <w:pPr>
        <w:jc w:val="both"/>
        <w:rPr>
          <w:rFonts w:ascii="Century Schoolbook" w:hAnsi="Century Schoolbook"/>
        </w:rPr>
      </w:pPr>
    </w:p>
    <w:p w14:paraId="358BE5C7" w14:textId="77777777" w:rsidR="00421A43" w:rsidRPr="00DB4266" w:rsidRDefault="00DF6FDD" w:rsidP="00DF6FDD">
      <w:pPr>
        <w:ind w:firstLine="720"/>
        <w:jc w:val="both"/>
        <w:rPr>
          <w:rFonts w:ascii="Century Schoolbook" w:hAnsi="Century Schoolbook"/>
        </w:rPr>
      </w:pPr>
      <w:r w:rsidRPr="00DB4266">
        <w:rPr>
          <w:rFonts w:ascii="Century Schoolbook" w:hAnsi="Century Schoolbook"/>
        </w:rPr>
        <w:t xml:space="preserve">During the Hearing, </w:t>
      </w:r>
      <w:r w:rsidR="00A00B2B" w:rsidRPr="00DB4266">
        <w:rPr>
          <w:rFonts w:ascii="Century Schoolbook" w:hAnsi="Century Schoolbook"/>
        </w:rPr>
        <w:t xml:space="preserve">Prosecuting Counsel </w:t>
      </w:r>
      <w:r w:rsidR="00A73985" w:rsidRPr="00DB4266">
        <w:rPr>
          <w:rFonts w:ascii="Century Schoolbook" w:hAnsi="Century Schoolbook"/>
        </w:rPr>
        <w:t xml:space="preserve">deferred to the agreed upon facts and violations stated in the Sanction Hearing Document.  </w:t>
      </w:r>
    </w:p>
    <w:p w14:paraId="52FAC24F" w14:textId="77777777" w:rsidR="002046FC" w:rsidRPr="00DB4266" w:rsidRDefault="002046FC" w:rsidP="00DF6FDD">
      <w:pPr>
        <w:ind w:firstLine="720"/>
        <w:jc w:val="both"/>
        <w:rPr>
          <w:rFonts w:ascii="Century Schoolbook" w:hAnsi="Century Schoolbook"/>
        </w:rPr>
      </w:pPr>
    </w:p>
    <w:p w14:paraId="78FD2152" w14:textId="77777777" w:rsidR="001957AA" w:rsidRPr="00DB4266" w:rsidRDefault="002046FC" w:rsidP="00DF6FDD">
      <w:pPr>
        <w:ind w:firstLine="720"/>
        <w:jc w:val="both"/>
        <w:rPr>
          <w:rFonts w:ascii="Century Schoolbook" w:hAnsi="Century Schoolbook"/>
        </w:rPr>
      </w:pPr>
      <w:r w:rsidRPr="00DB4266">
        <w:rPr>
          <w:rFonts w:ascii="Century Schoolbook" w:hAnsi="Century Schoolbook"/>
        </w:rPr>
        <w:t>During the Hearing, Richard Doyle, the</w:t>
      </w:r>
      <w:r w:rsidR="001957AA" w:rsidRPr="00DB4266">
        <w:rPr>
          <w:rFonts w:ascii="Century Schoolbook" w:hAnsi="Century Schoolbook"/>
        </w:rPr>
        <w:t xml:space="preserve"> owner and</w:t>
      </w:r>
      <w:r w:rsidRPr="00DB4266">
        <w:rPr>
          <w:rFonts w:ascii="Century Schoolbook" w:hAnsi="Century Schoolbook"/>
        </w:rPr>
        <w:t xml:space="preserve"> Manager of Record of Conley’s Drug Store, testified on behalf of the Respondent.  </w:t>
      </w:r>
      <w:r w:rsidR="001957AA" w:rsidRPr="00DB4266">
        <w:rPr>
          <w:rFonts w:ascii="Century Schoolbook" w:hAnsi="Century Schoolbook"/>
        </w:rPr>
        <w:t xml:space="preserve">Mr. Doyle’s </w:t>
      </w:r>
      <w:r w:rsidRPr="00DB4266">
        <w:rPr>
          <w:rFonts w:ascii="Century Schoolbook" w:hAnsi="Century Schoolbook"/>
        </w:rPr>
        <w:t xml:space="preserve">testimony may be summarized as follows:  </w:t>
      </w:r>
    </w:p>
    <w:p w14:paraId="21F431B7" w14:textId="77777777" w:rsidR="001957AA" w:rsidRPr="00DB4266" w:rsidRDefault="001957AA" w:rsidP="00DF6FDD">
      <w:pPr>
        <w:ind w:firstLine="720"/>
        <w:jc w:val="both"/>
        <w:rPr>
          <w:rFonts w:ascii="Century Schoolbook" w:hAnsi="Century Schoolbook"/>
        </w:rPr>
      </w:pPr>
    </w:p>
    <w:p w14:paraId="3023F4C0" w14:textId="77777777" w:rsidR="00FB1E26" w:rsidRPr="00DB4266" w:rsidRDefault="00FB1E26" w:rsidP="001957AA">
      <w:pPr>
        <w:ind w:left="720"/>
        <w:jc w:val="both"/>
        <w:rPr>
          <w:rFonts w:ascii="Century Schoolbook" w:hAnsi="Century Schoolbook"/>
        </w:rPr>
      </w:pPr>
      <w:r w:rsidRPr="00DB4266">
        <w:rPr>
          <w:rFonts w:ascii="Century Schoolbook" w:hAnsi="Century Schoolbook"/>
        </w:rPr>
        <w:t>Mr. Doyle</w:t>
      </w:r>
      <w:r w:rsidR="001957AA" w:rsidRPr="00DB4266">
        <w:rPr>
          <w:rFonts w:ascii="Century Schoolbook" w:hAnsi="Century Schoolbook"/>
        </w:rPr>
        <w:t xml:space="preserve"> and Conley’s Drug Store have</w:t>
      </w:r>
      <w:r w:rsidRPr="00DB4266">
        <w:rPr>
          <w:rFonts w:ascii="Century Schoolbook" w:hAnsi="Century Schoolbook"/>
        </w:rPr>
        <w:t xml:space="preserve"> been selling compounds containing over the counter medications</w:t>
      </w:r>
      <w:r w:rsidR="001957AA" w:rsidRPr="00DB4266">
        <w:rPr>
          <w:rFonts w:ascii="Century Schoolbook" w:hAnsi="Century Schoolbook"/>
        </w:rPr>
        <w:t xml:space="preserve"> without a prescription</w:t>
      </w:r>
      <w:r w:rsidRPr="00DB4266">
        <w:rPr>
          <w:rFonts w:ascii="Century Schoolbook" w:hAnsi="Century Schoolbook"/>
        </w:rPr>
        <w:t xml:space="preserve"> for many years without incident.  </w:t>
      </w:r>
      <w:r w:rsidR="002046FC" w:rsidRPr="00DB4266">
        <w:rPr>
          <w:rFonts w:ascii="Century Schoolbook" w:hAnsi="Century Schoolbook"/>
        </w:rPr>
        <w:t xml:space="preserve">Mr. Doyle did not know or understand that </w:t>
      </w:r>
      <w:r w:rsidR="001957AA" w:rsidRPr="00DB4266">
        <w:rPr>
          <w:rFonts w:ascii="Century Schoolbook" w:hAnsi="Century Schoolbook"/>
        </w:rPr>
        <w:t xml:space="preserve">prescriptions are required for </w:t>
      </w:r>
      <w:r w:rsidR="002046FC" w:rsidRPr="00DB4266">
        <w:rPr>
          <w:rFonts w:ascii="Century Schoolbook" w:hAnsi="Century Schoolbook"/>
        </w:rPr>
        <w:t>compounds containing over the counter medications</w:t>
      </w:r>
      <w:r w:rsidR="001957AA" w:rsidRPr="00DB4266">
        <w:rPr>
          <w:rFonts w:ascii="Century Schoolbook" w:hAnsi="Century Schoolbook"/>
        </w:rPr>
        <w:t>.</w:t>
      </w:r>
      <w:r w:rsidR="002046FC" w:rsidRPr="00DB4266">
        <w:rPr>
          <w:rFonts w:ascii="Century Schoolbook" w:hAnsi="Century Schoolbook"/>
        </w:rPr>
        <w:t xml:space="preserve">  Once Mr. Doyle was </w:t>
      </w:r>
      <w:r w:rsidR="002046FC" w:rsidRPr="00DB4266">
        <w:rPr>
          <w:rFonts w:ascii="Century Schoolbook" w:hAnsi="Century Schoolbook"/>
        </w:rPr>
        <w:lastRenderedPageBreak/>
        <w:t xml:space="preserve">advised that his compounding practice violated the law, Mr. Doyle immediately made changes and brought his practice into compliance.  </w:t>
      </w:r>
    </w:p>
    <w:p w14:paraId="6E713739" w14:textId="77777777" w:rsidR="00FB1E26" w:rsidRPr="00DB4266" w:rsidRDefault="00FB1E26" w:rsidP="00DF6FDD">
      <w:pPr>
        <w:ind w:firstLine="720"/>
        <w:jc w:val="both"/>
        <w:rPr>
          <w:rFonts w:ascii="Century Schoolbook" w:hAnsi="Century Schoolbook"/>
        </w:rPr>
      </w:pPr>
    </w:p>
    <w:p w14:paraId="08607EDF" w14:textId="77777777" w:rsidR="00FB1E26" w:rsidRPr="00DB4266" w:rsidRDefault="00FB1E26" w:rsidP="001957AA">
      <w:pPr>
        <w:ind w:left="720"/>
        <w:jc w:val="both"/>
        <w:rPr>
          <w:rFonts w:ascii="Century Schoolbook" w:hAnsi="Century Schoolbook"/>
        </w:rPr>
      </w:pPr>
      <w:r w:rsidRPr="00DB4266">
        <w:rPr>
          <w:rFonts w:ascii="Century Schoolbook" w:hAnsi="Century Schoolbook"/>
        </w:rPr>
        <w:t>Mr. Doyle noted that inspectors did not cite any deficiency related to compounds containing over the counter medications requiring a prescription during approximately three inspections between 2013</w:t>
      </w:r>
      <w:r w:rsidR="001957AA" w:rsidRPr="00DB4266">
        <w:rPr>
          <w:rFonts w:ascii="Century Schoolbook" w:hAnsi="Century Schoolbook"/>
        </w:rPr>
        <w:t xml:space="preserve"> and the October 2016 inspection</w:t>
      </w:r>
      <w:r w:rsidRPr="00DB4266">
        <w:rPr>
          <w:rFonts w:ascii="Century Schoolbook" w:hAnsi="Century Schoolbook"/>
        </w:rPr>
        <w:t xml:space="preserve">.  He thinks </w:t>
      </w:r>
      <w:r w:rsidR="002046FC" w:rsidRPr="00DB4266">
        <w:rPr>
          <w:rFonts w:ascii="Century Schoolbook" w:hAnsi="Century Schoolbook"/>
        </w:rPr>
        <w:t xml:space="preserve">the </w:t>
      </w:r>
      <w:r w:rsidR="001957AA" w:rsidRPr="00DB4266">
        <w:rPr>
          <w:rFonts w:ascii="Century Schoolbook" w:hAnsi="Century Schoolbook"/>
        </w:rPr>
        <w:t xml:space="preserve">October </w:t>
      </w:r>
      <w:r w:rsidRPr="00DB4266">
        <w:rPr>
          <w:rFonts w:ascii="Century Schoolbook" w:hAnsi="Century Schoolbook"/>
        </w:rPr>
        <w:t>2016 inspection was unnecessar</w:t>
      </w:r>
      <w:r w:rsidR="001957AA" w:rsidRPr="00DB4266">
        <w:rPr>
          <w:rFonts w:ascii="Century Schoolbook" w:hAnsi="Century Schoolbook"/>
        </w:rPr>
        <w:t>ily detailed and critical</w:t>
      </w:r>
      <w:r w:rsidR="002046FC" w:rsidRPr="00DB4266">
        <w:rPr>
          <w:rFonts w:ascii="Century Schoolbook" w:hAnsi="Century Schoolbook"/>
        </w:rPr>
        <w:t xml:space="preserve">.  </w:t>
      </w:r>
    </w:p>
    <w:p w14:paraId="78EFD98B" w14:textId="77777777" w:rsidR="00FB1E26" w:rsidRPr="00DB4266" w:rsidRDefault="00FB1E26" w:rsidP="00DF6FDD">
      <w:pPr>
        <w:ind w:firstLine="720"/>
        <w:jc w:val="both"/>
        <w:rPr>
          <w:rFonts w:ascii="Century Schoolbook" w:hAnsi="Century Schoolbook"/>
        </w:rPr>
      </w:pPr>
    </w:p>
    <w:p w14:paraId="2479B3F7" w14:textId="77777777" w:rsidR="00FB1E26" w:rsidRPr="00DB4266" w:rsidRDefault="00FB1E26" w:rsidP="001957AA">
      <w:pPr>
        <w:ind w:left="720"/>
        <w:jc w:val="both"/>
        <w:rPr>
          <w:rFonts w:ascii="Century Schoolbook" w:hAnsi="Century Schoolbook"/>
        </w:rPr>
      </w:pPr>
      <w:r w:rsidRPr="00DB4266">
        <w:rPr>
          <w:rFonts w:ascii="Century Schoolbook" w:hAnsi="Century Schoolbook"/>
        </w:rPr>
        <w:t xml:space="preserve">Mr. Doyle testified that he compounded products in order to help patients.  </w:t>
      </w:r>
      <w:r w:rsidR="002046FC" w:rsidRPr="00DB4266">
        <w:rPr>
          <w:rFonts w:ascii="Century Schoolbook" w:hAnsi="Century Schoolbook"/>
        </w:rPr>
        <w:t>He</w:t>
      </w:r>
      <w:r w:rsidR="001957AA" w:rsidRPr="00DB4266">
        <w:rPr>
          <w:rFonts w:ascii="Century Schoolbook" w:hAnsi="Century Schoolbook"/>
        </w:rPr>
        <w:t xml:space="preserve"> did not intentionally violate</w:t>
      </w:r>
      <w:r w:rsidR="002046FC" w:rsidRPr="00DB4266">
        <w:rPr>
          <w:rFonts w:ascii="Century Schoolbook" w:hAnsi="Century Schoolbook"/>
        </w:rPr>
        <w:t xml:space="preserve"> any law or regulation.</w:t>
      </w:r>
      <w:r w:rsidRPr="00DB4266">
        <w:rPr>
          <w:rFonts w:ascii="Century Schoolbook" w:hAnsi="Century Schoolbook"/>
        </w:rPr>
        <w:t xml:space="preserve">  He never hid anything from the Board and was always doing his best.</w:t>
      </w:r>
      <w:r w:rsidR="002046FC" w:rsidRPr="00DB4266">
        <w:rPr>
          <w:rFonts w:ascii="Century Schoolbook" w:hAnsi="Century Schoolbook"/>
        </w:rPr>
        <w:t xml:space="preserve">  </w:t>
      </w:r>
      <w:r w:rsidRPr="00DB4266">
        <w:rPr>
          <w:rFonts w:ascii="Century Schoolbook" w:hAnsi="Century Schoolbook"/>
        </w:rPr>
        <w:t xml:space="preserve">Mr. Doyle </w:t>
      </w:r>
      <w:r w:rsidR="001957AA" w:rsidRPr="00DB4266">
        <w:rPr>
          <w:rFonts w:ascii="Century Schoolbook" w:hAnsi="Century Schoolbook"/>
        </w:rPr>
        <w:t xml:space="preserve">stated that he </w:t>
      </w:r>
      <w:r w:rsidRPr="00DB4266">
        <w:rPr>
          <w:rFonts w:ascii="Century Schoolbook" w:hAnsi="Century Schoolbook"/>
        </w:rPr>
        <w:t>attended</w:t>
      </w:r>
      <w:r w:rsidR="002046FC" w:rsidRPr="00DB4266">
        <w:rPr>
          <w:rFonts w:ascii="Century Schoolbook" w:hAnsi="Century Schoolbook"/>
        </w:rPr>
        <w:t xml:space="preserve"> compounding </w:t>
      </w:r>
      <w:r w:rsidRPr="00DB4266">
        <w:rPr>
          <w:rFonts w:ascii="Century Schoolbook" w:hAnsi="Century Schoolbook"/>
        </w:rPr>
        <w:t>e</w:t>
      </w:r>
      <w:r w:rsidR="002046FC" w:rsidRPr="00DB4266">
        <w:rPr>
          <w:rFonts w:ascii="Century Schoolbook" w:hAnsi="Century Schoolbook"/>
        </w:rPr>
        <w:t>ducation</w:t>
      </w:r>
      <w:r w:rsidRPr="00DB4266">
        <w:rPr>
          <w:rFonts w:ascii="Century Schoolbook" w:hAnsi="Century Schoolbook"/>
        </w:rPr>
        <w:t xml:space="preserve"> courses and wa</w:t>
      </w:r>
      <w:r w:rsidR="001957AA" w:rsidRPr="00DB4266">
        <w:rPr>
          <w:rFonts w:ascii="Century Schoolbook" w:hAnsi="Century Schoolbook"/>
        </w:rPr>
        <w:t>s never advised that compounds containing</w:t>
      </w:r>
      <w:r w:rsidRPr="00DB4266">
        <w:rPr>
          <w:rFonts w:ascii="Century Schoolbook" w:hAnsi="Century Schoolbook"/>
        </w:rPr>
        <w:t xml:space="preserve"> over the counter </w:t>
      </w:r>
      <w:r w:rsidR="001957AA" w:rsidRPr="00DB4266">
        <w:rPr>
          <w:rFonts w:ascii="Century Schoolbook" w:hAnsi="Century Schoolbook"/>
        </w:rPr>
        <w:t>medications</w:t>
      </w:r>
      <w:r w:rsidRPr="00DB4266">
        <w:rPr>
          <w:rFonts w:ascii="Century Schoolbook" w:hAnsi="Century Schoolbook"/>
        </w:rPr>
        <w:t xml:space="preserve"> required a prescription</w:t>
      </w:r>
      <w:r w:rsidR="002046FC" w:rsidRPr="00DB4266">
        <w:rPr>
          <w:rFonts w:ascii="Century Schoolbook" w:hAnsi="Century Schoolbook"/>
        </w:rPr>
        <w:t xml:space="preserve">.  </w:t>
      </w:r>
      <w:r w:rsidRPr="00DB4266">
        <w:rPr>
          <w:rFonts w:ascii="Century Schoolbook" w:hAnsi="Century Schoolbook"/>
        </w:rPr>
        <w:t xml:space="preserve">Additionally, </w:t>
      </w:r>
      <w:r w:rsidR="002046FC" w:rsidRPr="00DB4266">
        <w:rPr>
          <w:rFonts w:ascii="Century Schoolbook" w:hAnsi="Century Schoolbook"/>
        </w:rPr>
        <w:t>Mr. Doyle had been relying on his son for compounding compliance</w:t>
      </w:r>
      <w:r w:rsidRPr="00DB4266">
        <w:rPr>
          <w:rFonts w:ascii="Century Schoolbook" w:hAnsi="Century Schoolbook"/>
        </w:rPr>
        <w:t xml:space="preserve">; he notes that </w:t>
      </w:r>
      <w:r w:rsidR="002046FC" w:rsidRPr="00DB4266">
        <w:rPr>
          <w:rFonts w:ascii="Century Schoolbook" w:hAnsi="Century Schoolbook"/>
        </w:rPr>
        <w:t xml:space="preserve">his son </w:t>
      </w:r>
      <w:r w:rsidRPr="00DB4266">
        <w:rPr>
          <w:rFonts w:ascii="Century Schoolbook" w:hAnsi="Century Schoolbook"/>
        </w:rPr>
        <w:t xml:space="preserve">also attended </w:t>
      </w:r>
      <w:r w:rsidR="002046FC" w:rsidRPr="00DB4266">
        <w:rPr>
          <w:rFonts w:ascii="Century Schoolbook" w:hAnsi="Century Schoolbook"/>
        </w:rPr>
        <w:t xml:space="preserve">compounding </w:t>
      </w:r>
      <w:r w:rsidRPr="00DB4266">
        <w:rPr>
          <w:rFonts w:ascii="Century Schoolbook" w:hAnsi="Century Schoolbook"/>
        </w:rPr>
        <w:t>education courses</w:t>
      </w:r>
      <w:r w:rsidR="002046FC" w:rsidRPr="00DB4266">
        <w:rPr>
          <w:rFonts w:ascii="Century Schoolbook" w:hAnsi="Century Schoolbook"/>
        </w:rPr>
        <w:t xml:space="preserve">.  </w:t>
      </w:r>
    </w:p>
    <w:p w14:paraId="6BF9D7FB" w14:textId="77777777" w:rsidR="00DB4266" w:rsidRPr="00DB4266" w:rsidRDefault="00DB4266" w:rsidP="001957AA">
      <w:pPr>
        <w:ind w:left="720"/>
        <w:jc w:val="both"/>
        <w:rPr>
          <w:rFonts w:ascii="Century Schoolbook" w:hAnsi="Century Schoolbook"/>
        </w:rPr>
      </w:pPr>
    </w:p>
    <w:p w14:paraId="6ADF9C6F" w14:textId="77777777" w:rsidR="00DB4266" w:rsidRPr="00DB4266" w:rsidRDefault="00DB4266" w:rsidP="001957AA">
      <w:pPr>
        <w:ind w:left="720"/>
        <w:jc w:val="both"/>
        <w:rPr>
          <w:rFonts w:ascii="Century Schoolbook" w:hAnsi="Century Schoolbook"/>
        </w:rPr>
      </w:pPr>
      <w:r w:rsidRPr="00DB4266">
        <w:rPr>
          <w:rFonts w:ascii="Century Schoolbook" w:hAnsi="Century Schoolbook"/>
        </w:rPr>
        <w:t xml:space="preserve">Mr. Doyle noted that Conley’s Drug Store has been in full compliance at each inspection subsequent to the October 2016 inspection. </w:t>
      </w:r>
    </w:p>
    <w:p w14:paraId="1F815007" w14:textId="77777777" w:rsidR="00DB4266" w:rsidRPr="00DB4266" w:rsidRDefault="00DB4266" w:rsidP="001957AA">
      <w:pPr>
        <w:ind w:left="720"/>
        <w:jc w:val="both"/>
        <w:rPr>
          <w:rFonts w:ascii="Century Schoolbook" w:hAnsi="Century Schoolbook"/>
        </w:rPr>
      </w:pPr>
    </w:p>
    <w:p w14:paraId="3EE7E034" w14:textId="77777777" w:rsidR="00DB4266" w:rsidRPr="00DB4266" w:rsidRDefault="00DB4266" w:rsidP="001957AA">
      <w:pPr>
        <w:ind w:left="720"/>
        <w:jc w:val="both"/>
        <w:rPr>
          <w:rFonts w:ascii="Century Schoolbook" w:hAnsi="Century Schoolbook"/>
        </w:rPr>
      </w:pPr>
      <w:r w:rsidRPr="00DB4266">
        <w:rPr>
          <w:rFonts w:ascii="Century Schoolbook" w:hAnsi="Century Schoolbook"/>
        </w:rPr>
        <w:t xml:space="preserve">Mr. Doyle requested the Board take non-disciplinary action rather than impose formation discipline on his license or the license of Conley’s Drug Store.      </w:t>
      </w:r>
    </w:p>
    <w:p w14:paraId="6091058D" w14:textId="77777777" w:rsidR="00DB4266" w:rsidRPr="00DB4266" w:rsidRDefault="00DB4266" w:rsidP="00DB4266">
      <w:pPr>
        <w:jc w:val="both"/>
        <w:rPr>
          <w:rFonts w:ascii="Century Schoolbook" w:hAnsi="Century Schoolbook"/>
        </w:rPr>
      </w:pPr>
    </w:p>
    <w:p w14:paraId="368EEA2F" w14:textId="77777777" w:rsidR="007F0429" w:rsidRPr="00DB4266" w:rsidRDefault="001957AA" w:rsidP="00DF6FDD">
      <w:pPr>
        <w:ind w:firstLine="720"/>
        <w:jc w:val="both"/>
        <w:rPr>
          <w:rFonts w:ascii="Century Schoolbook" w:hAnsi="Century Schoolbook"/>
        </w:rPr>
      </w:pPr>
      <w:r w:rsidRPr="00DB4266">
        <w:rPr>
          <w:rFonts w:ascii="Century Schoolbook" w:hAnsi="Century Schoolbook"/>
        </w:rPr>
        <w:t xml:space="preserve">The Board carefully considered Mr. Doyle’s testimony.  </w:t>
      </w:r>
      <w:r w:rsidR="00AC2FC8" w:rsidRPr="00DB4266">
        <w:rPr>
          <w:rFonts w:ascii="Century Schoolbook" w:hAnsi="Century Schoolbook"/>
        </w:rPr>
        <w:t>The Board notes that ignorance of the law is not an excuse</w:t>
      </w:r>
      <w:r w:rsidR="007F0429" w:rsidRPr="00DB4266">
        <w:rPr>
          <w:rFonts w:ascii="Century Schoolbook" w:hAnsi="Century Schoolbook"/>
        </w:rPr>
        <w:t xml:space="preserve"> for a violation</w:t>
      </w:r>
      <w:r w:rsidR="00AC2FC8" w:rsidRPr="00DB4266">
        <w:rPr>
          <w:rFonts w:ascii="Century Schoolbook" w:hAnsi="Century Schoolbook"/>
        </w:rPr>
        <w:t xml:space="preserve"> and that by 2016, Mr. Doyle </w:t>
      </w:r>
      <w:r w:rsidR="006F7D80">
        <w:rPr>
          <w:rFonts w:ascii="Century Schoolbook" w:hAnsi="Century Schoolbook"/>
        </w:rPr>
        <w:t xml:space="preserve">and Conley’s Drug Store </w:t>
      </w:r>
      <w:r w:rsidR="00AC2FC8" w:rsidRPr="00DB4266">
        <w:rPr>
          <w:rFonts w:ascii="Century Schoolbook" w:hAnsi="Century Schoolbook"/>
        </w:rPr>
        <w:t>should have known that compounds containing over the counter medications required a prescription.</w:t>
      </w:r>
      <w:r w:rsidR="007F0429" w:rsidRPr="00DB4266">
        <w:rPr>
          <w:rFonts w:ascii="Century Schoolbook" w:hAnsi="Century Schoolbook"/>
        </w:rPr>
        <w:t xml:space="preserve">  </w:t>
      </w:r>
      <w:r w:rsidR="00C734BF" w:rsidRPr="00DB4266">
        <w:rPr>
          <w:rFonts w:ascii="Century Schoolbook" w:hAnsi="Century Schoolbook"/>
        </w:rPr>
        <w:t xml:space="preserve">The Board reasons the </w:t>
      </w:r>
      <w:r w:rsidRPr="00DB4266">
        <w:rPr>
          <w:rFonts w:ascii="Century Schoolbook" w:hAnsi="Century Schoolbook"/>
        </w:rPr>
        <w:t xml:space="preserve">2012 </w:t>
      </w:r>
      <w:r w:rsidR="000D565E" w:rsidRPr="00DB4266">
        <w:rPr>
          <w:rFonts w:ascii="Century Schoolbook" w:hAnsi="Century Schoolbook"/>
        </w:rPr>
        <w:t xml:space="preserve">sterile compounding crisis and </w:t>
      </w:r>
      <w:r w:rsidR="00C855DF" w:rsidRPr="00DB4266">
        <w:rPr>
          <w:rFonts w:ascii="Century Schoolbook" w:hAnsi="Century Schoolbook"/>
        </w:rPr>
        <w:t xml:space="preserve">specific </w:t>
      </w:r>
      <w:r w:rsidR="000D565E" w:rsidRPr="00DB4266">
        <w:rPr>
          <w:rFonts w:ascii="Century Schoolbook" w:hAnsi="Century Schoolbook"/>
        </w:rPr>
        <w:t>focus on patient specific pre</w:t>
      </w:r>
      <w:r w:rsidR="00C734BF" w:rsidRPr="00DB4266">
        <w:rPr>
          <w:rFonts w:ascii="Century Schoolbook" w:hAnsi="Century Schoolbook"/>
        </w:rPr>
        <w:t>scriptions</w:t>
      </w:r>
      <w:r w:rsidRPr="00DB4266">
        <w:rPr>
          <w:rFonts w:ascii="Century Schoolbook" w:hAnsi="Century Schoolbook"/>
        </w:rPr>
        <w:t xml:space="preserve"> </w:t>
      </w:r>
      <w:r w:rsidR="000D565E" w:rsidRPr="00DB4266">
        <w:rPr>
          <w:rFonts w:ascii="Century Schoolbook" w:hAnsi="Century Schoolbook"/>
        </w:rPr>
        <w:t>should ha</w:t>
      </w:r>
      <w:r w:rsidR="00C855DF" w:rsidRPr="00DB4266">
        <w:rPr>
          <w:rFonts w:ascii="Century Schoolbook" w:hAnsi="Century Schoolbook"/>
        </w:rPr>
        <w:t xml:space="preserve">ve alerted </w:t>
      </w:r>
      <w:r w:rsidR="000D565E" w:rsidRPr="00DB4266">
        <w:rPr>
          <w:rFonts w:ascii="Century Schoolbook" w:hAnsi="Century Schoolbook"/>
        </w:rPr>
        <w:t xml:space="preserve">Conley’s Drug Store to </w:t>
      </w:r>
      <w:r w:rsidR="00C855DF" w:rsidRPr="00DB4266">
        <w:rPr>
          <w:rFonts w:ascii="Century Schoolbook" w:hAnsi="Century Schoolbook"/>
        </w:rPr>
        <w:t xml:space="preserve">evaluate its compliance with </w:t>
      </w:r>
      <w:r w:rsidRPr="00DB4266">
        <w:rPr>
          <w:rFonts w:ascii="Century Schoolbook" w:hAnsi="Century Schoolbook"/>
        </w:rPr>
        <w:t>compounding laws, regulations, and practice standards.  I</w:t>
      </w:r>
      <w:r w:rsidR="000D565E" w:rsidRPr="00DB4266">
        <w:rPr>
          <w:rFonts w:ascii="Century Schoolbook" w:hAnsi="Century Schoolbook"/>
        </w:rPr>
        <w:t>t</w:t>
      </w:r>
      <w:r w:rsidR="00C734BF" w:rsidRPr="00DB4266">
        <w:rPr>
          <w:rFonts w:ascii="Century Schoolbook" w:hAnsi="Century Schoolbook"/>
        </w:rPr>
        <w:t xml:space="preserve"> is </w:t>
      </w:r>
      <w:r w:rsidR="000D565E" w:rsidRPr="00DB4266">
        <w:rPr>
          <w:rFonts w:ascii="Century Schoolbook" w:hAnsi="Century Schoolbook"/>
        </w:rPr>
        <w:t>imperative</w:t>
      </w:r>
      <w:r w:rsidR="00C734BF" w:rsidRPr="00DB4266">
        <w:rPr>
          <w:rFonts w:ascii="Century Schoolbook" w:hAnsi="Century Schoolbook"/>
        </w:rPr>
        <w:t xml:space="preserve"> for Mr. Doyle, even </w:t>
      </w:r>
      <w:r w:rsidRPr="00DB4266">
        <w:rPr>
          <w:rFonts w:ascii="Century Schoolbook" w:hAnsi="Century Schoolbook"/>
        </w:rPr>
        <w:t>though he is</w:t>
      </w:r>
      <w:r w:rsidR="00C734BF" w:rsidRPr="00DB4266">
        <w:rPr>
          <w:rFonts w:ascii="Century Schoolbook" w:hAnsi="Century Schoolbook"/>
        </w:rPr>
        <w:t xml:space="preserve"> at the end of his career, to </w:t>
      </w:r>
      <w:r w:rsidRPr="00DB4266">
        <w:rPr>
          <w:rFonts w:ascii="Century Schoolbook" w:hAnsi="Century Schoolbook"/>
        </w:rPr>
        <w:t>be knowledgeable about</w:t>
      </w:r>
      <w:r w:rsidR="00C734BF" w:rsidRPr="00DB4266">
        <w:rPr>
          <w:rFonts w:ascii="Century Schoolbook" w:hAnsi="Century Schoolbook"/>
        </w:rPr>
        <w:t xml:space="preserve"> UPS 795</w:t>
      </w:r>
      <w:r w:rsidRPr="00DB4266">
        <w:rPr>
          <w:rFonts w:ascii="Century Schoolbook" w:hAnsi="Century Schoolbook"/>
        </w:rPr>
        <w:t xml:space="preserve"> compliance</w:t>
      </w:r>
      <w:r w:rsidR="00C734BF" w:rsidRPr="00DB4266">
        <w:rPr>
          <w:rFonts w:ascii="Century Schoolbook" w:hAnsi="Century Schoolbook"/>
        </w:rPr>
        <w:t xml:space="preserve">, as well as laws and regulations surrounding compounding.    </w:t>
      </w:r>
      <w:r w:rsidR="00AC2FC8" w:rsidRPr="00DB4266">
        <w:rPr>
          <w:rFonts w:ascii="Century Schoolbook" w:hAnsi="Century Schoolbook"/>
        </w:rPr>
        <w:t xml:space="preserve">  </w:t>
      </w:r>
    </w:p>
    <w:p w14:paraId="23BADF7F" w14:textId="77777777" w:rsidR="007F0429" w:rsidRPr="00DB4266" w:rsidRDefault="007F0429" w:rsidP="00DF6FDD">
      <w:pPr>
        <w:ind w:firstLine="720"/>
        <w:jc w:val="both"/>
        <w:rPr>
          <w:rFonts w:ascii="Century Schoolbook" w:hAnsi="Century Schoolbook"/>
        </w:rPr>
      </w:pPr>
    </w:p>
    <w:p w14:paraId="531CDD7B" w14:textId="77777777" w:rsidR="00421A43" w:rsidRDefault="000D565E" w:rsidP="00DF6FDD">
      <w:pPr>
        <w:ind w:firstLine="720"/>
        <w:jc w:val="both"/>
        <w:rPr>
          <w:rFonts w:ascii="Century Schoolbook" w:hAnsi="Century Schoolbook"/>
        </w:rPr>
      </w:pPr>
      <w:r w:rsidRPr="00DB4266">
        <w:rPr>
          <w:rFonts w:ascii="Century Schoolbook" w:hAnsi="Century Schoolbook"/>
        </w:rPr>
        <w:t>T</w:t>
      </w:r>
      <w:r w:rsidR="007F0429" w:rsidRPr="00DB4266">
        <w:rPr>
          <w:rFonts w:ascii="Century Schoolbook" w:hAnsi="Century Schoolbook"/>
        </w:rPr>
        <w:t>he Board carefully considered the following mitigating circumstances:  There was a great deal of confusion surrounding compounding requirements in 2013.</w:t>
      </w:r>
      <w:r w:rsidRPr="00DB4266">
        <w:rPr>
          <w:rFonts w:ascii="Century Schoolbook" w:hAnsi="Century Schoolbook"/>
        </w:rPr>
        <w:t xml:space="preserve">  There is no evidence that Mr. Doyle or Conley’s Drug Store intended to circumvent the law.</w:t>
      </w:r>
      <w:r w:rsidR="007F0429" w:rsidRPr="00DB4266">
        <w:rPr>
          <w:rFonts w:ascii="Century Schoolbook" w:hAnsi="Century Schoolbook"/>
        </w:rPr>
        <w:t xml:space="preserve">  Mr. Doyle</w:t>
      </w:r>
      <w:r w:rsidR="006F7D80">
        <w:rPr>
          <w:rFonts w:ascii="Century Schoolbook" w:hAnsi="Century Schoolbook"/>
        </w:rPr>
        <w:t xml:space="preserve"> and Conley’s Drug Store</w:t>
      </w:r>
      <w:r w:rsidR="007F0429" w:rsidRPr="00DB4266">
        <w:rPr>
          <w:rFonts w:ascii="Century Schoolbook" w:hAnsi="Century Schoolbook"/>
        </w:rPr>
        <w:t xml:space="preserve"> had been selling compounds containing over the counter medications without a prescription for decades.  Importantly, Conley’s Drug Store underwent approximately thr</w:t>
      </w:r>
      <w:r w:rsidR="00DB652D" w:rsidRPr="00DB4266">
        <w:rPr>
          <w:rFonts w:ascii="Century Schoolbook" w:hAnsi="Century Schoolbook"/>
        </w:rPr>
        <w:t>ee inspections after 2013 and before the October 2016 inspection</w:t>
      </w:r>
      <w:r w:rsidR="007F0429" w:rsidRPr="00DB4266">
        <w:rPr>
          <w:rFonts w:ascii="Century Schoolbook" w:hAnsi="Century Schoolbook"/>
        </w:rPr>
        <w:t xml:space="preserve"> in which Board investigators did not cite any deficiency related to prescriptions for compounded medications.</w:t>
      </w:r>
      <w:r w:rsidR="007F0429" w:rsidRPr="000D565E">
        <w:rPr>
          <w:rFonts w:ascii="Century Schoolbook" w:hAnsi="Century Schoolbook"/>
        </w:rPr>
        <w:t xml:space="preserve">    </w:t>
      </w:r>
    </w:p>
    <w:p w14:paraId="1569A96D" w14:textId="77777777" w:rsidR="006F7D80" w:rsidRDefault="006F7D80" w:rsidP="00DF6FDD">
      <w:pPr>
        <w:ind w:firstLine="720"/>
        <w:jc w:val="both"/>
        <w:rPr>
          <w:rFonts w:ascii="Century Schoolbook" w:hAnsi="Century Schoolbook"/>
        </w:rPr>
      </w:pPr>
    </w:p>
    <w:p w14:paraId="11958A1A" w14:textId="77777777" w:rsidR="006F7D80" w:rsidRPr="000D565E" w:rsidRDefault="006F7D80" w:rsidP="006F7D80">
      <w:pPr>
        <w:ind w:firstLine="720"/>
        <w:jc w:val="both"/>
        <w:rPr>
          <w:rFonts w:ascii="Century Schoolbook" w:hAnsi="Century Schoolbook"/>
        </w:rPr>
      </w:pPr>
      <w:r w:rsidRPr="006F7D80">
        <w:rPr>
          <w:rFonts w:ascii="Century Schoolbook" w:hAnsi="Century Schoolbook"/>
        </w:rPr>
        <w:lastRenderedPageBreak/>
        <w:t xml:space="preserve">Last, the Board notes that at all relevant times Mr. Doyle served as the manager of record of Conley’s Drug Store.  As described in 247 CMR 6.07, </w:t>
      </w:r>
      <w:r>
        <w:rPr>
          <w:rFonts w:ascii="Century Schoolbook" w:hAnsi="Century Schoolbook"/>
        </w:rPr>
        <w:t>Mr. Doyle</w:t>
      </w:r>
      <w:r w:rsidRPr="006F7D80">
        <w:rPr>
          <w:rFonts w:ascii="Century Schoolbook" w:hAnsi="Century Schoolbook"/>
        </w:rPr>
        <w:t xml:space="preserve">, as manager of record, was responsible for the operation of the </w:t>
      </w:r>
      <w:r>
        <w:rPr>
          <w:rFonts w:ascii="Century Schoolbook" w:hAnsi="Century Schoolbook"/>
        </w:rPr>
        <w:t xml:space="preserve">Conley’s Drug Store and </w:t>
      </w:r>
      <w:r w:rsidRPr="006F7D80">
        <w:rPr>
          <w:rFonts w:ascii="Century Schoolbook" w:hAnsi="Century Schoolbook"/>
        </w:rPr>
        <w:t xml:space="preserve">compliance with 247 CMR 2.00 </w:t>
      </w:r>
      <w:r w:rsidRPr="006F7D80">
        <w:rPr>
          <w:rFonts w:ascii="Century Schoolbook" w:hAnsi="Century Schoolbook"/>
          <w:i/>
        </w:rPr>
        <w:t>et seq</w:t>
      </w:r>
      <w:r w:rsidRPr="006F7D80">
        <w:rPr>
          <w:rFonts w:ascii="Century Schoolbook" w:hAnsi="Century Schoolbook"/>
        </w:rPr>
        <w:t>. and applicable state and federal laws and regulations.</w:t>
      </w:r>
    </w:p>
    <w:p w14:paraId="30DFB035" w14:textId="77777777" w:rsidR="001758F9" w:rsidRPr="008B145A" w:rsidRDefault="001758F9" w:rsidP="00DB652D">
      <w:pPr>
        <w:jc w:val="both"/>
        <w:rPr>
          <w:rFonts w:ascii="Century Schoolbook" w:hAnsi="Century Schoolbook"/>
        </w:rPr>
      </w:pPr>
    </w:p>
    <w:p w14:paraId="1077B3E7" w14:textId="77777777" w:rsidR="007F7E73" w:rsidRPr="008B145A" w:rsidRDefault="001758F9" w:rsidP="00DF6FDD">
      <w:pPr>
        <w:ind w:firstLine="720"/>
        <w:jc w:val="both"/>
        <w:rPr>
          <w:rFonts w:ascii="Century Schoolbook" w:hAnsi="Century Schoolbook"/>
        </w:rPr>
      </w:pPr>
      <w:r w:rsidRPr="008B145A">
        <w:rPr>
          <w:rFonts w:ascii="Century Schoolbook" w:hAnsi="Century Schoolbook"/>
        </w:rPr>
        <w:t xml:space="preserve">The Board voted to adopt the within Final Decision at its meeting on </w:t>
      </w:r>
      <w:r w:rsidR="00DB652D" w:rsidRPr="008B145A">
        <w:rPr>
          <w:rFonts w:ascii="Century Schoolbook" w:hAnsi="Century Schoolbook"/>
        </w:rPr>
        <w:t>October 3, 2019</w:t>
      </w:r>
      <w:r w:rsidRPr="008B145A">
        <w:rPr>
          <w:rFonts w:ascii="Century Schoolbook" w:hAnsi="Century Schoolbook"/>
        </w:rPr>
        <w:t xml:space="preserve">, by the following vote: </w:t>
      </w:r>
    </w:p>
    <w:p w14:paraId="5B3D65CE" w14:textId="77777777" w:rsidR="001758F9" w:rsidRPr="008B145A" w:rsidRDefault="001758F9" w:rsidP="00DF6FDD">
      <w:pPr>
        <w:ind w:firstLine="720"/>
        <w:jc w:val="both"/>
        <w:rPr>
          <w:rFonts w:ascii="Century Schoolbook" w:hAnsi="Century Schoolbook"/>
        </w:rPr>
      </w:pPr>
    </w:p>
    <w:p w14:paraId="5D777536" w14:textId="77777777" w:rsidR="001758F9" w:rsidRPr="008B145A" w:rsidRDefault="001758F9" w:rsidP="008B145A">
      <w:pPr>
        <w:ind w:left="2160" w:hanging="1440"/>
        <w:rPr>
          <w:rFonts w:ascii="Century Schoolbook" w:hAnsi="Century Schoolbook"/>
        </w:rPr>
      </w:pPr>
      <w:r w:rsidRPr="008B145A">
        <w:rPr>
          <w:rFonts w:ascii="Century Schoolbook" w:hAnsi="Century Schoolbook"/>
        </w:rPr>
        <w:t>In favor:</w:t>
      </w:r>
      <w:r w:rsidR="008B145A">
        <w:rPr>
          <w:rFonts w:ascii="Century Schoolbook" w:hAnsi="Century Schoolbook"/>
        </w:rPr>
        <w:tab/>
      </w:r>
      <w:r w:rsidR="008B145A" w:rsidRPr="008B145A">
        <w:rPr>
          <w:rFonts w:ascii="Century Schoolbook" w:hAnsi="Century Schoolbook"/>
        </w:rPr>
        <w:t>Susan Cornacchio; Timothy Fensky; Patrick Gannon; Michael Godek; Sebastian Hamilton; Stephanie Hernandez; Julie Lanza; Richard Lopez; Andrew Stein; Kim Tanzer</w:t>
      </w:r>
    </w:p>
    <w:p w14:paraId="4AD88F9A" w14:textId="77777777" w:rsidR="001758F9" w:rsidRPr="008B145A" w:rsidRDefault="0009609E" w:rsidP="00DF6FDD">
      <w:pPr>
        <w:ind w:firstLine="720"/>
        <w:jc w:val="both"/>
        <w:rPr>
          <w:rFonts w:ascii="Century Schoolbook" w:hAnsi="Century Schoolbook"/>
        </w:rPr>
      </w:pPr>
      <w:r w:rsidRPr="008B145A">
        <w:rPr>
          <w:rFonts w:ascii="Century Schoolbook" w:hAnsi="Century Schoolbook"/>
        </w:rPr>
        <w:t>Opposed</w:t>
      </w:r>
      <w:r w:rsidR="001758F9" w:rsidRPr="008B145A">
        <w:rPr>
          <w:rFonts w:ascii="Century Schoolbook" w:hAnsi="Century Schoolbook"/>
        </w:rPr>
        <w:t>:</w:t>
      </w:r>
      <w:r w:rsidR="008B145A">
        <w:rPr>
          <w:rFonts w:ascii="Century Schoolbook" w:hAnsi="Century Schoolbook"/>
        </w:rPr>
        <w:tab/>
        <w:t>None</w:t>
      </w:r>
    </w:p>
    <w:p w14:paraId="7109F1DE" w14:textId="77777777" w:rsidR="001758F9" w:rsidRPr="008B145A" w:rsidRDefault="001758F9" w:rsidP="00DF6FDD">
      <w:pPr>
        <w:ind w:firstLine="720"/>
        <w:jc w:val="both"/>
        <w:rPr>
          <w:rFonts w:ascii="Century Schoolbook" w:hAnsi="Century Schoolbook"/>
        </w:rPr>
      </w:pPr>
      <w:r w:rsidRPr="008B145A">
        <w:rPr>
          <w:rFonts w:ascii="Century Schoolbook" w:hAnsi="Century Schoolbook"/>
        </w:rPr>
        <w:t>Abstained:</w:t>
      </w:r>
      <w:r w:rsidR="008B145A">
        <w:rPr>
          <w:rFonts w:ascii="Century Schoolbook" w:hAnsi="Century Schoolbook"/>
        </w:rPr>
        <w:tab/>
        <w:t>None</w:t>
      </w:r>
    </w:p>
    <w:p w14:paraId="2590B335" w14:textId="77777777" w:rsidR="001758F9" w:rsidRDefault="0009609E" w:rsidP="00DF6FDD">
      <w:pPr>
        <w:ind w:firstLine="720"/>
        <w:jc w:val="both"/>
        <w:rPr>
          <w:rFonts w:ascii="Century Schoolbook" w:hAnsi="Century Schoolbook"/>
        </w:rPr>
      </w:pPr>
      <w:r>
        <w:rPr>
          <w:rFonts w:ascii="Century Schoolbook" w:hAnsi="Century Schoolbook"/>
        </w:rPr>
        <w:t>Recused:</w:t>
      </w:r>
      <w:r w:rsidR="008B145A">
        <w:rPr>
          <w:rFonts w:ascii="Century Schoolbook" w:hAnsi="Century Schoolbook"/>
        </w:rPr>
        <w:tab/>
        <w:t>None</w:t>
      </w:r>
    </w:p>
    <w:p w14:paraId="3B37BEE9" w14:textId="77777777" w:rsidR="00421A43" w:rsidRPr="00DB652D" w:rsidRDefault="0009609E" w:rsidP="00DB652D">
      <w:pPr>
        <w:ind w:firstLine="720"/>
        <w:jc w:val="both"/>
        <w:rPr>
          <w:rFonts w:ascii="Century Schoolbook" w:hAnsi="Century Schoolbook"/>
        </w:rPr>
      </w:pPr>
      <w:r>
        <w:rPr>
          <w:rFonts w:ascii="Century Schoolbook" w:hAnsi="Century Schoolbook"/>
        </w:rPr>
        <w:t>Absent:</w:t>
      </w:r>
      <w:r w:rsidR="008B145A">
        <w:rPr>
          <w:rFonts w:ascii="Century Schoolbook" w:hAnsi="Century Schoolbook"/>
        </w:rPr>
        <w:tab/>
      </w:r>
      <w:r w:rsidR="008B145A" w:rsidRPr="008B145A">
        <w:rPr>
          <w:rFonts w:ascii="Century Schoolbook" w:hAnsi="Century Schoolbook"/>
        </w:rPr>
        <w:t xml:space="preserve">Leah Giambarresi; Carly Jean-Francois; </w:t>
      </w:r>
      <w:r w:rsidR="008B145A">
        <w:rPr>
          <w:rFonts w:ascii="Century Schoolbook" w:hAnsi="Century Schoolbook"/>
        </w:rPr>
        <w:t>Dawn Perry</w:t>
      </w:r>
    </w:p>
    <w:p w14:paraId="64A3D57F" w14:textId="77777777" w:rsidR="00421A43" w:rsidRDefault="00421A43" w:rsidP="0009609E">
      <w:pPr>
        <w:jc w:val="center"/>
        <w:rPr>
          <w:rFonts w:ascii="Century Schoolbook" w:hAnsi="Century Schoolbook"/>
          <w:b/>
          <w:u w:val="single"/>
        </w:rPr>
      </w:pPr>
    </w:p>
    <w:p w14:paraId="7C4255B4" w14:textId="77777777" w:rsidR="0009609E" w:rsidRDefault="0009609E" w:rsidP="0009609E">
      <w:pPr>
        <w:jc w:val="center"/>
        <w:rPr>
          <w:rFonts w:ascii="Century Schoolbook" w:hAnsi="Century Schoolbook"/>
        </w:rPr>
      </w:pPr>
      <w:r>
        <w:rPr>
          <w:rFonts w:ascii="Century Schoolbook" w:hAnsi="Century Schoolbook"/>
          <w:b/>
          <w:u w:val="single"/>
        </w:rPr>
        <w:t>Order</w:t>
      </w:r>
    </w:p>
    <w:p w14:paraId="17DEE22A" w14:textId="77777777" w:rsidR="0009609E" w:rsidRDefault="0009609E" w:rsidP="0009609E">
      <w:pPr>
        <w:rPr>
          <w:rFonts w:ascii="Century Schoolbook" w:hAnsi="Century Schoolbook"/>
        </w:rPr>
      </w:pPr>
    </w:p>
    <w:p w14:paraId="5C971DD4" w14:textId="77777777" w:rsidR="0009609E" w:rsidRPr="00DB652D" w:rsidRDefault="0009609E" w:rsidP="0009609E">
      <w:pPr>
        <w:jc w:val="both"/>
        <w:rPr>
          <w:rFonts w:ascii="Century Schoolbook" w:hAnsi="Century Schoolbook"/>
        </w:rPr>
      </w:pPr>
      <w:r>
        <w:rPr>
          <w:rFonts w:ascii="Century Schoolbook" w:hAnsi="Century Schoolbook"/>
        </w:rPr>
        <w:tab/>
      </w:r>
      <w:r w:rsidRPr="00DB4266">
        <w:rPr>
          <w:rFonts w:ascii="Century Schoolbook" w:hAnsi="Century Schoolbook"/>
        </w:rPr>
        <w:t xml:space="preserve">On </w:t>
      </w:r>
      <w:r w:rsidR="00A73985" w:rsidRPr="00DB4266">
        <w:rPr>
          <w:rFonts w:ascii="Century Schoolbook" w:hAnsi="Century Schoolbook"/>
        </w:rPr>
        <w:t>October 3, 2019</w:t>
      </w:r>
      <w:r w:rsidRPr="00DB4266">
        <w:rPr>
          <w:rFonts w:ascii="Century Schoolbook" w:hAnsi="Century Schoolbook"/>
        </w:rPr>
        <w:t xml:space="preserve">, in accordance with the Board’s authority and statutory mandate, the Board voted to issue this Final Decision and Order and place Respondent’s </w:t>
      </w:r>
      <w:r w:rsidR="00A73985" w:rsidRPr="00DB4266">
        <w:rPr>
          <w:rFonts w:ascii="Century Schoolbook" w:hAnsi="Century Schoolbook"/>
        </w:rPr>
        <w:t>pharmacy license, DS2654,</w:t>
      </w:r>
      <w:r w:rsidRPr="00DB4266">
        <w:rPr>
          <w:rFonts w:ascii="Century Schoolbook" w:hAnsi="Century Schoolbook"/>
        </w:rPr>
        <w:t xml:space="preserve"> on </w:t>
      </w:r>
      <w:r w:rsidRPr="00DB4266">
        <w:rPr>
          <w:rFonts w:ascii="Century Schoolbook" w:hAnsi="Century Schoolbook"/>
          <w:b/>
        </w:rPr>
        <w:t>PROBATION</w:t>
      </w:r>
      <w:r w:rsidRPr="00DB4266">
        <w:rPr>
          <w:rFonts w:ascii="Century Schoolbook" w:hAnsi="Century Schoolbook"/>
        </w:rPr>
        <w:t xml:space="preserve"> for two years (“Probationary Period”).  Further, </w:t>
      </w:r>
      <w:r w:rsidR="000D565E" w:rsidRPr="00DB4266">
        <w:rPr>
          <w:rFonts w:ascii="Century Schoolbook" w:hAnsi="Century Schoolbook"/>
        </w:rPr>
        <w:t>within six months of the Effective Date, Respondent shall submit a report from a third party consultant evaluating its compliance with t</w:t>
      </w:r>
      <w:r w:rsidR="00DB652D" w:rsidRPr="00DB4266">
        <w:rPr>
          <w:rFonts w:ascii="Century Schoolbook" w:hAnsi="Century Schoolbook"/>
        </w:rPr>
        <w:t xml:space="preserve">he </w:t>
      </w:r>
      <w:r w:rsidR="000D565E" w:rsidRPr="00DB4266">
        <w:rPr>
          <w:rFonts w:ascii="Century Schoolbook" w:hAnsi="Century Schoolbook"/>
        </w:rPr>
        <w:t>revised chapter</w:t>
      </w:r>
      <w:r w:rsidR="00DB652D" w:rsidRPr="00DB4266">
        <w:rPr>
          <w:rFonts w:ascii="Century Schoolbook" w:hAnsi="Century Schoolbook"/>
        </w:rPr>
        <w:t xml:space="preserve"> of US</w:t>
      </w:r>
      <w:r w:rsidR="000D565E" w:rsidRPr="00DB4266">
        <w:rPr>
          <w:rFonts w:ascii="Century Schoolbook" w:hAnsi="Century Schoolbook"/>
        </w:rPr>
        <w:t>P 795 and USP 800</w:t>
      </w:r>
      <w:r w:rsidR="00DB652D" w:rsidRPr="00DB4266">
        <w:rPr>
          <w:rFonts w:ascii="Century Schoolbook" w:hAnsi="Century Schoolbook"/>
        </w:rPr>
        <w:t>.</w:t>
      </w:r>
      <w:r w:rsidR="00DB652D" w:rsidRPr="00DB652D">
        <w:rPr>
          <w:rFonts w:ascii="Century Schoolbook" w:hAnsi="Century Schoolbook"/>
        </w:rPr>
        <w:t xml:space="preserve">  </w:t>
      </w:r>
      <w:r w:rsidR="00CD6DB6" w:rsidRPr="00DB652D">
        <w:rPr>
          <w:rFonts w:ascii="Century Schoolbook" w:hAnsi="Century Schoolbook"/>
        </w:rPr>
        <w:t xml:space="preserve">  </w:t>
      </w:r>
    </w:p>
    <w:p w14:paraId="2C602D2D" w14:textId="77777777" w:rsidR="00AC5577" w:rsidRDefault="00AC5577" w:rsidP="00AC5577">
      <w:pPr>
        <w:ind w:firstLine="720"/>
        <w:jc w:val="both"/>
        <w:rPr>
          <w:rFonts w:ascii="Century Schoolbook" w:hAnsi="Century Schoolbook"/>
        </w:rPr>
      </w:pPr>
    </w:p>
    <w:p w14:paraId="00B1E50D" w14:textId="77777777" w:rsidR="008B145A" w:rsidRPr="008B145A" w:rsidRDefault="008B145A" w:rsidP="008B145A">
      <w:pPr>
        <w:ind w:left="2160" w:hanging="1440"/>
        <w:rPr>
          <w:rFonts w:ascii="Century Schoolbook" w:hAnsi="Century Schoolbook"/>
        </w:rPr>
      </w:pPr>
      <w:r w:rsidRPr="008B145A">
        <w:rPr>
          <w:rFonts w:ascii="Century Schoolbook" w:hAnsi="Century Schoolbook"/>
        </w:rPr>
        <w:t>In favor:</w:t>
      </w:r>
      <w:r>
        <w:rPr>
          <w:rFonts w:ascii="Century Schoolbook" w:hAnsi="Century Schoolbook"/>
        </w:rPr>
        <w:tab/>
      </w:r>
      <w:r w:rsidRPr="008B145A">
        <w:rPr>
          <w:rFonts w:ascii="Century Schoolbook" w:hAnsi="Century Schoolbook"/>
        </w:rPr>
        <w:t>Susan Cornacchio; Timothy Fensky; Patrick Gannon; Michael Godek; Sebastian Hamilton; Stephanie Hernandez; Julie Lanza; Richard Lopez; Andrew Stein; Kim Tanzer</w:t>
      </w:r>
    </w:p>
    <w:p w14:paraId="43ACE50F" w14:textId="77777777" w:rsidR="008B145A" w:rsidRPr="008B145A" w:rsidRDefault="008B145A" w:rsidP="008B145A">
      <w:pPr>
        <w:ind w:firstLine="720"/>
        <w:jc w:val="both"/>
        <w:rPr>
          <w:rFonts w:ascii="Century Schoolbook" w:hAnsi="Century Schoolbook"/>
        </w:rPr>
      </w:pPr>
      <w:r w:rsidRPr="008B145A">
        <w:rPr>
          <w:rFonts w:ascii="Century Schoolbook" w:hAnsi="Century Schoolbook"/>
        </w:rPr>
        <w:t>Opposed:</w:t>
      </w:r>
      <w:r>
        <w:rPr>
          <w:rFonts w:ascii="Century Schoolbook" w:hAnsi="Century Schoolbook"/>
        </w:rPr>
        <w:tab/>
        <w:t>None</w:t>
      </w:r>
    </w:p>
    <w:p w14:paraId="5ADC5946" w14:textId="77777777" w:rsidR="008B145A" w:rsidRPr="008B145A" w:rsidRDefault="008B145A" w:rsidP="008B145A">
      <w:pPr>
        <w:ind w:firstLine="720"/>
        <w:jc w:val="both"/>
        <w:rPr>
          <w:rFonts w:ascii="Century Schoolbook" w:hAnsi="Century Schoolbook"/>
        </w:rPr>
      </w:pPr>
      <w:r w:rsidRPr="008B145A">
        <w:rPr>
          <w:rFonts w:ascii="Century Schoolbook" w:hAnsi="Century Schoolbook"/>
        </w:rPr>
        <w:t>Abstained:</w:t>
      </w:r>
      <w:r>
        <w:rPr>
          <w:rFonts w:ascii="Century Schoolbook" w:hAnsi="Century Schoolbook"/>
        </w:rPr>
        <w:tab/>
        <w:t>None</w:t>
      </w:r>
    </w:p>
    <w:p w14:paraId="5259BC27" w14:textId="77777777" w:rsidR="008B145A" w:rsidRDefault="008B145A" w:rsidP="008B145A">
      <w:pPr>
        <w:ind w:firstLine="720"/>
        <w:jc w:val="both"/>
        <w:rPr>
          <w:rFonts w:ascii="Century Schoolbook" w:hAnsi="Century Schoolbook"/>
        </w:rPr>
      </w:pPr>
      <w:r>
        <w:rPr>
          <w:rFonts w:ascii="Century Schoolbook" w:hAnsi="Century Schoolbook"/>
        </w:rPr>
        <w:t>Recused:</w:t>
      </w:r>
      <w:r>
        <w:rPr>
          <w:rFonts w:ascii="Century Schoolbook" w:hAnsi="Century Schoolbook"/>
        </w:rPr>
        <w:tab/>
        <w:t>None</w:t>
      </w:r>
    </w:p>
    <w:p w14:paraId="57940952" w14:textId="77777777" w:rsidR="008B145A" w:rsidRPr="00DB652D" w:rsidRDefault="008B145A" w:rsidP="008B145A">
      <w:pPr>
        <w:ind w:firstLine="720"/>
        <w:jc w:val="both"/>
        <w:rPr>
          <w:rFonts w:ascii="Century Schoolbook" w:hAnsi="Century Schoolbook"/>
        </w:rPr>
      </w:pPr>
      <w:r>
        <w:rPr>
          <w:rFonts w:ascii="Century Schoolbook" w:hAnsi="Century Schoolbook"/>
        </w:rPr>
        <w:t>Absent:</w:t>
      </w:r>
      <w:r>
        <w:rPr>
          <w:rFonts w:ascii="Century Schoolbook" w:hAnsi="Century Schoolbook"/>
        </w:rPr>
        <w:tab/>
      </w:r>
      <w:r w:rsidRPr="008B145A">
        <w:rPr>
          <w:rFonts w:ascii="Century Schoolbook" w:hAnsi="Century Schoolbook"/>
        </w:rPr>
        <w:t xml:space="preserve">Leah Giambarresi; Carly Jean-Francois; </w:t>
      </w:r>
      <w:r>
        <w:rPr>
          <w:rFonts w:ascii="Century Schoolbook" w:hAnsi="Century Schoolbook"/>
        </w:rPr>
        <w:t>Dawn Perry</w:t>
      </w:r>
    </w:p>
    <w:p w14:paraId="653670DE" w14:textId="77777777" w:rsidR="00421A43" w:rsidRPr="000D565E" w:rsidRDefault="00421A43" w:rsidP="00421A43">
      <w:pPr>
        <w:rPr>
          <w:rFonts w:ascii="Century Schoolbook" w:hAnsi="Century Schoolbook"/>
          <w:szCs w:val="24"/>
        </w:rPr>
      </w:pPr>
      <w:r w:rsidRPr="000D565E">
        <w:rPr>
          <w:rFonts w:ascii="Century Schoolbook" w:hAnsi="Century Schoolbook"/>
          <w:szCs w:val="24"/>
        </w:rPr>
        <w:t xml:space="preserve">        </w:t>
      </w:r>
    </w:p>
    <w:p w14:paraId="7494EBEE" w14:textId="77777777" w:rsidR="000D565E" w:rsidRPr="000D565E" w:rsidRDefault="000D565E" w:rsidP="000D565E">
      <w:pPr>
        <w:spacing w:line="480" w:lineRule="auto"/>
        <w:jc w:val="center"/>
        <w:rPr>
          <w:rFonts w:ascii="Century Schoolbook" w:hAnsi="Century Schoolbook" w:cs="Arial"/>
          <w:b/>
          <w:u w:val="single"/>
        </w:rPr>
      </w:pPr>
      <w:r>
        <w:rPr>
          <w:rFonts w:ascii="Century Schoolbook" w:hAnsi="Century Schoolbook" w:cs="Arial"/>
          <w:b/>
          <w:u w:val="single"/>
        </w:rPr>
        <w:t>Effective Date of Order</w:t>
      </w:r>
    </w:p>
    <w:p w14:paraId="102C1043" w14:textId="77777777" w:rsidR="000D565E" w:rsidRPr="000D565E" w:rsidRDefault="000D565E" w:rsidP="000D565E">
      <w:pPr>
        <w:spacing w:line="480" w:lineRule="auto"/>
        <w:ind w:firstLine="720"/>
        <w:jc w:val="both"/>
        <w:rPr>
          <w:rFonts w:ascii="Century Schoolbook" w:hAnsi="Century Schoolbook" w:cs="Arial"/>
        </w:rPr>
      </w:pPr>
      <w:r w:rsidRPr="000D565E">
        <w:rPr>
          <w:rFonts w:ascii="Century Schoolbook" w:hAnsi="Century Schoolbook" w:cs="Arial"/>
        </w:rPr>
        <w:t>The Final Decision and Order by Default shall be effective 10 days from the Date Issued.</w:t>
      </w:r>
    </w:p>
    <w:p w14:paraId="05788521" w14:textId="77777777" w:rsidR="000D565E" w:rsidRDefault="000D565E" w:rsidP="00421A43">
      <w:pPr>
        <w:rPr>
          <w:rFonts w:ascii="Century Schoolbook" w:hAnsi="Century Schoolbook"/>
          <w:szCs w:val="24"/>
          <w:u w:val="single"/>
        </w:rPr>
      </w:pPr>
    </w:p>
    <w:p w14:paraId="7B97EB99" w14:textId="77777777" w:rsidR="00136DAC" w:rsidRDefault="00136DAC" w:rsidP="00421A43">
      <w:pPr>
        <w:rPr>
          <w:rFonts w:ascii="Century Schoolbook" w:hAnsi="Century Schoolbook"/>
          <w:szCs w:val="24"/>
          <w:u w:val="single"/>
        </w:rPr>
      </w:pPr>
    </w:p>
    <w:p w14:paraId="0E3637A8" w14:textId="77777777" w:rsidR="00136DAC" w:rsidRPr="000D565E" w:rsidRDefault="00136DAC" w:rsidP="00421A43">
      <w:pPr>
        <w:rPr>
          <w:rFonts w:ascii="Century Schoolbook" w:hAnsi="Century Schoolbook"/>
          <w:szCs w:val="24"/>
          <w:u w:val="single"/>
        </w:rPr>
      </w:pPr>
    </w:p>
    <w:p w14:paraId="5101F13C" w14:textId="77777777" w:rsidR="00AC5577" w:rsidRDefault="00AC5577" w:rsidP="00AC5577">
      <w:pPr>
        <w:jc w:val="center"/>
        <w:rPr>
          <w:rFonts w:ascii="Century Schoolbook" w:hAnsi="Century Schoolbook"/>
        </w:rPr>
      </w:pPr>
      <w:r>
        <w:rPr>
          <w:rFonts w:ascii="Century Schoolbook" w:hAnsi="Century Schoolbook"/>
          <w:b/>
          <w:u w:val="single"/>
        </w:rPr>
        <w:lastRenderedPageBreak/>
        <w:t>Right to Appeal</w:t>
      </w:r>
    </w:p>
    <w:p w14:paraId="52907665" w14:textId="77777777" w:rsidR="00AC5577" w:rsidRDefault="00AC5577" w:rsidP="00AC5577">
      <w:pPr>
        <w:rPr>
          <w:rFonts w:ascii="Century Schoolbook" w:hAnsi="Century Schoolbook"/>
        </w:rPr>
      </w:pPr>
    </w:p>
    <w:p w14:paraId="0B1AD43D" w14:textId="77777777" w:rsidR="00AC5577" w:rsidRDefault="00AC5577" w:rsidP="00AC5577">
      <w:pPr>
        <w:jc w:val="both"/>
        <w:rPr>
          <w:rFonts w:ascii="Century Schoolbook" w:hAnsi="Century Schoolbook"/>
        </w:rPr>
      </w:pPr>
      <w:r>
        <w:rPr>
          <w:rFonts w:ascii="Century Schoolbook" w:hAnsi="Century Schoolbook"/>
        </w:rPr>
        <w:tab/>
      </w:r>
      <w:r w:rsidRPr="000D565E">
        <w:rPr>
          <w:rFonts w:ascii="Century Schoolbook" w:hAnsi="Century Schoolbook"/>
        </w:rPr>
        <w:t xml:space="preserve">Respondent is hereby notified of the right to appeal this </w:t>
      </w:r>
      <w:r w:rsidR="00DB652D" w:rsidRPr="000D565E">
        <w:rPr>
          <w:rFonts w:ascii="Century Schoolbook" w:hAnsi="Century Schoolbook"/>
        </w:rPr>
        <w:t xml:space="preserve">Final Decision and Order </w:t>
      </w:r>
      <w:r w:rsidRPr="000D565E">
        <w:rPr>
          <w:rFonts w:ascii="Century Schoolbook" w:hAnsi="Century Schoolbook"/>
        </w:rPr>
        <w:t xml:space="preserve">to a Superior Court with jurisdiction pursuant to M.G.L. c. 30A, § 14.  Respondent must file </w:t>
      </w:r>
      <w:r w:rsidR="00136DAC">
        <w:rPr>
          <w:rFonts w:ascii="Century Schoolbook" w:hAnsi="Century Schoolbook"/>
        </w:rPr>
        <w:t>its</w:t>
      </w:r>
      <w:r w:rsidRPr="000D565E">
        <w:rPr>
          <w:rFonts w:ascii="Century Schoolbook" w:hAnsi="Century Schoolbook"/>
        </w:rPr>
        <w:t xml:space="preserve"> appeal within thirty (30) days of receipt of this Final Decision and Order.</w:t>
      </w:r>
      <w:r>
        <w:rPr>
          <w:rFonts w:ascii="Century Schoolbook" w:hAnsi="Century Schoolbook"/>
        </w:rPr>
        <w:t xml:space="preserve"> </w:t>
      </w:r>
    </w:p>
    <w:p w14:paraId="1F4CEFF2" w14:textId="77777777" w:rsidR="00AC5577" w:rsidRDefault="00AC5577" w:rsidP="00AC5577">
      <w:pPr>
        <w:jc w:val="both"/>
        <w:rPr>
          <w:rFonts w:ascii="Century Schoolbook" w:hAnsi="Century Schoolbook"/>
        </w:rPr>
      </w:pPr>
    </w:p>
    <w:p w14:paraId="659DCAD6" w14:textId="77777777" w:rsidR="00AC5577" w:rsidRPr="00526565" w:rsidRDefault="00AC5577" w:rsidP="00AC5577">
      <w:pPr>
        <w:ind w:left="3600" w:firstLine="720"/>
        <w:jc w:val="both"/>
        <w:rPr>
          <w:rFonts w:ascii="Century Schoolbook" w:hAnsi="Century Schoolbook"/>
          <w:bCs/>
        </w:rPr>
      </w:pPr>
      <w:r w:rsidRPr="00526565">
        <w:rPr>
          <w:rFonts w:ascii="Century Schoolbook" w:hAnsi="Century Schoolbook"/>
          <w:bCs/>
        </w:rPr>
        <w:t>Board of Registration in Pharmacy,</w:t>
      </w:r>
    </w:p>
    <w:p w14:paraId="717B6F39" w14:textId="77777777" w:rsidR="00AC5577" w:rsidRPr="00526565" w:rsidRDefault="00AC5577" w:rsidP="00AC5577">
      <w:pPr>
        <w:jc w:val="both"/>
        <w:rPr>
          <w:rFonts w:ascii="Century Schoolbook" w:hAnsi="Century Schoolbook"/>
          <w:bCs/>
        </w:rPr>
      </w:pPr>
    </w:p>
    <w:p w14:paraId="2766C4BC" w14:textId="77777777" w:rsidR="00AC5577" w:rsidRPr="00526565" w:rsidRDefault="00AC5577" w:rsidP="00AC5577">
      <w:pPr>
        <w:jc w:val="both"/>
        <w:rPr>
          <w:rFonts w:ascii="Century Schoolbook" w:hAnsi="Century Schoolbook"/>
          <w:bCs/>
        </w:rPr>
      </w:pPr>
    </w:p>
    <w:p w14:paraId="2C9630D9" w14:textId="77777777" w:rsidR="00AC5577" w:rsidRPr="00526565" w:rsidRDefault="00AC5577" w:rsidP="00AC5577">
      <w:pPr>
        <w:jc w:val="both"/>
        <w:rPr>
          <w:rFonts w:ascii="Century Schoolbook" w:hAnsi="Century Schoolbook"/>
          <w:bCs/>
        </w:rPr>
      </w:pPr>
      <w:r w:rsidRPr="00526565">
        <w:rPr>
          <w:rFonts w:ascii="Century Schoolbook" w:hAnsi="Century Schoolbook"/>
          <w:bCs/>
        </w:rPr>
        <w:tab/>
      </w:r>
      <w:r w:rsidRPr="00526565">
        <w:rPr>
          <w:rFonts w:ascii="Century Schoolbook" w:hAnsi="Century Schoolbook"/>
          <w:bCs/>
        </w:rPr>
        <w:tab/>
      </w:r>
      <w:r w:rsidRPr="00526565">
        <w:rPr>
          <w:rFonts w:ascii="Century Schoolbook" w:hAnsi="Century Schoolbook"/>
          <w:bCs/>
        </w:rPr>
        <w:tab/>
      </w:r>
      <w:r w:rsidRPr="00526565">
        <w:rPr>
          <w:rFonts w:ascii="Century Schoolbook" w:hAnsi="Century Schoolbook"/>
          <w:bCs/>
        </w:rPr>
        <w:tab/>
      </w:r>
      <w:r w:rsidRPr="00526565">
        <w:rPr>
          <w:rFonts w:ascii="Century Schoolbook" w:hAnsi="Century Schoolbook"/>
          <w:bCs/>
        </w:rPr>
        <w:tab/>
      </w:r>
      <w:r w:rsidRPr="00526565">
        <w:rPr>
          <w:rFonts w:ascii="Century Schoolbook" w:hAnsi="Century Schoolbook"/>
          <w:bCs/>
        </w:rPr>
        <w:tab/>
        <w:t>____________________________</w:t>
      </w:r>
    </w:p>
    <w:p w14:paraId="18DCB26D" w14:textId="77777777" w:rsidR="00AC5577" w:rsidRPr="00526565" w:rsidRDefault="00AC5577" w:rsidP="00AC5577">
      <w:pPr>
        <w:ind w:left="4320"/>
        <w:contextualSpacing/>
        <w:jc w:val="both"/>
        <w:rPr>
          <w:rFonts w:ascii="Century Schoolbook" w:hAnsi="Century Schoolbook" w:cs="Arial"/>
        </w:rPr>
      </w:pPr>
      <w:r w:rsidRPr="00526565">
        <w:rPr>
          <w:rFonts w:ascii="Century Schoolbook" w:hAnsi="Century Schoolbook"/>
        </w:rPr>
        <w:t xml:space="preserve">David A. Sencabaugh, </w:t>
      </w:r>
      <w:proofErr w:type="spellStart"/>
      <w:r w:rsidRPr="00526565">
        <w:rPr>
          <w:rFonts w:ascii="Century Schoolbook" w:hAnsi="Century Schoolbook"/>
        </w:rPr>
        <w:t>R.Ph</w:t>
      </w:r>
      <w:proofErr w:type="spellEnd"/>
      <w:r w:rsidRPr="00526565">
        <w:rPr>
          <w:rFonts w:ascii="Century Schoolbook" w:hAnsi="Century Schoolbook"/>
        </w:rPr>
        <w:t>.</w:t>
      </w:r>
    </w:p>
    <w:p w14:paraId="65B5BEE9" w14:textId="77777777" w:rsidR="00AC5577" w:rsidRPr="00526565" w:rsidRDefault="00AC5577" w:rsidP="00AC5577">
      <w:pPr>
        <w:ind w:left="3600" w:firstLine="720"/>
        <w:contextualSpacing/>
        <w:jc w:val="both"/>
        <w:rPr>
          <w:rFonts w:ascii="Century Schoolbook" w:hAnsi="Century Schoolbook"/>
        </w:rPr>
      </w:pPr>
      <w:r w:rsidRPr="00526565">
        <w:rPr>
          <w:rFonts w:ascii="Century Schoolbook" w:hAnsi="Century Schoolbook"/>
        </w:rPr>
        <w:t>Executive Director</w:t>
      </w:r>
    </w:p>
    <w:p w14:paraId="0869DD25" w14:textId="77777777" w:rsidR="00AC5577" w:rsidRDefault="00AC5577" w:rsidP="00AC5577">
      <w:pPr>
        <w:jc w:val="both"/>
        <w:rPr>
          <w:rFonts w:ascii="Century Schoolbook" w:hAnsi="Century Schoolbook" w:cs="Arial"/>
        </w:rPr>
      </w:pPr>
    </w:p>
    <w:p w14:paraId="60558884" w14:textId="164C7AAC" w:rsidR="00AC5577" w:rsidRPr="00526565" w:rsidRDefault="00AC5577" w:rsidP="00AC5577">
      <w:pPr>
        <w:jc w:val="both"/>
        <w:rPr>
          <w:rFonts w:ascii="Century Schoolbook" w:hAnsi="Century Schoolbook" w:cs="Arial"/>
        </w:rPr>
      </w:pPr>
      <w:r w:rsidRPr="00526565">
        <w:rPr>
          <w:rFonts w:ascii="Century Schoolbook" w:hAnsi="Century Schoolbook" w:cs="Arial"/>
        </w:rPr>
        <w:t>Date Issued:</w:t>
      </w:r>
      <w:r w:rsidRPr="00526565">
        <w:rPr>
          <w:rFonts w:ascii="Century Schoolbook" w:hAnsi="Century Schoolbook" w:cs="Arial"/>
          <w:u w:val="single"/>
        </w:rPr>
        <w:tab/>
      </w:r>
      <w:r w:rsidR="008C3DBF">
        <w:rPr>
          <w:rFonts w:ascii="Century Schoolbook" w:hAnsi="Century Schoolbook" w:cs="Arial"/>
          <w:u w:val="single"/>
        </w:rPr>
        <w:t xml:space="preserve"> 10/16/2019</w:t>
      </w:r>
      <w:r w:rsidRPr="00526565">
        <w:rPr>
          <w:rFonts w:ascii="Century Schoolbook" w:hAnsi="Century Schoolbook" w:cs="Arial"/>
          <w:u w:val="single"/>
        </w:rPr>
        <w:tab/>
      </w:r>
      <w:r w:rsidRPr="00526565">
        <w:rPr>
          <w:rFonts w:ascii="Century Schoolbook" w:hAnsi="Century Schoolbook" w:cs="Arial"/>
          <w:u w:val="single"/>
        </w:rPr>
        <w:tab/>
      </w:r>
      <w:r w:rsidRPr="00526565">
        <w:rPr>
          <w:rFonts w:ascii="Century Schoolbook" w:hAnsi="Century Schoolbook" w:cs="Arial"/>
          <w:u w:val="single"/>
        </w:rPr>
        <w:tab/>
      </w:r>
    </w:p>
    <w:p w14:paraId="4C631302" w14:textId="77777777" w:rsidR="00AC5577" w:rsidRPr="00526565" w:rsidRDefault="00AC5577" w:rsidP="00AC5577">
      <w:pPr>
        <w:jc w:val="both"/>
        <w:rPr>
          <w:rFonts w:ascii="Century Schoolbook" w:hAnsi="Century Schoolbook" w:cs="Arial"/>
          <w:u w:val="single"/>
        </w:rPr>
      </w:pPr>
    </w:p>
    <w:p w14:paraId="0FDD1284" w14:textId="77777777" w:rsidR="00AC5577" w:rsidRPr="00526565" w:rsidRDefault="00AC5577" w:rsidP="00AC5577">
      <w:pPr>
        <w:rPr>
          <w:rFonts w:ascii="Century Schoolbook" w:hAnsi="Century Schoolbook"/>
        </w:rPr>
      </w:pPr>
    </w:p>
    <w:p w14:paraId="2F1BFCD0" w14:textId="77777777" w:rsidR="00AC5577" w:rsidRPr="00526565" w:rsidRDefault="00AC5577" w:rsidP="00AC5577">
      <w:pPr>
        <w:rPr>
          <w:rFonts w:ascii="Century Schoolbook" w:hAnsi="Century Schoolbook"/>
        </w:rPr>
      </w:pPr>
    </w:p>
    <w:p w14:paraId="5FBE8D81" w14:textId="77777777" w:rsidR="00AC5577" w:rsidRPr="00526565" w:rsidRDefault="00AC5577" w:rsidP="00AC5577">
      <w:pPr>
        <w:rPr>
          <w:rFonts w:ascii="Century Schoolbook" w:hAnsi="Century Schoolbook"/>
        </w:rPr>
      </w:pPr>
    </w:p>
    <w:p w14:paraId="2C4774D1" w14:textId="77777777" w:rsidR="00AC5577" w:rsidRDefault="00AC5577" w:rsidP="00AC5577">
      <w:pPr>
        <w:rPr>
          <w:rFonts w:ascii="Century Schoolbook" w:hAnsi="Century Schoolbook"/>
        </w:rPr>
      </w:pPr>
    </w:p>
    <w:p w14:paraId="4C593F6E" w14:textId="77777777" w:rsidR="00AC5577" w:rsidRDefault="00AC5577" w:rsidP="00AC5577">
      <w:pPr>
        <w:rPr>
          <w:rFonts w:ascii="Century Schoolbook" w:hAnsi="Century Schoolbook"/>
        </w:rPr>
      </w:pPr>
    </w:p>
    <w:p w14:paraId="16E34012" w14:textId="77777777" w:rsidR="00623980" w:rsidRDefault="00623980" w:rsidP="00AC5577">
      <w:pPr>
        <w:rPr>
          <w:rFonts w:ascii="Century Schoolbook" w:hAnsi="Century Schoolbook"/>
        </w:rPr>
      </w:pPr>
    </w:p>
    <w:p w14:paraId="271DB59A" w14:textId="77777777" w:rsidR="00623980" w:rsidRDefault="00623980" w:rsidP="00AC5577">
      <w:pPr>
        <w:rPr>
          <w:rFonts w:ascii="Century Schoolbook" w:hAnsi="Century Schoolbook"/>
        </w:rPr>
      </w:pPr>
    </w:p>
    <w:p w14:paraId="39CC9E3A" w14:textId="77777777" w:rsidR="00623980" w:rsidRDefault="00623980" w:rsidP="00AC5577">
      <w:pPr>
        <w:rPr>
          <w:rFonts w:ascii="Century Schoolbook" w:hAnsi="Century Schoolbook"/>
        </w:rPr>
      </w:pPr>
    </w:p>
    <w:p w14:paraId="79DEE345" w14:textId="77777777" w:rsidR="00623980" w:rsidRDefault="00623980" w:rsidP="00AC5577">
      <w:pPr>
        <w:rPr>
          <w:rFonts w:ascii="Century Schoolbook" w:hAnsi="Century Schoolbook"/>
        </w:rPr>
      </w:pPr>
    </w:p>
    <w:p w14:paraId="76C1C3DA" w14:textId="77777777" w:rsidR="00623980" w:rsidRDefault="00623980" w:rsidP="00AC5577">
      <w:pPr>
        <w:rPr>
          <w:rFonts w:ascii="Century Schoolbook" w:hAnsi="Century Schoolbook"/>
        </w:rPr>
      </w:pPr>
    </w:p>
    <w:p w14:paraId="028370B8" w14:textId="77777777" w:rsidR="00623980" w:rsidRDefault="00623980" w:rsidP="00AC5577">
      <w:pPr>
        <w:rPr>
          <w:rFonts w:ascii="Century Schoolbook" w:hAnsi="Century Schoolbook"/>
        </w:rPr>
      </w:pPr>
    </w:p>
    <w:p w14:paraId="0787F353" w14:textId="77777777" w:rsidR="00623980" w:rsidRDefault="00623980" w:rsidP="00AC5577">
      <w:pPr>
        <w:rPr>
          <w:rFonts w:ascii="Century Schoolbook" w:hAnsi="Century Schoolbook"/>
        </w:rPr>
      </w:pPr>
    </w:p>
    <w:p w14:paraId="058E7EA4" w14:textId="77777777" w:rsidR="00623980" w:rsidRDefault="00623980" w:rsidP="00AC5577">
      <w:pPr>
        <w:rPr>
          <w:rFonts w:ascii="Century Schoolbook" w:hAnsi="Century Schoolbook"/>
        </w:rPr>
      </w:pPr>
    </w:p>
    <w:p w14:paraId="469D08A0" w14:textId="77777777" w:rsidR="00623980" w:rsidRDefault="00623980" w:rsidP="00AC5577">
      <w:pPr>
        <w:rPr>
          <w:rFonts w:ascii="Century Schoolbook" w:hAnsi="Century Schoolbook"/>
        </w:rPr>
      </w:pPr>
    </w:p>
    <w:p w14:paraId="1160AF68" w14:textId="77777777" w:rsidR="00623980" w:rsidRDefault="00623980" w:rsidP="00AC5577">
      <w:pPr>
        <w:rPr>
          <w:rFonts w:ascii="Century Schoolbook" w:hAnsi="Century Schoolbook"/>
        </w:rPr>
      </w:pPr>
    </w:p>
    <w:p w14:paraId="4535EE17" w14:textId="77777777" w:rsidR="00623980" w:rsidRDefault="00623980" w:rsidP="00AC5577">
      <w:pPr>
        <w:rPr>
          <w:rFonts w:ascii="Century Schoolbook" w:hAnsi="Century Schoolbook"/>
        </w:rPr>
      </w:pPr>
    </w:p>
    <w:p w14:paraId="40FBC2DE" w14:textId="77777777" w:rsidR="00623980" w:rsidRDefault="00623980" w:rsidP="00AC5577">
      <w:pPr>
        <w:rPr>
          <w:rFonts w:ascii="Century Schoolbook" w:hAnsi="Century Schoolbook"/>
        </w:rPr>
      </w:pPr>
    </w:p>
    <w:p w14:paraId="156FA8AD" w14:textId="77777777" w:rsidR="00623980" w:rsidRDefault="00623980" w:rsidP="00AC5577">
      <w:pPr>
        <w:rPr>
          <w:rFonts w:ascii="Century Schoolbook" w:hAnsi="Century Schoolbook"/>
        </w:rPr>
      </w:pPr>
    </w:p>
    <w:p w14:paraId="77A6A925" w14:textId="77777777" w:rsidR="00623980" w:rsidRDefault="00623980" w:rsidP="00AC5577">
      <w:pPr>
        <w:rPr>
          <w:rFonts w:ascii="Century Schoolbook" w:hAnsi="Century Schoolbook"/>
        </w:rPr>
      </w:pPr>
    </w:p>
    <w:p w14:paraId="4FB3E867" w14:textId="77777777" w:rsidR="00623980" w:rsidRDefault="00623980" w:rsidP="00AC5577">
      <w:pPr>
        <w:rPr>
          <w:rFonts w:ascii="Century Schoolbook" w:hAnsi="Century Schoolbook"/>
        </w:rPr>
      </w:pPr>
    </w:p>
    <w:p w14:paraId="43E789EA" w14:textId="77777777" w:rsidR="00623980" w:rsidRDefault="00623980" w:rsidP="00AC5577">
      <w:pPr>
        <w:rPr>
          <w:rFonts w:ascii="Century Schoolbook" w:hAnsi="Century Schoolbook"/>
        </w:rPr>
      </w:pPr>
    </w:p>
    <w:p w14:paraId="24A2AF53" w14:textId="77777777" w:rsidR="00623980" w:rsidRDefault="00623980" w:rsidP="00AC5577">
      <w:pPr>
        <w:rPr>
          <w:rFonts w:ascii="Century Schoolbook" w:hAnsi="Century Schoolbook"/>
        </w:rPr>
      </w:pPr>
    </w:p>
    <w:p w14:paraId="102CCA6A" w14:textId="77777777" w:rsidR="00623980" w:rsidRDefault="00623980" w:rsidP="00AC5577">
      <w:pPr>
        <w:rPr>
          <w:rFonts w:ascii="Century Schoolbook" w:hAnsi="Century Schoolbook"/>
        </w:rPr>
      </w:pPr>
    </w:p>
    <w:p w14:paraId="215DEE05" w14:textId="77777777" w:rsidR="00623980" w:rsidRDefault="00623980" w:rsidP="00AC5577">
      <w:pPr>
        <w:rPr>
          <w:rFonts w:ascii="Century Schoolbook" w:hAnsi="Century Schoolbook"/>
        </w:rPr>
      </w:pPr>
    </w:p>
    <w:p w14:paraId="2B81016C" w14:textId="77777777" w:rsidR="00AC5577" w:rsidRPr="00A26378" w:rsidRDefault="00AC5577" w:rsidP="00AC5577">
      <w:pPr>
        <w:rPr>
          <w:rFonts w:ascii="Century Schoolbook" w:hAnsi="Century Schoolbook"/>
        </w:rPr>
      </w:pPr>
      <w:r w:rsidRPr="00A26378">
        <w:rPr>
          <w:rFonts w:ascii="Century Schoolbook" w:hAnsi="Century Schoolbook"/>
        </w:rPr>
        <w:t>Notified:</w:t>
      </w:r>
    </w:p>
    <w:p w14:paraId="0F204A47" w14:textId="77777777" w:rsidR="00AC5577" w:rsidRPr="00A26378" w:rsidRDefault="00AC5577" w:rsidP="00AC5577">
      <w:pPr>
        <w:rPr>
          <w:rFonts w:ascii="Century Schoolbook" w:hAnsi="Century Schoolbook"/>
        </w:rPr>
      </w:pPr>
    </w:p>
    <w:p w14:paraId="64CE488D" w14:textId="77777777" w:rsidR="00327D13" w:rsidRPr="00327D13" w:rsidRDefault="00AC5577" w:rsidP="00327D13">
      <w:pPr>
        <w:pStyle w:val="Heading3"/>
        <w:spacing w:line="240" w:lineRule="auto"/>
        <w:rPr>
          <w:rFonts w:ascii="Century Schoolbook" w:hAnsi="Century Schoolbook"/>
          <w:b/>
          <w:szCs w:val="24"/>
          <w:u w:val="single"/>
        </w:rPr>
      </w:pPr>
      <w:r w:rsidRPr="00327D13">
        <w:rPr>
          <w:rFonts w:ascii="Century Schoolbook" w:hAnsi="Century Schoolbook"/>
          <w:b/>
          <w:szCs w:val="24"/>
          <w:u w:val="single"/>
        </w:rPr>
        <w:lastRenderedPageBreak/>
        <w:t xml:space="preserve">VIA FIRST </w:t>
      </w:r>
      <w:r w:rsidR="00327D13" w:rsidRPr="00327D13">
        <w:rPr>
          <w:rFonts w:ascii="Century Schoolbook" w:hAnsi="Century Schoolbook"/>
          <w:b/>
          <w:szCs w:val="24"/>
          <w:u w:val="single"/>
        </w:rPr>
        <w:t>CLASS &amp; CERITIFIED MAIL NO. 7019 0700 0000 1846 4726,</w:t>
      </w:r>
    </w:p>
    <w:p w14:paraId="58C2435B" w14:textId="77777777" w:rsidR="00AC5577" w:rsidRPr="00327D13" w:rsidRDefault="00327D13" w:rsidP="00AC5577">
      <w:pPr>
        <w:rPr>
          <w:rFonts w:ascii="Century Schoolbook" w:hAnsi="Century Schoolbook"/>
          <w:b/>
          <w:u w:val="single"/>
        </w:rPr>
      </w:pPr>
      <w:r w:rsidRPr="00327D13">
        <w:rPr>
          <w:rFonts w:ascii="Century Schoolbook" w:hAnsi="Century Schoolbook"/>
          <w:b/>
          <w:u w:val="single"/>
        </w:rPr>
        <w:t>RETURN RECEIPT REQUESTED</w:t>
      </w:r>
    </w:p>
    <w:p w14:paraId="2F9ED6BF" w14:textId="77777777" w:rsidR="00AC5577" w:rsidRDefault="008B145A" w:rsidP="00AC5577">
      <w:pPr>
        <w:rPr>
          <w:rFonts w:ascii="Century Schoolbook" w:eastAsia="Arial" w:hAnsi="Century Schoolbook"/>
          <w:color w:val="000000"/>
        </w:rPr>
      </w:pPr>
      <w:r>
        <w:rPr>
          <w:rFonts w:ascii="Century Schoolbook" w:eastAsia="Arial" w:hAnsi="Century Schoolbook"/>
          <w:color w:val="000000"/>
        </w:rPr>
        <w:t>Paul M. Garbarini, PC</w:t>
      </w:r>
    </w:p>
    <w:p w14:paraId="7BA12B4F" w14:textId="77777777" w:rsidR="008B145A" w:rsidRDefault="008B145A" w:rsidP="00AC5577">
      <w:pPr>
        <w:rPr>
          <w:rFonts w:ascii="Century Schoolbook" w:eastAsia="Arial" w:hAnsi="Century Schoolbook"/>
          <w:color w:val="000000"/>
        </w:rPr>
      </w:pPr>
      <w:r>
        <w:rPr>
          <w:rFonts w:ascii="Century Schoolbook" w:eastAsia="Arial" w:hAnsi="Century Schoolbook"/>
          <w:color w:val="000000"/>
        </w:rPr>
        <w:t>Attorney at Law</w:t>
      </w:r>
    </w:p>
    <w:p w14:paraId="7107724D" w14:textId="77777777" w:rsidR="008B145A" w:rsidRDefault="008B145A" w:rsidP="00AC5577">
      <w:pPr>
        <w:rPr>
          <w:rFonts w:ascii="Century Schoolbook" w:eastAsia="Arial" w:hAnsi="Century Schoolbook"/>
          <w:color w:val="000000"/>
        </w:rPr>
      </w:pPr>
      <w:r>
        <w:rPr>
          <w:rFonts w:ascii="Century Schoolbook" w:eastAsia="Arial" w:hAnsi="Century Schoolbook"/>
          <w:color w:val="000000"/>
        </w:rPr>
        <w:t>PO Box 1551</w:t>
      </w:r>
    </w:p>
    <w:p w14:paraId="45B8F6DF" w14:textId="77777777" w:rsidR="008B145A" w:rsidRPr="00AC5577" w:rsidRDefault="008B145A" w:rsidP="00AC5577">
      <w:pPr>
        <w:rPr>
          <w:rFonts w:ascii="Century Schoolbook" w:eastAsia="Arial" w:hAnsi="Century Schoolbook"/>
          <w:color w:val="000000"/>
        </w:rPr>
      </w:pPr>
      <w:r>
        <w:rPr>
          <w:rFonts w:ascii="Century Schoolbook" w:eastAsia="Arial" w:hAnsi="Century Schoolbook"/>
          <w:color w:val="000000"/>
        </w:rPr>
        <w:t>Northampton, MA  01061</w:t>
      </w:r>
    </w:p>
    <w:p w14:paraId="63E3AF70" w14:textId="77777777" w:rsidR="00AC5577" w:rsidRPr="00A26378" w:rsidRDefault="00AC5577" w:rsidP="00AC5577">
      <w:pPr>
        <w:rPr>
          <w:rFonts w:ascii="Century Schoolbook" w:hAnsi="Century Schoolbook"/>
        </w:rPr>
      </w:pPr>
    </w:p>
    <w:p w14:paraId="30CE4124" w14:textId="77777777" w:rsidR="00AC5577" w:rsidRPr="00327D13" w:rsidRDefault="00AC5577" w:rsidP="00AC5577">
      <w:pPr>
        <w:pStyle w:val="Heading2"/>
        <w:spacing w:line="240" w:lineRule="auto"/>
        <w:rPr>
          <w:rFonts w:ascii="Century Schoolbook" w:hAnsi="Century Schoolbook"/>
          <w:b/>
          <w:szCs w:val="24"/>
        </w:rPr>
      </w:pPr>
      <w:r w:rsidRPr="00327D13">
        <w:rPr>
          <w:rFonts w:ascii="Century Schoolbook" w:hAnsi="Century Schoolbook"/>
          <w:b/>
          <w:szCs w:val="24"/>
        </w:rPr>
        <w:t>BY HAND DELIVERY</w:t>
      </w:r>
    </w:p>
    <w:p w14:paraId="73A5D9AB" w14:textId="77777777" w:rsidR="00AC5577" w:rsidRPr="00A26378" w:rsidRDefault="00AC5577" w:rsidP="00AC5577">
      <w:pPr>
        <w:rPr>
          <w:rFonts w:ascii="Century Schoolbook" w:hAnsi="Century Schoolbook" w:cs="Arial"/>
        </w:rPr>
      </w:pPr>
    </w:p>
    <w:p w14:paraId="3C9C5BEC" w14:textId="77777777" w:rsidR="00AC5577" w:rsidRDefault="00A73985" w:rsidP="00AC5577">
      <w:pPr>
        <w:rPr>
          <w:rFonts w:ascii="Century Schoolbook" w:eastAsia="Arial" w:hAnsi="Century Schoolbook"/>
          <w:color w:val="000000"/>
        </w:rPr>
      </w:pPr>
      <w:r>
        <w:rPr>
          <w:rFonts w:ascii="Century Schoolbook" w:eastAsia="Arial" w:hAnsi="Century Schoolbook"/>
          <w:color w:val="000000"/>
        </w:rPr>
        <w:t>Richard Banks</w:t>
      </w:r>
      <w:r w:rsidR="00AC5577">
        <w:rPr>
          <w:rFonts w:ascii="Century Schoolbook" w:eastAsia="Arial" w:hAnsi="Century Schoolbook"/>
          <w:color w:val="000000"/>
        </w:rPr>
        <w:t>, Esq.</w:t>
      </w:r>
    </w:p>
    <w:p w14:paraId="557F4EAA" w14:textId="77777777" w:rsidR="00AC5577" w:rsidRDefault="00AC5577" w:rsidP="00AC5577">
      <w:pPr>
        <w:rPr>
          <w:rFonts w:ascii="Century Schoolbook" w:eastAsia="Arial" w:hAnsi="Century Schoolbook"/>
          <w:color w:val="000000"/>
        </w:rPr>
      </w:pPr>
      <w:r>
        <w:rPr>
          <w:rFonts w:ascii="Century Schoolbook" w:eastAsia="Arial" w:hAnsi="Century Schoolbook"/>
          <w:color w:val="000000"/>
        </w:rPr>
        <w:t xml:space="preserve">Department of Public Health </w:t>
      </w:r>
    </w:p>
    <w:p w14:paraId="0FF9B91C" w14:textId="77777777" w:rsidR="00AC5577" w:rsidRDefault="00AC5577" w:rsidP="00AC5577">
      <w:pPr>
        <w:rPr>
          <w:rFonts w:ascii="Century Schoolbook" w:eastAsia="Arial" w:hAnsi="Century Schoolbook"/>
          <w:color w:val="000000"/>
        </w:rPr>
      </w:pPr>
      <w:r>
        <w:rPr>
          <w:rFonts w:ascii="Century Schoolbook" w:eastAsia="Arial" w:hAnsi="Century Schoolbook"/>
          <w:color w:val="000000"/>
        </w:rPr>
        <w:t>Office of General Counsel</w:t>
      </w:r>
    </w:p>
    <w:p w14:paraId="7A3F297B" w14:textId="77777777" w:rsidR="00AC5577" w:rsidRDefault="00AC5577" w:rsidP="00AC5577">
      <w:pPr>
        <w:rPr>
          <w:rFonts w:ascii="Century Schoolbook" w:eastAsia="Arial" w:hAnsi="Century Schoolbook"/>
          <w:color w:val="000000"/>
        </w:rPr>
      </w:pPr>
      <w:r>
        <w:rPr>
          <w:rFonts w:ascii="Century Schoolbook" w:eastAsia="Arial" w:hAnsi="Century Schoolbook"/>
          <w:color w:val="000000"/>
        </w:rPr>
        <w:t>250 Washington Street, 7</w:t>
      </w:r>
      <w:r w:rsidRPr="00AC5577">
        <w:rPr>
          <w:rFonts w:ascii="Century Schoolbook" w:eastAsia="Arial" w:hAnsi="Century Schoolbook"/>
          <w:color w:val="000000"/>
          <w:vertAlign w:val="superscript"/>
        </w:rPr>
        <w:t>th</w:t>
      </w:r>
      <w:r>
        <w:rPr>
          <w:rFonts w:ascii="Century Schoolbook" w:eastAsia="Arial" w:hAnsi="Century Schoolbook"/>
          <w:color w:val="000000"/>
        </w:rPr>
        <w:t xml:space="preserve"> Floor</w:t>
      </w:r>
    </w:p>
    <w:p w14:paraId="64274A5E" w14:textId="77777777" w:rsidR="00AC5577" w:rsidRDefault="00AC5577" w:rsidP="00AC5577">
      <w:pPr>
        <w:rPr>
          <w:rFonts w:ascii="Century Schoolbook" w:eastAsia="Arial" w:hAnsi="Century Schoolbook"/>
          <w:color w:val="000000"/>
        </w:rPr>
      </w:pPr>
      <w:r>
        <w:rPr>
          <w:rFonts w:ascii="Century Schoolbook" w:eastAsia="Arial" w:hAnsi="Century Schoolbook"/>
          <w:color w:val="000000"/>
        </w:rPr>
        <w:t>Boston, MA  02108</w:t>
      </w:r>
    </w:p>
    <w:p w14:paraId="525CED8F" w14:textId="77777777" w:rsidR="00623980" w:rsidRDefault="00623980" w:rsidP="00AC5577">
      <w:pPr>
        <w:rPr>
          <w:rFonts w:ascii="Century Schoolbook" w:eastAsia="Arial" w:hAnsi="Century Schoolbook"/>
          <w:color w:val="000000"/>
        </w:rPr>
      </w:pPr>
    </w:p>
    <w:p w14:paraId="521278FD" w14:textId="77777777" w:rsidR="00AC5577" w:rsidRDefault="00AC5577" w:rsidP="00AC5577">
      <w:pPr>
        <w:rPr>
          <w:rFonts w:ascii="Century Schoolbook" w:eastAsia="Arial" w:hAnsi="Century Schoolbook"/>
          <w:color w:val="000000"/>
        </w:rPr>
      </w:pPr>
      <w:r>
        <w:rPr>
          <w:rFonts w:ascii="Century Schoolbook" w:eastAsia="Arial" w:hAnsi="Century Schoolbook"/>
          <w:color w:val="000000"/>
        </w:rPr>
        <w:t>Jason Barshak, Esq.</w:t>
      </w:r>
    </w:p>
    <w:p w14:paraId="29B86D49" w14:textId="77777777" w:rsidR="00AC5577" w:rsidRDefault="00AC5577" w:rsidP="00AC5577">
      <w:pPr>
        <w:rPr>
          <w:rFonts w:ascii="Century Schoolbook" w:eastAsia="Arial" w:hAnsi="Century Schoolbook"/>
          <w:color w:val="000000"/>
        </w:rPr>
      </w:pPr>
      <w:r>
        <w:rPr>
          <w:rFonts w:ascii="Century Schoolbook" w:eastAsia="Arial" w:hAnsi="Century Schoolbook"/>
          <w:color w:val="000000"/>
        </w:rPr>
        <w:t>Chief Administrative Magistrate</w:t>
      </w:r>
    </w:p>
    <w:p w14:paraId="23454829" w14:textId="77777777" w:rsidR="00AC5577" w:rsidRDefault="00AC5577" w:rsidP="00AC5577">
      <w:pPr>
        <w:rPr>
          <w:rFonts w:ascii="Century Schoolbook" w:eastAsia="Arial" w:hAnsi="Century Schoolbook"/>
          <w:color w:val="000000"/>
        </w:rPr>
      </w:pPr>
      <w:r>
        <w:rPr>
          <w:rFonts w:ascii="Century Schoolbook" w:eastAsia="Arial" w:hAnsi="Century Schoolbook"/>
          <w:color w:val="000000"/>
        </w:rPr>
        <w:t>Department of Public Health</w:t>
      </w:r>
    </w:p>
    <w:p w14:paraId="33EE210A" w14:textId="77777777" w:rsidR="00AC5577" w:rsidRDefault="00AC5577" w:rsidP="00AC5577">
      <w:pPr>
        <w:rPr>
          <w:rFonts w:ascii="Century Schoolbook" w:eastAsia="Arial" w:hAnsi="Century Schoolbook"/>
          <w:color w:val="000000"/>
        </w:rPr>
      </w:pPr>
      <w:r>
        <w:rPr>
          <w:rFonts w:ascii="Century Schoolbook" w:eastAsia="Arial" w:hAnsi="Century Schoolbook"/>
          <w:color w:val="000000"/>
        </w:rPr>
        <w:t>Office of the General Counsel</w:t>
      </w:r>
    </w:p>
    <w:p w14:paraId="517655CC" w14:textId="77777777" w:rsidR="00AC5577" w:rsidRDefault="00AC5577" w:rsidP="00AC5577">
      <w:pPr>
        <w:rPr>
          <w:rFonts w:ascii="Century Schoolbook" w:eastAsia="Arial" w:hAnsi="Century Schoolbook"/>
          <w:color w:val="000000"/>
        </w:rPr>
      </w:pPr>
      <w:r>
        <w:rPr>
          <w:rFonts w:ascii="Century Schoolbook" w:eastAsia="Arial" w:hAnsi="Century Schoolbook"/>
          <w:color w:val="000000"/>
        </w:rPr>
        <w:t>250 Washington Street, 2</w:t>
      </w:r>
      <w:r w:rsidRPr="00AC5577">
        <w:rPr>
          <w:rFonts w:ascii="Century Schoolbook" w:eastAsia="Arial" w:hAnsi="Century Schoolbook"/>
          <w:color w:val="000000"/>
          <w:vertAlign w:val="superscript"/>
        </w:rPr>
        <w:t>nd</w:t>
      </w:r>
      <w:r>
        <w:rPr>
          <w:rFonts w:ascii="Century Schoolbook" w:eastAsia="Arial" w:hAnsi="Century Schoolbook"/>
          <w:color w:val="000000"/>
        </w:rPr>
        <w:t xml:space="preserve"> Floor</w:t>
      </w:r>
    </w:p>
    <w:p w14:paraId="43C652CB" w14:textId="32BF260C" w:rsidR="00AC5577" w:rsidRDefault="00AC5577" w:rsidP="00AC5577">
      <w:pPr>
        <w:rPr>
          <w:rFonts w:ascii="Century Schoolbook" w:eastAsia="Arial" w:hAnsi="Century Schoolbook"/>
          <w:color w:val="000000"/>
        </w:rPr>
      </w:pPr>
      <w:r>
        <w:rPr>
          <w:rFonts w:ascii="Century Schoolbook" w:eastAsia="Arial" w:hAnsi="Century Schoolbook"/>
          <w:color w:val="000000"/>
        </w:rPr>
        <w:t>Boston, MA  02108</w:t>
      </w:r>
    </w:p>
    <w:p w14:paraId="6A235972" w14:textId="692B685E" w:rsidR="008C3DBF" w:rsidRDefault="008C3DBF" w:rsidP="00AC5577">
      <w:pPr>
        <w:rPr>
          <w:rFonts w:ascii="Century Schoolbook" w:eastAsia="Arial" w:hAnsi="Century Schoolbook"/>
          <w:color w:val="000000"/>
        </w:rPr>
      </w:pPr>
    </w:p>
    <w:p w14:paraId="414FC4F3" w14:textId="2C438036" w:rsidR="008C3DBF" w:rsidRDefault="008C3DBF" w:rsidP="00AC5577">
      <w:pPr>
        <w:rPr>
          <w:rFonts w:ascii="Century Schoolbook" w:eastAsia="Arial" w:hAnsi="Century Schoolbook"/>
          <w:color w:val="000000"/>
        </w:rPr>
      </w:pPr>
    </w:p>
    <w:p w14:paraId="349A5A9B" w14:textId="2092AE9F" w:rsidR="008C3DBF" w:rsidRDefault="008C3DBF" w:rsidP="00AC5577">
      <w:pPr>
        <w:rPr>
          <w:rFonts w:ascii="Century Schoolbook" w:eastAsia="Arial" w:hAnsi="Century Schoolbook"/>
          <w:color w:val="000000"/>
        </w:rPr>
      </w:pPr>
    </w:p>
    <w:p w14:paraId="3641DA16" w14:textId="17584D0B" w:rsidR="008C3DBF" w:rsidRDefault="008C3DBF" w:rsidP="00AC5577">
      <w:pPr>
        <w:rPr>
          <w:rFonts w:ascii="Century Schoolbook" w:eastAsia="Arial" w:hAnsi="Century Schoolbook"/>
          <w:color w:val="000000"/>
        </w:rPr>
      </w:pPr>
    </w:p>
    <w:p w14:paraId="31906AAD" w14:textId="0C5933DC" w:rsidR="008C3DBF" w:rsidRDefault="008C3DBF" w:rsidP="00AC5577">
      <w:pPr>
        <w:rPr>
          <w:rFonts w:ascii="Century Schoolbook" w:eastAsia="Arial" w:hAnsi="Century Schoolbook"/>
          <w:color w:val="000000"/>
        </w:rPr>
      </w:pPr>
    </w:p>
    <w:p w14:paraId="55273D90" w14:textId="5D719175" w:rsidR="008C3DBF" w:rsidRDefault="008C3DBF" w:rsidP="00AC5577">
      <w:pPr>
        <w:rPr>
          <w:rFonts w:ascii="Century Schoolbook" w:eastAsia="Arial" w:hAnsi="Century Schoolbook"/>
          <w:color w:val="000000"/>
        </w:rPr>
      </w:pPr>
    </w:p>
    <w:p w14:paraId="68E60EAB" w14:textId="5CCD95CE" w:rsidR="008C3DBF" w:rsidRDefault="008C3DBF" w:rsidP="00AC5577">
      <w:pPr>
        <w:rPr>
          <w:rFonts w:ascii="Century Schoolbook" w:eastAsia="Arial" w:hAnsi="Century Schoolbook"/>
          <w:color w:val="000000"/>
        </w:rPr>
      </w:pPr>
    </w:p>
    <w:p w14:paraId="55F8D7F3" w14:textId="4681767E" w:rsidR="008C3DBF" w:rsidRDefault="008C3DBF" w:rsidP="00AC5577">
      <w:pPr>
        <w:rPr>
          <w:rFonts w:ascii="Century Schoolbook" w:eastAsia="Arial" w:hAnsi="Century Schoolbook"/>
          <w:color w:val="000000"/>
        </w:rPr>
      </w:pPr>
    </w:p>
    <w:p w14:paraId="6FABAB38" w14:textId="27D46F51" w:rsidR="008C3DBF" w:rsidRDefault="008C3DBF" w:rsidP="00AC5577">
      <w:pPr>
        <w:rPr>
          <w:rFonts w:ascii="Century Schoolbook" w:eastAsia="Arial" w:hAnsi="Century Schoolbook"/>
          <w:color w:val="000000"/>
        </w:rPr>
      </w:pPr>
    </w:p>
    <w:p w14:paraId="1BBF4687" w14:textId="14016331" w:rsidR="008C3DBF" w:rsidRDefault="008C3DBF" w:rsidP="00AC5577">
      <w:pPr>
        <w:rPr>
          <w:rFonts w:ascii="Century Schoolbook" w:eastAsia="Arial" w:hAnsi="Century Schoolbook"/>
          <w:color w:val="000000"/>
        </w:rPr>
      </w:pPr>
    </w:p>
    <w:p w14:paraId="1447007B" w14:textId="02EA3293" w:rsidR="008C3DBF" w:rsidRDefault="008C3DBF" w:rsidP="00AC5577">
      <w:pPr>
        <w:rPr>
          <w:rFonts w:ascii="Century Schoolbook" w:eastAsia="Arial" w:hAnsi="Century Schoolbook"/>
          <w:color w:val="000000"/>
        </w:rPr>
      </w:pPr>
    </w:p>
    <w:p w14:paraId="6DA2D43E" w14:textId="1AB53A20" w:rsidR="008C3DBF" w:rsidRDefault="008C3DBF" w:rsidP="00AC5577">
      <w:pPr>
        <w:rPr>
          <w:rFonts w:ascii="Century Schoolbook" w:eastAsia="Arial" w:hAnsi="Century Schoolbook"/>
          <w:color w:val="000000"/>
        </w:rPr>
      </w:pPr>
    </w:p>
    <w:p w14:paraId="3583A1E3" w14:textId="15E64727" w:rsidR="008C3DBF" w:rsidRDefault="008C3DBF" w:rsidP="00AC5577">
      <w:pPr>
        <w:rPr>
          <w:rFonts w:ascii="Century Schoolbook" w:eastAsia="Arial" w:hAnsi="Century Schoolbook"/>
          <w:color w:val="000000"/>
        </w:rPr>
      </w:pPr>
    </w:p>
    <w:p w14:paraId="3E4453CC" w14:textId="5E4F8E87" w:rsidR="008C3DBF" w:rsidRDefault="008C3DBF" w:rsidP="00AC5577">
      <w:pPr>
        <w:rPr>
          <w:rFonts w:ascii="Century Schoolbook" w:eastAsia="Arial" w:hAnsi="Century Schoolbook"/>
          <w:color w:val="000000"/>
        </w:rPr>
      </w:pPr>
    </w:p>
    <w:p w14:paraId="2D1BAD95" w14:textId="19DEED1F" w:rsidR="008C3DBF" w:rsidRDefault="008C3DBF" w:rsidP="00AC5577">
      <w:pPr>
        <w:rPr>
          <w:rFonts w:ascii="Century Schoolbook" w:eastAsia="Arial" w:hAnsi="Century Schoolbook"/>
          <w:color w:val="000000"/>
        </w:rPr>
      </w:pPr>
    </w:p>
    <w:p w14:paraId="183B7663" w14:textId="3C396950" w:rsidR="008C3DBF" w:rsidRDefault="008C3DBF" w:rsidP="00AC5577">
      <w:pPr>
        <w:rPr>
          <w:rFonts w:ascii="Century Schoolbook" w:eastAsia="Arial" w:hAnsi="Century Schoolbook"/>
          <w:color w:val="000000"/>
        </w:rPr>
      </w:pPr>
    </w:p>
    <w:p w14:paraId="018A087E" w14:textId="277488DD" w:rsidR="008C3DBF" w:rsidRDefault="008C3DBF" w:rsidP="00AC5577">
      <w:pPr>
        <w:rPr>
          <w:rFonts w:ascii="Century Schoolbook" w:eastAsia="Arial" w:hAnsi="Century Schoolbook"/>
          <w:color w:val="000000"/>
        </w:rPr>
      </w:pPr>
    </w:p>
    <w:p w14:paraId="3CB35DE1" w14:textId="48254CAE" w:rsidR="008C3DBF" w:rsidRDefault="008C3DBF" w:rsidP="00AC5577">
      <w:pPr>
        <w:rPr>
          <w:rFonts w:ascii="Century Schoolbook" w:eastAsia="Arial" w:hAnsi="Century Schoolbook"/>
          <w:color w:val="000000"/>
        </w:rPr>
      </w:pPr>
    </w:p>
    <w:p w14:paraId="59FB7964" w14:textId="1F6CC46D" w:rsidR="008C3DBF" w:rsidRDefault="008C3DBF" w:rsidP="00AC5577">
      <w:pPr>
        <w:rPr>
          <w:rFonts w:ascii="Century Schoolbook" w:eastAsia="Arial" w:hAnsi="Century Schoolbook"/>
          <w:color w:val="000000"/>
        </w:rPr>
      </w:pPr>
    </w:p>
    <w:p w14:paraId="2AB84DEF" w14:textId="7B929679" w:rsidR="008C3DBF" w:rsidRDefault="008C3DBF" w:rsidP="00AC5577">
      <w:pPr>
        <w:rPr>
          <w:rFonts w:ascii="Century Schoolbook" w:eastAsia="Arial" w:hAnsi="Century Schoolbook"/>
          <w:color w:val="000000"/>
        </w:rPr>
      </w:pPr>
    </w:p>
    <w:p w14:paraId="41A39931" w14:textId="3C38C2BE" w:rsidR="008C3DBF" w:rsidRDefault="008C3DBF" w:rsidP="00AC5577">
      <w:pPr>
        <w:rPr>
          <w:rFonts w:ascii="Century Schoolbook" w:eastAsia="Arial" w:hAnsi="Century Schoolbook"/>
          <w:color w:val="000000"/>
        </w:rPr>
      </w:pPr>
    </w:p>
    <w:p w14:paraId="7709F08E" w14:textId="535E5CD0" w:rsidR="008C3DBF" w:rsidRDefault="008C3DBF" w:rsidP="00AC5577">
      <w:pPr>
        <w:rPr>
          <w:rFonts w:ascii="Century Schoolbook" w:eastAsia="Arial" w:hAnsi="Century Schoolbook"/>
          <w:color w:val="000000"/>
        </w:rPr>
      </w:pPr>
    </w:p>
    <w:p w14:paraId="4824B3B5" w14:textId="77777777" w:rsidR="008C3DBF" w:rsidRPr="00B72DE6" w:rsidRDefault="008C3DBF" w:rsidP="008C3DBF">
      <w:pPr>
        <w:pStyle w:val="Heading3"/>
        <w:jc w:val="center"/>
        <w:rPr>
          <w:rFonts w:ascii="Times New Roman" w:hAnsi="Times New Roman"/>
          <w:b/>
          <w:szCs w:val="24"/>
        </w:rPr>
      </w:pPr>
      <w:smartTag w:uri="urn:schemas-microsoft-com:office:smarttags" w:element="place">
        <w:smartTag w:uri="urn:schemas-microsoft-com:office:smarttags" w:element="PlaceType">
          <w:r w:rsidRPr="00B72DE6">
            <w:rPr>
              <w:rFonts w:ascii="Times New Roman" w:hAnsi="Times New Roman"/>
              <w:b/>
              <w:szCs w:val="24"/>
            </w:rPr>
            <w:lastRenderedPageBreak/>
            <w:t>COMMONWEALTH</w:t>
          </w:r>
        </w:smartTag>
        <w:r w:rsidRPr="00B72DE6">
          <w:rPr>
            <w:rFonts w:ascii="Times New Roman" w:hAnsi="Times New Roman"/>
            <w:b/>
            <w:szCs w:val="24"/>
          </w:rPr>
          <w:t xml:space="preserve"> OF </w:t>
        </w:r>
        <w:smartTag w:uri="urn:schemas-microsoft-com:office:smarttags" w:element="PlaceName">
          <w:r w:rsidRPr="00B72DE6">
            <w:rPr>
              <w:rFonts w:ascii="Times New Roman" w:hAnsi="Times New Roman"/>
              <w:b/>
              <w:szCs w:val="24"/>
            </w:rPr>
            <w:t>MASSACHUSETTS</w:t>
          </w:r>
        </w:smartTag>
      </w:smartTag>
    </w:p>
    <w:p w14:paraId="430F0371" w14:textId="77777777" w:rsidR="008C3DBF" w:rsidRPr="00B72DE6" w:rsidRDefault="008C3DBF" w:rsidP="008C3DBF">
      <w:pPr>
        <w:pStyle w:val="Footer"/>
        <w:spacing w:line="120" w:lineRule="auto"/>
        <w:rPr>
          <w:szCs w:val="24"/>
        </w:rPr>
      </w:pPr>
    </w:p>
    <w:p w14:paraId="3203D3FA" w14:textId="77777777" w:rsidR="008C3DBF" w:rsidRPr="00B72DE6" w:rsidRDefault="008C3DBF" w:rsidP="008C3DBF">
      <w:pPr>
        <w:pStyle w:val="Heading1"/>
        <w:rPr>
          <w:b/>
          <w:szCs w:val="24"/>
        </w:rPr>
      </w:pPr>
      <w:r w:rsidRPr="00B72DE6">
        <w:rPr>
          <w:b/>
          <w:szCs w:val="24"/>
        </w:rPr>
        <w:t>SUFFOLK COUNTY</w:t>
      </w:r>
      <w:r w:rsidRPr="00B72DE6">
        <w:rPr>
          <w:b/>
          <w:szCs w:val="24"/>
        </w:rPr>
        <w:tab/>
      </w:r>
      <w:r w:rsidRPr="00B72DE6">
        <w:rPr>
          <w:b/>
          <w:szCs w:val="24"/>
        </w:rPr>
        <w:tab/>
      </w:r>
      <w:r w:rsidRPr="00B72DE6">
        <w:rPr>
          <w:b/>
          <w:szCs w:val="24"/>
        </w:rPr>
        <w:tab/>
      </w:r>
      <w:r w:rsidRPr="00B72DE6">
        <w:rPr>
          <w:b/>
          <w:szCs w:val="24"/>
        </w:rPr>
        <w:tab/>
      </w:r>
      <w:r w:rsidRPr="00B72DE6">
        <w:rPr>
          <w:b/>
          <w:szCs w:val="24"/>
        </w:rPr>
        <w:tab/>
      </w:r>
      <w:r>
        <w:rPr>
          <w:b/>
          <w:szCs w:val="24"/>
        </w:rPr>
        <w:tab/>
      </w:r>
      <w:r w:rsidRPr="00B72DE6">
        <w:rPr>
          <w:b/>
          <w:szCs w:val="24"/>
        </w:rPr>
        <w:t xml:space="preserve">BOARD OF REGISTRATION </w:t>
      </w:r>
    </w:p>
    <w:p w14:paraId="57E7F410" w14:textId="77777777" w:rsidR="008C3DBF" w:rsidRPr="00B72DE6" w:rsidRDefault="008C3DBF" w:rsidP="008C3DBF">
      <w:pPr>
        <w:rPr>
          <w:szCs w:val="24"/>
        </w:rPr>
      </w:pPr>
      <w:r w:rsidRPr="00B72DE6">
        <w:rPr>
          <w:szCs w:val="24"/>
        </w:rPr>
        <w:tab/>
      </w:r>
      <w:r w:rsidRPr="00B72DE6">
        <w:rPr>
          <w:szCs w:val="24"/>
        </w:rPr>
        <w:tab/>
      </w:r>
      <w:r w:rsidRPr="00B72DE6">
        <w:rPr>
          <w:szCs w:val="24"/>
        </w:rPr>
        <w:tab/>
      </w:r>
      <w:r w:rsidRPr="00B72DE6">
        <w:rPr>
          <w:szCs w:val="24"/>
        </w:rPr>
        <w:tab/>
      </w:r>
      <w:r w:rsidRPr="00B72DE6">
        <w:rPr>
          <w:szCs w:val="24"/>
        </w:rPr>
        <w:tab/>
      </w:r>
      <w:r w:rsidRPr="00B72DE6">
        <w:rPr>
          <w:szCs w:val="24"/>
        </w:rPr>
        <w:tab/>
      </w:r>
      <w:r w:rsidRPr="00B72DE6">
        <w:rPr>
          <w:szCs w:val="24"/>
        </w:rPr>
        <w:tab/>
      </w:r>
      <w:r>
        <w:rPr>
          <w:szCs w:val="24"/>
        </w:rPr>
        <w:tab/>
      </w:r>
      <w:r w:rsidRPr="00B72DE6">
        <w:rPr>
          <w:szCs w:val="24"/>
        </w:rPr>
        <w:t>IN PHARMACY</w:t>
      </w:r>
    </w:p>
    <w:p w14:paraId="788AE645" w14:textId="77777777" w:rsidR="008C3DBF" w:rsidRDefault="008C3DBF" w:rsidP="008C3DBF">
      <w:pPr>
        <w:rPr>
          <w:szCs w:val="24"/>
        </w:rPr>
      </w:pPr>
    </w:p>
    <w:p w14:paraId="03B0EAD1" w14:textId="77777777" w:rsidR="008C3DBF" w:rsidRPr="00B72DE6" w:rsidRDefault="008C3DBF" w:rsidP="008C3DBF">
      <w:pPr>
        <w:rPr>
          <w:szCs w:val="24"/>
        </w:rPr>
      </w:pPr>
    </w:p>
    <w:p w14:paraId="352D103E" w14:textId="77777777" w:rsidR="008C3DBF" w:rsidRPr="00B72DE6" w:rsidRDefault="008C3DBF" w:rsidP="008C3DBF">
      <w:pPr>
        <w:pStyle w:val="Footer"/>
        <w:rPr>
          <w:szCs w:val="24"/>
        </w:rPr>
      </w:pPr>
      <w:r>
        <w:rPr>
          <w:szCs w:val="24"/>
        </w:rPr>
        <w:t>______</w:t>
      </w:r>
      <w:r w:rsidRPr="00B72DE6">
        <w:rPr>
          <w:szCs w:val="24"/>
        </w:rPr>
        <w:t>____________________________________</w:t>
      </w:r>
    </w:p>
    <w:p w14:paraId="1CD4FCD5" w14:textId="77777777" w:rsidR="008C3DBF" w:rsidRPr="00B72DE6" w:rsidRDefault="008C3DBF" w:rsidP="008C3DBF">
      <w:pPr>
        <w:pStyle w:val="BodyText"/>
        <w:spacing w:after="0"/>
        <w:rPr>
          <w:szCs w:val="24"/>
        </w:rPr>
      </w:pPr>
      <w:r w:rsidRPr="00B72DE6">
        <w:rPr>
          <w:szCs w:val="24"/>
        </w:rPr>
        <w:tab/>
      </w:r>
      <w:r w:rsidRPr="00B72DE6">
        <w:rPr>
          <w:szCs w:val="24"/>
        </w:rPr>
        <w:tab/>
      </w:r>
      <w:r w:rsidRPr="00B72DE6">
        <w:rPr>
          <w:szCs w:val="24"/>
        </w:rPr>
        <w:tab/>
      </w:r>
      <w:r w:rsidRPr="00B72DE6">
        <w:rPr>
          <w:szCs w:val="24"/>
        </w:rPr>
        <w:tab/>
      </w:r>
      <w:r>
        <w:rPr>
          <w:szCs w:val="24"/>
        </w:rPr>
        <w:tab/>
      </w:r>
      <w:r w:rsidRPr="00B72DE6">
        <w:rPr>
          <w:szCs w:val="24"/>
        </w:rPr>
        <w:tab/>
      </w:r>
      <w:r w:rsidRPr="00B72DE6">
        <w:rPr>
          <w:szCs w:val="24"/>
        </w:rPr>
        <w:tab/>
        <w:t>)</w:t>
      </w:r>
    </w:p>
    <w:p w14:paraId="31F436D8" w14:textId="77777777" w:rsidR="008C3DBF" w:rsidRPr="00B72DE6" w:rsidRDefault="008C3DBF" w:rsidP="008C3DBF">
      <w:pPr>
        <w:pStyle w:val="BodyText"/>
        <w:spacing w:after="0"/>
        <w:rPr>
          <w:szCs w:val="24"/>
        </w:rPr>
      </w:pPr>
      <w:r w:rsidRPr="00B72DE6">
        <w:rPr>
          <w:szCs w:val="24"/>
        </w:rPr>
        <w:t>In the Matter of</w:t>
      </w:r>
      <w:r w:rsidRPr="00B72DE6">
        <w:rPr>
          <w:szCs w:val="24"/>
        </w:rPr>
        <w:tab/>
      </w:r>
      <w:r>
        <w:rPr>
          <w:szCs w:val="24"/>
        </w:rPr>
        <w:tab/>
      </w:r>
      <w:r w:rsidRPr="00B72DE6">
        <w:rPr>
          <w:szCs w:val="24"/>
        </w:rPr>
        <w:tab/>
      </w:r>
      <w:r w:rsidRPr="00B72DE6">
        <w:rPr>
          <w:szCs w:val="24"/>
        </w:rPr>
        <w:tab/>
      </w:r>
      <w:r w:rsidRPr="00B72DE6">
        <w:rPr>
          <w:szCs w:val="24"/>
        </w:rPr>
        <w:tab/>
        <w:t>)</w:t>
      </w:r>
    </w:p>
    <w:p w14:paraId="00E8D08B" w14:textId="77777777" w:rsidR="008C3DBF" w:rsidRPr="00B72DE6" w:rsidRDefault="008C3DBF" w:rsidP="008C3DBF">
      <w:pPr>
        <w:rPr>
          <w:szCs w:val="24"/>
        </w:rPr>
      </w:pPr>
      <w:r>
        <w:rPr>
          <w:szCs w:val="24"/>
        </w:rPr>
        <w:t>CONLEY’S DRUG STORE</w:t>
      </w:r>
      <w:r>
        <w:rPr>
          <w:szCs w:val="24"/>
        </w:rPr>
        <w:tab/>
      </w:r>
      <w:r>
        <w:rPr>
          <w:szCs w:val="24"/>
        </w:rPr>
        <w:tab/>
      </w:r>
      <w:r>
        <w:rPr>
          <w:szCs w:val="24"/>
        </w:rPr>
        <w:tab/>
      </w:r>
      <w:r>
        <w:rPr>
          <w:szCs w:val="24"/>
        </w:rPr>
        <w:tab/>
      </w:r>
      <w:r w:rsidRPr="00B72DE6">
        <w:rPr>
          <w:szCs w:val="24"/>
        </w:rPr>
        <w:t>)</w:t>
      </w:r>
    </w:p>
    <w:p w14:paraId="7E951053" w14:textId="77777777" w:rsidR="008C3DBF" w:rsidRPr="00B72DE6" w:rsidRDefault="008C3DBF" w:rsidP="008C3DBF">
      <w:pPr>
        <w:rPr>
          <w:szCs w:val="24"/>
        </w:rPr>
      </w:pPr>
      <w:r>
        <w:rPr>
          <w:szCs w:val="24"/>
        </w:rPr>
        <w:tab/>
      </w:r>
      <w:r>
        <w:rPr>
          <w:szCs w:val="24"/>
        </w:rPr>
        <w:tab/>
      </w:r>
      <w:r>
        <w:rPr>
          <w:szCs w:val="24"/>
        </w:rPr>
        <w:tab/>
      </w:r>
      <w:r>
        <w:rPr>
          <w:szCs w:val="24"/>
        </w:rPr>
        <w:tab/>
      </w:r>
      <w:r>
        <w:rPr>
          <w:szCs w:val="24"/>
        </w:rPr>
        <w:tab/>
      </w:r>
      <w:r>
        <w:rPr>
          <w:szCs w:val="24"/>
        </w:rPr>
        <w:tab/>
      </w:r>
      <w:r>
        <w:rPr>
          <w:szCs w:val="24"/>
        </w:rPr>
        <w:tab/>
        <w:t>)</w:t>
      </w:r>
      <w:r>
        <w:rPr>
          <w:szCs w:val="24"/>
        </w:rPr>
        <w:tab/>
      </w:r>
      <w:r w:rsidRPr="00B72DE6">
        <w:rPr>
          <w:szCs w:val="24"/>
        </w:rPr>
        <w:t xml:space="preserve">Docket No. </w:t>
      </w:r>
      <w:r w:rsidRPr="00B72DE6">
        <w:rPr>
          <w:szCs w:val="24"/>
        </w:rPr>
        <w:tab/>
      </w:r>
      <w:r>
        <w:rPr>
          <w:szCs w:val="24"/>
        </w:rPr>
        <w:t>PHA-2016-0188</w:t>
      </w:r>
    </w:p>
    <w:p w14:paraId="37A04A52" w14:textId="77777777" w:rsidR="008C3DBF" w:rsidRPr="00B72DE6" w:rsidRDefault="008C3DBF" w:rsidP="008C3DBF">
      <w:pPr>
        <w:rPr>
          <w:szCs w:val="24"/>
        </w:rPr>
      </w:pPr>
      <w:r>
        <w:rPr>
          <w:szCs w:val="24"/>
        </w:rPr>
        <w:t>DS No. 2654</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r>
    </w:p>
    <w:p w14:paraId="1B500F12" w14:textId="77777777" w:rsidR="008C3DBF" w:rsidRPr="00B72DE6" w:rsidRDefault="008C3DBF" w:rsidP="008C3DBF">
      <w:pPr>
        <w:rPr>
          <w:szCs w:val="24"/>
        </w:rPr>
      </w:pPr>
      <w:r>
        <w:rPr>
          <w:szCs w:val="24"/>
        </w:rPr>
        <w:t xml:space="preserve">Registration </w:t>
      </w:r>
      <w:r w:rsidRPr="00B72DE6">
        <w:rPr>
          <w:szCs w:val="24"/>
        </w:rPr>
        <w:t>expire</w:t>
      </w:r>
      <w:r>
        <w:rPr>
          <w:szCs w:val="24"/>
        </w:rPr>
        <w:t xml:space="preserve">s </w:t>
      </w:r>
      <w:r w:rsidRPr="00B72DE6">
        <w:rPr>
          <w:szCs w:val="24"/>
        </w:rPr>
        <w:t>12/31/</w:t>
      </w:r>
      <w:r>
        <w:rPr>
          <w:szCs w:val="24"/>
        </w:rPr>
        <w:t>19</w:t>
      </w:r>
      <w:r>
        <w:rPr>
          <w:szCs w:val="24"/>
        </w:rPr>
        <w:tab/>
      </w:r>
      <w:r w:rsidRPr="00B72DE6">
        <w:rPr>
          <w:szCs w:val="24"/>
        </w:rPr>
        <w:tab/>
      </w:r>
      <w:r w:rsidRPr="00B72DE6">
        <w:rPr>
          <w:szCs w:val="24"/>
        </w:rPr>
        <w:tab/>
      </w:r>
      <w:r w:rsidRPr="00B72DE6">
        <w:rPr>
          <w:szCs w:val="24"/>
        </w:rPr>
        <w:tab/>
        <w:t>)</w:t>
      </w:r>
      <w:r w:rsidRPr="00B72DE6">
        <w:rPr>
          <w:szCs w:val="24"/>
        </w:rPr>
        <w:tab/>
      </w:r>
    </w:p>
    <w:p w14:paraId="695EF2DD" w14:textId="77777777" w:rsidR="008C3DBF" w:rsidRPr="00B72DE6" w:rsidRDefault="008C3DBF" w:rsidP="008C3DBF">
      <w:pPr>
        <w:rPr>
          <w:szCs w:val="24"/>
        </w:rPr>
      </w:pPr>
      <w:r w:rsidRPr="00B72DE6">
        <w:rPr>
          <w:szCs w:val="24"/>
          <w:u w:val="single"/>
        </w:rPr>
        <w:tab/>
      </w:r>
      <w:r w:rsidRPr="00B72DE6">
        <w:rPr>
          <w:szCs w:val="24"/>
          <w:u w:val="single"/>
        </w:rPr>
        <w:tab/>
      </w:r>
      <w:r w:rsidRPr="00B72DE6">
        <w:rPr>
          <w:szCs w:val="24"/>
          <w:u w:val="single"/>
        </w:rPr>
        <w:tab/>
      </w:r>
      <w:r w:rsidRPr="00B72DE6">
        <w:rPr>
          <w:szCs w:val="24"/>
          <w:u w:val="single"/>
        </w:rPr>
        <w:tab/>
      </w:r>
      <w:r>
        <w:rPr>
          <w:szCs w:val="24"/>
          <w:u w:val="single"/>
        </w:rPr>
        <w:tab/>
      </w:r>
      <w:r w:rsidRPr="00B72DE6">
        <w:rPr>
          <w:szCs w:val="24"/>
          <w:u w:val="single"/>
        </w:rPr>
        <w:tab/>
      </w:r>
      <w:r w:rsidRPr="00B72DE6">
        <w:rPr>
          <w:szCs w:val="24"/>
          <w:u w:val="single"/>
        </w:rPr>
        <w:tab/>
      </w:r>
      <w:r w:rsidRPr="00B72DE6">
        <w:rPr>
          <w:szCs w:val="24"/>
        </w:rPr>
        <w:t>)</w:t>
      </w:r>
    </w:p>
    <w:p w14:paraId="7A97F381" w14:textId="77777777" w:rsidR="008C3DBF" w:rsidRDefault="008C3DBF" w:rsidP="008C3DBF">
      <w:pPr>
        <w:pStyle w:val="Footer"/>
        <w:ind w:left="5760" w:firstLine="720"/>
      </w:pPr>
    </w:p>
    <w:p w14:paraId="3265994B" w14:textId="77777777" w:rsidR="008C3DBF" w:rsidRDefault="008C3DBF" w:rsidP="008C3DBF">
      <w:pPr>
        <w:pStyle w:val="Footer"/>
        <w:ind w:left="5760" w:firstLine="720"/>
      </w:pPr>
    </w:p>
    <w:p w14:paraId="7EB6AEC7" w14:textId="77777777" w:rsidR="008C3DBF" w:rsidRDefault="008C3DBF" w:rsidP="008C3DBF">
      <w:pPr>
        <w:pStyle w:val="Heading4"/>
        <w:tabs>
          <w:tab w:val="left" w:pos="1800"/>
        </w:tabs>
        <w:jc w:val="center"/>
      </w:pPr>
      <w:r>
        <w:t>ORDER TO SHOW CAUSE</w:t>
      </w:r>
    </w:p>
    <w:p w14:paraId="415C1502" w14:textId="77777777" w:rsidR="008C3DBF" w:rsidRDefault="008C3DBF" w:rsidP="008C3DBF">
      <w:pPr>
        <w:pStyle w:val="Footer"/>
      </w:pPr>
    </w:p>
    <w:p w14:paraId="049ECC5D" w14:textId="77777777" w:rsidR="008C3DBF" w:rsidRPr="00FB1E0E" w:rsidRDefault="008C3DBF" w:rsidP="008C3DBF">
      <w:pPr>
        <w:pStyle w:val="Footer"/>
        <w:spacing w:line="120" w:lineRule="auto"/>
      </w:pPr>
    </w:p>
    <w:p w14:paraId="5B12CF12" w14:textId="77777777" w:rsidR="008C3DBF" w:rsidRPr="00FB1E0E" w:rsidRDefault="008C3DBF" w:rsidP="008C3DBF">
      <w:r w:rsidRPr="00FB1E0E">
        <w:tab/>
      </w:r>
      <w:r>
        <w:rPr>
          <w:b/>
          <w:szCs w:val="24"/>
        </w:rPr>
        <w:t xml:space="preserve">Conley’s Drug Store </w:t>
      </w:r>
      <w:r>
        <w:t xml:space="preserve">is </w:t>
      </w:r>
      <w:r w:rsidRPr="00FB1E0E">
        <w:t xml:space="preserve">hereby ordered to appear and show cause why the Massachusetts Board of Registration in Pharmacy (“Board”) should not suspend, revoke or otherwise take action against </w:t>
      </w:r>
      <w:r>
        <w:t>its</w:t>
      </w:r>
      <w:r w:rsidRPr="00FB1E0E">
        <w:t xml:space="preserve"> </w:t>
      </w:r>
      <w:r>
        <w:t>registration</w:t>
      </w:r>
      <w:r w:rsidRPr="00FB1E0E">
        <w:t xml:space="preserve"> to </w:t>
      </w:r>
      <w:r>
        <w:t>operate</w:t>
      </w:r>
      <w:r w:rsidRPr="00FB1E0E">
        <w:t xml:space="preserve"> as a </w:t>
      </w:r>
      <w:r>
        <w:t>Pharmacy</w:t>
      </w:r>
      <w:r w:rsidRPr="00FB1E0E">
        <w:t xml:space="preserve">, </w:t>
      </w:r>
      <w:r>
        <w:t xml:space="preserve">Registration </w:t>
      </w:r>
      <w:r w:rsidRPr="00FB1E0E">
        <w:t xml:space="preserve">No. </w:t>
      </w:r>
      <w:r>
        <w:t>DS2654</w:t>
      </w:r>
      <w:r w:rsidRPr="00FB1E0E">
        <w:t xml:space="preserve">, or </w:t>
      </w:r>
      <w:r>
        <w:t>its</w:t>
      </w:r>
      <w:r w:rsidRPr="00FB1E0E">
        <w:t xml:space="preserve"> right to renew that </w:t>
      </w:r>
      <w:r>
        <w:t>registration</w:t>
      </w:r>
      <w:r w:rsidRPr="00FB1E0E">
        <w:t xml:space="preserve">, pursuant to Massachusetts General Laws (G. L.) Chapter 112, §§ 42A and 61 and Board regulations 247 CMR 10.00 </w:t>
      </w:r>
      <w:r w:rsidRPr="00FB1E0E">
        <w:rPr>
          <w:u w:val="single"/>
        </w:rPr>
        <w:t>et seq</w:t>
      </w:r>
      <w:r w:rsidRPr="00FB1E0E">
        <w:t>. based upon the following facts and allegations:</w:t>
      </w:r>
    </w:p>
    <w:p w14:paraId="7B9EC3B8" w14:textId="77777777" w:rsidR="008C3DBF" w:rsidRPr="00FB1E0E" w:rsidRDefault="008C3DBF" w:rsidP="008C3DBF">
      <w:pPr>
        <w:pStyle w:val="Footer"/>
      </w:pPr>
    </w:p>
    <w:p w14:paraId="14C7766A" w14:textId="77777777" w:rsidR="008C3DBF" w:rsidRDefault="008C3DBF" w:rsidP="008C3DBF">
      <w:pPr>
        <w:numPr>
          <w:ilvl w:val="0"/>
          <w:numId w:val="4"/>
        </w:numPr>
        <w:jc w:val="both"/>
      </w:pPr>
      <w:r w:rsidRPr="00FB1E0E">
        <w:t xml:space="preserve">On or about </w:t>
      </w:r>
      <w:r>
        <w:t>August 21, 1996</w:t>
      </w:r>
      <w:r w:rsidRPr="00FB1E0E">
        <w:t xml:space="preserve">, the Board </w:t>
      </w:r>
      <w:r>
        <w:t>granted Conley’s Drug Store in Ipswich, Massachusetts (Conley’s Ipswich) the authorization to practice as a registered Pharmacy</w:t>
      </w:r>
      <w:r w:rsidRPr="00FB1E0E">
        <w:t xml:space="preserve">, </w:t>
      </w:r>
      <w:r>
        <w:t xml:space="preserve">Registration </w:t>
      </w:r>
      <w:r w:rsidRPr="00FB1E0E">
        <w:t xml:space="preserve">No. </w:t>
      </w:r>
      <w:r>
        <w:t>DS2654</w:t>
      </w:r>
      <w:r w:rsidRPr="00FB1E0E">
        <w:t>.</w:t>
      </w:r>
      <w:r>
        <w:t xml:space="preserve">  Conley Ipswich is located at 146 High Street, Ipswich, Massachusetts.</w:t>
      </w:r>
    </w:p>
    <w:p w14:paraId="43166AB1" w14:textId="77777777" w:rsidR="008C3DBF" w:rsidRDefault="008C3DBF" w:rsidP="008C3DBF">
      <w:pPr>
        <w:ind w:left="360"/>
        <w:jc w:val="both"/>
      </w:pPr>
    </w:p>
    <w:p w14:paraId="4E07EC41" w14:textId="77777777" w:rsidR="008C3DBF" w:rsidRDefault="008C3DBF" w:rsidP="008C3DBF">
      <w:pPr>
        <w:pStyle w:val="Footer"/>
        <w:numPr>
          <w:ilvl w:val="0"/>
          <w:numId w:val="4"/>
        </w:numPr>
        <w:tabs>
          <w:tab w:val="clear" w:pos="4680"/>
          <w:tab w:val="clear" w:pos="9360"/>
        </w:tabs>
      </w:pPr>
      <w:r>
        <w:t>On October 17, 2016, investigators for the Board conducted a USP &lt;795</w:t>
      </w:r>
      <w:proofErr w:type="gramStart"/>
      <w:r>
        <w:t>&gt;  non</w:t>
      </w:r>
      <w:proofErr w:type="gramEnd"/>
      <w:r>
        <w:t>-sterile compounding (ISP-6209) inspection at Conley’s Ipswich.</w:t>
      </w:r>
    </w:p>
    <w:p w14:paraId="20FF5F4B" w14:textId="77777777" w:rsidR="008C3DBF" w:rsidRDefault="008C3DBF" w:rsidP="008C3DBF">
      <w:pPr>
        <w:pStyle w:val="Footer"/>
        <w:ind w:left="360"/>
      </w:pPr>
    </w:p>
    <w:p w14:paraId="7FF78660" w14:textId="77777777" w:rsidR="008C3DBF" w:rsidRDefault="008C3DBF" w:rsidP="008C3DBF">
      <w:pPr>
        <w:pStyle w:val="Footer"/>
        <w:numPr>
          <w:ilvl w:val="0"/>
          <w:numId w:val="4"/>
        </w:numPr>
        <w:tabs>
          <w:tab w:val="clear" w:pos="4680"/>
          <w:tab w:val="clear" w:pos="9360"/>
        </w:tabs>
        <w:spacing w:after="120"/>
      </w:pPr>
      <w:r>
        <w:t>During the ISP-6209 inspection conducted on October 17, 2016, investigators for the Board identified the following deficiencies:</w:t>
      </w:r>
    </w:p>
    <w:p w14:paraId="55EB11AD" w14:textId="77777777" w:rsidR="008C3DBF" w:rsidRDefault="008C3DBF" w:rsidP="008C3DBF">
      <w:pPr>
        <w:pStyle w:val="Footer"/>
        <w:spacing w:after="120"/>
        <w:ind w:left="720" w:hanging="360"/>
      </w:pPr>
      <w:r>
        <w:t>a.</w:t>
      </w:r>
      <w:r>
        <w:tab/>
        <w:t xml:space="preserve">Conley’s Ipswich sold compounded non-sterile preparations without patient specific </w:t>
      </w:r>
      <w:proofErr w:type="gramStart"/>
      <w:r>
        <w:t>prescriptions;</w:t>
      </w:r>
      <w:proofErr w:type="gramEnd"/>
    </w:p>
    <w:p w14:paraId="3611FCFB" w14:textId="77777777" w:rsidR="008C3DBF" w:rsidRDefault="008C3DBF" w:rsidP="008C3DBF">
      <w:pPr>
        <w:pStyle w:val="Footer"/>
        <w:spacing w:after="120"/>
        <w:ind w:left="720" w:hanging="360"/>
      </w:pPr>
      <w:r>
        <w:t>b.</w:t>
      </w:r>
      <w:r>
        <w:tab/>
        <w:t xml:space="preserve">Conley’s Ipswich lacked references or studies for compounded non-sterile </w:t>
      </w:r>
      <w:proofErr w:type="gramStart"/>
      <w:r>
        <w:t>preparations;</w:t>
      </w:r>
      <w:proofErr w:type="gramEnd"/>
    </w:p>
    <w:p w14:paraId="6B22E892" w14:textId="77777777" w:rsidR="008C3DBF" w:rsidRDefault="008C3DBF" w:rsidP="008C3DBF">
      <w:pPr>
        <w:pStyle w:val="Footer"/>
        <w:spacing w:after="120"/>
        <w:ind w:left="720" w:hanging="360"/>
      </w:pPr>
      <w:r>
        <w:lastRenderedPageBreak/>
        <w:t>c.</w:t>
      </w:r>
      <w:r>
        <w:tab/>
        <w:t xml:space="preserve">Conley’s Ipswich extended “beyond use dates” without substantial evidence or validation for extending those </w:t>
      </w:r>
      <w:proofErr w:type="gramStart"/>
      <w:r>
        <w:t>dates;</w:t>
      </w:r>
      <w:proofErr w:type="gramEnd"/>
    </w:p>
    <w:p w14:paraId="35411C81" w14:textId="77777777" w:rsidR="008C3DBF" w:rsidRDefault="008C3DBF" w:rsidP="008C3DBF">
      <w:pPr>
        <w:pStyle w:val="Footer"/>
        <w:spacing w:after="120"/>
        <w:ind w:left="720" w:hanging="360"/>
      </w:pPr>
      <w:r>
        <w:t>d.</w:t>
      </w:r>
      <w:r>
        <w:tab/>
        <w:t xml:space="preserve">Conley’s Ipswich failed to store compounded non-sterile preparations in accordance with the instructions on the </w:t>
      </w:r>
      <w:proofErr w:type="gramStart"/>
      <w:r>
        <w:t>labels;</w:t>
      </w:r>
      <w:proofErr w:type="gramEnd"/>
    </w:p>
    <w:p w14:paraId="1DEF5742" w14:textId="77777777" w:rsidR="008C3DBF" w:rsidRDefault="008C3DBF" w:rsidP="008C3DBF">
      <w:pPr>
        <w:pStyle w:val="Footer"/>
        <w:spacing w:after="120"/>
        <w:ind w:left="720" w:hanging="360"/>
      </w:pPr>
      <w:r>
        <w:t>e.</w:t>
      </w:r>
      <w:r>
        <w:tab/>
        <w:t xml:space="preserve">Conley’s Ipswich did not maintain quality assurance records relating to compounded </w:t>
      </w:r>
      <w:proofErr w:type="gramStart"/>
      <w:r>
        <w:t>products;</w:t>
      </w:r>
      <w:proofErr w:type="gramEnd"/>
    </w:p>
    <w:p w14:paraId="01F34304" w14:textId="77777777" w:rsidR="008C3DBF" w:rsidRDefault="008C3DBF" w:rsidP="008C3DBF">
      <w:pPr>
        <w:pStyle w:val="Footer"/>
        <w:spacing w:after="120"/>
        <w:ind w:left="720" w:hanging="360"/>
      </w:pPr>
      <w:r>
        <w:t>f.</w:t>
      </w:r>
      <w:r>
        <w:tab/>
        <w:t xml:space="preserve">Conley’s Ipswich failed to ensure that compounded non-sterile products were properly labeled in accordance with USP </w:t>
      </w:r>
      <w:proofErr w:type="gramStart"/>
      <w:r>
        <w:t>795;</w:t>
      </w:r>
      <w:proofErr w:type="gramEnd"/>
    </w:p>
    <w:p w14:paraId="6C5EA13B" w14:textId="77777777" w:rsidR="008C3DBF" w:rsidRDefault="008C3DBF" w:rsidP="008C3DBF">
      <w:pPr>
        <w:pStyle w:val="Footer"/>
        <w:spacing w:after="120"/>
        <w:ind w:left="720" w:hanging="360"/>
      </w:pPr>
      <w:r>
        <w:t>g.</w:t>
      </w:r>
      <w:r>
        <w:tab/>
        <w:t xml:space="preserve">Conley’s Ipswich maintained incomplete or inaccurate compounding </w:t>
      </w:r>
      <w:proofErr w:type="gramStart"/>
      <w:r>
        <w:t>logs;</w:t>
      </w:r>
      <w:proofErr w:type="gramEnd"/>
    </w:p>
    <w:p w14:paraId="055C37CB" w14:textId="77777777" w:rsidR="008C3DBF" w:rsidRDefault="008C3DBF" w:rsidP="008C3DBF">
      <w:pPr>
        <w:pStyle w:val="Footer"/>
        <w:spacing w:after="120"/>
        <w:ind w:left="720" w:hanging="360"/>
      </w:pPr>
      <w:r>
        <w:t>h.</w:t>
      </w:r>
      <w:r>
        <w:tab/>
        <w:t>Conley’s Ipswich failed to maintain formulation records addressing instructions for compounding and quality assurance.</w:t>
      </w:r>
    </w:p>
    <w:p w14:paraId="3DD52BC1" w14:textId="77777777" w:rsidR="008C3DBF" w:rsidRPr="00FB1E0E" w:rsidRDefault="008C3DBF" w:rsidP="008C3DBF">
      <w:pPr>
        <w:pStyle w:val="Footer"/>
      </w:pPr>
    </w:p>
    <w:p w14:paraId="35FC701E" w14:textId="77777777" w:rsidR="008C3DBF" w:rsidRPr="00FB1E0E" w:rsidRDefault="008C3DBF" w:rsidP="008C3DBF">
      <w:pPr>
        <w:pStyle w:val="Footer"/>
        <w:jc w:val="center"/>
      </w:pPr>
      <w:r w:rsidRPr="00FB1E0E">
        <w:t>* * *</w:t>
      </w:r>
    </w:p>
    <w:p w14:paraId="3066030B" w14:textId="77777777" w:rsidR="008C3DBF" w:rsidRPr="00FB1E0E" w:rsidRDefault="008C3DBF" w:rsidP="008C3DBF">
      <w:pPr>
        <w:pStyle w:val="Footer"/>
      </w:pPr>
    </w:p>
    <w:p w14:paraId="548F9629" w14:textId="77777777" w:rsidR="008C3DBF" w:rsidRPr="00FB1E0E" w:rsidRDefault="008C3DBF" w:rsidP="008C3DBF">
      <w:pPr>
        <w:pStyle w:val="Footer"/>
        <w:numPr>
          <w:ilvl w:val="0"/>
          <w:numId w:val="4"/>
        </w:numPr>
        <w:tabs>
          <w:tab w:val="clear" w:pos="4680"/>
          <w:tab w:val="clear" w:pos="9360"/>
        </w:tabs>
      </w:pPr>
      <w:r>
        <w:t xml:space="preserve">The acts and omissions of Conley’s Ipswich </w:t>
      </w:r>
      <w:r w:rsidRPr="00FB1E0E">
        <w:t>warrant disciplina</w:t>
      </w:r>
      <w:r>
        <w:t>ry action by the Board against its</w:t>
      </w:r>
      <w:r w:rsidRPr="00FB1E0E">
        <w:t xml:space="preserve"> </w:t>
      </w:r>
      <w:r>
        <w:t>registration as a Pharmacy</w:t>
      </w:r>
      <w:r w:rsidRPr="00FB1E0E">
        <w:t xml:space="preserve"> pursuant to </w:t>
      </w:r>
      <w:r>
        <w:t>the following Board regulation:</w:t>
      </w:r>
    </w:p>
    <w:p w14:paraId="23808294" w14:textId="77777777" w:rsidR="008C3DBF" w:rsidRPr="00FB1E0E" w:rsidRDefault="008C3DBF" w:rsidP="008C3DBF">
      <w:pPr>
        <w:pStyle w:val="Footer"/>
        <w:spacing w:line="120" w:lineRule="auto"/>
      </w:pPr>
    </w:p>
    <w:p w14:paraId="141E3FE2" w14:textId="77777777" w:rsidR="008C3DBF" w:rsidRDefault="008C3DBF" w:rsidP="008C3DBF">
      <w:pPr>
        <w:pStyle w:val="Footer"/>
        <w:numPr>
          <w:ilvl w:val="1"/>
          <w:numId w:val="4"/>
        </w:numPr>
        <w:tabs>
          <w:tab w:val="clear" w:pos="4680"/>
          <w:tab w:val="clear" w:pos="9360"/>
        </w:tabs>
      </w:pPr>
      <w:r>
        <w:t>For failing to maintain signage relating to the sale of prescription lock boxes in violation of 94C, §21B</w:t>
      </w:r>
      <w:r w:rsidRPr="00FB1E0E">
        <w:t>(</w:t>
      </w:r>
      <w:r>
        <w:t>b</w:t>
      </w:r>
      <w:r w:rsidRPr="00FB1E0E">
        <w:t xml:space="preserve">) </w:t>
      </w:r>
      <w:r>
        <w:t xml:space="preserve">as shown by Paragraphs 2 &amp; 3 of this Order to Show Cause and evidence to be adduced at a </w:t>
      </w:r>
      <w:proofErr w:type="gramStart"/>
      <w:r>
        <w:t>hearing;</w:t>
      </w:r>
      <w:proofErr w:type="gramEnd"/>
    </w:p>
    <w:p w14:paraId="67858BF4" w14:textId="77777777" w:rsidR="008C3DBF" w:rsidRPr="00FB1E0E" w:rsidRDefault="008C3DBF" w:rsidP="008C3DBF">
      <w:pPr>
        <w:pStyle w:val="Footer"/>
        <w:ind w:left="720"/>
      </w:pPr>
    </w:p>
    <w:p w14:paraId="0956FB17" w14:textId="77777777" w:rsidR="008C3DBF" w:rsidRDefault="008C3DBF" w:rsidP="008C3DBF">
      <w:pPr>
        <w:pStyle w:val="Footer"/>
        <w:numPr>
          <w:ilvl w:val="1"/>
          <w:numId w:val="4"/>
        </w:numPr>
        <w:tabs>
          <w:tab w:val="clear" w:pos="4680"/>
          <w:tab w:val="clear" w:pos="9360"/>
        </w:tabs>
      </w:pPr>
      <w:r>
        <w:t>For failing to ensure that pharmacy technicians were properly licensed when performing pharmacy duties in violation of 247 CMR 8</w:t>
      </w:r>
      <w:r w:rsidRPr="00FB1E0E">
        <w:t>.0</w:t>
      </w:r>
      <w:r>
        <w:t>7</w:t>
      </w:r>
      <w:r w:rsidRPr="00FB1E0E">
        <w:t>(</w:t>
      </w:r>
      <w:r>
        <w:t>3</w:t>
      </w:r>
      <w:r w:rsidRPr="00FB1E0E">
        <w:t>)</w:t>
      </w:r>
      <w:r>
        <w:t>(b)</w:t>
      </w:r>
      <w:r w:rsidRPr="00FB1E0E">
        <w:t xml:space="preserve"> </w:t>
      </w:r>
      <w:r>
        <w:t xml:space="preserve">as shown by Paragraphs 2 &amp; 3 of this Order to Show Cause and evidence to be adduced at a </w:t>
      </w:r>
      <w:proofErr w:type="gramStart"/>
      <w:r>
        <w:t>hearing;</w:t>
      </w:r>
      <w:proofErr w:type="gramEnd"/>
    </w:p>
    <w:p w14:paraId="68EB66F6" w14:textId="77777777" w:rsidR="008C3DBF" w:rsidRDefault="008C3DBF" w:rsidP="008C3DBF">
      <w:pPr>
        <w:pStyle w:val="Footer"/>
        <w:ind w:left="360"/>
      </w:pPr>
    </w:p>
    <w:p w14:paraId="29D9E1C1" w14:textId="77777777" w:rsidR="008C3DBF" w:rsidRDefault="008C3DBF" w:rsidP="008C3DBF">
      <w:pPr>
        <w:pStyle w:val="Footer"/>
        <w:numPr>
          <w:ilvl w:val="1"/>
          <w:numId w:val="4"/>
        </w:numPr>
        <w:tabs>
          <w:tab w:val="clear" w:pos="4680"/>
          <w:tab w:val="clear" w:pos="9360"/>
        </w:tabs>
      </w:pPr>
      <w:r>
        <w:t>violating 247 CMR 10.03(1)(a) by violating any of the duties and standards set out in Board Regulations (247 CMR 2.00: Definitions) or any rule or written policy adopted by the Board as shown by Paragraphs 2 &amp; 3 of this Order to Show Cause and evidence to be adduced at a hearing;</w:t>
      </w:r>
    </w:p>
    <w:p w14:paraId="26B682A8" w14:textId="77777777" w:rsidR="008C3DBF" w:rsidRDefault="008C3DBF" w:rsidP="008C3DBF">
      <w:pPr>
        <w:pStyle w:val="Footer"/>
        <w:ind w:left="720"/>
      </w:pPr>
    </w:p>
    <w:p w14:paraId="42BF1CD4" w14:textId="77777777" w:rsidR="008C3DBF" w:rsidRDefault="008C3DBF" w:rsidP="008C3DBF">
      <w:pPr>
        <w:pStyle w:val="Footer"/>
        <w:numPr>
          <w:ilvl w:val="1"/>
          <w:numId w:val="4"/>
        </w:numPr>
        <w:tabs>
          <w:tab w:val="clear" w:pos="4680"/>
          <w:tab w:val="clear" w:pos="9360"/>
        </w:tabs>
      </w:pPr>
      <w:r>
        <w:t>violating 247 CMR 10.03(1)(b) by violating one or more provisions of M.G.L. c.112, §24 through 42A or any provision of state or federal statutes or rules or regulations promulgated thereunder related to the practice of the profession</w:t>
      </w:r>
      <w:r w:rsidRPr="0005779A">
        <w:t xml:space="preserve"> </w:t>
      </w:r>
      <w:r>
        <w:t>as shown by Paragraphs 2 &amp; 3 of this Order to Show Cause and evidence to be adduced at a hearing;</w:t>
      </w:r>
    </w:p>
    <w:p w14:paraId="38C1DAE4" w14:textId="77777777" w:rsidR="008C3DBF" w:rsidRDefault="008C3DBF" w:rsidP="008C3DBF">
      <w:pPr>
        <w:pStyle w:val="Footer"/>
        <w:ind w:left="720"/>
      </w:pPr>
    </w:p>
    <w:p w14:paraId="7FF7298D" w14:textId="77777777" w:rsidR="008C3DBF" w:rsidRDefault="008C3DBF" w:rsidP="008C3DBF">
      <w:pPr>
        <w:pStyle w:val="Footer"/>
        <w:numPr>
          <w:ilvl w:val="1"/>
          <w:numId w:val="4"/>
        </w:numPr>
        <w:tabs>
          <w:tab w:val="clear" w:pos="4680"/>
          <w:tab w:val="clear" w:pos="9360"/>
        </w:tabs>
      </w:pPr>
      <w:r>
        <w:t>violating 247 CMR 10.03(1)(v) by committing an act that violates recognized standards of pharmacy practice</w:t>
      </w:r>
      <w:r w:rsidRPr="0005779A">
        <w:t xml:space="preserve"> </w:t>
      </w:r>
      <w:r>
        <w:t xml:space="preserve">as shown by Paragraphs 2 &amp; 3 of this Order to Show Cause and evidence to be adduced at a </w:t>
      </w:r>
      <w:proofErr w:type="gramStart"/>
      <w:r>
        <w:t>hearing;</w:t>
      </w:r>
      <w:proofErr w:type="gramEnd"/>
    </w:p>
    <w:p w14:paraId="4802066D" w14:textId="77777777" w:rsidR="008C3DBF" w:rsidRDefault="008C3DBF" w:rsidP="008C3DBF">
      <w:pPr>
        <w:pStyle w:val="Footer"/>
        <w:ind w:left="720"/>
      </w:pPr>
    </w:p>
    <w:p w14:paraId="10BD5559" w14:textId="77777777" w:rsidR="008C3DBF" w:rsidRDefault="008C3DBF" w:rsidP="008C3DBF">
      <w:pPr>
        <w:pStyle w:val="Footer"/>
        <w:numPr>
          <w:ilvl w:val="1"/>
          <w:numId w:val="4"/>
        </w:numPr>
        <w:tabs>
          <w:tab w:val="clear" w:pos="4680"/>
          <w:tab w:val="clear" w:pos="9360"/>
        </w:tabs>
      </w:pPr>
      <w:r>
        <w:lastRenderedPageBreak/>
        <w:t>violating 247 CMR 10.03(1)(x) by violating M.G.L. c. 94C or a rule or regulation promulgated thereunder</w:t>
      </w:r>
      <w:r w:rsidRPr="0005779A">
        <w:t xml:space="preserve"> </w:t>
      </w:r>
      <w:r>
        <w:t xml:space="preserve">as shown by Paragraphs 2 &amp; 3 of this Order to Show Cause and evidence to be adduced at a </w:t>
      </w:r>
      <w:proofErr w:type="gramStart"/>
      <w:r>
        <w:t>hearing;</w:t>
      </w:r>
      <w:proofErr w:type="gramEnd"/>
    </w:p>
    <w:p w14:paraId="4A7FF154" w14:textId="77777777" w:rsidR="008C3DBF" w:rsidRPr="00FB1E0E" w:rsidRDefault="008C3DBF" w:rsidP="008C3DBF">
      <w:pPr>
        <w:pStyle w:val="Footer"/>
        <w:ind w:left="720"/>
      </w:pPr>
    </w:p>
    <w:p w14:paraId="2959ED9F" w14:textId="77777777" w:rsidR="008C3DBF" w:rsidRPr="00FB1E0E" w:rsidRDefault="008C3DBF" w:rsidP="008C3DBF">
      <w:pPr>
        <w:tabs>
          <w:tab w:val="left" w:pos="1440"/>
        </w:tabs>
        <w:jc w:val="center"/>
      </w:pPr>
      <w:r w:rsidRPr="00FB1E0E">
        <w:t>***</w:t>
      </w:r>
    </w:p>
    <w:p w14:paraId="79FDB8E3" w14:textId="77777777" w:rsidR="008C3DBF" w:rsidRPr="00FB1E0E" w:rsidRDefault="008C3DBF" w:rsidP="008C3DBF">
      <w:pPr>
        <w:pStyle w:val="Footer"/>
      </w:pPr>
      <w:r w:rsidRPr="00FB1E0E">
        <w:t xml:space="preserve"> </w:t>
      </w:r>
      <w:r w:rsidRPr="00FB1E0E">
        <w:tab/>
        <w:t xml:space="preserve">You have a right to an adjudicatory hearing (“hearing”) on the allegations contained in the Order to Show Cause before the Board determines whether to suspend, revoke, or impose other discipline against your </w:t>
      </w:r>
      <w:r>
        <w:t>registration as a Pharmacy and right to renew your Pharmacy registration</w:t>
      </w:r>
      <w:r w:rsidRPr="00FB1E0E">
        <w:t xml:space="preserve">.  G.L. c. 112, § 61.  Your right to a hearing may be claimed by submitting a written request for a hearing </w:t>
      </w:r>
      <w:r w:rsidRPr="00FB1E0E">
        <w:rPr>
          <w:i/>
        </w:rPr>
        <w:t>within twenty-one (21) days</w:t>
      </w:r>
      <w:r w:rsidRPr="00FB1E0E">
        <w:t xml:space="preserve"> </w:t>
      </w:r>
      <w:r w:rsidRPr="00FB1E0E">
        <w:rPr>
          <w:i/>
        </w:rPr>
        <w:t>of receipt of this Order to Show Cause</w:t>
      </w:r>
      <w:r w:rsidRPr="00FB1E0E">
        <w:t xml:space="preserve">.  You must also submit an Answer to this Order to Show Cause in accordance with 801 CMR 1.01(6)(d) </w:t>
      </w:r>
      <w:r w:rsidRPr="00FB1E0E">
        <w:rPr>
          <w:i/>
        </w:rPr>
        <w:t>within twenty-one (21) days of receipt of this Order to Show Cause</w:t>
      </w:r>
      <w:r w:rsidRPr="00FB1E0E">
        <w:t xml:space="preserve">.  The Board will give you prior written notice of the time and place of the hearing following receipt of a </w:t>
      </w:r>
      <w:r>
        <w:t>written request for a hearing.</w:t>
      </w:r>
    </w:p>
    <w:p w14:paraId="15AACB49" w14:textId="77777777" w:rsidR="008C3DBF" w:rsidRPr="00FB1E0E" w:rsidRDefault="008C3DBF" w:rsidP="008C3DBF">
      <w:pPr>
        <w:pStyle w:val="BodyText"/>
        <w:ind w:firstLine="720"/>
        <w:rPr>
          <w:szCs w:val="24"/>
        </w:rPr>
      </w:pPr>
    </w:p>
    <w:p w14:paraId="54457BDF" w14:textId="77777777" w:rsidR="008C3DBF" w:rsidRPr="00FB1E0E" w:rsidRDefault="008C3DBF" w:rsidP="008C3DBF">
      <w:pPr>
        <w:pStyle w:val="BodyText"/>
        <w:ind w:firstLine="720"/>
        <w:rPr>
          <w:szCs w:val="24"/>
        </w:rPr>
      </w:pPr>
      <w:r w:rsidRPr="00FB1E0E">
        <w:rPr>
          <w:szCs w:val="24"/>
        </w:rPr>
        <w:t>Hearings shall be conducted in accordance with the State Administrative Procedure Act, G.L. c. 30A, §§ 10 and 11, and the Standard Adjudicatory Rules of Practice and Procedure, 801 CMR 1.01 and 1.03, under which you are granted certain rights including, but not limited to, the rights: to a hearing, to secure legal counsel or another representative to represent your interests, to call and examine witnesses, to cross-examine witnesses who testify against you, to testify on your own behalf, to introduce evidence, and to make arguments in support of your position.</w:t>
      </w:r>
    </w:p>
    <w:p w14:paraId="08ADF760" w14:textId="77777777" w:rsidR="008C3DBF" w:rsidRPr="00FB1E0E" w:rsidRDefault="008C3DBF" w:rsidP="008C3DBF">
      <w:r w:rsidRPr="00FB1E0E">
        <w:tab/>
      </w:r>
    </w:p>
    <w:p w14:paraId="14F7DDCB" w14:textId="77777777" w:rsidR="008C3DBF" w:rsidRPr="00FB1E0E" w:rsidRDefault="008C3DBF" w:rsidP="008C3DBF">
      <w:r w:rsidRPr="00FB1E0E">
        <w:tab/>
        <w:t xml:space="preserve">The Board will make an audio recording of any hearing conducted in the captioned matter.  In the event that you wish to appeal a final decision of the Board, it is incumbent on you to supply a reviewing court with a "proper record" of the proceeding, which may include a written transcript. </w:t>
      </w:r>
      <w:smartTag w:uri="urn:schemas-microsoft-com:office:smarttags" w:element="City">
        <w:r w:rsidRPr="00FB1E0E">
          <w:rPr>
            <w:i/>
            <w:iCs/>
          </w:rPr>
          <w:t>New Bedford</w:t>
        </w:r>
      </w:smartTag>
      <w:r w:rsidRPr="00FB1E0E">
        <w:rPr>
          <w:i/>
          <w:iCs/>
        </w:rPr>
        <w:t xml:space="preserve"> Gas and Light Co. v. Board of Assessors of </w:t>
      </w:r>
      <w:smartTag w:uri="urn:schemas-microsoft-com:office:smarttags" w:element="City">
        <w:r w:rsidRPr="00FB1E0E">
          <w:rPr>
            <w:i/>
            <w:iCs/>
          </w:rPr>
          <w:t>Dartmouth</w:t>
        </w:r>
      </w:smartTag>
      <w:r w:rsidRPr="00FB1E0E">
        <w:t xml:space="preserve">, 368 </w:t>
      </w:r>
      <w:smartTag w:uri="urn:schemas-microsoft-com:office:smarttags" w:element="State">
        <w:smartTag w:uri="urn:schemas-microsoft-com:office:smarttags" w:element="place">
          <w:r w:rsidRPr="00FB1E0E">
            <w:t>Mass.</w:t>
          </w:r>
        </w:smartTag>
      </w:smartTag>
      <w:r w:rsidRPr="00FB1E0E">
        <w:t xml:space="preserve"> 745, 749-750 (1975). Upon request, the Board will make available a copy of the audio recording of the proceeding at [your] own expense.  Pursuant to 801 CMR 1.01 (10) (</w:t>
      </w:r>
      <w:proofErr w:type="spellStart"/>
      <w:r w:rsidRPr="00FB1E0E">
        <w:t>i</w:t>
      </w:r>
      <w:proofErr w:type="spellEnd"/>
      <w:r w:rsidRPr="00FB1E0E">
        <w:t>)(1), upon motion, you "may be allowed to provide a public stenographer to transcribe the proceedings at your own expense upon terms ordered by the Presiding Officer."  Those terms may include a requirement that any copy of the transcript produced must be sent immediately upon completion, and on an ongoing basis, directly to the Presiding Officer by the stenographer or transcription service.  The transcript will be made available to the Prosecutor representing the Board.  Please note that the administrative record of the proceedings, including but not limited to, the written transcript of the hearing is a public record and subject to the provisions of G.L. c. 4, § 7 and G.L. c. 66, § 10.</w:t>
      </w:r>
    </w:p>
    <w:p w14:paraId="040465E7" w14:textId="77777777" w:rsidR="008C3DBF" w:rsidRPr="00FB1E0E" w:rsidRDefault="008C3DBF" w:rsidP="008C3DBF"/>
    <w:p w14:paraId="37C60864" w14:textId="77777777" w:rsidR="008C3DBF" w:rsidRPr="00FB1E0E" w:rsidRDefault="008C3DBF" w:rsidP="008C3DBF">
      <w:pPr>
        <w:ind w:firstLine="720"/>
      </w:pPr>
      <w:r w:rsidRPr="00FB1E0E">
        <w:t xml:space="preserve">Your failure to submit an Answer to the Order to Show Cause within twenty-one (21) days of receipt of the Order to Show Cause </w:t>
      </w:r>
      <w:r w:rsidRPr="00FB1E0E">
        <w:rPr>
          <w:i/>
        </w:rPr>
        <w:t>shall result</w:t>
      </w:r>
      <w:r w:rsidRPr="00FB1E0E">
        <w:t xml:space="preserve"> </w:t>
      </w:r>
      <w:r w:rsidRPr="00FB1E0E">
        <w:rPr>
          <w:i/>
        </w:rPr>
        <w:t>in the entry of default</w:t>
      </w:r>
      <w:r w:rsidRPr="00FB1E0E">
        <w:t xml:space="preserve"> in the captioned matter.  Your failure to submit a written request for a hearing within twenty-one (21) days of receipt of this Order to Show Cause </w:t>
      </w:r>
      <w:r w:rsidRPr="00FB1E0E">
        <w:rPr>
          <w:i/>
        </w:rPr>
        <w:t>shall constitute a waiver of the right to a hearing</w:t>
      </w:r>
      <w:r w:rsidRPr="00FB1E0E">
        <w:t xml:space="preserve"> on the allegations therein and on any Board disciplinary action. </w:t>
      </w:r>
    </w:p>
    <w:p w14:paraId="433CA404" w14:textId="77777777" w:rsidR="008C3DBF" w:rsidRPr="00FB1E0E" w:rsidRDefault="008C3DBF" w:rsidP="008C3DBF">
      <w:pPr>
        <w:ind w:firstLine="720"/>
      </w:pPr>
    </w:p>
    <w:p w14:paraId="086D166E" w14:textId="77777777" w:rsidR="008C3DBF" w:rsidRPr="00FB1E0E" w:rsidRDefault="008C3DBF" w:rsidP="008C3DBF">
      <w:pPr>
        <w:ind w:firstLine="720"/>
      </w:pPr>
      <w:r w:rsidRPr="00FB1E0E">
        <w:lastRenderedPageBreak/>
        <w:t>Notwithstanding the earlier filing of an Answer and/or request for a hearing, your failure to respond to notices or correspondence, your failure to appear for any scheduled status conference, pre-hearing conference or hearing dates, or your failure to otherwise defend this action shall result in the entry of default.</w:t>
      </w:r>
    </w:p>
    <w:p w14:paraId="5C023FCB" w14:textId="77777777" w:rsidR="008C3DBF" w:rsidRPr="00FB1E0E" w:rsidRDefault="008C3DBF" w:rsidP="008C3DBF">
      <w:pPr>
        <w:ind w:firstLine="720"/>
        <w:rPr>
          <w:b/>
        </w:rPr>
      </w:pPr>
    </w:p>
    <w:p w14:paraId="5D5633AC" w14:textId="77777777" w:rsidR="008C3DBF" w:rsidRDefault="008C3DBF" w:rsidP="008C3DBF">
      <w:pPr>
        <w:ind w:firstLine="720"/>
        <w:rPr>
          <w:b/>
        </w:rPr>
      </w:pPr>
      <w:r w:rsidRPr="00FB1E0E">
        <w:rPr>
          <w:b/>
        </w:rPr>
        <w:t xml:space="preserve">If you are defaulted, the Board may enter a Final Decision and Order that assumes the truth of the allegations in this Order to Show Cause, and may revoke, suspend, or take other disciplinary action </w:t>
      </w:r>
      <w:r w:rsidRPr="002128C7">
        <w:rPr>
          <w:b/>
          <w:szCs w:val="24"/>
        </w:rPr>
        <w:t>against your registration as a Pharm</w:t>
      </w:r>
      <w:r>
        <w:rPr>
          <w:b/>
          <w:szCs w:val="24"/>
        </w:rPr>
        <w:t>acy</w:t>
      </w:r>
      <w:r w:rsidRPr="002128C7">
        <w:rPr>
          <w:b/>
          <w:szCs w:val="24"/>
        </w:rPr>
        <w:t xml:space="preserve"> in the</w:t>
      </w:r>
      <w:r w:rsidRPr="00FB1E0E">
        <w:rPr>
          <w:b/>
        </w:rPr>
        <w:t xml:space="preserve"> Commonwealth of Massachusetts, including any right to renew </w:t>
      </w:r>
      <w:r>
        <w:rPr>
          <w:b/>
        </w:rPr>
        <w:t>that</w:t>
      </w:r>
      <w:r w:rsidRPr="00FB1E0E">
        <w:rPr>
          <w:b/>
        </w:rPr>
        <w:t xml:space="preserve"> </w:t>
      </w:r>
      <w:r>
        <w:rPr>
          <w:b/>
        </w:rPr>
        <w:t>registration</w:t>
      </w:r>
      <w:r w:rsidRPr="00FB1E0E">
        <w:rPr>
          <w:b/>
        </w:rPr>
        <w:t>.</w:t>
      </w:r>
    </w:p>
    <w:p w14:paraId="4F094106" w14:textId="77777777" w:rsidR="008C3DBF" w:rsidRPr="00FB1E0E" w:rsidRDefault="008C3DBF" w:rsidP="008C3DBF">
      <w:pPr>
        <w:ind w:firstLine="720"/>
        <w:rPr>
          <w:b/>
        </w:rPr>
      </w:pPr>
    </w:p>
    <w:p w14:paraId="31106077" w14:textId="77777777" w:rsidR="008C3DBF" w:rsidRPr="00FB1E0E" w:rsidRDefault="008C3DBF" w:rsidP="008C3DBF">
      <w:pPr>
        <w:ind w:firstLine="720"/>
      </w:pPr>
      <w:r w:rsidRPr="00FB1E0E">
        <w:t xml:space="preserve">Your Answer to the Order to Show Cause and your written request for a hearing must be filed with Richard L. Banks, Prosecuting Counsel, at the following address: </w:t>
      </w:r>
    </w:p>
    <w:p w14:paraId="5C51948A" w14:textId="77777777" w:rsidR="008C3DBF" w:rsidRDefault="008C3DBF" w:rsidP="008C3DBF"/>
    <w:p w14:paraId="40BC4DC5" w14:textId="77777777" w:rsidR="008C3DBF" w:rsidRPr="00FB1E0E" w:rsidRDefault="008C3DBF" w:rsidP="008C3DBF">
      <w:pPr>
        <w:spacing w:line="120" w:lineRule="auto"/>
      </w:pPr>
    </w:p>
    <w:p w14:paraId="13005E07" w14:textId="77777777" w:rsidR="008C3DBF" w:rsidRPr="00FB1E0E" w:rsidRDefault="008C3DBF" w:rsidP="008C3DBF">
      <w:pPr>
        <w:ind w:firstLine="720"/>
      </w:pPr>
      <w:r w:rsidRPr="00FB1E0E">
        <w:t>Richard L. Banks, Jr., Esq.</w:t>
      </w:r>
    </w:p>
    <w:p w14:paraId="1023F5C2" w14:textId="77777777" w:rsidR="008C3DBF" w:rsidRPr="00FB1E0E" w:rsidRDefault="008C3DBF" w:rsidP="008C3DBF">
      <w:r w:rsidRPr="00FB1E0E">
        <w:tab/>
        <w:t>Department of Public Health</w:t>
      </w:r>
    </w:p>
    <w:p w14:paraId="4E97C454" w14:textId="77777777" w:rsidR="008C3DBF" w:rsidRPr="00FB1E0E" w:rsidRDefault="008C3DBF" w:rsidP="008C3DBF">
      <w:pPr>
        <w:ind w:firstLine="720"/>
      </w:pPr>
      <w:r w:rsidRPr="00FB1E0E">
        <w:t>Office of the General Counsel</w:t>
      </w:r>
    </w:p>
    <w:p w14:paraId="2F53B4D7" w14:textId="77777777" w:rsidR="008C3DBF" w:rsidRPr="00FB1E0E" w:rsidRDefault="008C3DBF" w:rsidP="008C3DBF">
      <w:r w:rsidRPr="00FB1E0E">
        <w:tab/>
      </w:r>
      <w:smartTag w:uri="urn:schemas-microsoft-com:office:smarttags" w:element="Street">
        <w:smartTag w:uri="urn:schemas-microsoft-com:office:smarttags" w:element="address">
          <w:r w:rsidRPr="00FB1E0E">
            <w:t>239 Causeway Street</w:t>
          </w:r>
        </w:smartTag>
      </w:smartTag>
      <w:r w:rsidRPr="00FB1E0E">
        <w:t>, 4th Floor</w:t>
      </w:r>
    </w:p>
    <w:p w14:paraId="394D6C48" w14:textId="77777777" w:rsidR="008C3DBF" w:rsidRDefault="008C3DBF" w:rsidP="008C3DBF">
      <w:r w:rsidRPr="00FB1E0E">
        <w:tab/>
      </w:r>
      <w:smartTag w:uri="urn:schemas-microsoft-com:office:smarttags" w:element="City">
        <w:r w:rsidRPr="00FB1E0E">
          <w:t>Boston</w:t>
        </w:r>
      </w:smartTag>
      <w:r w:rsidRPr="00FB1E0E">
        <w:t xml:space="preserve">, </w:t>
      </w:r>
      <w:smartTag w:uri="urn:schemas-microsoft-com:office:smarttags" w:element="State">
        <w:r w:rsidRPr="00FB1E0E">
          <w:t>MA</w:t>
        </w:r>
      </w:smartTag>
      <w:r w:rsidRPr="00FB1E0E">
        <w:t xml:space="preserve"> 02114</w:t>
      </w:r>
    </w:p>
    <w:p w14:paraId="6A3FC744" w14:textId="77777777" w:rsidR="008C3DBF" w:rsidRDefault="008C3DBF" w:rsidP="008C3DBF"/>
    <w:p w14:paraId="2BCC75FD" w14:textId="77777777" w:rsidR="008C3DBF" w:rsidRPr="00FB1E0E" w:rsidRDefault="008C3DBF" w:rsidP="008C3DBF">
      <w:pPr>
        <w:spacing w:line="120" w:lineRule="auto"/>
      </w:pPr>
    </w:p>
    <w:p w14:paraId="5DD72F2B" w14:textId="77777777" w:rsidR="008C3DBF" w:rsidRPr="00FB1E0E" w:rsidRDefault="008C3DBF" w:rsidP="008C3DBF">
      <w:r w:rsidRPr="00FB1E0E">
        <w:tab/>
        <w:t xml:space="preserve">You or your representative may examine Board records relative to this case prior to the date of the hearing during regular business hours at the office of the Prosecuting Counsel.  If you elect to undertake such an examination, then please contact Prosecuting Counsel in advance at (617) </w:t>
      </w:r>
      <w:r>
        <w:t>624</w:t>
      </w:r>
      <w:r w:rsidRPr="00FB1E0E">
        <w:t>-</w:t>
      </w:r>
      <w:r>
        <w:t>5236</w:t>
      </w:r>
      <w:r w:rsidRPr="00FB1E0E">
        <w:t xml:space="preserve"> to schedule a time that is mutually convenient</w:t>
      </w:r>
      <w:r>
        <w:t xml:space="preserve"> for the review</w:t>
      </w:r>
      <w:r w:rsidRPr="00FB1E0E">
        <w:t>.</w:t>
      </w:r>
    </w:p>
    <w:p w14:paraId="233970AB" w14:textId="77777777" w:rsidR="008C3DBF" w:rsidRPr="00FB1E0E" w:rsidRDefault="008C3DBF" w:rsidP="008C3DBF"/>
    <w:p w14:paraId="6DA4271C" w14:textId="77777777" w:rsidR="008C3DBF" w:rsidRPr="00FB1E0E" w:rsidRDefault="008C3DBF" w:rsidP="008C3DBF"/>
    <w:p w14:paraId="4D7D58F4" w14:textId="77777777" w:rsidR="008C3DBF" w:rsidRPr="00B51745" w:rsidRDefault="008C3DBF" w:rsidP="008C3DBF"/>
    <w:p w14:paraId="5CCA652D" w14:textId="77777777" w:rsidR="008C3DBF" w:rsidRPr="00B51745" w:rsidRDefault="008C3DBF" w:rsidP="008C3DBF">
      <w:pPr>
        <w:rPr>
          <w:szCs w:val="24"/>
        </w:rPr>
      </w:pPr>
      <w:r w:rsidRPr="00B51745">
        <w:tab/>
      </w:r>
      <w:r w:rsidRPr="00B51745">
        <w:tab/>
      </w:r>
      <w:r w:rsidRPr="00B51745">
        <w:tab/>
      </w:r>
      <w:r w:rsidRPr="00B51745">
        <w:tab/>
      </w:r>
      <w:r w:rsidRPr="00B51745">
        <w:tab/>
      </w:r>
      <w:r w:rsidRPr="00B51745">
        <w:tab/>
      </w:r>
      <w:r w:rsidRPr="00B51745">
        <w:rPr>
          <w:szCs w:val="24"/>
        </w:rPr>
        <w:t xml:space="preserve">Board of Registration in Pharmacy, </w:t>
      </w:r>
    </w:p>
    <w:p w14:paraId="5B9855B3" w14:textId="77777777" w:rsidR="008C3DBF" w:rsidRPr="00B51745" w:rsidRDefault="008C3DBF" w:rsidP="008C3DBF">
      <w:pPr>
        <w:rPr>
          <w:szCs w:val="24"/>
        </w:rPr>
      </w:pPr>
      <w:r w:rsidRPr="00B51745">
        <w:rPr>
          <w:szCs w:val="24"/>
        </w:rPr>
        <w:tab/>
      </w:r>
      <w:r w:rsidRPr="00B51745">
        <w:rPr>
          <w:szCs w:val="24"/>
        </w:rPr>
        <w:tab/>
      </w:r>
      <w:r w:rsidRPr="00B51745">
        <w:rPr>
          <w:szCs w:val="24"/>
        </w:rPr>
        <w:tab/>
      </w:r>
      <w:r w:rsidRPr="00B51745">
        <w:rPr>
          <w:szCs w:val="24"/>
        </w:rPr>
        <w:tab/>
      </w:r>
      <w:r w:rsidRPr="00B51745">
        <w:rPr>
          <w:szCs w:val="24"/>
        </w:rPr>
        <w:tab/>
      </w:r>
      <w:r w:rsidRPr="00B51745">
        <w:rPr>
          <w:szCs w:val="24"/>
        </w:rPr>
        <w:tab/>
        <w:t xml:space="preserve">Michael J. </w:t>
      </w:r>
      <w:proofErr w:type="spellStart"/>
      <w:r w:rsidRPr="00B51745">
        <w:rPr>
          <w:szCs w:val="24"/>
        </w:rPr>
        <w:t>Godek</w:t>
      </w:r>
      <w:proofErr w:type="spellEnd"/>
      <w:r w:rsidRPr="00B51745">
        <w:rPr>
          <w:szCs w:val="24"/>
        </w:rPr>
        <w:t xml:space="preserve">, </w:t>
      </w:r>
      <w:proofErr w:type="spellStart"/>
      <w:proofErr w:type="gramStart"/>
      <w:r w:rsidRPr="00B51745">
        <w:rPr>
          <w:szCs w:val="24"/>
        </w:rPr>
        <w:t>R.Ph</w:t>
      </w:r>
      <w:proofErr w:type="spellEnd"/>
      <w:proofErr w:type="gramEnd"/>
      <w:r>
        <w:rPr>
          <w:szCs w:val="24"/>
        </w:rPr>
        <w:t xml:space="preserve">, </w:t>
      </w:r>
      <w:r w:rsidRPr="00B51745">
        <w:rPr>
          <w:szCs w:val="24"/>
        </w:rPr>
        <w:t>President</w:t>
      </w:r>
    </w:p>
    <w:p w14:paraId="7E1C9282" w14:textId="77777777" w:rsidR="008C3DBF" w:rsidRPr="00B51745" w:rsidRDefault="008C3DBF" w:rsidP="008C3DBF">
      <w:pPr>
        <w:rPr>
          <w:szCs w:val="24"/>
        </w:rPr>
      </w:pPr>
      <w:r w:rsidRPr="00B51745">
        <w:rPr>
          <w:szCs w:val="24"/>
        </w:rPr>
        <w:tab/>
      </w:r>
      <w:r w:rsidRPr="00B51745">
        <w:rPr>
          <w:szCs w:val="24"/>
        </w:rPr>
        <w:tab/>
      </w:r>
      <w:r w:rsidRPr="00B51745">
        <w:rPr>
          <w:szCs w:val="24"/>
        </w:rPr>
        <w:tab/>
      </w:r>
      <w:r w:rsidRPr="00B51745">
        <w:rPr>
          <w:szCs w:val="24"/>
        </w:rPr>
        <w:tab/>
      </w:r>
    </w:p>
    <w:p w14:paraId="292D874E" w14:textId="77777777" w:rsidR="008C3DBF" w:rsidRPr="00B51745" w:rsidRDefault="008C3DBF" w:rsidP="008C3DBF"/>
    <w:p w14:paraId="52AC7B66" w14:textId="77777777" w:rsidR="008C3DBF" w:rsidRPr="00B51745" w:rsidRDefault="008C3DBF" w:rsidP="008C3DBF">
      <w:r w:rsidRPr="00B51745">
        <w:tab/>
      </w:r>
      <w:r w:rsidRPr="00B51745">
        <w:tab/>
      </w:r>
      <w:r w:rsidRPr="00B51745">
        <w:tab/>
      </w:r>
      <w:r w:rsidRPr="00B51745">
        <w:tab/>
      </w:r>
      <w:r w:rsidRPr="00B51745">
        <w:tab/>
        <w:t xml:space="preserve">By: </w:t>
      </w:r>
      <w:r w:rsidRPr="00B51745">
        <w:tab/>
        <w:t>______________________________</w:t>
      </w:r>
    </w:p>
    <w:p w14:paraId="3E06DD82" w14:textId="77777777" w:rsidR="008C3DBF" w:rsidRPr="00B51745" w:rsidRDefault="008C3DBF" w:rsidP="008C3DBF">
      <w:r w:rsidRPr="00B51745">
        <w:tab/>
      </w:r>
      <w:r w:rsidRPr="00B51745">
        <w:tab/>
      </w:r>
      <w:r w:rsidRPr="00B51745">
        <w:tab/>
      </w:r>
      <w:r w:rsidRPr="00B51745">
        <w:tab/>
      </w:r>
      <w:r w:rsidRPr="00B51745">
        <w:tab/>
      </w:r>
      <w:r w:rsidRPr="00B51745">
        <w:tab/>
        <w:t>Richard L. Banks, Jr., Esq.</w:t>
      </w:r>
    </w:p>
    <w:p w14:paraId="286C9BD2" w14:textId="77777777" w:rsidR="008C3DBF" w:rsidRPr="00B51745" w:rsidRDefault="008C3DBF" w:rsidP="008C3DBF">
      <w:r w:rsidRPr="00B51745">
        <w:tab/>
      </w:r>
      <w:r w:rsidRPr="00B51745">
        <w:tab/>
      </w:r>
      <w:r w:rsidRPr="00B51745">
        <w:tab/>
      </w:r>
      <w:r w:rsidRPr="00B51745">
        <w:tab/>
      </w:r>
      <w:r w:rsidRPr="00B51745">
        <w:tab/>
      </w:r>
      <w:r w:rsidRPr="00B51745">
        <w:tab/>
        <w:t>Department of Public Health</w:t>
      </w:r>
    </w:p>
    <w:p w14:paraId="69A287BA" w14:textId="77777777" w:rsidR="008C3DBF" w:rsidRPr="00B51745" w:rsidRDefault="008C3DBF" w:rsidP="008C3DBF"/>
    <w:p w14:paraId="1B3DCC81" w14:textId="77777777" w:rsidR="008C3DBF" w:rsidRPr="00FB1E0E" w:rsidRDefault="008C3DBF" w:rsidP="008C3DBF">
      <w:r w:rsidRPr="00FB1E0E">
        <w:t xml:space="preserve">Date: </w:t>
      </w:r>
      <w:r>
        <w:t xml:space="preserve">April </w:t>
      </w:r>
      <w:r w:rsidRPr="00FB1E0E">
        <w:t>___, 20</w:t>
      </w:r>
      <w:r>
        <w:t>18</w:t>
      </w:r>
    </w:p>
    <w:p w14:paraId="661B80AF" w14:textId="77777777" w:rsidR="008C3DBF" w:rsidRPr="00AC5577" w:rsidRDefault="008C3DBF" w:rsidP="00AC5577">
      <w:pPr>
        <w:rPr>
          <w:rFonts w:ascii="Century Schoolbook" w:eastAsia="Arial" w:hAnsi="Century Schoolbook"/>
          <w:color w:val="000000"/>
        </w:rPr>
      </w:pPr>
    </w:p>
    <w:sectPr w:rsidR="008C3DBF" w:rsidRPr="00AC557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793DC" w14:textId="77777777" w:rsidR="00E26169" w:rsidRDefault="00E26169" w:rsidP="00AC5577">
      <w:r>
        <w:separator/>
      </w:r>
    </w:p>
  </w:endnote>
  <w:endnote w:type="continuationSeparator" w:id="0">
    <w:p w14:paraId="71EDAE78" w14:textId="77777777" w:rsidR="00E26169" w:rsidRDefault="00E26169" w:rsidP="00AC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1771096"/>
      <w:docPartObj>
        <w:docPartGallery w:val="Page Numbers (Bottom of Page)"/>
        <w:docPartUnique/>
      </w:docPartObj>
    </w:sdtPr>
    <w:sdtEndPr/>
    <w:sdtContent>
      <w:sdt>
        <w:sdtPr>
          <w:id w:val="98381352"/>
          <w:docPartObj>
            <w:docPartGallery w:val="Page Numbers (Top of Page)"/>
            <w:docPartUnique/>
          </w:docPartObj>
        </w:sdtPr>
        <w:sdtEndPr/>
        <w:sdtContent>
          <w:p w14:paraId="104B7C6A" w14:textId="77777777" w:rsidR="00623980" w:rsidRDefault="00623980" w:rsidP="00623980">
            <w:pPr>
              <w:pStyle w:val="Footer"/>
              <w:rPr>
                <w:rFonts w:ascii="Century Schoolbook" w:hAnsi="Century Schoolbook"/>
                <w:sz w:val="20"/>
              </w:rPr>
            </w:pPr>
            <w:r>
              <w:rPr>
                <w:rFonts w:ascii="Century Schoolbook" w:hAnsi="Century Schoolbook"/>
                <w:sz w:val="20"/>
              </w:rPr>
              <w:t>Conley’s Drug Store</w:t>
            </w:r>
          </w:p>
          <w:p w14:paraId="3AF0A1FC" w14:textId="77777777" w:rsidR="00623980" w:rsidRDefault="00623980" w:rsidP="00623980">
            <w:pPr>
              <w:pStyle w:val="Footer"/>
              <w:rPr>
                <w:rFonts w:ascii="Century Schoolbook" w:hAnsi="Century Schoolbook"/>
                <w:sz w:val="20"/>
              </w:rPr>
            </w:pPr>
            <w:r>
              <w:rPr>
                <w:rFonts w:ascii="Century Schoolbook" w:hAnsi="Century Schoolbook"/>
                <w:sz w:val="20"/>
              </w:rPr>
              <w:t>DS2654</w:t>
            </w:r>
          </w:p>
          <w:p w14:paraId="3C831238" w14:textId="77777777" w:rsidR="00623980" w:rsidRPr="00623980" w:rsidRDefault="00623980" w:rsidP="00623980">
            <w:pPr>
              <w:pStyle w:val="Footer"/>
              <w:rPr>
                <w:rFonts w:ascii="Century Schoolbook" w:hAnsi="Century Schoolbook"/>
                <w:sz w:val="20"/>
              </w:rPr>
            </w:pPr>
            <w:r>
              <w:rPr>
                <w:rFonts w:ascii="Century Schoolbook" w:hAnsi="Century Schoolbook"/>
                <w:sz w:val="20"/>
              </w:rPr>
              <w:t>PHA-2016-0188</w:t>
            </w:r>
          </w:p>
          <w:p w14:paraId="0B5EC7BD" w14:textId="77777777" w:rsidR="00AC5577" w:rsidRDefault="00AC5577" w:rsidP="00AC5577">
            <w:pPr>
              <w:pStyle w:val="Footer"/>
              <w:jc w:val="center"/>
            </w:pPr>
            <w:r w:rsidRPr="00AC5577">
              <w:rPr>
                <w:rFonts w:ascii="Century Schoolbook" w:hAnsi="Century Schoolbook"/>
                <w:sz w:val="20"/>
              </w:rPr>
              <w:t xml:space="preserve">Page </w:t>
            </w:r>
            <w:r w:rsidRPr="00AC5577">
              <w:rPr>
                <w:rFonts w:ascii="Century Schoolbook" w:hAnsi="Century Schoolbook"/>
                <w:bCs/>
                <w:sz w:val="20"/>
              </w:rPr>
              <w:fldChar w:fldCharType="begin"/>
            </w:r>
            <w:r w:rsidRPr="00AC5577">
              <w:rPr>
                <w:rFonts w:ascii="Century Schoolbook" w:hAnsi="Century Schoolbook"/>
                <w:bCs/>
                <w:sz w:val="20"/>
              </w:rPr>
              <w:instrText xml:space="preserve"> PAGE </w:instrText>
            </w:r>
            <w:r w:rsidRPr="00AC5577">
              <w:rPr>
                <w:rFonts w:ascii="Century Schoolbook" w:hAnsi="Century Schoolbook"/>
                <w:bCs/>
                <w:sz w:val="20"/>
              </w:rPr>
              <w:fldChar w:fldCharType="separate"/>
            </w:r>
            <w:r w:rsidR="0022628B">
              <w:rPr>
                <w:rFonts w:ascii="Century Schoolbook" w:hAnsi="Century Schoolbook"/>
                <w:bCs/>
                <w:noProof/>
                <w:sz w:val="20"/>
              </w:rPr>
              <w:t>1</w:t>
            </w:r>
            <w:r w:rsidRPr="00AC5577">
              <w:rPr>
                <w:rFonts w:ascii="Century Schoolbook" w:hAnsi="Century Schoolbook"/>
                <w:bCs/>
                <w:sz w:val="20"/>
              </w:rPr>
              <w:fldChar w:fldCharType="end"/>
            </w:r>
            <w:r w:rsidRPr="00AC5577">
              <w:rPr>
                <w:rFonts w:ascii="Century Schoolbook" w:hAnsi="Century Schoolbook"/>
                <w:sz w:val="20"/>
              </w:rPr>
              <w:t xml:space="preserve"> of </w:t>
            </w:r>
            <w:r w:rsidRPr="00AC5577">
              <w:rPr>
                <w:rFonts w:ascii="Century Schoolbook" w:hAnsi="Century Schoolbook"/>
                <w:bCs/>
                <w:sz w:val="20"/>
              </w:rPr>
              <w:fldChar w:fldCharType="begin"/>
            </w:r>
            <w:r w:rsidRPr="00AC5577">
              <w:rPr>
                <w:rFonts w:ascii="Century Schoolbook" w:hAnsi="Century Schoolbook"/>
                <w:bCs/>
                <w:sz w:val="20"/>
              </w:rPr>
              <w:instrText xml:space="preserve"> NUMPAGES  </w:instrText>
            </w:r>
            <w:r w:rsidRPr="00AC5577">
              <w:rPr>
                <w:rFonts w:ascii="Century Schoolbook" w:hAnsi="Century Schoolbook"/>
                <w:bCs/>
                <w:sz w:val="20"/>
              </w:rPr>
              <w:fldChar w:fldCharType="separate"/>
            </w:r>
            <w:r w:rsidR="0022628B">
              <w:rPr>
                <w:rFonts w:ascii="Century Schoolbook" w:hAnsi="Century Schoolbook"/>
                <w:bCs/>
                <w:noProof/>
                <w:sz w:val="20"/>
              </w:rPr>
              <w:t>5</w:t>
            </w:r>
            <w:r w:rsidRPr="00AC5577">
              <w:rPr>
                <w:rFonts w:ascii="Century Schoolbook" w:hAnsi="Century Schoolbook"/>
                <w:bCs/>
                <w:sz w:val="20"/>
              </w:rPr>
              <w:fldChar w:fldCharType="end"/>
            </w:r>
          </w:p>
        </w:sdtContent>
      </w:sdt>
    </w:sdtContent>
  </w:sdt>
  <w:p w14:paraId="4E214585" w14:textId="77777777" w:rsidR="00AC5577" w:rsidRDefault="00AC5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67F89" w14:textId="77777777" w:rsidR="00E26169" w:rsidRDefault="00E26169" w:rsidP="00AC5577">
      <w:r>
        <w:separator/>
      </w:r>
    </w:p>
  </w:footnote>
  <w:footnote w:type="continuationSeparator" w:id="0">
    <w:p w14:paraId="73BC0E6F" w14:textId="77777777" w:rsidR="00E26169" w:rsidRDefault="00E26169" w:rsidP="00AC5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D2D9D"/>
    <w:multiLevelType w:val="multilevel"/>
    <w:tmpl w:val="9A1CC7B6"/>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CD14BB"/>
    <w:multiLevelType w:val="multilevel"/>
    <w:tmpl w:val="DF78B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B7B0322"/>
    <w:multiLevelType w:val="hybridMultilevel"/>
    <w:tmpl w:val="DC7C3916"/>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2B"/>
    <w:rsid w:val="0009609E"/>
    <w:rsid w:val="000B7B29"/>
    <w:rsid w:val="000C55EA"/>
    <w:rsid w:val="000D565E"/>
    <w:rsid w:val="000E4362"/>
    <w:rsid w:val="00131C79"/>
    <w:rsid w:val="00136DAC"/>
    <w:rsid w:val="00153E5C"/>
    <w:rsid w:val="001758F9"/>
    <w:rsid w:val="001957AA"/>
    <w:rsid w:val="001B096B"/>
    <w:rsid w:val="002046FC"/>
    <w:rsid w:val="0022628B"/>
    <w:rsid w:val="002A63C0"/>
    <w:rsid w:val="00327D13"/>
    <w:rsid w:val="003E2724"/>
    <w:rsid w:val="0040676E"/>
    <w:rsid w:val="00421A43"/>
    <w:rsid w:val="004F40A5"/>
    <w:rsid w:val="00545997"/>
    <w:rsid w:val="005475D3"/>
    <w:rsid w:val="005E3105"/>
    <w:rsid w:val="00623980"/>
    <w:rsid w:val="006F7D80"/>
    <w:rsid w:val="007C0A80"/>
    <w:rsid w:val="007E2ABF"/>
    <w:rsid w:val="007F0429"/>
    <w:rsid w:val="007F7E73"/>
    <w:rsid w:val="00807722"/>
    <w:rsid w:val="00810C52"/>
    <w:rsid w:val="008446A2"/>
    <w:rsid w:val="00852F41"/>
    <w:rsid w:val="008A58D9"/>
    <w:rsid w:val="008B145A"/>
    <w:rsid w:val="008C3DBF"/>
    <w:rsid w:val="00915189"/>
    <w:rsid w:val="00916B17"/>
    <w:rsid w:val="00946CB4"/>
    <w:rsid w:val="00A00B2B"/>
    <w:rsid w:val="00A21BE3"/>
    <w:rsid w:val="00A32C05"/>
    <w:rsid w:val="00A73726"/>
    <w:rsid w:val="00A73985"/>
    <w:rsid w:val="00AC2FC8"/>
    <w:rsid w:val="00AC51D7"/>
    <w:rsid w:val="00AC5577"/>
    <w:rsid w:val="00AD66E9"/>
    <w:rsid w:val="00C734BF"/>
    <w:rsid w:val="00C855DF"/>
    <w:rsid w:val="00CD6DB6"/>
    <w:rsid w:val="00CE6D86"/>
    <w:rsid w:val="00DB4266"/>
    <w:rsid w:val="00DB5C49"/>
    <w:rsid w:val="00DB652D"/>
    <w:rsid w:val="00DE3000"/>
    <w:rsid w:val="00DF6FDD"/>
    <w:rsid w:val="00E26169"/>
    <w:rsid w:val="00EF2358"/>
    <w:rsid w:val="00F94815"/>
    <w:rsid w:val="00FB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BAFFAD2"/>
  <w15:docId w15:val="{15B11206-5C53-4F2A-B8CA-57ABB440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B2B"/>
    <w:pPr>
      <w:spacing w:after="0"/>
      <w:jc w:val="left"/>
    </w:pPr>
    <w:rPr>
      <w:rFonts w:ascii="Arial" w:eastAsia="Times New Roman" w:hAnsi="Arial" w:cs="Times New Roman"/>
      <w:szCs w:val="20"/>
    </w:rPr>
  </w:style>
  <w:style w:type="paragraph" w:styleId="Heading1">
    <w:name w:val="heading 1"/>
    <w:basedOn w:val="Normal"/>
    <w:next w:val="Normal"/>
    <w:link w:val="Heading1Char"/>
    <w:uiPriority w:val="9"/>
    <w:qFormat/>
    <w:rsid w:val="008C3D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C5577"/>
    <w:pPr>
      <w:keepNext/>
      <w:spacing w:line="480" w:lineRule="auto"/>
      <w:outlineLvl w:val="1"/>
    </w:pPr>
    <w:rPr>
      <w:rFonts w:ascii="Times New Roman" w:hAnsi="Times New Roman"/>
      <w:u w:val="single"/>
    </w:rPr>
  </w:style>
  <w:style w:type="paragraph" w:styleId="Heading3">
    <w:name w:val="heading 3"/>
    <w:basedOn w:val="Normal"/>
    <w:next w:val="Normal"/>
    <w:link w:val="Heading3Char"/>
    <w:qFormat/>
    <w:rsid w:val="00AC5577"/>
    <w:pPr>
      <w:keepNext/>
      <w:spacing w:line="480" w:lineRule="auto"/>
      <w:outlineLvl w:val="2"/>
    </w:pPr>
  </w:style>
  <w:style w:type="paragraph" w:styleId="Heading4">
    <w:name w:val="heading 4"/>
    <w:basedOn w:val="Normal"/>
    <w:next w:val="Normal"/>
    <w:link w:val="Heading4Char"/>
    <w:qFormat/>
    <w:rsid w:val="008C3DB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FDD"/>
    <w:pPr>
      <w:ind w:left="720"/>
      <w:contextualSpacing/>
    </w:pPr>
  </w:style>
  <w:style w:type="character" w:customStyle="1" w:styleId="Heading2Char">
    <w:name w:val="Heading 2 Char"/>
    <w:basedOn w:val="DefaultParagraphFont"/>
    <w:link w:val="Heading2"/>
    <w:rsid w:val="00AC5577"/>
    <w:rPr>
      <w:rFonts w:ascii="Times New Roman" w:eastAsia="Times New Roman" w:hAnsi="Times New Roman" w:cs="Times New Roman"/>
      <w:szCs w:val="20"/>
      <w:u w:val="single"/>
    </w:rPr>
  </w:style>
  <w:style w:type="character" w:customStyle="1" w:styleId="Heading3Char">
    <w:name w:val="Heading 3 Char"/>
    <w:basedOn w:val="DefaultParagraphFont"/>
    <w:link w:val="Heading3"/>
    <w:rsid w:val="00AC5577"/>
    <w:rPr>
      <w:rFonts w:ascii="Arial" w:eastAsia="Times New Roman" w:hAnsi="Arial" w:cs="Times New Roman"/>
      <w:szCs w:val="20"/>
    </w:rPr>
  </w:style>
  <w:style w:type="character" w:styleId="Strong">
    <w:name w:val="Strong"/>
    <w:basedOn w:val="DefaultParagraphFont"/>
    <w:uiPriority w:val="22"/>
    <w:qFormat/>
    <w:rsid w:val="00AC5577"/>
    <w:rPr>
      <w:b/>
      <w:bCs/>
    </w:rPr>
  </w:style>
  <w:style w:type="paragraph" w:styleId="Header">
    <w:name w:val="header"/>
    <w:basedOn w:val="Normal"/>
    <w:link w:val="HeaderChar"/>
    <w:uiPriority w:val="99"/>
    <w:unhideWhenUsed/>
    <w:rsid w:val="00AC5577"/>
    <w:pPr>
      <w:tabs>
        <w:tab w:val="center" w:pos="4680"/>
        <w:tab w:val="right" w:pos="9360"/>
      </w:tabs>
    </w:pPr>
  </w:style>
  <w:style w:type="character" w:customStyle="1" w:styleId="HeaderChar">
    <w:name w:val="Header Char"/>
    <w:basedOn w:val="DefaultParagraphFont"/>
    <w:link w:val="Header"/>
    <w:uiPriority w:val="99"/>
    <w:rsid w:val="00AC5577"/>
    <w:rPr>
      <w:rFonts w:ascii="Arial" w:eastAsia="Times New Roman" w:hAnsi="Arial" w:cs="Times New Roman"/>
      <w:szCs w:val="20"/>
    </w:rPr>
  </w:style>
  <w:style w:type="paragraph" w:styleId="Footer">
    <w:name w:val="footer"/>
    <w:basedOn w:val="Normal"/>
    <w:link w:val="FooterChar"/>
    <w:unhideWhenUsed/>
    <w:rsid w:val="00AC5577"/>
    <w:pPr>
      <w:tabs>
        <w:tab w:val="center" w:pos="4680"/>
        <w:tab w:val="right" w:pos="9360"/>
      </w:tabs>
    </w:pPr>
  </w:style>
  <w:style w:type="character" w:customStyle="1" w:styleId="FooterChar">
    <w:name w:val="Footer Char"/>
    <w:basedOn w:val="DefaultParagraphFont"/>
    <w:link w:val="Footer"/>
    <w:rsid w:val="00AC5577"/>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A73726"/>
    <w:rPr>
      <w:sz w:val="20"/>
    </w:rPr>
  </w:style>
  <w:style w:type="character" w:customStyle="1" w:styleId="FootnoteTextChar">
    <w:name w:val="Footnote Text Char"/>
    <w:basedOn w:val="DefaultParagraphFont"/>
    <w:link w:val="FootnoteText"/>
    <w:uiPriority w:val="99"/>
    <w:semiHidden/>
    <w:rsid w:val="00A7372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A73726"/>
    <w:rPr>
      <w:vertAlign w:val="superscript"/>
    </w:rPr>
  </w:style>
  <w:style w:type="paragraph" w:styleId="BalloonText">
    <w:name w:val="Balloon Text"/>
    <w:basedOn w:val="Normal"/>
    <w:link w:val="BalloonTextChar"/>
    <w:uiPriority w:val="99"/>
    <w:semiHidden/>
    <w:unhideWhenUsed/>
    <w:rsid w:val="00810C52"/>
    <w:rPr>
      <w:rFonts w:ascii="Tahoma" w:hAnsi="Tahoma" w:cs="Tahoma"/>
      <w:sz w:val="16"/>
      <w:szCs w:val="16"/>
    </w:rPr>
  </w:style>
  <w:style w:type="character" w:customStyle="1" w:styleId="BalloonTextChar">
    <w:name w:val="Balloon Text Char"/>
    <w:basedOn w:val="DefaultParagraphFont"/>
    <w:link w:val="BalloonText"/>
    <w:uiPriority w:val="99"/>
    <w:semiHidden/>
    <w:rsid w:val="00810C52"/>
    <w:rPr>
      <w:rFonts w:ascii="Tahoma" w:eastAsia="Times New Roman" w:hAnsi="Tahoma" w:cs="Tahoma"/>
      <w:sz w:val="16"/>
      <w:szCs w:val="16"/>
    </w:rPr>
  </w:style>
  <w:style w:type="character" w:customStyle="1" w:styleId="Heading1Char">
    <w:name w:val="Heading 1 Char"/>
    <w:basedOn w:val="DefaultParagraphFont"/>
    <w:link w:val="Heading1"/>
    <w:uiPriority w:val="9"/>
    <w:rsid w:val="008C3DBF"/>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rsid w:val="008C3DBF"/>
    <w:rPr>
      <w:rFonts w:ascii="Times New Roman" w:eastAsia="Times New Roman" w:hAnsi="Times New Roman" w:cs="Times New Roman"/>
      <w:b/>
      <w:bCs/>
      <w:sz w:val="28"/>
      <w:szCs w:val="28"/>
    </w:rPr>
  </w:style>
  <w:style w:type="paragraph" w:styleId="BodyText">
    <w:name w:val="Body Text"/>
    <w:basedOn w:val="Normal"/>
    <w:link w:val="BodyTextChar"/>
    <w:rsid w:val="008C3DBF"/>
    <w:pPr>
      <w:spacing w:after="120"/>
    </w:pPr>
    <w:rPr>
      <w:rFonts w:ascii="Times New Roman" w:hAnsi="Times New Roman"/>
    </w:rPr>
  </w:style>
  <w:style w:type="character" w:customStyle="1" w:styleId="BodyTextChar">
    <w:name w:val="Body Text Char"/>
    <w:basedOn w:val="DefaultParagraphFont"/>
    <w:link w:val="BodyText"/>
    <w:rsid w:val="008C3DB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356034">
      <w:bodyDiv w:val="1"/>
      <w:marLeft w:val="0"/>
      <w:marRight w:val="0"/>
      <w:marTop w:val="0"/>
      <w:marBottom w:val="0"/>
      <w:divBdr>
        <w:top w:val="none" w:sz="0" w:space="0" w:color="auto"/>
        <w:left w:val="none" w:sz="0" w:space="0" w:color="auto"/>
        <w:bottom w:val="none" w:sz="0" w:space="0" w:color="auto"/>
        <w:right w:val="none" w:sz="0" w:space="0" w:color="auto"/>
      </w:divBdr>
    </w:div>
    <w:div w:id="1930306958">
      <w:bodyDiv w:val="1"/>
      <w:marLeft w:val="0"/>
      <w:marRight w:val="0"/>
      <w:marTop w:val="0"/>
      <w:marBottom w:val="0"/>
      <w:divBdr>
        <w:top w:val="none" w:sz="0" w:space="0" w:color="auto"/>
        <w:left w:val="none" w:sz="0" w:space="0" w:color="auto"/>
        <w:bottom w:val="none" w:sz="0" w:space="0" w:color="auto"/>
        <w:right w:val="none" w:sz="0" w:space="0" w:color="auto"/>
      </w:divBdr>
    </w:div>
    <w:div w:id="21132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38FC1-4882-4779-A84B-D67BE88FD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Engman</dc:creator>
  <cp:lastModifiedBy>Jensen, Scott A (DPH</cp:lastModifiedBy>
  <cp:revision>3</cp:revision>
  <cp:lastPrinted>2019-10-15T20:00:00Z</cp:lastPrinted>
  <dcterms:created xsi:type="dcterms:W3CDTF">2020-07-06T20:19:00Z</dcterms:created>
  <dcterms:modified xsi:type="dcterms:W3CDTF">2021-02-12T16:47:00Z</dcterms:modified>
</cp:coreProperties>
</file>