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6B3" w:rsidRDefault="00B176B3" w:rsidP="00B176B3">
      <w:pPr>
        <w:jc w:val="center"/>
      </w:pPr>
      <w:r>
        <w:t>COMMONWEALTH OF MASSACHUSETTS</w:t>
      </w:r>
    </w:p>
    <w:p w:rsidR="00B176B3" w:rsidRDefault="00B176B3" w:rsidP="00B176B3"/>
    <w:p w:rsidR="00B176B3" w:rsidRDefault="00B176B3" w:rsidP="00B176B3">
      <w:r>
        <w:t>Middlesex, SS.</w:t>
      </w:r>
      <w:r>
        <w:tab/>
      </w:r>
      <w:r>
        <w:tab/>
      </w:r>
      <w:r>
        <w:tab/>
      </w:r>
      <w:r>
        <w:tab/>
      </w:r>
      <w:r>
        <w:tab/>
      </w:r>
      <w:r>
        <w:tab/>
        <w:t>Board of Registration in Medicine</w:t>
      </w:r>
    </w:p>
    <w:p w:rsidR="00B176B3" w:rsidRDefault="00B176B3" w:rsidP="00B176B3"/>
    <w:p w:rsidR="00B176B3" w:rsidRDefault="00B176B3" w:rsidP="00B176B3">
      <w:r>
        <w:tab/>
      </w:r>
      <w:r>
        <w:tab/>
      </w:r>
      <w:r>
        <w:tab/>
      </w:r>
      <w:r>
        <w:tab/>
      </w:r>
      <w:r>
        <w:tab/>
      </w:r>
      <w:r>
        <w:tab/>
      </w:r>
      <w:r>
        <w:tab/>
      </w:r>
      <w:r>
        <w:tab/>
        <w:t>Adjudicatory Case No.</w:t>
      </w:r>
      <w:r w:rsidR="00F70175">
        <w:t xml:space="preserve"> 2019-001</w:t>
      </w:r>
    </w:p>
    <w:p w:rsidR="00B176B3" w:rsidRDefault="00B176B3" w:rsidP="00B176B3"/>
    <w:p w:rsidR="00B176B3" w:rsidRDefault="00B176B3" w:rsidP="00B176B3">
      <w:pPr>
        <w:pBdr>
          <w:top w:val="single" w:sz="4" w:space="1" w:color="auto"/>
          <w:bottom w:val="single" w:sz="4" w:space="1" w:color="auto"/>
          <w:right w:val="single" w:sz="4" w:space="4" w:color="auto"/>
        </w:pBdr>
        <w:ind w:right="5670"/>
      </w:pPr>
      <w:r>
        <w:tab/>
      </w:r>
      <w:r>
        <w:tab/>
      </w:r>
      <w:r>
        <w:tab/>
      </w:r>
      <w:r>
        <w:tab/>
      </w:r>
      <w:r>
        <w:tab/>
      </w:r>
    </w:p>
    <w:p w:rsidR="00B176B3" w:rsidRDefault="00B176B3" w:rsidP="00B176B3">
      <w:pPr>
        <w:pBdr>
          <w:top w:val="single" w:sz="4" w:space="1" w:color="auto"/>
          <w:bottom w:val="single" w:sz="4" w:space="1" w:color="auto"/>
          <w:right w:val="single" w:sz="4" w:space="4" w:color="auto"/>
        </w:pBdr>
        <w:ind w:right="5670"/>
      </w:pPr>
      <w:r>
        <w:t>In the Matter of</w:t>
      </w:r>
      <w:r>
        <w:tab/>
      </w:r>
      <w:r>
        <w:tab/>
      </w:r>
      <w:r>
        <w:tab/>
      </w:r>
    </w:p>
    <w:p w:rsidR="00B176B3" w:rsidRDefault="00B176B3" w:rsidP="00B176B3">
      <w:pPr>
        <w:pBdr>
          <w:top w:val="single" w:sz="4" w:space="1" w:color="auto"/>
          <w:bottom w:val="single" w:sz="4" w:space="1" w:color="auto"/>
          <w:right w:val="single" w:sz="4" w:space="4" w:color="auto"/>
        </w:pBdr>
        <w:ind w:right="5670"/>
      </w:pPr>
      <w:r>
        <w:tab/>
      </w:r>
      <w:r>
        <w:tab/>
      </w:r>
      <w:r>
        <w:tab/>
      </w:r>
      <w:r>
        <w:tab/>
      </w:r>
      <w:r>
        <w:tab/>
      </w:r>
    </w:p>
    <w:p w:rsidR="00B176B3" w:rsidRDefault="008C2B25" w:rsidP="00B176B3">
      <w:pPr>
        <w:pBdr>
          <w:top w:val="single" w:sz="4" w:space="1" w:color="auto"/>
          <w:bottom w:val="single" w:sz="4" w:space="1" w:color="auto"/>
          <w:right w:val="single" w:sz="4" w:space="4" w:color="auto"/>
        </w:pBdr>
        <w:ind w:right="5670"/>
      </w:pPr>
      <w:r>
        <w:t>Lissette M. Bouret-</w:t>
      </w:r>
      <w:r w:rsidR="00B176B3">
        <w:t>Echevarria, M.D.</w:t>
      </w:r>
      <w:r w:rsidR="00B176B3">
        <w:tab/>
      </w:r>
    </w:p>
    <w:p w:rsidR="00B176B3" w:rsidRDefault="00B176B3" w:rsidP="00B176B3">
      <w:pPr>
        <w:pBdr>
          <w:top w:val="single" w:sz="4" w:space="1" w:color="auto"/>
          <w:bottom w:val="single" w:sz="4" w:space="1" w:color="auto"/>
          <w:right w:val="single" w:sz="4" w:space="4" w:color="auto"/>
        </w:pBdr>
        <w:ind w:right="5670"/>
      </w:pPr>
    </w:p>
    <w:p w:rsidR="00B176B3" w:rsidRDefault="00B176B3" w:rsidP="00B176B3"/>
    <w:p w:rsidR="00B176B3" w:rsidRDefault="00B176B3" w:rsidP="00B176B3">
      <w:pPr>
        <w:jc w:val="center"/>
        <w:rPr>
          <w:szCs w:val="24"/>
        </w:rPr>
      </w:pPr>
      <w:r>
        <w:rPr>
          <w:b/>
          <w:szCs w:val="24"/>
          <w:u w:val="single"/>
        </w:rPr>
        <w:t xml:space="preserve">CONSENT ORDER </w:t>
      </w:r>
    </w:p>
    <w:p w:rsidR="00B176B3" w:rsidRDefault="00B176B3" w:rsidP="00B176B3">
      <w:pPr>
        <w:rPr>
          <w:szCs w:val="24"/>
        </w:rPr>
      </w:pPr>
    </w:p>
    <w:p w:rsidR="00B176B3" w:rsidRDefault="00B176B3" w:rsidP="00B176B3">
      <w:pPr>
        <w:spacing w:line="480" w:lineRule="auto"/>
        <w:rPr>
          <w:szCs w:val="24"/>
        </w:rPr>
      </w:pPr>
      <w:r>
        <w:rPr>
          <w:szCs w:val="24"/>
        </w:rPr>
        <w:tab/>
        <w:t xml:space="preserve">Pursuant to G.L. c. 30A, § 10, </w:t>
      </w:r>
      <w:r w:rsidR="002521EA">
        <w:t>Lissette M. Bouret-</w:t>
      </w:r>
      <w:r>
        <w:t>Echevarria</w:t>
      </w:r>
      <w:r>
        <w:rPr>
          <w:szCs w:val="24"/>
        </w:rPr>
        <w:t>, M.D.</w:t>
      </w:r>
      <w:r>
        <w:rPr>
          <w:color w:val="FF0000"/>
          <w:szCs w:val="24"/>
        </w:rPr>
        <w:t xml:space="preserve"> </w:t>
      </w:r>
      <w:r>
        <w:rPr>
          <w:szCs w:val="24"/>
        </w:rPr>
        <w:t>(“the Respondent”) and the Board of Registration in Medicine (the “Board”) (hereinafter referred to jointly as the “Parties”) agree that the Board may issue this Consent Order to resolve the above-captioned matter.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 16-283.</w:t>
      </w:r>
    </w:p>
    <w:p w:rsidR="00FE1FCF" w:rsidRDefault="00B176B3" w:rsidP="00B176B3">
      <w:pPr>
        <w:jc w:val="center"/>
        <w:rPr>
          <w:szCs w:val="24"/>
        </w:rPr>
      </w:pPr>
      <w:r>
        <w:rPr>
          <w:szCs w:val="24"/>
          <w:u w:val="single"/>
        </w:rPr>
        <w:t>FINDINGS OF FACT</w:t>
      </w:r>
    </w:p>
    <w:p w:rsidR="00B176B3" w:rsidRDefault="00B176B3" w:rsidP="00B176B3">
      <w:pPr>
        <w:rPr>
          <w:szCs w:val="24"/>
        </w:rPr>
      </w:pPr>
    </w:p>
    <w:p w:rsidR="00B176B3" w:rsidRDefault="00B176B3" w:rsidP="00B176B3">
      <w:pPr>
        <w:pStyle w:val="ListParagraph"/>
        <w:numPr>
          <w:ilvl w:val="0"/>
          <w:numId w:val="1"/>
        </w:numPr>
        <w:spacing w:line="480" w:lineRule="auto"/>
        <w:ind w:left="0" w:firstLine="720"/>
        <w:rPr>
          <w:szCs w:val="24"/>
        </w:rPr>
      </w:pPr>
      <w:r w:rsidRPr="00B176B3">
        <w:rPr>
          <w:szCs w:val="24"/>
        </w:rPr>
        <w:t>The Respondent</w:t>
      </w:r>
      <w:r>
        <w:rPr>
          <w:szCs w:val="24"/>
        </w:rPr>
        <w:t xml:space="preserve"> was born on March 21, 1964.  She graduated from the University of Puerto Rico School of Medicine in June 2000.  The Respondent is board-certified in Family Medicine and has been licensed to practice medicine in Massachusetts since November 2015 under certificate number 265252.  The Respondent is affiliated with AFC Urgent Care in Malden.</w:t>
      </w:r>
      <w:r w:rsidR="009A1795">
        <w:rPr>
          <w:szCs w:val="24"/>
        </w:rPr>
        <w:t xml:space="preserve">  The Respondent had previously been affiliated with Dimock Community Health Center (Dimock).</w:t>
      </w:r>
    </w:p>
    <w:p w:rsidR="00B176B3" w:rsidRDefault="00885F2B" w:rsidP="00B176B3">
      <w:pPr>
        <w:pStyle w:val="ListParagraph"/>
        <w:numPr>
          <w:ilvl w:val="0"/>
          <w:numId w:val="1"/>
        </w:numPr>
        <w:spacing w:line="480" w:lineRule="auto"/>
        <w:ind w:left="0" w:firstLine="720"/>
        <w:rPr>
          <w:szCs w:val="24"/>
        </w:rPr>
      </w:pPr>
      <w:r>
        <w:rPr>
          <w:szCs w:val="24"/>
        </w:rPr>
        <w:t xml:space="preserve">In August 2016, the Board received a complaint that the Respondent had inappropriately prescribed thyroid medication to patients for whom it was not </w:t>
      </w:r>
      <w:r w:rsidR="009A1795">
        <w:rPr>
          <w:szCs w:val="24"/>
        </w:rPr>
        <w:t xml:space="preserve">indicated when she </w:t>
      </w:r>
      <w:r w:rsidR="009A1795">
        <w:rPr>
          <w:szCs w:val="24"/>
        </w:rPr>
        <w:lastRenderedPageBreak/>
        <w:t>was employed as a locum tenens at Dimock.  While employed at Dimock, the Respondent provided substanda</w:t>
      </w:r>
      <w:r w:rsidR="00120CD0">
        <w:rPr>
          <w:szCs w:val="24"/>
        </w:rPr>
        <w:t>rd care to Patients A, B, and C by prescribing thyroid medication or increasing the dosage of thyroid medication to them when it was not warranted.</w:t>
      </w:r>
    </w:p>
    <w:p w:rsidR="00120CD0" w:rsidRPr="00120CD0" w:rsidRDefault="00120CD0" w:rsidP="00120CD0">
      <w:pPr>
        <w:pStyle w:val="ListParagraph"/>
        <w:spacing w:line="480" w:lineRule="auto"/>
        <w:ind w:left="0"/>
        <w:rPr>
          <w:szCs w:val="24"/>
        </w:rPr>
      </w:pPr>
      <w:r>
        <w:rPr>
          <w:szCs w:val="24"/>
          <w:u w:val="single"/>
        </w:rPr>
        <w:t>Patient A</w:t>
      </w:r>
    </w:p>
    <w:p w:rsidR="00120CD0" w:rsidRDefault="005807C1" w:rsidP="00B176B3">
      <w:pPr>
        <w:pStyle w:val="ListParagraph"/>
        <w:numPr>
          <w:ilvl w:val="0"/>
          <w:numId w:val="1"/>
        </w:numPr>
        <w:spacing w:line="480" w:lineRule="auto"/>
        <w:ind w:left="0" w:firstLine="720"/>
        <w:rPr>
          <w:szCs w:val="24"/>
        </w:rPr>
      </w:pPr>
      <w:r>
        <w:rPr>
          <w:szCs w:val="24"/>
        </w:rPr>
        <w:t>Patient A was an 82 year old man when he sought treatment from the Respondent</w:t>
      </w:r>
      <w:r w:rsidR="004A584B">
        <w:rPr>
          <w:szCs w:val="24"/>
        </w:rPr>
        <w:t xml:space="preserve"> on May 5, 2016</w:t>
      </w:r>
      <w:r>
        <w:rPr>
          <w:szCs w:val="24"/>
        </w:rPr>
        <w:t>.  Patient A had mild elevations of thyroid stimulating hormone (TSH) and a minor reduction of free thyroxine (FT4).</w:t>
      </w:r>
    </w:p>
    <w:p w:rsidR="004A584B" w:rsidRDefault="004A584B" w:rsidP="00B176B3">
      <w:pPr>
        <w:pStyle w:val="ListParagraph"/>
        <w:numPr>
          <w:ilvl w:val="0"/>
          <w:numId w:val="1"/>
        </w:numPr>
        <w:spacing w:line="480" w:lineRule="auto"/>
        <w:ind w:left="0" w:firstLine="720"/>
        <w:rPr>
          <w:szCs w:val="24"/>
        </w:rPr>
      </w:pPr>
      <w:r>
        <w:rPr>
          <w:szCs w:val="24"/>
        </w:rPr>
        <w:t>The Respondent prescribed 75 mcg of Levothyroxine to Patient A on May 5, 2016.</w:t>
      </w:r>
    </w:p>
    <w:p w:rsidR="004A584B" w:rsidRDefault="004A584B" w:rsidP="00B176B3">
      <w:pPr>
        <w:pStyle w:val="ListParagraph"/>
        <w:numPr>
          <w:ilvl w:val="0"/>
          <w:numId w:val="1"/>
        </w:numPr>
        <w:spacing w:line="480" w:lineRule="auto"/>
        <w:ind w:left="0" w:firstLine="720"/>
        <w:rPr>
          <w:szCs w:val="24"/>
        </w:rPr>
      </w:pPr>
      <w:r>
        <w:rPr>
          <w:szCs w:val="24"/>
        </w:rPr>
        <w:t>On May 27, 2016, the Respondent increased Patient A’s Levothyroxine to 100 mcg.</w:t>
      </w:r>
    </w:p>
    <w:p w:rsidR="00382C10" w:rsidRDefault="00382C10" w:rsidP="00B176B3">
      <w:pPr>
        <w:pStyle w:val="ListParagraph"/>
        <w:numPr>
          <w:ilvl w:val="0"/>
          <w:numId w:val="1"/>
        </w:numPr>
        <w:spacing w:line="480" w:lineRule="auto"/>
        <w:ind w:left="0" w:firstLine="720"/>
        <w:rPr>
          <w:szCs w:val="24"/>
        </w:rPr>
      </w:pPr>
      <w:r>
        <w:rPr>
          <w:szCs w:val="24"/>
        </w:rPr>
        <w:t>The Respondent did not document her rationale for prescribing the Levothyroxine or for increasing the dosage.</w:t>
      </w:r>
    </w:p>
    <w:p w:rsidR="005807C1" w:rsidRDefault="005807C1" w:rsidP="00B176B3">
      <w:pPr>
        <w:pStyle w:val="ListParagraph"/>
        <w:numPr>
          <w:ilvl w:val="0"/>
          <w:numId w:val="1"/>
        </w:numPr>
        <w:spacing w:line="480" w:lineRule="auto"/>
        <w:ind w:left="0" w:firstLine="720"/>
        <w:rPr>
          <w:szCs w:val="24"/>
        </w:rPr>
      </w:pPr>
      <w:r>
        <w:rPr>
          <w:szCs w:val="24"/>
        </w:rPr>
        <w:t>Patient A missed the endocrinology consultation that had been arranged for him and the Respondent did not attempt to rebook the appointment.</w:t>
      </w:r>
    </w:p>
    <w:p w:rsidR="004A584B" w:rsidRDefault="004A584B" w:rsidP="00B176B3">
      <w:pPr>
        <w:pStyle w:val="ListParagraph"/>
        <w:numPr>
          <w:ilvl w:val="0"/>
          <w:numId w:val="1"/>
        </w:numPr>
        <w:spacing w:line="480" w:lineRule="auto"/>
        <w:ind w:left="0" w:firstLine="720"/>
        <w:rPr>
          <w:szCs w:val="24"/>
        </w:rPr>
      </w:pPr>
      <w:r>
        <w:rPr>
          <w:szCs w:val="24"/>
        </w:rPr>
        <w:t>Patient A had no physical symptoms of hypothyroidism.</w:t>
      </w:r>
    </w:p>
    <w:p w:rsidR="005807C1" w:rsidRDefault="005807C1" w:rsidP="005807C1">
      <w:pPr>
        <w:pStyle w:val="ListParagraph"/>
        <w:numPr>
          <w:ilvl w:val="0"/>
          <w:numId w:val="1"/>
        </w:numPr>
        <w:spacing w:line="480" w:lineRule="auto"/>
        <w:ind w:left="0" w:firstLine="720"/>
        <w:rPr>
          <w:szCs w:val="24"/>
        </w:rPr>
      </w:pPr>
      <w:r>
        <w:rPr>
          <w:szCs w:val="24"/>
        </w:rPr>
        <w:t>Given Patient A’s thyroid test results, his advanced age,</w:t>
      </w:r>
      <w:r w:rsidR="004A584B">
        <w:rPr>
          <w:szCs w:val="24"/>
        </w:rPr>
        <w:t xml:space="preserve"> lack of symptoms,</w:t>
      </w:r>
      <w:r>
        <w:rPr>
          <w:szCs w:val="24"/>
        </w:rPr>
        <w:t xml:space="preserve"> and the fact that he did not have an endocrinology consultation, prescribing thyroid replacement therapy to Patient A </w:t>
      </w:r>
      <w:r w:rsidR="004A584B">
        <w:rPr>
          <w:szCs w:val="24"/>
        </w:rPr>
        <w:t xml:space="preserve">and then increasing the dose </w:t>
      </w:r>
      <w:r>
        <w:rPr>
          <w:szCs w:val="24"/>
        </w:rPr>
        <w:t>was below the standard of care.</w:t>
      </w:r>
    </w:p>
    <w:p w:rsidR="005807C1" w:rsidRPr="004A584B" w:rsidRDefault="004A584B" w:rsidP="004A584B">
      <w:pPr>
        <w:pStyle w:val="ListParagraph"/>
        <w:spacing w:line="480" w:lineRule="auto"/>
        <w:ind w:left="0"/>
        <w:rPr>
          <w:szCs w:val="24"/>
          <w:u w:val="single"/>
        </w:rPr>
      </w:pPr>
      <w:r w:rsidRPr="004A584B">
        <w:rPr>
          <w:szCs w:val="24"/>
          <w:u w:val="single"/>
        </w:rPr>
        <w:t>Patient B</w:t>
      </w:r>
    </w:p>
    <w:p w:rsidR="005807C1" w:rsidRDefault="00792F58" w:rsidP="005807C1">
      <w:pPr>
        <w:pStyle w:val="ListParagraph"/>
        <w:numPr>
          <w:ilvl w:val="0"/>
          <w:numId w:val="1"/>
        </w:numPr>
        <w:spacing w:line="480" w:lineRule="auto"/>
        <w:ind w:left="0" w:firstLine="720"/>
        <w:rPr>
          <w:szCs w:val="24"/>
        </w:rPr>
      </w:pPr>
      <w:r>
        <w:rPr>
          <w:szCs w:val="24"/>
        </w:rPr>
        <w:t xml:space="preserve">The Respondent first saw </w:t>
      </w:r>
      <w:r w:rsidR="004A584B">
        <w:rPr>
          <w:szCs w:val="24"/>
        </w:rPr>
        <w:t>Patient B</w:t>
      </w:r>
      <w:r>
        <w:rPr>
          <w:szCs w:val="24"/>
        </w:rPr>
        <w:t>,</w:t>
      </w:r>
      <w:r w:rsidR="004A584B">
        <w:rPr>
          <w:szCs w:val="24"/>
        </w:rPr>
        <w:t xml:space="preserve"> a 59 year old woman</w:t>
      </w:r>
      <w:r>
        <w:rPr>
          <w:szCs w:val="24"/>
        </w:rPr>
        <w:t>,</w:t>
      </w:r>
      <w:r w:rsidR="004A584B">
        <w:rPr>
          <w:szCs w:val="24"/>
        </w:rPr>
        <w:t xml:space="preserve"> </w:t>
      </w:r>
      <w:r>
        <w:rPr>
          <w:szCs w:val="24"/>
        </w:rPr>
        <w:t>on April 25, 2016 and ordered lab tests.</w:t>
      </w:r>
    </w:p>
    <w:p w:rsidR="008A3B4E" w:rsidRDefault="008A3B4E" w:rsidP="005807C1">
      <w:pPr>
        <w:pStyle w:val="ListParagraph"/>
        <w:numPr>
          <w:ilvl w:val="0"/>
          <w:numId w:val="1"/>
        </w:numPr>
        <w:spacing w:line="480" w:lineRule="auto"/>
        <w:ind w:left="0" w:firstLine="720"/>
        <w:rPr>
          <w:szCs w:val="24"/>
        </w:rPr>
      </w:pPr>
      <w:r>
        <w:rPr>
          <w:szCs w:val="24"/>
        </w:rPr>
        <w:lastRenderedPageBreak/>
        <w:t>Patient B had no symptoms of hypothyroidism, no physical manifestations of hypothyroidism, and normal TSH levels.</w:t>
      </w:r>
    </w:p>
    <w:p w:rsidR="00382C10" w:rsidRDefault="00382C10" w:rsidP="00382C10">
      <w:pPr>
        <w:pStyle w:val="ListParagraph"/>
        <w:numPr>
          <w:ilvl w:val="0"/>
          <w:numId w:val="1"/>
        </w:numPr>
        <w:spacing w:line="480" w:lineRule="auto"/>
        <w:ind w:left="0" w:firstLine="720"/>
        <w:rPr>
          <w:szCs w:val="24"/>
        </w:rPr>
      </w:pPr>
      <w:r>
        <w:rPr>
          <w:szCs w:val="24"/>
        </w:rPr>
        <w:t>On May 9, 2016, the Respondent prescribed 25 m</w:t>
      </w:r>
      <w:r w:rsidR="000D5954">
        <w:rPr>
          <w:szCs w:val="24"/>
        </w:rPr>
        <w:t>cg of Levothyroxine to Patient B</w:t>
      </w:r>
      <w:r>
        <w:rPr>
          <w:szCs w:val="24"/>
        </w:rPr>
        <w:t xml:space="preserve"> without documenting a rationale for doing so.</w:t>
      </w:r>
    </w:p>
    <w:p w:rsidR="00792F58" w:rsidRDefault="00792F58" w:rsidP="00382C10">
      <w:pPr>
        <w:pStyle w:val="ListParagraph"/>
        <w:numPr>
          <w:ilvl w:val="0"/>
          <w:numId w:val="1"/>
        </w:numPr>
        <w:spacing w:line="480" w:lineRule="auto"/>
        <w:ind w:left="0" w:firstLine="720"/>
        <w:rPr>
          <w:szCs w:val="24"/>
        </w:rPr>
      </w:pPr>
      <w:r>
        <w:rPr>
          <w:szCs w:val="24"/>
        </w:rPr>
        <w:t>Respondent’s prescribing of thyroid medication to Patient B was below the standard of care.</w:t>
      </w:r>
    </w:p>
    <w:p w:rsidR="00382C10" w:rsidRPr="00382C10" w:rsidRDefault="00382C10" w:rsidP="00382C10">
      <w:pPr>
        <w:pStyle w:val="ListParagraph"/>
        <w:spacing w:line="480" w:lineRule="auto"/>
        <w:ind w:left="0"/>
        <w:rPr>
          <w:szCs w:val="24"/>
          <w:u w:val="single"/>
        </w:rPr>
      </w:pPr>
      <w:r w:rsidRPr="00382C10">
        <w:rPr>
          <w:szCs w:val="24"/>
          <w:u w:val="single"/>
        </w:rPr>
        <w:t>Patient C</w:t>
      </w:r>
    </w:p>
    <w:p w:rsidR="00382C10" w:rsidRDefault="00382C10" w:rsidP="00382C10">
      <w:pPr>
        <w:pStyle w:val="ListParagraph"/>
        <w:numPr>
          <w:ilvl w:val="0"/>
          <w:numId w:val="1"/>
        </w:numPr>
        <w:spacing w:line="480" w:lineRule="auto"/>
        <w:ind w:left="0" w:firstLine="720"/>
        <w:rPr>
          <w:szCs w:val="24"/>
        </w:rPr>
      </w:pPr>
      <w:r>
        <w:rPr>
          <w:szCs w:val="24"/>
        </w:rPr>
        <w:t>Patient C was a 44 year old woman who first saw the Respondent on March 24, 2016 for follow-up on a complaint of fatigue.</w:t>
      </w:r>
    </w:p>
    <w:p w:rsidR="00382C10" w:rsidRDefault="00382C10" w:rsidP="00382C10">
      <w:pPr>
        <w:pStyle w:val="ListParagraph"/>
        <w:numPr>
          <w:ilvl w:val="0"/>
          <w:numId w:val="1"/>
        </w:numPr>
        <w:spacing w:line="480" w:lineRule="auto"/>
        <w:ind w:left="0" w:firstLine="720"/>
        <w:rPr>
          <w:szCs w:val="24"/>
        </w:rPr>
      </w:pPr>
      <w:r>
        <w:rPr>
          <w:szCs w:val="24"/>
        </w:rPr>
        <w:t xml:space="preserve">Patient C suffered from anxiety and depression and was on a significant dose of </w:t>
      </w:r>
      <w:r w:rsidR="004349A5">
        <w:rPr>
          <w:szCs w:val="24"/>
        </w:rPr>
        <w:t>a s</w:t>
      </w:r>
      <w:r w:rsidR="004349A5" w:rsidRPr="004349A5">
        <w:rPr>
          <w:szCs w:val="24"/>
        </w:rPr>
        <w:t>electi</w:t>
      </w:r>
      <w:r w:rsidR="004349A5">
        <w:rPr>
          <w:szCs w:val="24"/>
        </w:rPr>
        <w:t>ve serotonin reuptake inhibitor (SSRI</w:t>
      </w:r>
      <w:r w:rsidR="004349A5" w:rsidRPr="004349A5">
        <w:rPr>
          <w:szCs w:val="24"/>
        </w:rPr>
        <w:t>)</w:t>
      </w:r>
      <w:r w:rsidR="004349A5">
        <w:rPr>
          <w:szCs w:val="24"/>
        </w:rPr>
        <w:t>, which can alter thyroid hormone levels.</w:t>
      </w:r>
    </w:p>
    <w:p w:rsidR="004349A5" w:rsidRDefault="004349A5" w:rsidP="00382C10">
      <w:pPr>
        <w:pStyle w:val="ListParagraph"/>
        <w:numPr>
          <w:ilvl w:val="0"/>
          <w:numId w:val="1"/>
        </w:numPr>
        <w:spacing w:line="480" w:lineRule="auto"/>
        <w:ind w:left="0" w:firstLine="720"/>
        <w:rPr>
          <w:szCs w:val="24"/>
        </w:rPr>
      </w:pPr>
      <w:r>
        <w:rPr>
          <w:szCs w:val="24"/>
        </w:rPr>
        <w:t>Patient C had minimal elevations of TSH and low normal levels of FT4.</w:t>
      </w:r>
    </w:p>
    <w:p w:rsidR="004349A5" w:rsidRDefault="001B7245" w:rsidP="00382C10">
      <w:pPr>
        <w:pStyle w:val="ListParagraph"/>
        <w:numPr>
          <w:ilvl w:val="0"/>
          <w:numId w:val="1"/>
        </w:numPr>
        <w:spacing w:line="480" w:lineRule="auto"/>
        <w:ind w:left="0" w:firstLine="720"/>
        <w:rPr>
          <w:szCs w:val="24"/>
        </w:rPr>
      </w:pPr>
      <w:r>
        <w:rPr>
          <w:szCs w:val="24"/>
        </w:rPr>
        <w:t>On Ma</w:t>
      </w:r>
      <w:r w:rsidR="00105612">
        <w:rPr>
          <w:szCs w:val="24"/>
        </w:rPr>
        <w:t>y 24, 2016, the Respondent prescribed 100 mcg of Synthroid to Patient C.</w:t>
      </w:r>
    </w:p>
    <w:p w:rsidR="00105612" w:rsidRDefault="00105612" w:rsidP="00382C10">
      <w:pPr>
        <w:pStyle w:val="ListParagraph"/>
        <w:numPr>
          <w:ilvl w:val="0"/>
          <w:numId w:val="1"/>
        </w:numPr>
        <w:spacing w:line="480" w:lineRule="auto"/>
        <w:ind w:left="0" w:firstLine="720"/>
        <w:rPr>
          <w:szCs w:val="24"/>
        </w:rPr>
      </w:pPr>
      <w:r>
        <w:rPr>
          <w:szCs w:val="24"/>
        </w:rPr>
        <w:t>On May 5, 2016, when Patient C was feeling a little better but still fatigued, the Respondent increased Patient C’s dose to 125 mcg of Synthroid.</w:t>
      </w:r>
    </w:p>
    <w:p w:rsidR="00105612" w:rsidRDefault="00105612" w:rsidP="00382C10">
      <w:pPr>
        <w:pStyle w:val="ListParagraph"/>
        <w:numPr>
          <w:ilvl w:val="0"/>
          <w:numId w:val="1"/>
        </w:numPr>
        <w:spacing w:line="480" w:lineRule="auto"/>
        <w:ind w:left="0" w:firstLine="720"/>
        <w:rPr>
          <w:szCs w:val="24"/>
        </w:rPr>
      </w:pPr>
      <w:r>
        <w:rPr>
          <w:szCs w:val="24"/>
        </w:rPr>
        <w:t>The Respondent did not refer Patient C to an endocrinologist for consultation.</w:t>
      </w:r>
    </w:p>
    <w:p w:rsidR="00105612" w:rsidRDefault="00105612" w:rsidP="00382C10">
      <w:pPr>
        <w:pStyle w:val="ListParagraph"/>
        <w:numPr>
          <w:ilvl w:val="0"/>
          <w:numId w:val="1"/>
        </w:numPr>
        <w:spacing w:line="480" w:lineRule="auto"/>
        <w:ind w:left="0" w:firstLine="720"/>
        <w:rPr>
          <w:szCs w:val="24"/>
        </w:rPr>
      </w:pPr>
      <w:r>
        <w:rPr>
          <w:szCs w:val="24"/>
        </w:rPr>
        <w:t>Given Patient C’s SSRI medications, her borderline thyroid hormone results, it was below the standard of care to prescribe and increase thyroid replacement medication to Patient C without first sending her for an endocrinology consultation.</w:t>
      </w:r>
    </w:p>
    <w:p w:rsidR="00105612" w:rsidRDefault="00105612" w:rsidP="00105612">
      <w:pPr>
        <w:pStyle w:val="ListParagraph"/>
        <w:spacing w:line="480" w:lineRule="auto"/>
        <w:ind w:left="0"/>
        <w:jc w:val="center"/>
        <w:rPr>
          <w:u w:val="single"/>
        </w:rPr>
      </w:pPr>
      <w:r>
        <w:rPr>
          <w:u w:val="single"/>
        </w:rPr>
        <w:t>Conclusions of Law</w:t>
      </w:r>
    </w:p>
    <w:p w:rsidR="004103EE" w:rsidRPr="004103EE" w:rsidRDefault="004103EE" w:rsidP="004103EE">
      <w:pPr>
        <w:pStyle w:val="ListParagraph"/>
        <w:numPr>
          <w:ilvl w:val="0"/>
          <w:numId w:val="2"/>
        </w:numPr>
        <w:spacing w:line="480" w:lineRule="auto"/>
        <w:ind w:left="0" w:firstLine="720"/>
      </w:pPr>
      <w:r w:rsidRPr="004103EE">
        <w:t xml:space="preserve"> The Respondent has violated G.L. c. 112, § 5, eighth par. (c) and 243 CMR 1.03(5)(a)3 by engaging in conduct that places into question the Respondent's competence to practice medicine including practici</w:t>
      </w:r>
      <w:r w:rsidR="009478D4">
        <w:t>ng medicine with negligence on</w:t>
      </w:r>
      <w:r w:rsidRPr="004103EE">
        <w:t xml:space="preserve"> repeated occasions.</w:t>
      </w:r>
    </w:p>
    <w:p w:rsidR="00105612" w:rsidRPr="004103EE" w:rsidRDefault="00105612" w:rsidP="00105612">
      <w:pPr>
        <w:pStyle w:val="ListParagraph"/>
        <w:numPr>
          <w:ilvl w:val="0"/>
          <w:numId w:val="2"/>
        </w:numPr>
        <w:spacing w:line="480" w:lineRule="auto"/>
        <w:ind w:left="0" w:firstLine="720"/>
      </w:pPr>
      <w:r w:rsidRPr="004103EE">
        <w:t>The Respondent has violated G.L. c. 112, § 5, eighth para. (h) and 243 CMR 1.03(5)(a)11 by violating a Board regulation – to wit:</w:t>
      </w:r>
    </w:p>
    <w:p w:rsidR="00105612" w:rsidRPr="004103EE" w:rsidRDefault="00105612" w:rsidP="00105612">
      <w:pPr>
        <w:pStyle w:val="ListParagraph"/>
        <w:spacing w:line="480" w:lineRule="auto"/>
        <w:ind w:firstLine="720"/>
      </w:pPr>
      <w:r w:rsidRPr="004103EE">
        <w:t>1.</w:t>
      </w:r>
      <w:r w:rsidRPr="004103EE">
        <w:tab/>
        <w:t xml:space="preserve">243 CMR 2.07(13)(a) maintain a medical record for each patient that is complete, timely, legible, and adequate to enable the licensee or any other health care provider to provide proper diagnosis and treatment. </w:t>
      </w:r>
    </w:p>
    <w:p w:rsidR="00105612" w:rsidRPr="004103EE" w:rsidRDefault="00105612" w:rsidP="00105612">
      <w:pPr>
        <w:widowControl w:val="0"/>
        <w:spacing w:line="480" w:lineRule="auto"/>
        <w:jc w:val="center"/>
        <w:rPr>
          <w:u w:val="single"/>
        </w:rPr>
      </w:pPr>
      <w:r w:rsidRPr="004103EE">
        <w:rPr>
          <w:u w:val="single"/>
        </w:rPr>
        <w:t>Sanction and Order</w:t>
      </w:r>
    </w:p>
    <w:p w:rsidR="00105612" w:rsidRPr="004103EE" w:rsidRDefault="00105612" w:rsidP="00105612">
      <w:pPr>
        <w:widowControl w:val="0"/>
        <w:spacing w:line="480" w:lineRule="auto"/>
        <w:rPr>
          <w:u w:val="single"/>
        </w:rPr>
      </w:pPr>
      <w:r w:rsidRPr="004103EE">
        <w:tab/>
      </w:r>
      <w:r w:rsidR="0048425D">
        <w:t xml:space="preserve">The Respondent’s license is hereby SUSPENDED indefinitely.  </w:t>
      </w:r>
      <w:r w:rsidR="00EF11EF">
        <w:t xml:space="preserve">This suspension will be stayed immediately </w:t>
      </w:r>
      <w:r w:rsidR="0048425D">
        <w:t xml:space="preserve">upon the Respondent’s entry into a standard </w:t>
      </w:r>
      <w:r w:rsidR="00EF11EF">
        <w:t xml:space="preserve">five-year </w:t>
      </w:r>
      <w:r w:rsidR="0048425D">
        <w:t xml:space="preserve">Probation Agreement that includes the following: </w:t>
      </w:r>
      <w:r w:rsidRPr="004103EE">
        <w:t xml:space="preserve"> (1) </w:t>
      </w:r>
      <w:r w:rsidR="002B44F7">
        <w:t>completion of a</w:t>
      </w:r>
      <w:r w:rsidR="004103EE" w:rsidRPr="004103EE">
        <w:t xml:space="preserve"> </w:t>
      </w:r>
      <w:r w:rsidR="002B44F7">
        <w:t>clinical</w:t>
      </w:r>
      <w:r w:rsidR="004103EE" w:rsidRPr="004103EE">
        <w:t xml:space="preserve"> skills assessment</w:t>
      </w:r>
      <w:r w:rsidR="002B44F7">
        <w:t xml:space="preserve"> by a </w:t>
      </w:r>
      <w:r w:rsidR="0048425D">
        <w:t>Board-approved entity within 90 </w:t>
      </w:r>
      <w:r w:rsidR="002B44F7">
        <w:t>days</w:t>
      </w:r>
      <w:r w:rsidR="004103EE" w:rsidRPr="004103EE">
        <w:t xml:space="preserve"> </w:t>
      </w:r>
      <w:r w:rsidR="0048425D">
        <w:t xml:space="preserve">of approval of this Consent Order </w:t>
      </w:r>
      <w:r w:rsidR="004103EE" w:rsidRPr="004103EE">
        <w:t xml:space="preserve">and compliance with any </w:t>
      </w:r>
      <w:r w:rsidR="002B44F7">
        <w:t xml:space="preserve">remediation </w:t>
      </w:r>
      <w:r w:rsidR="004103EE" w:rsidRPr="004103EE">
        <w:t>recommend</w:t>
      </w:r>
      <w:r w:rsidR="002B44F7">
        <w:t>ed by the Board-approved entity;</w:t>
      </w:r>
      <w:r w:rsidR="004103EE" w:rsidRPr="004103EE">
        <w:t xml:space="preserve"> and (2</w:t>
      </w:r>
      <w:r w:rsidRPr="004103EE">
        <w:t>) completion of</w:t>
      </w:r>
      <w:r w:rsidR="002B44F7">
        <w:t xml:space="preserve"> 10 Board-approved</w:t>
      </w:r>
      <w:r w:rsidRPr="004103EE">
        <w:t xml:space="preserve"> </w:t>
      </w:r>
      <w:r w:rsidR="002B44F7">
        <w:t>continuing medical education (CME) credits</w:t>
      </w:r>
      <w:r w:rsidRPr="004103EE">
        <w:t xml:space="preserve"> in </w:t>
      </w:r>
      <w:r w:rsidR="002B44F7">
        <w:t>documentation within 90 day</w:t>
      </w:r>
      <w:r w:rsidR="00EF11EF">
        <w:t>s of the Board’s approval of this</w:t>
      </w:r>
      <w:r w:rsidR="002B44F7">
        <w:t xml:space="preserve"> Consent Order.</w:t>
      </w:r>
    </w:p>
    <w:p w:rsidR="00105612" w:rsidRPr="004103EE" w:rsidRDefault="00105612" w:rsidP="00105612">
      <w:pPr>
        <w:spacing w:line="480" w:lineRule="auto"/>
      </w:pPr>
      <w:r w:rsidRPr="004103EE">
        <w:tab/>
        <w:t>This sanction is imposed for each violation of law listed in the Conclusion section and not a combination of any of them.</w:t>
      </w:r>
    </w:p>
    <w:p w:rsidR="00105612" w:rsidRPr="004103EE" w:rsidRDefault="00105612" w:rsidP="00105612">
      <w:pPr>
        <w:spacing w:line="480" w:lineRule="auto"/>
        <w:jc w:val="center"/>
      </w:pPr>
      <w:r w:rsidRPr="004103EE">
        <w:rPr>
          <w:u w:val="single"/>
        </w:rPr>
        <w:t>Execution of this Consent Order</w:t>
      </w:r>
    </w:p>
    <w:p w:rsidR="00105612" w:rsidRPr="004103EE" w:rsidRDefault="00105612" w:rsidP="00105612">
      <w:pPr>
        <w:widowControl w:val="0"/>
        <w:spacing w:line="480" w:lineRule="auto"/>
        <w:ind w:firstLine="720"/>
      </w:pPr>
      <w:r w:rsidRPr="004103EE">
        <w:t xml:space="preserve">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rsidR="00105612" w:rsidRPr="004103EE" w:rsidRDefault="00105612" w:rsidP="00105612">
      <w:pPr>
        <w:widowControl w:val="0"/>
        <w:spacing w:line="480" w:lineRule="auto"/>
        <w:ind w:firstLine="720"/>
      </w:pPr>
      <w:r w:rsidRPr="004103EE">
        <w:t>As to any matter in this Consent Order left to the discretion of the Board, neither the Resp</w:t>
      </w:r>
      <w:r w:rsidR="002B44F7">
        <w:t>ondent, nor anyone acting on her</w:t>
      </w:r>
      <w:r w:rsidRPr="004103EE">
        <w:t xml:space="preserve"> behalf, has received any promises or representations regarding the same.</w:t>
      </w:r>
    </w:p>
    <w:p w:rsidR="00105612" w:rsidRPr="004103EE" w:rsidRDefault="00105612" w:rsidP="00105612">
      <w:pPr>
        <w:spacing w:line="480" w:lineRule="auto"/>
        <w:rPr>
          <w:b/>
          <w:bCs/>
          <w:color w:val="000000"/>
        </w:rPr>
      </w:pPr>
      <w:r w:rsidRPr="004103EE">
        <w:tab/>
        <w:t xml:space="preserve">The Respondent waives any right of appeal that </w:t>
      </w:r>
      <w:r w:rsidR="002B44F7">
        <w:t>s</w:t>
      </w:r>
      <w:r w:rsidRPr="004103EE">
        <w:t>he may have resulting from the Board’s acceptance of this Consent Order.</w:t>
      </w:r>
    </w:p>
    <w:p w:rsidR="00105612" w:rsidRPr="004103EE" w:rsidRDefault="00105612" w:rsidP="00105612">
      <w:pPr>
        <w:spacing w:line="480" w:lineRule="auto"/>
        <w:rPr>
          <w:color w:val="000000"/>
        </w:rPr>
      </w:pPr>
      <w:r w:rsidRPr="004103EE">
        <w:rPr>
          <w:b/>
          <w:bCs/>
          <w:color w:val="000000"/>
        </w:rPr>
        <w:tab/>
      </w:r>
      <w:r w:rsidRPr="004103EE">
        <w:rPr>
          <w:color w:val="000000"/>
        </w:rPr>
        <w:t>The Respondent shall provide a complete copy of this Consent Order</w:t>
      </w:r>
      <w:r w:rsidRPr="004103EE">
        <w:rPr>
          <w:b/>
          <w:color w:val="000000"/>
        </w:rPr>
        <w:t xml:space="preserve"> </w:t>
      </w:r>
      <w:r w:rsidRPr="004103EE">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the Respondent 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and </w:t>
      </w:r>
      <w:r w:rsidRPr="004103EE">
        <w:t xml:space="preserve">the Drug Enforcement Administration. </w:t>
      </w:r>
      <w:r w:rsidRPr="004103EE">
        <w:rPr>
          <w:color w:val="000000"/>
        </w:rPr>
        <w:t xml:space="preserve"> </w:t>
      </w:r>
      <w:r w:rsidRPr="004103EE">
        <w:t>The Respondent shall also provide this notification to any such designated entities with which the Respondent becomes associated for the duration of this this stayed suspension and probation agreement</w:t>
      </w:r>
      <w:r w:rsidRPr="004103EE">
        <w:rPr>
          <w:b/>
        </w:rPr>
        <w:t>.</w:t>
      </w:r>
      <w:r w:rsidRPr="004103EE">
        <w:t xml:space="preserve">  </w:t>
      </w:r>
      <w:r w:rsidRPr="004103EE">
        <w:rPr>
          <w:color w:val="000000"/>
        </w:rPr>
        <w:t>The Respondent is further directed to certify to the Board within ten (10) days that the Respondent has complied with this directive.</w:t>
      </w:r>
    </w:p>
    <w:p w:rsidR="009D2CCC" w:rsidRDefault="00105612" w:rsidP="00105612">
      <w:pPr>
        <w:spacing w:line="480" w:lineRule="auto"/>
        <w:rPr>
          <w:b/>
          <w:bCs/>
          <w:color w:val="000000"/>
        </w:rPr>
      </w:pPr>
      <w:r w:rsidRPr="004103EE">
        <w:rPr>
          <w:b/>
          <w:bCs/>
          <w:color w:val="000000"/>
        </w:rPr>
        <w:tab/>
      </w:r>
    </w:p>
    <w:p w:rsidR="009D2CCC" w:rsidRDefault="009D2CCC">
      <w:pPr>
        <w:rPr>
          <w:b/>
          <w:bCs/>
          <w:color w:val="000000"/>
        </w:rPr>
      </w:pPr>
      <w:r>
        <w:rPr>
          <w:b/>
          <w:bCs/>
          <w:color w:val="000000"/>
        </w:rPr>
        <w:br w:type="page"/>
      </w:r>
    </w:p>
    <w:p w:rsidR="00105612" w:rsidRPr="00105612" w:rsidRDefault="00105612" w:rsidP="00105612">
      <w:pPr>
        <w:spacing w:line="480" w:lineRule="auto"/>
        <w:rPr>
          <w:color w:val="000000"/>
          <w:highlight w:val="lightGray"/>
        </w:rPr>
      </w:pPr>
      <w:r w:rsidRPr="004103EE">
        <w:rPr>
          <w:color w:val="000000"/>
        </w:rPr>
        <w:t>The Board expressly reserves the authority to independently notify, at any time, any of the entities designated above, or any other affected entity, of any action it has taken.</w:t>
      </w:r>
    </w:p>
    <w:p w:rsidR="00105612" w:rsidRPr="00105612" w:rsidRDefault="006D48B2" w:rsidP="006D48B2">
      <w:pPr>
        <w:tabs>
          <w:tab w:val="left" w:pos="1095"/>
        </w:tabs>
        <w:rPr>
          <w:color w:val="000000"/>
          <w:highlight w:val="lightGray"/>
        </w:rPr>
      </w:pPr>
      <w:r>
        <w:rPr>
          <w:color w:val="000000"/>
          <w:highlight w:val="lightGray"/>
        </w:rPr>
        <w:tab/>
      </w:r>
    </w:p>
    <w:p w:rsidR="00105612" w:rsidRPr="004103EE" w:rsidRDefault="006D48B2" w:rsidP="00105612">
      <w:r>
        <w:rPr>
          <w:u w:val="single"/>
        </w:rPr>
        <w:t>Signed by Lissette M. Bouret-Echevarria, M.D.</w:t>
      </w:r>
      <w:r w:rsidR="00105612" w:rsidRPr="004103EE">
        <w:tab/>
      </w:r>
      <w:r>
        <w:rPr>
          <w:u w:val="single"/>
        </w:rPr>
        <w:t>8-14-2018</w:t>
      </w:r>
      <w:r>
        <w:rPr>
          <w:u w:val="single"/>
        </w:rPr>
        <w:tab/>
      </w:r>
      <w:r>
        <w:rPr>
          <w:u w:val="single"/>
        </w:rPr>
        <w:tab/>
      </w:r>
    </w:p>
    <w:p w:rsidR="00105612" w:rsidRPr="004103EE" w:rsidRDefault="004103EE" w:rsidP="00105612">
      <w:r>
        <w:t>Lissette M. Bouret-Echevarria, M.D.</w:t>
      </w:r>
      <w:r>
        <w:tab/>
      </w:r>
      <w:r>
        <w:tab/>
      </w:r>
      <w:r>
        <w:tab/>
      </w:r>
      <w:r w:rsidR="00105612" w:rsidRPr="004103EE">
        <w:t>Date</w:t>
      </w:r>
    </w:p>
    <w:p w:rsidR="00105612" w:rsidRPr="004103EE" w:rsidRDefault="00105612" w:rsidP="00105612">
      <w:r w:rsidRPr="004103EE">
        <w:t>Licensee</w:t>
      </w:r>
    </w:p>
    <w:p w:rsidR="00105612" w:rsidRPr="00105612" w:rsidRDefault="00105612" w:rsidP="00105612">
      <w:pPr>
        <w:rPr>
          <w:highlight w:val="lightGray"/>
        </w:rPr>
      </w:pPr>
    </w:p>
    <w:p w:rsidR="00105612" w:rsidRPr="004103EE" w:rsidRDefault="006D48B2" w:rsidP="00105612">
      <w:r>
        <w:rPr>
          <w:u w:val="single"/>
        </w:rPr>
        <w:t>Signed by Tory A. Weigand, Esq.</w:t>
      </w:r>
      <w:r>
        <w:rPr>
          <w:u w:val="single"/>
        </w:rPr>
        <w:tab/>
      </w:r>
      <w:r>
        <w:rPr>
          <w:u w:val="single"/>
        </w:rPr>
        <w:tab/>
      </w:r>
      <w:r w:rsidR="00105612" w:rsidRPr="004103EE">
        <w:tab/>
      </w:r>
      <w:r>
        <w:rPr>
          <w:u w:val="single"/>
        </w:rPr>
        <w:t>8-15-2018</w:t>
      </w:r>
      <w:r>
        <w:rPr>
          <w:u w:val="single"/>
        </w:rPr>
        <w:tab/>
      </w:r>
      <w:r>
        <w:rPr>
          <w:u w:val="single"/>
        </w:rPr>
        <w:tab/>
      </w:r>
    </w:p>
    <w:p w:rsidR="00105612" w:rsidRPr="004103EE" w:rsidRDefault="004103EE" w:rsidP="00105612">
      <w:r>
        <w:t>Tory A. Weigand</w:t>
      </w:r>
      <w:r w:rsidR="00105612" w:rsidRPr="004103EE">
        <w:t>, Esq.</w:t>
      </w:r>
      <w:r w:rsidR="00105612" w:rsidRPr="004103EE">
        <w:tab/>
      </w:r>
      <w:r w:rsidR="00105612" w:rsidRPr="004103EE">
        <w:tab/>
      </w:r>
      <w:r w:rsidR="00105612" w:rsidRPr="004103EE">
        <w:tab/>
      </w:r>
      <w:r w:rsidR="00105612" w:rsidRPr="004103EE">
        <w:tab/>
        <w:t>Date</w:t>
      </w:r>
    </w:p>
    <w:p w:rsidR="00105612" w:rsidRPr="004103EE" w:rsidRDefault="00105612" w:rsidP="00105612">
      <w:r w:rsidRPr="004103EE">
        <w:t>Attorney for the Licensee</w:t>
      </w:r>
    </w:p>
    <w:p w:rsidR="00105612" w:rsidRPr="00105612" w:rsidRDefault="00105612" w:rsidP="00105612">
      <w:pPr>
        <w:rPr>
          <w:highlight w:val="lightGray"/>
        </w:rPr>
      </w:pPr>
    </w:p>
    <w:p w:rsidR="00105612" w:rsidRPr="004103EE" w:rsidRDefault="006D48B2" w:rsidP="00105612">
      <w:r>
        <w:rPr>
          <w:u w:val="single"/>
        </w:rPr>
        <w:t>Signed by Karen A. Robinson</w:t>
      </w:r>
      <w:r>
        <w:rPr>
          <w:u w:val="single"/>
        </w:rPr>
        <w:tab/>
      </w:r>
      <w:r>
        <w:rPr>
          <w:u w:val="single"/>
        </w:rPr>
        <w:tab/>
      </w:r>
      <w:r w:rsidR="00105612" w:rsidRPr="004103EE">
        <w:tab/>
      </w:r>
      <w:r>
        <w:rPr>
          <w:u w:val="single"/>
        </w:rPr>
        <w:t>8/28/18</w:t>
      </w:r>
      <w:r>
        <w:rPr>
          <w:u w:val="single"/>
        </w:rPr>
        <w:tab/>
      </w:r>
      <w:r>
        <w:rPr>
          <w:u w:val="single"/>
        </w:rPr>
        <w:tab/>
      </w:r>
    </w:p>
    <w:p w:rsidR="00105612" w:rsidRPr="004103EE" w:rsidRDefault="00105612" w:rsidP="00105612">
      <w:r w:rsidRPr="004103EE">
        <w:t xml:space="preserve">Karen </w:t>
      </w:r>
      <w:r w:rsidR="0048425D">
        <w:t>A. Robinson, Esq.</w:t>
      </w:r>
      <w:r w:rsidR="0048425D">
        <w:tab/>
      </w:r>
      <w:r w:rsidR="0048425D">
        <w:tab/>
      </w:r>
      <w:r w:rsidR="0048425D">
        <w:tab/>
      </w:r>
      <w:r w:rsidR="0048425D">
        <w:tab/>
      </w:r>
      <w:r w:rsidRPr="004103EE">
        <w:t>Date</w:t>
      </w:r>
    </w:p>
    <w:p w:rsidR="00105612" w:rsidRPr="004103EE" w:rsidRDefault="00105612" w:rsidP="00105612">
      <w:r w:rsidRPr="004103EE">
        <w:t>Complaint Counsel</w:t>
      </w:r>
    </w:p>
    <w:p w:rsidR="00105612" w:rsidRPr="004103EE" w:rsidRDefault="00105612" w:rsidP="00105612">
      <w:r w:rsidRPr="004103EE">
        <w:tab/>
      </w:r>
    </w:p>
    <w:p w:rsidR="00105612" w:rsidRPr="00D97AD1" w:rsidRDefault="00105612" w:rsidP="00105612">
      <w:r w:rsidRPr="004103EE">
        <w:t xml:space="preserve">So ORDERED by the Board of Registration in Medicine this </w:t>
      </w:r>
      <w:r w:rsidR="006D48B2">
        <w:rPr>
          <w:u w:val="single"/>
        </w:rPr>
        <w:t xml:space="preserve">10 </w:t>
      </w:r>
      <w:r w:rsidRPr="004103EE">
        <w:t xml:space="preserve"> day of </w:t>
      </w:r>
      <w:r w:rsidR="006D48B2">
        <w:rPr>
          <w:u w:val="single"/>
        </w:rPr>
        <w:t xml:space="preserve">January   </w:t>
      </w:r>
      <w:r w:rsidRPr="004103EE">
        <w:t>, 2018.</w:t>
      </w:r>
    </w:p>
    <w:p w:rsidR="00105612" w:rsidRPr="00D97AD1" w:rsidRDefault="00105612" w:rsidP="00105612"/>
    <w:p w:rsidR="00105612" w:rsidRPr="00D97AD1" w:rsidRDefault="00105612" w:rsidP="00105612"/>
    <w:p w:rsidR="00105612" w:rsidRPr="00D97AD1" w:rsidRDefault="00105612" w:rsidP="00105612">
      <w:r w:rsidRPr="00D97AD1">
        <w:tab/>
      </w:r>
      <w:r w:rsidRPr="00D97AD1">
        <w:tab/>
      </w:r>
      <w:r w:rsidRPr="00D97AD1">
        <w:tab/>
      </w:r>
      <w:r w:rsidRPr="00D97AD1">
        <w:tab/>
      </w:r>
      <w:r w:rsidRPr="00D97AD1">
        <w:tab/>
      </w:r>
      <w:r w:rsidRPr="00D97AD1">
        <w:tab/>
      </w:r>
      <w:r w:rsidRPr="00D97AD1">
        <w:tab/>
      </w:r>
      <w:r w:rsidR="006D48B2">
        <w:rPr>
          <w:u w:val="single"/>
        </w:rPr>
        <w:t>Signed by Candace Lapidus Sloane, M.D.</w:t>
      </w:r>
      <w:bookmarkStart w:id="0" w:name="_GoBack"/>
      <w:bookmarkEnd w:id="0"/>
    </w:p>
    <w:p w:rsidR="00105612" w:rsidRPr="00D97AD1" w:rsidRDefault="00105612" w:rsidP="00105612">
      <w:r w:rsidRPr="00EC6336">
        <w:tab/>
      </w:r>
      <w:r w:rsidRPr="00EC6336">
        <w:tab/>
      </w:r>
      <w:r w:rsidRPr="00EC6336">
        <w:tab/>
      </w:r>
      <w:r w:rsidRPr="00EC6336">
        <w:tab/>
      </w:r>
      <w:r w:rsidRPr="00EC6336">
        <w:tab/>
      </w:r>
      <w:r w:rsidRPr="00EC6336">
        <w:tab/>
      </w:r>
      <w:r w:rsidRPr="00EC6336">
        <w:tab/>
      </w:r>
      <w:r>
        <w:t>Candace Lapidus Sloane, M.D.</w:t>
      </w:r>
      <w:r>
        <w:tab/>
      </w:r>
      <w:r>
        <w:tab/>
      </w:r>
      <w:r>
        <w:tab/>
      </w:r>
      <w:r>
        <w:tab/>
      </w:r>
      <w:r>
        <w:tab/>
      </w:r>
      <w:r>
        <w:tab/>
      </w:r>
      <w:r>
        <w:tab/>
      </w:r>
      <w:r>
        <w:tab/>
      </w:r>
      <w:r>
        <w:tab/>
        <w:t>Board Chair</w:t>
      </w:r>
    </w:p>
    <w:p w:rsidR="00105612" w:rsidRPr="00382C10" w:rsidRDefault="00105612" w:rsidP="00105612">
      <w:pPr>
        <w:pStyle w:val="ListParagraph"/>
        <w:spacing w:line="480" w:lineRule="auto"/>
        <w:rPr>
          <w:szCs w:val="24"/>
        </w:rPr>
      </w:pPr>
    </w:p>
    <w:sectPr w:rsidR="00105612" w:rsidRPr="00382C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3EE" w:rsidRDefault="004103EE" w:rsidP="004103EE">
      <w:r>
        <w:separator/>
      </w:r>
    </w:p>
  </w:endnote>
  <w:endnote w:type="continuationSeparator" w:id="0">
    <w:p w:rsidR="004103EE" w:rsidRDefault="004103EE" w:rsidP="0041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134824"/>
      <w:docPartObj>
        <w:docPartGallery w:val="Page Numbers (Bottom of Page)"/>
        <w:docPartUnique/>
      </w:docPartObj>
    </w:sdtPr>
    <w:sdtEndPr>
      <w:rPr>
        <w:noProof/>
      </w:rPr>
    </w:sdtEndPr>
    <w:sdtContent>
      <w:p w:rsidR="004103EE" w:rsidRDefault="004103EE">
        <w:pPr>
          <w:pStyle w:val="Footer"/>
          <w:jc w:val="center"/>
        </w:pPr>
        <w:r>
          <w:fldChar w:fldCharType="begin"/>
        </w:r>
        <w:r>
          <w:instrText xml:space="preserve"> PAGE   \* MERGEFORMAT </w:instrText>
        </w:r>
        <w:r>
          <w:fldChar w:fldCharType="separate"/>
        </w:r>
        <w:r w:rsidR="006D48B2">
          <w:rPr>
            <w:noProof/>
          </w:rPr>
          <w:t>6</w:t>
        </w:r>
        <w:r>
          <w:rPr>
            <w:noProof/>
          </w:rPr>
          <w:fldChar w:fldCharType="end"/>
        </w:r>
      </w:p>
    </w:sdtContent>
  </w:sdt>
  <w:p w:rsidR="004103EE" w:rsidRDefault="004103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3EE" w:rsidRDefault="004103EE" w:rsidP="004103EE">
      <w:r>
        <w:separator/>
      </w:r>
    </w:p>
  </w:footnote>
  <w:footnote w:type="continuationSeparator" w:id="0">
    <w:p w:rsidR="004103EE" w:rsidRDefault="004103EE" w:rsidP="00410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1732B"/>
    <w:multiLevelType w:val="hybridMultilevel"/>
    <w:tmpl w:val="FFE0F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C83270"/>
    <w:multiLevelType w:val="hybridMultilevel"/>
    <w:tmpl w:val="6E845CAA"/>
    <w:lvl w:ilvl="0" w:tplc="04090015">
      <w:start w:val="1"/>
      <w:numFmt w:val="upperLetter"/>
      <w:lvlText w:val="%1."/>
      <w:lvlJc w:val="left"/>
      <w:pPr>
        <w:ind w:left="-540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3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B3"/>
    <w:rsid w:val="00090142"/>
    <w:rsid w:val="000D5954"/>
    <w:rsid w:val="00105612"/>
    <w:rsid w:val="00120CD0"/>
    <w:rsid w:val="001B7245"/>
    <w:rsid w:val="002521EA"/>
    <w:rsid w:val="002B44F7"/>
    <w:rsid w:val="00382C10"/>
    <w:rsid w:val="004103EE"/>
    <w:rsid w:val="004349A5"/>
    <w:rsid w:val="0048425D"/>
    <w:rsid w:val="004A584B"/>
    <w:rsid w:val="005807C1"/>
    <w:rsid w:val="005A7414"/>
    <w:rsid w:val="00624064"/>
    <w:rsid w:val="006D48B2"/>
    <w:rsid w:val="00792F58"/>
    <w:rsid w:val="007E258B"/>
    <w:rsid w:val="00834FAE"/>
    <w:rsid w:val="00885F2B"/>
    <w:rsid w:val="008A3B4E"/>
    <w:rsid w:val="008C2B25"/>
    <w:rsid w:val="009478D4"/>
    <w:rsid w:val="009858D4"/>
    <w:rsid w:val="009A1795"/>
    <w:rsid w:val="009D2CCC"/>
    <w:rsid w:val="009D798E"/>
    <w:rsid w:val="00B176B3"/>
    <w:rsid w:val="00EF11EF"/>
    <w:rsid w:val="00F70175"/>
    <w:rsid w:val="00FE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6B3"/>
    <w:rPr>
      <w:rFonts w:eastAsia="Times New Roman"/>
      <w:szCs w:val="20"/>
    </w:rPr>
  </w:style>
  <w:style w:type="paragraph" w:styleId="Heading1">
    <w:name w:val="heading 1"/>
    <w:basedOn w:val="Normal"/>
    <w:next w:val="Normal"/>
    <w:link w:val="Heading1Char"/>
    <w:qFormat/>
    <w:rsid w:val="007E258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58B"/>
    <w:rPr>
      <w:b/>
    </w:rPr>
  </w:style>
  <w:style w:type="paragraph" w:styleId="ListParagraph">
    <w:name w:val="List Paragraph"/>
    <w:basedOn w:val="Normal"/>
    <w:uiPriority w:val="34"/>
    <w:qFormat/>
    <w:rsid w:val="00B176B3"/>
    <w:pPr>
      <w:ind w:left="720"/>
      <w:contextualSpacing/>
    </w:pPr>
  </w:style>
  <w:style w:type="paragraph" w:styleId="Header">
    <w:name w:val="header"/>
    <w:basedOn w:val="Normal"/>
    <w:link w:val="HeaderChar"/>
    <w:uiPriority w:val="99"/>
    <w:unhideWhenUsed/>
    <w:rsid w:val="004103EE"/>
    <w:pPr>
      <w:tabs>
        <w:tab w:val="center" w:pos="4680"/>
        <w:tab w:val="right" w:pos="9360"/>
      </w:tabs>
    </w:pPr>
  </w:style>
  <w:style w:type="character" w:customStyle="1" w:styleId="HeaderChar">
    <w:name w:val="Header Char"/>
    <w:basedOn w:val="DefaultParagraphFont"/>
    <w:link w:val="Header"/>
    <w:uiPriority w:val="99"/>
    <w:rsid w:val="004103EE"/>
    <w:rPr>
      <w:rFonts w:eastAsia="Times New Roman"/>
      <w:szCs w:val="20"/>
    </w:rPr>
  </w:style>
  <w:style w:type="paragraph" w:styleId="Footer">
    <w:name w:val="footer"/>
    <w:basedOn w:val="Normal"/>
    <w:link w:val="FooterChar"/>
    <w:uiPriority w:val="99"/>
    <w:unhideWhenUsed/>
    <w:rsid w:val="004103EE"/>
    <w:pPr>
      <w:tabs>
        <w:tab w:val="center" w:pos="4680"/>
        <w:tab w:val="right" w:pos="9360"/>
      </w:tabs>
    </w:pPr>
  </w:style>
  <w:style w:type="character" w:customStyle="1" w:styleId="FooterChar">
    <w:name w:val="Footer Char"/>
    <w:basedOn w:val="DefaultParagraphFont"/>
    <w:link w:val="Footer"/>
    <w:uiPriority w:val="99"/>
    <w:rsid w:val="004103EE"/>
    <w:rPr>
      <w:rFonts w:eastAsia="Times New Roman"/>
      <w:szCs w:val="20"/>
    </w:rPr>
  </w:style>
  <w:style w:type="paragraph" w:styleId="BalloonText">
    <w:name w:val="Balloon Text"/>
    <w:basedOn w:val="Normal"/>
    <w:link w:val="BalloonTextChar"/>
    <w:uiPriority w:val="99"/>
    <w:semiHidden/>
    <w:unhideWhenUsed/>
    <w:rsid w:val="009D2CCC"/>
    <w:rPr>
      <w:rFonts w:ascii="Tahoma" w:hAnsi="Tahoma" w:cs="Tahoma"/>
      <w:sz w:val="16"/>
      <w:szCs w:val="16"/>
    </w:rPr>
  </w:style>
  <w:style w:type="character" w:customStyle="1" w:styleId="BalloonTextChar">
    <w:name w:val="Balloon Text Char"/>
    <w:basedOn w:val="DefaultParagraphFont"/>
    <w:link w:val="BalloonText"/>
    <w:uiPriority w:val="99"/>
    <w:semiHidden/>
    <w:rsid w:val="009D2CC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6B3"/>
    <w:rPr>
      <w:rFonts w:eastAsia="Times New Roman"/>
      <w:szCs w:val="20"/>
    </w:rPr>
  </w:style>
  <w:style w:type="paragraph" w:styleId="Heading1">
    <w:name w:val="heading 1"/>
    <w:basedOn w:val="Normal"/>
    <w:next w:val="Normal"/>
    <w:link w:val="Heading1Char"/>
    <w:qFormat/>
    <w:rsid w:val="007E258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58B"/>
    <w:rPr>
      <w:b/>
    </w:rPr>
  </w:style>
  <w:style w:type="paragraph" w:styleId="ListParagraph">
    <w:name w:val="List Paragraph"/>
    <w:basedOn w:val="Normal"/>
    <w:uiPriority w:val="34"/>
    <w:qFormat/>
    <w:rsid w:val="00B176B3"/>
    <w:pPr>
      <w:ind w:left="720"/>
      <w:contextualSpacing/>
    </w:pPr>
  </w:style>
  <w:style w:type="paragraph" w:styleId="Header">
    <w:name w:val="header"/>
    <w:basedOn w:val="Normal"/>
    <w:link w:val="HeaderChar"/>
    <w:uiPriority w:val="99"/>
    <w:unhideWhenUsed/>
    <w:rsid w:val="004103EE"/>
    <w:pPr>
      <w:tabs>
        <w:tab w:val="center" w:pos="4680"/>
        <w:tab w:val="right" w:pos="9360"/>
      </w:tabs>
    </w:pPr>
  </w:style>
  <w:style w:type="character" w:customStyle="1" w:styleId="HeaderChar">
    <w:name w:val="Header Char"/>
    <w:basedOn w:val="DefaultParagraphFont"/>
    <w:link w:val="Header"/>
    <w:uiPriority w:val="99"/>
    <w:rsid w:val="004103EE"/>
    <w:rPr>
      <w:rFonts w:eastAsia="Times New Roman"/>
      <w:szCs w:val="20"/>
    </w:rPr>
  </w:style>
  <w:style w:type="paragraph" w:styleId="Footer">
    <w:name w:val="footer"/>
    <w:basedOn w:val="Normal"/>
    <w:link w:val="FooterChar"/>
    <w:uiPriority w:val="99"/>
    <w:unhideWhenUsed/>
    <w:rsid w:val="004103EE"/>
    <w:pPr>
      <w:tabs>
        <w:tab w:val="center" w:pos="4680"/>
        <w:tab w:val="right" w:pos="9360"/>
      </w:tabs>
    </w:pPr>
  </w:style>
  <w:style w:type="character" w:customStyle="1" w:styleId="FooterChar">
    <w:name w:val="Footer Char"/>
    <w:basedOn w:val="DefaultParagraphFont"/>
    <w:link w:val="Footer"/>
    <w:uiPriority w:val="99"/>
    <w:rsid w:val="004103EE"/>
    <w:rPr>
      <w:rFonts w:eastAsia="Times New Roman"/>
      <w:szCs w:val="20"/>
    </w:rPr>
  </w:style>
  <w:style w:type="paragraph" w:styleId="BalloonText">
    <w:name w:val="Balloon Text"/>
    <w:basedOn w:val="Normal"/>
    <w:link w:val="BalloonTextChar"/>
    <w:uiPriority w:val="99"/>
    <w:semiHidden/>
    <w:unhideWhenUsed/>
    <w:rsid w:val="009D2CCC"/>
    <w:rPr>
      <w:rFonts w:ascii="Tahoma" w:hAnsi="Tahoma" w:cs="Tahoma"/>
      <w:sz w:val="16"/>
      <w:szCs w:val="16"/>
    </w:rPr>
  </w:style>
  <w:style w:type="character" w:customStyle="1" w:styleId="BalloonTextChar">
    <w:name w:val="Balloon Text Char"/>
    <w:basedOn w:val="DefaultParagraphFont"/>
    <w:link w:val="BalloonText"/>
    <w:uiPriority w:val="99"/>
    <w:semiHidden/>
    <w:rsid w:val="009D2CC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2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Karen (MED)</dc:creator>
  <cp:lastModifiedBy> </cp:lastModifiedBy>
  <cp:revision>4</cp:revision>
  <cp:lastPrinted>2018-08-28T16:31:00Z</cp:lastPrinted>
  <dcterms:created xsi:type="dcterms:W3CDTF">2019-01-14T20:52:00Z</dcterms:created>
  <dcterms:modified xsi:type="dcterms:W3CDTF">2019-01-16T18:21:00Z</dcterms:modified>
</cp:coreProperties>
</file>