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EF7" w:rsidRPr="00E762CE" w:rsidRDefault="00E81EF7" w:rsidP="00E81EF7">
      <w:pPr>
        <w:jc w:val="center"/>
      </w:pPr>
      <w:r w:rsidRPr="00E762CE">
        <w:t>COMMONWEALTH OF MASSACHUSETTS</w:t>
      </w:r>
    </w:p>
    <w:p w:rsidR="00E81EF7" w:rsidRPr="00E762CE" w:rsidRDefault="00E81EF7" w:rsidP="00E81EF7"/>
    <w:p w:rsidR="00E81EF7" w:rsidRPr="00E762CE" w:rsidRDefault="00E81EF7" w:rsidP="00E81EF7">
      <w:r w:rsidRPr="00E762CE">
        <w:t>Middlesex, SS.</w:t>
      </w:r>
      <w:r w:rsidRPr="00E762CE">
        <w:tab/>
      </w:r>
      <w:r w:rsidRPr="00E762CE">
        <w:tab/>
      </w:r>
      <w:r w:rsidRPr="00E762CE">
        <w:tab/>
      </w:r>
      <w:r w:rsidRPr="00E762CE">
        <w:tab/>
      </w:r>
      <w:r w:rsidRPr="00E762CE">
        <w:tab/>
      </w:r>
      <w:r w:rsidRPr="00E762CE">
        <w:tab/>
        <w:t>Board of Registration in Medicine</w:t>
      </w:r>
    </w:p>
    <w:p w:rsidR="00E81EF7" w:rsidRPr="00E762CE" w:rsidRDefault="00E81EF7" w:rsidP="00E81EF7"/>
    <w:p w:rsidR="00E81EF7" w:rsidRPr="00E762CE" w:rsidRDefault="00E81EF7" w:rsidP="00E81EF7">
      <w:r w:rsidRPr="00E762CE">
        <w:tab/>
      </w:r>
      <w:r w:rsidRPr="00E762CE">
        <w:tab/>
      </w:r>
      <w:r w:rsidRPr="00E762CE">
        <w:tab/>
      </w:r>
      <w:r w:rsidRPr="00E762CE">
        <w:tab/>
      </w:r>
      <w:r w:rsidRPr="00E762CE">
        <w:tab/>
      </w:r>
      <w:r w:rsidRPr="00E762CE">
        <w:tab/>
      </w:r>
      <w:r w:rsidRPr="00E762CE">
        <w:tab/>
      </w:r>
      <w:r w:rsidRPr="00E762CE">
        <w:tab/>
        <w:t>Adjudicatory Case No.</w:t>
      </w:r>
      <w:r w:rsidR="000C58B7">
        <w:t xml:space="preserve"> 2019-012</w:t>
      </w:r>
    </w:p>
    <w:p w:rsidR="00E81EF7" w:rsidRPr="00E762CE" w:rsidRDefault="00E81EF7" w:rsidP="00E81EF7"/>
    <w:p w:rsidR="00E81EF7" w:rsidRPr="00E762CE" w:rsidRDefault="00E81EF7" w:rsidP="00E81EF7"/>
    <w:p w:rsidR="00E81EF7" w:rsidRPr="00E762CE" w:rsidRDefault="00E81EF7" w:rsidP="00E81EF7">
      <w:r w:rsidRPr="00E762CE">
        <w:rPr>
          <w:u w:val="single"/>
        </w:rPr>
        <w:tab/>
      </w:r>
      <w:r w:rsidRPr="00E762CE">
        <w:rPr>
          <w:u w:val="single"/>
        </w:rPr>
        <w:tab/>
      </w:r>
      <w:r w:rsidRPr="00E762CE">
        <w:rPr>
          <w:u w:val="single"/>
        </w:rPr>
        <w:tab/>
      </w:r>
      <w:r w:rsidRPr="00E762CE">
        <w:rPr>
          <w:u w:val="single"/>
        </w:rPr>
        <w:tab/>
      </w:r>
      <w:r w:rsidRPr="00E762CE">
        <w:rPr>
          <w:u w:val="single"/>
        </w:rPr>
        <w:tab/>
      </w:r>
    </w:p>
    <w:p w:rsidR="00E81EF7" w:rsidRPr="00E762CE" w:rsidRDefault="00E81EF7" w:rsidP="00E81EF7">
      <w:r w:rsidRPr="00E762CE">
        <w:tab/>
      </w:r>
      <w:r w:rsidRPr="00E762CE">
        <w:tab/>
      </w:r>
      <w:r w:rsidRPr="00E762CE">
        <w:tab/>
      </w:r>
      <w:r w:rsidRPr="00E762CE">
        <w:tab/>
      </w:r>
      <w:r w:rsidRPr="00E762CE">
        <w:tab/>
        <w:t>)</w:t>
      </w:r>
    </w:p>
    <w:p w:rsidR="00E81EF7" w:rsidRPr="00E762CE" w:rsidRDefault="00E81EF7" w:rsidP="00E81EF7">
      <w:r w:rsidRPr="00E762CE">
        <w:t>In the Matter of</w:t>
      </w:r>
      <w:r w:rsidRPr="00E762CE">
        <w:tab/>
      </w:r>
      <w:r w:rsidRPr="00E762CE">
        <w:tab/>
      </w:r>
      <w:r w:rsidRPr="00E762CE">
        <w:tab/>
        <w:t>)</w:t>
      </w:r>
    </w:p>
    <w:p w:rsidR="00E81EF7" w:rsidRPr="00E762CE" w:rsidRDefault="00E81EF7" w:rsidP="00E81EF7">
      <w:r w:rsidRPr="00E762CE">
        <w:tab/>
      </w:r>
      <w:r w:rsidRPr="00E762CE">
        <w:tab/>
      </w:r>
      <w:r w:rsidRPr="00E762CE">
        <w:tab/>
      </w:r>
      <w:r w:rsidRPr="00E762CE">
        <w:tab/>
      </w:r>
      <w:r w:rsidRPr="00E762CE">
        <w:tab/>
        <w:t>)</w:t>
      </w:r>
    </w:p>
    <w:p w:rsidR="00E81EF7" w:rsidRPr="00E762CE" w:rsidRDefault="00497AD7" w:rsidP="00E81EF7">
      <w:r>
        <w:t>NEAL W. NADELSON</w:t>
      </w:r>
      <w:r w:rsidR="007F0861" w:rsidRPr="00E762CE">
        <w:t>, M.D.</w:t>
      </w:r>
      <w:r w:rsidR="009D49D5">
        <w:tab/>
      </w:r>
      <w:r w:rsidR="00E81EF7" w:rsidRPr="00E762CE">
        <w:t>)</w:t>
      </w:r>
    </w:p>
    <w:p w:rsidR="00E81EF7" w:rsidRPr="00E762CE" w:rsidRDefault="00E81EF7" w:rsidP="00E81EF7">
      <w:r w:rsidRPr="00E762CE">
        <w:rPr>
          <w:u w:val="single"/>
        </w:rPr>
        <w:tab/>
      </w:r>
      <w:r w:rsidRPr="00E762CE">
        <w:rPr>
          <w:u w:val="single"/>
        </w:rPr>
        <w:tab/>
      </w:r>
      <w:r w:rsidRPr="00E762CE">
        <w:rPr>
          <w:u w:val="single"/>
        </w:rPr>
        <w:tab/>
      </w:r>
      <w:r w:rsidRPr="00E762CE">
        <w:rPr>
          <w:u w:val="single"/>
        </w:rPr>
        <w:tab/>
      </w:r>
      <w:r w:rsidRPr="00E762CE">
        <w:rPr>
          <w:u w:val="single"/>
        </w:rPr>
        <w:tab/>
      </w:r>
      <w:r w:rsidRPr="00E762CE">
        <w:t>)</w:t>
      </w:r>
    </w:p>
    <w:p w:rsidR="00E81EF7" w:rsidRPr="00E762CE" w:rsidRDefault="00E81EF7" w:rsidP="00E81EF7"/>
    <w:p w:rsidR="00E81EF7" w:rsidRPr="00E762CE" w:rsidRDefault="00E81EF7" w:rsidP="00E81EF7"/>
    <w:p w:rsidR="00E81EF7" w:rsidRPr="00E762CE" w:rsidRDefault="00E81EF7" w:rsidP="00E81EF7">
      <w:pPr>
        <w:jc w:val="center"/>
      </w:pPr>
      <w:r w:rsidRPr="00E762CE">
        <w:rPr>
          <w:b/>
          <w:u w:val="single"/>
        </w:rPr>
        <w:t>CONSENT ORDER</w:t>
      </w:r>
    </w:p>
    <w:p w:rsidR="00E81EF7" w:rsidRPr="00E762CE" w:rsidRDefault="00E81EF7" w:rsidP="00E81EF7"/>
    <w:p w:rsidR="00E81EF7" w:rsidRPr="00E762CE" w:rsidRDefault="00E81EF7" w:rsidP="00E81EF7">
      <w:pPr>
        <w:spacing w:line="480" w:lineRule="auto"/>
      </w:pPr>
      <w:r w:rsidRPr="00E762CE">
        <w:tab/>
        <w:t xml:space="preserve">Pursuant to G.L. c. 30A, § 10, </w:t>
      </w:r>
      <w:r w:rsidR="00497AD7">
        <w:t>Neal W. Nadelson</w:t>
      </w:r>
      <w:r w:rsidR="007F0861" w:rsidRPr="00E762CE">
        <w:t>, M.D.</w:t>
      </w:r>
      <w:r w:rsidRPr="00E762CE">
        <w:t xml:space="preserve"> (Respondent) and the Board of Registration in Medicine (Board) (hereinafter referred to jointly as the "Parties") agree that the Board may issue this Consent Order to resolve the above-captioned adjudicatory proceeding.  The Parties further agree that this Consent Order will have all the force and effect of a Final Decision within the meaning of 801 CMR 1.01(11)(d).  The Respondent admits to the findings of fact specified below and agrees that the Board may make the conclusions of law and impose the sanction se</w:t>
      </w:r>
      <w:r w:rsidR="00325DAA">
        <w:t xml:space="preserve">t forth below in resolution of Investigative </w:t>
      </w:r>
      <w:r w:rsidRPr="00E762CE">
        <w:t>Docket No.</w:t>
      </w:r>
      <w:r w:rsidR="00497AD7">
        <w:t xml:space="preserve"> 14-365</w:t>
      </w:r>
      <w:r w:rsidRPr="00E762CE">
        <w:t>.</w:t>
      </w:r>
    </w:p>
    <w:p w:rsidR="00E81EF7" w:rsidRPr="00E762CE" w:rsidRDefault="00E81EF7" w:rsidP="00E81EF7">
      <w:pPr>
        <w:spacing w:line="480" w:lineRule="auto"/>
        <w:jc w:val="center"/>
        <w:rPr>
          <w:u w:val="single"/>
        </w:rPr>
      </w:pPr>
      <w:r w:rsidRPr="00E762CE">
        <w:rPr>
          <w:u w:val="single"/>
        </w:rPr>
        <w:t>Findings of Fact</w:t>
      </w:r>
    </w:p>
    <w:p w:rsidR="00C26A20" w:rsidRPr="00C26A20" w:rsidRDefault="00AB7A41" w:rsidP="00C26A20">
      <w:pPr>
        <w:numPr>
          <w:ilvl w:val="0"/>
          <w:numId w:val="1"/>
        </w:numPr>
        <w:spacing w:line="480" w:lineRule="auto"/>
        <w:rPr>
          <w:szCs w:val="20"/>
          <w:u w:val="single"/>
        </w:rPr>
      </w:pPr>
      <w:r>
        <w:t xml:space="preserve">The </w:t>
      </w:r>
      <w:r w:rsidR="00541A02">
        <w:rPr>
          <w:szCs w:val="20"/>
        </w:rPr>
        <w:t xml:space="preserve">Respondent was born in May </w:t>
      </w:r>
      <w:r w:rsidR="00C26A20" w:rsidRPr="00C26A20">
        <w:rPr>
          <w:szCs w:val="20"/>
        </w:rPr>
        <w:t xml:space="preserve">1948.  He graduated from Albany Medical College of Union University in 1974 and is board-certified in Internal Medicine and Gastroenterology.  </w:t>
      </w:r>
      <w:r>
        <w:rPr>
          <w:szCs w:val="20"/>
        </w:rPr>
        <w:t xml:space="preserve">The </w:t>
      </w:r>
      <w:r w:rsidR="00C26A20" w:rsidRPr="00C26A20">
        <w:rPr>
          <w:szCs w:val="20"/>
        </w:rPr>
        <w:t xml:space="preserve">Respondent has been licensed to practice medicine in Massachusetts under certificate number 44345 since June 1979. </w:t>
      </w:r>
    </w:p>
    <w:p w:rsidR="00C26A20" w:rsidRPr="008D5A4B" w:rsidRDefault="00C26A20" w:rsidP="008D5A4B">
      <w:pPr>
        <w:numPr>
          <w:ilvl w:val="0"/>
          <w:numId w:val="1"/>
        </w:numPr>
        <w:spacing w:line="480" w:lineRule="auto"/>
        <w:rPr>
          <w:szCs w:val="20"/>
          <w:u w:val="single"/>
        </w:rPr>
      </w:pPr>
      <w:r w:rsidRPr="00C26A20">
        <w:rPr>
          <w:szCs w:val="20"/>
        </w:rPr>
        <w:t xml:space="preserve"> P</w:t>
      </w:r>
      <w:r w:rsidR="00541A02">
        <w:rPr>
          <w:szCs w:val="20"/>
        </w:rPr>
        <w:t>rior to October 2014</w:t>
      </w:r>
      <w:r w:rsidR="00AB7A41">
        <w:rPr>
          <w:szCs w:val="20"/>
        </w:rPr>
        <w:t>, the</w:t>
      </w:r>
      <w:r w:rsidRPr="00C26A20">
        <w:rPr>
          <w:szCs w:val="20"/>
        </w:rPr>
        <w:t xml:space="preserve"> Respondent</w:t>
      </w:r>
      <w:r w:rsidR="00541A02">
        <w:rPr>
          <w:szCs w:val="20"/>
        </w:rPr>
        <w:t xml:space="preserve"> </w:t>
      </w:r>
      <w:r w:rsidRPr="00C26A20">
        <w:rPr>
          <w:szCs w:val="20"/>
        </w:rPr>
        <w:t xml:space="preserve">served as the Chief of the Gastroenterology Department at Melrose-Wakefield Hospital for thirty-five years.         </w:t>
      </w:r>
    </w:p>
    <w:p w:rsidR="00C26A20" w:rsidRDefault="00F7248D" w:rsidP="00C26A20">
      <w:pPr>
        <w:numPr>
          <w:ilvl w:val="0"/>
          <w:numId w:val="1"/>
        </w:numPr>
        <w:spacing w:line="480" w:lineRule="auto"/>
      </w:pPr>
      <w:r>
        <w:lastRenderedPageBreak/>
        <w:t>On January 20, 2013, Patient A</w:t>
      </w:r>
      <w:r w:rsidR="00C26A20">
        <w:t>, a 71-year old female, was admitted to Melrose-Wakefield Hospital complaining of a one-day incident of lower abdominal cramps, episodes of bloody stool</w:t>
      </w:r>
      <w:r w:rsidR="00AB7A41">
        <w:t>,</w:t>
      </w:r>
      <w:r w:rsidR="00C26A20">
        <w:t xml:space="preserve"> and diarrhea.  </w:t>
      </w:r>
    </w:p>
    <w:p w:rsidR="00C26A20" w:rsidRDefault="00C26A20" w:rsidP="00C26A20">
      <w:pPr>
        <w:numPr>
          <w:ilvl w:val="0"/>
          <w:numId w:val="1"/>
        </w:numPr>
        <w:spacing w:line="480" w:lineRule="auto"/>
      </w:pPr>
      <w:r>
        <w:t xml:space="preserve"> On January 23, 2013,</w:t>
      </w:r>
      <w:r w:rsidR="00AB7A41">
        <w:t xml:space="preserve"> the</w:t>
      </w:r>
      <w:r>
        <w:t xml:space="preserve"> Respondent perfo</w:t>
      </w:r>
      <w:r w:rsidR="00F7248D">
        <w:t>rmed a colonoscopy on Patient A</w:t>
      </w:r>
      <w:r>
        <w:t>.</w:t>
      </w:r>
    </w:p>
    <w:p w:rsidR="00C26A20" w:rsidRDefault="00C26A20" w:rsidP="00C26A20">
      <w:pPr>
        <w:numPr>
          <w:ilvl w:val="0"/>
          <w:numId w:val="1"/>
        </w:numPr>
        <w:spacing w:line="480" w:lineRule="auto"/>
      </w:pPr>
      <w:r>
        <w:t xml:space="preserve"> </w:t>
      </w:r>
      <w:r w:rsidR="00AB7A41">
        <w:t xml:space="preserve">The </w:t>
      </w:r>
      <w:r>
        <w:t>Respondent did not order any abdominal imaging, such as a Computed Tomography (“CT”) scan, before performing the colonoscopy</w:t>
      </w:r>
      <w:r w:rsidR="00AB7A41">
        <w:t>.</w:t>
      </w:r>
      <w:r>
        <w:t xml:space="preserve">  </w:t>
      </w:r>
    </w:p>
    <w:p w:rsidR="00C26A20" w:rsidRDefault="00AB7A41" w:rsidP="00C26A20">
      <w:pPr>
        <w:numPr>
          <w:ilvl w:val="0"/>
          <w:numId w:val="1"/>
        </w:numPr>
        <w:spacing w:line="480" w:lineRule="auto"/>
      </w:pPr>
      <w:r>
        <w:t xml:space="preserve">The </w:t>
      </w:r>
      <w:r w:rsidR="00F7248D">
        <w:t>Respondent noted in Patient A</w:t>
      </w:r>
      <w:r w:rsidR="00C26A20">
        <w:t xml:space="preserve">’s medical record the following findings from the colonoscopy: sigmoid colitis, sigmoid polyp, and diverticulitis.  </w:t>
      </w:r>
    </w:p>
    <w:p w:rsidR="00C26A20" w:rsidRDefault="00AB7A41" w:rsidP="00C26A20">
      <w:pPr>
        <w:numPr>
          <w:ilvl w:val="0"/>
          <w:numId w:val="1"/>
        </w:numPr>
        <w:spacing w:line="480" w:lineRule="auto"/>
      </w:pPr>
      <w:r>
        <w:t xml:space="preserve">The </w:t>
      </w:r>
      <w:r w:rsidR="00C26A20">
        <w:t xml:space="preserve">Respondent did not remove the sigmoid polyp during the colonoscopy.  </w:t>
      </w:r>
      <w:r w:rsidR="00F7248D">
        <w:t>Instead, he scheduled Patient A</w:t>
      </w:r>
      <w:r w:rsidR="00C26A20">
        <w:t xml:space="preserve"> for a second procedure to be performed by another gastroenterologist six weeks later. </w:t>
      </w:r>
    </w:p>
    <w:p w:rsidR="00C26A20" w:rsidRDefault="00AB7A41" w:rsidP="00C26A20">
      <w:pPr>
        <w:numPr>
          <w:ilvl w:val="0"/>
          <w:numId w:val="1"/>
        </w:numPr>
        <w:spacing w:line="480" w:lineRule="auto"/>
      </w:pPr>
      <w:r>
        <w:t xml:space="preserve">The </w:t>
      </w:r>
      <w:r w:rsidR="00C26A20">
        <w:t xml:space="preserve">Respondent did not document the size of the sigmoid polyp or provide a description of the colitis in the medical record. </w:t>
      </w:r>
    </w:p>
    <w:p w:rsidR="00C26A20" w:rsidRDefault="00C26A20" w:rsidP="00C26A20">
      <w:pPr>
        <w:numPr>
          <w:ilvl w:val="0"/>
          <w:numId w:val="1"/>
        </w:numPr>
        <w:spacing w:line="480" w:lineRule="auto"/>
      </w:pPr>
      <w:r>
        <w:t>After completing the procedu</w:t>
      </w:r>
      <w:r w:rsidR="00F7248D">
        <w:t>re</w:t>
      </w:r>
      <w:r w:rsidR="00AB7A41">
        <w:t xml:space="preserve"> the</w:t>
      </w:r>
      <w:r w:rsidR="00F7248D">
        <w:t xml:space="preserve"> Respondent started Patient A</w:t>
      </w:r>
      <w:r>
        <w:t xml:space="preserve"> on steroids in the form of</w:t>
      </w:r>
      <w:r w:rsidR="00AB7A41">
        <w:t xml:space="preserve"> a</w:t>
      </w:r>
      <w:r>
        <w:t xml:space="preserve"> Medrol-pack. </w:t>
      </w:r>
    </w:p>
    <w:p w:rsidR="00C26A20" w:rsidRDefault="00C26A20" w:rsidP="00C26A20">
      <w:pPr>
        <w:numPr>
          <w:ilvl w:val="0"/>
          <w:numId w:val="1"/>
        </w:numPr>
        <w:spacing w:line="480" w:lineRule="auto"/>
      </w:pPr>
      <w:r>
        <w:t>On January 24, 2013, the pathology results</w:t>
      </w:r>
      <w:r w:rsidR="00F7248D">
        <w:t xml:space="preserve"> were completed and Patient A</w:t>
      </w:r>
      <w:r>
        <w:t xml:space="preserve"> was discharged.  The results suggested a pattern of ischemic colitis. </w:t>
      </w:r>
    </w:p>
    <w:p w:rsidR="00C26A20" w:rsidRDefault="00AB7A41" w:rsidP="00C26A20">
      <w:pPr>
        <w:numPr>
          <w:ilvl w:val="0"/>
          <w:numId w:val="1"/>
        </w:numPr>
        <w:spacing w:line="480" w:lineRule="auto"/>
      </w:pPr>
      <w:r>
        <w:t xml:space="preserve">The </w:t>
      </w:r>
      <w:r w:rsidR="00C26A20">
        <w:t>Respon</w:t>
      </w:r>
      <w:r w:rsidR="00F7248D">
        <w:t>dent did not instruct Patient A</w:t>
      </w:r>
      <w:r w:rsidR="00C26A20">
        <w:t xml:space="preserve"> to discontinue the Medrol-pack based on the pathology results.</w:t>
      </w:r>
    </w:p>
    <w:p w:rsidR="00C26A20" w:rsidRDefault="00F7248D" w:rsidP="00C26A20">
      <w:pPr>
        <w:numPr>
          <w:ilvl w:val="0"/>
          <w:numId w:val="1"/>
        </w:numPr>
        <w:spacing w:line="480" w:lineRule="auto"/>
      </w:pPr>
      <w:r>
        <w:t>On January 26, 2013, Patient A</w:t>
      </w:r>
      <w:r w:rsidR="00C26A20">
        <w:t xml:space="preserve"> was readmitted to Melrose-Wakefield Hospital with signs and symptoms of colonic perforation and sepsis. </w:t>
      </w:r>
    </w:p>
    <w:p w:rsidR="00C26A20" w:rsidRDefault="00C26A20" w:rsidP="00C26A20">
      <w:pPr>
        <w:spacing w:line="480" w:lineRule="auto"/>
        <w:ind w:left="720"/>
      </w:pPr>
    </w:p>
    <w:p w:rsidR="00C26A20" w:rsidRDefault="00F7248D" w:rsidP="00C26A20">
      <w:pPr>
        <w:numPr>
          <w:ilvl w:val="0"/>
          <w:numId w:val="1"/>
        </w:numPr>
        <w:spacing w:line="480" w:lineRule="auto"/>
      </w:pPr>
      <w:r>
        <w:lastRenderedPageBreak/>
        <w:t>Patient A</w:t>
      </w:r>
      <w:r w:rsidR="00C26A20">
        <w:t xml:space="preserve"> underwent a Hartmann’s procedure that was complicated</w:t>
      </w:r>
      <w:r w:rsidR="006C6479">
        <w:t xml:space="preserve"> by wound dehiscence</w:t>
      </w:r>
      <w:r w:rsidR="00325DAA">
        <w:t xml:space="preserve"> </w:t>
      </w:r>
      <w:r w:rsidR="006C6479">
        <w:t>requiring</w:t>
      </w:r>
      <w:r w:rsidR="00C26A20">
        <w:t xml:space="preserve"> surgical intervention.</w:t>
      </w:r>
      <w:r w:rsidR="00325DAA">
        <w:rPr>
          <w:rStyle w:val="FootnoteReference"/>
        </w:rPr>
        <w:footnoteReference w:id="1"/>
      </w:r>
    </w:p>
    <w:p w:rsidR="00C26A20" w:rsidRDefault="00AB7A41" w:rsidP="00C26A20">
      <w:pPr>
        <w:numPr>
          <w:ilvl w:val="0"/>
          <w:numId w:val="1"/>
        </w:numPr>
        <w:spacing w:line="480" w:lineRule="auto"/>
      </w:pPr>
      <w:r>
        <w:t xml:space="preserve">The </w:t>
      </w:r>
      <w:r w:rsidR="00F7248D">
        <w:t>Respondent’s care of Patient A</w:t>
      </w:r>
      <w:r w:rsidR="00C26A20">
        <w:t xml:space="preserve"> fell below the standard of care at several points: </w:t>
      </w:r>
    </w:p>
    <w:p w:rsidR="00C26A20" w:rsidRDefault="00AB7A41" w:rsidP="00C26A20">
      <w:pPr>
        <w:numPr>
          <w:ilvl w:val="1"/>
          <w:numId w:val="1"/>
        </w:numPr>
        <w:spacing w:line="480" w:lineRule="auto"/>
      </w:pPr>
      <w:r>
        <w:t xml:space="preserve">The </w:t>
      </w:r>
      <w:r w:rsidR="00C26A20">
        <w:t>Respondent’s decision to perform a colonoscopy without first performing abdominal imaging was negligent;</w:t>
      </w:r>
    </w:p>
    <w:p w:rsidR="00C26A20" w:rsidRDefault="00AB7A41" w:rsidP="00C26A20">
      <w:pPr>
        <w:numPr>
          <w:ilvl w:val="1"/>
          <w:numId w:val="1"/>
        </w:numPr>
        <w:spacing w:line="480" w:lineRule="auto"/>
      </w:pPr>
      <w:r>
        <w:t xml:space="preserve">The </w:t>
      </w:r>
      <w:r w:rsidR="00C26A20">
        <w:t>Respondent’s decision to leave the sigmoid polyp for another gastroenterologist to remove during a subsequ</w:t>
      </w:r>
      <w:r w:rsidR="00541A02">
        <w:t>ent procedure</w:t>
      </w:r>
      <w:r w:rsidR="00C26A20">
        <w:t xml:space="preserve"> was negligent;</w:t>
      </w:r>
    </w:p>
    <w:p w:rsidR="00C26A20" w:rsidRDefault="00AB7A41" w:rsidP="00C26A20">
      <w:pPr>
        <w:numPr>
          <w:ilvl w:val="1"/>
          <w:numId w:val="1"/>
        </w:numPr>
        <w:spacing w:line="480" w:lineRule="auto"/>
      </w:pPr>
      <w:r>
        <w:t xml:space="preserve">The </w:t>
      </w:r>
      <w:r w:rsidR="00C26A20">
        <w:t>Respondent’s failure to document the size of the</w:t>
      </w:r>
      <w:r w:rsidR="002D168E">
        <w:t xml:space="preserve"> sigmoid</w:t>
      </w:r>
      <w:r w:rsidR="00C26A20">
        <w:t xml:space="preserve"> polyp and a description of the colitis in the medical record was negligent; and </w:t>
      </w:r>
    </w:p>
    <w:p w:rsidR="00C26A20" w:rsidRDefault="00AB7A41" w:rsidP="00C26A20">
      <w:pPr>
        <w:numPr>
          <w:ilvl w:val="1"/>
          <w:numId w:val="1"/>
        </w:numPr>
        <w:spacing w:line="480" w:lineRule="auto"/>
      </w:pPr>
      <w:r>
        <w:t xml:space="preserve">The </w:t>
      </w:r>
      <w:r w:rsidR="00C26A20">
        <w:t>Respondent’s</w:t>
      </w:r>
      <w:r w:rsidR="00F7248D">
        <w:t xml:space="preserve"> decision to continue Patient A</w:t>
      </w:r>
      <w:r w:rsidR="00C26A20">
        <w:t xml:space="preserve"> on a regiment of corticosteroid</w:t>
      </w:r>
      <w:r w:rsidR="00325DAA">
        <w:t>s after learning that she</w:t>
      </w:r>
      <w:r w:rsidR="00C26A20">
        <w:t xml:space="preserve"> had ischemic colitis was negligent. </w:t>
      </w:r>
    </w:p>
    <w:p w:rsidR="008D5A4B" w:rsidRDefault="008D5A4B" w:rsidP="008D5A4B">
      <w:pPr>
        <w:spacing w:line="480" w:lineRule="auto"/>
        <w:ind w:left="1440"/>
      </w:pPr>
    </w:p>
    <w:p w:rsidR="004178F9" w:rsidRPr="00C26A20" w:rsidRDefault="00C26A20" w:rsidP="00C26A20">
      <w:pPr>
        <w:spacing w:line="480" w:lineRule="auto"/>
        <w:rPr>
          <w:u w:val="single"/>
        </w:rPr>
      </w:pPr>
      <w:r>
        <w:t>The Board has jurisdiction over this matter pursuant to G.L. c. 112, §§ 5, 61 and 62.  This adjudicatory proceeding will be conducted in accordance with the provisions of G.L. c. 30A and 801 CMR 1.01</w:t>
      </w:r>
      <w:r w:rsidRPr="00AC2327">
        <w:rPr>
          <w:sz w:val="26"/>
        </w:rPr>
        <w:t>.</w:t>
      </w:r>
      <w:r w:rsidRPr="00C56AD1">
        <w:rPr>
          <w:u w:val="single"/>
        </w:rPr>
        <w:t xml:space="preserve"> </w:t>
      </w:r>
    </w:p>
    <w:p w:rsidR="00E81EF7" w:rsidRPr="00E762CE" w:rsidRDefault="00E81EF7" w:rsidP="00E81EF7">
      <w:pPr>
        <w:spacing w:line="480" w:lineRule="auto"/>
        <w:jc w:val="center"/>
        <w:rPr>
          <w:u w:val="single"/>
        </w:rPr>
      </w:pPr>
      <w:r w:rsidRPr="00E762CE">
        <w:rPr>
          <w:u w:val="single"/>
        </w:rPr>
        <w:t>Conclusion of Law</w:t>
      </w:r>
    </w:p>
    <w:p w:rsidR="004C6F64" w:rsidRPr="008D5A4B" w:rsidRDefault="00581315" w:rsidP="002D168E">
      <w:pPr>
        <w:numPr>
          <w:ilvl w:val="0"/>
          <w:numId w:val="2"/>
        </w:numPr>
        <w:tabs>
          <w:tab w:val="clear" w:pos="1440"/>
        </w:tabs>
        <w:spacing w:line="480" w:lineRule="auto"/>
        <w:ind w:left="0" w:firstLine="720"/>
      </w:pPr>
      <w:r>
        <w:t>The Respondent h</w:t>
      </w:r>
      <w:r w:rsidR="00C26A20">
        <w:t>as violated G.L. c. 112,</w:t>
      </w:r>
      <w:r w:rsidR="00F7248D">
        <w:t xml:space="preserve"> §5 (c) and 243 CMR 1.03(5)(a)(3</w:t>
      </w:r>
      <w:r w:rsidR="002606F3">
        <w:t xml:space="preserve">) by </w:t>
      </w:r>
      <w:r w:rsidR="00C26A20">
        <w:rPr>
          <w:bCs/>
        </w:rPr>
        <w:t xml:space="preserve">engaging in conduct which </w:t>
      </w:r>
      <w:r w:rsidR="00AA4420">
        <w:rPr>
          <w:bCs/>
        </w:rPr>
        <w:t>calls into question the physician’s competence to practice medicine including, but not limited to, ne</w:t>
      </w:r>
      <w:r w:rsidR="008D5A4B">
        <w:rPr>
          <w:bCs/>
        </w:rPr>
        <w:t>gligence on repeated occasions.</w:t>
      </w:r>
    </w:p>
    <w:p w:rsidR="008D5A4B" w:rsidRDefault="008D5A4B" w:rsidP="008D5A4B">
      <w:pPr>
        <w:spacing w:line="480" w:lineRule="auto"/>
        <w:rPr>
          <w:bCs/>
        </w:rPr>
      </w:pPr>
    </w:p>
    <w:p w:rsidR="008D5A4B" w:rsidRPr="002D168E" w:rsidRDefault="008D5A4B" w:rsidP="008D5A4B">
      <w:pPr>
        <w:spacing w:line="480" w:lineRule="auto"/>
      </w:pPr>
    </w:p>
    <w:p w:rsidR="00E81EF7" w:rsidRPr="00E762CE" w:rsidRDefault="00E81EF7" w:rsidP="00E81EF7">
      <w:pPr>
        <w:spacing w:line="480" w:lineRule="auto"/>
        <w:jc w:val="center"/>
        <w:rPr>
          <w:u w:val="single"/>
        </w:rPr>
      </w:pPr>
      <w:r w:rsidRPr="00E762CE">
        <w:rPr>
          <w:u w:val="single"/>
        </w:rPr>
        <w:t>Sanction and Order</w:t>
      </w:r>
    </w:p>
    <w:p w:rsidR="00AE01E9" w:rsidRDefault="00E81EF7" w:rsidP="00C26A20">
      <w:pPr>
        <w:spacing w:line="480" w:lineRule="auto"/>
      </w:pPr>
      <w:r w:rsidRPr="00E762CE">
        <w:tab/>
      </w:r>
      <w:r w:rsidR="00C26A20">
        <w:t>The Respondent agrees that the following restriction will be placed upon his Massachusetts license, certificate number 44345:</w:t>
      </w:r>
    </w:p>
    <w:p w:rsidR="00542DCF" w:rsidRDefault="00AB7A41" w:rsidP="00C26A20">
      <w:pPr>
        <w:numPr>
          <w:ilvl w:val="0"/>
          <w:numId w:val="4"/>
        </w:numPr>
        <w:spacing w:line="480" w:lineRule="auto"/>
      </w:pPr>
      <w:r>
        <w:t xml:space="preserve">The </w:t>
      </w:r>
      <w:r w:rsidR="00C26A20">
        <w:t xml:space="preserve">Respondent will permanently cease the practice of gastroenterology. </w:t>
      </w:r>
    </w:p>
    <w:p w:rsidR="00E81EF7" w:rsidRPr="00E762CE" w:rsidRDefault="00E81EF7" w:rsidP="00E81EF7">
      <w:pPr>
        <w:spacing w:line="480" w:lineRule="auto"/>
        <w:jc w:val="center"/>
      </w:pPr>
      <w:r w:rsidRPr="00E762CE">
        <w:rPr>
          <w:u w:val="single"/>
        </w:rPr>
        <w:t>Execution of this Consent Order</w:t>
      </w:r>
    </w:p>
    <w:p w:rsidR="00E80553" w:rsidRDefault="006577F5" w:rsidP="00E80553">
      <w:pPr>
        <w:spacing w:line="480" w:lineRule="auto"/>
        <w:rPr>
          <w:bCs/>
          <w:color w:val="000000"/>
        </w:rPr>
      </w:pPr>
      <w:r w:rsidRPr="00E762CE">
        <w:rPr>
          <w:b/>
          <w:bCs/>
        </w:rPr>
        <w:tab/>
      </w:r>
      <w:r w:rsidR="00E80553">
        <w:rPr>
          <w:bCs/>
          <w:color w:val="000000"/>
        </w:rPr>
        <w:t>Complaint Counsel, the Respondent, and the Respondent’s counsel agree that the approval of this Consent Order is left to the discretion of the Board.  The signature of Complaint Counsel, the Respondent, and the Respondent’s counsel are expressly conditioned on the Board accepting this Consent Order.  If the Board rejects this Consent Order, in whole or in part, then the entire document shall be null and void; thereafter, neither of the parties nor anyone else may rely on these stipulations in this proceeding.</w:t>
      </w:r>
    </w:p>
    <w:p w:rsidR="00E80553" w:rsidRDefault="00E80553" w:rsidP="00E80553">
      <w:pPr>
        <w:spacing w:line="480" w:lineRule="auto"/>
        <w:rPr>
          <w:bCs/>
          <w:color w:val="000000"/>
        </w:rPr>
      </w:pPr>
      <w:r>
        <w:rPr>
          <w:bCs/>
          <w:color w:val="000000"/>
        </w:rPr>
        <w:tab/>
        <w:t>As to any matter in this Consent Order left to the discretion of the Board, neither the Respondent, nor anyone acting on his behalf, has received any promises or representations regarding the same.</w:t>
      </w:r>
    </w:p>
    <w:p w:rsidR="00E80553" w:rsidRPr="00CD4C5C" w:rsidRDefault="00E80553" w:rsidP="00C61EB6">
      <w:pPr>
        <w:spacing w:line="480" w:lineRule="auto"/>
        <w:rPr>
          <w:bCs/>
          <w:color w:val="000000"/>
        </w:rPr>
      </w:pPr>
      <w:r>
        <w:rPr>
          <w:bCs/>
          <w:color w:val="000000"/>
        </w:rPr>
        <w:tab/>
        <w:t xml:space="preserve">The Respondent waives any right of appeal that he may have resulting from the Board’s acceptance of this Consent Order.   </w:t>
      </w:r>
    </w:p>
    <w:p w:rsidR="006577F5" w:rsidRPr="00E762CE" w:rsidRDefault="006577F5" w:rsidP="00E80553">
      <w:pPr>
        <w:spacing w:line="480" w:lineRule="auto"/>
        <w:ind w:firstLine="720"/>
      </w:pPr>
      <w:r w:rsidRPr="00E762CE">
        <w:t>The Respondent shall provide a complete copy of this Consent Order</w:t>
      </w:r>
      <w:r w:rsidR="00C26A20">
        <w:t xml:space="preserve"> </w:t>
      </w:r>
      <w:r w:rsidRPr="00E762CE">
        <w:t>with all exhibits and attachments within ten (10) days by certified mail, return receipt requested, or by hand delivery to the following designated entities:  any in- or out-of-state hospital, nursing home, clinic, other licensed facility, or municipal, state</w:t>
      </w:r>
      <w:r w:rsidR="007F278C">
        <w:t xml:space="preserve">, or federal facility at which </w:t>
      </w:r>
      <w:r w:rsidRPr="00E762CE">
        <w:t xml:space="preserve">he practices medicine; any in- or out-of-state health maintenance organization with whom </w:t>
      </w:r>
      <w:r w:rsidR="0087142B" w:rsidRPr="00E762CE">
        <w:t xml:space="preserve">the Respondent </w:t>
      </w:r>
      <w:r w:rsidRPr="00E762CE">
        <w:t xml:space="preserve">has privileges or any other kind of association; any state agency, in- or out-of-state, with which </w:t>
      </w:r>
      <w:r w:rsidR="0087142B" w:rsidRPr="00E762CE">
        <w:t>the Respondent</w:t>
      </w:r>
      <w:r w:rsidRPr="00E762CE">
        <w:t xml:space="preserve"> has a provider contract; any in- or out-of-state medical employer, whether or not </w:t>
      </w:r>
      <w:r w:rsidR="0087142B" w:rsidRPr="00E762CE">
        <w:t>the Respondent</w:t>
      </w:r>
      <w:r w:rsidRPr="00E762CE">
        <w:t xml:space="preserve"> practices medicine there; the state licensing boards of all states in which </w:t>
      </w:r>
      <w:r w:rsidR="0087142B" w:rsidRPr="00E762CE">
        <w:t>the Respondent</w:t>
      </w:r>
      <w:r w:rsidRPr="00E762CE">
        <w:t xml:space="preserve"> has any kind of license to practice medicine; the Drug Enforcement Administration Boston Diversion Group; and the Massachusetts Department of Public Health Drug Control Program.  The Respondent shall also provide this notification to any such designated entities with which </w:t>
      </w:r>
      <w:r w:rsidR="0087142B" w:rsidRPr="00E762CE">
        <w:t>the Respondent</w:t>
      </w:r>
      <w:r w:rsidRPr="00E762CE">
        <w:t xml:space="preserve"> becomes as</w:t>
      </w:r>
      <w:r w:rsidR="00587337">
        <w:t>soc</w:t>
      </w:r>
      <w:r w:rsidR="00C26A20">
        <w:t xml:space="preserve">iated </w:t>
      </w:r>
      <w:r w:rsidR="008D5A4B">
        <w:t xml:space="preserve">following the date of imposition of this permanent license restriction. </w:t>
      </w:r>
      <w:r w:rsidRPr="00E762CE">
        <w:t xml:space="preserve">The Respondent is further directed to certify to the Board within ten (10) days that </w:t>
      </w:r>
      <w:r w:rsidR="0087142B" w:rsidRPr="00E762CE">
        <w:t>the Respondent</w:t>
      </w:r>
      <w:r w:rsidRPr="00E762CE">
        <w:t xml:space="preserve"> has complied with this directive.</w:t>
      </w:r>
    </w:p>
    <w:p w:rsidR="00E81EF7" w:rsidRDefault="006577F5" w:rsidP="00E80553">
      <w:pPr>
        <w:spacing w:line="480" w:lineRule="auto"/>
      </w:pPr>
      <w:r w:rsidRPr="00E762CE">
        <w:rPr>
          <w:b/>
          <w:bCs/>
        </w:rPr>
        <w:tab/>
      </w:r>
      <w:r w:rsidRPr="00E762CE">
        <w:t>The Board expressly reserves the authority to independently notify, at any time, any of the entities designated above, or any other affected ent</w:t>
      </w:r>
      <w:r w:rsidR="00E80553">
        <w:t>ity, of any action it has taken.</w:t>
      </w:r>
    </w:p>
    <w:p w:rsidR="00E81EF7" w:rsidRPr="00E762CE" w:rsidRDefault="00E81EF7" w:rsidP="00E81EF7"/>
    <w:p w:rsidR="00E81EF7" w:rsidRPr="00E762CE" w:rsidRDefault="000C58B7" w:rsidP="00E81EF7">
      <w:r>
        <w:rPr>
          <w:u w:val="single"/>
        </w:rPr>
        <w:t>Signed by Neal W. Nadelson, M.D.</w:t>
      </w:r>
      <w:r>
        <w:rPr>
          <w:u w:val="single"/>
        </w:rPr>
        <w:tab/>
      </w:r>
      <w:r>
        <w:rPr>
          <w:u w:val="single"/>
        </w:rPr>
        <w:tab/>
      </w:r>
      <w:r w:rsidR="00E81EF7" w:rsidRPr="00E762CE">
        <w:tab/>
      </w:r>
      <w:r>
        <w:rPr>
          <w:u w:val="single"/>
        </w:rPr>
        <w:t>10/18/18</w:t>
      </w:r>
      <w:r>
        <w:rPr>
          <w:u w:val="single"/>
        </w:rPr>
        <w:tab/>
      </w:r>
      <w:r>
        <w:rPr>
          <w:u w:val="single"/>
        </w:rPr>
        <w:tab/>
      </w:r>
    </w:p>
    <w:p w:rsidR="00E81EF7" w:rsidRPr="00E762CE" w:rsidRDefault="00C26A20" w:rsidP="00E81EF7">
      <w:r>
        <w:t>Neal W</w:t>
      </w:r>
      <w:r w:rsidR="009F6117">
        <w:t>.</w:t>
      </w:r>
      <w:r>
        <w:t xml:space="preserve"> Nadelson, M.D.</w:t>
      </w:r>
      <w:r w:rsidR="00E81EF7" w:rsidRPr="00E762CE">
        <w:tab/>
      </w:r>
      <w:r w:rsidR="00E81EF7" w:rsidRPr="00E762CE">
        <w:tab/>
      </w:r>
      <w:r w:rsidR="00E81EF7" w:rsidRPr="00E762CE">
        <w:tab/>
      </w:r>
      <w:r w:rsidR="00E81EF7" w:rsidRPr="00E762CE">
        <w:tab/>
      </w:r>
      <w:r w:rsidR="00E81EF7" w:rsidRPr="00E762CE">
        <w:tab/>
        <w:t>Date</w:t>
      </w:r>
    </w:p>
    <w:p w:rsidR="00E81EF7" w:rsidRPr="00E762CE" w:rsidRDefault="00AE01E9" w:rsidP="00E81EF7">
      <w:r>
        <w:t>License</w:t>
      </w:r>
      <w:r w:rsidR="00C26A20">
        <w:t>e</w:t>
      </w:r>
    </w:p>
    <w:p w:rsidR="00E81EF7" w:rsidRDefault="00E81EF7" w:rsidP="00E81EF7"/>
    <w:p w:rsidR="00F02523" w:rsidRPr="000C58B7" w:rsidRDefault="000C58B7" w:rsidP="00E81EF7">
      <w:pPr>
        <w:rPr>
          <w:u w:val="single"/>
        </w:rPr>
      </w:pPr>
      <w:r>
        <w:rPr>
          <w:u w:val="single"/>
        </w:rPr>
        <w:t>Signed by Martin C. Foster</w:t>
      </w:r>
      <w:r>
        <w:rPr>
          <w:u w:val="single"/>
        </w:rPr>
        <w:tab/>
      </w:r>
      <w:r>
        <w:rPr>
          <w:u w:val="single"/>
        </w:rPr>
        <w:tab/>
      </w:r>
      <w:r>
        <w:rPr>
          <w:u w:val="single"/>
        </w:rPr>
        <w:tab/>
      </w:r>
      <w:r w:rsidR="00F02523">
        <w:tab/>
      </w:r>
      <w:r>
        <w:rPr>
          <w:u w:val="single"/>
        </w:rPr>
        <w:t>10/22/2018</w:t>
      </w:r>
      <w:r>
        <w:rPr>
          <w:u w:val="single"/>
        </w:rPr>
        <w:tab/>
      </w:r>
      <w:r>
        <w:rPr>
          <w:u w:val="single"/>
        </w:rPr>
        <w:tab/>
      </w:r>
    </w:p>
    <w:p w:rsidR="00F02523" w:rsidRDefault="00F02523" w:rsidP="00E81EF7">
      <w:r>
        <w:t>Martin C. Foster, Esq.</w:t>
      </w:r>
      <w:r>
        <w:tab/>
      </w:r>
      <w:r>
        <w:tab/>
      </w:r>
      <w:r>
        <w:tab/>
      </w:r>
      <w:r>
        <w:tab/>
      </w:r>
      <w:r>
        <w:tab/>
      </w:r>
      <w:r>
        <w:tab/>
        <w:t>Date</w:t>
      </w:r>
    </w:p>
    <w:p w:rsidR="00F02523" w:rsidRPr="00E762CE" w:rsidRDefault="00D40F27" w:rsidP="00E81EF7">
      <w:r>
        <w:t>Attorney for the Licensee</w:t>
      </w:r>
    </w:p>
    <w:p w:rsidR="00E81EF7" w:rsidRPr="00E762CE" w:rsidRDefault="000C58B7" w:rsidP="00E81EF7">
      <w:r>
        <w:rPr>
          <w:u w:val="single"/>
        </w:rPr>
        <w:t>Gisela DaSilva</w:t>
      </w:r>
      <w:r>
        <w:rPr>
          <w:u w:val="single"/>
        </w:rPr>
        <w:tab/>
      </w:r>
      <w:r>
        <w:rPr>
          <w:u w:val="single"/>
        </w:rPr>
        <w:tab/>
      </w:r>
      <w:r>
        <w:rPr>
          <w:u w:val="single"/>
        </w:rPr>
        <w:tab/>
      </w:r>
      <w:r>
        <w:rPr>
          <w:u w:val="single"/>
        </w:rPr>
        <w:tab/>
      </w:r>
      <w:r w:rsidR="00E81EF7" w:rsidRPr="00E762CE">
        <w:tab/>
      </w:r>
      <w:r>
        <w:rPr>
          <w:u w:val="single"/>
        </w:rPr>
        <w:t>10/22/2018</w:t>
      </w:r>
      <w:r>
        <w:rPr>
          <w:u w:val="single"/>
        </w:rPr>
        <w:tab/>
      </w:r>
      <w:r>
        <w:rPr>
          <w:u w:val="single"/>
        </w:rPr>
        <w:tab/>
      </w:r>
    </w:p>
    <w:p w:rsidR="00E81EF7" w:rsidRPr="00E762CE" w:rsidRDefault="00F02523" w:rsidP="00E81EF7">
      <w:r>
        <w:t>Gisel</w:t>
      </w:r>
      <w:r w:rsidR="00C26A20">
        <w:t>a DaSilva</w:t>
      </w:r>
      <w:r w:rsidR="00437B99">
        <w:t>, Esq.</w:t>
      </w:r>
      <w:r w:rsidR="009F6117">
        <w:tab/>
      </w:r>
      <w:r w:rsidR="009F6117">
        <w:tab/>
      </w:r>
      <w:r w:rsidR="00D1413E" w:rsidRPr="00E762CE">
        <w:tab/>
      </w:r>
      <w:r w:rsidR="00E81EF7" w:rsidRPr="00E762CE">
        <w:tab/>
      </w:r>
      <w:r w:rsidR="00E81EF7" w:rsidRPr="00E762CE">
        <w:tab/>
      </w:r>
      <w:r w:rsidR="00E81EF7" w:rsidRPr="00E762CE">
        <w:tab/>
        <w:t>Date</w:t>
      </w:r>
    </w:p>
    <w:p w:rsidR="00E81EF7" w:rsidRPr="00E762CE" w:rsidRDefault="00E81EF7" w:rsidP="00E81EF7">
      <w:r w:rsidRPr="00E762CE">
        <w:t>Attorney for the Licensee</w:t>
      </w:r>
    </w:p>
    <w:p w:rsidR="00E81EF7" w:rsidRPr="00E762CE" w:rsidRDefault="00E81EF7" w:rsidP="00E81EF7"/>
    <w:p w:rsidR="00E81EF7" w:rsidRPr="00E762CE" w:rsidRDefault="000C58B7" w:rsidP="00E81EF7">
      <w:r>
        <w:rPr>
          <w:u w:val="single"/>
        </w:rPr>
        <w:t>Signed by Lisa L. Fuccione</w:t>
      </w:r>
      <w:r>
        <w:rPr>
          <w:u w:val="single"/>
        </w:rPr>
        <w:tab/>
      </w:r>
      <w:r>
        <w:rPr>
          <w:u w:val="single"/>
        </w:rPr>
        <w:tab/>
      </w:r>
      <w:r>
        <w:rPr>
          <w:u w:val="single"/>
        </w:rPr>
        <w:tab/>
      </w:r>
      <w:r w:rsidR="00E81EF7" w:rsidRPr="00E762CE">
        <w:tab/>
      </w:r>
      <w:r>
        <w:rPr>
          <w:u w:val="single"/>
        </w:rPr>
        <w:t>10/23/18</w:t>
      </w:r>
      <w:r>
        <w:rPr>
          <w:u w:val="single"/>
        </w:rPr>
        <w:tab/>
      </w:r>
      <w:r>
        <w:rPr>
          <w:u w:val="single"/>
        </w:rPr>
        <w:tab/>
      </w:r>
    </w:p>
    <w:p w:rsidR="00E81EF7" w:rsidRPr="00E762CE" w:rsidRDefault="00EC4FFF" w:rsidP="00E81EF7">
      <w:r>
        <w:t>Lisa L. Fuccione</w:t>
      </w:r>
      <w:r w:rsidR="00D40F27">
        <w:t>, Esq.</w:t>
      </w:r>
      <w:r>
        <w:tab/>
      </w:r>
      <w:r>
        <w:tab/>
      </w:r>
      <w:r>
        <w:tab/>
      </w:r>
      <w:r>
        <w:tab/>
      </w:r>
      <w:r w:rsidR="00E81EF7" w:rsidRPr="00E762CE">
        <w:tab/>
      </w:r>
      <w:r w:rsidR="00E81EF7" w:rsidRPr="00E762CE">
        <w:tab/>
        <w:t>Date</w:t>
      </w:r>
    </w:p>
    <w:p w:rsidR="00E81EF7" w:rsidRPr="00E762CE" w:rsidRDefault="00E81EF7" w:rsidP="00E81EF7">
      <w:r w:rsidRPr="00E762CE">
        <w:t>Complaint Counsel</w:t>
      </w:r>
    </w:p>
    <w:p w:rsidR="00E81EF7" w:rsidRPr="00E762CE" w:rsidRDefault="00E81EF7" w:rsidP="00E81EF7"/>
    <w:p w:rsidR="00E81EF7" w:rsidRPr="00E762CE" w:rsidRDefault="00E81EF7" w:rsidP="00E81EF7">
      <w:r w:rsidRPr="00E762CE">
        <w:tab/>
        <w:t xml:space="preserve">So ORDERED by the Board of Registration in Medicine this  </w:t>
      </w:r>
      <w:r w:rsidR="000C58B7">
        <w:t>28</w:t>
      </w:r>
      <w:r w:rsidR="007E6699">
        <w:t xml:space="preserve"> day of </w:t>
      </w:r>
      <w:r w:rsidR="000C58B7">
        <w:t>February</w:t>
      </w:r>
      <w:r w:rsidR="007E6699">
        <w:t>, 201</w:t>
      </w:r>
      <w:r w:rsidR="000C58B7">
        <w:t>9</w:t>
      </w:r>
      <w:r w:rsidRPr="00E762CE">
        <w:t>.</w:t>
      </w:r>
    </w:p>
    <w:p w:rsidR="00E81EF7" w:rsidRPr="00E762CE" w:rsidRDefault="00E81EF7" w:rsidP="00E81EF7"/>
    <w:p w:rsidR="00E81EF7" w:rsidRDefault="00E81EF7" w:rsidP="00E81EF7"/>
    <w:p w:rsidR="002B3A19" w:rsidRPr="00E762CE" w:rsidRDefault="002B3A19" w:rsidP="00E81EF7"/>
    <w:p w:rsidR="00E81EF7" w:rsidRPr="00E762CE" w:rsidRDefault="00E81EF7" w:rsidP="00E81EF7"/>
    <w:p w:rsidR="00E81EF7" w:rsidRPr="00E762CE" w:rsidRDefault="00E81EF7" w:rsidP="00E81EF7">
      <w:r w:rsidRPr="00E762CE">
        <w:tab/>
      </w:r>
      <w:r w:rsidRPr="00E762CE">
        <w:tab/>
      </w:r>
      <w:r w:rsidRPr="00E762CE">
        <w:tab/>
      </w:r>
      <w:r w:rsidRPr="00E762CE">
        <w:tab/>
      </w:r>
      <w:r w:rsidRPr="00E762CE">
        <w:tab/>
      </w:r>
      <w:r w:rsidRPr="00E762CE">
        <w:tab/>
      </w:r>
      <w:r w:rsidRPr="00E762CE">
        <w:tab/>
      </w:r>
      <w:r w:rsidR="000C58B7">
        <w:rPr>
          <w:u w:val="single"/>
        </w:rPr>
        <w:t>Signed by Candace Lapidus Sloane, M.D.</w:t>
      </w:r>
      <w:bookmarkStart w:id="0" w:name="_GoBack"/>
      <w:bookmarkEnd w:id="0"/>
    </w:p>
    <w:p w:rsidR="00D23480" w:rsidRPr="00E762CE" w:rsidRDefault="00A23391" w:rsidP="00E81EF7">
      <w:r w:rsidRPr="00E762CE">
        <w:tab/>
      </w:r>
      <w:r w:rsidRPr="00E762CE">
        <w:tab/>
      </w:r>
      <w:r w:rsidRPr="00E762CE">
        <w:tab/>
      </w:r>
      <w:r w:rsidRPr="00E762CE">
        <w:tab/>
      </w:r>
      <w:r w:rsidRPr="00E762CE">
        <w:tab/>
      </w:r>
      <w:r w:rsidRPr="00E762CE">
        <w:tab/>
      </w:r>
      <w:r w:rsidRPr="00E762CE">
        <w:tab/>
        <w:t>Candace Lapidus Sloane, M.D.</w:t>
      </w:r>
    </w:p>
    <w:p w:rsidR="00A23391" w:rsidRPr="00E762CE" w:rsidRDefault="00A23391" w:rsidP="00E81EF7">
      <w:r w:rsidRPr="00E762CE">
        <w:tab/>
      </w:r>
      <w:r w:rsidRPr="00E762CE">
        <w:tab/>
      </w:r>
      <w:r w:rsidRPr="00E762CE">
        <w:tab/>
      </w:r>
      <w:r w:rsidRPr="00E762CE">
        <w:tab/>
      </w:r>
      <w:r w:rsidRPr="00E762CE">
        <w:tab/>
      </w:r>
      <w:r w:rsidRPr="00E762CE">
        <w:tab/>
      </w:r>
      <w:r w:rsidRPr="00E762CE">
        <w:tab/>
        <w:t>Board Chair</w:t>
      </w:r>
    </w:p>
    <w:sectPr w:rsidR="00A23391" w:rsidRPr="00E762CE" w:rsidSect="00353275">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04C" w:rsidRDefault="0094704C" w:rsidP="00ED211F">
      <w:r>
        <w:separator/>
      </w:r>
    </w:p>
  </w:endnote>
  <w:endnote w:type="continuationSeparator" w:id="0">
    <w:p w:rsidR="0094704C" w:rsidRDefault="0094704C" w:rsidP="00ED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FA2" w:rsidRDefault="00AD3F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0E3" w:rsidRPr="00E762CE" w:rsidRDefault="00B410E3" w:rsidP="009A4740">
    <w:pPr>
      <w:pStyle w:val="Footer"/>
      <w:tabs>
        <w:tab w:val="clear" w:pos="8640"/>
        <w:tab w:val="right" w:pos="9120"/>
      </w:tabs>
      <w:rPr>
        <w:sz w:val="20"/>
        <w:szCs w:val="20"/>
      </w:rPr>
    </w:pPr>
    <w:r w:rsidRPr="00E762CE">
      <w:rPr>
        <w:sz w:val="20"/>
        <w:szCs w:val="20"/>
      </w:rPr>
      <w:t xml:space="preserve">Consent Order – </w:t>
    </w:r>
    <w:r w:rsidR="00C26A20">
      <w:rPr>
        <w:sz w:val="20"/>
        <w:szCs w:val="20"/>
      </w:rPr>
      <w:t>Neal W. Nadelson</w:t>
    </w:r>
    <w:r w:rsidR="0004247F" w:rsidRPr="00E762CE">
      <w:rPr>
        <w:sz w:val="20"/>
        <w:szCs w:val="20"/>
      </w:rPr>
      <w:t>, M.D.</w:t>
    </w:r>
    <w:r w:rsidRPr="00E762CE">
      <w:rPr>
        <w:sz w:val="20"/>
        <w:szCs w:val="20"/>
      </w:rPr>
      <w:tab/>
    </w:r>
    <w:r w:rsidRPr="00E762CE">
      <w:rPr>
        <w:sz w:val="20"/>
        <w:szCs w:val="20"/>
      </w:rPr>
      <w:tab/>
    </w:r>
    <w:r w:rsidRPr="00E762CE">
      <w:rPr>
        <w:rStyle w:val="PageNumber"/>
        <w:sz w:val="20"/>
        <w:szCs w:val="20"/>
      </w:rPr>
      <w:fldChar w:fldCharType="begin"/>
    </w:r>
    <w:r w:rsidRPr="00E762CE">
      <w:rPr>
        <w:rStyle w:val="PageNumber"/>
        <w:sz w:val="20"/>
        <w:szCs w:val="20"/>
      </w:rPr>
      <w:instrText xml:space="preserve"> PAGE </w:instrText>
    </w:r>
    <w:r w:rsidRPr="00E762CE">
      <w:rPr>
        <w:rStyle w:val="PageNumber"/>
        <w:sz w:val="20"/>
        <w:szCs w:val="20"/>
      </w:rPr>
      <w:fldChar w:fldCharType="separate"/>
    </w:r>
    <w:r w:rsidR="000C58B7">
      <w:rPr>
        <w:rStyle w:val="PageNumber"/>
        <w:noProof/>
        <w:sz w:val="20"/>
        <w:szCs w:val="20"/>
      </w:rPr>
      <w:t>5</w:t>
    </w:r>
    <w:r w:rsidRPr="00E762CE">
      <w:rPr>
        <w:rStyle w:val="PageNumber"/>
        <w:sz w:val="20"/>
        <w:szCs w:val="20"/>
      </w:rPr>
      <w:fldChar w:fldCharType="end"/>
    </w:r>
    <w:r w:rsidRPr="00E762CE">
      <w:rPr>
        <w:rStyle w:val="PageNumber"/>
        <w:sz w:val="20"/>
        <w:szCs w:val="20"/>
      </w:rPr>
      <w:t xml:space="preserve"> of </w:t>
    </w:r>
    <w:r w:rsidRPr="00E762CE">
      <w:rPr>
        <w:rStyle w:val="PageNumber"/>
        <w:sz w:val="20"/>
        <w:szCs w:val="20"/>
      </w:rPr>
      <w:fldChar w:fldCharType="begin"/>
    </w:r>
    <w:r w:rsidRPr="00E762CE">
      <w:rPr>
        <w:rStyle w:val="PageNumber"/>
        <w:sz w:val="20"/>
        <w:szCs w:val="20"/>
      </w:rPr>
      <w:instrText xml:space="preserve"> NUMPAGES </w:instrText>
    </w:r>
    <w:r w:rsidRPr="00E762CE">
      <w:rPr>
        <w:rStyle w:val="PageNumber"/>
        <w:sz w:val="20"/>
        <w:szCs w:val="20"/>
      </w:rPr>
      <w:fldChar w:fldCharType="separate"/>
    </w:r>
    <w:r w:rsidR="000C58B7">
      <w:rPr>
        <w:rStyle w:val="PageNumber"/>
        <w:noProof/>
        <w:sz w:val="20"/>
        <w:szCs w:val="20"/>
      </w:rPr>
      <w:t>5</w:t>
    </w:r>
    <w:r w:rsidRPr="00E762CE">
      <w:rPr>
        <w:rStyle w:val="PageNumbe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FA2" w:rsidRDefault="00AD3F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04C" w:rsidRDefault="0094704C" w:rsidP="00ED211F">
      <w:r>
        <w:separator/>
      </w:r>
    </w:p>
  </w:footnote>
  <w:footnote w:type="continuationSeparator" w:id="0">
    <w:p w:rsidR="0094704C" w:rsidRDefault="0094704C" w:rsidP="00ED211F">
      <w:r>
        <w:continuationSeparator/>
      </w:r>
    </w:p>
  </w:footnote>
  <w:footnote w:id="1">
    <w:p w:rsidR="00325DAA" w:rsidRDefault="00325DAA">
      <w:pPr>
        <w:pStyle w:val="FootnoteText"/>
        <w:rPr>
          <w:sz w:val="22"/>
          <w:szCs w:val="22"/>
        </w:rPr>
      </w:pPr>
      <w:r>
        <w:rPr>
          <w:rStyle w:val="FootnoteReference"/>
        </w:rPr>
        <w:footnoteRef/>
      </w:r>
      <w:r>
        <w:t xml:space="preserve"> </w:t>
      </w:r>
      <w:r>
        <w:rPr>
          <w:rStyle w:val="FootnoteReference"/>
        </w:rPr>
        <w:footnoteRef/>
      </w:r>
      <w:r>
        <w:t xml:space="preserve"> </w:t>
      </w:r>
      <w:r w:rsidRPr="00AB7A41">
        <w:rPr>
          <w:sz w:val="22"/>
          <w:szCs w:val="22"/>
        </w:rPr>
        <w:t xml:space="preserve">Per www.emedicine.medscape.com: A Hartmann’s procedure involves a resection of the recto-sigmoid colon with a creation of a colostomy.  </w:t>
      </w:r>
      <w:r>
        <w:rPr>
          <w:sz w:val="22"/>
          <w:szCs w:val="22"/>
        </w:rPr>
        <w:t xml:space="preserve"> </w:t>
      </w:r>
    </w:p>
    <w:p w:rsidR="00325DAA" w:rsidRDefault="00325DAA">
      <w:pPr>
        <w:pStyle w:val="FootnoteText"/>
      </w:pPr>
      <w:r>
        <w:rPr>
          <w:sz w:val="22"/>
          <w:szCs w:val="22"/>
        </w:rPr>
        <w:t xml:space="preserve">Per </w:t>
      </w:r>
      <w:r w:rsidRPr="00325DAA">
        <w:rPr>
          <w:sz w:val="22"/>
          <w:szCs w:val="22"/>
        </w:rPr>
        <w:t>www.emedicine.medscape.com</w:t>
      </w:r>
      <w:r>
        <w:rPr>
          <w:sz w:val="22"/>
          <w:szCs w:val="22"/>
        </w:rPr>
        <w:t xml:space="preserve">: wound dehiscence is defined as a separation of the wound’s edges.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FA2" w:rsidRDefault="00AD3F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FA2" w:rsidRDefault="00AD3FA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FA2" w:rsidRDefault="00AD3F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44CD5"/>
    <w:multiLevelType w:val="hybridMultilevel"/>
    <w:tmpl w:val="73E80B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AA5BD5"/>
    <w:multiLevelType w:val="hybridMultilevel"/>
    <w:tmpl w:val="E51E71CE"/>
    <w:lvl w:ilvl="0" w:tplc="EE6AFE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31B207D"/>
    <w:multiLevelType w:val="hybridMultilevel"/>
    <w:tmpl w:val="A44EE5FA"/>
    <w:lvl w:ilvl="0" w:tplc="D4EAC5C4">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702749E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EF7"/>
    <w:rsid w:val="000076A1"/>
    <w:rsid w:val="00020352"/>
    <w:rsid w:val="00023016"/>
    <w:rsid w:val="00023620"/>
    <w:rsid w:val="00026129"/>
    <w:rsid w:val="00033C0C"/>
    <w:rsid w:val="0004247F"/>
    <w:rsid w:val="000540A9"/>
    <w:rsid w:val="000757B0"/>
    <w:rsid w:val="000778E8"/>
    <w:rsid w:val="00077C72"/>
    <w:rsid w:val="00084E7A"/>
    <w:rsid w:val="00093E11"/>
    <w:rsid w:val="000A0E63"/>
    <w:rsid w:val="000A10C2"/>
    <w:rsid w:val="000B1E17"/>
    <w:rsid w:val="000C58B7"/>
    <w:rsid w:val="000D31A9"/>
    <w:rsid w:val="000E11A4"/>
    <w:rsid w:val="000E3275"/>
    <w:rsid w:val="000E3762"/>
    <w:rsid w:val="000E473C"/>
    <w:rsid w:val="000F070F"/>
    <w:rsid w:val="000F0C70"/>
    <w:rsid w:val="000F4BA0"/>
    <w:rsid w:val="000F7B95"/>
    <w:rsid w:val="00115839"/>
    <w:rsid w:val="0011790C"/>
    <w:rsid w:val="001277D4"/>
    <w:rsid w:val="00137BFD"/>
    <w:rsid w:val="00143047"/>
    <w:rsid w:val="00145FB1"/>
    <w:rsid w:val="00155535"/>
    <w:rsid w:val="00160A8D"/>
    <w:rsid w:val="001614C8"/>
    <w:rsid w:val="00180535"/>
    <w:rsid w:val="00183713"/>
    <w:rsid w:val="001908D7"/>
    <w:rsid w:val="001B11D7"/>
    <w:rsid w:val="001B4195"/>
    <w:rsid w:val="001C2FE8"/>
    <w:rsid w:val="001C41DC"/>
    <w:rsid w:val="001E41EF"/>
    <w:rsid w:val="001F7D41"/>
    <w:rsid w:val="002059C8"/>
    <w:rsid w:val="00214D65"/>
    <w:rsid w:val="002210B5"/>
    <w:rsid w:val="00223A0C"/>
    <w:rsid w:val="0025049B"/>
    <w:rsid w:val="00255685"/>
    <w:rsid w:val="002606F3"/>
    <w:rsid w:val="00263801"/>
    <w:rsid w:val="00264585"/>
    <w:rsid w:val="00285194"/>
    <w:rsid w:val="00293148"/>
    <w:rsid w:val="002A7F38"/>
    <w:rsid w:val="002B2B38"/>
    <w:rsid w:val="002B3A19"/>
    <w:rsid w:val="002D168E"/>
    <w:rsid w:val="002D1EA9"/>
    <w:rsid w:val="002D3386"/>
    <w:rsid w:val="002D35A6"/>
    <w:rsid w:val="002D4805"/>
    <w:rsid w:val="002D63D7"/>
    <w:rsid w:val="002D68AE"/>
    <w:rsid w:val="002E703E"/>
    <w:rsid w:val="002F1538"/>
    <w:rsid w:val="002F1B82"/>
    <w:rsid w:val="002F23D0"/>
    <w:rsid w:val="002F47E6"/>
    <w:rsid w:val="002F7366"/>
    <w:rsid w:val="003018E5"/>
    <w:rsid w:val="003118A0"/>
    <w:rsid w:val="00313277"/>
    <w:rsid w:val="003221B9"/>
    <w:rsid w:val="00325DAA"/>
    <w:rsid w:val="00353275"/>
    <w:rsid w:val="003572A2"/>
    <w:rsid w:val="00361A7A"/>
    <w:rsid w:val="003714C4"/>
    <w:rsid w:val="00372C0A"/>
    <w:rsid w:val="00373F30"/>
    <w:rsid w:val="003855D1"/>
    <w:rsid w:val="00391BF5"/>
    <w:rsid w:val="00394560"/>
    <w:rsid w:val="00394D21"/>
    <w:rsid w:val="003C39C0"/>
    <w:rsid w:val="003D58A0"/>
    <w:rsid w:val="003E1CFC"/>
    <w:rsid w:val="003E42BD"/>
    <w:rsid w:val="003E5910"/>
    <w:rsid w:val="003F5A6D"/>
    <w:rsid w:val="0040310C"/>
    <w:rsid w:val="00406479"/>
    <w:rsid w:val="0041038C"/>
    <w:rsid w:val="00411E3F"/>
    <w:rsid w:val="00416279"/>
    <w:rsid w:val="004178F9"/>
    <w:rsid w:val="00422C94"/>
    <w:rsid w:val="00430AD0"/>
    <w:rsid w:val="00437B99"/>
    <w:rsid w:val="0044024C"/>
    <w:rsid w:val="00443DDA"/>
    <w:rsid w:val="004503B8"/>
    <w:rsid w:val="00460DA1"/>
    <w:rsid w:val="00462DC1"/>
    <w:rsid w:val="00474C54"/>
    <w:rsid w:val="00476E10"/>
    <w:rsid w:val="004778E6"/>
    <w:rsid w:val="004825ED"/>
    <w:rsid w:val="004921D8"/>
    <w:rsid w:val="00497AD7"/>
    <w:rsid w:val="004A501B"/>
    <w:rsid w:val="004B5A93"/>
    <w:rsid w:val="004C6F64"/>
    <w:rsid w:val="004D3F18"/>
    <w:rsid w:val="004D5D69"/>
    <w:rsid w:val="004E2017"/>
    <w:rsid w:val="004F4A3D"/>
    <w:rsid w:val="00503982"/>
    <w:rsid w:val="00510598"/>
    <w:rsid w:val="00513817"/>
    <w:rsid w:val="00516929"/>
    <w:rsid w:val="00522AE8"/>
    <w:rsid w:val="00541A02"/>
    <w:rsid w:val="00542DCF"/>
    <w:rsid w:val="00544DE5"/>
    <w:rsid w:val="00553143"/>
    <w:rsid w:val="00557F6F"/>
    <w:rsid w:val="00581315"/>
    <w:rsid w:val="00583996"/>
    <w:rsid w:val="00587337"/>
    <w:rsid w:val="00590C24"/>
    <w:rsid w:val="0059323A"/>
    <w:rsid w:val="005B0AB8"/>
    <w:rsid w:val="005B38D1"/>
    <w:rsid w:val="005B6D9D"/>
    <w:rsid w:val="005C4882"/>
    <w:rsid w:val="005D378E"/>
    <w:rsid w:val="005F4AF5"/>
    <w:rsid w:val="005F54A2"/>
    <w:rsid w:val="006048C2"/>
    <w:rsid w:val="00615CB8"/>
    <w:rsid w:val="0062122F"/>
    <w:rsid w:val="00627FE4"/>
    <w:rsid w:val="0063128D"/>
    <w:rsid w:val="00633F52"/>
    <w:rsid w:val="00651D10"/>
    <w:rsid w:val="0065256D"/>
    <w:rsid w:val="006577F5"/>
    <w:rsid w:val="00662379"/>
    <w:rsid w:val="00662D78"/>
    <w:rsid w:val="00674474"/>
    <w:rsid w:val="00674C8D"/>
    <w:rsid w:val="00675A4D"/>
    <w:rsid w:val="00686388"/>
    <w:rsid w:val="0068715E"/>
    <w:rsid w:val="00687761"/>
    <w:rsid w:val="006A2119"/>
    <w:rsid w:val="006A6C2E"/>
    <w:rsid w:val="006B0B9D"/>
    <w:rsid w:val="006B182B"/>
    <w:rsid w:val="006B5092"/>
    <w:rsid w:val="006C4382"/>
    <w:rsid w:val="006C6479"/>
    <w:rsid w:val="006D13A5"/>
    <w:rsid w:val="006D13C5"/>
    <w:rsid w:val="006D41AA"/>
    <w:rsid w:val="006E35E6"/>
    <w:rsid w:val="006F1CC5"/>
    <w:rsid w:val="006F1F64"/>
    <w:rsid w:val="00707A80"/>
    <w:rsid w:val="00711553"/>
    <w:rsid w:val="00715185"/>
    <w:rsid w:val="00740D26"/>
    <w:rsid w:val="00746257"/>
    <w:rsid w:val="007475A9"/>
    <w:rsid w:val="00751866"/>
    <w:rsid w:val="00756D37"/>
    <w:rsid w:val="00762FDE"/>
    <w:rsid w:val="00767243"/>
    <w:rsid w:val="00777526"/>
    <w:rsid w:val="007838A6"/>
    <w:rsid w:val="0079554B"/>
    <w:rsid w:val="00795DF7"/>
    <w:rsid w:val="007A770C"/>
    <w:rsid w:val="007B17D8"/>
    <w:rsid w:val="007B7064"/>
    <w:rsid w:val="007B79E9"/>
    <w:rsid w:val="007C1D16"/>
    <w:rsid w:val="007C3EC1"/>
    <w:rsid w:val="007D68C6"/>
    <w:rsid w:val="007E5E4B"/>
    <w:rsid w:val="007E5E4D"/>
    <w:rsid w:val="007E6699"/>
    <w:rsid w:val="007F0861"/>
    <w:rsid w:val="007F278C"/>
    <w:rsid w:val="0080156A"/>
    <w:rsid w:val="00810F9D"/>
    <w:rsid w:val="00811081"/>
    <w:rsid w:val="008269C4"/>
    <w:rsid w:val="008625C9"/>
    <w:rsid w:val="0086575B"/>
    <w:rsid w:val="00870771"/>
    <w:rsid w:val="0087142B"/>
    <w:rsid w:val="008730F7"/>
    <w:rsid w:val="0088141D"/>
    <w:rsid w:val="008819A0"/>
    <w:rsid w:val="008A1203"/>
    <w:rsid w:val="008B58AE"/>
    <w:rsid w:val="008C3E79"/>
    <w:rsid w:val="008C6351"/>
    <w:rsid w:val="008D5A4B"/>
    <w:rsid w:val="008D6847"/>
    <w:rsid w:val="008E3A93"/>
    <w:rsid w:val="008F03FF"/>
    <w:rsid w:val="00902CED"/>
    <w:rsid w:val="009049D2"/>
    <w:rsid w:val="009056A6"/>
    <w:rsid w:val="009077BA"/>
    <w:rsid w:val="00940FC5"/>
    <w:rsid w:val="0094704C"/>
    <w:rsid w:val="00971041"/>
    <w:rsid w:val="00982263"/>
    <w:rsid w:val="00983FE9"/>
    <w:rsid w:val="009914A8"/>
    <w:rsid w:val="009A1EFD"/>
    <w:rsid w:val="009A3C02"/>
    <w:rsid w:val="009A45D3"/>
    <w:rsid w:val="009A4740"/>
    <w:rsid w:val="009A5ACF"/>
    <w:rsid w:val="009B19A3"/>
    <w:rsid w:val="009B2BAA"/>
    <w:rsid w:val="009B3820"/>
    <w:rsid w:val="009B69EB"/>
    <w:rsid w:val="009C209E"/>
    <w:rsid w:val="009D2C25"/>
    <w:rsid w:val="009D49D5"/>
    <w:rsid w:val="009D7CF3"/>
    <w:rsid w:val="009F543E"/>
    <w:rsid w:val="009F6117"/>
    <w:rsid w:val="00A06618"/>
    <w:rsid w:val="00A07C15"/>
    <w:rsid w:val="00A11274"/>
    <w:rsid w:val="00A23391"/>
    <w:rsid w:val="00A3085B"/>
    <w:rsid w:val="00A33BA4"/>
    <w:rsid w:val="00A45129"/>
    <w:rsid w:val="00A45CA6"/>
    <w:rsid w:val="00A5190C"/>
    <w:rsid w:val="00A56F1C"/>
    <w:rsid w:val="00A6250D"/>
    <w:rsid w:val="00A72821"/>
    <w:rsid w:val="00A74B13"/>
    <w:rsid w:val="00A777C6"/>
    <w:rsid w:val="00A86B2B"/>
    <w:rsid w:val="00A87CE0"/>
    <w:rsid w:val="00A962F0"/>
    <w:rsid w:val="00AA4420"/>
    <w:rsid w:val="00AB7A41"/>
    <w:rsid w:val="00AD3FA2"/>
    <w:rsid w:val="00AE01E9"/>
    <w:rsid w:val="00AE5AE4"/>
    <w:rsid w:val="00B13A38"/>
    <w:rsid w:val="00B13E77"/>
    <w:rsid w:val="00B14794"/>
    <w:rsid w:val="00B410E3"/>
    <w:rsid w:val="00B46A89"/>
    <w:rsid w:val="00B60F81"/>
    <w:rsid w:val="00B61886"/>
    <w:rsid w:val="00B73EE2"/>
    <w:rsid w:val="00B81CF8"/>
    <w:rsid w:val="00B862B1"/>
    <w:rsid w:val="00BA0ECF"/>
    <w:rsid w:val="00BA7A4D"/>
    <w:rsid w:val="00BC1646"/>
    <w:rsid w:val="00BC4928"/>
    <w:rsid w:val="00BD1BFA"/>
    <w:rsid w:val="00C02039"/>
    <w:rsid w:val="00C028B0"/>
    <w:rsid w:val="00C105C4"/>
    <w:rsid w:val="00C105CC"/>
    <w:rsid w:val="00C16494"/>
    <w:rsid w:val="00C2030B"/>
    <w:rsid w:val="00C26A20"/>
    <w:rsid w:val="00C341B3"/>
    <w:rsid w:val="00C51CC6"/>
    <w:rsid w:val="00C53D29"/>
    <w:rsid w:val="00C56518"/>
    <w:rsid w:val="00C572C4"/>
    <w:rsid w:val="00C60CDD"/>
    <w:rsid w:val="00C61A92"/>
    <w:rsid w:val="00C61EB6"/>
    <w:rsid w:val="00C6719C"/>
    <w:rsid w:val="00C727B6"/>
    <w:rsid w:val="00C836F8"/>
    <w:rsid w:val="00CA38FF"/>
    <w:rsid w:val="00CB7761"/>
    <w:rsid w:val="00CD063B"/>
    <w:rsid w:val="00CD4C5C"/>
    <w:rsid w:val="00CE05DA"/>
    <w:rsid w:val="00CE703E"/>
    <w:rsid w:val="00CF4590"/>
    <w:rsid w:val="00CF5053"/>
    <w:rsid w:val="00CF62EA"/>
    <w:rsid w:val="00D057F8"/>
    <w:rsid w:val="00D06DDE"/>
    <w:rsid w:val="00D1413E"/>
    <w:rsid w:val="00D14896"/>
    <w:rsid w:val="00D15E9D"/>
    <w:rsid w:val="00D20B96"/>
    <w:rsid w:val="00D228E1"/>
    <w:rsid w:val="00D22C4F"/>
    <w:rsid w:val="00D23480"/>
    <w:rsid w:val="00D252CE"/>
    <w:rsid w:val="00D32175"/>
    <w:rsid w:val="00D354C0"/>
    <w:rsid w:val="00D40F27"/>
    <w:rsid w:val="00D46035"/>
    <w:rsid w:val="00D47AB3"/>
    <w:rsid w:val="00D5076C"/>
    <w:rsid w:val="00D545FA"/>
    <w:rsid w:val="00D56F27"/>
    <w:rsid w:val="00D610F4"/>
    <w:rsid w:val="00D65DE0"/>
    <w:rsid w:val="00D65F8E"/>
    <w:rsid w:val="00D70A4E"/>
    <w:rsid w:val="00D770C5"/>
    <w:rsid w:val="00D81AD0"/>
    <w:rsid w:val="00D844B5"/>
    <w:rsid w:val="00DA1BF1"/>
    <w:rsid w:val="00DA259F"/>
    <w:rsid w:val="00DD2AB1"/>
    <w:rsid w:val="00DE28F2"/>
    <w:rsid w:val="00DE5FB8"/>
    <w:rsid w:val="00DE6D4F"/>
    <w:rsid w:val="00DF0009"/>
    <w:rsid w:val="00DF4AF6"/>
    <w:rsid w:val="00E11AE0"/>
    <w:rsid w:val="00E12100"/>
    <w:rsid w:val="00E1292D"/>
    <w:rsid w:val="00E1632E"/>
    <w:rsid w:val="00E225A1"/>
    <w:rsid w:val="00E22EFF"/>
    <w:rsid w:val="00E40B97"/>
    <w:rsid w:val="00E40D87"/>
    <w:rsid w:val="00E4175B"/>
    <w:rsid w:val="00E47CC1"/>
    <w:rsid w:val="00E60554"/>
    <w:rsid w:val="00E700DF"/>
    <w:rsid w:val="00E750C2"/>
    <w:rsid w:val="00E762CE"/>
    <w:rsid w:val="00E8033E"/>
    <w:rsid w:val="00E80553"/>
    <w:rsid w:val="00E8120F"/>
    <w:rsid w:val="00E81EF7"/>
    <w:rsid w:val="00E95206"/>
    <w:rsid w:val="00E95518"/>
    <w:rsid w:val="00E95C55"/>
    <w:rsid w:val="00E96259"/>
    <w:rsid w:val="00EA05A3"/>
    <w:rsid w:val="00EA1B36"/>
    <w:rsid w:val="00EA5E2E"/>
    <w:rsid w:val="00EC4FFF"/>
    <w:rsid w:val="00EC66AC"/>
    <w:rsid w:val="00EC75EF"/>
    <w:rsid w:val="00ED211F"/>
    <w:rsid w:val="00ED32F7"/>
    <w:rsid w:val="00ED7CF6"/>
    <w:rsid w:val="00EF3885"/>
    <w:rsid w:val="00EF4B3B"/>
    <w:rsid w:val="00F02523"/>
    <w:rsid w:val="00F039DF"/>
    <w:rsid w:val="00F15A33"/>
    <w:rsid w:val="00F17C3C"/>
    <w:rsid w:val="00F220C0"/>
    <w:rsid w:val="00F239EB"/>
    <w:rsid w:val="00F30CE8"/>
    <w:rsid w:val="00F31A04"/>
    <w:rsid w:val="00F330FC"/>
    <w:rsid w:val="00F357EC"/>
    <w:rsid w:val="00F4036E"/>
    <w:rsid w:val="00F40660"/>
    <w:rsid w:val="00F41DE4"/>
    <w:rsid w:val="00F54ABF"/>
    <w:rsid w:val="00F5536A"/>
    <w:rsid w:val="00F61615"/>
    <w:rsid w:val="00F673C1"/>
    <w:rsid w:val="00F7248D"/>
    <w:rsid w:val="00F7398F"/>
    <w:rsid w:val="00F80E45"/>
    <w:rsid w:val="00F83A7F"/>
    <w:rsid w:val="00F841A7"/>
    <w:rsid w:val="00FB70BC"/>
    <w:rsid w:val="00FC77DC"/>
    <w:rsid w:val="00FD0FD9"/>
    <w:rsid w:val="00FD3468"/>
    <w:rsid w:val="00FE5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4740"/>
    <w:pPr>
      <w:tabs>
        <w:tab w:val="center" w:pos="4320"/>
        <w:tab w:val="right" w:pos="8640"/>
      </w:tabs>
    </w:pPr>
  </w:style>
  <w:style w:type="paragraph" w:styleId="Footer">
    <w:name w:val="footer"/>
    <w:basedOn w:val="Normal"/>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paragraph" w:styleId="BalloonText">
    <w:name w:val="Balloon Text"/>
    <w:basedOn w:val="Normal"/>
    <w:link w:val="BalloonTextChar"/>
    <w:rsid w:val="00462DC1"/>
    <w:rPr>
      <w:rFonts w:ascii="Tahoma" w:hAnsi="Tahoma" w:cs="Tahoma"/>
      <w:sz w:val="16"/>
      <w:szCs w:val="16"/>
    </w:rPr>
  </w:style>
  <w:style w:type="character" w:customStyle="1" w:styleId="BalloonTextChar">
    <w:name w:val="Balloon Text Char"/>
    <w:link w:val="BalloonText"/>
    <w:rsid w:val="00462DC1"/>
    <w:rPr>
      <w:rFonts w:ascii="Tahoma" w:hAnsi="Tahoma" w:cs="Tahoma"/>
      <w:sz w:val="16"/>
      <w:szCs w:val="16"/>
    </w:rPr>
  </w:style>
  <w:style w:type="paragraph" w:styleId="FootnoteText">
    <w:name w:val="footnote text"/>
    <w:basedOn w:val="Normal"/>
    <w:link w:val="FootnoteTextChar"/>
    <w:rsid w:val="00C26A20"/>
    <w:rPr>
      <w:sz w:val="20"/>
      <w:szCs w:val="20"/>
    </w:rPr>
  </w:style>
  <w:style w:type="character" w:customStyle="1" w:styleId="FootnoteTextChar">
    <w:name w:val="Footnote Text Char"/>
    <w:basedOn w:val="DefaultParagraphFont"/>
    <w:link w:val="FootnoteText"/>
    <w:rsid w:val="00C26A20"/>
  </w:style>
  <w:style w:type="character" w:styleId="FootnoteReference">
    <w:name w:val="footnote reference"/>
    <w:rsid w:val="00C26A20"/>
    <w:rPr>
      <w:vertAlign w:val="superscript"/>
    </w:rPr>
  </w:style>
  <w:style w:type="character" w:styleId="Hyperlink">
    <w:name w:val="Hyperlink"/>
    <w:rsid w:val="00C26A2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4740"/>
    <w:pPr>
      <w:tabs>
        <w:tab w:val="center" w:pos="4320"/>
        <w:tab w:val="right" w:pos="8640"/>
      </w:tabs>
    </w:pPr>
  </w:style>
  <w:style w:type="paragraph" w:styleId="Footer">
    <w:name w:val="footer"/>
    <w:basedOn w:val="Normal"/>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paragraph" w:styleId="BalloonText">
    <w:name w:val="Balloon Text"/>
    <w:basedOn w:val="Normal"/>
    <w:link w:val="BalloonTextChar"/>
    <w:rsid w:val="00462DC1"/>
    <w:rPr>
      <w:rFonts w:ascii="Tahoma" w:hAnsi="Tahoma" w:cs="Tahoma"/>
      <w:sz w:val="16"/>
      <w:szCs w:val="16"/>
    </w:rPr>
  </w:style>
  <w:style w:type="character" w:customStyle="1" w:styleId="BalloonTextChar">
    <w:name w:val="Balloon Text Char"/>
    <w:link w:val="BalloonText"/>
    <w:rsid w:val="00462DC1"/>
    <w:rPr>
      <w:rFonts w:ascii="Tahoma" w:hAnsi="Tahoma" w:cs="Tahoma"/>
      <w:sz w:val="16"/>
      <w:szCs w:val="16"/>
    </w:rPr>
  </w:style>
  <w:style w:type="paragraph" w:styleId="FootnoteText">
    <w:name w:val="footnote text"/>
    <w:basedOn w:val="Normal"/>
    <w:link w:val="FootnoteTextChar"/>
    <w:rsid w:val="00C26A20"/>
    <w:rPr>
      <w:sz w:val="20"/>
      <w:szCs w:val="20"/>
    </w:rPr>
  </w:style>
  <w:style w:type="character" w:customStyle="1" w:styleId="FootnoteTextChar">
    <w:name w:val="Footnote Text Char"/>
    <w:basedOn w:val="DefaultParagraphFont"/>
    <w:link w:val="FootnoteText"/>
    <w:rsid w:val="00C26A20"/>
  </w:style>
  <w:style w:type="character" w:styleId="FootnoteReference">
    <w:name w:val="footnote reference"/>
    <w:rsid w:val="00C26A20"/>
    <w:rPr>
      <w:vertAlign w:val="superscript"/>
    </w:rPr>
  </w:style>
  <w:style w:type="character" w:styleId="Hyperlink">
    <w:name w:val="Hyperlink"/>
    <w:rsid w:val="00C26A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03B6B-CE35-45BC-8073-5E201B535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1043</Words>
  <Characters>5949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6979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JO'Brien</dc:creator>
  <cp:lastModifiedBy> </cp:lastModifiedBy>
  <cp:revision>4</cp:revision>
  <cp:lastPrinted>2018-10-02T18:36:00Z</cp:lastPrinted>
  <dcterms:created xsi:type="dcterms:W3CDTF">2019-03-07T20:53:00Z</dcterms:created>
  <dcterms:modified xsi:type="dcterms:W3CDTF">2019-03-07T21:20:00Z</dcterms:modified>
</cp:coreProperties>
</file>