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50573" w14:textId="77777777" w:rsidR="009E00FC" w:rsidRPr="0087142B" w:rsidRDefault="009E00FC" w:rsidP="009E00FC">
      <w:pPr>
        <w:tabs>
          <w:tab w:val="left" w:pos="1440"/>
        </w:tabs>
        <w:jc w:val="center"/>
      </w:pPr>
      <w:r w:rsidRPr="0087142B">
        <w:t>COMMONWEALTH OF MASSACHUSETTS</w:t>
      </w:r>
    </w:p>
    <w:p w14:paraId="42AEC4AD" w14:textId="77777777" w:rsidR="009E00FC" w:rsidRPr="0087142B" w:rsidRDefault="009E00FC" w:rsidP="009E00FC"/>
    <w:p w14:paraId="45BBE7A8" w14:textId="77777777" w:rsidR="009E00FC" w:rsidRPr="0087142B" w:rsidRDefault="009E00FC" w:rsidP="009E00FC">
      <w:r w:rsidRPr="0087142B">
        <w:t>Middlesex, SS.</w:t>
      </w:r>
      <w:r w:rsidRPr="0087142B">
        <w:tab/>
      </w:r>
      <w:r w:rsidRPr="0087142B">
        <w:tab/>
      </w:r>
      <w:r w:rsidRPr="0087142B">
        <w:tab/>
      </w:r>
      <w:r w:rsidRPr="0087142B">
        <w:tab/>
      </w:r>
      <w:r w:rsidRPr="0087142B">
        <w:tab/>
      </w:r>
      <w:r w:rsidRPr="0087142B">
        <w:tab/>
        <w:t>Board of Registration in Medicine</w:t>
      </w:r>
    </w:p>
    <w:p w14:paraId="54B2E475" w14:textId="77777777" w:rsidR="009E00FC" w:rsidRPr="0087142B" w:rsidRDefault="009E00FC" w:rsidP="009E00FC"/>
    <w:p w14:paraId="6DF340D5" w14:textId="3094063B" w:rsidR="009E00FC" w:rsidRPr="0087142B" w:rsidRDefault="009E00FC" w:rsidP="009E00FC">
      <w:r w:rsidRPr="0087142B">
        <w:tab/>
      </w:r>
      <w:r w:rsidRPr="0087142B">
        <w:tab/>
      </w:r>
      <w:r w:rsidRPr="0087142B">
        <w:tab/>
      </w:r>
      <w:r w:rsidRPr="0087142B">
        <w:tab/>
      </w:r>
      <w:r w:rsidRPr="0087142B">
        <w:tab/>
      </w:r>
      <w:r w:rsidRPr="0087142B">
        <w:tab/>
      </w:r>
      <w:r w:rsidRPr="0087142B">
        <w:tab/>
      </w:r>
      <w:r w:rsidRPr="0087142B">
        <w:tab/>
        <w:t>Adjudicatory Case No.</w:t>
      </w:r>
      <w:r w:rsidR="00FA57CF">
        <w:t xml:space="preserve"> 2021-023</w:t>
      </w:r>
    </w:p>
    <w:p w14:paraId="280B0D89" w14:textId="77777777" w:rsidR="009E00FC" w:rsidRPr="0087142B" w:rsidRDefault="009E00FC" w:rsidP="009E00FC"/>
    <w:p w14:paraId="4B1318CF" w14:textId="03E4E3BA" w:rsidR="009E00FC" w:rsidRPr="0087142B" w:rsidRDefault="009E00FC" w:rsidP="009E00FC">
      <w:bookmarkStart w:id="0" w:name="_Hlk57367415"/>
      <w:r w:rsidRPr="0087142B">
        <w:rPr>
          <w:u w:val="single"/>
        </w:rPr>
        <w:tab/>
      </w:r>
      <w:r w:rsidRPr="0087142B">
        <w:rPr>
          <w:u w:val="single"/>
        </w:rPr>
        <w:tab/>
      </w:r>
      <w:r w:rsidRPr="0087142B">
        <w:rPr>
          <w:u w:val="single"/>
        </w:rPr>
        <w:tab/>
      </w:r>
      <w:r w:rsidRPr="0087142B">
        <w:rPr>
          <w:u w:val="single"/>
        </w:rPr>
        <w:tab/>
      </w:r>
      <w:r w:rsidRPr="0087142B">
        <w:rPr>
          <w:u w:val="single"/>
        </w:rPr>
        <w:tab/>
      </w:r>
      <w:r>
        <w:rPr>
          <w:u w:val="single"/>
        </w:rPr>
        <w:t>__________________</w:t>
      </w:r>
    </w:p>
    <w:p w14:paraId="36ABA773" w14:textId="2532ADC1" w:rsidR="009E00FC" w:rsidRPr="0087142B" w:rsidRDefault="009E00FC" w:rsidP="009E00FC">
      <w:r w:rsidRPr="0087142B">
        <w:tab/>
      </w:r>
      <w:r w:rsidRPr="0087142B">
        <w:tab/>
      </w:r>
      <w:r w:rsidRPr="0087142B">
        <w:tab/>
      </w:r>
      <w:r w:rsidRPr="0087142B">
        <w:tab/>
      </w:r>
      <w:r w:rsidRPr="0087142B">
        <w:tab/>
      </w:r>
      <w:r>
        <w:tab/>
      </w:r>
      <w:r>
        <w:tab/>
      </w:r>
      <w:r>
        <w:tab/>
      </w:r>
      <w:r w:rsidRPr="0087142B">
        <w:t>)</w:t>
      </w:r>
    </w:p>
    <w:p w14:paraId="7243AFFB" w14:textId="311573DE" w:rsidR="009E00FC" w:rsidRPr="0087142B" w:rsidRDefault="009E00FC" w:rsidP="009E00FC">
      <w:r w:rsidRPr="0087142B">
        <w:t>In the Matter of</w:t>
      </w:r>
      <w:r w:rsidRPr="0087142B">
        <w:tab/>
      </w:r>
      <w:r w:rsidRPr="0087142B">
        <w:tab/>
      </w:r>
      <w:r w:rsidRPr="0087142B">
        <w:tab/>
      </w:r>
      <w:r>
        <w:tab/>
      </w:r>
      <w:r>
        <w:tab/>
      </w:r>
      <w:r>
        <w:tab/>
      </w:r>
      <w:r w:rsidRPr="0087142B">
        <w:t>)</w:t>
      </w:r>
    </w:p>
    <w:p w14:paraId="29C31BC8" w14:textId="4E24F3AE" w:rsidR="009E00FC" w:rsidRPr="0087142B" w:rsidRDefault="009E00FC" w:rsidP="009E00FC">
      <w:r w:rsidRPr="0087142B">
        <w:tab/>
      </w:r>
      <w:r w:rsidRPr="0087142B">
        <w:tab/>
      </w:r>
      <w:r w:rsidRPr="0087142B">
        <w:tab/>
      </w:r>
      <w:r w:rsidRPr="0087142B">
        <w:tab/>
      </w:r>
      <w:r w:rsidRPr="0087142B">
        <w:tab/>
      </w:r>
      <w:r>
        <w:tab/>
      </w:r>
      <w:r>
        <w:tab/>
      </w:r>
      <w:r>
        <w:tab/>
      </w:r>
      <w:r w:rsidRPr="0087142B">
        <w:t>)</w:t>
      </w:r>
    </w:p>
    <w:p w14:paraId="3D0D9B34" w14:textId="7B67C06A" w:rsidR="009E00FC" w:rsidRPr="00E30B74" w:rsidRDefault="009E00FC" w:rsidP="009E00FC">
      <w:bookmarkStart w:id="1" w:name="_Hlk57367394"/>
      <w:r>
        <w:t>MAHMOUD RASHIDI-NAIMABADI, M</w:t>
      </w:r>
      <w:r w:rsidRPr="0098686F">
        <w:t>.</w:t>
      </w:r>
      <w:r>
        <w:t>D</w:t>
      </w:r>
      <w:r w:rsidRPr="0098686F">
        <w:t>.</w:t>
      </w:r>
      <w:bookmarkEnd w:id="1"/>
      <w:r>
        <w:tab/>
      </w:r>
      <w:r w:rsidRPr="00E30B74">
        <w:tab/>
        <w:t>)</w:t>
      </w:r>
    </w:p>
    <w:p w14:paraId="4E07E1AC" w14:textId="40F3AD11" w:rsidR="009E00FC" w:rsidRPr="0087142B" w:rsidRDefault="009E00FC" w:rsidP="009E00FC">
      <w:r w:rsidRPr="0087142B">
        <w:rPr>
          <w:u w:val="single"/>
        </w:rPr>
        <w:tab/>
      </w:r>
      <w:r w:rsidRPr="0087142B">
        <w:rPr>
          <w:u w:val="single"/>
        </w:rPr>
        <w:tab/>
      </w:r>
      <w:r w:rsidRPr="0087142B">
        <w:rPr>
          <w:u w:val="single"/>
        </w:rPr>
        <w:tab/>
      </w:r>
      <w:r w:rsidRPr="0087142B">
        <w:rPr>
          <w:u w:val="single"/>
        </w:rPr>
        <w:tab/>
      </w:r>
      <w:r w:rsidRPr="0087142B">
        <w:rPr>
          <w:u w:val="single"/>
        </w:rPr>
        <w:tab/>
      </w:r>
      <w:r>
        <w:rPr>
          <w:u w:val="single"/>
        </w:rPr>
        <w:tab/>
      </w:r>
      <w:r>
        <w:rPr>
          <w:u w:val="single"/>
        </w:rPr>
        <w:tab/>
      </w:r>
      <w:r>
        <w:rPr>
          <w:u w:val="single"/>
        </w:rPr>
        <w:tab/>
      </w:r>
      <w:r w:rsidRPr="0087142B">
        <w:t>)</w:t>
      </w:r>
    </w:p>
    <w:bookmarkEnd w:id="0"/>
    <w:p w14:paraId="1F695DC6" w14:textId="77777777" w:rsidR="009E00FC" w:rsidRPr="0087142B" w:rsidRDefault="009E00FC" w:rsidP="009E00FC"/>
    <w:p w14:paraId="283F4A0D" w14:textId="77777777" w:rsidR="009E00FC" w:rsidRPr="0087142B" w:rsidRDefault="009E00FC" w:rsidP="009E00FC"/>
    <w:p w14:paraId="1F089563" w14:textId="77777777" w:rsidR="009E00FC" w:rsidRPr="0087142B" w:rsidRDefault="009E00FC" w:rsidP="009E00FC">
      <w:pPr>
        <w:jc w:val="center"/>
      </w:pPr>
      <w:r w:rsidRPr="0087142B">
        <w:rPr>
          <w:b/>
          <w:u w:val="single"/>
        </w:rPr>
        <w:t>CONSENT ORDER</w:t>
      </w:r>
    </w:p>
    <w:p w14:paraId="2757C771" w14:textId="77777777" w:rsidR="009E00FC" w:rsidRPr="0087142B" w:rsidRDefault="009E00FC" w:rsidP="009E00FC"/>
    <w:p w14:paraId="6D8AF0AC" w14:textId="72AB5E77" w:rsidR="009E00FC" w:rsidRPr="00E30B74" w:rsidRDefault="009E00FC" w:rsidP="009E00FC">
      <w:pPr>
        <w:spacing w:line="480" w:lineRule="auto"/>
        <w:jc w:val="both"/>
      </w:pPr>
      <w:r w:rsidRPr="00E30B74">
        <w:tab/>
        <w:t xml:space="preserve">Pursuant to </w:t>
      </w:r>
      <w:r>
        <w:t>Mass. Gen. Laws</w:t>
      </w:r>
      <w:r w:rsidRPr="00E30B74">
        <w:t xml:space="preserve"> c. 30A, § 10, </w:t>
      </w:r>
      <w:r>
        <w:t>Mahmoud Rashidi-</w:t>
      </w:r>
      <w:proofErr w:type="spellStart"/>
      <w:r>
        <w:t>Naimabadi</w:t>
      </w:r>
      <w:proofErr w:type="spellEnd"/>
      <w:r>
        <w:t>, M.D.</w:t>
      </w:r>
      <w:r w:rsidRPr="00E30B74">
        <w:t xml:space="preserve"> (</w:t>
      </w:r>
      <w:r>
        <w:t>the “</w:t>
      </w:r>
      <w:r w:rsidRPr="00E30B74">
        <w:t>Respondent</w:t>
      </w:r>
      <w:r>
        <w:t>” or “Licensee”</w:t>
      </w:r>
      <w:r w:rsidRPr="00E30B74">
        <w:t>) and the Board of</w:t>
      </w:r>
      <w:r w:rsidRPr="0087142B">
        <w:t xml:space="preserve"> Registration in Medicine (</w:t>
      </w:r>
      <w:r>
        <w:t>the “</w:t>
      </w:r>
      <w:r w:rsidRPr="0087142B">
        <w:t>Board</w:t>
      </w:r>
      <w:r>
        <w:t>”</w:t>
      </w:r>
      <w:r w:rsidRPr="0087142B">
        <w:t xml:space="preserve">)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w:t>
      </w:r>
      <w:r w:rsidRPr="00E30B74">
        <w:t>sanction se</w:t>
      </w:r>
      <w:r>
        <w:t>t forth below in resolution of I</w:t>
      </w:r>
      <w:r w:rsidRPr="00E30B74">
        <w:t>nvestigative Docket N</w:t>
      </w:r>
      <w:r>
        <w:t>umber 20-</w:t>
      </w:r>
      <w:r w:rsidR="004374F6">
        <w:t>410</w:t>
      </w:r>
      <w:r>
        <w:t>.</w:t>
      </w:r>
    </w:p>
    <w:p w14:paraId="063FE049" w14:textId="77777777" w:rsidR="009E00FC" w:rsidRPr="0087142B" w:rsidRDefault="009E00FC" w:rsidP="009E00FC">
      <w:pPr>
        <w:spacing w:line="480" w:lineRule="auto"/>
        <w:jc w:val="center"/>
        <w:rPr>
          <w:u w:val="single"/>
        </w:rPr>
      </w:pPr>
      <w:r w:rsidRPr="0087142B">
        <w:rPr>
          <w:u w:val="single"/>
        </w:rPr>
        <w:t>Findings of Fact</w:t>
      </w:r>
    </w:p>
    <w:p w14:paraId="5B8C1647" w14:textId="47D6528B" w:rsidR="009E00FC" w:rsidRDefault="009E00FC" w:rsidP="009E00FC">
      <w:pPr>
        <w:numPr>
          <w:ilvl w:val="0"/>
          <w:numId w:val="1"/>
        </w:numPr>
        <w:spacing w:line="480" w:lineRule="auto"/>
        <w:jc w:val="both"/>
      </w:pPr>
      <w:bookmarkStart w:id="2" w:name="_Hlk48645329"/>
      <w:bookmarkStart w:id="3" w:name="_Hlk57367497"/>
      <w:r w:rsidRPr="00B9553C">
        <w:t xml:space="preserve">The Respondent was born on </w:t>
      </w:r>
      <w:r w:rsidR="004374F6">
        <w:t>January 24, 1965</w:t>
      </w:r>
      <w:r w:rsidRPr="00B9553C">
        <w:t xml:space="preserve">.  The Respondent graduated in </w:t>
      </w:r>
      <w:r w:rsidR="004374F6">
        <w:t>1993</w:t>
      </w:r>
      <w:r w:rsidRPr="00B9553C">
        <w:t xml:space="preserve"> from </w:t>
      </w:r>
      <w:r w:rsidRPr="00502414">
        <w:t xml:space="preserve">the </w:t>
      </w:r>
      <w:r w:rsidR="004374F6">
        <w:t>Kerman University of Medical Sciences in Iran</w:t>
      </w:r>
      <w:r w:rsidRPr="00A92F0C">
        <w:t xml:space="preserve">. </w:t>
      </w:r>
      <w:r>
        <w:t>He</w:t>
      </w:r>
      <w:r w:rsidRPr="00A92F0C">
        <w:t xml:space="preserve"> has been licensed to practice medicine in Massachusetts</w:t>
      </w:r>
      <w:r>
        <w:t xml:space="preserve"> under license number</w:t>
      </w:r>
      <w:r w:rsidR="004374F6">
        <w:t xml:space="preserve"> </w:t>
      </w:r>
      <w:r w:rsidR="004374F6" w:rsidRPr="008B1021">
        <w:rPr>
          <w:bCs/>
        </w:rPr>
        <w:t>246106</w:t>
      </w:r>
      <w:r w:rsidR="004374F6">
        <w:rPr>
          <w:bCs/>
        </w:rPr>
        <w:t xml:space="preserve"> </w:t>
      </w:r>
      <w:r>
        <w:t>since 20</w:t>
      </w:r>
      <w:bookmarkEnd w:id="2"/>
      <w:r w:rsidR="004374F6">
        <w:t>11</w:t>
      </w:r>
      <w:r>
        <w:t xml:space="preserve">. </w:t>
      </w:r>
    </w:p>
    <w:p w14:paraId="283F7FC1" w14:textId="437E6835" w:rsidR="009E00FC" w:rsidRDefault="009E00FC" w:rsidP="009E00FC">
      <w:pPr>
        <w:numPr>
          <w:ilvl w:val="0"/>
          <w:numId w:val="1"/>
        </w:numPr>
        <w:spacing w:line="480" w:lineRule="auto"/>
        <w:jc w:val="both"/>
      </w:pPr>
      <w:bookmarkStart w:id="4" w:name="_Hlk48645352"/>
      <w:bookmarkStart w:id="5" w:name="_Hlk57367534"/>
      <w:bookmarkEnd w:id="3"/>
      <w:r w:rsidRPr="00B9553C">
        <w:t xml:space="preserve">The Respondent is </w:t>
      </w:r>
      <w:r>
        <w:t>Board</w:t>
      </w:r>
      <w:r w:rsidRPr="00B9553C">
        <w:t xml:space="preserve"> certified </w:t>
      </w:r>
      <w:r>
        <w:t xml:space="preserve">in </w:t>
      </w:r>
      <w:bookmarkEnd w:id="4"/>
      <w:r w:rsidR="004374F6">
        <w:t>Neurological Surgery</w:t>
      </w:r>
      <w:r>
        <w:t>.</w:t>
      </w:r>
    </w:p>
    <w:p w14:paraId="2714E06A" w14:textId="5C474B27" w:rsidR="009E00FC" w:rsidRDefault="009E00FC" w:rsidP="009E00FC">
      <w:pPr>
        <w:numPr>
          <w:ilvl w:val="0"/>
          <w:numId w:val="1"/>
        </w:numPr>
        <w:spacing w:line="480" w:lineRule="auto"/>
        <w:jc w:val="both"/>
      </w:pPr>
      <w:bookmarkStart w:id="6" w:name="_Hlk48645487"/>
      <w:bookmarkStart w:id="7" w:name="_Hlk57373457"/>
      <w:bookmarkStart w:id="8" w:name="_Hlk57373435"/>
      <w:bookmarkEnd w:id="5"/>
      <w:r>
        <w:t xml:space="preserve">On </w:t>
      </w:r>
      <w:r w:rsidR="004374F6">
        <w:t>August 4</w:t>
      </w:r>
      <w:r>
        <w:t xml:space="preserve">, 2020, the </w:t>
      </w:r>
      <w:r w:rsidR="004374F6">
        <w:t>California Medical Board</w:t>
      </w:r>
      <w:r w:rsidRPr="00502414">
        <w:t xml:space="preserve"> (the “</w:t>
      </w:r>
      <w:r w:rsidR="004374F6">
        <w:t xml:space="preserve">California </w:t>
      </w:r>
      <w:r w:rsidRPr="00502414">
        <w:t>Board”)</w:t>
      </w:r>
      <w:r w:rsidR="00597B18">
        <w:t xml:space="preserve"> issued a Final Decision and Order (“California Order”) revoking the Respondent’s license to practice </w:t>
      </w:r>
      <w:r w:rsidR="00597B18">
        <w:lastRenderedPageBreak/>
        <w:t xml:space="preserve">medicine. The revocation was stayed upon the completion of a five-year probationary term. This </w:t>
      </w:r>
      <w:r w:rsidR="004374F6">
        <w:t>disciplinary action</w:t>
      </w:r>
      <w:r>
        <w:t xml:space="preserve"> resolve</w:t>
      </w:r>
      <w:r w:rsidR="00597B18">
        <w:t>d</w:t>
      </w:r>
      <w:r>
        <w:t xml:space="preserve"> an active case that the </w:t>
      </w:r>
      <w:r w:rsidR="00597B18">
        <w:t xml:space="preserve">California Board </w:t>
      </w:r>
      <w:r>
        <w:t>open</w:t>
      </w:r>
      <w:r w:rsidR="004104E8">
        <w:t>ed</w:t>
      </w:r>
      <w:r>
        <w:t xml:space="preserve"> against him which related to the Respondent’s</w:t>
      </w:r>
      <w:bookmarkEnd w:id="6"/>
      <w:r w:rsidR="00E777E9">
        <w:t xml:space="preserve"> treatment of Patient 1 and 2</w:t>
      </w:r>
      <w:r>
        <w:t xml:space="preserve">.    </w:t>
      </w:r>
    </w:p>
    <w:p w14:paraId="66F1F90E" w14:textId="14EB6643" w:rsidR="009E00FC" w:rsidRDefault="009E00FC" w:rsidP="009E00FC">
      <w:pPr>
        <w:numPr>
          <w:ilvl w:val="0"/>
          <w:numId w:val="1"/>
        </w:numPr>
        <w:spacing w:line="480" w:lineRule="auto"/>
        <w:jc w:val="both"/>
      </w:pPr>
      <w:bookmarkStart w:id="9" w:name="_Hlk48645503"/>
      <w:bookmarkStart w:id="10" w:name="_Hlk57373502"/>
      <w:bookmarkEnd w:id="7"/>
      <w:r>
        <w:t xml:space="preserve">With respect to the specific allegations </w:t>
      </w:r>
      <w:r w:rsidR="004104E8">
        <w:t>regarding the care of Patient 1</w:t>
      </w:r>
      <w:bookmarkEnd w:id="9"/>
      <w:r w:rsidR="004104E8">
        <w:t>:</w:t>
      </w:r>
    </w:p>
    <w:p w14:paraId="25BEE18C" w14:textId="60BA1048" w:rsidR="004104E8" w:rsidRDefault="004104E8" w:rsidP="004104E8">
      <w:pPr>
        <w:numPr>
          <w:ilvl w:val="1"/>
          <w:numId w:val="1"/>
        </w:numPr>
        <w:spacing w:line="480" w:lineRule="auto"/>
        <w:jc w:val="both"/>
      </w:pPr>
      <w:r>
        <w:t xml:space="preserve">On November 10, 2014, Patient 1 appeared in the emergency </w:t>
      </w:r>
      <w:r w:rsidR="00577DED">
        <w:t>room</w:t>
      </w:r>
      <w:r>
        <w:t xml:space="preserve"> at Santa Rosa Memorial Hospital with lower </w:t>
      </w:r>
      <w:r w:rsidR="00801967">
        <w:t>back</w:t>
      </w:r>
      <w:r>
        <w:t xml:space="preserve"> pain and weakness in his legs. An MRI showed a large disc herniation at T11/12 junction. </w:t>
      </w:r>
    </w:p>
    <w:p w14:paraId="0CD342F1" w14:textId="2E5438AA" w:rsidR="00801967" w:rsidRDefault="00801967" w:rsidP="00801967">
      <w:pPr>
        <w:numPr>
          <w:ilvl w:val="1"/>
          <w:numId w:val="1"/>
        </w:numPr>
        <w:spacing w:line="480" w:lineRule="auto"/>
        <w:jc w:val="both"/>
      </w:pPr>
      <w:r>
        <w:t xml:space="preserve">The Respondent recommended corrective surgery to Patient 1. The Respondent chose to perform a transpedicular discectomy with the assistance of electrophysiological monitoring. Prior to the surgery, the electrophysiological monitoring showed normal spinal cord conduction. When Patient 1 was switched from the supine to prone position, the electrophysiological monitoring stopped showing conduction below the L1 level. The Respondent proceeded with the surgery. </w:t>
      </w:r>
    </w:p>
    <w:p w14:paraId="700E91E5" w14:textId="02A178E1" w:rsidR="00801967" w:rsidRDefault="00801967" w:rsidP="00801967">
      <w:pPr>
        <w:numPr>
          <w:ilvl w:val="1"/>
          <w:numId w:val="1"/>
        </w:numPr>
        <w:spacing w:line="480" w:lineRule="auto"/>
        <w:jc w:val="both"/>
      </w:pPr>
      <w:r>
        <w:t xml:space="preserve">A post-surgical MRI showed edema and hemorrhage in the posterior soft tissues of the back and the herniated disc remained unchanged. Patient 1 suffered paralysis. </w:t>
      </w:r>
    </w:p>
    <w:p w14:paraId="07A6FA3A" w14:textId="1811890A" w:rsidR="00B8486B" w:rsidRDefault="00B8486B" w:rsidP="00801967">
      <w:pPr>
        <w:numPr>
          <w:ilvl w:val="1"/>
          <w:numId w:val="1"/>
        </w:numPr>
        <w:spacing w:line="480" w:lineRule="auto"/>
        <w:jc w:val="both"/>
      </w:pPr>
      <w:bookmarkStart w:id="11" w:name="_Hlk57635085"/>
      <w:r>
        <w:t xml:space="preserve">The Respondent failed to document how he described the comparative risks and benefits to Patient 1 between the surgical procedure the Respondent would perform and the option to transfer to another hospital for a different surgical approach. </w:t>
      </w:r>
    </w:p>
    <w:bookmarkEnd w:id="11"/>
    <w:p w14:paraId="073C5855" w14:textId="193C0344" w:rsidR="00E777E9" w:rsidRDefault="00101B42" w:rsidP="00801967">
      <w:pPr>
        <w:numPr>
          <w:ilvl w:val="1"/>
          <w:numId w:val="1"/>
        </w:numPr>
        <w:spacing w:line="480" w:lineRule="auto"/>
        <w:jc w:val="both"/>
      </w:pPr>
      <w:r>
        <w:t xml:space="preserve">The California </w:t>
      </w:r>
      <w:r w:rsidR="001879C5">
        <w:t>Board determined</w:t>
      </w:r>
      <w:r w:rsidR="00801967">
        <w:t xml:space="preserve"> that the Respondent’s decision to</w:t>
      </w:r>
      <w:r w:rsidR="00577DED">
        <w:t xml:space="preserve"> perform</w:t>
      </w:r>
      <w:r w:rsidR="00801967">
        <w:t xml:space="preserve"> a transpedicular discectomy and </w:t>
      </w:r>
      <w:r w:rsidR="00577DED">
        <w:t xml:space="preserve">proceed </w:t>
      </w:r>
      <w:r w:rsidR="00801967">
        <w:t>when electrophysiological monitoring had stopped was an extreme departure from the standard for care for neurological surgery.</w:t>
      </w:r>
      <w:r w:rsidR="00B8486B">
        <w:t xml:space="preserve"> </w:t>
      </w:r>
      <w:bookmarkStart w:id="12" w:name="_Hlk57635145"/>
      <w:r w:rsidR="00B8486B">
        <w:t xml:space="preserve">The Respondents failure to document the rationale for choosing a riskier </w:t>
      </w:r>
      <w:r w:rsidR="00B8486B">
        <w:lastRenderedPageBreak/>
        <w:t xml:space="preserve">course of action when a potentially safer course of action was available was an extreme departure from the standard of care. </w:t>
      </w:r>
      <w:bookmarkEnd w:id="12"/>
    </w:p>
    <w:p w14:paraId="7F676AE0" w14:textId="0E4A87E5" w:rsidR="00801967" w:rsidRDefault="00801967" w:rsidP="00801967">
      <w:pPr>
        <w:numPr>
          <w:ilvl w:val="0"/>
          <w:numId w:val="1"/>
        </w:numPr>
        <w:spacing w:line="480" w:lineRule="auto"/>
        <w:jc w:val="both"/>
      </w:pPr>
      <w:r>
        <w:t>With respect to the specific allegations regarding Patient 2:</w:t>
      </w:r>
    </w:p>
    <w:p w14:paraId="71EC1DCF" w14:textId="11BFC176" w:rsidR="00801967" w:rsidRDefault="006B0CCE" w:rsidP="00801967">
      <w:pPr>
        <w:numPr>
          <w:ilvl w:val="1"/>
          <w:numId w:val="1"/>
        </w:numPr>
        <w:spacing w:line="480" w:lineRule="auto"/>
        <w:jc w:val="both"/>
      </w:pPr>
      <w:r>
        <w:t xml:space="preserve">On November 15, 2015, Patient 2 arrived at Santa Rosa Memorial Hospital Emergency Room with a severe headache and a rapidly deteriorating condition. A scan showed that a seven-centimeter hematoma on Patient 2’s brain on the right parietal lobe. The Respondent determined that Patient 2 needed immediate surgery to remove the hematoma. </w:t>
      </w:r>
    </w:p>
    <w:p w14:paraId="6E16295C" w14:textId="6073147F" w:rsidR="006B0CCE" w:rsidRDefault="006B0CCE" w:rsidP="00801967">
      <w:pPr>
        <w:numPr>
          <w:ilvl w:val="1"/>
          <w:numId w:val="1"/>
        </w:numPr>
        <w:spacing w:line="480" w:lineRule="auto"/>
        <w:jc w:val="both"/>
      </w:pPr>
      <w:r>
        <w:t xml:space="preserve">The Respondent assembled an operating room for Patient 2 and the team prepared the room and Patient 2 for surgery. Prior to beginning the surgery, the Respondent and his team did not pause to confirm the site of the surgery. </w:t>
      </w:r>
    </w:p>
    <w:p w14:paraId="39E63A18" w14:textId="2E62B49D" w:rsidR="006B0CCE" w:rsidRDefault="006B0CCE" w:rsidP="00801967">
      <w:pPr>
        <w:numPr>
          <w:ilvl w:val="1"/>
          <w:numId w:val="1"/>
        </w:numPr>
        <w:spacing w:line="480" w:lineRule="auto"/>
        <w:jc w:val="both"/>
      </w:pPr>
      <w:r>
        <w:t xml:space="preserve">The Respondent opened the left side of Patient 2’s skull. He realized immediately that he had erred because the hematoma was not present. The Respondent reclosed Patient 2’s skull on the left side and opened the skull on the right side. The Respondent successfully completed the surgery. </w:t>
      </w:r>
    </w:p>
    <w:p w14:paraId="1BB7BBE3" w14:textId="73C2F808" w:rsidR="006B0CCE" w:rsidRDefault="006B0CCE" w:rsidP="00801967">
      <w:pPr>
        <w:numPr>
          <w:ilvl w:val="1"/>
          <w:numId w:val="1"/>
        </w:numPr>
        <w:spacing w:line="480" w:lineRule="auto"/>
        <w:jc w:val="both"/>
      </w:pPr>
      <w:r>
        <w:t>The California Board found that the Respondent</w:t>
      </w:r>
      <w:r w:rsidR="00BC08B7">
        <w:t>’s</w:t>
      </w:r>
      <w:r>
        <w:t xml:space="preserve"> failure to pause and check for the correct surgical site was a simple departure from the standard of care. The Board found that the wrong-side surgery was an extreme departure from the standard of surgical care. </w:t>
      </w:r>
    </w:p>
    <w:p w14:paraId="19B23BFA" w14:textId="63B06246" w:rsidR="00B8486B" w:rsidRDefault="00EF0324" w:rsidP="00B8486B">
      <w:pPr>
        <w:numPr>
          <w:ilvl w:val="0"/>
          <w:numId w:val="1"/>
        </w:numPr>
        <w:spacing w:line="480" w:lineRule="auto"/>
        <w:jc w:val="both"/>
      </w:pPr>
      <w:r w:rsidRPr="00A37C09">
        <w:t xml:space="preserve">A true and accurate copy of the </w:t>
      </w:r>
      <w:r>
        <w:t>California Board Final Decision and Order</w:t>
      </w:r>
      <w:r w:rsidRPr="00A37C09">
        <w:t xml:space="preserve"> is enclosed herewith as Attachment A and incorporated herein by reference</w:t>
      </w:r>
      <w:r>
        <w:t xml:space="preserve">. </w:t>
      </w:r>
    </w:p>
    <w:p w14:paraId="05C603B6" w14:textId="00B6F219" w:rsidR="001274BF" w:rsidRDefault="001274BF" w:rsidP="001274BF">
      <w:pPr>
        <w:numPr>
          <w:ilvl w:val="0"/>
          <w:numId w:val="1"/>
        </w:numPr>
        <w:spacing w:line="480" w:lineRule="auto"/>
        <w:jc w:val="both"/>
      </w:pPr>
      <w:r>
        <w:lastRenderedPageBreak/>
        <w:t>On October 22, 2020, the New Hampshire Board of Medicine (“NH Board”) issued their Final Decision and Order based on the Medical Board of California’s Decision and Order.</w:t>
      </w:r>
      <w:r w:rsidR="00BC08B7">
        <w:t xml:space="preserve"> The </w:t>
      </w:r>
      <w:r>
        <w:t xml:space="preserve">NH Board issued a reprimand and placed conditions on the Respondent’s medical license. </w:t>
      </w:r>
    </w:p>
    <w:p w14:paraId="05725452" w14:textId="5FEF17AB" w:rsidR="00EF0324" w:rsidRDefault="00EF0324" w:rsidP="00EF0324">
      <w:pPr>
        <w:numPr>
          <w:ilvl w:val="0"/>
          <w:numId w:val="1"/>
        </w:numPr>
        <w:spacing w:line="480" w:lineRule="auto"/>
        <w:jc w:val="both"/>
      </w:pPr>
      <w:r>
        <w:t xml:space="preserve">A true and accurate copy of the NH Board Final Decision and Order is enclosed herewith as Attachment B and incorporated herein by reference. </w:t>
      </w:r>
    </w:p>
    <w:bookmarkEnd w:id="8"/>
    <w:bookmarkEnd w:id="10"/>
    <w:p w14:paraId="7A56B95A" w14:textId="77777777" w:rsidR="009E00FC" w:rsidRPr="00424CEF" w:rsidRDefault="009E00FC" w:rsidP="009E00FC">
      <w:pPr>
        <w:spacing w:line="480" w:lineRule="auto"/>
        <w:jc w:val="center"/>
        <w:rPr>
          <w:u w:val="single"/>
        </w:rPr>
      </w:pPr>
      <w:r w:rsidRPr="0087142B">
        <w:rPr>
          <w:u w:val="single"/>
        </w:rPr>
        <w:t>Conclusion</w:t>
      </w:r>
      <w:r>
        <w:rPr>
          <w:u w:val="single"/>
        </w:rPr>
        <w:t xml:space="preserve">s </w:t>
      </w:r>
      <w:r w:rsidRPr="0087142B">
        <w:rPr>
          <w:u w:val="single"/>
        </w:rPr>
        <w:t>of Law</w:t>
      </w:r>
    </w:p>
    <w:p w14:paraId="6C11ABAD" w14:textId="77777777" w:rsidR="009E00FC" w:rsidRPr="00595C4E" w:rsidRDefault="009E00FC" w:rsidP="009E00FC">
      <w:pPr>
        <w:numPr>
          <w:ilvl w:val="1"/>
          <w:numId w:val="1"/>
        </w:numPr>
        <w:spacing w:line="480" w:lineRule="auto"/>
        <w:ind w:left="0" w:firstLine="720"/>
        <w:jc w:val="both"/>
      </w:pPr>
      <w:r w:rsidRPr="00F01AA8">
        <w:t>The Respondent has violated 243 CMR 1.03(5)(a)</w:t>
      </w:r>
      <w:r>
        <w:t>(</w:t>
      </w:r>
      <w:r w:rsidRPr="00F01AA8">
        <w:t>12</w:t>
      </w:r>
      <w:r>
        <w:t>)</w:t>
      </w:r>
      <w:r w:rsidRPr="00F01AA8">
        <w:t xml:space="preserve">, in that he has been disciplined in another jurisdiction in any way by the proper licensing authority for reasons substantially the same as those set forth in </w:t>
      </w:r>
      <w:r>
        <w:t>Mass. Gen. Laws</w:t>
      </w:r>
      <w:r w:rsidRPr="00F01AA8">
        <w:t xml:space="preserve"> c. 112, § 5 or 243 CMR 1.03(5), specifically</w:t>
      </w:r>
      <w:r>
        <w:t xml:space="preserve">:   </w:t>
      </w:r>
    </w:p>
    <w:p w14:paraId="7CF400F5" w14:textId="18E02D0E" w:rsidR="009E00FC" w:rsidRDefault="009E00FC" w:rsidP="009E00FC">
      <w:pPr>
        <w:numPr>
          <w:ilvl w:val="2"/>
          <w:numId w:val="1"/>
        </w:numPr>
        <w:spacing w:line="480" w:lineRule="auto"/>
        <w:jc w:val="both"/>
      </w:pPr>
      <w:bookmarkStart w:id="13" w:name="_Hlk48646056"/>
      <w:bookmarkStart w:id="14" w:name="_Hlk57373332"/>
      <w:r>
        <w:t xml:space="preserve">Mass. Gen. Laws </w:t>
      </w:r>
      <w:r w:rsidRPr="00BD47DE">
        <w:t xml:space="preserve">c. </w:t>
      </w:r>
      <w:r>
        <w:t>112</w:t>
      </w:r>
      <w:r w:rsidRPr="00BD47DE">
        <w:t xml:space="preserve">, § </w:t>
      </w:r>
      <w:r>
        <w:t>5</w:t>
      </w:r>
      <w:r w:rsidRPr="00BD47DE">
        <w:t xml:space="preserve">, </w:t>
      </w:r>
      <w:r>
        <w:t xml:space="preserve">¶ 9(c) and </w:t>
      </w:r>
      <w:r w:rsidRPr="00B52CF0">
        <w:t xml:space="preserve">243 </w:t>
      </w:r>
      <w:r>
        <w:t xml:space="preserve">CMR </w:t>
      </w:r>
      <w:r w:rsidRPr="00B52CF0">
        <w:t>1.03(5)(a)</w:t>
      </w:r>
      <w:r>
        <w:t>(</w:t>
      </w:r>
      <w:r w:rsidRPr="00B52CF0">
        <w:t>3</w:t>
      </w:r>
      <w:bookmarkStart w:id="15" w:name="_Hlk57373365"/>
      <w:r>
        <w:t>)</w:t>
      </w:r>
      <w:r w:rsidRPr="00B52CF0">
        <w:t xml:space="preserve"> </w:t>
      </w:r>
      <w:r>
        <w:t>(</w:t>
      </w:r>
      <w:r w:rsidRPr="00B52CF0">
        <w:t>“</w:t>
      </w:r>
      <w:r>
        <w:t xml:space="preserve">Conduct which places into question the physician’s competence to practice medicine, including </w:t>
      </w:r>
      <w:bookmarkEnd w:id="13"/>
      <w:r w:rsidR="0053603B">
        <w:t xml:space="preserve">but </w:t>
      </w:r>
      <w:r w:rsidR="0053603B" w:rsidRPr="00627DE4">
        <w:t>not limited to gross misconduct in the practice of medicine or practicing medicine fraudulently, or beyond its authorized scope, or with gross incompetence, or with gross negligence on a particular occasion or negligence on repeated occasions.</w:t>
      </w:r>
      <w:r>
        <w:t>”)</w:t>
      </w:r>
      <w:bookmarkEnd w:id="15"/>
      <w:r>
        <w:t>;</w:t>
      </w:r>
    </w:p>
    <w:p w14:paraId="312197CB" w14:textId="77777777" w:rsidR="009E00FC" w:rsidRDefault="009E00FC" w:rsidP="009E00FC">
      <w:pPr>
        <w:numPr>
          <w:ilvl w:val="2"/>
          <w:numId w:val="1"/>
        </w:numPr>
        <w:spacing w:line="480" w:lineRule="auto"/>
        <w:jc w:val="both"/>
      </w:pPr>
      <w:bookmarkStart w:id="16" w:name="_Hlk48646205"/>
      <w:bookmarkEnd w:id="14"/>
      <w:r w:rsidRPr="00BD47DE">
        <w:t>243 CMR 2.07(13)(a), which requires a physician to</w:t>
      </w:r>
      <w:r>
        <w:t>:</w:t>
      </w:r>
    </w:p>
    <w:p w14:paraId="70C92275" w14:textId="77777777" w:rsidR="009E00FC" w:rsidRDefault="009E00FC" w:rsidP="009E00FC">
      <w:pPr>
        <w:numPr>
          <w:ilvl w:val="3"/>
          <w:numId w:val="1"/>
        </w:numPr>
        <w:spacing w:line="480" w:lineRule="auto"/>
        <w:jc w:val="both"/>
      </w:pPr>
      <w:r>
        <w:t xml:space="preserve">maintain a medical record for each patient which is adequate to enable the licensee to provide proper diagnosis and treatment; </w:t>
      </w:r>
    </w:p>
    <w:p w14:paraId="6F3BD46E" w14:textId="26B7AC4C" w:rsidR="009E00FC" w:rsidRDefault="009E00FC" w:rsidP="009E00FC">
      <w:pPr>
        <w:numPr>
          <w:ilvl w:val="3"/>
          <w:numId w:val="1"/>
        </w:numPr>
        <w:spacing w:line="480" w:lineRule="auto"/>
        <w:jc w:val="both"/>
      </w:pPr>
      <w:r>
        <w:t>maintain a patient’s medical record in a manner which permits the former patient or a successor physician access to them</w:t>
      </w:r>
      <w:bookmarkEnd w:id="16"/>
      <w:r>
        <w:t>;</w:t>
      </w:r>
    </w:p>
    <w:p w14:paraId="6F59A67D" w14:textId="17304F6B" w:rsidR="0053603B" w:rsidRDefault="0053603B" w:rsidP="0053603B">
      <w:pPr>
        <w:numPr>
          <w:ilvl w:val="2"/>
          <w:numId w:val="1"/>
        </w:numPr>
        <w:spacing w:line="480" w:lineRule="auto"/>
        <w:jc w:val="both"/>
      </w:pPr>
      <w:bookmarkStart w:id="17" w:name="_Hlk57373301"/>
      <w:r w:rsidRPr="00471DBA">
        <w:t>243 C.M.R. 1.03(5)(a)18: Misconduct in the practice of medicine</w:t>
      </w:r>
    </w:p>
    <w:bookmarkEnd w:id="17"/>
    <w:p w14:paraId="6551742C" w14:textId="77777777" w:rsidR="009E00FC" w:rsidRDefault="009E00FC" w:rsidP="009E00FC">
      <w:pPr>
        <w:numPr>
          <w:ilvl w:val="2"/>
          <w:numId w:val="1"/>
        </w:numPr>
        <w:spacing w:line="480" w:lineRule="auto"/>
        <w:jc w:val="both"/>
      </w:pPr>
      <w:r w:rsidRPr="00683546">
        <w:rPr>
          <w:rFonts w:eastAsia="Calibri"/>
          <w:szCs w:val="22"/>
          <w:u w:val="single"/>
        </w:rPr>
        <w:lastRenderedPageBreak/>
        <w:t>Levy</w:t>
      </w:r>
      <w:r w:rsidRPr="00683546">
        <w:rPr>
          <w:rFonts w:eastAsia="Calibri"/>
          <w:szCs w:val="22"/>
        </w:rPr>
        <w:t xml:space="preserve"> v. </w:t>
      </w:r>
      <w:r w:rsidRPr="00683546">
        <w:rPr>
          <w:rFonts w:eastAsia="Calibri"/>
          <w:szCs w:val="22"/>
          <w:u w:val="single"/>
        </w:rPr>
        <w:t>Board of Registration in Medicine</w:t>
      </w:r>
      <w:r w:rsidRPr="00F73580">
        <w:rPr>
          <w:rFonts w:eastAsia="Calibri"/>
          <w:szCs w:val="22"/>
        </w:rPr>
        <w:t xml:space="preserve">, 378 Mass. 519 (1979) and </w:t>
      </w:r>
      <w:r w:rsidRPr="00683546">
        <w:rPr>
          <w:rFonts w:eastAsia="Calibri"/>
          <w:szCs w:val="22"/>
          <w:u w:val="single"/>
        </w:rPr>
        <w:t>Raymond</w:t>
      </w:r>
      <w:r w:rsidRPr="00683546">
        <w:rPr>
          <w:rFonts w:eastAsia="Calibri"/>
          <w:szCs w:val="22"/>
        </w:rPr>
        <w:t xml:space="preserve"> v. </w:t>
      </w:r>
      <w:r w:rsidRPr="00683546">
        <w:rPr>
          <w:rFonts w:eastAsia="Calibri"/>
          <w:szCs w:val="22"/>
          <w:u w:val="single"/>
        </w:rPr>
        <w:t>Board of Registration in Medicine</w:t>
      </w:r>
      <w:r w:rsidRPr="00F73580">
        <w:rPr>
          <w:rFonts w:eastAsia="Calibri"/>
          <w:szCs w:val="22"/>
        </w:rPr>
        <w:t>, 387 Mass. 708 (1982)</w:t>
      </w:r>
      <w:r>
        <w:rPr>
          <w:rFonts w:eastAsia="Calibri"/>
          <w:szCs w:val="22"/>
        </w:rPr>
        <w:t>,</w:t>
      </w:r>
      <w:r w:rsidRPr="00F73580">
        <w:rPr>
          <w:rFonts w:eastAsia="Calibri"/>
          <w:szCs w:val="22"/>
        </w:rPr>
        <w:t xml:space="preserve"> which provide for discipline where, by proof satisfactory to a majority of the Board, a physician has engaged in conduct that undermines the public confidence in the integrity of the medical profession</w:t>
      </w:r>
      <w:r>
        <w:rPr>
          <w:rFonts w:eastAsia="Calibri"/>
          <w:szCs w:val="22"/>
        </w:rPr>
        <w:t xml:space="preserve">.  </w:t>
      </w:r>
    </w:p>
    <w:p w14:paraId="00E2B1B3" w14:textId="77777777" w:rsidR="009E00FC" w:rsidRPr="0087142B" w:rsidRDefault="009E00FC" w:rsidP="009E00FC">
      <w:pPr>
        <w:spacing w:line="480" w:lineRule="auto"/>
        <w:jc w:val="center"/>
        <w:rPr>
          <w:u w:val="single"/>
        </w:rPr>
      </w:pPr>
      <w:r w:rsidRPr="0087142B">
        <w:rPr>
          <w:u w:val="single"/>
        </w:rPr>
        <w:t>Sanction and Order</w:t>
      </w:r>
    </w:p>
    <w:p w14:paraId="4B832776" w14:textId="77777777" w:rsidR="00A73F95" w:rsidRDefault="009E00FC" w:rsidP="009E00FC">
      <w:pPr>
        <w:spacing w:line="480" w:lineRule="auto"/>
        <w:jc w:val="both"/>
      </w:pPr>
      <w:r w:rsidRPr="0087142B">
        <w:tab/>
        <w:t>The Respondent</w:t>
      </w:r>
      <w:r w:rsidR="00A73F95">
        <w:t xml:space="preserve">’s license </w:t>
      </w:r>
      <w:r>
        <w:t>is hereby reprimanded.</w:t>
      </w:r>
      <w:r w:rsidR="00A73F95">
        <w:t xml:space="preserve">  The Respondent must also satisfy the following conditions:</w:t>
      </w:r>
    </w:p>
    <w:p w14:paraId="5ABFB519" w14:textId="77777777" w:rsidR="00A73F95" w:rsidRDefault="00A73F95" w:rsidP="00A73F95">
      <w:pPr>
        <w:pStyle w:val="ListParagraph"/>
        <w:numPr>
          <w:ilvl w:val="0"/>
          <w:numId w:val="2"/>
        </w:numPr>
        <w:spacing w:line="480" w:lineRule="auto"/>
        <w:jc w:val="both"/>
      </w:pPr>
      <w:r>
        <w:t>The Respondent shall provide the Massachusetts Board with the results of the clinical competence assessment program mandated by the California Board;</w:t>
      </w:r>
    </w:p>
    <w:p w14:paraId="6EC19B6E" w14:textId="77777777" w:rsidR="006A7BB6" w:rsidRDefault="00A73F95" w:rsidP="00A73F95">
      <w:pPr>
        <w:pStyle w:val="ListParagraph"/>
        <w:numPr>
          <w:ilvl w:val="0"/>
          <w:numId w:val="2"/>
        </w:numPr>
        <w:spacing w:line="480" w:lineRule="auto"/>
        <w:jc w:val="both"/>
      </w:pPr>
      <w:r>
        <w:t>The Respondent shall provide the Massachusetts Board with a copy of the CMEs required by the California Board;</w:t>
      </w:r>
    </w:p>
    <w:p w14:paraId="70F4B999" w14:textId="77777777" w:rsidR="00246406" w:rsidRDefault="006A7BB6" w:rsidP="00A73F95">
      <w:pPr>
        <w:pStyle w:val="ListParagraph"/>
        <w:numPr>
          <w:ilvl w:val="0"/>
          <w:numId w:val="2"/>
        </w:numPr>
        <w:spacing w:line="480" w:lineRule="auto"/>
        <w:jc w:val="both"/>
      </w:pPr>
      <w:r>
        <w:t>The Respondent shall provide the Massachusetts Board with cop</w:t>
      </w:r>
      <w:r w:rsidR="00246406">
        <w:t>ies</w:t>
      </w:r>
      <w:r>
        <w:t xml:space="preserve"> of the monitor evaluations</w:t>
      </w:r>
      <w:r w:rsidR="00246406">
        <w:t xml:space="preserve"> submitted to the California Board; and</w:t>
      </w:r>
    </w:p>
    <w:p w14:paraId="13C7E138" w14:textId="3B8CCCDD" w:rsidR="009E00FC" w:rsidRPr="0087142B" w:rsidRDefault="00516012" w:rsidP="00A73F95">
      <w:pPr>
        <w:pStyle w:val="ListParagraph"/>
        <w:numPr>
          <w:ilvl w:val="0"/>
          <w:numId w:val="2"/>
        </w:numPr>
        <w:spacing w:line="480" w:lineRule="auto"/>
        <w:jc w:val="both"/>
      </w:pPr>
      <w:r>
        <w:t xml:space="preserve">Should the Respondent wish to return to practice medicine in Massachusetts prior to the completion of the California </w:t>
      </w:r>
      <w:r w:rsidR="00E45391">
        <w:t>five</w:t>
      </w:r>
      <w:r>
        <w:t xml:space="preserve">-year probation period, </w:t>
      </w:r>
      <w:r w:rsidR="00B84142">
        <w:t xml:space="preserve">he shall first be required to appear before the Massachusetts Board to demonstrate satisfactory compliance with the California required clinical competence assessment program (and any recommended remediation from that program), and continuing satisfactory California monitoring evaluations </w:t>
      </w:r>
      <w:r w:rsidR="00E45391">
        <w:t>for the remainder of his five-year probation period.</w:t>
      </w:r>
      <w:r w:rsidR="00B84142">
        <w:t xml:space="preserve">  </w:t>
      </w:r>
      <w:r>
        <w:t xml:space="preserve"> </w:t>
      </w:r>
      <w:r w:rsidR="006A7BB6">
        <w:t xml:space="preserve"> </w:t>
      </w:r>
      <w:r w:rsidR="009E00FC">
        <w:t xml:space="preserve">  </w:t>
      </w:r>
    </w:p>
    <w:p w14:paraId="7617D5DE" w14:textId="77777777" w:rsidR="009E00FC" w:rsidRPr="0087142B" w:rsidRDefault="009E00FC" w:rsidP="009E00FC">
      <w:pPr>
        <w:spacing w:line="480" w:lineRule="auto"/>
        <w:jc w:val="center"/>
      </w:pPr>
      <w:r w:rsidRPr="0087142B">
        <w:rPr>
          <w:u w:val="single"/>
        </w:rPr>
        <w:t>Execution of this Consent Order</w:t>
      </w:r>
    </w:p>
    <w:p w14:paraId="0B7497A8" w14:textId="0B45139D" w:rsidR="009E00FC" w:rsidRPr="00006A26" w:rsidRDefault="009E00FC" w:rsidP="009E00FC">
      <w:pPr>
        <w:spacing w:line="480" w:lineRule="auto"/>
        <w:ind w:firstLine="720"/>
        <w:jc w:val="both"/>
        <w:rPr>
          <w:bCs/>
          <w:color w:val="000000"/>
        </w:rPr>
      </w:pPr>
      <w:r w:rsidRPr="00006A26">
        <w:rPr>
          <w:bCs/>
          <w:color w:val="000000"/>
        </w:rPr>
        <w:t xml:space="preserve">Complaint Counsel, the Respondent, and the Respondent agree that the approval of this Consent Order is left to the discretion of the Board.  The signature of Complaint Counsel, the </w:t>
      </w:r>
      <w:r w:rsidRPr="00006A26">
        <w:rPr>
          <w:bCs/>
          <w:color w:val="000000"/>
        </w:rPr>
        <w:lastRenderedPageBreak/>
        <w:t xml:space="preserve">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12EAB66A" w14:textId="77777777" w:rsidR="009E00FC" w:rsidRPr="00006A26" w:rsidRDefault="009E00FC" w:rsidP="009E00FC">
      <w:pPr>
        <w:spacing w:line="480" w:lineRule="auto"/>
        <w:ind w:firstLine="720"/>
        <w:jc w:val="both"/>
        <w:rPr>
          <w:bCs/>
          <w:color w:val="000000"/>
        </w:rPr>
      </w:pPr>
      <w:r w:rsidRPr="00006A26">
        <w:rPr>
          <w:bCs/>
          <w:color w:val="000000"/>
        </w:rPr>
        <w:t>As to any matter in this Consent Order left to the discretion of the Board, neither the Respondent, nor anyone acting on his behalf, has received any promises or representations regarding the same.</w:t>
      </w:r>
    </w:p>
    <w:p w14:paraId="5164C4B1" w14:textId="77777777" w:rsidR="009E00FC" w:rsidRPr="00006A26" w:rsidRDefault="009E00FC" w:rsidP="009E00FC">
      <w:pPr>
        <w:spacing w:line="480" w:lineRule="auto"/>
        <w:jc w:val="both"/>
        <w:rPr>
          <w:bCs/>
          <w:color w:val="000000"/>
        </w:rPr>
      </w:pPr>
      <w:r w:rsidRPr="00006A26">
        <w:rPr>
          <w:bCs/>
          <w:color w:val="000000"/>
        </w:rPr>
        <w:t xml:space="preserve">         The Respondent waives any right of appeal that he may have resulting from the Board’s acceptance of this Consent Order.</w:t>
      </w:r>
      <w:r w:rsidRPr="00006A26">
        <w:rPr>
          <w:bCs/>
          <w:color w:val="000000"/>
        </w:rPr>
        <w:tab/>
      </w:r>
    </w:p>
    <w:p w14:paraId="21DA9F62" w14:textId="77777777" w:rsidR="009E00FC" w:rsidRDefault="009E00FC" w:rsidP="009E00FC">
      <w:pPr>
        <w:spacing w:line="480" w:lineRule="auto"/>
        <w:ind w:firstLine="720"/>
        <w:jc w:val="both"/>
      </w:pPr>
      <w:r>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t>The Respondent shall also provide this notification to any such designated entities with which he becomes associated in the year following the date of imposition of this reprimand.  The Respondent is further directed to certify to the Board within ten (10) days that he has complied with this directive.</w:t>
      </w:r>
    </w:p>
    <w:p w14:paraId="7B913EB7" w14:textId="0D97953E" w:rsidR="009E00FC" w:rsidRPr="00164368" w:rsidRDefault="009E00FC" w:rsidP="00164368">
      <w:pPr>
        <w:spacing w:line="480" w:lineRule="auto"/>
        <w:jc w:val="both"/>
        <w:rPr>
          <w:color w:val="000000"/>
        </w:rPr>
      </w:pPr>
      <w:r w:rsidRPr="0087142B">
        <w:rPr>
          <w:b/>
          <w:bCs/>
          <w:color w:val="000000"/>
        </w:rPr>
        <w:lastRenderedPageBreak/>
        <w:tab/>
      </w:r>
      <w:r w:rsidRPr="0087142B">
        <w:rPr>
          <w:color w:val="000000"/>
        </w:rPr>
        <w:t>The Board expressly reserves the authority to independently notify, at any time, any of the entities designated above, or any other affected entity, of any action it has taken.</w:t>
      </w:r>
    </w:p>
    <w:p w14:paraId="0E1FED71" w14:textId="77777777" w:rsidR="009E00FC" w:rsidRDefault="009E00FC" w:rsidP="009E00FC">
      <w:pPr>
        <w:spacing w:line="480" w:lineRule="auto"/>
        <w:rPr>
          <w:u w:val="single"/>
        </w:rPr>
      </w:pPr>
    </w:p>
    <w:p w14:paraId="79E4BE5F" w14:textId="57484646" w:rsidR="009E00FC" w:rsidRPr="004B4D07" w:rsidRDefault="004B4D07" w:rsidP="009E00FC">
      <w:pPr>
        <w:rPr>
          <w:u w:val="single"/>
        </w:rPr>
      </w:pPr>
      <w:r>
        <w:rPr>
          <w:u w:val="single"/>
        </w:rPr>
        <w:t>Signed by Mahmoud Rashidi-</w:t>
      </w:r>
      <w:proofErr w:type="spellStart"/>
      <w:r>
        <w:rPr>
          <w:u w:val="single"/>
        </w:rPr>
        <w:t>Naimabadi</w:t>
      </w:r>
      <w:proofErr w:type="spellEnd"/>
      <w:r>
        <w:rPr>
          <w:u w:val="single"/>
        </w:rPr>
        <w:t>, M.D.</w:t>
      </w:r>
      <w:r w:rsidR="009E00FC" w:rsidRPr="0087142B">
        <w:tab/>
      </w:r>
      <w:r w:rsidR="009E00FC">
        <w:tab/>
      </w:r>
      <w:r>
        <w:rPr>
          <w:u w:val="single"/>
        </w:rPr>
        <w:t>4-1-21</w:t>
      </w:r>
      <w:r>
        <w:rPr>
          <w:u w:val="single"/>
        </w:rPr>
        <w:tab/>
      </w:r>
      <w:r>
        <w:rPr>
          <w:u w:val="single"/>
        </w:rPr>
        <w:tab/>
      </w:r>
      <w:r>
        <w:rPr>
          <w:u w:val="single"/>
        </w:rPr>
        <w:tab/>
      </w:r>
    </w:p>
    <w:p w14:paraId="576836CD" w14:textId="4158F657" w:rsidR="009E00FC" w:rsidRPr="0087142B" w:rsidRDefault="0053603B" w:rsidP="009E00FC">
      <w:r>
        <w:t>Mahmoud Rashidi-</w:t>
      </w:r>
      <w:proofErr w:type="spellStart"/>
      <w:r>
        <w:t>Naimabadi</w:t>
      </w:r>
      <w:proofErr w:type="spellEnd"/>
      <w:r w:rsidR="009E00FC">
        <w:t>, M.D.</w:t>
      </w:r>
      <w:r w:rsidR="009E00FC">
        <w:tab/>
      </w:r>
      <w:r w:rsidR="009E00FC">
        <w:tab/>
      </w:r>
      <w:r w:rsidR="009E00FC">
        <w:tab/>
      </w:r>
      <w:r w:rsidR="009E00FC">
        <w:tab/>
      </w:r>
      <w:r w:rsidR="009E00FC" w:rsidRPr="0087142B">
        <w:t>Date</w:t>
      </w:r>
    </w:p>
    <w:p w14:paraId="540B2CB7" w14:textId="77777777" w:rsidR="009E00FC" w:rsidRPr="0087142B" w:rsidRDefault="009E00FC" w:rsidP="009E00FC">
      <w:r w:rsidRPr="0087142B">
        <w:t>Licensee</w:t>
      </w:r>
    </w:p>
    <w:p w14:paraId="7665E38E" w14:textId="77777777" w:rsidR="009E00FC" w:rsidRDefault="009E00FC" w:rsidP="009E00FC"/>
    <w:p w14:paraId="3DD7B8A5" w14:textId="77777777" w:rsidR="009E00FC" w:rsidRPr="0087142B" w:rsidRDefault="009E00FC" w:rsidP="009E00FC"/>
    <w:p w14:paraId="17D367BD" w14:textId="2C5BE20C" w:rsidR="009E00FC" w:rsidRPr="0087142B" w:rsidRDefault="004B4D07" w:rsidP="009E00FC">
      <w:r>
        <w:rPr>
          <w:u w:val="single"/>
        </w:rPr>
        <w:t>Signed by Stephen C. Hoctor</w:t>
      </w:r>
      <w:r>
        <w:rPr>
          <w:u w:val="single"/>
        </w:rPr>
        <w:tab/>
      </w:r>
      <w:r>
        <w:rPr>
          <w:u w:val="single"/>
        </w:rPr>
        <w:tab/>
      </w:r>
      <w:r>
        <w:rPr>
          <w:u w:val="single"/>
        </w:rPr>
        <w:tab/>
      </w:r>
      <w:r w:rsidR="009E00FC" w:rsidRPr="0087142B">
        <w:tab/>
      </w:r>
      <w:r w:rsidR="009E00FC">
        <w:tab/>
      </w:r>
      <w:r>
        <w:rPr>
          <w:u w:val="single"/>
        </w:rPr>
        <w:t>4-17-21</w:t>
      </w:r>
      <w:r>
        <w:rPr>
          <w:u w:val="single"/>
        </w:rPr>
        <w:tab/>
      </w:r>
      <w:r>
        <w:rPr>
          <w:u w:val="single"/>
        </w:rPr>
        <w:tab/>
      </w:r>
    </w:p>
    <w:p w14:paraId="243F7050" w14:textId="4EED9229" w:rsidR="009E00FC" w:rsidRPr="0087142B" w:rsidRDefault="004F28B4" w:rsidP="009E00FC">
      <w:r>
        <w:t>Stephen C. Hoctor</w:t>
      </w:r>
      <w:r w:rsidR="009E00FC" w:rsidRPr="0087142B">
        <w:tab/>
      </w:r>
      <w:r w:rsidR="009E00FC" w:rsidRPr="0087142B">
        <w:tab/>
      </w:r>
      <w:r w:rsidR="009E00FC">
        <w:tab/>
      </w:r>
      <w:r w:rsidR="009E00FC">
        <w:tab/>
      </w:r>
      <w:r w:rsidR="009E00FC">
        <w:tab/>
      </w:r>
      <w:r w:rsidR="009E00FC">
        <w:tab/>
      </w:r>
      <w:r w:rsidR="009E00FC" w:rsidRPr="0087142B">
        <w:t>Date</w:t>
      </w:r>
    </w:p>
    <w:p w14:paraId="30C47ECF" w14:textId="77777777" w:rsidR="009E00FC" w:rsidRPr="0087142B" w:rsidRDefault="009E00FC" w:rsidP="009E00FC">
      <w:r w:rsidRPr="0087142B">
        <w:t>Complaint Counsel</w:t>
      </w:r>
    </w:p>
    <w:p w14:paraId="7D41AB8E" w14:textId="77777777" w:rsidR="009E00FC" w:rsidRDefault="009E00FC" w:rsidP="009E00FC"/>
    <w:p w14:paraId="5B5F570D" w14:textId="77777777" w:rsidR="009E00FC" w:rsidRDefault="009E00FC" w:rsidP="009E00FC"/>
    <w:p w14:paraId="739B8049" w14:textId="78E4B4E8" w:rsidR="009E00FC" w:rsidRPr="0087142B" w:rsidRDefault="009E00FC" w:rsidP="009E00FC">
      <w:r>
        <w:tab/>
      </w:r>
      <w:proofErr w:type="gramStart"/>
      <w:r w:rsidRPr="0087142B">
        <w:t>So</w:t>
      </w:r>
      <w:proofErr w:type="gramEnd"/>
      <w:r w:rsidRPr="0087142B">
        <w:t xml:space="preserve"> ORDERED by the Board of Registration in Medicine this </w:t>
      </w:r>
      <w:r w:rsidR="004B4D07">
        <w:rPr>
          <w:u w:val="single"/>
        </w:rPr>
        <w:t xml:space="preserve">20  </w:t>
      </w:r>
      <w:r>
        <w:t xml:space="preserve"> </w:t>
      </w:r>
      <w:r w:rsidRPr="0087142B">
        <w:t xml:space="preserve">day of </w:t>
      </w:r>
      <w:r w:rsidR="004B4D07">
        <w:rPr>
          <w:u w:val="single"/>
        </w:rPr>
        <w:t xml:space="preserve">May     </w:t>
      </w:r>
      <w:r w:rsidRPr="0087142B">
        <w:t xml:space="preserve">, </w:t>
      </w:r>
      <w:r>
        <w:t>202</w:t>
      </w:r>
      <w:r w:rsidR="004F28B4">
        <w:t>1</w:t>
      </w:r>
      <w:r>
        <w:t xml:space="preserve">.  </w:t>
      </w:r>
    </w:p>
    <w:p w14:paraId="2F95664F" w14:textId="77777777" w:rsidR="009E00FC" w:rsidRPr="0087142B" w:rsidRDefault="009E00FC" w:rsidP="009E00FC"/>
    <w:p w14:paraId="1182ACDC" w14:textId="77777777" w:rsidR="009E00FC" w:rsidRPr="0087142B" w:rsidRDefault="009E00FC" w:rsidP="009E00FC"/>
    <w:p w14:paraId="5D2E2453" w14:textId="747A329E" w:rsidR="009E00FC" w:rsidRPr="0087142B" w:rsidRDefault="009E00FC" w:rsidP="009E00FC">
      <w:r w:rsidRPr="0087142B">
        <w:tab/>
      </w:r>
      <w:r w:rsidRPr="0087142B">
        <w:tab/>
      </w:r>
      <w:r w:rsidRPr="0087142B">
        <w:tab/>
      </w:r>
      <w:r w:rsidRPr="0087142B">
        <w:tab/>
      </w:r>
      <w:r w:rsidRPr="0087142B">
        <w:tab/>
      </w:r>
      <w:r w:rsidRPr="0087142B">
        <w:tab/>
      </w:r>
      <w:r w:rsidRPr="0087142B">
        <w:tab/>
      </w:r>
      <w:r w:rsidR="004B4D07">
        <w:rPr>
          <w:u w:val="single"/>
        </w:rPr>
        <w:t>Signed by George M. Abraham, M.D.</w:t>
      </w:r>
    </w:p>
    <w:p w14:paraId="4E346B07" w14:textId="77777777" w:rsidR="009E00FC" w:rsidRPr="0087142B" w:rsidRDefault="009E00FC" w:rsidP="009E00FC">
      <w:r w:rsidRPr="0087142B">
        <w:tab/>
      </w:r>
      <w:r w:rsidRPr="0087142B">
        <w:tab/>
      </w:r>
      <w:r w:rsidRPr="0087142B">
        <w:tab/>
      </w:r>
      <w:r w:rsidRPr="0087142B">
        <w:tab/>
      </w:r>
      <w:r w:rsidRPr="0087142B">
        <w:tab/>
      </w:r>
      <w:r w:rsidRPr="0087142B">
        <w:tab/>
      </w:r>
      <w:r w:rsidRPr="0087142B">
        <w:tab/>
      </w:r>
      <w:r>
        <w:t>George M. Abraham</w:t>
      </w:r>
      <w:r w:rsidRPr="0087142B">
        <w:t>, M.D.</w:t>
      </w:r>
    </w:p>
    <w:p w14:paraId="4BFAD471" w14:textId="77777777" w:rsidR="009E00FC" w:rsidRPr="0087142B" w:rsidRDefault="009E00FC" w:rsidP="009E00FC">
      <w:r>
        <w:tab/>
      </w:r>
      <w:r>
        <w:tab/>
      </w:r>
      <w:r>
        <w:tab/>
      </w:r>
      <w:r>
        <w:tab/>
      </w:r>
      <w:r>
        <w:tab/>
      </w:r>
      <w:r>
        <w:tab/>
      </w:r>
      <w:r>
        <w:tab/>
        <w:t>Chair</w:t>
      </w:r>
    </w:p>
    <w:p w14:paraId="70B4D847" w14:textId="6EE08437" w:rsidR="009E00FC" w:rsidRDefault="009E00FC"/>
    <w:p w14:paraId="447C235F" w14:textId="77777777" w:rsidR="004649B0" w:rsidRDefault="004649B0" w:rsidP="004649B0">
      <w:pPr>
        <w:ind w:right="90"/>
        <w:rPr>
          <w:sz w:val="22"/>
          <w:szCs w:val="22"/>
        </w:rPr>
      </w:pPr>
      <w:r>
        <w:t xml:space="preserve">To obtain a copy of the out-of-state disciplinary order, please contact the appropriate state’s medical licensing board directly.  A list of  state medical boards and contact information is available at </w:t>
      </w:r>
      <w:hyperlink r:id="rId7"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8" w:history="1">
        <w:r>
          <w:rPr>
            <w:rStyle w:val="Hyperlink"/>
          </w:rPr>
          <w:t>https://www.mass.gov/board-of-registration-in-medicine-public-records</w:t>
        </w:r>
      </w:hyperlink>
      <w:r>
        <w:t>.</w:t>
      </w:r>
    </w:p>
    <w:p w14:paraId="363D16FC" w14:textId="77777777" w:rsidR="004649B0" w:rsidRDefault="004649B0">
      <w:bookmarkStart w:id="18" w:name="_GoBack"/>
      <w:bookmarkEnd w:id="18"/>
    </w:p>
    <w:sectPr w:rsidR="004649B0" w:rsidSect="00E54C59">
      <w:footerReference w:type="default" r:id="rId9"/>
      <w:footerReference w:type="first" r:id="rId10"/>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EF31C" w14:textId="77777777" w:rsidR="0053603B" w:rsidRDefault="0053603B" w:rsidP="0053603B">
      <w:r>
        <w:separator/>
      </w:r>
    </w:p>
  </w:endnote>
  <w:endnote w:type="continuationSeparator" w:id="0">
    <w:p w14:paraId="31D0F69B" w14:textId="77777777" w:rsidR="0053603B" w:rsidRDefault="0053603B" w:rsidP="0053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38FED" w14:textId="325572C1" w:rsidR="009546C3" w:rsidRPr="009A4740" w:rsidRDefault="00BC08B7" w:rsidP="009546C3">
    <w:pPr>
      <w:pStyle w:val="Footer"/>
      <w:tabs>
        <w:tab w:val="clear" w:pos="8640"/>
        <w:tab w:val="right" w:pos="9120"/>
      </w:tabs>
      <w:rPr>
        <w:sz w:val="20"/>
        <w:szCs w:val="20"/>
      </w:rPr>
    </w:pPr>
    <w:r w:rsidRPr="009A4740">
      <w:rPr>
        <w:sz w:val="20"/>
        <w:szCs w:val="20"/>
      </w:rPr>
      <w:t xml:space="preserve">Consent Order – </w:t>
    </w:r>
    <w:r w:rsidR="0053603B">
      <w:rPr>
        <w:sz w:val="20"/>
        <w:szCs w:val="20"/>
      </w:rPr>
      <w:t>Mahmoud Rashidi-</w:t>
    </w:r>
    <w:proofErr w:type="spellStart"/>
    <w:r w:rsidR="0053603B">
      <w:rPr>
        <w:sz w:val="20"/>
        <w:szCs w:val="20"/>
      </w:rPr>
      <w:t>Naimabadi</w:t>
    </w:r>
    <w:proofErr w:type="spellEnd"/>
    <w:r w:rsidR="0053603B">
      <w:rPr>
        <w:sz w:val="20"/>
        <w:szCs w:val="20"/>
      </w:rPr>
      <w:t>, M.D</w:t>
    </w:r>
    <w:r w:rsidRPr="009A4740">
      <w:rPr>
        <w:color w:val="FF0000"/>
        <w:sz w:val="20"/>
        <w:szCs w:val="20"/>
      </w:rPr>
      <w:tab/>
    </w:r>
    <w:r w:rsidRPr="009A4740">
      <w:rPr>
        <w:color w:val="FF0000"/>
        <w:sz w:val="20"/>
        <w:szCs w:val="20"/>
      </w:rPr>
      <w:tab/>
    </w:r>
    <w:r>
      <w:rPr>
        <w:rStyle w:val="PageNumber"/>
        <w:sz w:val="20"/>
        <w:szCs w:val="20"/>
      </w:rPr>
      <w:fldChar w:fldCharType="begin"/>
    </w:r>
    <w:r>
      <w:rPr>
        <w:rStyle w:val="PageNumber"/>
        <w:sz w:val="20"/>
        <w:szCs w:val="20"/>
      </w:rPr>
      <w:instrText xml:space="preserve"> PAGE  \* Arabic  \* MERGEFORMAT </w:instrText>
    </w:r>
    <w:r>
      <w:rPr>
        <w:rStyle w:val="PageNumber"/>
        <w:sz w:val="20"/>
        <w:szCs w:val="20"/>
      </w:rPr>
      <w:fldChar w:fldCharType="separate"/>
    </w:r>
    <w:r>
      <w:rPr>
        <w:rStyle w:val="PageNumber"/>
        <w:noProof/>
        <w:sz w:val="20"/>
        <w:szCs w:val="20"/>
      </w:rPr>
      <w:t>4</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C5442" w14:textId="4C6D2380" w:rsidR="00E54C59" w:rsidRDefault="00BC08B7" w:rsidP="00E54C59">
    <w:pPr>
      <w:pStyle w:val="Footer"/>
      <w:tabs>
        <w:tab w:val="clear" w:pos="4320"/>
        <w:tab w:val="clear" w:pos="8640"/>
        <w:tab w:val="center" w:pos="4680"/>
        <w:tab w:val="right" w:pos="9360"/>
      </w:tabs>
    </w:pPr>
    <w:r w:rsidRPr="009A4740">
      <w:rPr>
        <w:sz w:val="20"/>
        <w:szCs w:val="20"/>
      </w:rPr>
      <w:t xml:space="preserve">Consent Order – </w:t>
    </w:r>
    <w:r w:rsidR="0053603B">
      <w:rPr>
        <w:sz w:val="20"/>
        <w:szCs w:val="20"/>
      </w:rPr>
      <w:t>Mahmoud Rashidi-</w:t>
    </w:r>
    <w:proofErr w:type="spellStart"/>
    <w:r w:rsidR="0053603B">
      <w:rPr>
        <w:sz w:val="20"/>
        <w:szCs w:val="20"/>
      </w:rPr>
      <w:t>Naimabadi</w:t>
    </w:r>
    <w:proofErr w:type="spellEnd"/>
    <w:r>
      <w:rPr>
        <w:sz w:val="20"/>
        <w:szCs w:val="20"/>
      </w:rPr>
      <w:t>, M.D.</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F3E33" w14:textId="77777777" w:rsidR="0053603B" w:rsidRDefault="0053603B" w:rsidP="0053603B">
      <w:r>
        <w:separator/>
      </w:r>
    </w:p>
  </w:footnote>
  <w:footnote w:type="continuationSeparator" w:id="0">
    <w:p w14:paraId="33C172F1" w14:textId="77777777" w:rsidR="0053603B" w:rsidRDefault="0053603B" w:rsidP="00536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E36BC"/>
    <w:multiLevelType w:val="hybridMultilevel"/>
    <w:tmpl w:val="F2B6B746"/>
    <w:lvl w:ilvl="0" w:tplc="38B25B9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02749EC"/>
    <w:multiLevelType w:val="hybridMultilevel"/>
    <w:tmpl w:val="800CC994"/>
    <w:lvl w:ilvl="0" w:tplc="E806B6EE">
      <w:start w:val="1"/>
      <w:numFmt w:val="decimal"/>
      <w:lvlText w:val="%1."/>
      <w:lvlJc w:val="left"/>
      <w:pPr>
        <w:tabs>
          <w:tab w:val="num" w:pos="1440"/>
        </w:tabs>
        <w:ind w:left="0" w:firstLine="720"/>
      </w:pPr>
      <w:rPr>
        <w:rFonts w:hint="default"/>
      </w:rPr>
    </w:lvl>
    <w:lvl w:ilvl="1" w:tplc="EC0C058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FC"/>
    <w:rsid w:val="00101B42"/>
    <w:rsid w:val="001274BF"/>
    <w:rsid w:val="00164368"/>
    <w:rsid w:val="001879C5"/>
    <w:rsid w:val="00246406"/>
    <w:rsid w:val="00274929"/>
    <w:rsid w:val="004104E8"/>
    <w:rsid w:val="004374F6"/>
    <w:rsid w:val="004649B0"/>
    <w:rsid w:val="004B4D07"/>
    <w:rsid w:val="004C3115"/>
    <w:rsid w:val="004F28B4"/>
    <w:rsid w:val="00516012"/>
    <w:rsid w:val="0053603B"/>
    <w:rsid w:val="00577DED"/>
    <w:rsid w:val="00597B18"/>
    <w:rsid w:val="00683546"/>
    <w:rsid w:val="006A7BB6"/>
    <w:rsid w:val="006B0CCE"/>
    <w:rsid w:val="00801967"/>
    <w:rsid w:val="009E00FC"/>
    <w:rsid w:val="00A73F95"/>
    <w:rsid w:val="00B84142"/>
    <w:rsid w:val="00B8486B"/>
    <w:rsid w:val="00BC08B7"/>
    <w:rsid w:val="00D851C2"/>
    <w:rsid w:val="00DF4FEC"/>
    <w:rsid w:val="00E45391"/>
    <w:rsid w:val="00E777E9"/>
    <w:rsid w:val="00EF0324"/>
    <w:rsid w:val="00F709B8"/>
    <w:rsid w:val="00FA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C419B7"/>
  <w15:chartTrackingRefBased/>
  <w15:docId w15:val="{9C54DF65-93BC-4F30-80F1-E3176C1B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0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00FC"/>
    <w:pPr>
      <w:tabs>
        <w:tab w:val="center" w:pos="4320"/>
        <w:tab w:val="right" w:pos="8640"/>
      </w:tabs>
    </w:pPr>
  </w:style>
  <w:style w:type="character" w:customStyle="1" w:styleId="FooterChar">
    <w:name w:val="Footer Char"/>
    <w:basedOn w:val="DefaultParagraphFont"/>
    <w:link w:val="Footer"/>
    <w:rsid w:val="009E00FC"/>
    <w:rPr>
      <w:rFonts w:ascii="Times New Roman" w:eastAsia="Times New Roman" w:hAnsi="Times New Roman" w:cs="Times New Roman"/>
      <w:sz w:val="24"/>
      <w:szCs w:val="24"/>
    </w:rPr>
  </w:style>
  <w:style w:type="character" w:styleId="PageNumber">
    <w:name w:val="page number"/>
    <w:basedOn w:val="DefaultParagraphFont"/>
    <w:rsid w:val="009E00FC"/>
  </w:style>
  <w:style w:type="paragraph" w:styleId="Header">
    <w:name w:val="header"/>
    <w:basedOn w:val="Normal"/>
    <w:link w:val="HeaderChar"/>
    <w:uiPriority w:val="99"/>
    <w:unhideWhenUsed/>
    <w:rsid w:val="0053603B"/>
    <w:pPr>
      <w:tabs>
        <w:tab w:val="center" w:pos="4680"/>
        <w:tab w:val="right" w:pos="9360"/>
      </w:tabs>
    </w:pPr>
  </w:style>
  <w:style w:type="character" w:customStyle="1" w:styleId="HeaderChar">
    <w:name w:val="Header Char"/>
    <w:basedOn w:val="DefaultParagraphFont"/>
    <w:link w:val="Header"/>
    <w:uiPriority w:val="99"/>
    <w:rsid w:val="0053603B"/>
    <w:rPr>
      <w:rFonts w:ascii="Times New Roman" w:eastAsia="Times New Roman" w:hAnsi="Times New Roman" w:cs="Times New Roman"/>
      <w:sz w:val="24"/>
      <w:szCs w:val="24"/>
    </w:rPr>
  </w:style>
  <w:style w:type="paragraph" w:styleId="ListParagraph">
    <w:name w:val="List Paragraph"/>
    <w:basedOn w:val="Normal"/>
    <w:uiPriority w:val="34"/>
    <w:qFormat/>
    <w:rsid w:val="00A73F95"/>
    <w:pPr>
      <w:ind w:left="720"/>
      <w:contextualSpacing/>
    </w:pPr>
  </w:style>
  <w:style w:type="character" w:styleId="Hyperlink">
    <w:name w:val="Hyperlink"/>
    <w:semiHidden/>
    <w:unhideWhenUsed/>
    <w:rsid w:val="004649B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78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board-of-registration-in-medicine-public-records" TargetMode="External"/><Relationship Id="rId3" Type="http://schemas.openxmlformats.org/officeDocument/2006/relationships/settings" Target="settings.xml"/><Relationship Id="rId7" Type="http://schemas.openxmlformats.org/officeDocument/2006/relationships/hyperlink" Target="https://www.fsmb.org/contact-a-state-medica-bo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Giliberti, Katelyn (MED)</dc:creator>
  <cp:keywords/>
  <dc:description/>
  <cp:lastModifiedBy>LaPointe, Donald (MED)</cp:lastModifiedBy>
  <cp:revision>45</cp:revision>
  <dcterms:created xsi:type="dcterms:W3CDTF">2020-11-27T14:45:00Z</dcterms:created>
  <dcterms:modified xsi:type="dcterms:W3CDTF">2021-05-26T17:55:00Z</dcterms:modified>
</cp:coreProperties>
</file>