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7EA8" w14:textId="77777777" w:rsidR="00E81EF7" w:rsidRPr="0077511A" w:rsidRDefault="00E81EF7" w:rsidP="00E81EF7">
      <w:pPr>
        <w:jc w:val="center"/>
      </w:pPr>
      <w:r w:rsidRPr="0077511A">
        <w:t>COMMONWEALTH OF MASSACHUSETTS</w:t>
      </w:r>
    </w:p>
    <w:p w14:paraId="586EFF12" w14:textId="77777777" w:rsidR="00E81EF7" w:rsidRPr="0077511A" w:rsidRDefault="00E81EF7" w:rsidP="00E81EF7"/>
    <w:p w14:paraId="353C421C" w14:textId="77777777" w:rsidR="00E81EF7" w:rsidRPr="0077511A" w:rsidRDefault="00E81EF7" w:rsidP="00E81EF7">
      <w:r w:rsidRPr="0077511A">
        <w:t>Middlesex, SS.</w:t>
      </w:r>
      <w:r w:rsidRPr="0077511A">
        <w:tab/>
      </w:r>
      <w:r w:rsidRPr="0077511A">
        <w:tab/>
      </w:r>
      <w:r w:rsidRPr="0077511A">
        <w:tab/>
      </w:r>
      <w:r w:rsidRPr="0077511A">
        <w:tab/>
      </w:r>
      <w:r w:rsidRPr="0077511A">
        <w:tab/>
      </w:r>
      <w:r w:rsidRPr="0077511A">
        <w:tab/>
        <w:t>Board of Registration in Medicine</w:t>
      </w:r>
    </w:p>
    <w:p w14:paraId="63C10D94" w14:textId="79C3FACA" w:rsidR="00E81EF7" w:rsidRPr="0077511A" w:rsidRDefault="00E81EF7" w:rsidP="00E81EF7">
      <w:r w:rsidRPr="0077511A">
        <w:tab/>
      </w:r>
      <w:r w:rsidRPr="0077511A">
        <w:tab/>
      </w:r>
      <w:r w:rsidRPr="0077511A">
        <w:tab/>
      </w:r>
      <w:r w:rsidRPr="0077511A">
        <w:tab/>
      </w:r>
      <w:r w:rsidRPr="0077511A">
        <w:tab/>
      </w:r>
      <w:r w:rsidRPr="0077511A">
        <w:tab/>
      </w:r>
      <w:r w:rsidRPr="0077511A">
        <w:tab/>
      </w:r>
      <w:r w:rsidRPr="0077511A">
        <w:tab/>
        <w:t>Adjudicatory Case No.</w:t>
      </w:r>
      <w:r w:rsidR="00CC0B19">
        <w:t xml:space="preserve"> 2022-041</w:t>
      </w:r>
    </w:p>
    <w:p w14:paraId="0032C5B4"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p>
    <w:p w14:paraId="36D74330" w14:textId="77777777" w:rsidR="00E81EF7" w:rsidRPr="0077511A" w:rsidRDefault="00E81EF7" w:rsidP="00E81EF7">
      <w:r w:rsidRPr="0077511A">
        <w:tab/>
      </w:r>
      <w:r w:rsidRPr="0077511A">
        <w:tab/>
      </w:r>
      <w:r w:rsidRPr="0077511A">
        <w:tab/>
      </w:r>
      <w:r w:rsidRPr="0077511A">
        <w:tab/>
      </w:r>
      <w:r w:rsidRPr="0077511A">
        <w:tab/>
        <w:t>)</w:t>
      </w:r>
    </w:p>
    <w:p w14:paraId="7B395623" w14:textId="77777777" w:rsidR="00E81EF7" w:rsidRPr="0077511A" w:rsidRDefault="00E81EF7" w:rsidP="00E81EF7">
      <w:r w:rsidRPr="0077511A">
        <w:t>In the Matter of</w:t>
      </w:r>
      <w:r w:rsidRPr="0077511A">
        <w:tab/>
      </w:r>
      <w:r w:rsidRPr="0077511A">
        <w:tab/>
      </w:r>
      <w:r w:rsidRPr="0077511A">
        <w:tab/>
        <w:t>)</w:t>
      </w:r>
    </w:p>
    <w:p w14:paraId="61AA72CD" w14:textId="77777777" w:rsidR="00E81EF7" w:rsidRPr="0077511A" w:rsidRDefault="00E81EF7" w:rsidP="00E81EF7">
      <w:r w:rsidRPr="0077511A">
        <w:tab/>
      </w:r>
      <w:r w:rsidRPr="0077511A">
        <w:tab/>
      </w:r>
      <w:r w:rsidRPr="0077511A">
        <w:tab/>
      </w:r>
      <w:r w:rsidRPr="0077511A">
        <w:tab/>
      </w:r>
      <w:r w:rsidRPr="0077511A">
        <w:tab/>
        <w:t>)</w:t>
      </w:r>
    </w:p>
    <w:p w14:paraId="63030680" w14:textId="77777777" w:rsidR="00E81EF7" w:rsidRPr="0077511A" w:rsidRDefault="00BD500C" w:rsidP="00E81EF7">
      <w:r>
        <w:t>SAURABH SAXENA</w:t>
      </w:r>
      <w:r w:rsidR="001D33FF">
        <w:t>, M.D.</w:t>
      </w:r>
      <w:r w:rsidR="00762951" w:rsidRPr="0077511A">
        <w:tab/>
      </w:r>
      <w:r w:rsidR="00E25244">
        <w:tab/>
      </w:r>
      <w:r w:rsidR="00E81EF7" w:rsidRPr="0077511A">
        <w:t>)</w:t>
      </w:r>
    </w:p>
    <w:p w14:paraId="061D4926"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r w:rsidRPr="0077511A">
        <w:t>)</w:t>
      </w:r>
    </w:p>
    <w:p w14:paraId="2C8BF8D1" w14:textId="77777777" w:rsidR="00E81EF7" w:rsidRPr="0077511A" w:rsidRDefault="00E81EF7" w:rsidP="00E81EF7"/>
    <w:p w14:paraId="10D544BE" w14:textId="77777777" w:rsidR="00E81EF7" w:rsidRPr="0077511A" w:rsidRDefault="00E81EF7" w:rsidP="00E81EF7">
      <w:pPr>
        <w:jc w:val="center"/>
      </w:pPr>
      <w:r w:rsidRPr="0077511A">
        <w:rPr>
          <w:b/>
          <w:u w:val="single"/>
        </w:rPr>
        <w:t>CONSENT ORDER</w:t>
      </w:r>
    </w:p>
    <w:p w14:paraId="60BAE631" w14:textId="77777777" w:rsidR="00E81EF7" w:rsidRPr="0077511A" w:rsidRDefault="00E81EF7" w:rsidP="00E81EF7"/>
    <w:p w14:paraId="7D1DD657" w14:textId="77777777" w:rsidR="00D8787D" w:rsidRPr="0077511A" w:rsidRDefault="00E81EF7" w:rsidP="00E81EF7">
      <w:pPr>
        <w:spacing w:line="480" w:lineRule="auto"/>
      </w:pPr>
      <w:r w:rsidRPr="0077511A">
        <w:tab/>
        <w:t xml:space="preserve">Pursuant to G.L. c. 30A, § 10, </w:t>
      </w:r>
      <w:r w:rsidR="00BD500C">
        <w:t>Saurabh Saxena</w:t>
      </w:r>
      <w:r w:rsidR="001D33FF">
        <w:t>, M.D.</w:t>
      </w:r>
      <w:r w:rsidRPr="0077511A">
        <w:t xml:space="preserve"> (Respondent) and the Board of Registration in Medicine (Board) (hereinafter referred to jointly a</w:t>
      </w:r>
      <w:r w:rsidR="00554A73">
        <w:t xml:space="preserve">s the "Parties") agree the </w:t>
      </w:r>
      <w:r w:rsidRPr="0077511A">
        <w:t xml:space="preserve">Board may issue this Consent Order to resolve the above-captioned adjudicatory proceeding. </w:t>
      </w:r>
      <w:r w:rsidR="00554A73">
        <w:t xml:space="preserve"> The Parties further agree </w:t>
      </w:r>
      <w:r w:rsidRPr="0077511A">
        <w:t xml:space="preserve">this Consent Order will have all the force and effect of a Final Decision within the meaning of 801 CMR 1.01(11)(d).  The Respondent admits to the findings of fact </w:t>
      </w:r>
      <w:r w:rsidR="00554A73">
        <w:t xml:space="preserve">specified below and agrees </w:t>
      </w:r>
      <w:r w:rsidRPr="0077511A">
        <w:t xml:space="preserve">the Board may make the conclusions of law and impose the sanction set forth below in resolution of investigative Docket No. </w:t>
      </w:r>
      <w:r w:rsidR="00123729">
        <w:t>2</w:t>
      </w:r>
      <w:r w:rsidR="00BD500C">
        <w:t>1</w:t>
      </w:r>
      <w:r w:rsidR="00771A79">
        <w:t>-1</w:t>
      </w:r>
      <w:r w:rsidR="00BD500C">
        <w:t>70</w:t>
      </w:r>
      <w:r w:rsidR="0039140A">
        <w:t>.</w:t>
      </w:r>
    </w:p>
    <w:p w14:paraId="7CB4C110" w14:textId="77777777" w:rsidR="00AF4318" w:rsidRPr="00982D78" w:rsidRDefault="00E81EF7" w:rsidP="00982D78">
      <w:pPr>
        <w:spacing w:line="480" w:lineRule="auto"/>
        <w:jc w:val="center"/>
        <w:rPr>
          <w:u w:val="single"/>
        </w:rPr>
      </w:pPr>
      <w:r w:rsidRPr="0077511A">
        <w:rPr>
          <w:u w:val="single"/>
        </w:rPr>
        <w:t>Findings of Fact</w:t>
      </w:r>
    </w:p>
    <w:p w14:paraId="3D5F6D96" w14:textId="77777777" w:rsidR="00940AA3" w:rsidRDefault="00D17545" w:rsidP="00982D78">
      <w:pPr>
        <w:numPr>
          <w:ilvl w:val="0"/>
          <w:numId w:val="1"/>
        </w:numPr>
        <w:tabs>
          <w:tab w:val="clear" w:pos="2790"/>
          <w:tab w:val="num" w:pos="720"/>
        </w:tabs>
        <w:spacing w:line="480" w:lineRule="auto"/>
        <w:ind w:left="0"/>
      </w:pPr>
      <w:r>
        <w:t>The Respondent</w:t>
      </w:r>
      <w:r w:rsidRPr="00D17545">
        <w:t xml:space="preserve"> </w:t>
      </w:r>
      <w:r w:rsidR="00BD500C" w:rsidRPr="00BD500C">
        <w:t>graduated from the Texas A&amp;M University College of Medicine on December 21, 2013</w:t>
      </w:r>
      <w:r w:rsidR="00BD500C">
        <w:t xml:space="preserve"> and </w:t>
      </w:r>
      <w:r w:rsidR="00BD500C" w:rsidRPr="00BD500C">
        <w:t xml:space="preserve">completed post graduate training in general surgery at Virginia Commonwealth University Department of Surgery and Stanford General Surgery Residency Program from July 2014 to June 2016.  From July 2016 to June 2018 </w:t>
      </w:r>
      <w:r w:rsidR="00BD500C">
        <w:t>the Respondent</w:t>
      </w:r>
      <w:r w:rsidR="00BD500C" w:rsidRPr="00BD500C">
        <w:t xml:space="preserve"> was a research fellow in pediatric surgery at the Cardinal Glennon Children’s Hospital in St. Louis, Missouri</w:t>
      </w:r>
      <w:r w:rsidR="00940AA3">
        <w:t>.</w:t>
      </w:r>
    </w:p>
    <w:p w14:paraId="10FBE731" w14:textId="77777777" w:rsidR="00BD500C" w:rsidRDefault="00940AA3" w:rsidP="00982D78">
      <w:pPr>
        <w:numPr>
          <w:ilvl w:val="0"/>
          <w:numId w:val="1"/>
        </w:numPr>
        <w:tabs>
          <w:tab w:val="clear" w:pos="2790"/>
          <w:tab w:val="num" w:pos="720"/>
        </w:tabs>
        <w:spacing w:line="480" w:lineRule="auto"/>
        <w:ind w:left="0"/>
      </w:pPr>
      <w:r>
        <w:t xml:space="preserve">From </w:t>
      </w:r>
      <w:r w:rsidR="00BD500C">
        <w:t xml:space="preserve">June 2018 through December 2020 </w:t>
      </w:r>
      <w:r>
        <w:t>the Respondent</w:t>
      </w:r>
      <w:r w:rsidR="00BD500C">
        <w:t xml:space="preserve"> was a cardiothoracic surgery fellow at Brigham and Women’s Hospital in Boston.</w:t>
      </w:r>
      <w:r>
        <w:t xml:space="preserve">  The Respondent held an initial limited license to practice medicine in Massachusetts under registration number 277352 from </w:t>
      </w:r>
      <w:r>
        <w:lastRenderedPageBreak/>
        <w:t xml:space="preserve">August 21, 2018 through August 31, 2020.  His limited license was renewed until his fellowship extension concluded on December 31, 2020.  </w:t>
      </w:r>
    </w:p>
    <w:p w14:paraId="2AE0F228" w14:textId="77777777" w:rsidR="00C16D61" w:rsidRDefault="00C16D61" w:rsidP="00982D78">
      <w:pPr>
        <w:numPr>
          <w:ilvl w:val="0"/>
          <w:numId w:val="1"/>
        </w:numPr>
        <w:tabs>
          <w:tab w:val="clear" w:pos="2790"/>
          <w:tab w:val="num" w:pos="720"/>
        </w:tabs>
        <w:spacing w:line="480" w:lineRule="auto"/>
        <w:ind w:left="0"/>
      </w:pPr>
      <w:r>
        <w:t>On December 1, 2020 the Respondent suffered a grand mal seizure while he was at work seeing a patient.  He was immediately seen by a neurologist who prescribed Keppra, an antiseizure medication</w:t>
      </w:r>
      <w:r w:rsidR="00594385">
        <w:t>, and advised the Respondent to stay home for a few days.</w:t>
      </w:r>
    </w:p>
    <w:p w14:paraId="12B6BA95" w14:textId="77777777" w:rsidR="00594385" w:rsidRDefault="00594385" w:rsidP="00982D78">
      <w:pPr>
        <w:numPr>
          <w:ilvl w:val="0"/>
          <w:numId w:val="1"/>
        </w:numPr>
        <w:tabs>
          <w:tab w:val="clear" w:pos="2790"/>
          <w:tab w:val="num" w:pos="720"/>
        </w:tabs>
        <w:spacing w:line="480" w:lineRule="auto"/>
        <w:ind w:left="0"/>
      </w:pPr>
      <w:r>
        <w:t>On December 4, 2020 the Respondent returned to work the day shift from 6:00 am to 6:00 pm.</w:t>
      </w:r>
    </w:p>
    <w:p w14:paraId="072095A3" w14:textId="77777777" w:rsidR="00594385" w:rsidRDefault="00594385" w:rsidP="00982D78">
      <w:pPr>
        <w:numPr>
          <w:ilvl w:val="0"/>
          <w:numId w:val="1"/>
        </w:numPr>
        <w:tabs>
          <w:tab w:val="clear" w:pos="2790"/>
          <w:tab w:val="num" w:pos="720"/>
        </w:tabs>
        <w:spacing w:line="480" w:lineRule="auto"/>
        <w:ind w:left="0"/>
      </w:pPr>
      <w:r>
        <w:t xml:space="preserve">On the night of December 4, 2020 and in the early morning hours of December 5, 2020 the Respondent consumed multiple alcoholic beverages before he was scheduled to appear at 6:00 pm December 5, 2020 for a heavier shift including visiting intensive care unit and other patients. </w:t>
      </w:r>
    </w:p>
    <w:p w14:paraId="081947D7" w14:textId="77777777" w:rsidR="00BB0B04" w:rsidRDefault="00BB0B04" w:rsidP="00982D78">
      <w:pPr>
        <w:numPr>
          <w:ilvl w:val="0"/>
          <w:numId w:val="1"/>
        </w:numPr>
        <w:tabs>
          <w:tab w:val="clear" w:pos="2790"/>
          <w:tab w:val="num" w:pos="720"/>
        </w:tabs>
        <w:spacing w:line="480" w:lineRule="auto"/>
        <w:ind w:left="0"/>
      </w:pPr>
      <w:r>
        <w:t xml:space="preserve">Based on </w:t>
      </w:r>
      <w:r w:rsidR="00B44D37">
        <w:t>the Respondent</w:t>
      </w:r>
      <w:r>
        <w:t xml:space="preserve">’s </w:t>
      </w:r>
      <w:r w:rsidR="000109E8">
        <w:t xml:space="preserve">physical and mental </w:t>
      </w:r>
      <w:r>
        <w:t xml:space="preserve">presentation </w:t>
      </w:r>
      <w:r w:rsidR="004C458C">
        <w:t xml:space="preserve">and self-report of not feeling well </w:t>
      </w:r>
      <w:r>
        <w:t>when he</w:t>
      </w:r>
      <w:r w:rsidR="00B44D37">
        <w:t xml:space="preserve"> arrived for his shift at 6:00 pm on December 5, 2020</w:t>
      </w:r>
      <w:r>
        <w:t>,</w:t>
      </w:r>
      <w:r w:rsidR="00B44D37">
        <w:t xml:space="preserve"> he was diverted to the emergency room</w:t>
      </w:r>
      <w:r>
        <w:t xml:space="preserve"> for evaluation. </w:t>
      </w:r>
    </w:p>
    <w:p w14:paraId="4CE5AA5E" w14:textId="77777777" w:rsidR="00BB0B04" w:rsidRDefault="00BB0B04" w:rsidP="00982D78">
      <w:pPr>
        <w:numPr>
          <w:ilvl w:val="0"/>
          <w:numId w:val="1"/>
        </w:numPr>
        <w:tabs>
          <w:tab w:val="clear" w:pos="2790"/>
          <w:tab w:val="num" w:pos="720"/>
        </w:tabs>
        <w:spacing w:line="480" w:lineRule="auto"/>
        <w:ind w:left="0"/>
      </w:pPr>
      <w:r>
        <w:t>After his emergency room visit, hospital leadership advised the Respondent to engage with Physician Health Services and comply with any recommendations.</w:t>
      </w:r>
    </w:p>
    <w:p w14:paraId="21C5B8E2" w14:textId="77777777" w:rsidR="00BB0B04" w:rsidRDefault="00BB0B04" w:rsidP="00982D78">
      <w:pPr>
        <w:numPr>
          <w:ilvl w:val="0"/>
          <w:numId w:val="1"/>
        </w:numPr>
        <w:tabs>
          <w:tab w:val="clear" w:pos="2790"/>
          <w:tab w:val="num" w:pos="720"/>
        </w:tabs>
        <w:spacing w:line="480" w:lineRule="auto"/>
        <w:ind w:left="0"/>
      </w:pPr>
      <w:r>
        <w:t>Physician Health Services recommended Dr. Saxena undergo impatient treatment for alcohol misuse and enroll in a Physician Health Services substance use disorder monitoring contract.</w:t>
      </w:r>
    </w:p>
    <w:p w14:paraId="39527CAF" w14:textId="77777777" w:rsidR="00B44D37" w:rsidRDefault="00BB0B04" w:rsidP="00982D78">
      <w:pPr>
        <w:numPr>
          <w:ilvl w:val="0"/>
          <w:numId w:val="1"/>
        </w:numPr>
        <w:tabs>
          <w:tab w:val="clear" w:pos="2790"/>
          <w:tab w:val="num" w:pos="720"/>
        </w:tabs>
        <w:spacing w:line="480" w:lineRule="auto"/>
        <w:ind w:left="0"/>
      </w:pPr>
      <w:r>
        <w:t xml:space="preserve">The Respondent completed inpatient substance misuse treatment and </w:t>
      </w:r>
      <w:r w:rsidR="000109E8">
        <w:t xml:space="preserve">recommended after care, including </w:t>
      </w:r>
      <w:r>
        <w:t>enroll</w:t>
      </w:r>
      <w:r w:rsidR="000109E8">
        <w:t xml:space="preserve">ing </w:t>
      </w:r>
      <w:r>
        <w:t xml:space="preserve">in a </w:t>
      </w:r>
      <w:r w:rsidR="004C458C">
        <w:t>Recovery M</w:t>
      </w:r>
      <w:r>
        <w:t xml:space="preserve">onitoring </w:t>
      </w:r>
      <w:r w:rsidR="004C458C">
        <w:t>Agreement</w:t>
      </w:r>
      <w:r>
        <w:t xml:space="preserve"> with the North Carolina </w:t>
      </w:r>
      <w:r w:rsidR="000109E8">
        <w:t>P</w:t>
      </w:r>
      <w:r w:rsidR="004C458C">
        <w:t>rofessionals</w:t>
      </w:r>
      <w:r w:rsidR="000109E8">
        <w:t xml:space="preserve"> Health Program for his alcohol use disorder</w:t>
      </w:r>
      <w:r w:rsidR="004C458C">
        <w:t xml:space="preserve"> diagnosis</w:t>
      </w:r>
      <w:r w:rsidR="000109E8">
        <w:t>.</w:t>
      </w:r>
    </w:p>
    <w:p w14:paraId="2C862376" w14:textId="77777777" w:rsidR="000109E8" w:rsidRDefault="000109E8" w:rsidP="00982D78">
      <w:pPr>
        <w:numPr>
          <w:ilvl w:val="0"/>
          <w:numId w:val="1"/>
        </w:numPr>
        <w:tabs>
          <w:tab w:val="clear" w:pos="2790"/>
          <w:tab w:val="num" w:pos="720"/>
        </w:tabs>
        <w:spacing w:line="480" w:lineRule="auto"/>
        <w:ind w:left="0"/>
      </w:pPr>
      <w:r>
        <w:t>The Respondent’s North Carolina P</w:t>
      </w:r>
      <w:r w:rsidR="004C458C">
        <w:t>rofessionals</w:t>
      </w:r>
      <w:r>
        <w:t xml:space="preserve"> Health Program </w:t>
      </w:r>
      <w:r w:rsidR="004C458C">
        <w:t>Recovery Monitoring Agreement began on August 9, 2021 and will run through March 14, 2027.</w:t>
      </w:r>
    </w:p>
    <w:p w14:paraId="310B3033" w14:textId="77777777" w:rsidR="00E81EF7" w:rsidRPr="003D145A" w:rsidRDefault="00E81EF7" w:rsidP="00E25244">
      <w:pPr>
        <w:pStyle w:val="NoSpacing"/>
        <w:spacing w:line="480" w:lineRule="auto"/>
        <w:jc w:val="center"/>
        <w:rPr>
          <w:rFonts w:ascii="Times New Roman" w:hAnsi="Times New Roman"/>
          <w:sz w:val="24"/>
          <w:szCs w:val="24"/>
          <w:u w:val="single"/>
        </w:rPr>
      </w:pPr>
      <w:r w:rsidRPr="003D145A">
        <w:rPr>
          <w:rFonts w:ascii="Times New Roman" w:hAnsi="Times New Roman"/>
          <w:sz w:val="24"/>
          <w:szCs w:val="24"/>
          <w:u w:val="single"/>
        </w:rPr>
        <w:lastRenderedPageBreak/>
        <w:t>Conclusion</w:t>
      </w:r>
      <w:r w:rsidR="003D145A">
        <w:rPr>
          <w:rFonts w:ascii="Times New Roman" w:hAnsi="Times New Roman"/>
          <w:sz w:val="24"/>
          <w:szCs w:val="24"/>
          <w:u w:val="single"/>
        </w:rPr>
        <w:t>s</w:t>
      </w:r>
      <w:r w:rsidRPr="003D145A">
        <w:rPr>
          <w:rFonts w:ascii="Times New Roman" w:hAnsi="Times New Roman"/>
          <w:sz w:val="24"/>
          <w:szCs w:val="24"/>
          <w:u w:val="single"/>
        </w:rPr>
        <w:t xml:space="preserve"> of Law</w:t>
      </w:r>
    </w:p>
    <w:p w14:paraId="1544CF33" w14:textId="77777777" w:rsidR="00CF4D16" w:rsidRDefault="00AD0665" w:rsidP="00CF4D16">
      <w:pPr>
        <w:numPr>
          <w:ilvl w:val="0"/>
          <w:numId w:val="3"/>
        </w:numPr>
        <w:spacing w:line="480" w:lineRule="auto"/>
        <w:ind w:left="-90" w:firstLine="810"/>
      </w:pPr>
      <w:r>
        <w:t xml:space="preserve">The Respondent </w:t>
      </w:r>
      <w:r w:rsidR="00FF6611" w:rsidRPr="00454012">
        <w:t>engaged in conduct that undermines the public confidence in the</w:t>
      </w:r>
      <w:r w:rsidR="00363DBC">
        <w:t xml:space="preserve"> </w:t>
      </w:r>
      <w:r w:rsidR="00FF6611" w:rsidRPr="00454012">
        <w:t xml:space="preserve">integrity of the medical profession.  </w:t>
      </w:r>
      <w:r w:rsidR="00FF6611" w:rsidRPr="00EA6270">
        <w:rPr>
          <w:i/>
        </w:rPr>
        <w:t xml:space="preserve">See </w:t>
      </w:r>
      <w:r w:rsidR="009A13D0" w:rsidRPr="00BC4347">
        <w:rPr>
          <w:u w:val="single"/>
        </w:rPr>
        <w:t>Raymond v. Board of Registration in Medicine</w:t>
      </w:r>
      <w:r w:rsidR="009A13D0" w:rsidRPr="00454012">
        <w:t>, 387 Mass. 708 (1982)</w:t>
      </w:r>
      <w:r w:rsidR="009A13D0">
        <w:t xml:space="preserve">; </w:t>
      </w:r>
      <w:r w:rsidR="00FF6611" w:rsidRPr="00BC4347">
        <w:rPr>
          <w:u w:val="single"/>
        </w:rPr>
        <w:t>Levy v. Board of Registration in Medicine</w:t>
      </w:r>
      <w:r w:rsidR="00FF6611" w:rsidRPr="00454012">
        <w:t>, 378 Mass. 519 (1979)</w:t>
      </w:r>
    </w:p>
    <w:p w14:paraId="0BCD93A0" w14:textId="77777777" w:rsidR="00E81EF7" w:rsidRPr="00010D08" w:rsidRDefault="00E81EF7" w:rsidP="00982D78">
      <w:pPr>
        <w:spacing w:line="480" w:lineRule="auto"/>
        <w:jc w:val="center"/>
        <w:rPr>
          <w:u w:val="single"/>
        </w:rPr>
      </w:pPr>
      <w:bookmarkStart w:id="0" w:name="_Hlk108176659"/>
      <w:r w:rsidRPr="00010D08">
        <w:rPr>
          <w:u w:val="single"/>
        </w:rPr>
        <w:t>Sanction and Order</w:t>
      </w:r>
    </w:p>
    <w:p w14:paraId="68A50829" w14:textId="77777777" w:rsidR="00EF7C09" w:rsidRPr="00E25244" w:rsidRDefault="00E81EF7" w:rsidP="007F4988">
      <w:pPr>
        <w:spacing w:line="480" w:lineRule="auto"/>
        <w:ind w:firstLine="720"/>
      </w:pPr>
      <w:r w:rsidRPr="0077511A">
        <w:t>The Respondent</w:t>
      </w:r>
      <w:r w:rsidR="00D1413E" w:rsidRPr="0077511A">
        <w:t xml:space="preserve">’s </w:t>
      </w:r>
      <w:r w:rsidR="009864B2">
        <w:t xml:space="preserve">limited </w:t>
      </w:r>
      <w:r w:rsidR="00D1413E" w:rsidRPr="0077511A">
        <w:t>license</w:t>
      </w:r>
      <w:r w:rsidRPr="0077511A">
        <w:t xml:space="preserve"> </w:t>
      </w:r>
      <w:r w:rsidR="00D1413E" w:rsidRPr="0077511A">
        <w:t xml:space="preserve">is hereby </w:t>
      </w:r>
      <w:r w:rsidR="007F4988">
        <w:t>Admonished</w:t>
      </w:r>
      <w:r w:rsidR="009864B2">
        <w:t xml:space="preserve"> retroactive to December 4, 2020.</w:t>
      </w:r>
      <w:r w:rsidR="00F43B11" w:rsidRPr="0077511A">
        <w:t xml:space="preserve">  </w:t>
      </w:r>
    </w:p>
    <w:bookmarkEnd w:id="0"/>
    <w:p w14:paraId="1E36FF16" w14:textId="77777777" w:rsidR="00E81EF7" w:rsidRPr="0077511A" w:rsidRDefault="00E81EF7" w:rsidP="00AD0665">
      <w:pPr>
        <w:spacing w:line="480" w:lineRule="auto"/>
        <w:jc w:val="center"/>
      </w:pPr>
      <w:r w:rsidRPr="0077511A">
        <w:rPr>
          <w:u w:val="single"/>
        </w:rPr>
        <w:t>Execution of this Consent Order</w:t>
      </w:r>
    </w:p>
    <w:p w14:paraId="3EE4C1F0" w14:textId="77777777" w:rsidR="006F2B3F" w:rsidRDefault="006577F5" w:rsidP="006F2B3F">
      <w:pPr>
        <w:spacing w:line="480" w:lineRule="auto"/>
        <w:rPr>
          <w:bCs/>
          <w:color w:val="000000"/>
        </w:rPr>
      </w:pPr>
      <w:r w:rsidRPr="0077511A">
        <w:rPr>
          <w:b/>
          <w:bCs/>
        </w:rPr>
        <w:tab/>
      </w:r>
      <w:r w:rsidR="006F2B3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68F0F0F2" w14:textId="77777777" w:rsidR="006F2B3F" w:rsidRDefault="006F2B3F" w:rsidP="006F2B3F">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7E586F2B" w14:textId="77777777" w:rsidR="006F2B3F" w:rsidRPr="00CD4C5C" w:rsidRDefault="006F2B3F" w:rsidP="006F2B3F">
      <w:pPr>
        <w:spacing w:line="480" w:lineRule="auto"/>
        <w:rPr>
          <w:bCs/>
          <w:color w:val="000000"/>
        </w:rPr>
      </w:pPr>
      <w:r>
        <w:rPr>
          <w:bCs/>
          <w:color w:val="000000"/>
        </w:rPr>
        <w:tab/>
        <w:t xml:space="preserve">The Respondent waives any right of appeal that he may have resulting from the Board’s acceptance of this Consent Order.   </w:t>
      </w:r>
    </w:p>
    <w:p w14:paraId="21ADBD1C" w14:textId="77777777" w:rsidR="006577F5" w:rsidRDefault="006577F5" w:rsidP="00ED5ED5">
      <w:pPr>
        <w:spacing w:line="480" w:lineRule="auto"/>
        <w:ind w:firstLine="720"/>
      </w:pPr>
      <w:r w:rsidRPr="00CA377C">
        <w:t>The Respondent shall provide a complete copy of this Consent Order</w:t>
      </w:r>
      <w:r w:rsidRPr="00CA377C">
        <w:rPr>
          <w:b/>
        </w:rPr>
        <w:t xml:space="preserve"> </w:t>
      </w:r>
      <w:r w:rsidRPr="00CA377C">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CA377C">
        <w:t>the Respondent</w:t>
      </w:r>
      <w:r w:rsidRPr="00CA377C">
        <w:t xml:space="preserve"> practices medicine; any in- or out-of-state health maintenance organization with whom </w:t>
      </w:r>
      <w:r w:rsidR="00D97AD1" w:rsidRPr="00CA377C">
        <w:t xml:space="preserve">the </w:t>
      </w:r>
      <w:r w:rsidR="00D97AD1" w:rsidRPr="00CA377C">
        <w:lastRenderedPageBreak/>
        <w:t>Respondent</w:t>
      </w:r>
      <w:r w:rsidRPr="00CA377C">
        <w:t xml:space="preserve"> has privileges or any other kind of association; any state agency, in- or out-of-state, with which </w:t>
      </w:r>
      <w:r w:rsidR="00D97AD1" w:rsidRPr="00CA377C">
        <w:t>the Respondent</w:t>
      </w:r>
      <w:r w:rsidRPr="00CA377C">
        <w:t xml:space="preserve"> has a provider contract; any in- or out-of-state medical employer, whether or not </w:t>
      </w:r>
      <w:r w:rsidR="00D97AD1" w:rsidRPr="00CA377C">
        <w:t>the Respondent</w:t>
      </w:r>
      <w:r w:rsidRPr="00CA377C">
        <w:t xml:space="preserve"> practices medicine there; the state licensing boards of all states in which </w:t>
      </w:r>
      <w:r w:rsidR="00D97AD1" w:rsidRPr="00CA377C">
        <w:t>the Respondent</w:t>
      </w:r>
      <w:r w:rsidRPr="00CA377C">
        <w:t xml:space="preserve"> has any kind of license to practice medicine; the Drug Enforcement Administration Boston Diversion Group; and the Massachusetts Department of Public Health Drug Control Program.  </w:t>
      </w:r>
      <w:r w:rsidR="000F1FD5" w:rsidRPr="00CA377C">
        <w:t xml:space="preserve">The Respondent shall also provide this notification to any such designated entities with which </w:t>
      </w:r>
      <w:r w:rsidR="00D97AD1" w:rsidRPr="00CA377C">
        <w:t>the Respondent</w:t>
      </w:r>
      <w:r w:rsidR="0030169D">
        <w:t xml:space="preserve"> becomes associated during the year following the imposition of the Admonishment.</w:t>
      </w:r>
      <w:r w:rsidR="000F1FD5" w:rsidRPr="00CA377C">
        <w:t xml:space="preserve">  </w:t>
      </w:r>
      <w:r w:rsidRPr="00CA377C">
        <w:t xml:space="preserve">The Respondent is further directed to certify to the Board within ten (10) days that </w:t>
      </w:r>
      <w:r w:rsidR="009810AC" w:rsidRPr="00CA377C">
        <w:t>he</w:t>
      </w:r>
      <w:r w:rsidRPr="00CA377C">
        <w:t xml:space="preserve"> has complied with this directive.</w:t>
      </w:r>
    </w:p>
    <w:p w14:paraId="213C91A6" w14:textId="77777777" w:rsidR="00E50C77" w:rsidRDefault="006577F5" w:rsidP="00C61EB6">
      <w:pPr>
        <w:spacing w:line="480" w:lineRule="auto"/>
      </w:pPr>
      <w:r w:rsidRPr="0077511A">
        <w:rPr>
          <w:b/>
          <w:bCs/>
        </w:rPr>
        <w:tab/>
      </w:r>
      <w:r w:rsidRPr="0077511A">
        <w:t xml:space="preserve">The Board expressly reserves the authority to independently notify, at any time, any of </w:t>
      </w:r>
    </w:p>
    <w:p w14:paraId="2BAC42CE" w14:textId="77777777" w:rsidR="006577F5" w:rsidRDefault="006577F5" w:rsidP="00C61EB6">
      <w:pPr>
        <w:spacing w:line="480" w:lineRule="auto"/>
      </w:pPr>
      <w:r w:rsidRPr="0077511A">
        <w:t>the entities designated above, or any other affected entity, of any action it has taken.</w:t>
      </w:r>
    </w:p>
    <w:p w14:paraId="0A8BA6D7" w14:textId="77777777" w:rsidR="00010D08" w:rsidRDefault="00010D08" w:rsidP="00E81EF7"/>
    <w:p w14:paraId="2A8C3CF4" w14:textId="77777777" w:rsidR="007F4988" w:rsidRPr="0077511A" w:rsidRDefault="007F4988" w:rsidP="00E81EF7"/>
    <w:p w14:paraId="610B34FB" w14:textId="35DBAC8E" w:rsidR="00E81EF7" w:rsidRPr="0077511A" w:rsidRDefault="00CC0B19" w:rsidP="00E81EF7">
      <w:r>
        <w:rPr>
          <w:u w:val="single"/>
        </w:rPr>
        <w:t>Signed by Saurabh Saxena, M.D.</w:t>
      </w:r>
      <w:r>
        <w:rPr>
          <w:u w:val="single"/>
        </w:rPr>
        <w:tab/>
      </w:r>
      <w:r>
        <w:rPr>
          <w:u w:val="single"/>
        </w:rPr>
        <w:tab/>
      </w:r>
      <w:r w:rsidR="00E81EF7" w:rsidRPr="0077511A">
        <w:tab/>
      </w:r>
      <w:r>
        <w:rPr>
          <w:u w:val="single"/>
        </w:rPr>
        <w:t>09/01/2022</w:t>
      </w:r>
      <w:r>
        <w:rPr>
          <w:u w:val="single"/>
        </w:rPr>
        <w:tab/>
      </w:r>
      <w:r>
        <w:rPr>
          <w:u w:val="single"/>
        </w:rPr>
        <w:tab/>
      </w:r>
    </w:p>
    <w:p w14:paraId="05FC60F2" w14:textId="77777777" w:rsidR="00E81EF7" w:rsidRPr="0077511A" w:rsidRDefault="004C458C" w:rsidP="00E81EF7">
      <w:r>
        <w:t>Saurabh Saxena</w:t>
      </w:r>
      <w:r w:rsidR="009A13D0">
        <w:t>, M.D.</w:t>
      </w:r>
      <w:r w:rsidR="00E25244">
        <w:tab/>
      </w:r>
      <w:r w:rsidR="00E81EF7" w:rsidRPr="0077511A">
        <w:tab/>
      </w:r>
      <w:r w:rsidR="00E81EF7" w:rsidRPr="0077511A">
        <w:tab/>
      </w:r>
      <w:r w:rsidR="00E81EF7" w:rsidRPr="0077511A">
        <w:tab/>
        <w:t>Date</w:t>
      </w:r>
    </w:p>
    <w:p w14:paraId="3E1FDCA3" w14:textId="77777777" w:rsidR="00E81EF7" w:rsidRDefault="00E81EF7" w:rsidP="00E81EF7">
      <w:r w:rsidRPr="0077511A">
        <w:t>Licensee</w:t>
      </w:r>
    </w:p>
    <w:p w14:paraId="67601FF2" w14:textId="77777777" w:rsidR="00C8127E" w:rsidRPr="0077511A" w:rsidRDefault="00C8127E" w:rsidP="00E81EF7"/>
    <w:p w14:paraId="6DB672BC" w14:textId="77777777" w:rsidR="00E81EF7" w:rsidRPr="0077511A" w:rsidRDefault="00E81EF7" w:rsidP="00E81EF7"/>
    <w:p w14:paraId="0B5C7EC0" w14:textId="313A41E5" w:rsidR="00E81EF7" w:rsidRPr="0077511A" w:rsidRDefault="00CC0B19" w:rsidP="00E81EF7">
      <w:r>
        <w:rPr>
          <w:u w:val="single"/>
        </w:rPr>
        <w:t>Signed by Julie Williams, Esq.</w:t>
      </w:r>
      <w:r>
        <w:rPr>
          <w:u w:val="single"/>
        </w:rPr>
        <w:tab/>
      </w:r>
      <w:r>
        <w:rPr>
          <w:u w:val="single"/>
        </w:rPr>
        <w:tab/>
      </w:r>
      <w:r w:rsidR="00E81EF7" w:rsidRPr="0077511A">
        <w:tab/>
      </w:r>
      <w:r>
        <w:rPr>
          <w:u w:val="single"/>
        </w:rPr>
        <w:t>9/20/2022</w:t>
      </w:r>
      <w:r>
        <w:rPr>
          <w:u w:val="single"/>
        </w:rPr>
        <w:tab/>
      </w:r>
      <w:r>
        <w:rPr>
          <w:u w:val="single"/>
        </w:rPr>
        <w:tab/>
      </w:r>
    </w:p>
    <w:p w14:paraId="76774751" w14:textId="3D4ED149" w:rsidR="00E81EF7" w:rsidRPr="0077511A" w:rsidRDefault="00CC0B19" w:rsidP="004C458C">
      <w:pPr>
        <w:ind w:left="1440"/>
      </w:pPr>
      <w:r>
        <w:t>Julie Williams</w:t>
      </w:r>
      <w:r w:rsidR="00DD0134">
        <w:t>, Esq.</w:t>
      </w:r>
      <w:r w:rsidR="007F4988">
        <w:tab/>
      </w:r>
      <w:r w:rsidR="00D1413E" w:rsidRPr="0077511A">
        <w:tab/>
      </w:r>
      <w:r w:rsidR="00D1413E" w:rsidRPr="0077511A">
        <w:tab/>
      </w:r>
      <w:r w:rsidR="00E81EF7" w:rsidRPr="0077511A">
        <w:t>Date</w:t>
      </w:r>
    </w:p>
    <w:p w14:paraId="58F7D7C6" w14:textId="77777777" w:rsidR="00E81EF7" w:rsidRPr="0077511A" w:rsidRDefault="00E81EF7" w:rsidP="00E81EF7">
      <w:r w:rsidRPr="0077511A">
        <w:t>Attorney for the Licensee</w:t>
      </w:r>
    </w:p>
    <w:p w14:paraId="371DAFC1" w14:textId="77777777" w:rsidR="00E81EF7" w:rsidRDefault="00E81EF7" w:rsidP="00E81EF7"/>
    <w:p w14:paraId="08EC5D60" w14:textId="77777777" w:rsidR="00C8127E" w:rsidRPr="0077511A" w:rsidRDefault="00C8127E" w:rsidP="00E81EF7"/>
    <w:p w14:paraId="6EC6F2AE" w14:textId="32D60D8E" w:rsidR="00E81EF7" w:rsidRPr="0077511A" w:rsidRDefault="00CC0B19" w:rsidP="00E81EF7">
      <w:r>
        <w:rPr>
          <w:u w:val="single"/>
        </w:rPr>
        <w:t>Signed by Patrick G. Fitzgerald, Esq.</w:t>
      </w:r>
      <w:r>
        <w:rPr>
          <w:u w:val="single"/>
        </w:rPr>
        <w:tab/>
      </w:r>
      <w:r>
        <w:rPr>
          <w:u w:val="single"/>
        </w:rPr>
        <w:tab/>
      </w:r>
      <w:r w:rsidR="00E81EF7" w:rsidRPr="0077511A">
        <w:tab/>
      </w:r>
      <w:r>
        <w:rPr>
          <w:u w:val="single"/>
        </w:rPr>
        <w:t>9/20/2022</w:t>
      </w:r>
      <w:r>
        <w:rPr>
          <w:u w:val="single"/>
        </w:rPr>
        <w:tab/>
      </w:r>
      <w:r>
        <w:rPr>
          <w:u w:val="single"/>
        </w:rPr>
        <w:tab/>
      </w:r>
    </w:p>
    <w:p w14:paraId="6158F000" w14:textId="77777777" w:rsidR="00E81EF7" w:rsidRPr="0077511A" w:rsidRDefault="001333E9" w:rsidP="00E81EF7">
      <w:r>
        <w:t>Patrick G. Fitzgerald</w:t>
      </w:r>
      <w:r w:rsidR="00D1413E" w:rsidRPr="0077511A">
        <w:tab/>
      </w:r>
      <w:r w:rsidR="00D1413E" w:rsidRPr="0077511A">
        <w:tab/>
      </w:r>
      <w:r w:rsidR="00D1413E" w:rsidRPr="0077511A">
        <w:tab/>
      </w:r>
      <w:r w:rsidR="00D1413E" w:rsidRPr="0077511A">
        <w:tab/>
      </w:r>
      <w:r w:rsidR="00D1413E" w:rsidRPr="0077511A">
        <w:tab/>
      </w:r>
      <w:r w:rsidR="00E81EF7" w:rsidRPr="0077511A">
        <w:t>Date</w:t>
      </w:r>
    </w:p>
    <w:p w14:paraId="2BFC1455" w14:textId="77777777" w:rsidR="003C31EB" w:rsidRDefault="00E81EF7" w:rsidP="00E81EF7">
      <w:r w:rsidRPr="0077511A">
        <w:t>Complaint Counsel</w:t>
      </w:r>
    </w:p>
    <w:p w14:paraId="00A4BCAD" w14:textId="77777777" w:rsidR="007F4988" w:rsidRDefault="007F4988" w:rsidP="00E81EF7"/>
    <w:p w14:paraId="4AE6EA60" w14:textId="77777777" w:rsidR="007F4988" w:rsidRDefault="007F4988" w:rsidP="00E81EF7"/>
    <w:p w14:paraId="17BA4131" w14:textId="77777777" w:rsidR="007F4988" w:rsidRPr="0077511A" w:rsidRDefault="007F4988" w:rsidP="00E81EF7"/>
    <w:p w14:paraId="5F63AB59" w14:textId="7D660A84" w:rsidR="00E81EF7" w:rsidRPr="0077511A" w:rsidRDefault="00E81EF7" w:rsidP="00E81EF7">
      <w:r w:rsidRPr="0077511A">
        <w:tab/>
        <w:t xml:space="preserve">So ORDERED by the Board of Registration in Medicine this  </w:t>
      </w:r>
      <w:r w:rsidR="00CC0B19">
        <w:t>3rd</w:t>
      </w:r>
      <w:r w:rsidR="00D1413E" w:rsidRPr="0077511A">
        <w:t xml:space="preserve"> day of </w:t>
      </w:r>
      <w:r w:rsidR="00CC0B19">
        <w:rPr>
          <w:u w:val="single"/>
        </w:rPr>
        <w:t xml:space="preserve"> November</w:t>
      </w:r>
      <w:r w:rsidR="00D1413E" w:rsidRPr="0077511A">
        <w:t>, 20</w:t>
      </w:r>
      <w:r w:rsidR="00CC0B19">
        <w:rPr>
          <w:u w:val="single"/>
        </w:rPr>
        <w:t>22</w:t>
      </w:r>
      <w:r w:rsidR="00D1413E" w:rsidRPr="0077511A">
        <w:t>_</w:t>
      </w:r>
      <w:r w:rsidRPr="0077511A">
        <w:t>.</w:t>
      </w:r>
    </w:p>
    <w:p w14:paraId="0DB1582A" w14:textId="77777777" w:rsidR="00E81EF7" w:rsidRDefault="00E81EF7" w:rsidP="00E81EF7"/>
    <w:p w14:paraId="67900D23" w14:textId="77777777" w:rsidR="00274778" w:rsidRPr="0077511A" w:rsidRDefault="00274778" w:rsidP="00E81EF7"/>
    <w:p w14:paraId="1C54D54E" w14:textId="7F912985" w:rsidR="00E81EF7" w:rsidRPr="0077511A" w:rsidRDefault="00E81EF7" w:rsidP="00E81EF7">
      <w:r w:rsidRPr="0077511A">
        <w:tab/>
      </w:r>
      <w:r w:rsidRPr="0077511A">
        <w:tab/>
      </w:r>
      <w:r w:rsidRPr="0077511A">
        <w:tab/>
      </w:r>
      <w:r w:rsidRPr="0077511A">
        <w:tab/>
      </w:r>
      <w:r w:rsidRPr="0077511A">
        <w:tab/>
      </w:r>
      <w:r w:rsidRPr="0077511A">
        <w:tab/>
      </w:r>
      <w:r w:rsidRPr="0077511A">
        <w:tab/>
      </w:r>
      <w:r w:rsidR="00CC0B19">
        <w:rPr>
          <w:u w:val="single"/>
        </w:rPr>
        <w:t>Signed by Julian N. Robinson, M.D.</w:t>
      </w:r>
    </w:p>
    <w:p w14:paraId="7D87BFCA" w14:textId="77777777" w:rsidR="00D23480" w:rsidRPr="0077511A" w:rsidRDefault="001333E9" w:rsidP="00E81EF7">
      <w:r>
        <w:tab/>
      </w:r>
      <w:r>
        <w:tab/>
      </w:r>
      <w:r>
        <w:tab/>
      </w:r>
      <w:r>
        <w:tab/>
      </w:r>
      <w:r>
        <w:tab/>
      </w:r>
      <w:r>
        <w:tab/>
      </w:r>
      <w:r>
        <w:tab/>
      </w:r>
      <w:r w:rsidR="00E3655E">
        <w:t>Julian N. Robinson</w:t>
      </w:r>
      <w:r w:rsidR="007131DB" w:rsidRPr="0077511A">
        <w:t>, M.D.</w:t>
      </w:r>
    </w:p>
    <w:p w14:paraId="5BD599E6" w14:textId="77777777" w:rsidR="007131DB" w:rsidRPr="0077511A" w:rsidRDefault="007131DB" w:rsidP="00E81EF7">
      <w:r w:rsidRPr="0077511A">
        <w:tab/>
      </w:r>
      <w:r w:rsidRPr="0077511A">
        <w:tab/>
      </w:r>
      <w:r w:rsidRPr="0077511A">
        <w:tab/>
      </w:r>
      <w:r w:rsidRPr="0077511A">
        <w:tab/>
      </w:r>
      <w:r w:rsidRPr="0077511A">
        <w:tab/>
      </w:r>
      <w:r w:rsidRPr="0077511A">
        <w:tab/>
      </w:r>
      <w:r w:rsidRPr="0077511A">
        <w:tab/>
        <w:t>Board Chair</w:t>
      </w:r>
    </w:p>
    <w:sectPr w:rsidR="007131DB" w:rsidRPr="0077511A" w:rsidSect="003C31EB">
      <w:footerReference w:type="default" r:id="rId8"/>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6ACC" w14:textId="77777777" w:rsidR="00C842E3" w:rsidRDefault="00C842E3" w:rsidP="00ED211F">
      <w:r>
        <w:separator/>
      </w:r>
    </w:p>
  </w:endnote>
  <w:endnote w:type="continuationSeparator" w:id="0">
    <w:p w14:paraId="3550DA87" w14:textId="77777777" w:rsidR="00C842E3" w:rsidRDefault="00C842E3"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7903" w14:textId="77777777" w:rsidR="00160B7E" w:rsidRPr="0077511A" w:rsidRDefault="00160B7E" w:rsidP="009A4740">
    <w:pPr>
      <w:pStyle w:val="Footer"/>
      <w:tabs>
        <w:tab w:val="clear" w:pos="8640"/>
        <w:tab w:val="right" w:pos="9120"/>
      </w:tabs>
      <w:rPr>
        <w:sz w:val="20"/>
        <w:szCs w:val="20"/>
      </w:rPr>
    </w:pPr>
    <w:r w:rsidRPr="0077511A">
      <w:rPr>
        <w:sz w:val="20"/>
        <w:szCs w:val="20"/>
      </w:rPr>
      <w:t>Consent Order –</w:t>
    </w:r>
    <w:r w:rsidR="00935090">
      <w:rPr>
        <w:sz w:val="20"/>
        <w:szCs w:val="20"/>
      </w:rPr>
      <w:t xml:space="preserve"> </w:t>
    </w:r>
    <w:r w:rsidR="00940AA3">
      <w:rPr>
        <w:sz w:val="20"/>
        <w:szCs w:val="20"/>
      </w:rPr>
      <w:t>Saurabh Saxena</w:t>
    </w:r>
    <w:r w:rsidR="00410C3C">
      <w:rPr>
        <w:sz w:val="20"/>
        <w:szCs w:val="20"/>
      </w:rPr>
      <w:t>,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ED5ED5">
      <w:rPr>
        <w:rStyle w:val="PageNumber"/>
        <w:noProof/>
        <w:sz w:val="20"/>
        <w:szCs w:val="20"/>
      </w:rPr>
      <w:t>1</w:t>
    </w:r>
    <w:r w:rsidRPr="0077511A">
      <w:rPr>
        <w:rStyle w:val="PageNumber"/>
        <w:sz w:val="20"/>
        <w:szCs w:val="20"/>
      </w:rPr>
      <w:fldChar w:fldCharType="end"/>
    </w:r>
    <w:r w:rsidRPr="0077511A">
      <w:rPr>
        <w:rStyle w:val="PageNumber"/>
        <w:sz w:val="20"/>
        <w:szCs w:val="20"/>
      </w:rPr>
      <w:t xml:space="preserve"> of </w:t>
    </w:r>
    <w:r w:rsidRPr="0077511A">
      <w:rPr>
        <w:rStyle w:val="PageNumber"/>
        <w:sz w:val="20"/>
        <w:szCs w:val="20"/>
      </w:rPr>
      <w:fldChar w:fldCharType="begin"/>
    </w:r>
    <w:r w:rsidRPr="0077511A">
      <w:rPr>
        <w:rStyle w:val="PageNumber"/>
        <w:sz w:val="20"/>
        <w:szCs w:val="20"/>
      </w:rPr>
      <w:instrText xml:space="preserve"> NUMPAGES </w:instrText>
    </w:r>
    <w:r w:rsidRPr="0077511A">
      <w:rPr>
        <w:rStyle w:val="PageNumber"/>
        <w:sz w:val="20"/>
        <w:szCs w:val="20"/>
      </w:rPr>
      <w:fldChar w:fldCharType="separate"/>
    </w:r>
    <w:r w:rsidR="00ED5ED5">
      <w:rPr>
        <w:rStyle w:val="PageNumber"/>
        <w:noProof/>
        <w:sz w:val="20"/>
        <w:szCs w:val="20"/>
      </w:rPr>
      <w:t>4</w:t>
    </w:r>
    <w:r w:rsidRPr="0077511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804E" w14:textId="77777777" w:rsidR="00C842E3" w:rsidRDefault="00C842E3" w:rsidP="00ED211F">
      <w:r>
        <w:separator/>
      </w:r>
    </w:p>
  </w:footnote>
  <w:footnote w:type="continuationSeparator" w:id="0">
    <w:p w14:paraId="54B5D0A7" w14:textId="77777777" w:rsidR="00C842E3" w:rsidRDefault="00C842E3"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17DB"/>
    <w:multiLevelType w:val="hybridMultilevel"/>
    <w:tmpl w:val="F3A0DB16"/>
    <w:lvl w:ilvl="0" w:tplc="804C4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E676B5"/>
    <w:multiLevelType w:val="hybridMultilevel"/>
    <w:tmpl w:val="201659CC"/>
    <w:lvl w:ilvl="0" w:tplc="C4FC91D4">
      <w:start w:val="1"/>
      <w:numFmt w:val="decimal"/>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B04CCD"/>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9405184">
    <w:abstractNumId w:val="5"/>
  </w:num>
  <w:num w:numId="2" w16cid:durableId="1744568802">
    <w:abstractNumId w:val="3"/>
  </w:num>
  <w:num w:numId="3" w16cid:durableId="1938557423">
    <w:abstractNumId w:val="2"/>
  </w:num>
  <w:num w:numId="4" w16cid:durableId="1365324931">
    <w:abstractNumId w:val="1"/>
  </w:num>
  <w:num w:numId="5" w16cid:durableId="1043796762">
    <w:abstractNumId w:val="4"/>
  </w:num>
  <w:num w:numId="6" w16cid:durableId="190337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68D9"/>
    <w:rsid w:val="000109E8"/>
    <w:rsid w:val="00010D08"/>
    <w:rsid w:val="00014AF6"/>
    <w:rsid w:val="00023016"/>
    <w:rsid w:val="00023620"/>
    <w:rsid w:val="0003155F"/>
    <w:rsid w:val="00033C0C"/>
    <w:rsid w:val="00047DDA"/>
    <w:rsid w:val="000757B0"/>
    <w:rsid w:val="00076719"/>
    <w:rsid w:val="000778E8"/>
    <w:rsid w:val="000815FF"/>
    <w:rsid w:val="00093E11"/>
    <w:rsid w:val="000A0E63"/>
    <w:rsid w:val="000A10C2"/>
    <w:rsid w:val="000A7C4F"/>
    <w:rsid w:val="000B1E17"/>
    <w:rsid w:val="000B6320"/>
    <w:rsid w:val="000B7B87"/>
    <w:rsid w:val="000D31A9"/>
    <w:rsid w:val="000E313D"/>
    <w:rsid w:val="000E3275"/>
    <w:rsid w:val="000E32FA"/>
    <w:rsid w:val="000E3A3F"/>
    <w:rsid w:val="000E473C"/>
    <w:rsid w:val="000F070F"/>
    <w:rsid w:val="000F0C70"/>
    <w:rsid w:val="000F1FD5"/>
    <w:rsid w:val="000F4ADD"/>
    <w:rsid w:val="000F4BA0"/>
    <w:rsid w:val="000F5238"/>
    <w:rsid w:val="000F6BB3"/>
    <w:rsid w:val="000F7B95"/>
    <w:rsid w:val="00100E67"/>
    <w:rsid w:val="00114FFA"/>
    <w:rsid w:val="00115839"/>
    <w:rsid w:val="00123729"/>
    <w:rsid w:val="001333E9"/>
    <w:rsid w:val="00137BFD"/>
    <w:rsid w:val="00143047"/>
    <w:rsid w:val="001448F5"/>
    <w:rsid w:val="00145FB1"/>
    <w:rsid w:val="00160A8D"/>
    <w:rsid w:val="00160B7E"/>
    <w:rsid w:val="00180535"/>
    <w:rsid w:val="00183713"/>
    <w:rsid w:val="001858B3"/>
    <w:rsid w:val="001908D7"/>
    <w:rsid w:val="001955F0"/>
    <w:rsid w:val="0019598C"/>
    <w:rsid w:val="001B0D36"/>
    <w:rsid w:val="001B11D7"/>
    <w:rsid w:val="001C2FE8"/>
    <w:rsid w:val="001C41DC"/>
    <w:rsid w:val="001D33FF"/>
    <w:rsid w:val="001D75F8"/>
    <w:rsid w:val="001E01C9"/>
    <w:rsid w:val="001E367C"/>
    <w:rsid w:val="002059C8"/>
    <w:rsid w:val="00214D65"/>
    <w:rsid w:val="002210B5"/>
    <w:rsid w:val="002325B3"/>
    <w:rsid w:val="002411B6"/>
    <w:rsid w:val="0025049B"/>
    <w:rsid w:val="00263801"/>
    <w:rsid w:val="00264585"/>
    <w:rsid w:val="00274778"/>
    <w:rsid w:val="00280295"/>
    <w:rsid w:val="00285194"/>
    <w:rsid w:val="00290413"/>
    <w:rsid w:val="0029230D"/>
    <w:rsid w:val="00293148"/>
    <w:rsid w:val="00296547"/>
    <w:rsid w:val="002A51A7"/>
    <w:rsid w:val="002A7F38"/>
    <w:rsid w:val="002B4C1C"/>
    <w:rsid w:val="002C32F3"/>
    <w:rsid w:val="002C796F"/>
    <w:rsid w:val="002D1EA9"/>
    <w:rsid w:val="002D3386"/>
    <w:rsid w:val="002D63D7"/>
    <w:rsid w:val="002E0A2F"/>
    <w:rsid w:val="002E1264"/>
    <w:rsid w:val="002E703E"/>
    <w:rsid w:val="002F050A"/>
    <w:rsid w:val="002F23D0"/>
    <w:rsid w:val="002F47E6"/>
    <w:rsid w:val="002F47EE"/>
    <w:rsid w:val="003010DD"/>
    <w:rsid w:val="0030169D"/>
    <w:rsid w:val="00302978"/>
    <w:rsid w:val="003118A0"/>
    <w:rsid w:val="00331CAB"/>
    <w:rsid w:val="00346E79"/>
    <w:rsid w:val="00353275"/>
    <w:rsid w:val="00361A7A"/>
    <w:rsid w:val="00363DBC"/>
    <w:rsid w:val="00366F06"/>
    <w:rsid w:val="00372C0A"/>
    <w:rsid w:val="00373F30"/>
    <w:rsid w:val="00382333"/>
    <w:rsid w:val="003855D1"/>
    <w:rsid w:val="003862F0"/>
    <w:rsid w:val="00386E0E"/>
    <w:rsid w:val="0039140A"/>
    <w:rsid w:val="00391BF5"/>
    <w:rsid w:val="00394560"/>
    <w:rsid w:val="003A4D14"/>
    <w:rsid w:val="003C31EB"/>
    <w:rsid w:val="003C39C0"/>
    <w:rsid w:val="003D145A"/>
    <w:rsid w:val="003D1F06"/>
    <w:rsid w:val="003D415D"/>
    <w:rsid w:val="003D58A0"/>
    <w:rsid w:val="003E1CFC"/>
    <w:rsid w:val="003E42BD"/>
    <w:rsid w:val="003F5704"/>
    <w:rsid w:val="0040310C"/>
    <w:rsid w:val="0041038C"/>
    <w:rsid w:val="00410C3C"/>
    <w:rsid w:val="00411E3F"/>
    <w:rsid w:val="00416279"/>
    <w:rsid w:val="00422C94"/>
    <w:rsid w:val="00425878"/>
    <w:rsid w:val="00425CED"/>
    <w:rsid w:val="00430AD0"/>
    <w:rsid w:val="0043438D"/>
    <w:rsid w:val="004362A4"/>
    <w:rsid w:val="004400DB"/>
    <w:rsid w:val="0044024C"/>
    <w:rsid w:val="00443DDA"/>
    <w:rsid w:val="004459FC"/>
    <w:rsid w:val="004460EB"/>
    <w:rsid w:val="00474C54"/>
    <w:rsid w:val="00476AB2"/>
    <w:rsid w:val="00476E10"/>
    <w:rsid w:val="004778E6"/>
    <w:rsid w:val="004813E5"/>
    <w:rsid w:val="0049323E"/>
    <w:rsid w:val="00494CCB"/>
    <w:rsid w:val="00495640"/>
    <w:rsid w:val="00496558"/>
    <w:rsid w:val="004A501B"/>
    <w:rsid w:val="004C458C"/>
    <w:rsid w:val="004D3F18"/>
    <w:rsid w:val="004D5D69"/>
    <w:rsid w:val="004F114B"/>
    <w:rsid w:val="004F4A3D"/>
    <w:rsid w:val="004F60ED"/>
    <w:rsid w:val="004F7F8D"/>
    <w:rsid w:val="00510598"/>
    <w:rsid w:val="00512470"/>
    <w:rsid w:val="00513817"/>
    <w:rsid w:val="00516929"/>
    <w:rsid w:val="00516A01"/>
    <w:rsid w:val="00524C7E"/>
    <w:rsid w:val="00544DE5"/>
    <w:rsid w:val="00551CAD"/>
    <w:rsid w:val="00553143"/>
    <w:rsid w:val="00554A73"/>
    <w:rsid w:val="00557F6F"/>
    <w:rsid w:val="00584C7D"/>
    <w:rsid w:val="00590C24"/>
    <w:rsid w:val="0059323A"/>
    <w:rsid w:val="00594385"/>
    <w:rsid w:val="005A4D1B"/>
    <w:rsid w:val="005A6857"/>
    <w:rsid w:val="005A7FB1"/>
    <w:rsid w:val="005B0AB8"/>
    <w:rsid w:val="005B1D74"/>
    <w:rsid w:val="005B38D1"/>
    <w:rsid w:val="005B4D97"/>
    <w:rsid w:val="005C1A2C"/>
    <w:rsid w:val="005C6A43"/>
    <w:rsid w:val="005C7BA1"/>
    <w:rsid w:val="005D49CB"/>
    <w:rsid w:val="005E2B96"/>
    <w:rsid w:val="005E3EEF"/>
    <w:rsid w:val="005F4AF5"/>
    <w:rsid w:val="005F54A2"/>
    <w:rsid w:val="005F6F23"/>
    <w:rsid w:val="00600C5D"/>
    <w:rsid w:val="006048C2"/>
    <w:rsid w:val="00615CB8"/>
    <w:rsid w:val="0062122F"/>
    <w:rsid w:val="00625896"/>
    <w:rsid w:val="00626650"/>
    <w:rsid w:val="00627FE4"/>
    <w:rsid w:val="00633CF0"/>
    <w:rsid w:val="00633F52"/>
    <w:rsid w:val="00651D10"/>
    <w:rsid w:val="00652519"/>
    <w:rsid w:val="0065256D"/>
    <w:rsid w:val="006533FE"/>
    <w:rsid w:val="006577F5"/>
    <w:rsid w:val="00662379"/>
    <w:rsid w:val="00662D78"/>
    <w:rsid w:val="00675A4D"/>
    <w:rsid w:val="006828E9"/>
    <w:rsid w:val="00686388"/>
    <w:rsid w:val="00687761"/>
    <w:rsid w:val="006A2119"/>
    <w:rsid w:val="006A6C2E"/>
    <w:rsid w:val="006B0B9D"/>
    <w:rsid w:val="006B5092"/>
    <w:rsid w:val="006C4AA6"/>
    <w:rsid w:val="006D269A"/>
    <w:rsid w:val="006D41AA"/>
    <w:rsid w:val="006D64B8"/>
    <w:rsid w:val="006D703B"/>
    <w:rsid w:val="006E104D"/>
    <w:rsid w:val="006E1317"/>
    <w:rsid w:val="006F1CC5"/>
    <w:rsid w:val="006F1F64"/>
    <w:rsid w:val="006F2B3F"/>
    <w:rsid w:val="00710E28"/>
    <w:rsid w:val="007131DB"/>
    <w:rsid w:val="00716CB5"/>
    <w:rsid w:val="0072452A"/>
    <w:rsid w:val="00736449"/>
    <w:rsid w:val="00740D26"/>
    <w:rsid w:val="007427C0"/>
    <w:rsid w:val="007475A9"/>
    <w:rsid w:val="00762951"/>
    <w:rsid w:val="00762FDE"/>
    <w:rsid w:val="007654F6"/>
    <w:rsid w:val="00767243"/>
    <w:rsid w:val="00771A79"/>
    <w:rsid w:val="0077511A"/>
    <w:rsid w:val="00777526"/>
    <w:rsid w:val="00777642"/>
    <w:rsid w:val="007838A6"/>
    <w:rsid w:val="00795DF7"/>
    <w:rsid w:val="007B1811"/>
    <w:rsid w:val="007B7064"/>
    <w:rsid w:val="007B79E9"/>
    <w:rsid w:val="007C3EC1"/>
    <w:rsid w:val="007D4BCA"/>
    <w:rsid w:val="007D68C6"/>
    <w:rsid w:val="007E5E4D"/>
    <w:rsid w:val="007F3772"/>
    <w:rsid w:val="007F4988"/>
    <w:rsid w:val="0080156A"/>
    <w:rsid w:val="00803EF8"/>
    <w:rsid w:val="0080569A"/>
    <w:rsid w:val="00810F9D"/>
    <w:rsid w:val="00811081"/>
    <w:rsid w:val="00813555"/>
    <w:rsid w:val="00825CF7"/>
    <w:rsid w:val="008269C4"/>
    <w:rsid w:val="00832E4F"/>
    <w:rsid w:val="00833E1A"/>
    <w:rsid w:val="008625C9"/>
    <w:rsid w:val="00864990"/>
    <w:rsid w:val="0086575B"/>
    <w:rsid w:val="00870771"/>
    <w:rsid w:val="0088141D"/>
    <w:rsid w:val="008819A0"/>
    <w:rsid w:val="008838CD"/>
    <w:rsid w:val="008A1203"/>
    <w:rsid w:val="008A4110"/>
    <w:rsid w:val="008A58A6"/>
    <w:rsid w:val="008B58AE"/>
    <w:rsid w:val="008B5D85"/>
    <w:rsid w:val="008C0714"/>
    <w:rsid w:val="008D0F4E"/>
    <w:rsid w:val="008E3A93"/>
    <w:rsid w:val="008F03FF"/>
    <w:rsid w:val="008F4287"/>
    <w:rsid w:val="009049D2"/>
    <w:rsid w:val="00905259"/>
    <w:rsid w:val="009056A6"/>
    <w:rsid w:val="009077BA"/>
    <w:rsid w:val="00914C9E"/>
    <w:rsid w:val="00921ACB"/>
    <w:rsid w:val="00923F2D"/>
    <w:rsid w:val="00935090"/>
    <w:rsid w:val="0093561F"/>
    <w:rsid w:val="00937754"/>
    <w:rsid w:val="00940AA3"/>
    <w:rsid w:val="00940FC5"/>
    <w:rsid w:val="0094152D"/>
    <w:rsid w:val="009517FF"/>
    <w:rsid w:val="00963295"/>
    <w:rsid w:val="00963928"/>
    <w:rsid w:val="00971041"/>
    <w:rsid w:val="009810AC"/>
    <w:rsid w:val="00982263"/>
    <w:rsid w:val="00982D78"/>
    <w:rsid w:val="00983FE9"/>
    <w:rsid w:val="00984744"/>
    <w:rsid w:val="009851D7"/>
    <w:rsid w:val="009864B2"/>
    <w:rsid w:val="009929F5"/>
    <w:rsid w:val="00996F9B"/>
    <w:rsid w:val="009A13D0"/>
    <w:rsid w:val="009A3C02"/>
    <w:rsid w:val="009A45D3"/>
    <w:rsid w:val="009A4740"/>
    <w:rsid w:val="009B19A3"/>
    <w:rsid w:val="009B2BAA"/>
    <w:rsid w:val="009B3820"/>
    <w:rsid w:val="009B69EB"/>
    <w:rsid w:val="009C0E25"/>
    <w:rsid w:val="009D2C25"/>
    <w:rsid w:val="009D7CF3"/>
    <w:rsid w:val="009F543E"/>
    <w:rsid w:val="00A04DA1"/>
    <w:rsid w:val="00A06618"/>
    <w:rsid w:val="00A07C15"/>
    <w:rsid w:val="00A12728"/>
    <w:rsid w:val="00A237AC"/>
    <w:rsid w:val="00A24CF5"/>
    <w:rsid w:val="00A3085B"/>
    <w:rsid w:val="00A41E9C"/>
    <w:rsid w:val="00A42550"/>
    <w:rsid w:val="00A45129"/>
    <w:rsid w:val="00A45CA6"/>
    <w:rsid w:val="00A5190C"/>
    <w:rsid w:val="00A52B6D"/>
    <w:rsid w:val="00A53972"/>
    <w:rsid w:val="00A56F1C"/>
    <w:rsid w:val="00A6250D"/>
    <w:rsid w:val="00A716F5"/>
    <w:rsid w:val="00A72821"/>
    <w:rsid w:val="00A73A90"/>
    <w:rsid w:val="00A777C6"/>
    <w:rsid w:val="00A77C9A"/>
    <w:rsid w:val="00A86B2B"/>
    <w:rsid w:val="00A91AFA"/>
    <w:rsid w:val="00AA60F2"/>
    <w:rsid w:val="00AB379A"/>
    <w:rsid w:val="00AC1CCC"/>
    <w:rsid w:val="00AD0665"/>
    <w:rsid w:val="00AD0CE1"/>
    <w:rsid w:val="00AF4318"/>
    <w:rsid w:val="00B04B65"/>
    <w:rsid w:val="00B13A38"/>
    <w:rsid w:val="00B13E77"/>
    <w:rsid w:val="00B14794"/>
    <w:rsid w:val="00B1535F"/>
    <w:rsid w:val="00B26474"/>
    <w:rsid w:val="00B35C79"/>
    <w:rsid w:val="00B44206"/>
    <w:rsid w:val="00B44D37"/>
    <w:rsid w:val="00B46A89"/>
    <w:rsid w:val="00B54FCB"/>
    <w:rsid w:val="00B60F81"/>
    <w:rsid w:val="00B61886"/>
    <w:rsid w:val="00B61D7C"/>
    <w:rsid w:val="00B61F51"/>
    <w:rsid w:val="00B65966"/>
    <w:rsid w:val="00B67F6C"/>
    <w:rsid w:val="00B70E51"/>
    <w:rsid w:val="00B73EE2"/>
    <w:rsid w:val="00B776A6"/>
    <w:rsid w:val="00B823AE"/>
    <w:rsid w:val="00B862B1"/>
    <w:rsid w:val="00BA0ECF"/>
    <w:rsid w:val="00BB0B04"/>
    <w:rsid w:val="00BC1646"/>
    <w:rsid w:val="00BC4347"/>
    <w:rsid w:val="00BC67A7"/>
    <w:rsid w:val="00BD1952"/>
    <w:rsid w:val="00BD1BFA"/>
    <w:rsid w:val="00BD500C"/>
    <w:rsid w:val="00BF4F3F"/>
    <w:rsid w:val="00C02039"/>
    <w:rsid w:val="00C105C4"/>
    <w:rsid w:val="00C105CC"/>
    <w:rsid w:val="00C14614"/>
    <w:rsid w:val="00C16494"/>
    <w:rsid w:val="00C16D61"/>
    <w:rsid w:val="00C341B3"/>
    <w:rsid w:val="00C541A9"/>
    <w:rsid w:val="00C56518"/>
    <w:rsid w:val="00C56CC0"/>
    <w:rsid w:val="00C572C4"/>
    <w:rsid w:val="00C60CDD"/>
    <w:rsid w:val="00C613C1"/>
    <w:rsid w:val="00C61A92"/>
    <w:rsid w:val="00C61EB6"/>
    <w:rsid w:val="00C6719C"/>
    <w:rsid w:val="00C802C1"/>
    <w:rsid w:val="00C80FDA"/>
    <w:rsid w:val="00C8127E"/>
    <w:rsid w:val="00C82D5D"/>
    <w:rsid w:val="00C842E3"/>
    <w:rsid w:val="00C910D3"/>
    <w:rsid w:val="00CA377C"/>
    <w:rsid w:val="00CA38FF"/>
    <w:rsid w:val="00CB7761"/>
    <w:rsid w:val="00CC0B19"/>
    <w:rsid w:val="00CC1AEE"/>
    <w:rsid w:val="00CC4EC3"/>
    <w:rsid w:val="00CD063B"/>
    <w:rsid w:val="00CE05DA"/>
    <w:rsid w:val="00CE0C71"/>
    <w:rsid w:val="00CE68F6"/>
    <w:rsid w:val="00CE703E"/>
    <w:rsid w:val="00CF4D16"/>
    <w:rsid w:val="00CF5053"/>
    <w:rsid w:val="00CF62EA"/>
    <w:rsid w:val="00D019B8"/>
    <w:rsid w:val="00D11088"/>
    <w:rsid w:val="00D13118"/>
    <w:rsid w:val="00D1413E"/>
    <w:rsid w:val="00D14896"/>
    <w:rsid w:val="00D15E9D"/>
    <w:rsid w:val="00D17545"/>
    <w:rsid w:val="00D20B96"/>
    <w:rsid w:val="00D22C4F"/>
    <w:rsid w:val="00D23480"/>
    <w:rsid w:val="00D252CE"/>
    <w:rsid w:val="00D27B56"/>
    <w:rsid w:val="00D32175"/>
    <w:rsid w:val="00D34435"/>
    <w:rsid w:val="00D354C0"/>
    <w:rsid w:val="00D41559"/>
    <w:rsid w:val="00D42203"/>
    <w:rsid w:val="00D43B11"/>
    <w:rsid w:val="00D47AB3"/>
    <w:rsid w:val="00D545FA"/>
    <w:rsid w:val="00D55DCD"/>
    <w:rsid w:val="00D56F27"/>
    <w:rsid w:val="00D62512"/>
    <w:rsid w:val="00D62EFE"/>
    <w:rsid w:val="00D81AD0"/>
    <w:rsid w:val="00D83FF7"/>
    <w:rsid w:val="00D8787D"/>
    <w:rsid w:val="00D91438"/>
    <w:rsid w:val="00D93A48"/>
    <w:rsid w:val="00D97AD1"/>
    <w:rsid w:val="00DA1BF1"/>
    <w:rsid w:val="00DB19E1"/>
    <w:rsid w:val="00DC3051"/>
    <w:rsid w:val="00DD0134"/>
    <w:rsid w:val="00DD2AB1"/>
    <w:rsid w:val="00DD2AF7"/>
    <w:rsid w:val="00DD5C70"/>
    <w:rsid w:val="00DE28F2"/>
    <w:rsid w:val="00DE5FB8"/>
    <w:rsid w:val="00DF0009"/>
    <w:rsid w:val="00DF1DC5"/>
    <w:rsid w:val="00DF4AF6"/>
    <w:rsid w:val="00DF6732"/>
    <w:rsid w:val="00E11AE0"/>
    <w:rsid w:val="00E12100"/>
    <w:rsid w:val="00E12DE4"/>
    <w:rsid w:val="00E1632E"/>
    <w:rsid w:val="00E25244"/>
    <w:rsid w:val="00E3655E"/>
    <w:rsid w:val="00E37F8B"/>
    <w:rsid w:val="00E40D87"/>
    <w:rsid w:val="00E4175B"/>
    <w:rsid w:val="00E47CC1"/>
    <w:rsid w:val="00E50C77"/>
    <w:rsid w:val="00E700DF"/>
    <w:rsid w:val="00E74892"/>
    <w:rsid w:val="00E750C2"/>
    <w:rsid w:val="00E8033E"/>
    <w:rsid w:val="00E8120F"/>
    <w:rsid w:val="00E81EF7"/>
    <w:rsid w:val="00E95518"/>
    <w:rsid w:val="00E960EB"/>
    <w:rsid w:val="00EA05A3"/>
    <w:rsid w:val="00EA5B08"/>
    <w:rsid w:val="00EA5E2E"/>
    <w:rsid w:val="00EA6270"/>
    <w:rsid w:val="00EC75EF"/>
    <w:rsid w:val="00ED211F"/>
    <w:rsid w:val="00ED32F7"/>
    <w:rsid w:val="00ED5ED5"/>
    <w:rsid w:val="00ED7CF6"/>
    <w:rsid w:val="00EE00E7"/>
    <w:rsid w:val="00EE197F"/>
    <w:rsid w:val="00EE306C"/>
    <w:rsid w:val="00EF3885"/>
    <w:rsid w:val="00EF4FC2"/>
    <w:rsid w:val="00EF7C09"/>
    <w:rsid w:val="00F039DF"/>
    <w:rsid w:val="00F109CD"/>
    <w:rsid w:val="00F15A33"/>
    <w:rsid w:val="00F1798E"/>
    <w:rsid w:val="00F220C0"/>
    <w:rsid w:val="00F2723E"/>
    <w:rsid w:val="00F30CE8"/>
    <w:rsid w:val="00F31A04"/>
    <w:rsid w:val="00F330FC"/>
    <w:rsid w:val="00F347E2"/>
    <w:rsid w:val="00F357EC"/>
    <w:rsid w:val="00F4036E"/>
    <w:rsid w:val="00F40660"/>
    <w:rsid w:val="00F43B11"/>
    <w:rsid w:val="00F5536A"/>
    <w:rsid w:val="00F578A8"/>
    <w:rsid w:val="00F61615"/>
    <w:rsid w:val="00F63EBD"/>
    <w:rsid w:val="00F673C1"/>
    <w:rsid w:val="00F72583"/>
    <w:rsid w:val="00F76CE1"/>
    <w:rsid w:val="00F80E45"/>
    <w:rsid w:val="00F83351"/>
    <w:rsid w:val="00F839C2"/>
    <w:rsid w:val="00F83A7F"/>
    <w:rsid w:val="00F841A7"/>
    <w:rsid w:val="00F9310D"/>
    <w:rsid w:val="00FB369F"/>
    <w:rsid w:val="00FC74AA"/>
    <w:rsid w:val="00FC77DC"/>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3B035"/>
  <w15:chartTrackingRefBased/>
  <w15:docId w15:val="{818A08A2-8CD7-4502-9691-94550047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98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0F3E-E567-458E-BB25-4746813E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dc:description/>
  <cp:lastModifiedBy>LaPointe, Donald (DPH)</cp:lastModifiedBy>
  <cp:revision>6</cp:revision>
  <cp:lastPrinted>2022-07-12T18:55:00Z</cp:lastPrinted>
  <dcterms:created xsi:type="dcterms:W3CDTF">2022-11-14T19:10:00Z</dcterms:created>
  <dcterms:modified xsi:type="dcterms:W3CDTF">2022-11-14T19:14:00Z</dcterms:modified>
</cp:coreProperties>
</file>