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8730" w14:textId="05E33317" w:rsidR="00863CB2" w:rsidRPr="00337666" w:rsidRDefault="00BD14B3" w:rsidP="0033766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C680D">
        <w:rPr>
          <w:b/>
          <w:bCs/>
          <w:sz w:val="24"/>
          <w:szCs w:val="24"/>
        </w:rPr>
        <w:t xml:space="preserve">Considerations for </w:t>
      </w:r>
      <w:r w:rsidR="004B5767">
        <w:rPr>
          <w:b/>
          <w:bCs/>
          <w:sz w:val="24"/>
          <w:szCs w:val="24"/>
        </w:rPr>
        <w:t xml:space="preserve">Moving </w:t>
      </w:r>
      <w:r w:rsidRPr="00AC680D">
        <w:rPr>
          <w:b/>
          <w:bCs/>
          <w:sz w:val="24"/>
          <w:szCs w:val="24"/>
        </w:rPr>
        <w:t>a Loved One Home from a Nursing Facility</w:t>
      </w:r>
      <w:r w:rsidR="001F1C89">
        <w:rPr>
          <w:b/>
          <w:bCs/>
          <w:sz w:val="24"/>
          <w:szCs w:val="24"/>
        </w:rPr>
        <w:t xml:space="preserve">, Rest Home or Assisted Living </w:t>
      </w:r>
      <w:r w:rsidR="002E190D">
        <w:rPr>
          <w:b/>
          <w:bCs/>
          <w:sz w:val="24"/>
          <w:szCs w:val="24"/>
        </w:rPr>
        <w:t>Residence</w:t>
      </w:r>
    </w:p>
    <w:p w14:paraId="3F5FD87A" w14:textId="153E0B33" w:rsidR="004B5767" w:rsidRDefault="004B5767" w:rsidP="004B5767">
      <w:pPr>
        <w:rPr>
          <w:b/>
        </w:rPr>
      </w:pPr>
      <w:r>
        <w:t>During the declared State of Emergency in response to the COVID-19 pandemic, families</w:t>
      </w:r>
      <w:r w:rsidRPr="00E45F6D">
        <w:t xml:space="preserve"> may be considering </w:t>
      </w:r>
      <w:r>
        <w:t>whether their</w:t>
      </w:r>
      <w:r w:rsidRPr="00E45F6D">
        <w:t xml:space="preserve"> </w:t>
      </w:r>
      <w:r>
        <w:t>loved one</w:t>
      </w:r>
      <w:r w:rsidRPr="00E45F6D">
        <w:t xml:space="preserve"> </w:t>
      </w:r>
      <w:r>
        <w:t xml:space="preserve">should move </w:t>
      </w:r>
      <w:r w:rsidRPr="00E45F6D">
        <w:t>from a Nursing Facility</w:t>
      </w:r>
      <w:r>
        <w:t xml:space="preserve">, </w:t>
      </w:r>
      <w:r w:rsidRPr="00E45F6D">
        <w:t>Rest Home</w:t>
      </w:r>
      <w:r>
        <w:t xml:space="preserve"> or Assisted Living Residence. </w:t>
      </w:r>
      <w:r w:rsidR="00242EE4">
        <w:t xml:space="preserve">Outlined below are some steps to </w:t>
      </w:r>
      <w:r>
        <w:t xml:space="preserve">evaluate and </w:t>
      </w:r>
      <w:r w:rsidR="002E190D">
        <w:t xml:space="preserve">list of </w:t>
      </w:r>
      <w:r>
        <w:t xml:space="preserve">resources that are available to assist families in assessing this </w:t>
      </w:r>
      <w:r w:rsidR="002E190D">
        <w:t xml:space="preserve">complex </w:t>
      </w:r>
      <w:r>
        <w:t>decision as it important to fully understand the care needs and other supports that your loved one may need.</w:t>
      </w:r>
    </w:p>
    <w:p w14:paraId="1898D096" w14:textId="4D723A59" w:rsidR="004032DC" w:rsidRDefault="004032DC" w:rsidP="004032DC">
      <w:pPr>
        <w:spacing w:before="120" w:after="120"/>
        <w:rPr>
          <w:b/>
          <w:bCs/>
          <w:i/>
          <w:iCs/>
          <w:sz w:val="24"/>
          <w:szCs w:val="24"/>
        </w:rPr>
      </w:pPr>
      <w:r w:rsidRPr="0045360B">
        <w:rPr>
          <w:b/>
          <w:bCs/>
          <w:i/>
          <w:iCs/>
          <w:sz w:val="24"/>
          <w:szCs w:val="24"/>
        </w:rPr>
        <w:t xml:space="preserve">Step </w:t>
      </w:r>
      <w:r w:rsidR="007D4ACF">
        <w:rPr>
          <w:b/>
          <w:bCs/>
          <w:i/>
          <w:iCs/>
          <w:sz w:val="24"/>
          <w:szCs w:val="24"/>
        </w:rPr>
        <w:t>1</w:t>
      </w:r>
      <w:r w:rsidRPr="0045360B">
        <w:rPr>
          <w:b/>
          <w:bCs/>
          <w:i/>
          <w:iCs/>
          <w:sz w:val="24"/>
          <w:szCs w:val="24"/>
        </w:rPr>
        <w:t xml:space="preserve">: What type of facility does my </w:t>
      </w:r>
      <w:r w:rsidR="002E190D">
        <w:rPr>
          <w:b/>
          <w:bCs/>
          <w:i/>
          <w:iCs/>
          <w:sz w:val="24"/>
          <w:szCs w:val="24"/>
        </w:rPr>
        <w:t xml:space="preserve">love one </w:t>
      </w:r>
      <w:r w:rsidR="002E190D" w:rsidRPr="0045360B">
        <w:rPr>
          <w:b/>
          <w:bCs/>
          <w:i/>
          <w:iCs/>
          <w:sz w:val="24"/>
          <w:szCs w:val="24"/>
        </w:rPr>
        <w:t>reside</w:t>
      </w:r>
      <w:r w:rsidRPr="0045360B">
        <w:rPr>
          <w:b/>
          <w:bCs/>
          <w:i/>
          <w:iCs/>
          <w:sz w:val="24"/>
          <w:szCs w:val="24"/>
        </w:rPr>
        <w:t xml:space="preserve"> in?</w:t>
      </w:r>
    </w:p>
    <w:p w14:paraId="3986C5D6" w14:textId="346394B1" w:rsidR="004032DC" w:rsidRPr="0045360B" w:rsidRDefault="004032DC" w:rsidP="004032DC">
      <w:pPr>
        <w:spacing w:before="120" w:after="120"/>
        <w:rPr>
          <w:b/>
          <w:bCs/>
          <w:i/>
          <w:iCs/>
          <w:sz w:val="24"/>
          <w:szCs w:val="24"/>
        </w:rPr>
      </w:pPr>
      <w:r>
        <w:t xml:space="preserve">The processes and implications are different depending on where your </w:t>
      </w:r>
      <w:r w:rsidR="002E190D">
        <w:t>l</w:t>
      </w:r>
      <w:r>
        <w:t xml:space="preserve">oved </w:t>
      </w:r>
      <w:r w:rsidR="002E190D">
        <w:t>o</w:t>
      </w:r>
      <w:r>
        <w:t xml:space="preserve">ne resides. Read below to learn more. </w:t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5130"/>
        <w:gridCol w:w="5040"/>
      </w:tblGrid>
      <w:tr w:rsidR="004032DC" w14:paraId="47ED96BD" w14:textId="77777777" w:rsidTr="001B5EAF">
        <w:tc>
          <w:tcPr>
            <w:tcW w:w="5130" w:type="dxa"/>
          </w:tcPr>
          <w:p w14:paraId="02607731" w14:textId="77777777" w:rsidR="004032DC" w:rsidRDefault="004032DC" w:rsidP="001B5EAF">
            <w:pPr>
              <w:jc w:val="center"/>
              <w:rPr>
                <w:b/>
              </w:rPr>
            </w:pPr>
            <w:r w:rsidRPr="00F05103">
              <w:rPr>
                <w:b/>
              </w:rPr>
              <w:t xml:space="preserve">If </w:t>
            </w:r>
            <w:r>
              <w:rPr>
                <w:b/>
              </w:rPr>
              <w:t xml:space="preserve">a Loved One </w:t>
            </w:r>
            <w:r w:rsidRPr="00F05103">
              <w:rPr>
                <w:b/>
              </w:rPr>
              <w:t>liv</w:t>
            </w:r>
            <w:r>
              <w:rPr>
                <w:b/>
              </w:rPr>
              <w:t>es</w:t>
            </w:r>
            <w:r w:rsidRPr="00F05103">
              <w:rPr>
                <w:b/>
              </w:rPr>
              <w:t xml:space="preserve"> in an </w:t>
            </w:r>
            <w:r>
              <w:rPr>
                <w:b/>
              </w:rPr>
              <w:t>A</w:t>
            </w:r>
            <w:r w:rsidRPr="00F05103">
              <w:rPr>
                <w:b/>
              </w:rPr>
              <w:t xml:space="preserve">ssisted </w:t>
            </w:r>
            <w:r>
              <w:rPr>
                <w:b/>
              </w:rPr>
              <w:t>L</w:t>
            </w:r>
            <w:r w:rsidRPr="00F05103">
              <w:rPr>
                <w:b/>
              </w:rPr>
              <w:t xml:space="preserve">iving </w:t>
            </w:r>
            <w:r>
              <w:rPr>
                <w:b/>
              </w:rPr>
              <w:t>R</w:t>
            </w:r>
            <w:r w:rsidRPr="00F05103">
              <w:rPr>
                <w:b/>
              </w:rPr>
              <w:t>esidence</w:t>
            </w:r>
            <w:r>
              <w:rPr>
                <w:b/>
              </w:rPr>
              <w:t xml:space="preserve"> (ALR):</w:t>
            </w:r>
          </w:p>
        </w:tc>
        <w:tc>
          <w:tcPr>
            <w:tcW w:w="5040" w:type="dxa"/>
          </w:tcPr>
          <w:p w14:paraId="49C93B1D" w14:textId="77777777" w:rsidR="004032DC" w:rsidRDefault="004032DC" w:rsidP="001B5EAF">
            <w:pPr>
              <w:jc w:val="center"/>
              <w:rPr>
                <w:b/>
              </w:rPr>
            </w:pPr>
            <w:r>
              <w:rPr>
                <w:b/>
              </w:rPr>
              <w:t>If a Loved One lives in a Nursing Facility or Rest Home:</w:t>
            </w:r>
          </w:p>
        </w:tc>
      </w:tr>
      <w:tr w:rsidR="004032DC" w14:paraId="54B145A9" w14:textId="77777777" w:rsidTr="007D4ACF">
        <w:trPr>
          <w:trHeight w:val="5237"/>
        </w:trPr>
        <w:tc>
          <w:tcPr>
            <w:tcW w:w="5130" w:type="dxa"/>
          </w:tcPr>
          <w:p w14:paraId="4AF2A1E5" w14:textId="0FB723CA" w:rsidR="007D4ACF" w:rsidRDefault="007D4ACF" w:rsidP="004B5767">
            <w:pPr>
              <w:spacing w:before="120" w:after="120"/>
              <w:rPr>
                <w:bCs/>
              </w:rPr>
            </w:pPr>
            <w:r>
              <w:rPr>
                <w:bCs/>
              </w:rPr>
              <w:t>T</w:t>
            </w:r>
            <w:r w:rsidRPr="007D4ACF">
              <w:rPr>
                <w:bCs/>
              </w:rPr>
              <w:t xml:space="preserve">here is no uniform process to move out as the tenancy is governed by landlord-tenant law; however, </w:t>
            </w:r>
          </w:p>
          <w:p w14:paraId="3CAA7EF2" w14:textId="113106E4" w:rsidR="007D4ACF" w:rsidRPr="007D4ACF" w:rsidRDefault="004B5767" w:rsidP="004B5767">
            <w:pPr>
              <w:pStyle w:val="ListParagraph"/>
              <w:numPr>
                <w:ilvl w:val="0"/>
                <w:numId w:val="7"/>
              </w:numPr>
              <w:spacing w:after="120"/>
              <w:ind w:left="255" w:hanging="255"/>
              <w:contextualSpacing w:val="0"/>
              <w:rPr>
                <w:bCs/>
              </w:rPr>
            </w:pPr>
            <w:r>
              <w:rPr>
                <w:bCs/>
              </w:rPr>
              <w:t>I</w:t>
            </w:r>
            <w:r w:rsidR="007D4ACF" w:rsidRPr="007D4ACF">
              <w:rPr>
                <w:bCs/>
              </w:rPr>
              <w:t xml:space="preserve">f the move is permanent, it is important to check the resident agreement to understand any applicable terms or penalties for terminating residency. </w:t>
            </w:r>
          </w:p>
          <w:p w14:paraId="36932E8E" w14:textId="1F8EE8BC" w:rsidR="007D4ACF" w:rsidRPr="007D4ACF" w:rsidRDefault="007D4ACF" w:rsidP="004B5767">
            <w:pPr>
              <w:pStyle w:val="ListParagraph"/>
              <w:numPr>
                <w:ilvl w:val="0"/>
                <w:numId w:val="7"/>
              </w:numPr>
              <w:spacing w:after="120"/>
              <w:ind w:left="255" w:hanging="255"/>
              <w:contextualSpacing w:val="0"/>
              <w:rPr>
                <w:bCs/>
              </w:rPr>
            </w:pPr>
            <w:r w:rsidRPr="007D4ACF">
              <w:rPr>
                <w:bCs/>
              </w:rPr>
              <w:t xml:space="preserve">If the move is temporary, it is important to inform the residence (preferably in writing) that the family member will be spending time away from the </w:t>
            </w:r>
            <w:r w:rsidR="004B5767">
              <w:rPr>
                <w:bCs/>
              </w:rPr>
              <w:t>ALR</w:t>
            </w:r>
            <w:r w:rsidRPr="007D4ACF">
              <w:rPr>
                <w:bCs/>
              </w:rPr>
              <w:t xml:space="preserve"> and continue to make required payments to preserve your family member’s tenancy so that they can return to their unit at a later date. </w:t>
            </w:r>
          </w:p>
          <w:p w14:paraId="51FDD0A9" w14:textId="393F8B09" w:rsidR="007D4ACF" w:rsidRPr="004B5767" w:rsidRDefault="007D4ACF" w:rsidP="004B5767">
            <w:pPr>
              <w:pStyle w:val="ListParagraph"/>
              <w:numPr>
                <w:ilvl w:val="0"/>
                <w:numId w:val="7"/>
              </w:numPr>
              <w:spacing w:after="120"/>
              <w:ind w:left="255" w:hanging="255"/>
              <w:contextualSpacing w:val="0"/>
              <w:rPr>
                <w:bCs/>
              </w:rPr>
            </w:pPr>
            <w:r w:rsidRPr="007D4ACF">
              <w:rPr>
                <w:bCs/>
              </w:rPr>
              <w:t>It is also important to coordinate the date</w:t>
            </w:r>
            <w:r w:rsidR="007E603C">
              <w:rPr>
                <w:bCs/>
              </w:rPr>
              <w:t xml:space="preserve">, </w:t>
            </w:r>
            <w:r w:rsidRPr="007D4ACF">
              <w:rPr>
                <w:bCs/>
              </w:rPr>
              <w:t>time</w:t>
            </w:r>
            <w:r w:rsidR="007E603C">
              <w:rPr>
                <w:bCs/>
              </w:rPr>
              <w:t xml:space="preserve">, and process for </w:t>
            </w:r>
            <w:r w:rsidRPr="007D4ACF">
              <w:rPr>
                <w:bCs/>
              </w:rPr>
              <w:t xml:space="preserve">the move or subsequent return with the </w:t>
            </w:r>
            <w:r w:rsidR="004B5767">
              <w:rPr>
                <w:bCs/>
              </w:rPr>
              <w:t>ALR</w:t>
            </w:r>
            <w:r w:rsidRPr="007D4ACF">
              <w:rPr>
                <w:bCs/>
              </w:rPr>
              <w:t xml:space="preserve"> and ensure access to any necessary medications, supplies, and assistive equipment.</w:t>
            </w:r>
            <w:r w:rsidR="002E190D">
              <w:rPr>
                <w:bCs/>
              </w:rPr>
              <w:t xml:space="preserve"> </w:t>
            </w:r>
          </w:p>
        </w:tc>
        <w:tc>
          <w:tcPr>
            <w:tcW w:w="5040" w:type="dxa"/>
          </w:tcPr>
          <w:p w14:paraId="176C9085" w14:textId="0394FC84" w:rsidR="004032DC" w:rsidRDefault="004032DC" w:rsidP="004B5767">
            <w:pPr>
              <w:spacing w:before="120" w:after="120"/>
              <w:rPr>
                <w:bCs/>
              </w:rPr>
            </w:pPr>
            <w:r>
              <w:rPr>
                <w:bCs/>
              </w:rPr>
              <w:t>If you have</w:t>
            </w:r>
            <w:r w:rsidRPr="00CE1B5D">
              <w:rPr>
                <w:bCs/>
              </w:rPr>
              <w:t xml:space="preserve"> decided on a discharge home, you can begin the process by</w:t>
            </w:r>
            <w:r w:rsidR="007D4ACF">
              <w:rPr>
                <w:bCs/>
              </w:rPr>
              <w:t>:</w:t>
            </w:r>
          </w:p>
          <w:p w14:paraId="1909C5F5" w14:textId="77777777" w:rsidR="007D4ACF" w:rsidRDefault="007D4ACF" w:rsidP="004B5767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6"/>
              <w:contextualSpacing w:val="0"/>
              <w:rPr>
                <w:bCs/>
              </w:rPr>
            </w:pPr>
            <w:r>
              <w:rPr>
                <w:bCs/>
              </w:rPr>
              <w:t>C</w:t>
            </w:r>
            <w:r w:rsidR="004032DC" w:rsidRPr="004032DC">
              <w:rPr>
                <w:bCs/>
              </w:rPr>
              <w:t xml:space="preserve">ontacting the social worker at the nursing home to begin to facilitate the discharge process outlined below. </w:t>
            </w:r>
          </w:p>
          <w:p w14:paraId="113ABA3D" w14:textId="05A7FFB7" w:rsidR="004032DC" w:rsidRPr="004032DC" w:rsidRDefault="004032DC" w:rsidP="004B5767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6"/>
              <w:contextualSpacing w:val="0"/>
              <w:rPr>
                <w:bCs/>
              </w:rPr>
            </w:pPr>
            <w:r w:rsidRPr="004032DC">
              <w:rPr>
                <w:bCs/>
              </w:rPr>
              <w:t>The resident may initiate this contact on their own or if a resident does not have decisional capacity, the authorized contact or guardian can make this request.</w:t>
            </w:r>
          </w:p>
          <w:p w14:paraId="15077DA5" w14:textId="77777777" w:rsidR="004032DC" w:rsidRPr="004032DC" w:rsidRDefault="004032DC" w:rsidP="004B5767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6"/>
              <w:contextualSpacing w:val="0"/>
              <w:rPr>
                <w:bCs/>
              </w:rPr>
            </w:pPr>
            <w:r w:rsidRPr="007D4ACF">
              <w:rPr>
                <w:b/>
              </w:rPr>
              <w:t>It is important to note</w:t>
            </w:r>
            <w:r w:rsidRPr="004032DC">
              <w:rPr>
                <w:bCs/>
              </w:rPr>
              <w:t xml:space="preserve"> that if a family chooses to discharge a loved one from a nursing facility or rest home, their loved one is not guaranteed re-admittance to that facility.</w:t>
            </w:r>
          </w:p>
          <w:p w14:paraId="5B6BE15B" w14:textId="77777777" w:rsidR="004032DC" w:rsidRDefault="004032DC" w:rsidP="004B5767">
            <w:pPr>
              <w:spacing w:before="120" w:after="120"/>
              <w:rPr>
                <w:b/>
              </w:rPr>
            </w:pPr>
          </w:p>
        </w:tc>
      </w:tr>
    </w:tbl>
    <w:p w14:paraId="1E02620E" w14:textId="729FB404" w:rsidR="00B96CFA" w:rsidRPr="00B27DEB" w:rsidRDefault="00D874E4" w:rsidP="004032DC">
      <w:pPr>
        <w:spacing w:before="120" w:after="120"/>
        <w:rPr>
          <w:b/>
          <w:bCs/>
          <w:i/>
          <w:iCs/>
          <w:sz w:val="24"/>
          <w:szCs w:val="24"/>
        </w:rPr>
      </w:pPr>
      <w:r w:rsidRPr="00B27DEB">
        <w:rPr>
          <w:b/>
          <w:bCs/>
          <w:i/>
          <w:iCs/>
          <w:sz w:val="24"/>
          <w:szCs w:val="24"/>
        </w:rPr>
        <w:t xml:space="preserve">Step </w:t>
      </w:r>
      <w:r w:rsidR="007D4ACF">
        <w:rPr>
          <w:b/>
          <w:bCs/>
          <w:i/>
          <w:iCs/>
          <w:sz w:val="24"/>
          <w:szCs w:val="24"/>
        </w:rPr>
        <w:t>2</w:t>
      </w:r>
      <w:r w:rsidRPr="00B27DEB">
        <w:rPr>
          <w:b/>
          <w:bCs/>
          <w:i/>
          <w:iCs/>
          <w:sz w:val="24"/>
          <w:szCs w:val="24"/>
        </w:rPr>
        <w:t xml:space="preserve">: </w:t>
      </w:r>
      <w:r w:rsidR="00B27DEB" w:rsidRPr="00B27DEB">
        <w:rPr>
          <w:b/>
          <w:bCs/>
          <w:i/>
          <w:iCs/>
          <w:sz w:val="24"/>
          <w:szCs w:val="24"/>
        </w:rPr>
        <w:t>Primary Considerations</w:t>
      </w:r>
      <w:r w:rsidR="00B96CFA" w:rsidRPr="00B27DEB">
        <w:rPr>
          <w:b/>
          <w:bCs/>
          <w:i/>
          <w:iCs/>
          <w:sz w:val="24"/>
          <w:szCs w:val="24"/>
        </w:rPr>
        <w:t xml:space="preserve"> </w:t>
      </w:r>
      <w:r w:rsidR="00C7250A">
        <w:rPr>
          <w:b/>
          <w:bCs/>
          <w:i/>
          <w:iCs/>
          <w:sz w:val="24"/>
          <w:szCs w:val="24"/>
        </w:rPr>
        <w:t xml:space="preserve">for </w:t>
      </w:r>
      <w:r w:rsidR="004B5767">
        <w:rPr>
          <w:b/>
          <w:bCs/>
          <w:i/>
          <w:iCs/>
          <w:sz w:val="24"/>
          <w:szCs w:val="24"/>
        </w:rPr>
        <w:t>Moving a Loved One</w:t>
      </w:r>
    </w:p>
    <w:p w14:paraId="4E642A69" w14:textId="4EE68CCB" w:rsidR="0024745F" w:rsidRPr="004032DC" w:rsidRDefault="007D4ACF" w:rsidP="004032DC">
      <w:pPr>
        <w:spacing w:before="120" w:after="120"/>
      </w:pPr>
      <w:r>
        <w:t xml:space="preserve">Here are some </w:t>
      </w:r>
      <w:r w:rsidR="002E190D">
        <w:t>k</w:t>
      </w:r>
      <w:r w:rsidR="0024745F" w:rsidRPr="004032DC">
        <w:t xml:space="preserve">ey questions </w:t>
      </w:r>
      <w:r>
        <w:t xml:space="preserve">to </w:t>
      </w:r>
      <w:r w:rsidR="0024745F" w:rsidRPr="004032DC">
        <w:t>consider</w:t>
      </w:r>
      <w:r w:rsidR="002E190D">
        <w:t xml:space="preserve"> in moving a loved one from their facility to home</w:t>
      </w:r>
      <w:r w:rsidR="0024745F" w:rsidRPr="004032DC">
        <w:t>:</w:t>
      </w:r>
    </w:p>
    <w:p w14:paraId="798C27FC" w14:textId="5D987B90" w:rsidR="0024745F" w:rsidRPr="00B925C3" w:rsidRDefault="0024745F" w:rsidP="004032DC">
      <w:pPr>
        <w:pStyle w:val="ListParagraph"/>
        <w:numPr>
          <w:ilvl w:val="0"/>
          <w:numId w:val="2"/>
        </w:numPr>
        <w:spacing w:before="120" w:after="120"/>
      </w:pPr>
      <w:r w:rsidRPr="00B925C3">
        <w:t>Does my loved one have a safe and accessible place to live?</w:t>
      </w:r>
    </w:p>
    <w:p w14:paraId="481FDE75" w14:textId="58F77A31" w:rsidR="0024745F" w:rsidRPr="00B925C3" w:rsidRDefault="0024745F" w:rsidP="004032DC">
      <w:pPr>
        <w:pStyle w:val="ListParagraph"/>
        <w:numPr>
          <w:ilvl w:val="0"/>
          <w:numId w:val="2"/>
        </w:numPr>
        <w:spacing w:before="120" w:after="120"/>
      </w:pPr>
      <w:r w:rsidRPr="00B925C3">
        <w:t>Is there consistent support and a backup plan should that support not be available?</w:t>
      </w:r>
    </w:p>
    <w:p w14:paraId="34F209F6" w14:textId="37FC28D1" w:rsidR="0024745F" w:rsidRDefault="0024745F" w:rsidP="004032DC">
      <w:pPr>
        <w:pStyle w:val="ListParagraph"/>
        <w:numPr>
          <w:ilvl w:val="0"/>
          <w:numId w:val="2"/>
        </w:numPr>
        <w:spacing w:before="120" w:after="120"/>
      </w:pPr>
      <w:r w:rsidRPr="00B925C3">
        <w:t>What specific services and supports are needed?</w:t>
      </w:r>
    </w:p>
    <w:p w14:paraId="3561B12F" w14:textId="77777777" w:rsidR="004032DC" w:rsidRDefault="004032DC">
      <w:r>
        <w:br w:type="page"/>
      </w:r>
    </w:p>
    <w:p w14:paraId="0BAECFA5" w14:textId="2DE4962B" w:rsidR="00E562C9" w:rsidRPr="00B27DEB" w:rsidRDefault="00D874E4" w:rsidP="004032DC">
      <w:pPr>
        <w:spacing w:before="120" w:after="120"/>
        <w:rPr>
          <w:b/>
          <w:bCs/>
          <w:i/>
          <w:iCs/>
          <w:sz w:val="24"/>
          <w:szCs w:val="24"/>
        </w:rPr>
      </w:pPr>
      <w:r w:rsidRPr="00B27DEB">
        <w:rPr>
          <w:b/>
          <w:bCs/>
          <w:i/>
          <w:iCs/>
          <w:sz w:val="24"/>
          <w:szCs w:val="24"/>
        </w:rPr>
        <w:lastRenderedPageBreak/>
        <w:t xml:space="preserve">Step </w:t>
      </w:r>
      <w:r w:rsidR="0045360B">
        <w:rPr>
          <w:b/>
          <w:bCs/>
          <w:i/>
          <w:iCs/>
          <w:sz w:val="24"/>
          <w:szCs w:val="24"/>
        </w:rPr>
        <w:t>3</w:t>
      </w:r>
      <w:r w:rsidRPr="00B27DEB">
        <w:rPr>
          <w:b/>
          <w:bCs/>
          <w:i/>
          <w:iCs/>
          <w:sz w:val="24"/>
          <w:szCs w:val="24"/>
        </w:rPr>
        <w:t>:</w:t>
      </w:r>
      <w:r w:rsidR="009A5023" w:rsidRPr="00B27DEB">
        <w:rPr>
          <w:b/>
          <w:bCs/>
          <w:i/>
          <w:iCs/>
          <w:sz w:val="24"/>
          <w:szCs w:val="24"/>
        </w:rPr>
        <w:t xml:space="preserve"> </w:t>
      </w:r>
      <w:r w:rsidR="00E562C9" w:rsidRPr="00B27DEB">
        <w:rPr>
          <w:b/>
          <w:bCs/>
          <w:i/>
          <w:iCs/>
          <w:sz w:val="24"/>
          <w:szCs w:val="24"/>
        </w:rPr>
        <w:t>What are your loved ones needs? Who will provide assistance?</w:t>
      </w:r>
    </w:p>
    <w:p w14:paraId="58FF1848" w14:textId="55C5BCF9" w:rsidR="0045360B" w:rsidRPr="0045360B" w:rsidRDefault="009A5023" w:rsidP="004032DC">
      <w:pPr>
        <w:spacing w:before="120" w:after="120"/>
      </w:pPr>
      <w:r>
        <w:t xml:space="preserve">This chart </w:t>
      </w:r>
      <w:r w:rsidR="009C3869">
        <w:t xml:space="preserve">below </w:t>
      </w:r>
      <w:r>
        <w:t xml:space="preserve">can assist with </w:t>
      </w:r>
      <w:r w:rsidR="004B5767">
        <w:t xml:space="preserve">evaluating your </w:t>
      </w:r>
      <w:r>
        <w:t>loved one</w:t>
      </w:r>
      <w:r w:rsidR="002E190D">
        <w:t>’</w:t>
      </w:r>
      <w:r>
        <w:t>s needs</w:t>
      </w:r>
      <w:r w:rsidR="00BC6508">
        <w:t>,</w:t>
      </w:r>
      <w:r w:rsidR="00922107">
        <w:t xml:space="preserve"> </w:t>
      </w:r>
      <w:r w:rsidR="002E190D">
        <w:t xml:space="preserve">help you gage </w:t>
      </w:r>
      <w:r w:rsidR="00922107">
        <w:t xml:space="preserve">the level of assistance </w:t>
      </w:r>
      <w:r w:rsidR="002E190D">
        <w:t xml:space="preserve">s/he </w:t>
      </w:r>
      <w:r w:rsidR="003A5E85">
        <w:t>may require</w:t>
      </w:r>
      <w:r w:rsidR="00BC6508">
        <w:t>,</w:t>
      </w:r>
      <w:r w:rsidR="006F2A1F">
        <w:t xml:space="preserve"> and who within the family</w:t>
      </w:r>
      <w:r w:rsidR="004B5767">
        <w:t>/social support network</w:t>
      </w:r>
      <w:r w:rsidR="006F2A1F">
        <w:t xml:space="preserve"> can provide the</w:t>
      </w:r>
      <w:r w:rsidR="002E190D">
        <w:t xml:space="preserve"> </w:t>
      </w:r>
      <w:r w:rsidR="004B5767">
        <w:t>in-home</w:t>
      </w:r>
      <w:r w:rsidR="006F2A1F">
        <w:t xml:space="preserve"> assi</w:t>
      </w:r>
      <w:r w:rsidR="00BC6508">
        <w:t>stance</w:t>
      </w:r>
      <w:r w:rsidR="00A05858">
        <w:t xml:space="preserve">. This </w:t>
      </w:r>
      <w:r w:rsidR="00F426FD">
        <w:t xml:space="preserve">chart </w:t>
      </w:r>
      <w:r w:rsidR="00F05103">
        <w:t xml:space="preserve">can be shared with the social worker </w:t>
      </w:r>
      <w:r w:rsidR="00CE1B5D">
        <w:t>to help</w:t>
      </w:r>
      <w:r w:rsidR="00A05858">
        <w:t xml:space="preserve"> determine</w:t>
      </w:r>
      <w:r w:rsidR="00BB71B4">
        <w:t xml:space="preserve"> how much assistance is required and</w:t>
      </w:r>
      <w:r w:rsidR="00A05858">
        <w:t xml:space="preserve"> if an outside service is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454"/>
        <w:gridCol w:w="2222"/>
      </w:tblGrid>
      <w:tr w:rsidR="007C21E0" w14:paraId="4A90552B" w14:textId="77777777" w:rsidTr="004B5767">
        <w:tc>
          <w:tcPr>
            <w:tcW w:w="2337" w:type="dxa"/>
            <w:vAlign w:val="center"/>
          </w:tcPr>
          <w:p w14:paraId="7F9C4FC8" w14:textId="0061699F" w:rsidR="007C21E0" w:rsidRDefault="007C21E0" w:rsidP="007C21E0">
            <w:pPr>
              <w:jc w:val="center"/>
            </w:pPr>
            <w:r w:rsidRPr="00B96CFA">
              <w:rPr>
                <w:b/>
                <w:bCs/>
                <w:sz w:val="32"/>
                <w:szCs w:val="32"/>
              </w:rPr>
              <w:t>Needs</w:t>
            </w:r>
          </w:p>
        </w:tc>
        <w:tc>
          <w:tcPr>
            <w:tcW w:w="2337" w:type="dxa"/>
            <w:vAlign w:val="center"/>
          </w:tcPr>
          <w:p w14:paraId="2AAD9E00" w14:textId="3D833353" w:rsidR="007C21E0" w:rsidRPr="00B96CFA" w:rsidRDefault="007C21E0" w:rsidP="007C21E0">
            <w:pPr>
              <w:jc w:val="center"/>
              <w:rPr>
                <w:b/>
                <w:bCs/>
              </w:rPr>
            </w:pPr>
            <w:r w:rsidRPr="00B96CFA">
              <w:rPr>
                <w:b/>
                <w:bCs/>
              </w:rPr>
              <w:t>Independent/ Able to do for themselves</w:t>
            </w:r>
          </w:p>
        </w:tc>
        <w:tc>
          <w:tcPr>
            <w:tcW w:w="2454" w:type="dxa"/>
            <w:vAlign w:val="center"/>
          </w:tcPr>
          <w:p w14:paraId="619320AB" w14:textId="0A3D959E" w:rsidR="007C21E0" w:rsidRPr="00B96CFA" w:rsidRDefault="004B5767" w:rsidP="007C2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Family/Friend/In home Support </w:t>
            </w:r>
            <w:r w:rsidR="007C21E0" w:rsidRPr="00B96CFA">
              <w:rPr>
                <w:b/>
                <w:bCs/>
              </w:rPr>
              <w:t>will provide needed assistance</w:t>
            </w:r>
          </w:p>
        </w:tc>
        <w:tc>
          <w:tcPr>
            <w:tcW w:w="2222" w:type="dxa"/>
            <w:vAlign w:val="center"/>
          </w:tcPr>
          <w:p w14:paraId="64592293" w14:textId="43A093FC" w:rsidR="007C21E0" w:rsidRPr="00B96CFA" w:rsidRDefault="007C21E0" w:rsidP="007C21E0">
            <w:pPr>
              <w:jc w:val="center"/>
              <w:rPr>
                <w:b/>
                <w:bCs/>
              </w:rPr>
            </w:pPr>
            <w:r w:rsidRPr="00B96CFA">
              <w:rPr>
                <w:b/>
                <w:bCs/>
              </w:rPr>
              <w:t>Will need outside assistance</w:t>
            </w:r>
          </w:p>
        </w:tc>
      </w:tr>
      <w:tr w:rsidR="007C21E0" w14:paraId="2CBEC308" w14:textId="77777777" w:rsidTr="004B5767">
        <w:tc>
          <w:tcPr>
            <w:tcW w:w="2337" w:type="dxa"/>
            <w:vAlign w:val="center"/>
          </w:tcPr>
          <w:p w14:paraId="1E201E73" w14:textId="136C20DA" w:rsidR="007C21E0" w:rsidRDefault="001F1C89" w:rsidP="001F1C89">
            <w:r>
              <w:t>Bathing/Personal Hygiene</w:t>
            </w:r>
          </w:p>
        </w:tc>
        <w:tc>
          <w:tcPr>
            <w:tcW w:w="2337" w:type="dxa"/>
          </w:tcPr>
          <w:p w14:paraId="513CF4B9" w14:textId="77777777" w:rsidR="007C21E0" w:rsidRDefault="007C21E0" w:rsidP="007C21E0"/>
        </w:tc>
        <w:tc>
          <w:tcPr>
            <w:tcW w:w="2454" w:type="dxa"/>
          </w:tcPr>
          <w:p w14:paraId="2A8539F8" w14:textId="77777777" w:rsidR="007C21E0" w:rsidRDefault="007C21E0" w:rsidP="007C21E0"/>
        </w:tc>
        <w:tc>
          <w:tcPr>
            <w:tcW w:w="2222" w:type="dxa"/>
          </w:tcPr>
          <w:p w14:paraId="540DB3FD" w14:textId="77777777" w:rsidR="007C21E0" w:rsidRDefault="007C21E0" w:rsidP="007C21E0"/>
        </w:tc>
      </w:tr>
      <w:tr w:rsidR="007C21E0" w14:paraId="54409D43" w14:textId="77777777" w:rsidTr="004B5767">
        <w:tc>
          <w:tcPr>
            <w:tcW w:w="2337" w:type="dxa"/>
          </w:tcPr>
          <w:p w14:paraId="2D4CE6BE" w14:textId="025A0FB4" w:rsidR="007C21E0" w:rsidRDefault="00F05103" w:rsidP="00F05103">
            <w:r>
              <w:t>Getting dressed/undressed</w:t>
            </w:r>
          </w:p>
        </w:tc>
        <w:tc>
          <w:tcPr>
            <w:tcW w:w="2337" w:type="dxa"/>
          </w:tcPr>
          <w:p w14:paraId="7A3CE2E2" w14:textId="77777777" w:rsidR="007C21E0" w:rsidRDefault="007C21E0" w:rsidP="007C21E0"/>
        </w:tc>
        <w:tc>
          <w:tcPr>
            <w:tcW w:w="2454" w:type="dxa"/>
          </w:tcPr>
          <w:p w14:paraId="0CD8EC78" w14:textId="77777777" w:rsidR="007C21E0" w:rsidRDefault="007C21E0" w:rsidP="007C21E0"/>
        </w:tc>
        <w:tc>
          <w:tcPr>
            <w:tcW w:w="2222" w:type="dxa"/>
          </w:tcPr>
          <w:p w14:paraId="78F46E83" w14:textId="77777777" w:rsidR="007C21E0" w:rsidRDefault="007C21E0" w:rsidP="007C21E0"/>
        </w:tc>
      </w:tr>
      <w:tr w:rsidR="007C21E0" w14:paraId="28C4A41D" w14:textId="77777777" w:rsidTr="004B5767">
        <w:tc>
          <w:tcPr>
            <w:tcW w:w="2337" w:type="dxa"/>
          </w:tcPr>
          <w:p w14:paraId="4DDDEEFA" w14:textId="7391254C" w:rsidR="007C21E0" w:rsidRDefault="007C21E0" w:rsidP="007C21E0">
            <w:r>
              <w:t>Toileting</w:t>
            </w:r>
            <w:r w:rsidR="00886CAD">
              <w:t xml:space="preserve"> </w:t>
            </w:r>
          </w:p>
        </w:tc>
        <w:tc>
          <w:tcPr>
            <w:tcW w:w="2337" w:type="dxa"/>
          </w:tcPr>
          <w:p w14:paraId="5625CC47" w14:textId="77777777" w:rsidR="007C21E0" w:rsidRDefault="007C21E0" w:rsidP="007C21E0"/>
        </w:tc>
        <w:tc>
          <w:tcPr>
            <w:tcW w:w="2454" w:type="dxa"/>
          </w:tcPr>
          <w:p w14:paraId="031AA95F" w14:textId="77777777" w:rsidR="007C21E0" w:rsidRDefault="007C21E0" w:rsidP="007C21E0"/>
        </w:tc>
        <w:tc>
          <w:tcPr>
            <w:tcW w:w="2222" w:type="dxa"/>
          </w:tcPr>
          <w:p w14:paraId="30E0525E" w14:textId="77777777" w:rsidR="007C21E0" w:rsidRDefault="007C21E0" w:rsidP="007C21E0"/>
        </w:tc>
      </w:tr>
      <w:tr w:rsidR="00886CAD" w14:paraId="142BE8DD" w14:textId="77777777" w:rsidTr="004B5767">
        <w:tc>
          <w:tcPr>
            <w:tcW w:w="2337" w:type="dxa"/>
          </w:tcPr>
          <w:p w14:paraId="09B22D1C" w14:textId="43B89CCC" w:rsidR="00886CAD" w:rsidRDefault="00886CAD" w:rsidP="007C21E0">
            <w:r>
              <w:t>Walking (Ambulating)</w:t>
            </w:r>
          </w:p>
        </w:tc>
        <w:tc>
          <w:tcPr>
            <w:tcW w:w="2337" w:type="dxa"/>
          </w:tcPr>
          <w:p w14:paraId="13793450" w14:textId="77777777" w:rsidR="00886CAD" w:rsidRDefault="00886CAD" w:rsidP="007C21E0"/>
        </w:tc>
        <w:tc>
          <w:tcPr>
            <w:tcW w:w="2454" w:type="dxa"/>
          </w:tcPr>
          <w:p w14:paraId="2BD889D3" w14:textId="77777777" w:rsidR="00886CAD" w:rsidRDefault="00886CAD" w:rsidP="007C21E0"/>
        </w:tc>
        <w:tc>
          <w:tcPr>
            <w:tcW w:w="2222" w:type="dxa"/>
          </w:tcPr>
          <w:p w14:paraId="2D2C364D" w14:textId="77777777" w:rsidR="00886CAD" w:rsidRDefault="00886CAD" w:rsidP="007C21E0">
            <w:pPr>
              <w:rPr>
                <w:rStyle w:val="CommentReference"/>
              </w:rPr>
            </w:pPr>
          </w:p>
        </w:tc>
      </w:tr>
      <w:tr w:rsidR="00886CAD" w14:paraId="148BAADB" w14:textId="77777777" w:rsidTr="004B5767">
        <w:tc>
          <w:tcPr>
            <w:tcW w:w="2337" w:type="dxa"/>
          </w:tcPr>
          <w:p w14:paraId="10993F8C" w14:textId="5419281C" w:rsidR="00886CAD" w:rsidRDefault="00886CAD" w:rsidP="00F05103">
            <w:r>
              <w:t xml:space="preserve">Getting into and out of </w:t>
            </w:r>
            <w:r w:rsidR="00F05103">
              <w:t>chair or bed</w:t>
            </w:r>
            <w:r>
              <w:t xml:space="preserve"> (Transferring)</w:t>
            </w:r>
          </w:p>
        </w:tc>
        <w:tc>
          <w:tcPr>
            <w:tcW w:w="2337" w:type="dxa"/>
          </w:tcPr>
          <w:p w14:paraId="6227A63D" w14:textId="77777777" w:rsidR="00886CAD" w:rsidRDefault="00886CAD" w:rsidP="007C21E0"/>
        </w:tc>
        <w:tc>
          <w:tcPr>
            <w:tcW w:w="2454" w:type="dxa"/>
          </w:tcPr>
          <w:p w14:paraId="26215DD6" w14:textId="77777777" w:rsidR="00886CAD" w:rsidRDefault="00886CAD" w:rsidP="007C21E0"/>
        </w:tc>
        <w:tc>
          <w:tcPr>
            <w:tcW w:w="2222" w:type="dxa"/>
          </w:tcPr>
          <w:p w14:paraId="69198EE4" w14:textId="77777777" w:rsidR="00886CAD" w:rsidRDefault="00886CAD" w:rsidP="007C21E0">
            <w:pPr>
              <w:rPr>
                <w:rStyle w:val="CommentReference"/>
              </w:rPr>
            </w:pPr>
          </w:p>
        </w:tc>
      </w:tr>
      <w:tr w:rsidR="007C21E0" w14:paraId="1945E5FB" w14:textId="77777777" w:rsidTr="004B5767">
        <w:tc>
          <w:tcPr>
            <w:tcW w:w="2337" w:type="dxa"/>
          </w:tcPr>
          <w:p w14:paraId="1AD8AD5A" w14:textId="64248B18" w:rsidR="007C21E0" w:rsidRDefault="00F05103" w:rsidP="00F05103">
            <w:r>
              <w:t>Taking or reminding to take medication</w:t>
            </w:r>
          </w:p>
        </w:tc>
        <w:tc>
          <w:tcPr>
            <w:tcW w:w="2337" w:type="dxa"/>
          </w:tcPr>
          <w:p w14:paraId="057F0DBF" w14:textId="77777777" w:rsidR="007C21E0" w:rsidRDefault="007C21E0" w:rsidP="007C21E0"/>
        </w:tc>
        <w:tc>
          <w:tcPr>
            <w:tcW w:w="2454" w:type="dxa"/>
          </w:tcPr>
          <w:p w14:paraId="763F06C4" w14:textId="77777777" w:rsidR="007C21E0" w:rsidRDefault="007C21E0" w:rsidP="007C21E0"/>
        </w:tc>
        <w:tc>
          <w:tcPr>
            <w:tcW w:w="2222" w:type="dxa"/>
          </w:tcPr>
          <w:p w14:paraId="6AF377C0" w14:textId="77777777" w:rsidR="007C21E0" w:rsidRDefault="007C21E0" w:rsidP="007C21E0"/>
        </w:tc>
      </w:tr>
      <w:tr w:rsidR="007C21E0" w14:paraId="7C88C7F1" w14:textId="77777777" w:rsidTr="004B5767">
        <w:tc>
          <w:tcPr>
            <w:tcW w:w="2337" w:type="dxa"/>
          </w:tcPr>
          <w:p w14:paraId="299490F2" w14:textId="787B0D03" w:rsidR="007C21E0" w:rsidRDefault="007C21E0" w:rsidP="007C21E0">
            <w:r>
              <w:t>Meal Preparation</w:t>
            </w:r>
          </w:p>
        </w:tc>
        <w:tc>
          <w:tcPr>
            <w:tcW w:w="2337" w:type="dxa"/>
          </w:tcPr>
          <w:p w14:paraId="438967AF" w14:textId="77777777" w:rsidR="007C21E0" w:rsidRDefault="007C21E0" w:rsidP="007C21E0"/>
        </w:tc>
        <w:tc>
          <w:tcPr>
            <w:tcW w:w="2454" w:type="dxa"/>
          </w:tcPr>
          <w:p w14:paraId="095B8144" w14:textId="77777777" w:rsidR="007C21E0" w:rsidRDefault="007C21E0" w:rsidP="007C21E0"/>
        </w:tc>
        <w:tc>
          <w:tcPr>
            <w:tcW w:w="2222" w:type="dxa"/>
          </w:tcPr>
          <w:p w14:paraId="167AB545" w14:textId="77777777" w:rsidR="007C21E0" w:rsidRDefault="007C21E0" w:rsidP="007C21E0"/>
        </w:tc>
      </w:tr>
      <w:tr w:rsidR="007C21E0" w14:paraId="328BAE28" w14:textId="77777777" w:rsidTr="004B5767">
        <w:tc>
          <w:tcPr>
            <w:tcW w:w="2337" w:type="dxa"/>
          </w:tcPr>
          <w:p w14:paraId="1B55AEC8" w14:textId="0E0FABE0" w:rsidR="007C21E0" w:rsidRDefault="007C21E0" w:rsidP="007C21E0">
            <w:r>
              <w:t>Shopping</w:t>
            </w:r>
          </w:p>
        </w:tc>
        <w:tc>
          <w:tcPr>
            <w:tcW w:w="2337" w:type="dxa"/>
          </w:tcPr>
          <w:p w14:paraId="411EDF23" w14:textId="77777777" w:rsidR="007C21E0" w:rsidRDefault="007C21E0" w:rsidP="007C21E0"/>
        </w:tc>
        <w:tc>
          <w:tcPr>
            <w:tcW w:w="2454" w:type="dxa"/>
          </w:tcPr>
          <w:p w14:paraId="58630932" w14:textId="77777777" w:rsidR="007C21E0" w:rsidRDefault="007C21E0" w:rsidP="007C21E0"/>
        </w:tc>
        <w:tc>
          <w:tcPr>
            <w:tcW w:w="2222" w:type="dxa"/>
          </w:tcPr>
          <w:p w14:paraId="6A64A7F1" w14:textId="77777777" w:rsidR="007C21E0" w:rsidRDefault="007C21E0" w:rsidP="007C21E0"/>
        </w:tc>
      </w:tr>
      <w:tr w:rsidR="007C21E0" w14:paraId="4D083B5B" w14:textId="77777777" w:rsidTr="004B5767">
        <w:tc>
          <w:tcPr>
            <w:tcW w:w="2337" w:type="dxa"/>
          </w:tcPr>
          <w:p w14:paraId="76E91755" w14:textId="4D207303" w:rsidR="007C21E0" w:rsidRDefault="007C21E0" w:rsidP="007C21E0">
            <w:r>
              <w:t>Laundry</w:t>
            </w:r>
          </w:p>
        </w:tc>
        <w:tc>
          <w:tcPr>
            <w:tcW w:w="2337" w:type="dxa"/>
          </w:tcPr>
          <w:p w14:paraId="6731142F" w14:textId="77777777" w:rsidR="007C21E0" w:rsidRDefault="007C21E0" w:rsidP="007C21E0"/>
        </w:tc>
        <w:tc>
          <w:tcPr>
            <w:tcW w:w="2454" w:type="dxa"/>
          </w:tcPr>
          <w:p w14:paraId="60E03619" w14:textId="77777777" w:rsidR="007C21E0" w:rsidRDefault="007C21E0" w:rsidP="007C21E0"/>
        </w:tc>
        <w:tc>
          <w:tcPr>
            <w:tcW w:w="2222" w:type="dxa"/>
          </w:tcPr>
          <w:p w14:paraId="148853EC" w14:textId="77777777" w:rsidR="007C21E0" w:rsidRDefault="007C21E0" w:rsidP="007C21E0"/>
        </w:tc>
      </w:tr>
      <w:tr w:rsidR="007C21E0" w14:paraId="5BB6D1F5" w14:textId="77777777" w:rsidTr="004B5767">
        <w:tc>
          <w:tcPr>
            <w:tcW w:w="2337" w:type="dxa"/>
          </w:tcPr>
          <w:p w14:paraId="17E601F1" w14:textId="654F4195" w:rsidR="007C21E0" w:rsidRDefault="007C21E0" w:rsidP="007C21E0">
            <w:r>
              <w:t>Transportation to Medical Appointments</w:t>
            </w:r>
          </w:p>
        </w:tc>
        <w:tc>
          <w:tcPr>
            <w:tcW w:w="2337" w:type="dxa"/>
          </w:tcPr>
          <w:p w14:paraId="6DE53CEF" w14:textId="77777777" w:rsidR="007C21E0" w:rsidRDefault="007C21E0" w:rsidP="007C21E0"/>
        </w:tc>
        <w:tc>
          <w:tcPr>
            <w:tcW w:w="2454" w:type="dxa"/>
          </w:tcPr>
          <w:p w14:paraId="0E5F9A7B" w14:textId="77777777" w:rsidR="007C21E0" w:rsidRDefault="007C21E0" w:rsidP="007C21E0"/>
        </w:tc>
        <w:tc>
          <w:tcPr>
            <w:tcW w:w="2222" w:type="dxa"/>
          </w:tcPr>
          <w:p w14:paraId="04B62BB1" w14:textId="77777777" w:rsidR="007C21E0" w:rsidRDefault="007C21E0" w:rsidP="007C21E0"/>
        </w:tc>
      </w:tr>
      <w:tr w:rsidR="00886CAD" w14:paraId="22447001" w14:textId="77777777" w:rsidTr="004B5767">
        <w:tc>
          <w:tcPr>
            <w:tcW w:w="2337" w:type="dxa"/>
          </w:tcPr>
          <w:p w14:paraId="6758B1EA" w14:textId="7306E94D" w:rsidR="00886CAD" w:rsidRDefault="00886CAD" w:rsidP="007C21E0">
            <w:r>
              <w:t>Supervision (due to cognition/memory loss)</w:t>
            </w:r>
          </w:p>
        </w:tc>
        <w:tc>
          <w:tcPr>
            <w:tcW w:w="2337" w:type="dxa"/>
          </w:tcPr>
          <w:p w14:paraId="50AE5751" w14:textId="77777777" w:rsidR="00886CAD" w:rsidRDefault="00886CAD" w:rsidP="007C21E0"/>
        </w:tc>
        <w:tc>
          <w:tcPr>
            <w:tcW w:w="2454" w:type="dxa"/>
          </w:tcPr>
          <w:p w14:paraId="4B589B30" w14:textId="77777777" w:rsidR="00886CAD" w:rsidRDefault="00886CAD" w:rsidP="007C21E0"/>
        </w:tc>
        <w:tc>
          <w:tcPr>
            <w:tcW w:w="2222" w:type="dxa"/>
          </w:tcPr>
          <w:p w14:paraId="21465555" w14:textId="77777777" w:rsidR="00886CAD" w:rsidRDefault="00886CAD" w:rsidP="007C21E0"/>
        </w:tc>
      </w:tr>
      <w:tr w:rsidR="007C21E0" w14:paraId="2E000E21" w14:textId="77777777" w:rsidTr="004B5767">
        <w:tc>
          <w:tcPr>
            <w:tcW w:w="2337" w:type="dxa"/>
          </w:tcPr>
          <w:p w14:paraId="6BF04CEE" w14:textId="65C58AD9" w:rsidR="007C21E0" w:rsidRDefault="007C21E0" w:rsidP="007C21E0">
            <w:r>
              <w:t>Other</w:t>
            </w:r>
          </w:p>
        </w:tc>
        <w:tc>
          <w:tcPr>
            <w:tcW w:w="2337" w:type="dxa"/>
          </w:tcPr>
          <w:p w14:paraId="7CC437AD" w14:textId="77777777" w:rsidR="007C21E0" w:rsidRDefault="007C21E0" w:rsidP="007C21E0"/>
        </w:tc>
        <w:tc>
          <w:tcPr>
            <w:tcW w:w="2454" w:type="dxa"/>
          </w:tcPr>
          <w:p w14:paraId="0E98D360" w14:textId="77777777" w:rsidR="007C21E0" w:rsidRDefault="007C21E0" w:rsidP="007C21E0"/>
        </w:tc>
        <w:tc>
          <w:tcPr>
            <w:tcW w:w="2222" w:type="dxa"/>
          </w:tcPr>
          <w:p w14:paraId="17F1B02B" w14:textId="77777777" w:rsidR="007C21E0" w:rsidRDefault="007C21E0" w:rsidP="007C21E0"/>
        </w:tc>
      </w:tr>
    </w:tbl>
    <w:p w14:paraId="282D5819" w14:textId="15061F5E" w:rsidR="00DC6224" w:rsidRPr="00BB71B4" w:rsidRDefault="00DC6224" w:rsidP="004032DC">
      <w:pPr>
        <w:spacing w:after="120"/>
        <w:rPr>
          <w:b/>
          <w:bCs/>
          <w:i/>
          <w:iCs/>
          <w:sz w:val="24"/>
          <w:szCs w:val="24"/>
        </w:rPr>
      </w:pPr>
      <w:r w:rsidRPr="00BB71B4">
        <w:rPr>
          <w:b/>
          <w:bCs/>
          <w:i/>
          <w:iCs/>
          <w:sz w:val="24"/>
          <w:szCs w:val="24"/>
        </w:rPr>
        <w:t xml:space="preserve">Step </w:t>
      </w:r>
      <w:r w:rsidR="004032DC">
        <w:rPr>
          <w:b/>
          <w:bCs/>
          <w:i/>
          <w:iCs/>
          <w:sz w:val="24"/>
          <w:szCs w:val="24"/>
        </w:rPr>
        <w:t>4</w:t>
      </w:r>
      <w:r w:rsidR="004032DC" w:rsidRPr="00BB71B4">
        <w:rPr>
          <w:b/>
          <w:bCs/>
          <w:i/>
          <w:iCs/>
          <w:sz w:val="24"/>
          <w:szCs w:val="24"/>
        </w:rPr>
        <w:t xml:space="preserve">:  </w:t>
      </w:r>
      <w:r w:rsidR="00F9167E" w:rsidRPr="00BB71B4">
        <w:rPr>
          <w:b/>
          <w:bCs/>
          <w:i/>
          <w:iCs/>
          <w:sz w:val="24"/>
          <w:szCs w:val="24"/>
        </w:rPr>
        <w:t xml:space="preserve">If </w:t>
      </w:r>
      <w:r w:rsidR="004032DC" w:rsidRPr="00BB71B4">
        <w:rPr>
          <w:b/>
          <w:bCs/>
          <w:i/>
          <w:iCs/>
          <w:sz w:val="24"/>
          <w:szCs w:val="24"/>
        </w:rPr>
        <w:t>Outside Service</w:t>
      </w:r>
      <w:r w:rsidR="004032DC">
        <w:rPr>
          <w:b/>
          <w:bCs/>
          <w:i/>
          <w:iCs/>
          <w:sz w:val="24"/>
          <w:szCs w:val="24"/>
        </w:rPr>
        <w:t>s</w:t>
      </w:r>
      <w:r w:rsidR="004032DC" w:rsidRPr="00BB71B4">
        <w:rPr>
          <w:b/>
          <w:bCs/>
          <w:i/>
          <w:iCs/>
          <w:sz w:val="24"/>
          <w:szCs w:val="24"/>
        </w:rPr>
        <w:t xml:space="preserve"> Are Needed</w:t>
      </w:r>
      <w:r w:rsidR="004032DC">
        <w:rPr>
          <w:b/>
          <w:bCs/>
          <w:i/>
          <w:iCs/>
          <w:sz w:val="24"/>
          <w:szCs w:val="24"/>
        </w:rPr>
        <w:t>:</w:t>
      </w:r>
    </w:p>
    <w:p w14:paraId="428403ED" w14:textId="35C7398A" w:rsidR="00E7470F" w:rsidRPr="00BB71B4" w:rsidRDefault="00E7470F" w:rsidP="004032DC">
      <w:pPr>
        <w:spacing w:after="120"/>
      </w:pPr>
      <w:r w:rsidRPr="00BB71B4">
        <w:t xml:space="preserve">Now that you have </w:t>
      </w:r>
      <w:r w:rsidR="00596851">
        <w:t xml:space="preserve">a sense of </w:t>
      </w:r>
      <w:r w:rsidRPr="00BB71B4">
        <w:t xml:space="preserve">what your </w:t>
      </w:r>
      <w:r w:rsidR="00596851">
        <w:t>love</w:t>
      </w:r>
      <w:r w:rsidR="00863CB2">
        <w:t>d</w:t>
      </w:r>
      <w:r w:rsidR="00596851">
        <w:t xml:space="preserve"> one’s</w:t>
      </w:r>
      <w:r w:rsidRPr="00BB71B4">
        <w:t xml:space="preserve"> needs are </w:t>
      </w:r>
      <w:r w:rsidR="00A05858" w:rsidRPr="00BB71B4">
        <w:t xml:space="preserve">and which of these needs </w:t>
      </w:r>
      <w:r w:rsidR="002B497A" w:rsidRPr="00BB71B4">
        <w:t>requires outside assistance</w:t>
      </w:r>
      <w:r w:rsidR="00F07BCC" w:rsidRPr="00BB71B4">
        <w:t xml:space="preserve"> </w:t>
      </w:r>
      <w:r w:rsidR="001F5151" w:rsidRPr="00BB71B4">
        <w:t xml:space="preserve">there are </w:t>
      </w:r>
      <w:r w:rsidR="00BB71B4">
        <w:t>r</w:t>
      </w:r>
      <w:r w:rsidR="001F5151" w:rsidRPr="00BB71B4">
        <w:t xml:space="preserve">esources in your community to assist you with these decisions. </w:t>
      </w:r>
    </w:p>
    <w:p w14:paraId="77A4D66D" w14:textId="20BDB450" w:rsidR="00247033" w:rsidRPr="00BB71B4" w:rsidRDefault="00247033" w:rsidP="004032DC">
      <w:pPr>
        <w:spacing w:after="120"/>
      </w:pPr>
      <w:r w:rsidRPr="00BB71B4">
        <w:t>Aging Service Access Points (ASAPs)</w:t>
      </w:r>
      <w:r w:rsidR="00BB71B4">
        <w:t xml:space="preserve"> are</w:t>
      </w:r>
      <w:r w:rsidRPr="00BB71B4">
        <w:t xml:space="preserve"> </w:t>
      </w:r>
      <w:r w:rsidR="00D91741" w:rsidRPr="00BB71B4">
        <w:t xml:space="preserve">available in every region in the state and </w:t>
      </w:r>
      <w:r w:rsidR="00902D09" w:rsidRPr="00BB71B4">
        <w:t>can help evaluat</w:t>
      </w:r>
      <w:r w:rsidR="00CC3734">
        <w:t>e</w:t>
      </w:r>
      <w:r w:rsidR="00902D09" w:rsidRPr="00BB71B4">
        <w:t xml:space="preserve"> the following questions</w:t>
      </w:r>
      <w:r w:rsidR="00BB71B4">
        <w:t xml:space="preserve"> regarding the long-term care needs of a loved one</w:t>
      </w:r>
      <w:r w:rsidR="00902D09" w:rsidRPr="00BB71B4">
        <w:t xml:space="preserve">. </w:t>
      </w:r>
    </w:p>
    <w:p w14:paraId="6E996DA1" w14:textId="6460542F" w:rsidR="00DC6224" w:rsidRPr="001F1C89" w:rsidRDefault="00DC6224" w:rsidP="004032DC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>
        <w:t xml:space="preserve">What services or care </w:t>
      </w:r>
      <w:r w:rsidR="002E190D">
        <w:t>are</w:t>
      </w:r>
      <w:r>
        <w:t xml:space="preserve"> available to support community</w:t>
      </w:r>
      <w:r w:rsidR="00596851">
        <w:t xml:space="preserve"> living</w:t>
      </w:r>
      <w:r>
        <w:t>?</w:t>
      </w:r>
    </w:p>
    <w:p w14:paraId="0F0F9C52" w14:textId="77777777" w:rsidR="00DC6224" w:rsidRPr="00AC680D" w:rsidRDefault="00DC6224" w:rsidP="004032DC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>
        <w:t>What assistive devices or home modifications are available to support my loved one living in the community?</w:t>
      </w:r>
    </w:p>
    <w:p w14:paraId="64ECBFBE" w14:textId="77777777" w:rsidR="00DC6224" w:rsidRPr="00AC680D" w:rsidRDefault="00DC6224" w:rsidP="004032DC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>
        <w:t>Does insurance cover any services, care and/or home modifications? If not, what funding, loans or donations may be available?</w:t>
      </w:r>
    </w:p>
    <w:p w14:paraId="1DD51F1A" w14:textId="2A77ED6B" w:rsidR="00067239" w:rsidRPr="00CC3734" w:rsidRDefault="00CC3734" w:rsidP="004032DC">
      <w:pPr>
        <w:spacing w:after="120"/>
        <w:rPr>
          <w:b/>
          <w:bCs/>
        </w:rPr>
      </w:pPr>
      <w:r>
        <w:t xml:space="preserve">Additionally, </w:t>
      </w:r>
      <w:r w:rsidR="00337666">
        <w:t>if</w:t>
      </w:r>
      <w:r w:rsidR="00D91741">
        <w:t xml:space="preserve"> your loved one was previously receiving in-home services from their local ASAP</w:t>
      </w:r>
      <w:r w:rsidR="00030950">
        <w:t xml:space="preserve">, the ASAP </w:t>
      </w:r>
      <w:r w:rsidR="00067239">
        <w:t xml:space="preserve">can assist </w:t>
      </w:r>
      <w:r w:rsidR="00030950">
        <w:t>with</w:t>
      </w:r>
      <w:r w:rsidR="00067239">
        <w:t xml:space="preserve"> re-instating services upon their return home</w:t>
      </w:r>
      <w:r w:rsidR="00D91741">
        <w:t>.</w:t>
      </w:r>
    </w:p>
    <w:p w14:paraId="3F262204" w14:textId="502AAF1D" w:rsidR="00ED695D" w:rsidRPr="00337666" w:rsidRDefault="00F3171F" w:rsidP="004032DC">
      <w:pPr>
        <w:spacing w:after="120" w:line="240" w:lineRule="auto"/>
        <w:rPr>
          <w:b/>
          <w:bCs/>
          <w:i/>
          <w:iCs/>
          <w:sz w:val="24"/>
          <w:szCs w:val="24"/>
        </w:rPr>
      </w:pPr>
      <w:r w:rsidRPr="00337666">
        <w:rPr>
          <w:b/>
          <w:bCs/>
          <w:i/>
          <w:iCs/>
          <w:sz w:val="24"/>
          <w:szCs w:val="24"/>
        </w:rPr>
        <w:t xml:space="preserve">Step </w:t>
      </w:r>
      <w:r w:rsidR="0045360B">
        <w:rPr>
          <w:b/>
          <w:bCs/>
          <w:i/>
          <w:iCs/>
          <w:sz w:val="24"/>
          <w:szCs w:val="24"/>
        </w:rPr>
        <w:t>5</w:t>
      </w:r>
      <w:r w:rsidRPr="00337666">
        <w:rPr>
          <w:b/>
          <w:bCs/>
          <w:i/>
          <w:iCs/>
          <w:sz w:val="24"/>
          <w:szCs w:val="24"/>
        </w:rPr>
        <w:t xml:space="preserve">: </w:t>
      </w:r>
      <w:r w:rsidR="00ED695D" w:rsidRPr="00337666">
        <w:rPr>
          <w:b/>
          <w:bCs/>
          <w:i/>
          <w:iCs/>
          <w:sz w:val="24"/>
          <w:szCs w:val="24"/>
        </w:rPr>
        <w:t xml:space="preserve">Call your </w:t>
      </w:r>
      <w:r w:rsidR="001D56D0" w:rsidRPr="00337666">
        <w:rPr>
          <w:b/>
          <w:bCs/>
          <w:i/>
          <w:iCs/>
          <w:sz w:val="24"/>
          <w:szCs w:val="24"/>
        </w:rPr>
        <w:t>Local</w:t>
      </w:r>
      <w:r w:rsidR="00ED695D" w:rsidRPr="00337666">
        <w:rPr>
          <w:b/>
          <w:bCs/>
          <w:i/>
          <w:iCs/>
          <w:sz w:val="24"/>
          <w:szCs w:val="24"/>
        </w:rPr>
        <w:t xml:space="preserve"> Aging Service Access Point (ASAP)</w:t>
      </w:r>
      <w:r w:rsidR="004032DC">
        <w:rPr>
          <w:b/>
          <w:bCs/>
          <w:i/>
          <w:iCs/>
          <w:sz w:val="24"/>
          <w:szCs w:val="24"/>
        </w:rPr>
        <w:t>:</w:t>
      </w:r>
    </w:p>
    <w:p w14:paraId="08DE6677" w14:textId="315EE681" w:rsidR="005951E2" w:rsidRDefault="006F67F1" w:rsidP="004032DC">
      <w:pPr>
        <w:spacing w:after="120" w:line="240" w:lineRule="auto"/>
      </w:pPr>
      <w:r>
        <w:t>Utilize your local ASAP t</w:t>
      </w:r>
      <w:r w:rsidR="00DA7AC6">
        <w:t xml:space="preserve">o help navigate these </w:t>
      </w:r>
      <w:r w:rsidR="001D56D0">
        <w:t>decisions and as</w:t>
      </w:r>
      <w:r w:rsidR="00596851">
        <w:t>k</w:t>
      </w:r>
      <w:r w:rsidR="001D56D0">
        <w:t xml:space="preserve"> which option is best for</w:t>
      </w:r>
      <w:r w:rsidR="00A048F9">
        <w:t xml:space="preserve"> your loved one</w:t>
      </w:r>
      <w:r w:rsidR="001D56D0">
        <w:t xml:space="preserve">. </w:t>
      </w:r>
      <w:proofErr w:type="gramStart"/>
      <w:r w:rsidR="00D16B52">
        <w:t xml:space="preserve">Go </w:t>
      </w:r>
      <w:r w:rsidR="009755F4">
        <w:t xml:space="preserve"> to</w:t>
      </w:r>
      <w:proofErr w:type="gramEnd"/>
      <w:r w:rsidR="009755F4">
        <w:t xml:space="preserve"> </w:t>
      </w:r>
      <w:hyperlink r:id="rId8" w:history="1">
        <w:r w:rsidR="009755F4" w:rsidRPr="009755F4">
          <w:rPr>
            <w:rStyle w:val="Hyperlink"/>
          </w:rPr>
          <w:t>www.800AGEINFO.com</w:t>
        </w:r>
      </w:hyperlink>
      <w:r w:rsidR="009755F4">
        <w:t xml:space="preserve"> </w:t>
      </w:r>
      <w:r w:rsidR="00D16B52">
        <w:t xml:space="preserve">to </w:t>
      </w:r>
      <w:r w:rsidR="00000002">
        <w:t xml:space="preserve"> identify your local ASAP and</w:t>
      </w:r>
      <w:r w:rsidR="00F3171F">
        <w:t xml:space="preserve"> their contact information. </w:t>
      </w:r>
    </w:p>
    <w:sectPr w:rsidR="005951E2" w:rsidSect="004B5767">
      <w:headerReference w:type="default" r:id="rId9"/>
      <w:footerReference w:type="default" r:id="rId10"/>
      <w:pgSz w:w="12240" w:h="15840"/>
      <w:pgMar w:top="1170" w:right="1440" w:bottom="1440" w:left="1440" w:header="576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28191" w14:textId="77777777" w:rsidR="009A5845" w:rsidRDefault="009A5845" w:rsidP="00B96CFA">
      <w:pPr>
        <w:spacing w:after="0" w:line="240" w:lineRule="auto"/>
      </w:pPr>
      <w:r>
        <w:separator/>
      </w:r>
    </w:p>
  </w:endnote>
  <w:endnote w:type="continuationSeparator" w:id="0">
    <w:p w14:paraId="4541DDC3" w14:textId="77777777" w:rsidR="009A5845" w:rsidRDefault="009A5845" w:rsidP="00B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38E4" w14:textId="77777777" w:rsidR="00B96CFA" w:rsidRDefault="00B96CF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A357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A357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0AF7D3D6" w14:textId="77777777" w:rsidR="00B96CFA" w:rsidRDefault="00B9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554C5" w14:textId="77777777" w:rsidR="009A5845" w:rsidRDefault="009A5845" w:rsidP="00B96CFA">
      <w:pPr>
        <w:spacing w:after="0" w:line="240" w:lineRule="auto"/>
      </w:pPr>
      <w:r>
        <w:separator/>
      </w:r>
    </w:p>
  </w:footnote>
  <w:footnote w:type="continuationSeparator" w:id="0">
    <w:p w14:paraId="1CF022BD" w14:textId="77777777" w:rsidR="009A5845" w:rsidRDefault="009A5845" w:rsidP="00B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F9BE" w14:textId="3C7C7391" w:rsidR="00D16B52" w:rsidRDefault="00D16B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996"/>
    <w:multiLevelType w:val="hybridMultilevel"/>
    <w:tmpl w:val="F0EE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0481D"/>
    <w:multiLevelType w:val="hybridMultilevel"/>
    <w:tmpl w:val="3E84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5626"/>
    <w:multiLevelType w:val="hybridMultilevel"/>
    <w:tmpl w:val="8134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04C38"/>
    <w:multiLevelType w:val="hybridMultilevel"/>
    <w:tmpl w:val="230002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EF038C"/>
    <w:multiLevelType w:val="hybridMultilevel"/>
    <w:tmpl w:val="8BC6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D111E"/>
    <w:multiLevelType w:val="hybridMultilevel"/>
    <w:tmpl w:val="04E6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A1810"/>
    <w:multiLevelType w:val="hybridMultilevel"/>
    <w:tmpl w:val="B5DE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B3"/>
    <w:rsid w:val="00000002"/>
    <w:rsid w:val="00013480"/>
    <w:rsid w:val="00030950"/>
    <w:rsid w:val="00033200"/>
    <w:rsid w:val="00065562"/>
    <w:rsid w:val="00067239"/>
    <w:rsid w:val="0008441C"/>
    <w:rsid w:val="000F6150"/>
    <w:rsid w:val="001142C0"/>
    <w:rsid w:val="001C5421"/>
    <w:rsid w:val="001D225A"/>
    <w:rsid w:val="001D56D0"/>
    <w:rsid w:val="001E1B7A"/>
    <w:rsid w:val="001E72FA"/>
    <w:rsid w:val="001F1C89"/>
    <w:rsid w:val="001F5151"/>
    <w:rsid w:val="00230C03"/>
    <w:rsid w:val="002411FE"/>
    <w:rsid w:val="00242EE4"/>
    <w:rsid w:val="00247033"/>
    <w:rsid w:val="0024745F"/>
    <w:rsid w:val="002968F9"/>
    <w:rsid w:val="002B497A"/>
    <w:rsid w:val="002E190D"/>
    <w:rsid w:val="00320A91"/>
    <w:rsid w:val="003225DC"/>
    <w:rsid w:val="003328C5"/>
    <w:rsid w:val="00337666"/>
    <w:rsid w:val="00371D02"/>
    <w:rsid w:val="003A357A"/>
    <w:rsid w:val="003A5E85"/>
    <w:rsid w:val="003E691D"/>
    <w:rsid w:val="004032DC"/>
    <w:rsid w:val="004062BA"/>
    <w:rsid w:val="0044742D"/>
    <w:rsid w:val="0045360B"/>
    <w:rsid w:val="004B05B1"/>
    <w:rsid w:val="004B5767"/>
    <w:rsid w:val="004F2C93"/>
    <w:rsid w:val="0058207F"/>
    <w:rsid w:val="005951E2"/>
    <w:rsid w:val="00596851"/>
    <w:rsid w:val="005B0216"/>
    <w:rsid w:val="005C44EC"/>
    <w:rsid w:val="005F5841"/>
    <w:rsid w:val="005F6C2E"/>
    <w:rsid w:val="00623011"/>
    <w:rsid w:val="006415AB"/>
    <w:rsid w:val="00644A76"/>
    <w:rsid w:val="00686476"/>
    <w:rsid w:val="006A0FF6"/>
    <w:rsid w:val="006B14DC"/>
    <w:rsid w:val="006E744E"/>
    <w:rsid w:val="006F2A1F"/>
    <w:rsid w:val="006F67F1"/>
    <w:rsid w:val="00733EED"/>
    <w:rsid w:val="00760161"/>
    <w:rsid w:val="00767460"/>
    <w:rsid w:val="007A34D8"/>
    <w:rsid w:val="007C21E0"/>
    <w:rsid w:val="007D4ACF"/>
    <w:rsid w:val="007E603C"/>
    <w:rsid w:val="0084062E"/>
    <w:rsid w:val="00863CB2"/>
    <w:rsid w:val="00875567"/>
    <w:rsid w:val="00886CAD"/>
    <w:rsid w:val="008911AA"/>
    <w:rsid w:val="008C65A2"/>
    <w:rsid w:val="00902D09"/>
    <w:rsid w:val="00913647"/>
    <w:rsid w:val="00922107"/>
    <w:rsid w:val="009278D7"/>
    <w:rsid w:val="00932068"/>
    <w:rsid w:val="009755F4"/>
    <w:rsid w:val="009A5023"/>
    <w:rsid w:val="009A5845"/>
    <w:rsid w:val="009A6AAA"/>
    <w:rsid w:val="009C3869"/>
    <w:rsid w:val="009D2777"/>
    <w:rsid w:val="009E4A3E"/>
    <w:rsid w:val="009F34DE"/>
    <w:rsid w:val="00A048F9"/>
    <w:rsid w:val="00A05858"/>
    <w:rsid w:val="00A118D1"/>
    <w:rsid w:val="00A221F2"/>
    <w:rsid w:val="00A32677"/>
    <w:rsid w:val="00AA5FCB"/>
    <w:rsid w:val="00AC680D"/>
    <w:rsid w:val="00AE07D5"/>
    <w:rsid w:val="00AE2C79"/>
    <w:rsid w:val="00AF37CD"/>
    <w:rsid w:val="00B02645"/>
    <w:rsid w:val="00B27DEB"/>
    <w:rsid w:val="00B84780"/>
    <w:rsid w:val="00B925C3"/>
    <w:rsid w:val="00B96CFA"/>
    <w:rsid w:val="00BA0138"/>
    <w:rsid w:val="00BB71B4"/>
    <w:rsid w:val="00BC6508"/>
    <w:rsid w:val="00BD14B3"/>
    <w:rsid w:val="00C02AAE"/>
    <w:rsid w:val="00C25F12"/>
    <w:rsid w:val="00C7250A"/>
    <w:rsid w:val="00C97A4D"/>
    <w:rsid w:val="00CC3734"/>
    <w:rsid w:val="00CE1B5D"/>
    <w:rsid w:val="00D0047B"/>
    <w:rsid w:val="00D02845"/>
    <w:rsid w:val="00D04A41"/>
    <w:rsid w:val="00D16B52"/>
    <w:rsid w:val="00D345D7"/>
    <w:rsid w:val="00D80F6E"/>
    <w:rsid w:val="00D874E4"/>
    <w:rsid w:val="00D91741"/>
    <w:rsid w:val="00DA7AC6"/>
    <w:rsid w:val="00DC6224"/>
    <w:rsid w:val="00E45F6D"/>
    <w:rsid w:val="00E562C9"/>
    <w:rsid w:val="00E7470F"/>
    <w:rsid w:val="00EB3907"/>
    <w:rsid w:val="00EB7CA0"/>
    <w:rsid w:val="00EC6863"/>
    <w:rsid w:val="00ED695D"/>
    <w:rsid w:val="00F05103"/>
    <w:rsid w:val="00F07BCC"/>
    <w:rsid w:val="00F165C2"/>
    <w:rsid w:val="00F3171F"/>
    <w:rsid w:val="00F3188E"/>
    <w:rsid w:val="00F426FD"/>
    <w:rsid w:val="00F9088D"/>
    <w:rsid w:val="00F9167E"/>
    <w:rsid w:val="00FC74B7"/>
    <w:rsid w:val="00FE311A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B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2D"/>
    <w:pPr>
      <w:ind w:left="720"/>
      <w:contextualSpacing/>
    </w:pPr>
  </w:style>
  <w:style w:type="table" w:styleId="TableGrid">
    <w:name w:val="Table Grid"/>
    <w:basedOn w:val="TableNormal"/>
    <w:uiPriority w:val="39"/>
    <w:rsid w:val="00B9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FA"/>
  </w:style>
  <w:style w:type="paragraph" w:styleId="Footer">
    <w:name w:val="footer"/>
    <w:basedOn w:val="Normal"/>
    <w:link w:val="FooterChar"/>
    <w:uiPriority w:val="99"/>
    <w:unhideWhenUsed/>
    <w:rsid w:val="00B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FA"/>
  </w:style>
  <w:style w:type="character" w:styleId="Hyperlink">
    <w:name w:val="Hyperlink"/>
    <w:basedOn w:val="DefaultParagraphFont"/>
    <w:uiPriority w:val="99"/>
    <w:unhideWhenUsed/>
    <w:rsid w:val="001F1C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7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4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5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2D"/>
    <w:pPr>
      <w:ind w:left="720"/>
      <w:contextualSpacing/>
    </w:pPr>
  </w:style>
  <w:style w:type="table" w:styleId="TableGrid">
    <w:name w:val="Table Grid"/>
    <w:basedOn w:val="TableNormal"/>
    <w:uiPriority w:val="39"/>
    <w:rsid w:val="00B9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FA"/>
  </w:style>
  <w:style w:type="paragraph" w:styleId="Footer">
    <w:name w:val="footer"/>
    <w:basedOn w:val="Normal"/>
    <w:link w:val="FooterChar"/>
    <w:uiPriority w:val="99"/>
    <w:unhideWhenUsed/>
    <w:rsid w:val="00B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FA"/>
  </w:style>
  <w:style w:type="character" w:styleId="Hyperlink">
    <w:name w:val="Hyperlink"/>
    <w:basedOn w:val="DefaultParagraphFont"/>
    <w:uiPriority w:val="99"/>
    <w:unhideWhenUsed/>
    <w:rsid w:val="001F1C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7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4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ctus.800ageinfo.com/FindAgency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K</dc:creator>
  <cp:lastModifiedBy>AutoBVT</cp:lastModifiedBy>
  <cp:revision>4</cp:revision>
  <dcterms:created xsi:type="dcterms:W3CDTF">2020-04-08T15:51:00Z</dcterms:created>
  <dcterms:modified xsi:type="dcterms:W3CDTF">2020-04-09T12:27:00Z</dcterms:modified>
</cp:coreProperties>
</file>