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0083" w14:textId="04862EB4" w:rsidR="003E571E" w:rsidRPr="00E55A82" w:rsidRDefault="00BC4E69" w:rsidP="009E64D1">
      <w:pPr>
        <w:pStyle w:val="Heading1"/>
        <w:rPr>
          <w:kern w:val="0"/>
          <w:lang w:val="es-419"/>
        </w:rPr>
      </w:pPr>
      <w:r>
        <w:rPr>
          <w:rFonts w:ascii="Aptos Display" w:eastAsia="Aptos Display" w:hAnsi="Aptos Display" w:cs="Times New Roman"/>
          <w:color w:val="0F4761"/>
          <w:kern w:val="0"/>
          <w:lang w:val="es-ES_tradnl"/>
        </w:rPr>
        <w:t xml:space="preserve">Elegibilidad </w:t>
      </w:r>
      <w:r w:rsidR="00C54959">
        <w:rPr>
          <w:rFonts w:ascii="Aptos Display" w:eastAsia="Aptos Display" w:hAnsi="Aptos Display" w:cs="Times New Roman"/>
          <w:color w:val="0F4761"/>
          <w:kern w:val="0"/>
          <w:lang w:val="es-ES_tradnl"/>
        </w:rPr>
        <w:t>c</w:t>
      </w:r>
      <w:r>
        <w:rPr>
          <w:rFonts w:ascii="Aptos Display" w:eastAsia="Aptos Display" w:hAnsi="Aptos Display" w:cs="Times New Roman"/>
          <w:color w:val="0F4761"/>
          <w:kern w:val="0"/>
          <w:lang w:val="es-ES_tradnl"/>
        </w:rPr>
        <w:t>ontinua</w:t>
      </w:r>
    </w:p>
    <w:p w14:paraId="19749E0C" w14:textId="77777777" w:rsidR="00342D75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¿Qué es la elegibilidad continua?</w:t>
      </w:r>
    </w:p>
    <w:p w14:paraId="29E000E3" w14:textId="2273A5C7" w:rsidR="00E73EBD" w:rsidRPr="00E55A82" w:rsidRDefault="00BC4E69" w:rsidP="00655284">
      <w:pPr>
        <w:pStyle w:val="BasicParagraph"/>
        <w:rPr>
          <w:rFonts w:asciiTheme="minorHAnsi" w:hAnsiTheme="minorHAnsi"/>
          <w:sz w:val="22"/>
          <w:szCs w:val="22"/>
          <w:lang w:val="es-419"/>
        </w:rPr>
      </w:pPr>
      <w:r>
        <w:rPr>
          <w:rFonts w:ascii="Aptos" w:eastAsia="Aptos" w:hAnsi="Aptos"/>
          <w:sz w:val="22"/>
          <w:szCs w:val="22"/>
          <w:lang w:val="es-ES_tradnl"/>
        </w:rPr>
        <w:t xml:space="preserve">La elegibilidad continua (CE) es un período de tiempo durante el cual ciertos afiliados de MassHealth no perderán la cobertura a pesar de quela mayoría de los cambios </w:t>
      </w:r>
      <w:r w:rsidR="00C957D5">
        <w:rPr>
          <w:rFonts w:ascii="Aptos" w:eastAsia="Aptos" w:hAnsi="Aptos"/>
          <w:sz w:val="22"/>
          <w:szCs w:val="22"/>
          <w:lang w:val="es-ES_tradnl"/>
        </w:rPr>
        <w:t xml:space="preserve">podrían </w:t>
      </w:r>
      <w:r>
        <w:rPr>
          <w:rFonts w:ascii="Aptos" w:eastAsia="Aptos" w:hAnsi="Aptos"/>
          <w:sz w:val="22"/>
          <w:szCs w:val="22"/>
          <w:lang w:val="es-ES_tradnl"/>
        </w:rPr>
        <w:t>afectar la elegibilidad.</w:t>
      </w:r>
    </w:p>
    <w:p w14:paraId="118EC5BB" w14:textId="77777777" w:rsidR="00342D75" w:rsidRPr="00E55A82" w:rsidRDefault="00BC4E69">
      <w:pPr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La CE es una herramienta valiosa para que los estados aseguren que estos afiliados tengan acceso constante a los servicios de salud que necesitan y permanezcan inscritos en la cobertura de salud para la que son elegibles.</w:t>
      </w:r>
    </w:p>
    <w:p w14:paraId="2D44526E" w14:textId="77777777" w:rsidR="00090A76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¿Quién es elegible para la CE?</w:t>
      </w:r>
    </w:p>
    <w:p w14:paraId="311B01FB" w14:textId="49AB8B60" w:rsidR="00090A76" w:rsidRPr="00E55A82" w:rsidRDefault="00BC4E69">
      <w:pPr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 xml:space="preserve">Actualmente, MassHealth ofrece CE a cuatro grupos: 1. </w:t>
      </w:r>
      <w:r w:rsidR="00C957D5">
        <w:rPr>
          <w:rFonts w:ascii="Aptos" w:eastAsia="Aptos" w:hAnsi="Aptos" w:cs="Times New Roman"/>
          <w:kern w:val="0"/>
          <w:lang w:val="es-ES_tradnl"/>
        </w:rPr>
        <w:t xml:space="preserve">personas </w:t>
      </w:r>
      <w:r>
        <w:rPr>
          <w:rFonts w:ascii="Aptos" w:eastAsia="Aptos" w:hAnsi="Aptos" w:cs="Times New Roman"/>
          <w:kern w:val="0"/>
          <w:lang w:val="es-ES_tradnl"/>
        </w:rPr>
        <w:t>afiliadas que han estado recientemente embarazadas; 2. afiliados que han salido recientemente de la cárcel o de un correccional; 3. afiliados menores de 19 años de edad; y 4. afiliados que han sido verificados como personas sin hogar de manera crónica. Se consideran verificados como “personas sin hogar crónicas” los afiliados de MassHealth que h</w:t>
      </w:r>
      <w:r w:rsidR="005119D7">
        <w:rPr>
          <w:rFonts w:ascii="Aptos" w:eastAsia="Aptos" w:hAnsi="Aptos" w:cs="Times New Roman"/>
          <w:kern w:val="0"/>
          <w:lang w:val="es-ES_tradnl"/>
        </w:rPr>
        <w:t>ay</w:t>
      </w:r>
      <w:r>
        <w:rPr>
          <w:rFonts w:ascii="Aptos" w:eastAsia="Aptos" w:hAnsi="Aptos" w:cs="Times New Roman"/>
          <w:kern w:val="0"/>
          <w:lang w:val="es-ES_tradnl"/>
        </w:rPr>
        <w:t xml:space="preserve">an estado en el </w:t>
      </w:r>
      <w:r w:rsidR="00C957D5">
        <w:rPr>
          <w:rFonts w:ascii="Aptos" w:eastAsia="Aptos" w:hAnsi="Aptos" w:cs="Times New Roman"/>
          <w:kern w:val="0"/>
          <w:lang w:val="es-ES_tradnl"/>
        </w:rPr>
        <w:t>S</w:t>
      </w:r>
      <w:r>
        <w:rPr>
          <w:rFonts w:ascii="Aptos" w:eastAsia="Aptos" w:hAnsi="Aptos" w:cs="Times New Roman"/>
          <w:kern w:val="0"/>
          <w:lang w:val="es-ES_tradnl"/>
        </w:rPr>
        <w:t xml:space="preserve">istema de manejo de la información de las personas sin hogar </w:t>
      </w:r>
      <w:r>
        <w:rPr>
          <w:rFonts w:ascii="Aptos" w:eastAsia="Aptos" w:hAnsi="Aptos" w:cs="Segoe UI"/>
          <w:color w:val="000000"/>
          <w:kern w:val="0"/>
          <w:lang w:val="es-ES_tradnl"/>
        </w:rPr>
        <w:t>durante seis meses o más.</w:t>
      </w:r>
    </w:p>
    <w:p w14:paraId="7427C09D" w14:textId="77777777" w:rsidR="00A87FCB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Grupos de elegibilidad para la CE y duración de la cobertura</w:t>
      </w:r>
    </w:p>
    <w:p w14:paraId="34153D59" w14:textId="550EB1AC" w:rsidR="00090A76" w:rsidRPr="00E55A82" w:rsidRDefault="00C957D5" w:rsidP="00FA1DB3">
      <w:pPr>
        <w:pStyle w:val="ListParagraph"/>
        <w:numPr>
          <w:ilvl w:val="0"/>
          <w:numId w:val="1"/>
        </w:numPr>
        <w:rPr>
          <w:kern w:val="0"/>
          <w:lang w:val="es-419"/>
        </w:rPr>
      </w:pPr>
      <w:r>
        <w:rPr>
          <w:rFonts w:ascii="Aptos" w:eastAsia="Aptos" w:hAnsi="Aptos" w:cs="Segoe UI"/>
          <w:b/>
          <w:bCs/>
          <w:color w:val="000000"/>
          <w:kern w:val="0"/>
          <w:lang w:val="es-ES_tradnl"/>
        </w:rPr>
        <w:t>Personas a</w:t>
      </w:r>
      <w:r w:rsidR="00BC4E69">
        <w:rPr>
          <w:rFonts w:ascii="Aptos" w:eastAsia="Aptos" w:hAnsi="Aptos" w:cs="Segoe UI"/>
          <w:b/>
          <w:bCs/>
          <w:color w:val="000000"/>
          <w:kern w:val="0"/>
          <w:lang w:val="es-ES_tradnl"/>
        </w:rPr>
        <w:t>filiadas que han estado recientemente embarazadas:</w:t>
      </w:r>
      <w:r w:rsidR="00BC4E69">
        <w:rPr>
          <w:rFonts w:ascii="Aptos" w:eastAsia="Aptos" w:hAnsi="Aptos" w:cs="Times New Roman"/>
          <w:kern w:val="0"/>
          <w:lang w:val="es-ES_tradnl"/>
        </w:rPr>
        <w:t xml:space="preserve"> Se otorgan 12 meses de CE después de finalizado el embarazo;</w:t>
      </w:r>
    </w:p>
    <w:p w14:paraId="2DDF51FB" w14:textId="2FC2FE7C" w:rsidR="00E73EBD" w:rsidRPr="00E55A82" w:rsidRDefault="00BC4E69" w:rsidP="00E73EBD">
      <w:pPr>
        <w:pStyle w:val="ListParagraph"/>
        <w:numPr>
          <w:ilvl w:val="0"/>
          <w:numId w:val="1"/>
        </w:numPr>
        <w:rPr>
          <w:kern w:val="0"/>
          <w:lang w:val="es-419"/>
        </w:rPr>
      </w:pPr>
      <w:r>
        <w:rPr>
          <w:rFonts w:ascii="Aptos" w:eastAsia="Aptos" w:hAnsi="Aptos" w:cs="Times New Roman"/>
          <w:b/>
          <w:bCs/>
          <w:kern w:val="0"/>
          <w:lang w:val="es-ES_tradnl"/>
        </w:rPr>
        <w:t>Afiliados que han salido recientemente de la cárcel o de un correccional:</w:t>
      </w:r>
      <w:r>
        <w:rPr>
          <w:rFonts w:ascii="Aptos" w:eastAsia="Aptos" w:hAnsi="Aptos" w:cs="Times New Roman"/>
          <w:kern w:val="0"/>
          <w:lang w:val="es-ES_tradnl"/>
        </w:rPr>
        <w:t xml:space="preserve"> Se otorgan 12</w:t>
      </w:r>
      <w:r w:rsidR="00C957D5">
        <w:rPr>
          <w:rFonts w:ascii="Aptos" w:eastAsia="Aptos" w:hAnsi="Aptos" w:cs="Times New Roman"/>
          <w:kern w:val="0"/>
          <w:lang w:val="es-ES_tradnl"/>
        </w:rPr>
        <w:t> </w:t>
      </w:r>
      <w:r>
        <w:rPr>
          <w:rFonts w:ascii="Aptos" w:eastAsia="Aptos" w:hAnsi="Aptos" w:cs="Times New Roman"/>
          <w:kern w:val="0"/>
          <w:lang w:val="es-ES_tradnl"/>
        </w:rPr>
        <w:t>meses de CE a los adultos entre 19 y 64 años cuando salen de una cárcel o un confinamiento por el primer año posterior a su reingreso a la comunidad.</w:t>
      </w:r>
    </w:p>
    <w:p w14:paraId="6B58CB12" w14:textId="66A99D35" w:rsidR="005566F3" w:rsidRPr="00E55A82" w:rsidRDefault="00BC4E69" w:rsidP="00E73EBD">
      <w:pPr>
        <w:pStyle w:val="ListParagraph"/>
        <w:numPr>
          <w:ilvl w:val="0"/>
          <w:numId w:val="1"/>
        </w:numPr>
        <w:rPr>
          <w:kern w:val="0"/>
          <w:lang w:val="es-419"/>
        </w:rPr>
      </w:pPr>
      <w:r>
        <w:rPr>
          <w:rFonts w:ascii="Aptos" w:eastAsia="Aptos" w:hAnsi="Aptos" w:cs="Times New Roman"/>
          <w:b/>
          <w:bCs/>
          <w:kern w:val="0"/>
          <w:lang w:val="es-ES_tradnl"/>
        </w:rPr>
        <w:t>Afiliados menores de 19 años de edad:</w:t>
      </w:r>
      <w:r>
        <w:rPr>
          <w:rFonts w:ascii="Aptos" w:eastAsia="Aptos" w:hAnsi="Aptos" w:cs="Times New Roman"/>
          <w:kern w:val="0"/>
          <w:lang w:val="es-ES_tradnl"/>
        </w:rPr>
        <w:t xml:space="preserve"> Se otorgan 12 meses de CE a los afiliados menores de 19 años; y</w:t>
      </w:r>
    </w:p>
    <w:p w14:paraId="487356EB" w14:textId="77777777" w:rsidR="005566F3" w:rsidRPr="00E55A82" w:rsidRDefault="00BC4E69" w:rsidP="005566F3">
      <w:pPr>
        <w:pStyle w:val="ListParagraph"/>
        <w:numPr>
          <w:ilvl w:val="0"/>
          <w:numId w:val="1"/>
        </w:numPr>
        <w:rPr>
          <w:kern w:val="0"/>
          <w:lang w:val="es-419"/>
        </w:rPr>
      </w:pPr>
      <w:r>
        <w:rPr>
          <w:rFonts w:ascii="Aptos" w:eastAsia="Aptos" w:hAnsi="Aptos" w:cs="Times New Roman"/>
          <w:b/>
          <w:bCs/>
          <w:kern w:val="0"/>
          <w:lang w:val="es-ES_tradnl"/>
        </w:rPr>
        <w:t>Afiliados verificados como personas sin hogar crónicas:</w:t>
      </w:r>
      <w:r>
        <w:rPr>
          <w:rFonts w:ascii="Aptos" w:eastAsia="Aptos" w:hAnsi="Aptos" w:cs="Times New Roman"/>
          <w:kern w:val="0"/>
          <w:lang w:val="es-ES_tradnl"/>
        </w:rPr>
        <w:t xml:space="preserve"> Se otorgan 24 meses de CE a los adultos que sean verificados como personas sin hogar y tengan entre 19 y 64 años de edad.</w:t>
      </w:r>
    </w:p>
    <w:p w14:paraId="0BDA4613" w14:textId="77777777" w:rsidR="00386FBD" w:rsidRPr="00E55A82" w:rsidRDefault="00386FBD" w:rsidP="00C21FE7">
      <w:pPr>
        <w:pStyle w:val="Heading2"/>
        <w:rPr>
          <w:kern w:val="0"/>
          <w:lang w:val="es-419"/>
        </w:rPr>
      </w:pPr>
    </w:p>
    <w:p w14:paraId="4FBEEC11" w14:textId="77777777" w:rsidR="00386FBD" w:rsidRPr="00E55A82" w:rsidRDefault="00BC4E69" w:rsidP="00C21FE7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¡Si usted está embarazada, asegúrese de informárselo a MassHealth para recibir esta cobertura!</w:t>
      </w:r>
    </w:p>
    <w:p w14:paraId="6A73259C" w14:textId="77777777" w:rsidR="00386FBD" w:rsidRPr="00E55A82" w:rsidRDefault="00386FBD" w:rsidP="00C21FE7">
      <w:pPr>
        <w:pStyle w:val="Heading2"/>
        <w:rPr>
          <w:kern w:val="0"/>
          <w:lang w:val="es-419"/>
        </w:rPr>
      </w:pPr>
    </w:p>
    <w:p w14:paraId="5E76BEEA" w14:textId="77777777" w:rsidR="00C21FE7" w:rsidRPr="00E55A82" w:rsidRDefault="00BC4E69" w:rsidP="00C21FE7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¿Cuándo termina la CE?</w:t>
      </w:r>
    </w:p>
    <w:p w14:paraId="0C8710C5" w14:textId="1400E302" w:rsidR="00474A0A" w:rsidRPr="00E55A82" w:rsidRDefault="00BC4E69" w:rsidP="00386FBD">
      <w:pPr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Los afiliados con CE conservan la cobertura independientemente de los cambios que se produzcan durante su per</w:t>
      </w:r>
      <w:r w:rsidR="00872862">
        <w:rPr>
          <w:rFonts w:ascii="Aptos" w:eastAsia="Aptos" w:hAnsi="Aptos" w:cs="Times New Roman"/>
          <w:kern w:val="0"/>
          <w:lang w:val="es-ES_tradnl"/>
        </w:rPr>
        <w:t>í</w:t>
      </w:r>
      <w:r>
        <w:rPr>
          <w:rFonts w:ascii="Aptos" w:eastAsia="Aptos" w:hAnsi="Aptos" w:cs="Times New Roman"/>
          <w:kern w:val="0"/>
          <w:lang w:val="es-ES_tradnl"/>
        </w:rPr>
        <w:t>odo de elegibilidad, excepto si la elegibilidad inicial se hubiera determinado de manera incorrecta o si estas personas superan la edad, fallecen, se mudan fuera del estado o solicitan la cancelación.</w:t>
      </w:r>
    </w:p>
    <w:p w14:paraId="349B0F69" w14:textId="77777777" w:rsidR="007D103F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lastRenderedPageBreak/>
        <w:t>¿Cuáles son los beneficios de la CE?</w:t>
      </w:r>
    </w:p>
    <w:p w14:paraId="3BAB11AD" w14:textId="77777777" w:rsidR="00BF127B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Mejora el estado de salud y el bienestar a corto y a largo plazo;</w:t>
      </w:r>
    </w:p>
    <w:p w14:paraId="2CD1EE38" w14:textId="011174A9" w:rsidR="00B646A5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 xml:space="preserve">Reduce el riesgo de un </w:t>
      </w:r>
      <w:r w:rsidR="00872862">
        <w:rPr>
          <w:rFonts w:ascii="Aptos" w:eastAsia="Aptos" w:hAnsi="Aptos" w:cs="Calibri"/>
          <w:color w:val="242424"/>
          <w:sz w:val="22"/>
          <w:szCs w:val="22"/>
          <w:lang w:val="es-ES_tradnl"/>
        </w:rPr>
        <w:t>efe</w:t>
      </w:r>
      <w:r w:rsidR="00872862">
        <w:rPr>
          <w:rFonts w:ascii="Aptos" w:eastAsia="Aptos" w:hAnsi="Aptos" w:cs="Calibri"/>
          <w:color w:val="242424"/>
          <w:sz w:val="22"/>
          <w:szCs w:val="22"/>
          <w:lang w:val="es-ES_tradnl"/>
        </w:rPr>
        <w:t xml:space="preserve">cto </w:t>
      </w: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negativo cuando los ingresos de la familia cambian inesperadamente;</w:t>
      </w:r>
    </w:p>
    <w:p w14:paraId="0CACA20E" w14:textId="77777777" w:rsidR="00BF127B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Promueve la equidad en la salud;</w:t>
      </w:r>
    </w:p>
    <w:p w14:paraId="55D1A00B" w14:textId="77777777" w:rsidR="00386FBD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Hace más eficientes los gastos en la atención médica;</w:t>
      </w:r>
    </w:p>
    <w:p w14:paraId="65F59F3C" w14:textId="77777777" w:rsidR="00BF127B" w:rsidRPr="00E55A82" w:rsidRDefault="00BC4E69" w:rsidP="00FA1DB3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Reduce la carga y los costos administrativos;</w:t>
      </w:r>
    </w:p>
    <w:p w14:paraId="1AEAA774" w14:textId="15B51BF6" w:rsidR="00BF127B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 xml:space="preserve">Aumenta la capacidad de MassHealth para medir </w:t>
      </w:r>
      <w:r w:rsidR="00872862">
        <w:rPr>
          <w:rFonts w:ascii="Aptos" w:eastAsia="Aptos" w:hAnsi="Aptos" w:cs="Calibri"/>
          <w:color w:val="242424"/>
          <w:sz w:val="22"/>
          <w:szCs w:val="22"/>
          <w:lang w:val="es-ES_tradnl"/>
        </w:rPr>
        <w:t>completa</w:t>
      </w:r>
      <w:r w:rsidR="00872862">
        <w:rPr>
          <w:rFonts w:ascii="Aptos" w:eastAsia="Aptos" w:hAnsi="Aptos" w:cs="Calibri"/>
          <w:color w:val="242424"/>
          <w:sz w:val="22"/>
          <w:szCs w:val="22"/>
          <w:lang w:val="es-ES_tradnl"/>
        </w:rPr>
        <w:t xml:space="preserve">mente </w:t>
      </w: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la calidad de la atención; y</w:t>
      </w:r>
    </w:p>
    <w:p w14:paraId="3726BAC6" w14:textId="77777777" w:rsidR="00BF127B" w:rsidRPr="00E55A82" w:rsidRDefault="00BC4E69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>
        <w:rPr>
          <w:rFonts w:ascii="Aptos" w:eastAsia="Aptos" w:hAnsi="Aptos" w:cs="Calibri"/>
          <w:color w:val="242424"/>
          <w:sz w:val="22"/>
          <w:szCs w:val="22"/>
          <w:lang w:val="es-ES_tradnl"/>
        </w:rPr>
        <w:t>Proporciona a los estados mejores herramientas para hacer que los planes de seguro de salud se responsabilicen de la calidad y la mejora en los resultados de la salud.</w:t>
      </w:r>
    </w:p>
    <w:p w14:paraId="63D80928" w14:textId="77777777" w:rsidR="000D670A" w:rsidRPr="00E55A82" w:rsidRDefault="000D670A" w:rsidP="00E73EBD">
      <w:pPr>
        <w:rPr>
          <w:b/>
          <w:bCs/>
          <w:kern w:val="0"/>
          <w:lang w:val="es-419"/>
        </w:rPr>
      </w:pPr>
    </w:p>
    <w:p w14:paraId="71E42B74" w14:textId="77777777" w:rsidR="009F62A5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¡La CE es un beneficio individual!</w:t>
      </w:r>
    </w:p>
    <w:p w14:paraId="5963FEDE" w14:textId="77777777" w:rsidR="00B024D9" w:rsidRPr="00E55A82" w:rsidRDefault="00BC4E69" w:rsidP="006E63A5">
      <w:pPr>
        <w:rPr>
          <w:b/>
          <w:bCs/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La CE se aplica a una persona en particular, no a todo el hogar de la persona.</w:t>
      </w:r>
    </w:p>
    <w:p w14:paraId="6C35830E" w14:textId="77777777" w:rsidR="004069DF" w:rsidRPr="00E55A82" w:rsidRDefault="00BC4E69" w:rsidP="006E63A5">
      <w:pPr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Los integrantes del hogar sin CE deben seguir informando los cambios, respondiendo a las solicitudes de información y completando las renovaciones y demás solicitudes de MassHealth a riesgo de perder la cobertura.</w:t>
      </w:r>
    </w:p>
    <w:p w14:paraId="5BF1AC51" w14:textId="77777777" w:rsidR="00631671" w:rsidRPr="00E55A82" w:rsidRDefault="00BC4E69" w:rsidP="009E64D1">
      <w:pPr>
        <w:pStyle w:val="Heading2"/>
        <w:rPr>
          <w:kern w:val="0"/>
          <w:lang w:val="es-419"/>
        </w:rPr>
      </w:pPr>
      <w:r>
        <w:rPr>
          <w:rFonts w:ascii="Aptos" w:eastAsia="Aptos" w:hAnsi="Aptos" w:cs="Times New Roman"/>
          <w:kern w:val="0"/>
          <w:lang w:val="es-ES_tradnl"/>
        </w:rPr>
        <w:t>¿Tiene preguntas?</w:t>
      </w:r>
    </w:p>
    <w:p w14:paraId="616C7F8F" w14:textId="77777777" w:rsidR="00631671" w:rsidRPr="00E55A82" w:rsidRDefault="00BC4E69" w:rsidP="00631671">
      <w:pPr>
        <w:rPr>
          <w:b/>
          <w:bCs/>
          <w:kern w:val="0"/>
          <w:lang w:val="es-419"/>
        </w:rPr>
      </w:pPr>
      <w:r>
        <w:rPr>
          <w:rFonts w:ascii="Aptos" w:eastAsia="Aptos" w:hAnsi="Aptos" w:cs="HelveticaNeueLT Std Lt"/>
          <w:color w:val="000000"/>
          <w:kern w:val="0"/>
          <w:lang w:val="es-ES_tradnl"/>
        </w:rPr>
        <w:t xml:space="preserve">Llame a MassHealth al </w:t>
      </w:r>
      <w:r>
        <w:rPr>
          <w:rFonts w:ascii="Aptos" w:eastAsia="Aptos" w:hAnsi="Aptos" w:cs="HelveticaNeueLT Std"/>
          <w:b/>
          <w:bCs/>
          <w:color w:val="000000"/>
          <w:kern w:val="0"/>
          <w:lang w:val="es-ES_tradnl"/>
        </w:rPr>
        <w:t>(800) 841-2900</w:t>
      </w:r>
      <w:r>
        <w:rPr>
          <w:rFonts w:ascii="Aptos" w:eastAsia="Aptos" w:hAnsi="Aptos" w:cs="HelveticaNeueLT Std Lt"/>
          <w:color w:val="000000"/>
          <w:kern w:val="0"/>
          <w:lang w:val="es-ES_tradnl"/>
        </w:rPr>
        <w:t>, TDD/TTY: 711. Los representantes están disponibles de lunes a viernes, de 08:00 a. m. a 05:00 p. m.</w:t>
      </w:r>
    </w:p>
    <w:sectPr w:rsidR="00631671" w:rsidRPr="00E55A82" w:rsidSect="003707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6D986" w14:textId="77777777" w:rsidR="003707CA" w:rsidRDefault="003707CA" w:rsidP="003707CA">
      <w:pPr>
        <w:spacing w:after="0" w:line="240" w:lineRule="auto"/>
      </w:pPr>
      <w:r>
        <w:separator/>
      </w:r>
    </w:p>
  </w:endnote>
  <w:endnote w:type="continuationSeparator" w:id="0">
    <w:p w14:paraId="392102E4" w14:textId="77777777" w:rsidR="003707CA" w:rsidRDefault="003707CA" w:rsidP="0037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Blk Cn">
    <w:panose1 w:val="020B080603070204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3EB9" w14:textId="069F0443" w:rsidR="007F25A6" w:rsidRPr="007F25A6" w:rsidRDefault="00BC4E69" w:rsidP="007F25A6">
    <w:pPr>
      <w:pStyle w:val="Footer"/>
      <w:rPr>
        <w:sz w:val="18"/>
        <w:szCs w:val="18"/>
      </w:rPr>
    </w:pPr>
    <w:r>
      <w:rPr>
        <w:rFonts w:ascii="Aptos" w:eastAsia="Aptos" w:hAnsi="Aptos" w:cs="Times New Roman"/>
        <w:sz w:val="18"/>
        <w:szCs w:val="18"/>
        <w:lang w:val="es-ES_tradnl"/>
      </w:rPr>
      <w:t>CE-</w:t>
    </w:r>
    <w:r w:rsidR="00872862">
      <w:rPr>
        <w:rFonts w:ascii="Aptos" w:eastAsia="Aptos" w:hAnsi="Aptos" w:cs="Times New Roman"/>
        <w:sz w:val="18"/>
        <w:szCs w:val="18"/>
        <w:lang w:val="es-ES_tradnl"/>
      </w:rPr>
      <w:t>ES-</w:t>
    </w:r>
    <w:r>
      <w:rPr>
        <w:rFonts w:ascii="Aptos" w:eastAsia="Aptos" w:hAnsi="Aptos" w:cs="Times New Roman"/>
        <w:sz w:val="18"/>
        <w:szCs w:val="18"/>
        <w:lang w:val="es-ES_tradnl"/>
      </w:rPr>
      <w:t>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F0AF6" w14:textId="77777777" w:rsidR="003707CA" w:rsidRDefault="003707CA" w:rsidP="003707CA">
      <w:pPr>
        <w:spacing w:after="0" w:line="240" w:lineRule="auto"/>
      </w:pPr>
      <w:r>
        <w:separator/>
      </w:r>
    </w:p>
  </w:footnote>
  <w:footnote w:type="continuationSeparator" w:id="0">
    <w:p w14:paraId="299C1D1A" w14:textId="77777777" w:rsidR="003707CA" w:rsidRDefault="003707CA" w:rsidP="0037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484"/>
    <w:multiLevelType w:val="hybridMultilevel"/>
    <w:tmpl w:val="DA7E9AAC"/>
    <w:lvl w:ilvl="0" w:tplc="A86A62BC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20C8F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4B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A3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E9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83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8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1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40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9C3"/>
    <w:multiLevelType w:val="hybridMultilevel"/>
    <w:tmpl w:val="79E81E90"/>
    <w:lvl w:ilvl="0" w:tplc="33E0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C8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66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2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6F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A5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D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E3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02152E"/>
    <w:multiLevelType w:val="hybridMultilevel"/>
    <w:tmpl w:val="5866B80C"/>
    <w:lvl w:ilvl="0" w:tplc="90B877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FD06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4A4F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18AC5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CCC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1A84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2CEF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FD46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1A2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0210E12"/>
    <w:multiLevelType w:val="hybridMultilevel"/>
    <w:tmpl w:val="036EFC4A"/>
    <w:lvl w:ilvl="0" w:tplc="61403C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C4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ED40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EAA80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464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4833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C6EF3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683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4BF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86B28C4"/>
    <w:multiLevelType w:val="hybridMultilevel"/>
    <w:tmpl w:val="8C700764"/>
    <w:lvl w:ilvl="0" w:tplc="F170E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CA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4C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8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C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E4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AD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5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2F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6DF3"/>
    <w:multiLevelType w:val="hybridMultilevel"/>
    <w:tmpl w:val="8970F5E4"/>
    <w:lvl w:ilvl="0" w:tplc="F4446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F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A0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8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4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CD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9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C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CB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0CE"/>
    <w:multiLevelType w:val="hybridMultilevel"/>
    <w:tmpl w:val="2F46FEE0"/>
    <w:lvl w:ilvl="0" w:tplc="9880D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C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A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68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E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0D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A1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83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5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8C8"/>
    <w:multiLevelType w:val="hybridMultilevel"/>
    <w:tmpl w:val="40C06AA0"/>
    <w:lvl w:ilvl="0" w:tplc="974CA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EE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E6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5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AB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A0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C1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28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6B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3C50"/>
    <w:multiLevelType w:val="hybridMultilevel"/>
    <w:tmpl w:val="F9FE2EDA"/>
    <w:lvl w:ilvl="0" w:tplc="06122D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DF23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4ED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80F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F165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A432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D8428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4E4C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AC10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095246161">
    <w:abstractNumId w:val="4"/>
  </w:num>
  <w:num w:numId="2" w16cid:durableId="2130315549">
    <w:abstractNumId w:val="1"/>
  </w:num>
  <w:num w:numId="3" w16cid:durableId="1448112135">
    <w:abstractNumId w:val="2"/>
  </w:num>
  <w:num w:numId="4" w16cid:durableId="888152738">
    <w:abstractNumId w:val="3"/>
  </w:num>
  <w:num w:numId="5" w16cid:durableId="753166653">
    <w:abstractNumId w:val="8"/>
  </w:num>
  <w:num w:numId="6" w16cid:durableId="1331718605">
    <w:abstractNumId w:val="7"/>
  </w:num>
  <w:num w:numId="7" w16cid:durableId="727387921">
    <w:abstractNumId w:val="5"/>
  </w:num>
  <w:num w:numId="8" w16cid:durableId="1532497448">
    <w:abstractNumId w:val="6"/>
  </w:num>
  <w:num w:numId="9" w16cid:durableId="3208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5"/>
    <w:rsid w:val="000546B1"/>
    <w:rsid w:val="00070389"/>
    <w:rsid w:val="00075733"/>
    <w:rsid w:val="00090A76"/>
    <w:rsid w:val="000971B7"/>
    <w:rsid w:val="000D2E9F"/>
    <w:rsid w:val="000D5324"/>
    <w:rsid w:val="000D670A"/>
    <w:rsid w:val="00114C60"/>
    <w:rsid w:val="001778AA"/>
    <w:rsid w:val="00180C7B"/>
    <w:rsid w:val="001831F7"/>
    <w:rsid w:val="001A2DCF"/>
    <w:rsid w:val="001D7CDC"/>
    <w:rsid w:val="001F3B48"/>
    <w:rsid w:val="00226D96"/>
    <w:rsid w:val="00232BFD"/>
    <w:rsid w:val="002424E3"/>
    <w:rsid w:val="002672C9"/>
    <w:rsid w:val="002B39B5"/>
    <w:rsid w:val="002E0A7C"/>
    <w:rsid w:val="00300E27"/>
    <w:rsid w:val="00312C7C"/>
    <w:rsid w:val="00342D75"/>
    <w:rsid w:val="003707CA"/>
    <w:rsid w:val="00386FBD"/>
    <w:rsid w:val="003B573E"/>
    <w:rsid w:val="003E571E"/>
    <w:rsid w:val="003F53C7"/>
    <w:rsid w:val="004069DF"/>
    <w:rsid w:val="00414C52"/>
    <w:rsid w:val="00420EEB"/>
    <w:rsid w:val="004525FF"/>
    <w:rsid w:val="0045324C"/>
    <w:rsid w:val="00454A7D"/>
    <w:rsid w:val="00474A0A"/>
    <w:rsid w:val="0047557A"/>
    <w:rsid w:val="0049276E"/>
    <w:rsid w:val="004A06BF"/>
    <w:rsid w:val="004E3C68"/>
    <w:rsid w:val="005119D7"/>
    <w:rsid w:val="00530EDE"/>
    <w:rsid w:val="00553E05"/>
    <w:rsid w:val="005566F3"/>
    <w:rsid w:val="005E10F1"/>
    <w:rsid w:val="00631671"/>
    <w:rsid w:val="00644F41"/>
    <w:rsid w:val="00655284"/>
    <w:rsid w:val="006707A1"/>
    <w:rsid w:val="00681289"/>
    <w:rsid w:val="006E63A5"/>
    <w:rsid w:val="006F6E75"/>
    <w:rsid w:val="007A5099"/>
    <w:rsid w:val="007B7ED3"/>
    <w:rsid w:val="007D103F"/>
    <w:rsid w:val="007D333A"/>
    <w:rsid w:val="007E02BD"/>
    <w:rsid w:val="007F25A6"/>
    <w:rsid w:val="00837254"/>
    <w:rsid w:val="00872862"/>
    <w:rsid w:val="00914644"/>
    <w:rsid w:val="0094387B"/>
    <w:rsid w:val="00944F7B"/>
    <w:rsid w:val="00965528"/>
    <w:rsid w:val="00980D3A"/>
    <w:rsid w:val="009E64D1"/>
    <w:rsid w:val="009F62A5"/>
    <w:rsid w:val="00A85060"/>
    <w:rsid w:val="00A87FCB"/>
    <w:rsid w:val="00A92628"/>
    <w:rsid w:val="00AC4149"/>
    <w:rsid w:val="00AF6D29"/>
    <w:rsid w:val="00B024D9"/>
    <w:rsid w:val="00B646A5"/>
    <w:rsid w:val="00B962AB"/>
    <w:rsid w:val="00BC0DF3"/>
    <w:rsid w:val="00BC3DA2"/>
    <w:rsid w:val="00BC4E69"/>
    <w:rsid w:val="00BF127B"/>
    <w:rsid w:val="00C02C34"/>
    <w:rsid w:val="00C21FE7"/>
    <w:rsid w:val="00C27DDE"/>
    <w:rsid w:val="00C54959"/>
    <w:rsid w:val="00C60472"/>
    <w:rsid w:val="00C9509F"/>
    <w:rsid w:val="00C957D5"/>
    <w:rsid w:val="00CD1A07"/>
    <w:rsid w:val="00D1065F"/>
    <w:rsid w:val="00D64BCF"/>
    <w:rsid w:val="00D81C30"/>
    <w:rsid w:val="00D87E92"/>
    <w:rsid w:val="00DA7AC1"/>
    <w:rsid w:val="00DB5962"/>
    <w:rsid w:val="00E24068"/>
    <w:rsid w:val="00E26124"/>
    <w:rsid w:val="00E47CEE"/>
    <w:rsid w:val="00E55A82"/>
    <w:rsid w:val="00E73EBD"/>
    <w:rsid w:val="00ED023E"/>
    <w:rsid w:val="00F1210A"/>
    <w:rsid w:val="00F138AC"/>
    <w:rsid w:val="00F20286"/>
    <w:rsid w:val="00F60211"/>
    <w:rsid w:val="00F9294A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6279"/>
  <w15:docId w15:val="{FA577255-367C-476E-9BEF-18CAEBFA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CA"/>
  </w:style>
  <w:style w:type="paragraph" w:styleId="Heading1">
    <w:name w:val="heading 1"/>
    <w:basedOn w:val="Normal"/>
    <w:next w:val="Normal"/>
    <w:link w:val="Heading1Char"/>
    <w:uiPriority w:val="9"/>
    <w:qFormat/>
    <w:rsid w:val="009E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D1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4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C52"/>
    <w:pPr>
      <w:spacing w:after="0" w:line="240" w:lineRule="auto"/>
    </w:pPr>
  </w:style>
  <w:style w:type="paragraph" w:customStyle="1" w:styleId="xmsonormal">
    <w:name w:val="x_msonormal"/>
    <w:basedOn w:val="Normal"/>
    <w:rsid w:val="00BF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31671"/>
    <w:pPr>
      <w:autoSpaceDE w:val="0"/>
      <w:autoSpaceDN w:val="0"/>
      <w:adjustRightInd w:val="0"/>
      <w:spacing w:after="0" w:line="301" w:lineRule="atLeast"/>
    </w:pPr>
    <w:rPr>
      <w:rFonts w:ascii="HelveticaNeueLT Std Blk Cn" w:hAnsi="HelveticaNeueLT Std Blk C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A6"/>
  </w:style>
  <w:style w:type="paragraph" w:styleId="Footer">
    <w:name w:val="footer"/>
    <w:basedOn w:val="Normal"/>
    <w:link w:val="Foot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A6"/>
  </w:style>
  <w:style w:type="paragraph" w:customStyle="1" w:styleId="BasicParagraph">
    <w:name w:val="[Basic Paragraph]"/>
    <w:basedOn w:val="Normal"/>
    <w:uiPriority w:val="99"/>
    <w:rsid w:val="00655284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201566C3A0D4EAD1DFF5767F0012F" ma:contentTypeVersion="13" ma:contentTypeDescription="Create a new document." ma:contentTypeScope="" ma:versionID="7ef14b34e8fd8a2a6ed4a02a2a585bfd">
  <xsd:schema xmlns:xsd="http://www.w3.org/2001/XMLSchema" xmlns:xs="http://www.w3.org/2001/XMLSchema" xmlns:p="http://schemas.microsoft.com/office/2006/metadata/properties" xmlns:ns3="d4640fbc-a3b6-446d-87a8-0855eba96da4" xmlns:ns4="899dde59-d001-49a5-9a4a-6bf403cdfac2" targetNamespace="http://schemas.microsoft.com/office/2006/metadata/properties" ma:root="true" ma:fieldsID="eb46fd1ac069e65e60d6761da9ae2760" ns3:_="" ns4:_="">
    <xsd:import namespace="d4640fbc-a3b6-446d-87a8-0855eba96da4"/>
    <xsd:import namespace="899dde59-d001-49a5-9a4a-6bf403cdf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0fbc-a3b6-446d-87a8-0855eba9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de59-d001-49a5-9a4a-6bf403cdf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40fbc-a3b6-446d-87a8-0855eba96d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73314-F788-4B9D-809D-CFC62F1C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40fbc-a3b6-446d-87a8-0855eba96da4"/>
    <ds:schemaRef ds:uri="899dde59-d001-49a5-9a4a-6bf403cdf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941AF-3733-4FDA-9747-98337A3384F4}">
  <ds:schemaRefs>
    <ds:schemaRef ds:uri="http://schemas.microsoft.com/office/2006/metadata/properties"/>
    <ds:schemaRef ds:uri="http://schemas.microsoft.com/office/infopath/2007/PartnerControls"/>
    <ds:schemaRef ds:uri="d4640fbc-a3b6-446d-87a8-0855eba96da4"/>
  </ds:schemaRefs>
</ds:datastoreItem>
</file>

<file path=customXml/itemProps3.xml><?xml version="1.0" encoding="utf-8"?>
<ds:datastoreItem xmlns:ds="http://schemas.openxmlformats.org/officeDocument/2006/customXml" ds:itemID="{DED532DC-616A-45BF-9647-15AD9561B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Akoury, Abigail (EHS)</dc:creator>
  <cp:lastModifiedBy>Erika Schulz</cp:lastModifiedBy>
  <cp:revision>3</cp:revision>
  <dcterms:created xsi:type="dcterms:W3CDTF">2024-04-11T22:39:00Z</dcterms:created>
  <dcterms:modified xsi:type="dcterms:W3CDTF">2024-04-11T22:39:00Z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0x010100F08201566C3A0D4EAD1DFF5767F0012F</vt:lpwstr>
  </property>
</Properties>
</file>