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112" w:rsidRDefault="00D22112" w:rsidP="00D22112">
      <w:pPr>
        <w:jc w:val="center"/>
        <w:rPr>
          <w:rFonts w:ascii="Courier New" w:hAnsi="Courier New" w:cs="Courier New"/>
          <w:b/>
        </w:rPr>
      </w:pPr>
      <w:bookmarkStart w:id="0" w:name="_GoBack"/>
      <w:bookmarkEnd w:id="0"/>
      <w:smartTag w:uri="urn:schemas-microsoft-com:office:smarttags" w:element="PlaceType">
        <w:r w:rsidRPr="008B15BB">
          <w:rPr>
            <w:rFonts w:ascii="Courier New" w:hAnsi="Courier New" w:cs="Courier New"/>
            <w:b/>
          </w:rPr>
          <w:t>COMMONWEALTH</w:t>
        </w:r>
      </w:smartTag>
      <w:r w:rsidRPr="008B15BB">
        <w:rPr>
          <w:rFonts w:ascii="Courier New" w:hAnsi="Courier New" w:cs="Courier New"/>
          <w:b/>
        </w:rPr>
        <w:t xml:space="preserve"> OF </w:t>
      </w:r>
      <w:smartTag w:uri="urn:schemas-microsoft-com:office:smarttags" w:element="PlaceName">
        <w:r w:rsidRPr="008B15BB">
          <w:rPr>
            <w:rFonts w:ascii="Courier New" w:hAnsi="Courier New" w:cs="Courier New"/>
            <w:b/>
          </w:rPr>
          <w:t>MASSACHUSETTS</w:t>
        </w:r>
      </w:smartTag>
    </w:p>
    <w:p w:rsidR="00D22112" w:rsidRDefault="00D22112" w:rsidP="00D22112">
      <w:pPr>
        <w:jc w:val="center"/>
        <w:rPr>
          <w:rFonts w:ascii="Courier New" w:hAnsi="Courier New" w:cs="Courier New"/>
          <w:b/>
        </w:rPr>
      </w:pPr>
    </w:p>
    <w:p w:rsidR="00D22112" w:rsidRDefault="00D22112" w:rsidP="00D22112">
      <w:pPr>
        <w:jc w:val="center"/>
        <w:rPr>
          <w:rFonts w:ascii="Courier New" w:hAnsi="Courier New" w:cs="Courier New"/>
          <w:b/>
        </w:rPr>
      </w:pPr>
      <w:r>
        <w:rPr>
          <w:rFonts w:ascii="Courier New" w:hAnsi="Courier New" w:cs="Courier New"/>
          <w:b/>
        </w:rPr>
        <w:t>APPELLATE TAX BOARD</w:t>
      </w:r>
    </w:p>
    <w:p w:rsidR="00D22112" w:rsidRDefault="00D22112" w:rsidP="00D22112">
      <w:pPr>
        <w:jc w:val="center"/>
        <w:rPr>
          <w:rFonts w:ascii="Courier New" w:hAnsi="Courier New" w:cs="Courier New"/>
          <w:b/>
        </w:rPr>
      </w:pPr>
    </w:p>
    <w:p w:rsidR="00D22112" w:rsidRDefault="00D22112" w:rsidP="00D22112">
      <w:pPr>
        <w:jc w:val="center"/>
        <w:rPr>
          <w:rFonts w:ascii="Courier New" w:hAnsi="Courier New" w:cs="Courier New"/>
          <w:b/>
        </w:rPr>
      </w:pPr>
    </w:p>
    <w:p w:rsidR="00D22112" w:rsidRDefault="00D22112" w:rsidP="00D22112">
      <w:pPr>
        <w:jc w:val="center"/>
        <w:rPr>
          <w:rFonts w:ascii="Courier New" w:hAnsi="Courier New" w:cs="Courier New"/>
          <w:b/>
        </w:rPr>
      </w:pPr>
    </w:p>
    <w:p w:rsidR="00D22112" w:rsidRDefault="00644F52" w:rsidP="00D22112">
      <w:pPr>
        <w:rPr>
          <w:rFonts w:ascii="Courier New" w:hAnsi="Courier New" w:cs="Courier New"/>
          <w:b/>
        </w:rPr>
      </w:pPr>
      <w:proofErr w:type="gramStart"/>
      <w:r>
        <w:rPr>
          <w:rFonts w:ascii="Courier New" w:hAnsi="Courier New" w:cs="Courier New"/>
          <w:b/>
        </w:rPr>
        <w:t>PETER S. COOPER</w:t>
      </w:r>
      <w:r>
        <w:rPr>
          <w:rFonts w:ascii="Courier New" w:hAnsi="Courier New" w:cs="Courier New"/>
          <w:b/>
        </w:rPr>
        <w:tab/>
      </w:r>
      <w:r w:rsidR="00D22112">
        <w:rPr>
          <w:rFonts w:ascii="Courier New" w:hAnsi="Courier New" w:cs="Courier New"/>
          <w:b/>
        </w:rPr>
        <w:tab/>
      </w:r>
      <w:r w:rsidR="00D22112">
        <w:rPr>
          <w:rFonts w:ascii="Courier New" w:hAnsi="Courier New" w:cs="Courier New"/>
          <w:b/>
        </w:rPr>
        <w:tab/>
        <w:t xml:space="preserve">  </w:t>
      </w:r>
      <w:r>
        <w:rPr>
          <w:rFonts w:ascii="Courier New" w:hAnsi="Courier New" w:cs="Courier New"/>
          <w:b/>
        </w:rPr>
        <w:t>v</w:t>
      </w:r>
      <w:r w:rsidR="00D22112">
        <w:rPr>
          <w:rFonts w:ascii="Courier New" w:hAnsi="Courier New" w:cs="Courier New"/>
          <w:b/>
        </w:rPr>
        <w:t>.</w:t>
      </w:r>
      <w:proofErr w:type="gramEnd"/>
      <w:r w:rsidR="00D22112">
        <w:rPr>
          <w:rFonts w:ascii="Courier New" w:hAnsi="Courier New" w:cs="Courier New"/>
          <w:b/>
        </w:rPr>
        <w:tab/>
      </w:r>
      <w:r w:rsidR="008059C0">
        <w:rPr>
          <w:rFonts w:ascii="Courier New" w:hAnsi="Courier New" w:cs="Courier New"/>
          <w:b/>
        </w:rPr>
        <w:t xml:space="preserve">     </w:t>
      </w:r>
      <w:r w:rsidR="00D22112">
        <w:rPr>
          <w:rFonts w:ascii="Courier New" w:hAnsi="Courier New" w:cs="Courier New"/>
          <w:b/>
        </w:rPr>
        <w:t xml:space="preserve">BOARD OF ASSESSORS OF </w:t>
      </w:r>
    </w:p>
    <w:p w:rsidR="00D22112" w:rsidRDefault="00644F52" w:rsidP="00D22112">
      <w:pPr>
        <w:ind w:left="5040" w:firstLine="720"/>
        <w:rPr>
          <w:rFonts w:ascii="Courier New" w:hAnsi="Courier New" w:cs="Courier New"/>
          <w:b/>
        </w:rPr>
      </w:pPr>
      <w:r>
        <w:rPr>
          <w:rFonts w:ascii="Courier New" w:hAnsi="Courier New" w:cs="Courier New"/>
          <w:b/>
        </w:rPr>
        <w:t>THE TOWN OF BEDFORD</w:t>
      </w:r>
    </w:p>
    <w:p w:rsidR="00D22112" w:rsidRDefault="00D22112" w:rsidP="00D22112">
      <w:pPr>
        <w:rPr>
          <w:rFonts w:ascii="Courier New" w:hAnsi="Courier New" w:cs="Courier New"/>
        </w:rPr>
      </w:pPr>
    </w:p>
    <w:p w:rsidR="00D22112" w:rsidRDefault="00644F52" w:rsidP="00D22112">
      <w:pPr>
        <w:rPr>
          <w:rFonts w:ascii="Courier New" w:hAnsi="Courier New" w:cs="Courier New"/>
        </w:rPr>
      </w:pPr>
      <w:r>
        <w:rPr>
          <w:rFonts w:ascii="Courier New" w:hAnsi="Courier New" w:cs="Courier New"/>
        </w:rPr>
        <w:t>Docket No. F329596</w:t>
      </w:r>
      <w:r w:rsidR="00D22112">
        <w:rPr>
          <w:rFonts w:ascii="Courier New" w:hAnsi="Courier New" w:cs="Courier New"/>
        </w:rPr>
        <w:tab/>
      </w:r>
      <w:r w:rsidR="00D22112">
        <w:rPr>
          <w:rFonts w:ascii="Courier New" w:hAnsi="Courier New" w:cs="Courier New"/>
        </w:rPr>
        <w:tab/>
      </w:r>
      <w:r w:rsidR="00D22112">
        <w:rPr>
          <w:rFonts w:ascii="Courier New" w:hAnsi="Courier New" w:cs="Courier New"/>
        </w:rPr>
        <w:tab/>
      </w:r>
      <w:r w:rsidR="00D22112">
        <w:rPr>
          <w:rFonts w:ascii="Courier New" w:hAnsi="Courier New" w:cs="Courier New"/>
        </w:rPr>
        <w:tab/>
      </w:r>
      <w:r w:rsidR="00133525">
        <w:rPr>
          <w:rFonts w:ascii="Courier New" w:hAnsi="Courier New" w:cs="Courier New"/>
        </w:rPr>
        <w:tab/>
      </w:r>
      <w:r w:rsidR="00D22112">
        <w:rPr>
          <w:rFonts w:ascii="Courier New" w:hAnsi="Courier New" w:cs="Courier New"/>
        </w:rPr>
        <w:t>Promulgated:</w:t>
      </w:r>
    </w:p>
    <w:p w:rsidR="00D22112" w:rsidRDefault="00D22112" w:rsidP="00D22112">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8059C0">
        <w:rPr>
          <w:rFonts w:ascii="Courier New" w:hAnsi="Courier New" w:cs="Courier New"/>
        </w:rPr>
        <w:t xml:space="preserve">     </w:t>
      </w:r>
      <w:r w:rsidR="00B838AA">
        <w:rPr>
          <w:rFonts w:ascii="Courier New" w:hAnsi="Courier New" w:cs="Courier New"/>
        </w:rPr>
        <w:t>December 21, 2018</w:t>
      </w:r>
    </w:p>
    <w:p w:rsidR="00D22112" w:rsidRDefault="00D22112" w:rsidP="00D22112">
      <w:pPr>
        <w:rPr>
          <w:rFonts w:ascii="Courier New" w:hAnsi="Courier New" w:cs="Courier New"/>
        </w:rPr>
      </w:pPr>
    </w:p>
    <w:p w:rsidR="00D22112" w:rsidRDefault="00D22112" w:rsidP="00D22112">
      <w:pPr>
        <w:rPr>
          <w:rFonts w:ascii="Courier New" w:hAnsi="Courier New" w:cs="Courier New"/>
        </w:rPr>
      </w:pPr>
    </w:p>
    <w:p w:rsidR="00D22112" w:rsidRDefault="00D22112" w:rsidP="00D22112">
      <w:pPr>
        <w:pStyle w:val="BodyText2"/>
      </w:pPr>
      <w:r>
        <w:t>This is an appeal filed under the formal procedure pursuant to G.L. c. 58A, § 7 and G.L. c. 59, §§ 64 and 65, from the</w:t>
      </w:r>
      <w:r w:rsidR="008059C0">
        <w:t> </w:t>
      </w:r>
      <w:r>
        <w:t xml:space="preserve">refusal of the Board of Assessors of the </w:t>
      </w:r>
      <w:r w:rsidR="00644F52">
        <w:t>Town of Bedford</w:t>
      </w:r>
      <w:r>
        <w:t xml:space="preserve"> (“</w:t>
      </w:r>
      <w:r w:rsidR="00AE059E">
        <w:t>assessors” or “</w:t>
      </w:r>
      <w:r>
        <w:t xml:space="preserve">appellee”) to abate a tax on real estate located in </w:t>
      </w:r>
      <w:r w:rsidR="00644F52">
        <w:t>Bedford</w:t>
      </w:r>
      <w:r>
        <w:t xml:space="preserve">, owned by and assessed to </w:t>
      </w:r>
      <w:r w:rsidR="00644F52">
        <w:t>Peter S. Cooper</w:t>
      </w:r>
      <w:r w:rsidR="00600AF0">
        <w:t xml:space="preserve"> (“</w:t>
      </w:r>
      <w:r>
        <w:t>appellant</w:t>
      </w:r>
      <w:r w:rsidR="00600AF0">
        <w:t>”)</w:t>
      </w:r>
      <w:r>
        <w:t xml:space="preserve"> under G.L. c. 59, §§ 11 and 38, for fiscal year 201</w:t>
      </w:r>
      <w:r w:rsidR="00E54100">
        <w:t>6 (“fiscal year at issue”)</w:t>
      </w:r>
      <w:r>
        <w:t>.</w:t>
      </w:r>
    </w:p>
    <w:p w:rsidR="00D22112" w:rsidRDefault="00D22112" w:rsidP="00D22112">
      <w:pPr>
        <w:pStyle w:val="BodyText2"/>
      </w:pPr>
      <w:r>
        <w:t>Commissioner Good</w:t>
      </w:r>
      <w:r w:rsidRPr="00B86AF5">
        <w:t xml:space="preserve"> (“Pr</w:t>
      </w:r>
      <w:r>
        <w:t>esiding Commissioner”) heard the</w:t>
      </w:r>
      <w:r w:rsidRPr="00B86AF5">
        <w:t xml:space="preserve"> appeal </w:t>
      </w:r>
      <w:r>
        <w:t xml:space="preserve">under </w:t>
      </w:r>
      <w:r w:rsidRPr="00B86AF5">
        <w:t>G.L. c. 58A, § 1</w:t>
      </w:r>
      <w:r>
        <w:t>A</w:t>
      </w:r>
      <w:r w:rsidRPr="00B86AF5">
        <w:t xml:space="preserve"> and 831 CMR 1.20</w:t>
      </w:r>
      <w:r>
        <w:t xml:space="preserve"> and issued a single-member decision for the appellee</w:t>
      </w:r>
      <w:r w:rsidRPr="00B86AF5">
        <w:t>.</w:t>
      </w:r>
      <w:r>
        <w:t xml:space="preserve"> </w:t>
      </w:r>
      <w:r w:rsidRPr="00B86AF5">
        <w:t xml:space="preserve"> </w:t>
      </w:r>
    </w:p>
    <w:p w:rsidR="00D22112" w:rsidRDefault="00D22112" w:rsidP="008059C0">
      <w:pPr>
        <w:pStyle w:val="BodyText2"/>
      </w:pPr>
      <w:r w:rsidRPr="00B86AF5">
        <w:t>These findings of fact and report are made pursuant to a request by the appellant under G.L. c. 58A, § 13 and 831 CMR 1.32.</w:t>
      </w:r>
    </w:p>
    <w:p w:rsidR="008059C0" w:rsidRDefault="008059C0" w:rsidP="008059C0">
      <w:pPr>
        <w:pStyle w:val="BodyText2"/>
        <w:spacing w:line="240" w:lineRule="auto"/>
      </w:pPr>
    </w:p>
    <w:p w:rsidR="00D22112" w:rsidRDefault="00644F52" w:rsidP="008059C0">
      <w:pPr>
        <w:pStyle w:val="BodyText2"/>
      </w:pPr>
      <w:r>
        <w:rPr>
          <w:i/>
        </w:rPr>
        <w:t>Peter S. Cooper</w:t>
      </w:r>
      <w:r w:rsidR="00D22112">
        <w:t xml:space="preserve">, </w:t>
      </w:r>
      <w:r w:rsidR="00D22112" w:rsidRPr="006D7591">
        <w:rPr>
          <w:i/>
        </w:rPr>
        <w:t>pro se</w:t>
      </w:r>
      <w:r w:rsidR="00D22112">
        <w:t>, for the appellant.</w:t>
      </w:r>
    </w:p>
    <w:p w:rsidR="00D22112" w:rsidRDefault="00644F52" w:rsidP="008059C0">
      <w:pPr>
        <w:pStyle w:val="BodyText2"/>
        <w:spacing w:line="360" w:lineRule="auto"/>
      </w:pPr>
      <w:proofErr w:type="gramStart"/>
      <w:r>
        <w:rPr>
          <w:i/>
        </w:rPr>
        <w:t>Alan Ferguson</w:t>
      </w:r>
      <w:r w:rsidRPr="00644F52">
        <w:t>,</w:t>
      </w:r>
      <w:r w:rsidR="00133525">
        <w:t xml:space="preserve"> </w:t>
      </w:r>
      <w:r>
        <w:t>assessing director,</w:t>
      </w:r>
      <w:r w:rsidR="00D22112">
        <w:t xml:space="preserve"> for the appellee.</w:t>
      </w:r>
      <w:proofErr w:type="gramEnd"/>
    </w:p>
    <w:p w:rsidR="00A32AC1" w:rsidRPr="00C83D10" w:rsidRDefault="008059C0" w:rsidP="00A32AC1">
      <w:pPr>
        <w:spacing w:line="480" w:lineRule="auto"/>
        <w:jc w:val="center"/>
        <w:rPr>
          <w:rFonts w:ascii="Courier New" w:hAnsi="Courier New" w:cs="Courier New"/>
        </w:rPr>
      </w:pPr>
      <w:r>
        <w:rPr>
          <w:rFonts w:ascii="Courier New" w:hAnsi="Courier New" w:cs="Courier New"/>
          <w:b/>
        </w:rPr>
        <w:br w:type="page"/>
      </w:r>
      <w:r w:rsidR="00A32AC1" w:rsidRPr="00C83D10">
        <w:rPr>
          <w:rFonts w:ascii="Courier New" w:hAnsi="Courier New" w:cs="Courier New"/>
          <w:b/>
        </w:rPr>
        <w:lastRenderedPageBreak/>
        <w:t>FINDINGS OF FACT AND REPORT</w:t>
      </w:r>
    </w:p>
    <w:p w:rsidR="00C83D10" w:rsidRPr="00C83D10" w:rsidRDefault="00A32AC1" w:rsidP="00A32AC1">
      <w:pPr>
        <w:spacing w:line="480" w:lineRule="auto"/>
        <w:jc w:val="both"/>
        <w:rPr>
          <w:rFonts w:ascii="Courier New" w:hAnsi="Courier New" w:cs="Courier New"/>
        </w:rPr>
      </w:pPr>
      <w:r w:rsidRPr="00C83D10">
        <w:rPr>
          <w:rFonts w:ascii="Courier New" w:hAnsi="Courier New" w:cs="Courier New"/>
        </w:rPr>
        <w:tab/>
      </w:r>
      <w:r w:rsidR="00C83D10" w:rsidRPr="00C83D10">
        <w:rPr>
          <w:rFonts w:ascii="Courier New" w:hAnsi="Courier New" w:cs="Courier New"/>
          <w:color w:val="373739"/>
          <w:shd w:val="clear" w:color="auto" w:fill="FFFFFF"/>
        </w:rPr>
        <w:t>On the basis of the testimony and exhibits offered into evidence at the hearing of this appeal, the Presiding Commissioner made the following findings of fact.</w:t>
      </w:r>
    </w:p>
    <w:p w:rsidR="008919C5" w:rsidRDefault="00A32AC1" w:rsidP="008919C5">
      <w:pPr>
        <w:spacing w:line="480" w:lineRule="auto"/>
        <w:ind w:firstLine="720"/>
        <w:jc w:val="both"/>
        <w:rPr>
          <w:rFonts w:ascii="Courier New" w:hAnsi="Courier New" w:cs="Courier New"/>
        </w:rPr>
      </w:pPr>
      <w:r w:rsidRPr="001B03EC">
        <w:rPr>
          <w:rFonts w:ascii="Courier New" w:hAnsi="Courier New" w:cs="Courier New"/>
        </w:rPr>
        <w:t xml:space="preserve">On </w:t>
      </w:r>
      <w:r w:rsidR="00E54100">
        <w:rPr>
          <w:rFonts w:ascii="Courier New" w:hAnsi="Courier New" w:cs="Courier New"/>
        </w:rPr>
        <w:t>January 1, 2015</w:t>
      </w:r>
      <w:r w:rsidRPr="001B03EC">
        <w:rPr>
          <w:rFonts w:ascii="Courier New" w:hAnsi="Courier New" w:cs="Courier New"/>
        </w:rPr>
        <w:t xml:space="preserve">, </w:t>
      </w:r>
      <w:r w:rsidR="002D53F3">
        <w:rPr>
          <w:rFonts w:ascii="Courier New" w:hAnsi="Courier New" w:cs="Courier New"/>
        </w:rPr>
        <w:t xml:space="preserve">the </w:t>
      </w:r>
      <w:r w:rsidR="00537A9D">
        <w:rPr>
          <w:rFonts w:ascii="Courier New" w:hAnsi="Courier New" w:cs="Courier New"/>
        </w:rPr>
        <w:t>appellant</w:t>
      </w:r>
      <w:r w:rsidR="002C01FF">
        <w:rPr>
          <w:rFonts w:ascii="Courier New" w:hAnsi="Courier New" w:cs="Courier New"/>
        </w:rPr>
        <w:t xml:space="preserve"> was the assessed owner of a</w:t>
      </w:r>
      <w:r w:rsidR="00DB5E0A">
        <w:rPr>
          <w:rFonts w:ascii="Courier New" w:hAnsi="Courier New" w:cs="Courier New"/>
        </w:rPr>
        <w:t xml:space="preserve"> </w:t>
      </w:r>
      <w:r w:rsidR="00DF2034">
        <w:rPr>
          <w:rFonts w:ascii="Courier New" w:hAnsi="Courier New" w:cs="Courier New"/>
        </w:rPr>
        <w:t>0.17-acre</w:t>
      </w:r>
      <w:r w:rsidR="00DB5E0A">
        <w:rPr>
          <w:rFonts w:ascii="Courier New" w:hAnsi="Courier New" w:cs="Courier New"/>
        </w:rPr>
        <w:t xml:space="preserve"> p</w:t>
      </w:r>
      <w:r w:rsidR="003334E7">
        <w:rPr>
          <w:rFonts w:ascii="Courier New" w:hAnsi="Courier New" w:cs="Courier New"/>
        </w:rPr>
        <w:t xml:space="preserve">arcel of </w:t>
      </w:r>
      <w:r w:rsidR="00DB5E0A">
        <w:rPr>
          <w:rFonts w:ascii="Courier New" w:hAnsi="Courier New" w:cs="Courier New"/>
        </w:rPr>
        <w:t>land improved with a single-family dwelling</w:t>
      </w:r>
      <w:r w:rsidR="00581CB9">
        <w:rPr>
          <w:rFonts w:ascii="Courier New" w:hAnsi="Courier New" w:cs="Courier New"/>
        </w:rPr>
        <w:t xml:space="preserve"> </w:t>
      </w:r>
      <w:r w:rsidR="003334E7">
        <w:rPr>
          <w:rFonts w:ascii="Courier New" w:hAnsi="Courier New" w:cs="Courier New"/>
        </w:rPr>
        <w:t xml:space="preserve">located at </w:t>
      </w:r>
      <w:r w:rsidR="00E54100">
        <w:rPr>
          <w:rFonts w:ascii="Courier New" w:hAnsi="Courier New" w:cs="Courier New"/>
        </w:rPr>
        <w:t xml:space="preserve">55 Loomis Street in Bedford </w:t>
      </w:r>
      <w:r w:rsidR="003334E7">
        <w:rPr>
          <w:rFonts w:ascii="Courier New" w:hAnsi="Courier New" w:cs="Courier New"/>
        </w:rPr>
        <w:t>(“subject property”).</w:t>
      </w:r>
      <w:r w:rsidR="00581CB9">
        <w:rPr>
          <w:rFonts w:ascii="Courier New" w:hAnsi="Courier New" w:cs="Courier New"/>
        </w:rPr>
        <w:t xml:space="preserve"> </w:t>
      </w:r>
      <w:r w:rsidR="003334E7">
        <w:rPr>
          <w:rFonts w:ascii="Courier New" w:hAnsi="Courier New" w:cs="Courier New"/>
        </w:rPr>
        <w:t xml:space="preserve"> </w:t>
      </w:r>
      <w:r w:rsidR="002C01FF">
        <w:rPr>
          <w:rFonts w:ascii="Courier New" w:hAnsi="Courier New" w:cs="Courier New"/>
        </w:rPr>
        <w:t xml:space="preserve">For </w:t>
      </w:r>
      <w:r w:rsidR="00E54100">
        <w:rPr>
          <w:rFonts w:ascii="Courier New" w:hAnsi="Courier New" w:cs="Courier New"/>
        </w:rPr>
        <w:t xml:space="preserve">the </w:t>
      </w:r>
      <w:r w:rsidR="002C01FF">
        <w:rPr>
          <w:rFonts w:ascii="Courier New" w:hAnsi="Courier New" w:cs="Courier New"/>
        </w:rPr>
        <w:t xml:space="preserve">fiscal year </w:t>
      </w:r>
      <w:r w:rsidR="00E54100">
        <w:rPr>
          <w:rFonts w:ascii="Courier New" w:hAnsi="Courier New" w:cs="Courier New"/>
        </w:rPr>
        <w:t>at issue,</w:t>
      </w:r>
      <w:r w:rsidRPr="001B03EC">
        <w:rPr>
          <w:rFonts w:ascii="Courier New" w:hAnsi="Courier New" w:cs="Courier New"/>
        </w:rPr>
        <w:t xml:space="preserve"> the assessors valued the subject property at $</w:t>
      </w:r>
      <w:r w:rsidR="00EC0693">
        <w:rPr>
          <w:rFonts w:ascii="Courier New" w:hAnsi="Courier New" w:cs="Courier New"/>
        </w:rPr>
        <w:t>3</w:t>
      </w:r>
      <w:r w:rsidR="00E54100">
        <w:rPr>
          <w:rFonts w:ascii="Courier New" w:hAnsi="Courier New" w:cs="Courier New"/>
        </w:rPr>
        <w:t>58,296</w:t>
      </w:r>
      <w:r w:rsidRPr="001B03EC">
        <w:rPr>
          <w:rFonts w:ascii="Courier New" w:hAnsi="Courier New" w:cs="Courier New"/>
        </w:rPr>
        <w:t>, and assessed a tax thereon at the rate of $1</w:t>
      </w:r>
      <w:r w:rsidR="00E54100">
        <w:rPr>
          <w:rFonts w:ascii="Courier New" w:hAnsi="Courier New" w:cs="Courier New"/>
        </w:rPr>
        <w:t>5.28</w:t>
      </w:r>
      <w:r w:rsidRPr="001B03EC">
        <w:rPr>
          <w:rFonts w:ascii="Courier New" w:hAnsi="Courier New" w:cs="Courier New"/>
        </w:rPr>
        <w:t xml:space="preserve"> per th</w:t>
      </w:r>
      <w:r w:rsidR="002D53F3">
        <w:rPr>
          <w:rFonts w:ascii="Courier New" w:hAnsi="Courier New" w:cs="Courier New"/>
        </w:rPr>
        <w:t xml:space="preserve">ousand, in the total amount of $5,593.16, inclusive of a </w:t>
      </w:r>
      <w:r w:rsidR="002D53F3" w:rsidRPr="002D53F3">
        <w:rPr>
          <w:rFonts w:ascii="Courier New" w:hAnsi="Courier New" w:cs="Courier New"/>
        </w:rPr>
        <w:t>Community Preservation Act surcharge</w:t>
      </w:r>
      <w:r w:rsidR="002D53F3">
        <w:rPr>
          <w:rFonts w:ascii="Courier New" w:hAnsi="Courier New" w:cs="Courier New"/>
        </w:rPr>
        <w:t>.</w:t>
      </w:r>
      <w:r w:rsidR="00A66C55">
        <w:rPr>
          <w:rFonts w:ascii="Courier New" w:hAnsi="Courier New" w:cs="Courier New"/>
        </w:rPr>
        <w:t xml:space="preserve">  </w:t>
      </w:r>
      <w:r>
        <w:rPr>
          <w:rFonts w:ascii="Courier New" w:hAnsi="Courier New" w:cs="Courier New"/>
        </w:rPr>
        <w:t>In accordance with G.L.</w:t>
      </w:r>
      <w:r w:rsidR="008059C0">
        <w:rPr>
          <w:rFonts w:ascii="Courier New" w:hAnsi="Courier New" w:cs="Courier New"/>
        </w:rPr>
        <w:t> </w:t>
      </w:r>
      <w:r>
        <w:rPr>
          <w:rFonts w:ascii="Courier New" w:hAnsi="Courier New" w:cs="Courier New"/>
        </w:rPr>
        <w:t>c.</w:t>
      </w:r>
      <w:r w:rsidR="008059C0">
        <w:rPr>
          <w:rFonts w:ascii="Courier New" w:hAnsi="Courier New" w:cs="Courier New"/>
        </w:rPr>
        <w:t> </w:t>
      </w:r>
      <w:r>
        <w:rPr>
          <w:rFonts w:ascii="Courier New" w:hAnsi="Courier New" w:cs="Courier New"/>
        </w:rPr>
        <w:t>59, § 57C, t</w:t>
      </w:r>
      <w:r w:rsidRPr="001B03EC">
        <w:rPr>
          <w:rFonts w:ascii="Courier New" w:hAnsi="Courier New" w:cs="Courier New"/>
        </w:rPr>
        <w:t xml:space="preserve">he appellant </w:t>
      </w:r>
      <w:r>
        <w:rPr>
          <w:rFonts w:ascii="Courier New" w:hAnsi="Courier New" w:cs="Courier New"/>
        </w:rPr>
        <w:t xml:space="preserve">timely paid </w:t>
      </w:r>
      <w:r w:rsidRPr="001B03EC">
        <w:rPr>
          <w:rFonts w:ascii="Courier New" w:hAnsi="Courier New" w:cs="Courier New"/>
        </w:rPr>
        <w:t xml:space="preserve">the tax </w:t>
      </w:r>
      <w:r>
        <w:rPr>
          <w:rFonts w:ascii="Courier New" w:hAnsi="Courier New" w:cs="Courier New"/>
        </w:rPr>
        <w:t xml:space="preserve">due without incurring interest.  </w:t>
      </w:r>
    </w:p>
    <w:p w:rsidR="00A32AC1" w:rsidRDefault="00A32AC1" w:rsidP="008919C5">
      <w:pPr>
        <w:spacing w:line="480" w:lineRule="auto"/>
        <w:ind w:firstLine="720"/>
        <w:jc w:val="both"/>
        <w:rPr>
          <w:rFonts w:ascii="Courier New" w:hAnsi="Courier New" w:cs="Courier New"/>
        </w:rPr>
      </w:pPr>
      <w:r>
        <w:rPr>
          <w:rFonts w:ascii="Courier New" w:hAnsi="Courier New" w:cs="Courier New"/>
        </w:rPr>
        <w:t>O</w:t>
      </w:r>
      <w:r w:rsidRPr="001B03EC">
        <w:rPr>
          <w:rFonts w:ascii="Courier New" w:hAnsi="Courier New" w:cs="Courier New"/>
        </w:rPr>
        <w:t xml:space="preserve">n </w:t>
      </w:r>
      <w:r w:rsidR="00EC0693">
        <w:rPr>
          <w:rFonts w:ascii="Courier New" w:hAnsi="Courier New" w:cs="Courier New"/>
        </w:rPr>
        <w:t xml:space="preserve">January </w:t>
      </w:r>
      <w:r w:rsidR="00E54100">
        <w:rPr>
          <w:rFonts w:ascii="Courier New" w:hAnsi="Courier New" w:cs="Courier New"/>
        </w:rPr>
        <w:t>2</w:t>
      </w:r>
      <w:r w:rsidR="00EC0693">
        <w:rPr>
          <w:rFonts w:ascii="Courier New" w:hAnsi="Courier New" w:cs="Courier New"/>
        </w:rPr>
        <w:t>9, 201</w:t>
      </w:r>
      <w:r w:rsidR="00E54100">
        <w:rPr>
          <w:rFonts w:ascii="Courier New" w:hAnsi="Courier New" w:cs="Courier New"/>
        </w:rPr>
        <w:t>6</w:t>
      </w:r>
      <w:r w:rsidRPr="001B03EC">
        <w:rPr>
          <w:rFonts w:ascii="Courier New" w:hAnsi="Courier New" w:cs="Courier New"/>
        </w:rPr>
        <w:t xml:space="preserve">, </w:t>
      </w:r>
      <w:r>
        <w:rPr>
          <w:rFonts w:ascii="Courier New" w:hAnsi="Courier New" w:cs="Courier New"/>
        </w:rPr>
        <w:t>in accordance with G.L. c.</w:t>
      </w:r>
      <w:r w:rsidR="00537A9D">
        <w:rPr>
          <w:rFonts w:ascii="Courier New" w:hAnsi="Courier New" w:cs="Courier New"/>
        </w:rPr>
        <w:t xml:space="preserve"> </w:t>
      </w:r>
      <w:r>
        <w:rPr>
          <w:rFonts w:ascii="Courier New" w:hAnsi="Courier New" w:cs="Courier New"/>
        </w:rPr>
        <w:t xml:space="preserve">59, § 59, </w:t>
      </w:r>
      <w:r w:rsidRPr="001B03EC">
        <w:rPr>
          <w:rFonts w:ascii="Courier New" w:hAnsi="Courier New" w:cs="Courier New"/>
        </w:rPr>
        <w:t>the appellant timely filed an abatement application with the assessors</w:t>
      </w:r>
      <w:r w:rsidR="00D101D3">
        <w:rPr>
          <w:rFonts w:ascii="Courier New" w:hAnsi="Courier New" w:cs="Courier New"/>
        </w:rPr>
        <w:t xml:space="preserve">, which </w:t>
      </w:r>
      <w:r w:rsidR="00600438">
        <w:rPr>
          <w:rFonts w:ascii="Courier New" w:hAnsi="Courier New" w:cs="Courier New"/>
        </w:rPr>
        <w:t>they</w:t>
      </w:r>
      <w:r w:rsidR="00872A83">
        <w:rPr>
          <w:rFonts w:ascii="Courier New" w:hAnsi="Courier New" w:cs="Courier New"/>
        </w:rPr>
        <w:t xml:space="preserve"> denied on </w:t>
      </w:r>
      <w:r w:rsidR="00E54100">
        <w:rPr>
          <w:rFonts w:ascii="Courier New" w:hAnsi="Courier New" w:cs="Courier New"/>
        </w:rPr>
        <w:t>February 10, 2016.</w:t>
      </w:r>
      <w:r w:rsidR="00872A83">
        <w:rPr>
          <w:rFonts w:ascii="Courier New" w:hAnsi="Courier New" w:cs="Courier New"/>
        </w:rPr>
        <w:t xml:space="preserve">  I</w:t>
      </w:r>
      <w:r>
        <w:rPr>
          <w:rFonts w:ascii="Courier New" w:hAnsi="Courier New" w:cs="Courier New"/>
        </w:rPr>
        <w:t xml:space="preserve">n accordance with G.L. c. 59, §§ 64 and 65, the </w:t>
      </w:r>
      <w:r w:rsidRPr="001B03EC">
        <w:rPr>
          <w:rFonts w:ascii="Courier New" w:hAnsi="Courier New" w:cs="Courier New"/>
        </w:rPr>
        <w:t xml:space="preserve">appellant seasonably filed an appeal with the </w:t>
      </w:r>
      <w:r w:rsidR="00652AC2">
        <w:rPr>
          <w:rFonts w:ascii="Courier New" w:hAnsi="Courier New" w:cs="Courier New"/>
        </w:rPr>
        <w:t xml:space="preserve">Appellate Tax </w:t>
      </w:r>
      <w:r w:rsidRPr="001B03EC">
        <w:rPr>
          <w:rFonts w:ascii="Courier New" w:hAnsi="Courier New" w:cs="Courier New"/>
        </w:rPr>
        <w:t>Board</w:t>
      </w:r>
      <w:r w:rsidR="00872A83">
        <w:rPr>
          <w:rFonts w:ascii="Courier New" w:hAnsi="Courier New" w:cs="Courier New"/>
        </w:rPr>
        <w:t xml:space="preserve"> </w:t>
      </w:r>
      <w:r w:rsidR="00652AC2">
        <w:rPr>
          <w:rFonts w:ascii="Courier New" w:hAnsi="Courier New" w:cs="Courier New"/>
        </w:rPr>
        <w:t xml:space="preserve">(“Board”) </w:t>
      </w:r>
      <w:r w:rsidR="00872A83">
        <w:rPr>
          <w:rFonts w:ascii="Courier New" w:hAnsi="Courier New" w:cs="Courier New"/>
        </w:rPr>
        <w:t xml:space="preserve">on </w:t>
      </w:r>
      <w:r w:rsidR="00E54100">
        <w:rPr>
          <w:rFonts w:ascii="Courier New" w:hAnsi="Courier New" w:cs="Courier New"/>
        </w:rPr>
        <w:t>May 10, 2016</w:t>
      </w:r>
      <w:r>
        <w:rPr>
          <w:rFonts w:ascii="Courier New" w:hAnsi="Courier New" w:cs="Courier New"/>
        </w:rPr>
        <w:t>.</w:t>
      </w:r>
      <w:r w:rsidRPr="001B03EC">
        <w:rPr>
          <w:rFonts w:ascii="Courier New" w:hAnsi="Courier New" w:cs="Courier New"/>
        </w:rPr>
        <w:t xml:space="preserve"> </w:t>
      </w:r>
      <w:r>
        <w:rPr>
          <w:rFonts w:ascii="Courier New" w:hAnsi="Courier New" w:cs="Courier New"/>
        </w:rPr>
        <w:t xml:space="preserve"> </w:t>
      </w:r>
      <w:r w:rsidRPr="001B03EC">
        <w:rPr>
          <w:rFonts w:ascii="Courier New" w:hAnsi="Courier New" w:cs="Courier New"/>
        </w:rPr>
        <w:t>On th</w:t>
      </w:r>
      <w:r>
        <w:rPr>
          <w:rFonts w:ascii="Courier New" w:hAnsi="Courier New" w:cs="Courier New"/>
        </w:rPr>
        <w:t>e</w:t>
      </w:r>
      <w:r w:rsidRPr="001B03EC">
        <w:rPr>
          <w:rFonts w:ascii="Courier New" w:hAnsi="Courier New" w:cs="Courier New"/>
        </w:rPr>
        <w:t xml:space="preserve"> basis</w:t>
      </w:r>
      <w:r>
        <w:rPr>
          <w:rFonts w:ascii="Courier New" w:hAnsi="Courier New" w:cs="Courier New"/>
        </w:rPr>
        <w:t xml:space="preserve"> of these facts</w:t>
      </w:r>
      <w:r w:rsidR="00652AC2">
        <w:rPr>
          <w:rFonts w:ascii="Courier New" w:hAnsi="Courier New" w:cs="Courier New"/>
        </w:rPr>
        <w:t xml:space="preserve">, the Presiding Commissioner </w:t>
      </w:r>
      <w:r w:rsidRPr="001B03EC">
        <w:rPr>
          <w:rFonts w:ascii="Courier New" w:hAnsi="Courier New" w:cs="Courier New"/>
        </w:rPr>
        <w:t xml:space="preserve">found </w:t>
      </w:r>
      <w:r>
        <w:rPr>
          <w:rFonts w:ascii="Courier New" w:hAnsi="Courier New" w:cs="Courier New"/>
        </w:rPr>
        <w:t xml:space="preserve">and ruled </w:t>
      </w:r>
      <w:r w:rsidR="00CA66A1">
        <w:rPr>
          <w:rFonts w:ascii="Courier New" w:hAnsi="Courier New" w:cs="Courier New"/>
        </w:rPr>
        <w:t xml:space="preserve">that the Board </w:t>
      </w:r>
      <w:r w:rsidRPr="001B03EC">
        <w:rPr>
          <w:rFonts w:ascii="Courier New" w:hAnsi="Courier New" w:cs="Courier New"/>
        </w:rPr>
        <w:t xml:space="preserve">had jurisdiction </w:t>
      </w:r>
      <w:r>
        <w:rPr>
          <w:rFonts w:ascii="Courier New" w:hAnsi="Courier New" w:cs="Courier New"/>
        </w:rPr>
        <w:t>to hear and decide this</w:t>
      </w:r>
      <w:r w:rsidRPr="001B03EC">
        <w:rPr>
          <w:rFonts w:ascii="Courier New" w:hAnsi="Courier New" w:cs="Courier New"/>
        </w:rPr>
        <w:t xml:space="preserve"> appeal.  </w:t>
      </w:r>
    </w:p>
    <w:p w:rsidR="00EE6112" w:rsidRDefault="00986CC6" w:rsidP="00EF4E9E">
      <w:pPr>
        <w:spacing w:line="480" w:lineRule="auto"/>
        <w:jc w:val="both"/>
        <w:rPr>
          <w:rFonts w:ascii="Courier New" w:hAnsi="Courier New" w:cs="Courier New"/>
        </w:rPr>
      </w:pPr>
      <w:r>
        <w:rPr>
          <w:rFonts w:ascii="Courier New" w:hAnsi="Courier New" w:cs="Courier New"/>
        </w:rPr>
        <w:tab/>
      </w:r>
      <w:r w:rsidR="0027322F">
        <w:rPr>
          <w:rFonts w:ascii="Courier New" w:hAnsi="Courier New" w:cs="Courier New"/>
        </w:rPr>
        <w:t xml:space="preserve">In support of his claim that the subject property was overvalued for the fiscal year at issue, the appellant offered into </w:t>
      </w:r>
      <w:r w:rsidR="00B371FD">
        <w:rPr>
          <w:rFonts w:ascii="Courier New" w:hAnsi="Courier New" w:cs="Courier New"/>
        </w:rPr>
        <w:t xml:space="preserve">evidence </w:t>
      </w:r>
      <w:r w:rsidR="007276E2">
        <w:rPr>
          <w:rFonts w:ascii="Courier New" w:hAnsi="Courier New" w:cs="Courier New"/>
        </w:rPr>
        <w:t xml:space="preserve">several documents, including the subject </w:t>
      </w:r>
      <w:r w:rsidR="007276E2">
        <w:rPr>
          <w:rFonts w:ascii="Courier New" w:hAnsi="Courier New" w:cs="Courier New"/>
        </w:rPr>
        <w:lastRenderedPageBreak/>
        <w:t>property’s property record card</w:t>
      </w:r>
      <w:r w:rsidR="00E8208E">
        <w:rPr>
          <w:rFonts w:ascii="Courier New" w:hAnsi="Courier New" w:cs="Courier New"/>
        </w:rPr>
        <w:t xml:space="preserve">, </w:t>
      </w:r>
      <w:r w:rsidR="0027322F">
        <w:rPr>
          <w:rFonts w:ascii="Courier New" w:hAnsi="Courier New" w:cs="Courier New"/>
        </w:rPr>
        <w:t>an appraisal report</w:t>
      </w:r>
      <w:r w:rsidR="00EE6112">
        <w:rPr>
          <w:rFonts w:ascii="Courier New" w:hAnsi="Courier New" w:cs="Courier New"/>
        </w:rPr>
        <w:t>, and</w:t>
      </w:r>
      <w:r w:rsidR="00931524">
        <w:rPr>
          <w:rFonts w:ascii="Courier New" w:hAnsi="Courier New" w:cs="Courier New"/>
        </w:rPr>
        <w:t xml:space="preserve"> </w:t>
      </w:r>
      <w:r w:rsidR="007276E2">
        <w:rPr>
          <w:rFonts w:ascii="Courier New" w:hAnsi="Courier New" w:cs="Courier New"/>
        </w:rPr>
        <w:t>a</w:t>
      </w:r>
      <w:r w:rsidR="00B371FD">
        <w:rPr>
          <w:rFonts w:ascii="Courier New" w:hAnsi="Courier New" w:cs="Courier New"/>
        </w:rPr>
        <w:t xml:space="preserve"> mar</w:t>
      </w:r>
      <w:r w:rsidR="00281761">
        <w:rPr>
          <w:rFonts w:ascii="Courier New" w:hAnsi="Courier New" w:cs="Courier New"/>
        </w:rPr>
        <w:t>ket analysis</w:t>
      </w:r>
      <w:r w:rsidR="007276E2">
        <w:rPr>
          <w:rFonts w:ascii="Courier New" w:hAnsi="Courier New" w:cs="Courier New"/>
        </w:rPr>
        <w:t xml:space="preserve"> prepared by a local realtor.  Neither the appraiser nor the realtor testified.</w:t>
      </w:r>
      <w:r w:rsidR="00B368D2">
        <w:rPr>
          <w:rFonts w:ascii="Courier New" w:hAnsi="Courier New" w:cs="Courier New"/>
        </w:rPr>
        <w:t xml:space="preserve">  </w:t>
      </w:r>
      <w:r w:rsidR="00E8208E">
        <w:rPr>
          <w:rFonts w:ascii="Courier New" w:hAnsi="Courier New" w:cs="Courier New"/>
        </w:rPr>
        <w:t xml:space="preserve">The appraisal report had an effective date of December 28, 2013 and </w:t>
      </w:r>
      <w:r w:rsidR="00A24F85">
        <w:rPr>
          <w:rFonts w:ascii="Courier New" w:hAnsi="Courier New" w:cs="Courier New"/>
        </w:rPr>
        <w:t>relied on</w:t>
      </w:r>
      <w:r w:rsidR="00B368D2">
        <w:rPr>
          <w:rFonts w:ascii="Courier New" w:hAnsi="Courier New" w:cs="Courier New"/>
        </w:rPr>
        <w:t xml:space="preserve"> </w:t>
      </w:r>
      <w:r w:rsidR="00E8208E">
        <w:rPr>
          <w:rFonts w:ascii="Courier New" w:hAnsi="Courier New" w:cs="Courier New"/>
        </w:rPr>
        <w:t xml:space="preserve">four </w:t>
      </w:r>
      <w:r w:rsidR="00E94051">
        <w:rPr>
          <w:rFonts w:ascii="Courier New" w:hAnsi="Courier New" w:cs="Courier New"/>
        </w:rPr>
        <w:t xml:space="preserve">properties that sold </w:t>
      </w:r>
      <w:r w:rsidR="00E8208E">
        <w:rPr>
          <w:rFonts w:ascii="Courier New" w:hAnsi="Courier New" w:cs="Courier New"/>
        </w:rPr>
        <w:t xml:space="preserve">between November 26, 2012 and June 28, 2013, </w:t>
      </w:r>
      <w:r w:rsidR="00EE6112">
        <w:rPr>
          <w:rFonts w:ascii="Courier New" w:hAnsi="Courier New" w:cs="Courier New"/>
        </w:rPr>
        <w:t xml:space="preserve">between </w:t>
      </w:r>
      <w:r w:rsidR="00B368D2">
        <w:rPr>
          <w:rFonts w:ascii="Courier New" w:hAnsi="Courier New" w:cs="Courier New"/>
        </w:rPr>
        <w:t xml:space="preserve">eighteen and twenty-five months prior to the </w:t>
      </w:r>
      <w:r w:rsidR="00E94051">
        <w:rPr>
          <w:rFonts w:ascii="Courier New" w:hAnsi="Courier New" w:cs="Courier New"/>
        </w:rPr>
        <w:t xml:space="preserve">relevant </w:t>
      </w:r>
      <w:r w:rsidR="00B368D2">
        <w:rPr>
          <w:rFonts w:ascii="Courier New" w:hAnsi="Courier New" w:cs="Courier New"/>
        </w:rPr>
        <w:t>valuation date of January 1, 2015</w:t>
      </w:r>
      <w:r w:rsidR="00EE6112">
        <w:rPr>
          <w:rFonts w:ascii="Courier New" w:hAnsi="Courier New" w:cs="Courier New"/>
        </w:rPr>
        <w:t xml:space="preserve">, with sales prices that ranged from $310,000 to $335,000.  </w:t>
      </w:r>
      <w:r w:rsidR="00E94051">
        <w:rPr>
          <w:rFonts w:ascii="Courier New" w:hAnsi="Courier New" w:cs="Courier New"/>
        </w:rPr>
        <w:t>The properties ranged in size from 7,000 square feet to 30,012 square feet with finished living areas ranging from 1,124 square feet to 1,671 square feet.</w:t>
      </w:r>
      <w:r w:rsidR="00EE6112">
        <w:rPr>
          <w:rFonts w:ascii="Courier New" w:hAnsi="Courier New" w:cs="Courier New"/>
        </w:rPr>
        <w:t xml:space="preserve">  </w:t>
      </w:r>
      <w:r w:rsidR="0059381E">
        <w:rPr>
          <w:rFonts w:ascii="Courier New" w:hAnsi="Courier New" w:cs="Courier New"/>
        </w:rPr>
        <w:t>The appraisal report fa</w:t>
      </w:r>
      <w:r w:rsidR="00807067">
        <w:rPr>
          <w:rFonts w:ascii="Courier New" w:hAnsi="Courier New" w:cs="Courier New"/>
        </w:rPr>
        <w:t>iled to include copies of deeds</w:t>
      </w:r>
      <w:r w:rsidR="0059381E">
        <w:rPr>
          <w:rFonts w:ascii="Courier New" w:hAnsi="Courier New" w:cs="Courier New"/>
        </w:rPr>
        <w:t xml:space="preserve"> </w:t>
      </w:r>
      <w:r w:rsidR="004923AE">
        <w:rPr>
          <w:rFonts w:ascii="Courier New" w:hAnsi="Courier New" w:cs="Courier New"/>
        </w:rPr>
        <w:t xml:space="preserve">substantiating the sales, </w:t>
      </w:r>
      <w:r w:rsidR="0059381E">
        <w:rPr>
          <w:rFonts w:ascii="Courier New" w:hAnsi="Courier New" w:cs="Courier New"/>
        </w:rPr>
        <w:t xml:space="preserve">and </w:t>
      </w:r>
      <w:r w:rsidR="004923AE">
        <w:rPr>
          <w:rFonts w:ascii="Courier New" w:hAnsi="Courier New" w:cs="Courier New"/>
        </w:rPr>
        <w:t>contained</w:t>
      </w:r>
      <w:r w:rsidR="0059381E">
        <w:rPr>
          <w:rFonts w:ascii="Courier New" w:hAnsi="Courier New" w:cs="Courier New"/>
        </w:rPr>
        <w:t xml:space="preserve"> </w:t>
      </w:r>
      <w:r w:rsidR="00600438">
        <w:rPr>
          <w:rFonts w:ascii="Courier New" w:hAnsi="Courier New" w:cs="Courier New"/>
        </w:rPr>
        <w:t>erroneous</w:t>
      </w:r>
      <w:r w:rsidR="0059381E">
        <w:rPr>
          <w:rFonts w:ascii="Courier New" w:hAnsi="Courier New" w:cs="Courier New"/>
        </w:rPr>
        <w:t xml:space="preserve"> information </w:t>
      </w:r>
      <w:r w:rsidR="00600438">
        <w:rPr>
          <w:rFonts w:ascii="Courier New" w:hAnsi="Courier New" w:cs="Courier New"/>
        </w:rPr>
        <w:t xml:space="preserve">regarding, among other things, the </w:t>
      </w:r>
      <w:r w:rsidR="0059381E">
        <w:rPr>
          <w:rFonts w:ascii="Courier New" w:hAnsi="Courier New" w:cs="Courier New"/>
        </w:rPr>
        <w:t xml:space="preserve">subject property’s finished living </w:t>
      </w:r>
      <w:r w:rsidR="004A3C30">
        <w:rPr>
          <w:rFonts w:ascii="Courier New" w:hAnsi="Courier New" w:cs="Courier New"/>
        </w:rPr>
        <w:t xml:space="preserve">area, </w:t>
      </w:r>
      <w:r w:rsidR="0059381E">
        <w:rPr>
          <w:rFonts w:ascii="Courier New" w:hAnsi="Courier New" w:cs="Courier New"/>
        </w:rPr>
        <w:t xml:space="preserve">which </w:t>
      </w:r>
      <w:r w:rsidR="00600438">
        <w:rPr>
          <w:rFonts w:ascii="Courier New" w:hAnsi="Courier New" w:cs="Courier New"/>
        </w:rPr>
        <w:t xml:space="preserve">the report </w:t>
      </w:r>
      <w:r w:rsidR="0059381E">
        <w:rPr>
          <w:rFonts w:ascii="Courier New" w:hAnsi="Courier New" w:cs="Courier New"/>
        </w:rPr>
        <w:t>listed as 1,246 square feet</w:t>
      </w:r>
      <w:r w:rsidR="004A3C30">
        <w:rPr>
          <w:rFonts w:ascii="Courier New" w:hAnsi="Courier New" w:cs="Courier New"/>
        </w:rPr>
        <w:t xml:space="preserve"> when, in fact, it has only 756 square feet</w:t>
      </w:r>
      <w:r w:rsidR="004A39B2">
        <w:rPr>
          <w:rFonts w:ascii="Courier New" w:hAnsi="Courier New" w:cs="Courier New"/>
        </w:rPr>
        <w:t xml:space="preserve">. </w:t>
      </w:r>
    </w:p>
    <w:p w:rsidR="00B371FD" w:rsidRDefault="00931524" w:rsidP="00EE6112">
      <w:pPr>
        <w:spacing w:line="480" w:lineRule="auto"/>
        <w:ind w:firstLine="720"/>
        <w:jc w:val="both"/>
        <w:rPr>
          <w:rFonts w:ascii="Courier New" w:hAnsi="Courier New" w:cs="Courier New"/>
        </w:rPr>
      </w:pPr>
      <w:r>
        <w:rPr>
          <w:rFonts w:ascii="Courier New" w:hAnsi="Courier New" w:cs="Courier New"/>
        </w:rPr>
        <w:t>T</w:t>
      </w:r>
      <w:r w:rsidR="0059381E">
        <w:rPr>
          <w:rFonts w:ascii="Courier New" w:hAnsi="Courier New" w:cs="Courier New"/>
        </w:rPr>
        <w:t xml:space="preserve">he </w:t>
      </w:r>
      <w:r w:rsidR="00600438">
        <w:rPr>
          <w:rFonts w:ascii="Courier New" w:hAnsi="Courier New" w:cs="Courier New"/>
        </w:rPr>
        <w:t>m</w:t>
      </w:r>
      <w:r>
        <w:rPr>
          <w:rFonts w:ascii="Courier New" w:hAnsi="Courier New" w:cs="Courier New"/>
        </w:rPr>
        <w:t>arket analysis</w:t>
      </w:r>
      <w:r w:rsidR="00EF4E9E">
        <w:rPr>
          <w:rFonts w:ascii="Courier New" w:hAnsi="Courier New" w:cs="Courier New"/>
        </w:rPr>
        <w:t xml:space="preserve"> </w:t>
      </w:r>
      <w:r w:rsidR="00A24F85">
        <w:rPr>
          <w:rFonts w:ascii="Courier New" w:hAnsi="Courier New" w:cs="Courier New"/>
        </w:rPr>
        <w:t>cited</w:t>
      </w:r>
      <w:r>
        <w:rPr>
          <w:rFonts w:ascii="Courier New" w:hAnsi="Courier New" w:cs="Courier New"/>
        </w:rPr>
        <w:t xml:space="preserve"> three </w:t>
      </w:r>
      <w:r w:rsidR="00A24F85">
        <w:rPr>
          <w:rFonts w:ascii="Courier New" w:hAnsi="Courier New" w:cs="Courier New"/>
        </w:rPr>
        <w:t xml:space="preserve">properties that sold </w:t>
      </w:r>
      <w:r>
        <w:rPr>
          <w:rFonts w:ascii="Courier New" w:hAnsi="Courier New" w:cs="Courier New"/>
        </w:rPr>
        <w:t xml:space="preserve">during calendar year 2015 with </w:t>
      </w:r>
      <w:r w:rsidR="00A24F85">
        <w:rPr>
          <w:rFonts w:ascii="Courier New" w:hAnsi="Courier New" w:cs="Courier New"/>
        </w:rPr>
        <w:t xml:space="preserve">finished living areas that ranged from 982 square feet to 1,644 square feet with </w:t>
      </w:r>
      <w:r>
        <w:rPr>
          <w:rFonts w:ascii="Courier New" w:hAnsi="Courier New" w:cs="Courier New"/>
        </w:rPr>
        <w:t>sale prices that ranged from</w:t>
      </w:r>
      <w:r w:rsidR="00912769">
        <w:rPr>
          <w:rFonts w:ascii="Courier New" w:hAnsi="Courier New" w:cs="Courier New"/>
        </w:rPr>
        <w:t xml:space="preserve"> $340,000 to $379,000.</w:t>
      </w:r>
      <w:r w:rsidR="00EF4E9E">
        <w:rPr>
          <w:rFonts w:ascii="Courier New" w:hAnsi="Courier New" w:cs="Courier New"/>
        </w:rPr>
        <w:t xml:space="preserve">  </w:t>
      </w:r>
      <w:r w:rsidR="00A24F85">
        <w:rPr>
          <w:rFonts w:ascii="Courier New" w:hAnsi="Courier New" w:cs="Courier New"/>
        </w:rPr>
        <w:t>This analysis did not, however, include any other comparative information such as lot siz</w:t>
      </w:r>
      <w:r w:rsidR="00EE6112">
        <w:rPr>
          <w:rFonts w:ascii="Courier New" w:hAnsi="Courier New" w:cs="Courier New"/>
        </w:rPr>
        <w:t xml:space="preserve">e or condition of the structure.  The appellant maintained that these properties were purchased as tear-downs and, therefore, he argued, the builders paid in excess of the properties’ actual fair market values.  </w:t>
      </w:r>
      <w:r w:rsidR="001E108F">
        <w:rPr>
          <w:rFonts w:ascii="Courier New" w:hAnsi="Courier New" w:cs="Courier New"/>
        </w:rPr>
        <w:t xml:space="preserve">The appellant further </w:t>
      </w:r>
      <w:r w:rsidR="001E108F">
        <w:rPr>
          <w:rFonts w:ascii="Courier New" w:hAnsi="Courier New" w:cs="Courier New"/>
        </w:rPr>
        <w:lastRenderedPageBreak/>
        <w:t xml:space="preserve">testified that due to recent zoning changes, the subject property would require a variance to increase the size of the subject dwelling, which, he opined, would be difficult to obtain.  </w:t>
      </w:r>
      <w:r w:rsidR="00EE6112">
        <w:rPr>
          <w:rFonts w:ascii="Courier New" w:hAnsi="Courier New" w:cs="Courier New"/>
        </w:rPr>
        <w:t xml:space="preserve">The appellant did not provide any evidence to substantiate </w:t>
      </w:r>
      <w:r w:rsidR="00600438">
        <w:rPr>
          <w:rFonts w:ascii="Courier New" w:hAnsi="Courier New" w:cs="Courier New"/>
        </w:rPr>
        <w:t xml:space="preserve">either of </w:t>
      </w:r>
      <w:r w:rsidR="001E108F">
        <w:rPr>
          <w:rFonts w:ascii="Courier New" w:hAnsi="Courier New" w:cs="Courier New"/>
        </w:rPr>
        <w:t>these</w:t>
      </w:r>
      <w:r w:rsidR="00EE6112">
        <w:rPr>
          <w:rFonts w:ascii="Courier New" w:hAnsi="Courier New" w:cs="Courier New"/>
        </w:rPr>
        <w:t xml:space="preserve"> claim</w:t>
      </w:r>
      <w:r w:rsidR="001E108F">
        <w:rPr>
          <w:rFonts w:ascii="Courier New" w:hAnsi="Courier New" w:cs="Courier New"/>
        </w:rPr>
        <w:t>s</w:t>
      </w:r>
      <w:r w:rsidR="00EE6112">
        <w:rPr>
          <w:rFonts w:ascii="Courier New" w:hAnsi="Courier New" w:cs="Courier New"/>
        </w:rPr>
        <w:t>.</w:t>
      </w:r>
      <w:r w:rsidR="00EF4E9E">
        <w:rPr>
          <w:rFonts w:ascii="Courier New" w:hAnsi="Courier New" w:cs="Courier New"/>
        </w:rPr>
        <w:t xml:space="preserve"> </w:t>
      </w:r>
    </w:p>
    <w:p w:rsidR="005677F5" w:rsidRDefault="004923AE" w:rsidP="00723B34">
      <w:pPr>
        <w:spacing w:line="480" w:lineRule="auto"/>
        <w:ind w:firstLine="720"/>
        <w:jc w:val="both"/>
        <w:rPr>
          <w:rFonts w:ascii="Courier New" w:hAnsi="Courier New" w:cs="Courier New"/>
        </w:rPr>
      </w:pPr>
      <w:r>
        <w:rPr>
          <w:rFonts w:ascii="Courier New" w:hAnsi="Courier New" w:cs="Courier New"/>
        </w:rPr>
        <w:t xml:space="preserve">For their part, </w:t>
      </w:r>
      <w:r w:rsidR="00537A9D">
        <w:rPr>
          <w:rFonts w:ascii="Courier New" w:hAnsi="Courier New" w:cs="Courier New"/>
        </w:rPr>
        <w:t>t</w:t>
      </w:r>
      <w:r w:rsidR="00723B34">
        <w:rPr>
          <w:rFonts w:ascii="Courier New" w:hAnsi="Courier New" w:cs="Courier New"/>
        </w:rPr>
        <w:t>he</w:t>
      </w:r>
      <w:r>
        <w:rPr>
          <w:rFonts w:ascii="Courier New" w:hAnsi="Courier New" w:cs="Courier New"/>
        </w:rPr>
        <w:t xml:space="preserve"> assessors</w:t>
      </w:r>
      <w:r w:rsidR="00723B34">
        <w:rPr>
          <w:rFonts w:ascii="Courier New" w:hAnsi="Courier New" w:cs="Courier New"/>
        </w:rPr>
        <w:t xml:space="preserve"> </w:t>
      </w:r>
      <w:r w:rsidR="00537A9D">
        <w:rPr>
          <w:rFonts w:ascii="Courier New" w:hAnsi="Courier New" w:cs="Courier New"/>
        </w:rPr>
        <w:t>relied on t</w:t>
      </w:r>
      <w:r w:rsidR="00723B34">
        <w:rPr>
          <w:rFonts w:ascii="Courier New" w:hAnsi="Courier New" w:cs="Courier New"/>
        </w:rPr>
        <w:t xml:space="preserve">he testimony of </w:t>
      </w:r>
      <w:r w:rsidR="00AD30A6">
        <w:rPr>
          <w:rFonts w:ascii="Courier New" w:hAnsi="Courier New" w:cs="Courier New"/>
        </w:rPr>
        <w:t>Alan Ferguson, assessing d</w:t>
      </w:r>
      <w:r w:rsidR="00744A83">
        <w:rPr>
          <w:rFonts w:ascii="Courier New" w:hAnsi="Courier New" w:cs="Courier New"/>
        </w:rPr>
        <w:t>irector</w:t>
      </w:r>
      <w:r w:rsidR="00723B34">
        <w:rPr>
          <w:rFonts w:ascii="Courier New" w:hAnsi="Courier New" w:cs="Courier New"/>
        </w:rPr>
        <w:t xml:space="preserve">, and the submission of </w:t>
      </w:r>
      <w:r w:rsidR="00744A83">
        <w:rPr>
          <w:rFonts w:ascii="Courier New" w:hAnsi="Courier New" w:cs="Courier New"/>
        </w:rPr>
        <w:t>the requisite jurisdictional documents</w:t>
      </w:r>
      <w:r>
        <w:rPr>
          <w:rFonts w:ascii="Courier New" w:hAnsi="Courier New" w:cs="Courier New"/>
        </w:rPr>
        <w:t xml:space="preserve">, as well as </w:t>
      </w:r>
      <w:r w:rsidR="00744A83">
        <w:rPr>
          <w:rFonts w:ascii="Courier New" w:hAnsi="Courier New" w:cs="Courier New"/>
        </w:rPr>
        <w:t xml:space="preserve">the subject property’s property record card.  Mr. Ferguson testified that the </w:t>
      </w:r>
      <w:r w:rsidR="00AD30A6">
        <w:rPr>
          <w:rFonts w:ascii="Courier New" w:hAnsi="Courier New" w:cs="Courier New"/>
        </w:rPr>
        <w:t xml:space="preserve">subject dwelling is rated as </w:t>
      </w:r>
      <w:r>
        <w:rPr>
          <w:rFonts w:ascii="Courier New" w:hAnsi="Courier New" w:cs="Courier New"/>
        </w:rPr>
        <w:t xml:space="preserve">being in </w:t>
      </w:r>
      <w:r w:rsidR="00AD30A6">
        <w:rPr>
          <w:rFonts w:ascii="Courier New" w:hAnsi="Courier New" w:cs="Courier New"/>
        </w:rPr>
        <w:t>poor condition, the lowest possible condition afforded by the assessors, and was valued at only $60,600.  Mr. Ferguson also testified that there are 3,466 single-f</w:t>
      </w:r>
      <w:r w:rsidR="000534A1">
        <w:rPr>
          <w:rFonts w:ascii="Courier New" w:hAnsi="Courier New" w:cs="Courier New"/>
        </w:rPr>
        <w:t>amily residences in Bedford</w:t>
      </w:r>
      <w:r>
        <w:rPr>
          <w:rFonts w:ascii="Courier New" w:hAnsi="Courier New" w:cs="Courier New"/>
        </w:rPr>
        <w:t>,</w:t>
      </w:r>
      <w:r w:rsidR="000534A1">
        <w:rPr>
          <w:rFonts w:ascii="Courier New" w:hAnsi="Courier New" w:cs="Courier New"/>
        </w:rPr>
        <w:t xml:space="preserve"> and only 16</w:t>
      </w:r>
      <w:r w:rsidR="008A101A">
        <w:rPr>
          <w:rFonts w:ascii="Courier New" w:hAnsi="Courier New" w:cs="Courier New"/>
        </w:rPr>
        <w:t>6 are valued less than $400,000,</w:t>
      </w:r>
      <w:r w:rsidR="000534A1">
        <w:rPr>
          <w:rFonts w:ascii="Courier New" w:hAnsi="Courier New" w:cs="Courier New"/>
        </w:rPr>
        <w:t xml:space="preserve"> with the subject property, valued at $358,296, </w:t>
      </w:r>
      <w:r>
        <w:rPr>
          <w:rFonts w:ascii="Courier New" w:hAnsi="Courier New" w:cs="Courier New"/>
        </w:rPr>
        <w:t>being</w:t>
      </w:r>
      <w:r w:rsidR="000534A1">
        <w:rPr>
          <w:rFonts w:ascii="Courier New" w:hAnsi="Courier New" w:cs="Courier New"/>
        </w:rPr>
        <w:t xml:space="preserve"> one of the lowest valued properties in Bedford.</w:t>
      </w:r>
    </w:p>
    <w:p w:rsidR="0078440B" w:rsidRDefault="00200BB7" w:rsidP="0078440B">
      <w:pPr>
        <w:spacing w:line="480" w:lineRule="auto"/>
        <w:ind w:firstLine="720"/>
        <w:jc w:val="both"/>
        <w:rPr>
          <w:rFonts w:ascii="Courier New" w:hAnsi="Courier New" w:cs="Courier New"/>
        </w:rPr>
      </w:pPr>
      <w:r>
        <w:rPr>
          <w:rFonts w:ascii="Courier New" w:hAnsi="Courier New" w:cs="Courier New"/>
        </w:rPr>
        <w:t xml:space="preserve">On </w:t>
      </w:r>
      <w:r w:rsidR="007030FD">
        <w:rPr>
          <w:rFonts w:ascii="Courier New" w:hAnsi="Courier New" w:cs="Courier New"/>
        </w:rPr>
        <w:t xml:space="preserve">the basis of the evidence presented, the Presiding Commissioner found that the appellant failed to prove that the </w:t>
      </w:r>
      <w:r w:rsidR="00D84CFE">
        <w:rPr>
          <w:rFonts w:ascii="Courier New" w:hAnsi="Courier New" w:cs="Courier New"/>
        </w:rPr>
        <w:t xml:space="preserve">assessed value of the </w:t>
      </w:r>
      <w:r w:rsidR="007030FD">
        <w:rPr>
          <w:rFonts w:ascii="Courier New" w:hAnsi="Courier New" w:cs="Courier New"/>
        </w:rPr>
        <w:t xml:space="preserve">subject property </w:t>
      </w:r>
      <w:r w:rsidR="00D84CFE">
        <w:rPr>
          <w:rFonts w:ascii="Courier New" w:hAnsi="Courier New" w:cs="Courier New"/>
        </w:rPr>
        <w:t xml:space="preserve">exceeded its fair </w:t>
      </w:r>
      <w:r w:rsidR="00E812EA">
        <w:rPr>
          <w:rFonts w:ascii="Courier New" w:hAnsi="Courier New" w:cs="Courier New"/>
        </w:rPr>
        <w:t>cash</w:t>
      </w:r>
      <w:r w:rsidR="00D84CFE">
        <w:rPr>
          <w:rFonts w:ascii="Courier New" w:hAnsi="Courier New" w:cs="Courier New"/>
        </w:rPr>
        <w:t xml:space="preserve"> value </w:t>
      </w:r>
      <w:r w:rsidR="007030FD">
        <w:rPr>
          <w:rFonts w:ascii="Courier New" w:hAnsi="Courier New" w:cs="Courier New"/>
        </w:rPr>
        <w:t>for the fiscal year at issue.</w:t>
      </w:r>
      <w:r w:rsidR="005B3D75">
        <w:rPr>
          <w:rFonts w:ascii="Courier New" w:hAnsi="Courier New" w:cs="Courier New"/>
        </w:rPr>
        <w:t xml:space="preserve">  The </w:t>
      </w:r>
      <w:r w:rsidR="00E07FF9">
        <w:rPr>
          <w:rFonts w:ascii="Courier New" w:hAnsi="Courier New" w:cs="Courier New"/>
        </w:rPr>
        <w:t xml:space="preserve">Presiding Commissioner found that </w:t>
      </w:r>
      <w:r w:rsidR="004923AE">
        <w:rPr>
          <w:rFonts w:ascii="Courier New" w:hAnsi="Courier New" w:cs="Courier New"/>
        </w:rPr>
        <w:t>the opinion</w:t>
      </w:r>
      <w:r w:rsidR="00600438">
        <w:rPr>
          <w:rFonts w:ascii="Courier New" w:hAnsi="Courier New" w:cs="Courier New"/>
        </w:rPr>
        <w:t>s</w:t>
      </w:r>
      <w:r w:rsidR="004923AE">
        <w:rPr>
          <w:rFonts w:ascii="Courier New" w:hAnsi="Courier New" w:cs="Courier New"/>
        </w:rPr>
        <w:t xml:space="preserve"> of value contained in </w:t>
      </w:r>
      <w:r w:rsidR="00E07FF9">
        <w:rPr>
          <w:rFonts w:ascii="Courier New" w:hAnsi="Courier New" w:cs="Courier New"/>
        </w:rPr>
        <w:t xml:space="preserve">both the appraisal report and market analysis were of </w:t>
      </w:r>
      <w:r w:rsidR="004923AE">
        <w:rPr>
          <w:rFonts w:ascii="Courier New" w:hAnsi="Courier New" w:cs="Courier New"/>
        </w:rPr>
        <w:t>no</w:t>
      </w:r>
      <w:r w:rsidR="00E07FF9">
        <w:rPr>
          <w:rFonts w:ascii="Courier New" w:hAnsi="Courier New" w:cs="Courier New"/>
        </w:rPr>
        <w:t xml:space="preserve"> evidentiary value because neither the </w:t>
      </w:r>
      <w:r w:rsidR="005B3D75">
        <w:rPr>
          <w:rFonts w:ascii="Courier New" w:hAnsi="Courier New" w:cs="Courier New"/>
        </w:rPr>
        <w:t>appraiser nor the realtor</w:t>
      </w:r>
      <w:r w:rsidR="00807067">
        <w:rPr>
          <w:rFonts w:ascii="Courier New" w:hAnsi="Courier New" w:cs="Courier New"/>
        </w:rPr>
        <w:t xml:space="preserve"> who prepared them</w:t>
      </w:r>
      <w:r w:rsidR="005B3D75">
        <w:rPr>
          <w:rFonts w:ascii="Courier New" w:hAnsi="Courier New" w:cs="Courier New"/>
        </w:rPr>
        <w:t xml:space="preserve"> testified at the hearing</w:t>
      </w:r>
      <w:r w:rsidR="004923AE">
        <w:rPr>
          <w:rFonts w:ascii="Courier New" w:hAnsi="Courier New" w:cs="Courier New"/>
        </w:rPr>
        <w:t xml:space="preserve">, and they </w:t>
      </w:r>
      <w:r w:rsidR="00E07FF9">
        <w:rPr>
          <w:rFonts w:ascii="Courier New" w:hAnsi="Courier New" w:cs="Courier New"/>
        </w:rPr>
        <w:t xml:space="preserve">were </w:t>
      </w:r>
      <w:r w:rsidR="004923AE">
        <w:rPr>
          <w:rFonts w:ascii="Courier New" w:hAnsi="Courier New" w:cs="Courier New"/>
        </w:rPr>
        <w:t xml:space="preserve">therefore </w:t>
      </w:r>
      <w:r w:rsidR="00E07FF9">
        <w:rPr>
          <w:rFonts w:ascii="Courier New" w:hAnsi="Courier New" w:cs="Courier New"/>
        </w:rPr>
        <w:t>not available for cross-examination or for question</w:t>
      </w:r>
      <w:r w:rsidR="004923AE">
        <w:rPr>
          <w:rFonts w:ascii="Courier New" w:hAnsi="Courier New" w:cs="Courier New"/>
        </w:rPr>
        <w:t>ing</w:t>
      </w:r>
      <w:r w:rsidR="00E07FF9">
        <w:rPr>
          <w:rFonts w:ascii="Courier New" w:hAnsi="Courier New" w:cs="Courier New"/>
        </w:rPr>
        <w:t xml:space="preserve"> by the Presiding </w:t>
      </w:r>
      <w:r w:rsidR="00E07FF9">
        <w:rPr>
          <w:rFonts w:ascii="Courier New" w:hAnsi="Courier New" w:cs="Courier New"/>
        </w:rPr>
        <w:lastRenderedPageBreak/>
        <w:t xml:space="preserve">Commissioner.  </w:t>
      </w:r>
      <w:r w:rsidR="0078440B">
        <w:rPr>
          <w:rFonts w:ascii="Courier New" w:hAnsi="Courier New" w:cs="Courier New"/>
        </w:rPr>
        <w:t>Moreover, even if the Presiding Commissioner had accepted the opinions of value in the appraisal report and market analysis, the sales upon which those opinions were premised were not substantiated</w:t>
      </w:r>
      <w:r w:rsidR="004A39B2">
        <w:rPr>
          <w:rFonts w:ascii="Courier New" w:hAnsi="Courier New" w:cs="Courier New"/>
        </w:rPr>
        <w:t xml:space="preserve">.  </w:t>
      </w:r>
      <w:r w:rsidR="00FA490C">
        <w:rPr>
          <w:rFonts w:ascii="Courier New" w:hAnsi="Courier New" w:cs="Courier New"/>
        </w:rPr>
        <w:t xml:space="preserve">In addition, </w:t>
      </w:r>
      <w:r w:rsidR="00D12651">
        <w:rPr>
          <w:rFonts w:ascii="Courier New" w:hAnsi="Courier New" w:cs="Courier New"/>
        </w:rPr>
        <w:t xml:space="preserve">with respect to the market analysis, there were no adjustments to account for </w:t>
      </w:r>
      <w:r w:rsidR="00327BFC">
        <w:rPr>
          <w:rFonts w:ascii="Courier New" w:hAnsi="Courier New" w:cs="Courier New"/>
        </w:rPr>
        <w:t xml:space="preserve">differences between </w:t>
      </w:r>
      <w:r w:rsidR="00D12651">
        <w:rPr>
          <w:rFonts w:ascii="Courier New" w:hAnsi="Courier New" w:cs="Courier New"/>
        </w:rPr>
        <w:t>the purportedly comparable properties and the subject property</w:t>
      </w:r>
      <w:r w:rsidR="008A101A">
        <w:rPr>
          <w:rFonts w:ascii="Courier New" w:hAnsi="Courier New" w:cs="Courier New"/>
        </w:rPr>
        <w:t>,</w:t>
      </w:r>
      <w:r w:rsidR="00D12651">
        <w:rPr>
          <w:rFonts w:ascii="Courier New" w:hAnsi="Courier New" w:cs="Courier New"/>
        </w:rPr>
        <w:t xml:space="preserve"> and the appraisal report </w:t>
      </w:r>
      <w:r w:rsidR="0078440B">
        <w:rPr>
          <w:rFonts w:ascii="Courier New" w:hAnsi="Courier New" w:cs="Courier New"/>
        </w:rPr>
        <w:t xml:space="preserve">was </w:t>
      </w:r>
      <w:r w:rsidR="00FA490C">
        <w:rPr>
          <w:rFonts w:ascii="Courier New" w:hAnsi="Courier New" w:cs="Courier New"/>
        </w:rPr>
        <w:t xml:space="preserve">prepared </w:t>
      </w:r>
      <w:r w:rsidR="0078440B">
        <w:rPr>
          <w:rFonts w:ascii="Courier New" w:hAnsi="Courier New" w:cs="Courier New"/>
        </w:rPr>
        <w:t xml:space="preserve">as of December 2013 and was based on sales consummated </w:t>
      </w:r>
      <w:r w:rsidR="00807067">
        <w:rPr>
          <w:rFonts w:ascii="Courier New" w:hAnsi="Courier New" w:cs="Courier New"/>
        </w:rPr>
        <w:t>long before</w:t>
      </w:r>
      <w:r w:rsidR="0078440B">
        <w:rPr>
          <w:rFonts w:ascii="Courier New" w:hAnsi="Courier New" w:cs="Courier New"/>
        </w:rPr>
        <w:t xml:space="preserve"> the </w:t>
      </w:r>
      <w:r w:rsidR="00807067">
        <w:rPr>
          <w:rFonts w:ascii="Courier New" w:hAnsi="Courier New" w:cs="Courier New"/>
        </w:rPr>
        <w:t xml:space="preserve">relevant </w:t>
      </w:r>
      <w:r w:rsidR="0078440B">
        <w:rPr>
          <w:rFonts w:ascii="Courier New" w:hAnsi="Courier New" w:cs="Courier New"/>
        </w:rPr>
        <w:t>January 1, 2015 valuation and assessment date here</w:t>
      </w:r>
      <w:r w:rsidR="00807067">
        <w:rPr>
          <w:rFonts w:ascii="Courier New" w:hAnsi="Courier New" w:cs="Courier New"/>
        </w:rPr>
        <w:t xml:space="preserve"> without an adjustment for time</w:t>
      </w:r>
      <w:r w:rsidR="0078440B">
        <w:rPr>
          <w:rFonts w:ascii="Courier New" w:hAnsi="Courier New" w:cs="Courier New"/>
        </w:rPr>
        <w:t>.</w:t>
      </w:r>
    </w:p>
    <w:p w:rsidR="002A4349" w:rsidRDefault="00E07FF9" w:rsidP="00D84CFE">
      <w:pPr>
        <w:spacing w:line="480" w:lineRule="auto"/>
        <w:ind w:firstLine="720"/>
        <w:jc w:val="both"/>
        <w:rPr>
          <w:rFonts w:ascii="Courier New" w:hAnsi="Courier New" w:cs="Courier New"/>
        </w:rPr>
      </w:pPr>
      <w:r>
        <w:rPr>
          <w:rFonts w:ascii="Courier New" w:hAnsi="Courier New" w:cs="Courier New"/>
        </w:rPr>
        <w:t>T</w:t>
      </w:r>
      <w:r w:rsidR="005B3D75">
        <w:rPr>
          <w:rFonts w:ascii="Courier New" w:hAnsi="Courier New" w:cs="Courier New"/>
        </w:rPr>
        <w:t>he Presiding Commissioner</w:t>
      </w:r>
      <w:r w:rsidR="007030FD">
        <w:rPr>
          <w:rFonts w:ascii="Courier New" w:hAnsi="Courier New" w:cs="Courier New"/>
        </w:rPr>
        <w:t xml:space="preserve"> </w:t>
      </w:r>
      <w:r>
        <w:rPr>
          <w:rFonts w:ascii="Courier New" w:hAnsi="Courier New" w:cs="Courier New"/>
        </w:rPr>
        <w:t xml:space="preserve">further found that although the subject property is relatively small and the dwelling is in poor condition, it is nonetheless habitable and located in a town where less than </w:t>
      </w:r>
      <w:r w:rsidR="00DE0726">
        <w:rPr>
          <w:rFonts w:ascii="Courier New" w:hAnsi="Courier New" w:cs="Courier New"/>
        </w:rPr>
        <w:t>5% of single-family properties are valued or sell for less than $400,000</w:t>
      </w:r>
      <w:r w:rsidR="00807067">
        <w:rPr>
          <w:rFonts w:ascii="Courier New" w:hAnsi="Courier New" w:cs="Courier New"/>
        </w:rPr>
        <w:t xml:space="preserve">.  The </w:t>
      </w:r>
      <w:r w:rsidR="002A4349">
        <w:rPr>
          <w:rFonts w:ascii="Courier New" w:hAnsi="Courier New" w:cs="Courier New"/>
        </w:rPr>
        <w:t>Presiding Commissioner</w:t>
      </w:r>
      <w:r w:rsidR="00807067">
        <w:rPr>
          <w:rFonts w:ascii="Courier New" w:hAnsi="Courier New" w:cs="Courier New"/>
        </w:rPr>
        <w:t xml:space="preserve"> found that the assessors adequately considered the subject property’s poor condition by valuing it among the lowest valued properties in the town at $358,296. </w:t>
      </w:r>
    </w:p>
    <w:p w:rsidR="00D84CFE" w:rsidRDefault="00D84CFE" w:rsidP="00D84CFE">
      <w:pPr>
        <w:spacing w:line="480" w:lineRule="auto"/>
        <w:ind w:firstLine="720"/>
        <w:jc w:val="both"/>
        <w:rPr>
          <w:rFonts w:ascii="Courier New" w:hAnsi="Courier New" w:cs="Courier New"/>
        </w:rPr>
      </w:pPr>
      <w:r>
        <w:rPr>
          <w:rFonts w:ascii="Courier New" w:hAnsi="Courier New" w:cs="Courier New"/>
        </w:rPr>
        <w:t xml:space="preserve">Accordingly, </w:t>
      </w:r>
      <w:r w:rsidR="004923AE">
        <w:rPr>
          <w:rFonts w:ascii="Courier New" w:hAnsi="Courier New" w:cs="Courier New"/>
        </w:rPr>
        <w:t xml:space="preserve">based on all the evidence, </w:t>
      </w:r>
      <w:r>
        <w:rPr>
          <w:rFonts w:ascii="Courier New" w:hAnsi="Courier New" w:cs="Courier New"/>
        </w:rPr>
        <w:t>t</w:t>
      </w:r>
      <w:r w:rsidR="00EF27BD">
        <w:rPr>
          <w:rFonts w:ascii="Courier New" w:hAnsi="Courier New" w:cs="Courier New"/>
        </w:rPr>
        <w:t xml:space="preserve">he Presiding Commissioner </w:t>
      </w:r>
      <w:r w:rsidR="009F565A">
        <w:rPr>
          <w:rFonts w:ascii="Courier New" w:hAnsi="Courier New" w:cs="Courier New"/>
        </w:rPr>
        <w:t>issued a decision for the appellee in this appeal.</w:t>
      </w:r>
    </w:p>
    <w:p w:rsidR="009F565A" w:rsidRDefault="004D4C0E" w:rsidP="00D84CFE">
      <w:pPr>
        <w:spacing w:line="480" w:lineRule="auto"/>
        <w:ind w:firstLine="720"/>
        <w:jc w:val="both"/>
        <w:rPr>
          <w:rFonts w:ascii="Courier New" w:hAnsi="Courier New" w:cs="Courier New"/>
        </w:rPr>
      </w:pPr>
      <w:r>
        <w:rPr>
          <w:rFonts w:ascii="Courier New" w:hAnsi="Courier New" w:cs="Courier New"/>
        </w:rPr>
        <w:t xml:space="preserve"> </w:t>
      </w:r>
    </w:p>
    <w:p w:rsidR="008D6A0F" w:rsidRPr="008D6A0F" w:rsidRDefault="008D6A0F" w:rsidP="008D6A0F">
      <w:pPr>
        <w:spacing w:line="480" w:lineRule="auto"/>
        <w:jc w:val="center"/>
        <w:rPr>
          <w:rFonts w:ascii="Courier New" w:hAnsi="Courier New" w:cs="Courier New"/>
        </w:rPr>
      </w:pPr>
      <w:r w:rsidRPr="008D6A0F">
        <w:rPr>
          <w:rFonts w:ascii="Courier New" w:hAnsi="Courier New" w:cs="Courier New"/>
          <w:b/>
        </w:rPr>
        <w:t>OPINION</w:t>
      </w:r>
    </w:p>
    <w:p w:rsidR="008D6A0F" w:rsidRPr="008D6A0F" w:rsidRDefault="008D6A0F" w:rsidP="008D6A0F">
      <w:pPr>
        <w:spacing w:line="480" w:lineRule="auto"/>
        <w:jc w:val="both"/>
        <w:rPr>
          <w:rFonts w:ascii="Courier New" w:hAnsi="Courier New" w:cs="Courier New"/>
        </w:rPr>
      </w:pPr>
      <w:r w:rsidRPr="008D6A0F">
        <w:rPr>
          <w:rFonts w:ascii="Courier New" w:hAnsi="Courier New" w:cs="Courier New"/>
        </w:rPr>
        <w:tab/>
        <w:t xml:space="preserve">The assessors are required to assess real estate at its fair cash value.  </w:t>
      </w:r>
      <w:proofErr w:type="gramStart"/>
      <w:r w:rsidRPr="008D6A0F">
        <w:rPr>
          <w:rFonts w:ascii="Courier New" w:hAnsi="Courier New" w:cs="Courier New"/>
        </w:rPr>
        <w:t>G.L. c. 59, § 38.</w:t>
      </w:r>
      <w:proofErr w:type="gramEnd"/>
      <w:r w:rsidRPr="008D6A0F">
        <w:rPr>
          <w:rFonts w:ascii="Courier New" w:hAnsi="Courier New" w:cs="Courier New"/>
        </w:rPr>
        <w:t xml:space="preserve">  Fair cash value is defined </w:t>
      </w:r>
      <w:r w:rsidRPr="008D6A0F">
        <w:rPr>
          <w:rFonts w:ascii="Courier New" w:hAnsi="Courier New" w:cs="Courier New"/>
        </w:rPr>
        <w:lastRenderedPageBreak/>
        <w:t xml:space="preserve">as the price on which a willing seller and a willing buyer in a free and open market will agree if both of them are fully informed and under no compulsion.   </w:t>
      </w:r>
      <w:proofErr w:type="gramStart"/>
      <w:r w:rsidRPr="008D6A0F">
        <w:rPr>
          <w:rFonts w:ascii="Courier New" w:hAnsi="Courier New" w:cs="Courier New"/>
          <w:b/>
          <w:bCs/>
          <w:i/>
          <w:iCs/>
        </w:rPr>
        <w:t>Boston Gas Co. v. Assessors of Boston</w:t>
      </w:r>
      <w:r w:rsidRPr="008D6A0F">
        <w:rPr>
          <w:rFonts w:ascii="Courier New" w:hAnsi="Courier New" w:cs="Courier New"/>
        </w:rPr>
        <w:t>, 334 Mass. 549, 566 (1956).</w:t>
      </w:r>
      <w:proofErr w:type="gramEnd"/>
    </w:p>
    <w:p w:rsidR="008D6A0F" w:rsidRPr="008D6A0F" w:rsidRDefault="008D6A0F" w:rsidP="008D6A0F">
      <w:pPr>
        <w:spacing w:line="480" w:lineRule="auto"/>
        <w:jc w:val="both"/>
        <w:rPr>
          <w:rFonts w:ascii="Courier New" w:hAnsi="Courier New" w:cs="Courier New"/>
        </w:rPr>
      </w:pPr>
      <w:r w:rsidRPr="008D6A0F">
        <w:rPr>
          <w:rFonts w:ascii="Courier New" w:hAnsi="Courier New" w:cs="Courier New"/>
        </w:rPr>
        <w:tab/>
        <w:t xml:space="preserve">The appellant has the burden of proving that the property has a lower value than that assessed. “‘The burden of proof is upon the petitioner to make out its right as [a] matter of law to [an] abatement of the tax.’”  </w:t>
      </w:r>
      <w:r w:rsidRPr="008D6A0F">
        <w:rPr>
          <w:rFonts w:ascii="Courier New" w:hAnsi="Courier New" w:cs="Courier New"/>
          <w:b/>
          <w:bCs/>
          <w:i/>
          <w:iCs/>
        </w:rPr>
        <w:t>Schlaiker v. Assessors of Great Barrington</w:t>
      </w:r>
      <w:r w:rsidRPr="008D6A0F">
        <w:rPr>
          <w:rFonts w:ascii="Courier New" w:hAnsi="Courier New" w:cs="Courier New"/>
        </w:rPr>
        <w:t xml:space="preserve">, 365 </w:t>
      </w:r>
      <w:smartTag w:uri="urn:schemas-microsoft-com:office:smarttags" w:element="State">
        <w:r w:rsidRPr="008D6A0F">
          <w:rPr>
            <w:rFonts w:ascii="Courier New" w:hAnsi="Courier New" w:cs="Courier New"/>
          </w:rPr>
          <w:t>Mass.</w:t>
        </w:r>
      </w:smartTag>
      <w:r w:rsidRPr="008D6A0F">
        <w:rPr>
          <w:rFonts w:ascii="Courier New" w:hAnsi="Courier New" w:cs="Courier New"/>
        </w:rPr>
        <w:t xml:space="preserve"> 243, 245 (1974) (quoting </w:t>
      </w:r>
      <w:r w:rsidRPr="008D6A0F">
        <w:rPr>
          <w:rFonts w:ascii="Courier New" w:hAnsi="Courier New" w:cs="Courier New"/>
          <w:b/>
          <w:bCs/>
          <w:i/>
          <w:iCs/>
        </w:rPr>
        <w:t>Judson Freight Forwarding Co. v. Commonwealth</w:t>
      </w:r>
      <w:r w:rsidRPr="008D6A0F">
        <w:rPr>
          <w:rFonts w:ascii="Courier New" w:hAnsi="Courier New" w:cs="Courier New"/>
        </w:rPr>
        <w:t>, 242 </w:t>
      </w:r>
      <w:smartTag w:uri="urn:schemas-microsoft-com:office:smarttags" w:element="place">
        <w:smartTag w:uri="urn:schemas-microsoft-com:office:smarttags" w:element="State">
          <w:r w:rsidRPr="008D6A0F">
            <w:rPr>
              <w:rFonts w:ascii="Courier New" w:hAnsi="Courier New" w:cs="Courier New"/>
            </w:rPr>
            <w:t>Mass.</w:t>
          </w:r>
        </w:smartTag>
      </w:smartTag>
      <w:r w:rsidRPr="008D6A0F">
        <w:rPr>
          <w:rFonts w:ascii="Courier New" w:hAnsi="Courier New" w:cs="Courier New"/>
        </w:rPr>
        <w:t xml:space="preserve"> 47, 55 (1922)). “[T]he [Board] is entitled to ‘presume that the valuation made by the assessors [is] valid unless the </w:t>
      </w:r>
      <w:proofErr w:type="gramStart"/>
      <w:r w:rsidRPr="008D6A0F">
        <w:rPr>
          <w:rFonts w:ascii="Courier New" w:hAnsi="Courier New" w:cs="Courier New"/>
        </w:rPr>
        <w:t>taxpayer[</w:t>
      </w:r>
      <w:proofErr w:type="gramEnd"/>
      <w:r w:rsidRPr="008D6A0F">
        <w:rPr>
          <w:rFonts w:ascii="Courier New" w:hAnsi="Courier New" w:cs="Courier New"/>
        </w:rPr>
        <w:t xml:space="preserve">] . . . prov[es] the contrary.’” </w:t>
      </w:r>
      <w:r w:rsidRPr="008D6A0F">
        <w:rPr>
          <w:rFonts w:ascii="Courier New" w:hAnsi="Courier New" w:cs="Courier New"/>
          <w:b/>
          <w:bCs/>
          <w:i/>
          <w:iCs/>
        </w:rPr>
        <w:t>General Electric Co. v. Assessors of Lynn</w:t>
      </w:r>
      <w:r w:rsidRPr="008D6A0F">
        <w:rPr>
          <w:rFonts w:ascii="Courier New" w:hAnsi="Courier New" w:cs="Courier New"/>
        </w:rPr>
        <w:t xml:space="preserve">, 393 </w:t>
      </w:r>
      <w:smartTag w:uri="urn:schemas-microsoft-com:office:smarttags" w:element="State">
        <w:r w:rsidRPr="008D6A0F">
          <w:rPr>
            <w:rFonts w:ascii="Courier New" w:hAnsi="Courier New" w:cs="Courier New"/>
          </w:rPr>
          <w:t>Mass.</w:t>
        </w:r>
      </w:smartTag>
      <w:r w:rsidRPr="008D6A0F">
        <w:rPr>
          <w:rFonts w:ascii="Courier New" w:hAnsi="Courier New" w:cs="Courier New"/>
        </w:rPr>
        <w:t xml:space="preserve"> 591, 598 (1984) (quoting </w:t>
      </w:r>
      <w:r w:rsidRPr="008D6A0F">
        <w:rPr>
          <w:rFonts w:ascii="Courier New" w:hAnsi="Courier New" w:cs="Courier New"/>
          <w:b/>
          <w:bCs/>
          <w:i/>
          <w:iCs/>
        </w:rPr>
        <w:t>Schlaiker</w:t>
      </w:r>
      <w:r w:rsidRPr="008D6A0F">
        <w:rPr>
          <w:rFonts w:ascii="Courier New" w:hAnsi="Courier New" w:cs="Courier New"/>
        </w:rPr>
        <w:t xml:space="preserve">, 365 </w:t>
      </w:r>
      <w:smartTag w:uri="urn:schemas-microsoft-com:office:smarttags" w:element="place">
        <w:smartTag w:uri="urn:schemas-microsoft-com:office:smarttags" w:element="State">
          <w:r w:rsidRPr="008D6A0F">
            <w:rPr>
              <w:rFonts w:ascii="Courier New" w:hAnsi="Courier New" w:cs="Courier New"/>
            </w:rPr>
            <w:t>Mass.</w:t>
          </w:r>
        </w:smartTag>
      </w:smartTag>
      <w:r w:rsidRPr="008D6A0F">
        <w:rPr>
          <w:rFonts w:ascii="Courier New" w:hAnsi="Courier New" w:cs="Courier New"/>
        </w:rPr>
        <w:t xml:space="preserve"> at 245).  </w:t>
      </w:r>
    </w:p>
    <w:p w:rsidR="008D6A0F" w:rsidRPr="008D6A0F" w:rsidRDefault="008D6A0F" w:rsidP="008D6A0F">
      <w:pPr>
        <w:spacing w:line="480" w:lineRule="auto"/>
        <w:ind w:firstLine="720"/>
        <w:jc w:val="both"/>
        <w:rPr>
          <w:rFonts w:ascii="Courier New" w:hAnsi="Courier New" w:cs="Courier New"/>
        </w:rPr>
      </w:pPr>
      <w:r w:rsidRPr="008D6A0F">
        <w:rPr>
          <w:rFonts w:ascii="Courier New" w:hAnsi="Courier New" w:cs="Courier New"/>
        </w:rPr>
        <w:t xml:space="preserve">In appeals before this Board, a taxpayer “‘may present persuasive evidence of overvaluation either by exposing flaws or errors in the assessors’ method of valuation, or by introducing affirmative evidence of value which undermines the assessors’ valuation.’”  </w:t>
      </w:r>
      <w:r w:rsidRPr="008D6A0F">
        <w:rPr>
          <w:rFonts w:ascii="Courier New" w:hAnsi="Courier New" w:cs="Courier New"/>
          <w:b/>
          <w:bCs/>
          <w:i/>
          <w:iCs/>
        </w:rPr>
        <w:t xml:space="preserve">General Electric Co., </w:t>
      </w:r>
      <w:r w:rsidRPr="008D6A0F">
        <w:rPr>
          <w:rFonts w:ascii="Courier New" w:hAnsi="Courier New" w:cs="Courier New"/>
        </w:rPr>
        <w:t xml:space="preserve">393 </w:t>
      </w:r>
      <w:smartTag w:uri="urn:schemas-microsoft-com:office:smarttags" w:element="State">
        <w:r w:rsidRPr="008D6A0F">
          <w:rPr>
            <w:rFonts w:ascii="Courier New" w:hAnsi="Courier New" w:cs="Courier New"/>
          </w:rPr>
          <w:t>Mass.</w:t>
        </w:r>
      </w:smartTag>
      <w:r w:rsidRPr="008D6A0F">
        <w:rPr>
          <w:rFonts w:ascii="Courier New" w:hAnsi="Courier New" w:cs="Courier New"/>
        </w:rPr>
        <w:t xml:space="preserve"> at 600 (quoting </w:t>
      </w:r>
      <w:r w:rsidRPr="008D6A0F">
        <w:rPr>
          <w:rFonts w:ascii="Courier New" w:hAnsi="Courier New" w:cs="Courier New"/>
          <w:b/>
          <w:bCs/>
          <w:i/>
          <w:iCs/>
        </w:rPr>
        <w:t>Donlon v. Assessors of Holliston</w:t>
      </w:r>
      <w:r w:rsidRPr="008D6A0F">
        <w:rPr>
          <w:rFonts w:ascii="Courier New" w:hAnsi="Courier New" w:cs="Courier New"/>
        </w:rPr>
        <w:t xml:space="preserve">, 389 </w:t>
      </w:r>
      <w:smartTag w:uri="urn:schemas-microsoft-com:office:smarttags" w:element="place">
        <w:smartTag w:uri="urn:schemas-microsoft-com:office:smarttags" w:element="State">
          <w:r w:rsidRPr="008D6A0F">
            <w:rPr>
              <w:rFonts w:ascii="Courier New" w:hAnsi="Courier New" w:cs="Courier New"/>
            </w:rPr>
            <w:t>Mass.</w:t>
          </w:r>
        </w:smartTag>
      </w:smartTag>
      <w:r w:rsidRPr="008D6A0F">
        <w:rPr>
          <w:rFonts w:ascii="Courier New" w:hAnsi="Courier New" w:cs="Courier New"/>
        </w:rPr>
        <w:t xml:space="preserve"> 848, 855 (1983)). </w:t>
      </w:r>
    </w:p>
    <w:p w:rsidR="002A4349" w:rsidRDefault="008D6A0F" w:rsidP="002A4349">
      <w:pPr>
        <w:spacing w:line="480" w:lineRule="auto"/>
        <w:ind w:firstLine="720"/>
        <w:jc w:val="both"/>
        <w:rPr>
          <w:rFonts w:ascii="Courier New" w:hAnsi="Courier New" w:cs="Courier New"/>
        </w:rPr>
      </w:pPr>
      <w:r w:rsidRPr="008D6A0F">
        <w:rPr>
          <w:rFonts w:ascii="Courier New" w:hAnsi="Courier New" w:cs="Courier New"/>
        </w:rPr>
        <w:t xml:space="preserve">In the present appeal, </w:t>
      </w:r>
      <w:r w:rsidR="00F47633">
        <w:rPr>
          <w:rFonts w:ascii="Courier New" w:hAnsi="Courier New" w:cs="Courier New"/>
        </w:rPr>
        <w:t xml:space="preserve">the </w:t>
      </w:r>
      <w:r w:rsidR="0078440B">
        <w:rPr>
          <w:rFonts w:ascii="Courier New" w:hAnsi="Courier New" w:cs="Courier New"/>
        </w:rPr>
        <w:t xml:space="preserve">Presiding Commissioner </w:t>
      </w:r>
      <w:r w:rsidR="00137464">
        <w:rPr>
          <w:rFonts w:ascii="Courier New" w:hAnsi="Courier New" w:cs="Courier New"/>
        </w:rPr>
        <w:t>found that the opinion</w:t>
      </w:r>
      <w:r w:rsidR="00600438">
        <w:rPr>
          <w:rFonts w:ascii="Courier New" w:hAnsi="Courier New" w:cs="Courier New"/>
        </w:rPr>
        <w:t>s</w:t>
      </w:r>
      <w:r w:rsidR="00137464">
        <w:rPr>
          <w:rFonts w:ascii="Courier New" w:hAnsi="Courier New" w:cs="Courier New"/>
        </w:rPr>
        <w:t xml:space="preserve"> of value contained in both the appraisal report and market analysis were of no evidentiary value because neithe</w:t>
      </w:r>
      <w:r w:rsidR="00807067">
        <w:rPr>
          <w:rFonts w:ascii="Courier New" w:hAnsi="Courier New" w:cs="Courier New"/>
        </w:rPr>
        <w:t>r the appraiser nor the realtor</w:t>
      </w:r>
      <w:r w:rsidR="00137464">
        <w:rPr>
          <w:rFonts w:ascii="Courier New" w:hAnsi="Courier New" w:cs="Courier New"/>
        </w:rPr>
        <w:t xml:space="preserve"> who prepared them </w:t>
      </w:r>
      <w:r w:rsidR="00137464">
        <w:rPr>
          <w:rFonts w:ascii="Courier New" w:hAnsi="Courier New" w:cs="Courier New"/>
        </w:rPr>
        <w:lastRenderedPageBreak/>
        <w:t xml:space="preserve">testified at the hearing, and they were therefore not available for cross-examination or for questioning by the Presiding Commissioner.  </w:t>
      </w:r>
      <w:r w:rsidR="00600438" w:rsidRPr="00600438">
        <w:rPr>
          <w:rStyle w:val="ssit"/>
          <w:rFonts w:ascii="Courier New" w:hAnsi="Courier New" w:cs="Courier New"/>
          <w:b/>
          <w:bCs/>
          <w:i/>
          <w:iCs/>
          <w:color w:val="373739"/>
          <w:bdr w:val="none" w:sz="0" w:space="0" w:color="auto" w:frame="1"/>
          <w:shd w:val="clear" w:color="auto" w:fill="FFFFFF"/>
        </w:rPr>
        <w:t>Ward Brothers Realty Trust v. Assessors of Hingham</w:t>
      </w:r>
      <w:r w:rsidR="00600438" w:rsidRPr="00600438">
        <w:rPr>
          <w:rFonts w:ascii="Courier New" w:hAnsi="Courier New" w:cs="Courier New"/>
          <w:color w:val="373739"/>
          <w:shd w:val="clear" w:color="auto" w:fill="FFFFFF"/>
        </w:rPr>
        <w:t>, Mass. ATB Findings of Fact and Reports 2012-515, 525 (rejecting opinion of value contained in an appraisal report as hearsay where</w:t>
      </w:r>
      <w:r w:rsidR="00600438">
        <w:rPr>
          <w:rFonts w:ascii="Courier New" w:hAnsi="Courier New" w:cs="Courier New"/>
          <w:color w:val="373739"/>
          <w:shd w:val="clear" w:color="auto" w:fill="FFFFFF"/>
        </w:rPr>
        <w:t xml:space="preserve"> </w:t>
      </w:r>
      <w:r w:rsidR="00600438" w:rsidRPr="00600438">
        <w:rPr>
          <w:rFonts w:ascii="Courier New" w:hAnsi="Courier New" w:cs="Courier New"/>
          <w:color w:val="373739"/>
          <w:shd w:val="clear" w:color="auto" w:fill="FFFFFF"/>
        </w:rPr>
        <w:t>author of the report did not testify at hearing).</w:t>
      </w:r>
      <w:r w:rsidR="00327BFC">
        <w:rPr>
          <w:rFonts w:ascii="Courier New" w:hAnsi="Courier New" w:cs="Courier New"/>
          <w:color w:val="373739"/>
          <w:shd w:val="clear" w:color="auto" w:fill="FFFFFF"/>
        </w:rPr>
        <w:t xml:space="preserve">  </w:t>
      </w:r>
      <w:r w:rsidR="00F47633">
        <w:rPr>
          <w:rFonts w:ascii="Courier New" w:hAnsi="Courier New" w:cs="Courier New"/>
        </w:rPr>
        <w:t xml:space="preserve">The </w:t>
      </w:r>
      <w:r w:rsidR="00137464">
        <w:rPr>
          <w:rFonts w:ascii="Courier New" w:hAnsi="Courier New" w:cs="Courier New"/>
        </w:rPr>
        <w:t xml:space="preserve">Presiding Commissioner </w:t>
      </w:r>
      <w:r w:rsidR="00F47633">
        <w:rPr>
          <w:rFonts w:ascii="Courier New" w:hAnsi="Courier New" w:cs="Courier New"/>
        </w:rPr>
        <w:t xml:space="preserve">further found that </w:t>
      </w:r>
      <w:r w:rsidR="00137464">
        <w:rPr>
          <w:rFonts w:ascii="Courier New" w:hAnsi="Courier New" w:cs="Courier New"/>
        </w:rPr>
        <w:t>the sales upon which the opinion</w:t>
      </w:r>
      <w:r w:rsidR="00327BFC">
        <w:rPr>
          <w:rFonts w:ascii="Courier New" w:hAnsi="Courier New" w:cs="Courier New"/>
        </w:rPr>
        <w:t xml:space="preserve"> in the appraisal </w:t>
      </w:r>
      <w:r w:rsidR="00137464">
        <w:rPr>
          <w:rFonts w:ascii="Courier New" w:hAnsi="Courier New" w:cs="Courier New"/>
        </w:rPr>
        <w:t>were premised</w:t>
      </w:r>
      <w:r w:rsidR="00327BFC">
        <w:rPr>
          <w:rFonts w:ascii="Courier New" w:hAnsi="Courier New" w:cs="Courier New"/>
        </w:rPr>
        <w:t xml:space="preserve"> </w:t>
      </w:r>
      <w:r w:rsidR="00137464">
        <w:rPr>
          <w:rFonts w:ascii="Courier New" w:hAnsi="Courier New" w:cs="Courier New"/>
        </w:rPr>
        <w:t xml:space="preserve">were </w:t>
      </w:r>
      <w:r w:rsidR="00327BFC">
        <w:rPr>
          <w:rFonts w:ascii="Courier New" w:hAnsi="Courier New" w:cs="Courier New"/>
        </w:rPr>
        <w:t>n</w:t>
      </w:r>
      <w:r w:rsidR="00137464">
        <w:rPr>
          <w:rFonts w:ascii="Courier New" w:hAnsi="Courier New" w:cs="Courier New"/>
        </w:rPr>
        <w:t xml:space="preserve">ot substantiated and </w:t>
      </w:r>
      <w:r w:rsidR="00600438">
        <w:rPr>
          <w:rFonts w:ascii="Courier New" w:hAnsi="Courier New" w:cs="Courier New"/>
        </w:rPr>
        <w:t xml:space="preserve">the </w:t>
      </w:r>
      <w:r w:rsidR="00327BFC">
        <w:rPr>
          <w:rFonts w:ascii="Courier New" w:hAnsi="Courier New" w:cs="Courier New"/>
        </w:rPr>
        <w:t>sales contained in the market analysis did not contain adjustments for differences</w:t>
      </w:r>
      <w:r w:rsidR="00137464">
        <w:rPr>
          <w:rFonts w:ascii="Courier New" w:hAnsi="Courier New" w:cs="Courier New"/>
        </w:rPr>
        <w:t xml:space="preserve"> between the purportedly comparable properties and th</w:t>
      </w:r>
      <w:r w:rsidR="00600438">
        <w:rPr>
          <w:rFonts w:ascii="Courier New" w:hAnsi="Courier New" w:cs="Courier New"/>
        </w:rPr>
        <w:t>e subject property</w:t>
      </w:r>
      <w:r w:rsidR="002A4349">
        <w:rPr>
          <w:rFonts w:ascii="Courier New" w:hAnsi="Courier New" w:cs="Courier New"/>
        </w:rPr>
        <w:t>.</w:t>
      </w:r>
    </w:p>
    <w:p w:rsidR="002A4349" w:rsidRDefault="002A4349" w:rsidP="002A4349">
      <w:pPr>
        <w:spacing w:line="480" w:lineRule="auto"/>
        <w:ind w:firstLine="720"/>
        <w:jc w:val="both"/>
        <w:rPr>
          <w:rFonts w:ascii="Courier New" w:hAnsi="Courier New" w:cs="Courier New"/>
        </w:rPr>
      </w:pPr>
      <w:r>
        <w:rPr>
          <w:rFonts w:ascii="Courier New" w:hAnsi="Courier New" w:cs="Courier New"/>
        </w:rPr>
        <w:t>The Presiding Commissioner found that the assessors adequately considered the subject property’s deficiencies when valuing it among the lowest valued properties in the town at $358,296. Accordingly, based on all the evidence, the Presiding Commissioner issued a decision for the appellee in this appeal.</w:t>
      </w:r>
    </w:p>
    <w:p w:rsidR="009972B9" w:rsidRPr="00143553" w:rsidRDefault="009972B9" w:rsidP="00EF27BD">
      <w:pPr>
        <w:spacing w:line="480" w:lineRule="auto"/>
        <w:ind w:firstLine="720"/>
        <w:jc w:val="both"/>
        <w:rPr>
          <w:rFonts w:ascii="Courier New" w:hAnsi="Courier New" w:cs="Courier New"/>
        </w:rPr>
      </w:pPr>
    </w:p>
    <w:p w:rsidR="008D6A0F" w:rsidRPr="008D6A0F" w:rsidRDefault="008D6A0F" w:rsidP="006E78D4">
      <w:pPr>
        <w:autoSpaceDE w:val="0"/>
        <w:autoSpaceDN w:val="0"/>
        <w:spacing w:line="480" w:lineRule="auto"/>
        <w:ind w:firstLine="720"/>
        <w:jc w:val="both"/>
        <w:rPr>
          <w:rFonts w:ascii="Courier New" w:hAnsi="Courier New" w:cs="Courier New"/>
          <w:b/>
          <w:bCs/>
        </w:rPr>
      </w:pPr>
      <w:r w:rsidRPr="008D6A0F">
        <w:rPr>
          <w:rFonts w:ascii="Courier New" w:hAnsi="Courier New" w:cs="Courier New"/>
        </w:rPr>
        <w:t xml:space="preserve">  </w:t>
      </w:r>
      <w:r w:rsidRPr="008D6A0F">
        <w:rPr>
          <w:rFonts w:ascii="Courier New" w:hAnsi="Courier New" w:cs="Courier New"/>
        </w:rPr>
        <w:tab/>
      </w:r>
      <w:r w:rsidRPr="008D6A0F">
        <w:rPr>
          <w:rFonts w:ascii="Courier New" w:hAnsi="Courier New" w:cs="Courier New"/>
        </w:rPr>
        <w:tab/>
      </w:r>
      <w:r w:rsidRPr="008D6A0F">
        <w:rPr>
          <w:rFonts w:ascii="Courier New" w:hAnsi="Courier New" w:cs="Courier New"/>
        </w:rPr>
        <w:tab/>
      </w:r>
      <w:r w:rsidR="00EF27BD">
        <w:rPr>
          <w:rFonts w:ascii="Courier New" w:hAnsi="Courier New" w:cs="Courier New"/>
          <w:b/>
          <w:bCs/>
        </w:rPr>
        <w:t xml:space="preserve">     </w:t>
      </w:r>
      <w:r w:rsidR="006E78D4">
        <w:rPr>
          <w:rFonts w:ascii="Courier New" w:hAnsi="Courier New" w:cs="Courier New"/>
          <w:b/>
          <w:bCs/>
        </w:rPr>
        <w:t>     </w:t>
      </w:r>
      <w:r w:rsidR="008059C0">
        <w:rPr>
          <w:rFonts w:ascii="Courier New" w:hAnsi="Courier New" w:cs="Courier New"/>
          <w:b/>
          <w:bCs/>
        </w:rPr>
        <w:t xml:space="preserve">THE </w:t>
      </w:r>
      <w:r w:rsidRPr="008D6A0F">
        <w:rPr>
          <w:rFonts w:ascii="Courier New" w:hAnsi="Courier New" w:cs="Courier New"/>
          <w:b/>
          <w:bCs/>
        </w:rPr>
        <w:t>APPELLATE TAX BOARD</w:t>
      </w:r>
    </w:p>
    <w:p w:rsidR="008D6A0F" w:rsidRPr="008D6A0F" w:rsidRDefault="008D6A0F" w:rsidP="008D6A0F">
      <w:pPr>
        <w:autoSpaceDE w:val="0"/>
        <w:autoSpaceDN w:val="0"/>
        <w:ind w:firstLine="720"/>
        <w:jc w:val="both"/>
        <w:rPr>
          <w:rFonts w:ascii="Courier New" w:hAnsi="Courier New" w:cs="Courier New"/>
          <w:b/>
          <w:bCs/>
        </w:rPr>
      </w:pPr>
    </w:p>
    <w:p w:rsidR="008D6A0F" w:rsidRPr="008D6A0F" w:rsidRDefault="008D6A0F" w:rsidP="008D6A0F">
      <w:pPr>
        <w:autoSpaceDE w:val="0"/>
        <w:autoSpaceDN w:val="0"/>
        <w:ind w:firstLine="720"/>
        <w:jc w:val="both"/>
        <w:rPr>
          <w:rFonts w:ascii="Courier New" w:hAnsi="Courier New" w:cs="Courier New"/>
          <w:b/>
          <w:bCs/>
        </w:rPr>
      </w:pPr>
      <w:r w:rsidRPr="008D6A0F">
        <w:rPr>
          <w:rFonts w:ascii="Courier New" w:hAnsi="Courier New" w:cs="Courier New"/>
          <w:b/>
          <w:bCs/>
        </w:rPr>
        <w:tab/>
      </w:r>
      <w:r w:rsidRPr="008D6A0F">
        <w:rPr>
          <w:rFonts w:ascii="Courier New" w:hAnsi="Courier New" w:cs="Courier New"/>
          <w:b/>
          <w:bCs/>
        </w:rPr>
        <w:tab/>
      </w:r>
      <w:r w:rsidRPr="008D6A0F">
        <w:rPr>
          <w:rFonts w:ascii="Courier New" w:hAnsi="Courier New" w:cs="Courier New"/>
          <w:b/>
          <w:bCs/>
        </w:rPr>
        <w:tab/>
      </w:r>
      <w:r w:rsidRPr="008D6A0F">
        <w:rPr>
          <w:rFonts w:ascii="Courier New" w:hAnsi="Courier New" w:cs="Courier New"/>
          <w:b/>
          <w:bCs/>
        </w:rPr>
        <w:tab/>
        <w:t xml:space="preserve">  </w:t>
      </w:r>
    </w:p>
    <w:p w:rsidR="008D6A0F" w:rsidRPr="008D6A0F" w:rsidRDefault="008D6A0F" w:rsidP="008D6A0F">
      <w:pPr>
        <w:autoSpaceDE w:val="0"/>
        <w:autoSpaceDN w:val="0"/>
        <w:ind w:left="2880" w:right="-360"/>
        <w:jc w:val="both"/>
        <w:rPr>
          <w:rFonts w:ascii="Courier New" w:hAnsi="Courier New" w:cs="Courier New"/>
          <w:b/>
          <w:bCs/>
          <w:u w:val="single"/>
        </w:rPr>
      </w:pPr>
      <w:r w:rsidRPr="008D6A0F">
        <w:rPr>
          <w:rFonts w:ascii="Courier New" w:hAnsi="Courier New" w:cs="Courier New"/>
          <w:b/>
          <w:bCs/>
        </w:rPr>
        <w:t xml:space="preserve">    </w:t>
      </w:r>
      <w:r w:rsidR="00EF27BD">
        <w:rPr>
          <w:rFonts w:ascii="Courier New" w:hAnsi="Courier New" w:cs="Courier New"/>
          <w:b/>
          <w:bCs/>
        </w:rPr>
        <w:tab/>
        <w:t xml:space="preserve"> </w:t>
      </w:r>
      <w:r w:rsidRPr="008D6A0F">
        <w:rPr>
          <w:rFonts w:ascii="Courier New" w:hAnsi="Courier New" w:cs="Courier New"/>
          <w:b/>
          <w:bCs/>
        </w:rPr>
        <w:t>By:</w:t>
      </w:r>
      <w:r w:rsidRPr="008D6A0F">
        <w:rPr>
          <w:rFonts w:ascii="Courier New" w:hAnsi="Courier New" w:cs="Courier New"/>
          <w:b/>
          <w:bCs/>
          <w:u w:val="single"/>
        </w:rPr>
        <w:tab/>
      </w:r>
      <w:r w:rsidRPr="008D6A0F">
        <w:rPr>
          <w:rFonts w:ascii="Courier New" w:hAnsi="Courier New" w:cs="Courier New"/>
          <w:b/>
          <w:bCs/>
          <w:u w:val="single"/>
        </w:rPr>
        <w:tab/>
      </w:r>
      <w:r w:rsidRPr="008D6A0F">
        <w:rPr>
          <w:rFonts w:ascii="Courier New" w:hAnsi="Courier New" w:cs="Courier New"/>
          <w:b/>
          <w:bCs/>
          <w:u w:val="single"/>
        </w:rPr>
        <w:tab/>
        <w:t xml:space="preserve">          ____</w:t>
      </w:r>
      <w:r w:rsidRPr="008D6A0F">
        <w:rPr>
          <w:rFonts w:ascii="Courier New" w:hAnsi="Courier New" w:cs="Courier New"/>
          <w:b/>
          <w:bCs/>
          <w:u w:val="single"/>
        </w:rPr>
        <w:tab/>
        <w:t>______</w:t>
      </w:r>
    </w:p>
    <w:p w:rsidR="008D6A0F" w:rsidRPr="008D6A0F" w:rsidRDefault="008D6A0F" w:rsidP="008D6A0F">
      <w:pPr>
        <w:autoSpaceDE w:val="0"/>
        <w:autoSpaceDN w:val="0"/>
        <w:ind w:right="-720" w:firstLine="720"/>
        <w:rPr>
          <w:rFonts w:ascii="Courier New" w:hAnsi="Courier New" w:cs="Courier New"/>
          <w:b/>
          <w:bCs/>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t xml:space="preserve">  </w:t>
      </w:r>
      <w:r w:rsidR="00EF27BD">
        <w:rPr>
          <w:rFonts w:ascii="Courier New" w:hAnsi="Courier New" w:cs="Courier New"/>
          <w:b/>
          <w:bCs/>
        </w:rPr>
        <w:t xml:space="preserve">  </w:t>
      </w:r>
      <w:r>
        <w:rPr>
          <w:rFonts w:ascii="Courier New" w:hAnsi="Courier New" w:cs="Courier New"/>
          <w:b/>
          <w:bCs/>
        </w:rPr>
        <w:t>Patricia M. Good, Commissioner</w:t>
      </w:r>
      <w:r w:rsidRPr="008D6A0F">
        <w:rPr>
          <w:rFonts w:ascii="Courier New" w:hAnsi="Courier New" w:cs="Courier New"/>
          <w:b/>
          <w:bCs/>
        </w:rPr>
        <w:t xml:space="preserve"> </w:t>
      </w:r>
    </w:p>
    <w:p w:rsidR="00727214" w:rsidRPr="008D6A0F" w:rsidRDefault="00727214" w:rsidP="00727214">
      <w:pPr>
        <w:autoSpaceDE w:val="0"/>
        <w:autoSpaceDN w:val="0"/>
        <w:ind w:right="-720"/>
        <w:rPr>
          <w:rFonts w:ascii="Courier New" w:hAnsi="Courier New" w:cs="Courier New"/>
          <w:b/>
          <w:bCs/>
        </w:rPr>
      </w:pPr>
      <w:r w:rsidRPr="008D6A0F">
        <w:rPr>
          <w:rFonts w:ascii="Courier New" w:hAnsi="Courier New" w:cs="Courier New"/>
          <w:b/>
          <w:bCs/>
        </w:rPr>
        <w:t>A true copy,</w:t>
      </w:r>
    </w:p>
    <w:p w:rsidR="00727214" w:rsidRPr="008D6A0F" w:rsidRDefault="00727214" w:rsidP="00727214">
      <w:pPr>
        <w:autoSpaceDE w:val="0"/>
        <w:autoSpaceDN w:val="0"/>
        <w:ind w:right="-720"/>
        <w:rPr>
          <w:rFonts w:ascii="Courier New" w:hAnsi="Courier New" w:cs="Courier New"/>
          <w:b/>
          <w:bCs/>
        </w:rPr>
      </w:pPr>
    </w:p>
    <w:p w:rsidR="00727214" w:rsidRPr="008D6A0F" w:rsidRDefault="00727214" w:rsidP="00727214">
      <w:pPr>
        <w:autoSpaceDE w:val="0"/>
        <w:autoSpaceDN w:val="0"/>
        <w:ind w:right="-720"/>
        <w:rPr>
          <w:rFonts w:ascii="Courier New" w:hAnsi="Courier New" w:cs="Courier New"/>
          <w:b/>
          <w:bCs/>
        </w:rPr>
      </w:pPr>
    </w:p>
    <w:p w:rsidR="00727214" w:rsidRPr="008D6A0F" w:rsidRDefault="00727214" w:rsidP="00727214">
      <w:pPr>
        <w:autoSpaceDE w:val="0"/>
        <w:autoSpaceDN w:val="0"/>
        <w:ind w:right="-720"/>
        <w:rPr>
          <w:rFonts w:ascii="Courier New" w:hAnsi="Courier New" w:cs="Courier New"/>
          <w:b/>
          <w:bCs/>
        </w:rPr>
      </w:pPr>
      <w:r w:rsidRPr="008D6A0F">
        <w:rPr>
          <w:rFonts w:ascii="Courier New" w:hAnsi="Courier New" w:cs="Courier New"/>
          <w:b/>
          <w:bCs/>
        </w:rPr>
        <w:t>Attest: _________________________</w:t>
      </w:r>
    </w:p>
    <w:p w:rsidR="00727214" w:rsidRPr="006E78D4" w:rsidRDefault="00727214" w:rsidP="00727214">
      <w:pPr>
        <w:autoSpaceDE w:val="0"/>
        <w:autoSpaceDN w:val="0"/>
        <w:ind w:right="-720"/>
        <w:rPr>
          <w:rFonts w:ascii="Courier New" w:hAnsi="Courier New" w:cs="Courier New"/>
          <w:b/>
          <w:bCs/>
        </w:rPr>
      </w:pPr>
      <w:r>
        <w:rPr>
          <w:rFonts w:ascii="Courier New" w:hAnsi="Courier New" w:cs="Courier New"/>
          <w:b/>
          <w:bCs/>
        </w:rPr>
        <w:tab/>
      </w:r>
      <w:r>
        <w:rPr>
          <w:rFonts w:ascii="Courier New" w:hAnsi="Courier New" w:cs="Courier New"/>
          <w:b/>
          <w:bCs/>
        </w:rPr>
        <w:tab/>
        <w:t>Clerk of the Board</w:t>
      </w:r>
    </w:p>
    <w:p w:rsidR="006E78D4" w:rsidRDefault="006E78D4" w:rsidP="006E78D4"/>
    <w:p w:rsidR="008059C0" w:rsidRDefault="008059C0" w:rsidP="008D6A0F">
      <w:pPr>
        <w:autoSpaceDE w:val="0"/>
        <w:autoSpaceDN w:val="0"/>
        <w:ind w:right="-720"/>
        <w:rPr>
          <w:rFonts w:ascii="Courier New" w:hAnsi="Courier New" w:cs="Courier New"/>
          <w:b/>
          <w:bCs/>
        </w:rPr>
      </w:pPr>
    </w:p>
    <w:sectPr w:rsidR="008059C0" w:rsidSect="006E78D4">
      <w:footerReference w:type="default" r:id="rId8"/>
      <w:pgSz w:w="12240" w:h="15840"/>
      <w:pgMar w:top="1440" w:right="1440" w:bottom="1440" w:left="1440" w:header="720" w:footer="432" w:gutter="0"/>
      <w:pgNumType w:start="72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EFF" w:rsidRDefault="001C7EFF" w:rsidP="00A32AC1">
      <w:r>
        <w:separator/>
      </w:r>
    </w:p>
  </w:endnote>
  <w:endnote w:type="continuationSeparator" w:id="0">
    <w:p w:rsidR="001C7EFF" w:rsidRDefault="001C7EFF" w:rsidP="00A32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100" w:rsidRPr="006E78D4" w:rsidRDefault="006E78D4" w:rsidP="006E78D4">
    <w:pPr>
      <w:pStyle w:val="Footer"/>
      <w:jc w:val="center"/>
      <w:rPr>
        <w:rFonts w:ascii="Courier New" w:hAnsi="Courier New" w:cs="Courier New"/>
        <w:b/>
      </w:rPr>
    </w:pPr>
    <w:r w:rsidRPr="006E78D4">
      <w:rPr>
        <w:rFonts w:ascii="Courier New" w:hAnsi="Courier New" w:cs="Courier New"/>
        <w:b/>
      </w:rPr>
      <w:t>ATB 2018-</w:t>
    </w:r>
    <w:r w:rsidR="00E54100" w:rsidRPr="006E78D4">
      <w:rPr>
        <w:rFonts w:ascii="Courier New" w:hAnsi="Courier New" w:cs="Courier New"/>
        <w:b/>
      </w:rPr>
      <w:fldChar w:fldCharType="begin"/>
    </w:r>
    <w:r w:rsidR="00E54100" w:rsidRPr="006E78D4">
      <w:rPr>
        <w:rFonts w:ascii="Courier New" w:hAnsi="Courier New" w:cs="Courier New"/>
        <w:b/>
      </w:rPr>
      <w:instrText xml:space="preserve"> PAGE   \* MERGEFORMAT </w:instrText>
    </w:r>
    <w:r w:rsidR="00E54100" w:rsidRPr="006E78D4">
      <w:rPr>
        <w:rFonts w:ascii="Courier New" w:hAnsi="Courier New" w:cs="Courier New"/>
        <w:b/>
      </w:rPr>
      <w:fldChar w:fldCharType="separate"/>
    </w:r>
    <w:r w:rsidR="006D6937">
      <w:rPr>
        <w:rFonts w:ascii="Courier New" w:hAnsi="Courier New" w:cs="Courier New"/>
        <w:b/>
        <w:noProof/>
      </w:rPr>
      <w:t>721</w:t>
    </w:r>
    <w:r w:rsidR="00E54100" w:rsidRPr="006E78D4">
      <w:rPr>
        <w:rFonts w:ascii="Courier New" w:hAnsi="Courier New" w:cs="Courier New"/>
        <w:b/>
        <w:noProof/>
      </w:rPr>
      <w:fldChar w:fldCharType="end"/>
    </w:r>
  </w:p>
  <w:p w:rsidR="00E54100" w:rsidRDefault="00E541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EFF" w:rsidRDefault="001C7EFF" w:rsidP="00A32AC1">
      <w:r>
        <w:separator/>
      </w:r>
    </w:p>
  </w:footnote>
  <w:footnote w:type="continuationSeparator" w:id="0">
    <w:p w:rsidR="001C7EFF" w:rsidRDefault="001C7EFF" w:rsidP="00A32A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112"/>
    <w:rsid w:val="0003117E"/>
    <w:rsid w:val="000425DE"/>
    <w:rsid w:val="000534A1"/>
    <w:rsid w:val="00053D77"/>
    <w:rsid w:val="00092AEF"/>
    <w:rsid w:val="000B72F9"/>
    <w:rsid w:val="000D5F12"/>
    <w:rsid w:val="000D68EC"/>
    <w:rsid w:val="000E5458"/>
    <w:rsid w:val="00133525"/>
    <w:rsid w:val="00136F46"/>
    <w:rsid w:val="00137464"/>
    <w:rsid w:val="00143553"/>
    <w:rsid w:val="0014636E"/>
    <w:rsid w:val="001748A2"/>
    <w:rsid w:val="00180055"/>
    <w:rsid w:val="00182046"/>
    <w:rsid w:val="001A2FF4"/>
    <w:rsid w:val="001B454C"/>
    <w:rsid w:val="001C7EFF"/>
    <w:rsid w:val="001E108F"/>
    <w:rsid w:val="00200BB7"/>
    <w:rsid w:val="00227CAB"/>
    <w:rsid w:val="00233FE3"/>
    <w:rsid w:val="00263D6D"/>
    <w:rsid w:val="00266864"/>
    <w:rsid w:val="0027322F"/>
    <w:rsid w:val="00281761"/>
    <w:rsid w:val="00295B7C"/>
    <w:rsid w:val="002A1DAC"/>
    <w:rsid w:val="002A4349"/>
    <w:rsid w:val="002B1339"/>
    <w:rsid w:val="002B7442"/>
    <w:rsid w:val="002C01FF"/>
    <w:rsid w:val="002D4C74"/>
    <w:rsid w:val="002D53F3"/>
    <w:rsid w:val="00304EF9"/>
    <w:rsid w:val="00327BFC"/>
    <w:rsid w:val="003334E7"/>
    <w:rsid w:val="00333EC5"/>
    <w:rsid w:val="003446DA"/>
    <w:rsid w:val="00381430"/>
    <w:rsid w:val="003B3D4E"/>
    <w:rsid w:val="003D213B"/>
    <w:rsid w:val="003F2EFA"/>
    <w:rsid w:val="004153EE"/>
    <w:rsid w:val="00430B8A"/>
    <w:rsid w:val="00435F1A"/>
    <w:rsid w:val="00456CE8"/>
    <w:rsid w:val="0047699F"/>
    <w:rsid w:val="004923AE"/>
    <w:rsid w:val="004A39B2"/>
    <w:rsid w:val="004A3C30"/>
    <w:rsid w:val="004D4C0E"/>
    <w:rsid w:val="004E0E31"/>
    <w:rsid w:val="004F0966"/>
    <w:rsid w:val="004F176D"/>
    <w:rsid w:val="004F249C"/>
    <w:rsid w:val="004F7E04"/>
    <w:rsid w:val="005314EE"/>
    <w:rsid w:val="00537A9D"/>
    <w:rsid w:val="00552445"/>
    <w:rsid w:val="005677F5"/>
    <w:rsid w:val="00574798"/>
    <w:rsid w:val="00581CB9"/>
    <w:rsid w:val="00587A15"/>
    <w:rsid w:val="0059381E"/>
    <w:rsid w:val="005B3D75"/>
    <w:rsid w:val="005C02B4"/>
    <w:rsid w:val="00600438"/>
    <w:rsid w:val="00600AF0"/>
    <w:rsid w:val="00626AC0"/>
    <w:rsid w:val="00644F52"/>
    <w:rsid w:val="00652AC2"/>
    <w:rsid w:val="00652E12"/>
    <w:rsid w:val="00654366"/>
    <w:rsid w:val="006B25C6"/>
    <w:rsid w:val="006D6937"/>
    <w:rsid w:val="006E1246"/>
    <w:rsid w:val="006E78D4"/>
    <w:rsid w:val="007030FD"/>
    <w:rsid w:val="00723B34"/>
    <w:rsid w:val="00727214"/>
    <w:rsid w:val="007276E2"/>
    <w:rsid w:val="00744A83"/>
    <w:rsid w:val="00765AAB"/>
    <w:rsid w:val="0078440B"/>
    <w:rsid w:val="007A72DA"/>
    <w:rsid w:val="007B2C34"/>
    <w:rsid w:val="007F52F1"/>
    <w:rsid w:val="008059C0"/>
    <w:rsid w:val="00807067"/>
    <w:rsid w:val="00811E1E"/>
    <w:rsid w:val="008327A5"/>
    <w:rsid w:val="00851A13"/>
    <w:rsid w:val="00872A83"/>
    <w:rsid w:val="008919C5"/>
    <w:rsid w:val="008A101A"/>
    <w:rsid w:val="008B1EAA"/>
    <w:rsid w:val="008B48E3"/>
    <w:rsid w:val="008B5805"/>
    <w:rsid w:val="008C1B1B"/>
    <w:rsid w:val="008D053F"/>
    <w:rsid w:val="008D25DB"/>
    <w:rsid w:val="008D6A0F"/>
    <w:rsid w:val="00912769"/>
    <w:rsid w:val="009172CF"/>
    <w:rsid w:val="00924CC4"/>
    <w:rsid w:val="00931524"/>
    <w:rsid w:val="0097354B"/>
    <w:rsid w:val="00986CC6"/>
    <w:rsid w:val="009972B9"/>
    <w:rsid w:val="009A3C92"/>
    <w:rsid w:val="009B1D6B"/>
    <w:rsid w:val="009D3AF6"/>
    <w:rsid w:val="009F17DB"/>
    <w:rsid w:val="009F565A"/>
    <w:rsid w:val="00A06198"/>
    <w:rsid w:val="00A20FE2"/>
    <w:rsid w:val="00A24F85"/>
    <w:rsid w:val="00A27368"/>
    <w:rsid w:val="00A32AC1"/>
    <w:rsid w:val="00A43B8B"/>
    <w:rsid w:val="00A43F54"/>
    <w:rsid w:val="00A445FF"/>
    <w:rsid w:val="00A642FE"/>
    <w:rsid w:val="00A64F4A"/>
    <w:rsid w:val="00A66C55"/>
    <w:rsid w:val="00A723F8"/>
    <w:rsid w:val="00A75481"/>
    <w:rsid w:val="00A95AAF"/>
    <w:rsid w:val="00AA4180"/>
    <w:rsid w:val="00AA69E1"/>
    <w:rsid w:val="00AB7851"/>
    <w:rsid w:val="00AD30A6"/>
    <w:rsid w:val="00AE059E"/>
    <w:rsid w:val="00AE1FC6"/>
    <w:rsid w:val="00AE589B"/>
    <w:rsid w:val="00B21CC7"/>
    <w:rsid w:val="00B368D2"/>
    <w:rsid w:val="00B371FD"/>
    <w:rsid w:val="00B44FDF"/>
    <w:rsid w:val="00B732EC"/>
    <w:rsid w:val="00B838AA"/>
    <w:rsid w:val="00BA3E4D"/>
    <w:rsid w:val="00BB0254"/>
    <w:rsid w:val="00BF5329"/>
    <w:rsid w:val="00C112B9"/>
    <w:rsid w:val="00C35E36"/>
    <w:rsid w:val="00C74E1C"/>
    <w:rsid w:val="00C83D10"/>
    <w:rsid w:val="00CA210E"/>
    <w:rsid w:val="00CA5D31"/>
    <w:rsid w:val="00CA66A1"/>
    <w:rsid w:val="00D101D3"/>
    <w:rsid w:val="00D12651"/>
    <w:rsid w:val="00D22112"/>
    <w:rsid w:val="00D56F86"/>
    <w:rsid w:val="00D819E5"/>
    <w:rsid w:val="00D84CFE"/>
    <w:rsid w:val="00D97F15"/>
    <w:rsid w:val="00DA61D2"/>
    <w:rsid w:val="00DB5E0A"/>
    <w:rsid w:val="00DC06F7"/>
    <w:rsid w:val="00DD58E3"/>
    <w:rsid w:val="00DE0726"/>
    <w:rsid w:val="00DF1272"/>
    <w:rsid w:val="00DF2034"/>
    <w:rsid w:val="00DF2CC3"/>
    <w:rsid w:val="00E07FF9"/>
    <w:rsid w:val="00E2641F"/>
    <w:rsid w:val="00E505DD"/>
    <w:rsid w:val="00E54100"/>
    <w:rsid w:val="00E6396B"/>
    <w:rsid w:val="00E72A63"/>
    <w:rsid w:val="00E812EA"/>
    <w:rsid w:val="00E8208E"/>
    <w:rsid w:val="00E94051"/>
    <w:rsid w:val="00EC0693"/>
    <w:rsid w:val="00ED488F"/>
    <w:rsid w:val="00ED574A"/>
    <w:rsid w:val="00EE6112"/>
    <w:rsid w:val="00EF27BD"/>
    <w:rsid w:val="00EF4E9E"/>
    <w:rsid w:val="00F14B77"/>
    <w:rsid w:val="00F47633"/>
    <w:rsid w:val="00F51FF0"/>
    <w:rsid w:val="00FA490C"/>
    <w:rsid w:val="00FA55B8"/>
    <w:rsid w:val="00FA6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11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22112"/>
    <w:pPr>
      <w:autoSpaceDE w:val="0"/>
      <w:autoSpaceDN w:val="0"/>
      <w:spacing w:line="480" w:lineRule="auto"/>
      <w:ind w:firstLine="720"/>
      <w:jc w:val="both"/>
    </w:pPr>
    <w:rPr>
      <w:rFonts w:ascii="Courier New" w:hAnsi="Courier New" w:cs="Courier New"/>
    </w:rPr>
  </w:style>
  <w:style w:type="character" w:customStyle="1" w:styleId="BodyText2Char">
    <w:name w:val="Body Text 2 Char"/>
    <w:link w:val="BodyText2"/>
    <w:rsid w:val="00D22112"/>
    <w:rPr>
      <w:rFonts w:ascii="Courier New" w:eastAsia="Times New Roman" w:hAnsi="Courier New" w:cs="Courier New"/>
      <w:sz w:val="24"/>
      <w:szCs w:val="24"/>
    </w:rPr>
  </w:style>
  <w:style w:type="paragraph" w:styleId="FootnoteText">
    <w:name w:val="footnote text"/>
    <w:basedOn w:val="Normal"/>
    <w:link w:val="FootnoteTextChar"/>
    <w:semiHidden/>
    <w:rsid w:val="00A32AC1"/>
    <w:rPr>
      <w:sz w:val="20"/>
      <w:szCs w:val="20"/>
    </w:rPr>
  </w:style>
  <w:style w:type="character" w:customStyle="1" w:styleId="FootnoteTextChar">
    <w:name w:val="Footnote Text Char"/>
    <w:link w:val="FootnoteText"/>
    <w:semiHidden/>
    <w:rsid w:val="00A32AC1"/>
    <w:rPr>
      <w:rFonts w:ascii="Times New Roman" w:eastAsia="Times New Roman" w:hAnsi="Times New Roman" w:cs="Times New Roman"/>
      <w:sz w:val="20"/>
      <w:szCs w:val="20"/>
    </w:rPr>
  </w:style>
  <w:style w:type="character" w:styleId="FootnoteReference">
    <w:name w:val="footnote reference"/>
    <w:semiHidden/>
    <w:rsid w:val="00A32AC1"/>
    <w:rPr>
      <w:rFonts w:cs="Times New Roman"/>
      <w:vertAlign w:val="superscript"/>
    </w:rPr>
  </w:style>
  <w:style w:type="character" w:customStyle="1" w:styleId="apple-converted-space">
    <w:name w:val="apple-converted-space"/>
    <w:rsid w:val="00A32AC1"/>
  </w:style>
  <w:style w:type="character" w:customStyle="1" w:styleId="ssit">
    <w:name w:val="ss_it"/>
    <w:rsid w:val="00A32AC1"/>
  </w:style>
  <w:style w:type="paragraph" w:styleId="BodyText">
    <w:name w:val="Body Text"/>
    <w:basedOn w:val="Normal"/>
    <w:link w:val="BodyTextChar"/>
    <w:rsid w:val="00A32AC1"/>
    <w:pPr>
      <w:spacing w:after="120"/>
    </w:pPr>
  </w:style>
  <w:style w:type="character" w:customStyle="1" w:styleId="BodyTextChar">
    <w:name w:val="Body Text Char"/>
    <w:link w:val="BodyText"/>
    <w:rsid w:val="00A32AC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5E36"/>
    <w:rPr>
      <w:rFonts w:ascii="Tahoma" w:hAnsi="Tahoma" w:cs="Tahoma"/>
      <w:sz w:val="16"/>
      <w:szCs w:val="16"/>
    </w:rPr>
  </w:style>
  <w:style w:type="character" w:customStyle="1" w:styleId="BalloonTextChar">
    <w:name w:val="Balloon Text Char"/>
    <w:link w:val="BalloonText"/>
    <w:uiPriority w:val="99"/>
    <w:semiHidden/>
    <w:rsid w:val="00C35E36"/>
    <w:rPr>
      <w:rFonts w:ascii="Tahoma" w:eastAsia="Times New Roman" w:hAnsi="Tahoma" w:cs="Tahoma"/>
      <w:sz w:val="16"/>
      <w:szCs w:val="16"/>
    </w:rPr>
  </w:style>
  <w:style w:type="paragraph" w:styleId="Header">
    <w:name w:val="header"/>
    <w:basedOn w:val="Normal"/>
    <w:link w:val="HeaderChar"/>
    <w:uiPriority w:val="99"/>
    <w:unhideWhenUsed/>
    <w:rsid w:val="00723B34"/>
    <w:pPr>
      <w:tabs>
        <w:tab w:val="center" w:pos="4680"/>
        <w:tab w:val="right" w:pos="9360"/>
      </w:tabs>
    </w:pPr>
  </w:style>
  <w:style w:type="character" w:customStyle="1" w:styleId="HeaderChar">
    <w:name w:val="Header Char"/>
    <w:link w:val="Header"/>
    <w:uiPriority w:val="99"/>
    <w:rsid w:val="00723B3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23B34"/>
    <w:pPr>
      <w:tabs>
        <w:tab w:val="center" w:pos="4680"/>
        <w:tab w:val="right" w:pos="9360"/>
      </w:tabs>
    </w:pPr>
  </w:style>
  <w:style w:type="character" w:customStyle="1" w:styleId="FooterChar">
    <w:name w:val="Footer Char"/>
    <w:link w:val="Footer"/>
    <w:uiPriority w:val="99"/>
    <w:rsid w:val="00723B34"/>
    <w:rPr>
      <w:rFonts w:ascii="Times New Roman" w:eastAsia="Times New Roman" w:hAnsi="Times New Roman" w:cs="Times New Roman"/>
      <w:sz w:val="24"/>
      <w:szCs w:val="24"/>
    </w:rPr>
  </w:style>
  <w:style w:type="character" w:customStyle="1" w:styleId="sh399567139">
    <w:name w:val="sh_399567139"/>
    <w:rsid w:val="00143553"/>
  </w:style>
  <w:style w:type="character" w:styleId="Hyperlink">
    <w:name w:val="Hyperlink"/>
    <w:uiPriority w:val="99"/>
    <w:semiHidden/>
    <w:unhideWhenUsed/>
    <w:rsid w:val="0060043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11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22112"/>
    <w:pPr>
      <w:autoSpaceDE w:val="0"/>
      <w:autoSpaceDN w:val="0"/>
      <w:spacing w:line="480" w:lineRule="auto"/>
      <w:ind w:firstLine="720"/>
      <w:jc w:val="both"/>
    </w:pPr>
    <w:rPr>
      <w:rFonts w:ascii="Courier New" w:hAnsi="Courier New" w:cs="Courier New"/>
    </w:rPr>
  </w:style>
  <w:style w:type="character" w:customStyle="1" w:styleId="BodyText2Char">
    <w:name w:val="Body Text 2 Char"/>
    <w:link w:val="BodyText2"/>
    <w:rsid w:val="00D22112"/>
    <w:rPr>
      <w:rFonts w:ascii="Courier New" w:eastAsia="Times New Roman" w:hAnsi="Courier New" w:cs="Courier New"/>
      <w:sz w:val="24"/>
      <w:szCs w:val="24"/>
    </w:rPr>
  </w:style>
  <w:style w:type="paragraph" w:styleId="FootnoteText">
    <w:name w:val="footnote text"/>
    <w:basedOn w:val="Normal"/>
    <w:link w:val="FootnoteTextChar"/>
    <w:semiHidden/>
    <w:rsid w:val="00A32AC1"/>
    <w:rPr>
      <w:sz w:val="20"/>
      <w:szCs w:val="20"/>
    </w:rPr>
  </w:style>
  <w:style w:type="character" w:customStyle="1" w:styleId="FootnoteTextChar">
    <w:name w:val="Footnote Text Char"/>
    <w:link w:val="FootnoteText"/>
    <w:semiHidden/>
    <w:rsid w:val="00A32AC1"/>
    <w:rPr>
      <w:rFonts w:ascii="Times New Roman" w:eastAsia="Times New Roman" w:hAnsi="Times New Roman" w:cs="Times New Roman"/>
      <w:sz w:val="20"/>
      <w:szCs w:val="20"/>
    </w:rPr>
  </w:style>
  <w:style w:type="character" w:styleId="FootnoteReference">
    <w:name w:val="footnote reference"/>
    <w:semiHidden/>
    <w:rsid w:val="00A32AC1"/>
    <w:rPr>
      <w:rFonts w:cs="Times New Roman"/>
      <w:vertAlign w:val="superscript"/>
    </w:rPr>
  </w:style>
  <w:style w:type="character" w:customStyle="1" w:styleId="apple-converted-space">
    <w:name w:val="apple-converted-space"/>
    <w:rsid w:val="00A32AC1"/>
  </w:style>
  <w:style w:type="character" w:customStyle="1" w:styleId="ssit">
    <w:name w:val="ss_it"/>
    <w:rsid w:val="00A32AC1"/>
  </w:style>
  <w:style w:type="paragraph" w:styleId="BodyText">
    <w:name w:val="Body Text"/>
    <w:basedOn w:val="Normal"/>
    <w:link w:val="BodyTextChar"/>
    <w:rsid w:val="00A32AC1"/>
    <w:pPr>
      <w:spacing w:after="120"/>
    </w:pPr>
  </w:style>
  <w:style w:type="character" w:customStyle="1" w:styleId="BodyTextChar">
    <w:name w:val="Body Text Char"/>
    <w:link w:val="BodyText"/>
    <w:rsid w:val="00A32AC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5E36"/>
    <w:rPr>
      <w:rFonts w:ascii="Tahoma" w:hAnsi="Tahoma" w:cs="Tahoma"/>
      <w:sz w:val="16"/>
      <w:szCs w:val="16"/>
    </w:rPr>
  </w:style>
  <w:style w:type="character" w:customStyle="1" w:styleId="BalloonTextChar">
    <w:name w:val="Balloon Text Char"/>
    <w:link w:val="BalloonText"/>
    <w:uiPriority w:val="99"/>
    <w:semiHidden/>
    <w:rsid w:val="00C35E36"/>
    <w:rPr>
      <w:rFonts w:ascii="Tahoma" w:eastAsia="Times New Roman" w:hAnsi="Tahoma" w:cs="Tahoma"/>
      <w:sz w:val="16"/>
      <w:szCs w:val="16"/>
    </w:rPr>
  </w:style>
  <w:style w:type="paragraph" w:styleId="Header">
    <w:name w:val="header"/>
    <w:basedOn w:val="Normal"/>
    <w:link w:val="HeaderChar"/>
    <w:uiPriority w:val="99"/>
    <w:unhideWhenUsed/>
    <w:rsid w:val="00723B34"/>
    <w:pPr>
      <w:tabs>
        <w:tab w:val="center" w:pos="4680"/>
        <w:tab w:val="right" w:pos="9360"/>
      </w:tabs>
    </w:pPr>
  </w:style>
  <w:style w:type="character" w:customStyle="1" w:styleId="HeaderChar">
    <w:name w:val="Header Char"/>
    <w:link w:val="Header"/>
    <w:uiPriority w:val="99"/>
    <w:rsid w:val="00723B3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23B34"/>
    <w:pPr>
      <w:tabs>
        <w:tab w:val="center" w:pos="4680"/>
        <w:tab w:val="right" w:pos="9360"/>
      </w:tabs>
    </w:pPr>
  </w:style>
  <w:style w:type="character" w:customStyle="1" w:styleId="FooterChar">
    <w:name w:val="Footer Char"/>
    <w:link w:val="Footer"/>
    <w:uiPriority w:val="99"/>
    <w:rsid w:val="00723B34"/>
    <w:rPr>
      <w:rFonts w:ascii="Times New Roman" w:eastAsia="Times New Roman" w:hAnsi="Times New Roman" w:cs="Times New Roman"/>
      <w:sz w:val="24"/>
      <w:szCs w:val="24"/>
    </w:rPr>
  </w:style>
  <w:style w:type="character" w:customStyle="1" w:styleId="sh399567139">
    <w:name w:val="sh_399567139"/>
    <w:rsid w:val="00143553"/>
  </w:style>
  <w:style w:type="character" w:styleId="Hyperlink">
    <w:name w:val="Hyperlink"/>
    <w:uiPriority w:val="99"/>
    <w:semiHidden/>
    <w:unhideWhenUsed/>
    <w:rsid w:val="006004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495DB-ED12-43B5-9A3C-99A56F828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1359</Words>
  <Characters>7748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2018-12-20T20:20:00Z</cp:lastPrinted>
  <dcterms:created xsi:type="dcterms:W3CDTF">2018-12-26T16:31:00Z</dcterms:created>
  <dcterms:modified xsi:type="dcterms:W3CDTF">2018-12-26T16:31:00Z</dcterms:modified>
</cp:coreProperties>
</file>