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D064" w14:textId="77777777" w:rsidR="001C7389" w:rsidRDefault="00DA59A5">
      <w:pPr>
        <w:pStyle w:val="BodyText"/>
        <w:spacing w:before="0"/>
        <w:ind w:left="4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D4D078" wp14:editId="003B9970">
            <wp:extent cx="1510510" cy="780288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1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D065" w14:textId="77777777" w:rsidR="001C7389" w:rsidRDefault="00DA59A5">
      <w:pPr>
        <w:pStyle w:val="BodyText"/>
        <w:spacing w:before="151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D4D07A" wp14:editId="06D4D07B">
                <wp:simplePos x="0" y="0"/>
                <wp:positionH relativeFrom="page">
                  <wp:posOffset>914400</wp:posOffset>
                </wp:positionH>
                <wp:positionV relativeFrom="paragraph">
                  <wp:posOffset>257752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8E491" id="Graphic 2" o:spid="_x0000_s1026" style="position:absolute;margin-left:1in;margin-top:20.3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06D4D066" w14:textId="77777777" w:rsidR="001C7389" w:rsidRDefault="00DA59A5">
      <w:pPr>
        <w:pStyle w:val="Title"/>
      </w:pPr>
      <w:r>
        <w:rPr>
          <w:color w:val="231F20"/>
          <w:w w:val="120"/>
        </w:rPr>
        <w:t>Atenção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w w:val="120"/>
        </w:rPr>
        <w:t>membros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w w:val="120"/>
        </w:rPr>
        <w:t>do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2"/>
          <w:w w:val="120"/>
        </w:rPr>
        <w:t>MassHealth</w:t>
      </w:r>
    </w:p>
    <w:p w14:paraId="06D4D067" w14:textId="77777777" w:rsidR="001C7389" w:rsidRDefault="00DA59A5">
      <w:pPr>
        <w:spacing w:before="96"/>
        <w:ind w:left="1151"/>
        <w:rPr>
          <w:sz w:val="34"/>
        </w:rPr>
      </w:pPr>
      <w:r>
        <w:rPr>
          <w:color w:val="231F20"/>
          <w:spacing w:val="-2"/>
          <w:w w:val="120"/>
          <w:sz w:val="34"/>
        </w:rPr>
        <w:t>Regras</w:t>
      </w:r>
      <w:r>
        <w:rPr>
          <w:color w:val="231F20"/>
          <w:spacing w:val="-14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de</w:t>
      </w:r>
      <w:r>
        <w:rPr>
          <w:color w:val="231F20"/>
          <w:spacing w:val="-16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copagamento</w:t>
      </w:r>
      <w:r>
        <w:rPr>
          <w:color w:val="231F20"/>
          <w:spacing w:val="-14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a</w:t>
      </w:r>
      <w:r>
        <w:rPr>
          <w:color w:val="231F20"/>
          <w:spacing w:val="-13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partir</w:t>
      </w:r>
      <w:r>
        <w:rPr>
          <w:color w:val="231F20"/>
          <w:spacing w:val="-13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de</w:t>
      </w:r>
      <w:r>
        <w:rPr>
          <w:color w:val="231F20"/>
          <w:spacing w:val="-16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1</w:t>
      </w:r>
      <w:r>
        <w:rPr>
          <w:rFonts w:ascii="Arial" w:hAnsi="Arial"/>
          <w:b/>
          <w:color w:val="231F20"/>
          <w:spacing w:val="-2"/>
          <w:w w:val="120"/>
          <w:sz w:val="34"/>
        </w:rPr>
        <w:t>º</w:t>
      </w:r>
      <w:r>
        <w:rPr>
          <w:rFonts w:ascii="Arial" w:hAnsi="Arial"/>
          <w:b/>
          <w:color w:val="231F20"/>
          <w:spacing w:val="-35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de</w:t>
      </w:r>
      <w:r>
        <w:rPr>
          <w:color w:val="231F20"/>
          <w:spacing w:val="-15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janeiro</w:t>
      </w:r>
      <w:r>
        <w:rPr>
          <w:color w:val="231F20"/>
          <w:spacing w:val="-14"/>
          <w:w w:val="120"/>
          <w:sz w:val="34"/>
        </w:rPr>
        <w:t xml:space="preserve"> </w:t>
      </w:r>
      <w:r>
        <w:rPr>
          <w:color w:val="231F20"/>
          <w:spacing w:val="-2"/>
          <w:w w:val="120"/>
          <w:sz w:val="34"/>
        </w:rPr>
        <w:t>de</w:t>
      </w:r>
      <w:r>
        <w:rPr>
          <w:color w:val="231F20"/>
          <w:spacing w:val="-16"/>
          <w:w w:val="120"/>
          <w:sz w:val="34"/>
        </w:rPr>
        <w:t xml:space="preserve"> </w:t>
      </w:r>
      <w:r>
        <w:rPr>
          <w:color w:val="231F20"/>
          <w:spacing w:val="-4"/>
          <w:w w:val="120"/>
          <w:sz w:val="34"/>
        </w:rPr>
        <w:t>2025</w:t>
      </w:r>
    </w:p>
    <w:p w14:paraId="06D4D068" w14:textId="77777777" w:rsidR="001C7389" w:rsidRDefault="00DA59A5">
      <w:pPr>
        <w:pStyle w:val="BodyText"/>
        <w:spacing w:before="10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D4D07C" wp14:editId="06D4D07D">
                <wp:simplePos x="0" y="0"/>
                <wp:positionH relativeFrom="page">
                  <wp:posOffset>914400</wp:posOffset>
                </wp:positionH>
                <wp:positionV relativeFrom="paragraph">
                  <wp:posOffset>145648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B34F" id="Graphic 3" o:spid="_x0000_s1026" style="position:absolute;margin-left:1in;margin-top:11.4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06D4D069" w14:textId="77777777" w:rsidR="001C7389" w:rsidRDefault="001C7389">
      <w:pPr>
        <w:pStyle w:val="BodyText"/>
        <w:spacing w:before="187"/>
        <w:ind w:left="0"/>
        <w:rPr>
          <w:sz w:val="34"/>
        </w:rPr>
      </w:pPr>
    </w:p>
    <w:p w14:paraId="06D4D06A" w14:textId="77777777" w:rsidR="001C7389" w:rsidRDefault="00DA59A5">
      <w:pPr>
        <w:pStyle w:val="BodyText"/>
        <w:spacing w:before="0" w:line="235" w:lineRule="auto"/>
        <w:ind w:left="1100"/>
      </w:pPr>
      <w:r>
        <w:rPr>
          <w:color w:val="231F20"/>
          <w:w w:val="105"/>
        </w:rPr>
        <w:t>Membros do MassHealth não precisam pagar copagamentos para medicamentos com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receita. Esta política inclui membros que fazem parte de</w:t>
      </w:r>
    </w:p>
    <w:p w14:paraId="06D4D06B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spacing w:before="177"/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Planos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MassHealth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Fee-for-Service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(FFS);</w:t>
      </w:r>
    </w:p>
    <w:p w14:paraId="06D4D06C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Organizações de Cuidados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Responsáveis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(ACOs);</w:t>
      </w:r>
    </w:p>
    <w:p w14:paraId="06D4D06D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Planos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Parceria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Cuidados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Responsáveis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(ACPPs);</w:t>
      </w:r>
    </w:p>
    <w:p w14:paraId="06D4D06E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Organização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Cuidados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Gerenciados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(MCO);</w:t>
      </w:r>
    </w:p>
    <w:p w14:paraId="06D4D06F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Planos One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Care;</w:t>
      </w:r>
    </w:p>
    <w:p w14:paraId="06D4D070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Planos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do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Programa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Senior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Options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(SCO)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24"/>
        </w:rPr>
        <w:t>e</w:t>
      </w:r>
    </w:p>
    <w:p w14:paraId="06D4D071" w14:textId="77777777" w:rsidR="001C7389" w:rsidRDefault="00DA59A5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z w:val="24"/>
        </w:rPr>
        <w:t>Organizações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z w:val="24"/>
        </w:rPr>
        <w:t>Programa</w:t>
      </w:r>
      <w:r>
        <w:rPr>
          <w:color w:val="231F20"/>
          <w:spacing w:val="6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62"/>
          <w:sz w:val="24"/>
        </w:rPr>
        <w:t xml:space="preserve"> </w:t>
      </w:r>
      <w:r>
        <w:rPr>
          <w:color w:val="231F20"/>
          <w:sz w:val="24"/>
        </w:rPr>
        <w:t>Atendimento</w:t>
      </w:r>
      <w:r>
        <w:rPr>
          <w:color w:val="231F20"/>
          <w:spacing w:val="65"/>
          <w:sz w:val="24"/>
        </w:rPr>
        <w:t xml:space="preserve"> </w:t>
      </w:r>
      <w:r>
        <w:rPr>
          <w:color w:val="231F20"/>
          <w:sz w:val="24"/>
        </w:rPr>
        <w:t>Abrangente</w:t>
      </w:r>
      <w:r>
        <w:rPr>
          <w:color w:val="231F20"/>
          <w:spacing w:val="62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65"/>
          <w:sz w:val="24"/>
        </w:rPr>
        <w:t xml:space="preserve"> </w:t>
      </w:r>
      <w:r>
        <w:rPr>
          <w:color w:val="231F20"/>
          <w:sz w:val="24"/>
        </w:rPr>
        <w:t>Idosos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pacing w:val="-2"/>
          <w:sz w:val="24"/>
        </w:rPr>
        <w:t>(PACE).</w:t>
      </w:r>
    </w:p>
    <w:p w14:paraId="06D4D072" w14:textId="77777777" w:rsidR="001C7389" w:rsidRDefault="001C7389">
      <w:pPr>
        <w:pStyle w:val="BodyText"/>
        <w:spacing w:before="265"/>
        <w:ind w:left="0"/>
      </w:pPr>
    </w:p>
    <w:p w14:paraId="06D4D073" w14:textId="77777777" w:rsidR="001C7389" w:rsidRDefault="00DA59A5">
      <w:pPr>
        <w:pStyle w:val="BodyText"/>
        <w:spacing w:before="0" w:line="235" w:lineRule="auto"/>
        <w:ind w:left="1100"/>
      </w:pPr>
      <w:r>
        <w:rPr>
          <w:color w:val="231F20"/>
          <w:w w:val="105"/>
        </w:rPr>
        <w:t>Esta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política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também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se aplica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aos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membros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Safety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Net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(HSN)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e do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Children’s Medical Security Plan (CMSP).</w:t>
      </w:r>
    </w:p>
    <w:p w14:paraId="06D4D074" w14:textId="77777777" w:rsidR="001C7389" w:rsidRDefault="00DA59A5">
      <w:pPr>
        <w:pStyle w:val="BodyText"/>
        <w:spacing w:before="272" w:line="235" w:lineRule="auto"/>
        <w:ind w:left="1100" w:right="380"/>
      </w:pPr>
      <w:r>
        <w:rPr>
          <w:color w:val="231F20"/>
          <w:w w:val="105"/>
        </w:rPr>
        <w:t>Se a farmácia cobrar um copagamento e você achar que não deveria cobrar, não deixe de avisar o farmacêutico.</w:t>
      </w:r>
    </w:p>
    <w:p w14:paraId="06D4D075" w14:textId="77777777" w:rsidR="001C7389" w:rsidRDefault="00DA59A5">
      <w:pPr>
        <w:pStyle w:val="BodyText"/>
        <w:spacing w:before="271" w:line="235" w:lineRule="auto"/>
        <w:ind w:left="1100" w:right="190"/>
      </w:pPr>
      <w:r>
        <w:rPr>
          <w:color w:val="231F20"/>
          <w:w w:val="105"/>
        </w:rPr>
        <w:t>Se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você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tiver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perguntas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sobre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política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copagamentos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ou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precisar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informar mudanças,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como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exemplo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uma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mudança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sua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informação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contato,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ligue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para o Centro de Atendimento ao Cliente do MassHealth (CSC) pelo telefone (800) 841-2900, TDD/TTY: 711.</w:t>
      </w:r>
    </w:p>
    <w:p w14:paraId="06D4D076" w14:textId="097A0EB2" w:rsidR="001C7389" w:rsidRDefault="001C7389">
      <w:pPr>
        <w:pStyle w:val="BodyText"/>
        <w:spacing w:before="155"/>
        <w:ind w:left="0"/>
        <w:rPr>
          <w:sz w:val="20"/>
        </w:rPr>
      </w:pPr>
    </w:p>
    <w:p w14:paraId="06D4D077" w14:textId="77777777" w:rsidR="001C7389" w:rsidRDefault="00DA59A5">
      <w:pPr>
        <w:spacing w:before="53"/>
        <w:ind w:left="110"/>
        <w:rPr>
          <w:rFonts w:ascii="Arial"/>
          <w:sz w:val="14"/>
        </w:rPr>
      </w:pPr>
      <w:r>
        <w:rPr>
          <w:rFonts w:ascii="Arial"/>
          <w:color w:val="231F20"/>
          <w:spacing w:val="-2"/>
          <w:sz w:val="14"/>
        </w:rPr>
        <w:t>Copay-1-PT-BR_2025-</w:t>
      </w:r>
      <w:r>
        <w:rPr>
          <w:rFonts w:ascii="Arial"/>
          <w:color w:val="231F20"/>
          <w:spacing w:val="-5"/>
          <w:sz w:val="14"/>
        </w:rPr>
        <w:t>01</w:t>
      </w:r>
    </w:p>
    <w:sectPr w:rsidR="001C7389">
      <w:type w:val="continuous"/>
      <w:pgSz w:w="12240" w:h="15840"/>
      <w:pgMar w:top="1420" w:right="1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3C64"/>
    <w:multiLevelType w:val="hybridMultilevel"/>
    <w:tmpl w:val="30CA0A3E"/>
    <w:lvl w:ilvl="0" w:tplc="3C84F33C">
      <w:numFmt w:val="bullet"/>
      <w:lvlText w:val="•"/>
      <w:lvlJc w:val="left"/>
      <w:pPr>
        <w:ind w:left="1820" w:hanging="3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42"/>
        <w:sz w:val="24"/>
        <w:szCs w:val="24"/>
        <w:lang w:val="pt-PT" w:eastAsia="en-US" w:bidi="ar-SA"/>
      </w:rPr>
    </w:lvl>
    <w:lvl w:ilvl="1" w:tplc="D046B45E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2" w:tplc="251CFA8A">
      <w:numFmt w:val="bullet"/>
      <w:lvlText w:val="•"/>
      <w:lvlJc w:val="left"/>
      <w:pPr>
        <w:ind w:left="3568" w:hanging="360"/>
      </w:pPr>
      <w:rPr>
        <w:rFonts w:hint="default"/>
        <w:lang w:val="pt-PT" w:eastAsia="en-US" w:bidi="ar-SA"/>
      </w:rPr>
    </w:lvl>
    <w:lvl w:ilvl="3" w:tplc="06E83C54">
      <w:numFmt w:val="bullet"/>
      <w:lvlText w:val="•"/>
      <w:lvlJc w:val="left"/>
      <w:pPr>
        <w:ind w:left="4442" w:hanging="360"/>
      </w:pPr>
      <w:rPr>
        <w:rFonts w:hint="default"/>
        <w:lang w:val="pt-PT" w:eastAsia="en-US" w:bidi="ar-SA"/>
      </w:rPr>
    </w:lvl>
    <w:lvl w:ilvl="4" w:tplc="DE8ADC9C">
      <w:numFmt w:val="bullet"/>
      <w:lvlText w:val="•"/>
      <w:lvlJc w:val="left"/>
      <w:pPr>
        <w:ind w:left="5316" w:hanging="360"/>
      </w:pPr>
      <w:rPr>
        <w:rFonts w:hint="default"/>
        <w:lang w:val="pt-PT" w:eastAsia="en-US" w:bidi="ar-SA"/>
      </w:rPr>
    </w:lvl>
    <w:lvl w:ilvl="5" w:tplc="E0DE68CE">
      <w:numFmt w:val="bullet"/>
      <w:lvlText w:val="•"/>
      <w:lvlJc w:val="left"/>
      <w:pPr>
        <w:ind w:left="6190" w:hanging="360"/>
      </w:pPr>
      <w:rPr>
        <w:rFonts w:hint="default"/>
        <w:lang w:val="pt-PT" w:eastAsia="en-US" w:bidi="ar-SA"/>
      </w:rPr>
    </w:lvl>
    <w:lvl w:ilvl="6" w:tplc="3F20285A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7" w:tplc="63A4022A">
      <w:numFmt w:val="bullet"/>
      <w:lvlText w:val="•"/>
      <w:lvlJc w:val="left"/>
      <w:pPr>
        <w:ind w:left="7938" w:hanging="360"/>
      </w:pPr>
      <w:rPr>
        <w:rFonts w:hint="default"/>
        <w:lang w:val="pt-PT" w:eastAsia="en-US" w:bidi="ar-SA"/>
      </w:rPr>
    </w:lvl>
    <w:lvl w:ilvl="8" w:tplc="45CE82C4">
      <w:numFmt w:val="bullet"/>
      <w:lvlText w:val="•"/>
      <w:lvlJc w:val="left"/>
      <w:pPr>
        <w:ind w:left="8812" w:hanging="360"/>
      </w:pPr>
      <w:rPr>
        <w:rFonts w:hint="default"/>
        <w:lang w:val="pt-PT" w:eastAsia="en-US" w:bidi="ar-SA"/>
      </w:rPr>
    </w:lvl>
  </w:abstractNum>
  <w:num w:numId="1" w16cid:durableId="12948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389"/>
    <w:rsid w:val="001C7389"/>
    <w:rsid w:val="00DA59A5"/>
    <w:rsid w:val="00D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D064"/>
  <w15:docId w15:val="{E44EBBD7-563D-46BC-BB4D-06EB50B4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18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6"/>
      <w:ind w:left="1144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85"/>
      <w:ind w:left="1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Eisan, Jenna (EHS)</cp:lastModifiedBy>
  <cp:revision>2</cp:revision>
  <dcterms:created xsi:type="dcterms:W3CDTF">2025-01-30T19:35:00Z</dcterms:created>
  <dcterms:modified xsi:type="dcterms:W3CDTF">2025-01-30T19:35:00Z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17.0</vt:lpwstr>
  </property>
</Properties>
</file>