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BE1" w:rsidRPr="00E004B9" w:rsidRDefault="00790BE1" w:rsidP="00790BE1">
      <w:pPr>
        <w:jc w:val="center"/>
      </w:pPr>
      <w:bookmarkStart w:id="0" w:name="_GoBack"/>
      <w:bookmarkEnd w:id="0"/>
      <w:r w:rsidRPr="00E004B9">
        <w:t>COMMONWEALTH OF MASSACHUSETTS</w:t>
      </w:r>
    </w:p>
    <w:p w:rsidR="00790BE1" w:rsidRPr="00D93D93" w:rsidRDefault="00790BE1" w:rsidP="00790BE1">
      <w:pPr>
        <w:spacing w:line="240" w:lineRule="auto"/>
        <w:ind w:left="4680"/>
        <w:rPr>
          <w:b/>
        </w:rPr>
      </w:pPr>
      <w:r w:rsidRPr="00D93D93">
        <w:rPr>
          <w:b/>
        </w:rPr>
        <w:t>Division of Administrative Law Appeals</w:t>
      </w:r>
    </w:p>
    <w:p w:rsidR="00790BE1" w:rsidRPr="00D93D93" w:rsidRDefault="00790BE1" w:rsidP="00790BE1">
      <w:pPr>
        <w:spacing w:line="240" w:lineRule="auto"/>
        <w:ind w:left="4680"/>
        <w:rPr>
          <w:b/>
        </w:rPr>
      </w:pPr>
      <w:r>
        <w:rPr>
          <w:b/>
        </w:rPr>
        <w:t>1 Congress</w:t>
      </w:r>
      <w:r w:rsidRPr="00D93D93">
        <w:rPr>
          <w:b/>
        </w:rPr>
        <w:t xml:space="preserve"> Street, </w:t>
      </w:r>
      <w:r>
        <w:rPr>
          <w:b/>
        </w:rPr>
        <w:t>11</w:t>
      </w:r>
      <w:r w:rsidRPr="00D93D93">
        <w:rPr>
          <w:b/>
        </w:rPr>
        <w:t>th Floor</w:t>
      </w:r>
    </w:p>
    <w:p w:rsidR="00790BE1" w:rsidRPr="00D93D93" w:rsidRDefault="00790BE1" w:rsidP="00790BE1">
      <w:pPr>
        <w:spacing w:line="240" w:lineRule="auto"/>
        <w:ind w:left="4680"/>
        <w:rPr>
          <w:b/>
        </w:rPr>
      </w:pPr>
      <w:r w:rsidRPr="00D93D93">
        <w:rPr>
          <w:b/>
        </w:rPr>
        <w:t>Boston, MA 02114</w:t>
      </w:r>
    </w:p>
    <w:p w:rsidR="00790BE1" w:rsidRPr="00D93D93" w:rsidRDefault="00790BE1" w:rsidP="00790BE1">
      <w:pPr>
        <w:spacing w:line="240" w:lineRule="auto"/>
        <w:ind w:left="4680"/>
        <w:rPr>
          <w:b/>
        </w:rPr>
      </w:pPr>
      <w:r w:rsidRPr="00D93D93">
        <w:rPr>
          <w:b/>
        </w:rPr>
        <w:t>www.mass.gov/dala</w:t>
      </w:r>
    </w:p>
    <w:p w:rsidR="00790BE1" w:rsidRPr="00E004B9" w:rsidRDefault="00790BE1" w:rsidP="00790BE1">
      <w:pPr>
        <w:spacing w:line="240" w:lineRule="auto"/>
      </w:pPr>
    </w:p>
    <w:p w:rsidR="00790BE1" w:rsidRPr="00E004B9" w:rsidRDefault="00D027B9" w:rsidP="00790BE1">
      <w:pPr>
        <w:spacing w:line="240" w:lineRule="auto"/>
      </w:pPr>
      <w:r>
        <w:rPr>
          <w:b/>
        </w:rPr>
        <w:t>Charlene Correia</w:t>
      </w:r>
      <w:r w:rsidR="00790BE1" w:rsidRPr="00E004B9">
        <w:t>,</w:t>
      </w:r>
    </w:p>
    <w:p w:rsidR="00790BE1" w:rsidRPr="00E004B9" w:rsidRDefault="00790BE1" w:rsidP="00790BE1">
      <w:pPr>
        <w:spacing w:line="240" w:lineRule="auto"/>
      </w:pPr>
      <w:r w:rsidRPr="00E004B9">
        <w:t>Petitioner</w:t>
      </w:r>
    </w:p>
    <w:p w:rsidR="00790BE1" w:rsidRPr="00E004B9" w:rsidRDefault="00790BE1" w:rsidP="00790BE1">
      <w:pPr>
        <w:spacing w:line="240" w:lineRule="auto"/>
      </w:pPr>
    </w:p>
    <w:p w:rsidR="00790BE1" w:rsidRDefault="00790BE1" w:rsidP="00790BE1">
      <w:pPr>
        <w:spacing w:line="240" w:lineRule="auto"/>
      </w:pPr>
      <w:r w:rsidRPr="00E004B9">
        <w:t xml:space="preserve">v.                                                                           Docket No. </w:t>
      </w:r>
      <w:r w:rsidR="00D027B9">
        <w:t>CR-12-682</w:t>
      </w:r>
    </w:p>
    <w:p w:rsidR="00D027B9" w:rsidRDefault="00D027B9" w:rsidP="00790BE1">
      <w:pPr>
        <w:spacing w:line="240" w:lineRule="auto"/>
        <w:rPr>
          <w:b/>
        </w:rPr>
      </w:pPr>
    </w:p>
    <w:p w:rsidR="00790BE1" w:rsidRPr="00E004B9" w:rsidRDefault="00D027B9" w:rsidP="00790BE1">
      <w:pPr>
        <w:spacing w:line="240" w:lineRule="auto"/>
      </w:pPr>
      <w:r>
        <w:rPr>
          <w:b/>
        </w:rPr>
        <w:t>State Board of Retirement</w:t>
      </w:r>
      <w:r w:rsidR="00790BE1" w:rsidRPr="00E004B9">
        <w:t>,</w:t>
      </w:r>
    </w:p>
    <w:p w:rsidR="00790BE1" w:rsidRDefault="00790BE1" w:rsidP="00790BE1">
      <w:pPr>
        <w:spacing w:line="240" w:lineRule="auto"/>
      </w:pPr>
      <w:r w:rsidRPr="00E004B9">
        <w:t xml:space="preserve">Respondent         </w:t>
      </w:r>
    </w:p>
    <w:p w:rsidR="00790BE1" w:rsidRDefault="00790BE1" w:rsidP="00790BE1">
      <w:pPr>
        <w:spacing w:line="240" w:lineRule="auto"/>
      </w:pPr>
    </w:p>
    <w:p w:rsidR="00790BE1" w:rsidRPr="00FD3CDE" w:rsidRDefault="00790BE1" w:rsidP="00790BE1">
      <w:pPr>
        <w:spacing w:line="240" w:lineRule="auto"/>
      </w:pPr>
      <w:r w:rsidRPr="00CF06CA">
        <w:rPr>
          <w:b/>
        </w:rPr>
        <w:t>Appearance for Petitioner</w:t>
      </w:r>
      <w:r w:rsidRPr="00FD3CDE">
        <w:t>:</w:t>
      </w:r>
      <w:r w:rsidRPr="00FD3CDE">
        <w:tab/>
      </w:r>
      <w:r w:rsidRPr="00FD3CDE">
        <w:tab/>
      </w:r>
      <w:r w:rsidRPr="00FD3CDE">
        <w:tab/>
      </w:r>
    </w:p>
    <w:p w:rsidR="00790BE1" w:rsidRDefault="00790BE1" w:rsidP="00790BE1">
      <w:pPr>
        <w:spacing w:line="240" w:lineRule="auto"/>
        <w:rPr>
          <w:highlight w:val="lightGray"/>
        </w:rPr>
      </w:pPr>
    </w:p>
    <w:p w:rsidR="00790BE1" w:rsidRDefault="008D3FC8" w:rsidP="00790BE1">
      <w:pPr>
        <w:spacing w:line="240" w:lineRule="auto"/>
        <w:ind w:left="720"/>
      </w:pPr>
      <w:r>
        <w:t>James H. Quirk, Jr.</w:t>
      </w:r>
    </w:p>
    <w:p w:rsidR="008D3FC8" w:rsidRDefault="008D3FC8" w:rsidP="00790BE1">
      <w:pPr>
        <w:spacing w:line="240" w:lineRule="auto"/>
        <w:ind w:left="720"/>
      </w:pPr>
      <w:r>
        <w:t>Post Office Box 268</w:t>
      </w:r>
    </w:p>
    <w:p w:rsidR="008D3FC8" w:rsidRPr="005B7797" w:rsidRDefault="008D3FC8" w:rsidP="00790BE1">
      <w:pPr>
        <w:spacing w:line="240" w:lineRule="auto"/>
        <w:ind w:left="720"/>
      </w:pPr>
      <w:r>
        <w:t>Yarmouthport, MA 02675-0268</w:t>
      </w:r>
    </w:p>
    <w:p w:rsidR="00790BE1" w:rsidRPr="00FD3CDE" w:rsidRDefault="00790BE1" w:rsidP="00790BE1">
      <w:pPr>
        <w:spacing w:line="240" w:lineRule="auto"/>
        <w:rPr>
          <w:highlight w:val="lightGray"/>
        </w:rPr>
      </w:pPr>
    </w:p>
    <w:p w:rsidR="00790BE1" w:rsidRPr="00FD3CDE" w:rsidRDefault="00790BE1" w:rsidP="00790BE1">
      <w:pPr>
        <w:spacing w:line="240" w:lineRule="auto"/>
      </w:pPr>
      <w:r w:rsidRPr="00CF06CA">
        <w:rPr>
          <w:b/>
        </w:rPr>
        <w:t>Appearance for Respondent</w:t>
      </w:r>
      <w:r w:rsidRPr="00FD3CDE">
        <w:t>:</w:t>
      </w:r>
      <w:r w:rsidRPr="00FD3CDE">
        <w:tab/>
      </w:r>
      <w:r w:rsidRPr="00FD3CDE">
        <w:tab/>
      </w:r>
      <w:r w:rsidRPr="00FD3CDE">
        <w:tab/>
      </w:r>
    </w:p>
    <w:p w:rsidR="00790BE1" w:rsidRPr="00FD3CDE" w:rsidRDefault="00790BE1" w:rsidP="00790BE1">
      <w:pPr>
        <w:spacing w:line="240" w:lineRule="auto"/>
      </w:pPr>
    </w:p>
    <w:p w:rsidR="00790BE1" w:rsidRDefault="008D3FC8" w:rsidP="00790BE1">
      <w:pPr>
        <w:spacing w:line="240" w:lineRule="auto"/>
        <w:ind w:firstLine="720"/>
      </w:pPr>
      <w:r>
        <w:t>Kathryn Doty, Esq.</w:t>
      </w:r>
    </w:p>
    <w:p w:rsidR="008D3FC8" w:rsidRDefault="008D3FC8" w:rsidP="00790BE1">
      <w:pPr>
        <w:spacing w:line="240" w:lineRule="auto"/>
        <w:ind w:firstLine="720"/>
      </w:pPr>
      <w:r>
        <w:t>State Board of Retirement</w:t>
      </w:r>
    </w:p>
    <w:p w:rsidR="008D3FC8" w:rsidRDefault="008D3FC8" w:rsidP="00790BE1">
      <w:pPr>
        <w:spacing w:line="240" w:lineRule="auto"/>
        <w:ind w:firstLine="720"/>
      </w:pPr>
      <w:r>
        <w:t>One Winter Street, 8th Floor</w:t>
      </w:r>
    </w:p>
    <w:p w:rsidR="008D3FC8" w:rsidRDefault="008D3FC8" w:rsidP="00790BE1">
      <w:pPr>
        <w:spacing w:line="240" w:lineRule="auto"/>
        <w:ind w:firstLine="720"/>
      </w:pPr>
      <w:r>
        <w:t>Boston, MA 02108</w:t>
      </w:r>
    </w:p>
    <w:p w:rsidR="00790BE1" w:rsidRPr="00FD3CDE" w:rsidRDefault="00790BE1" w:rsidP="00790BE1">
      <w:pPr>
        <w:spacing w:line="240" w:lineRule="auto"/>
      </w:pPr>
    </w:p>
    <w:p w:rsidR="00790BE1" w:rsidRPr="00FD3CDE" w:rsidRDefault="00790BE1" w:rsidP="00790BE1">
      <w:pPr>
        <w:spacing w:line="240" w:lineRule="auto"/>
      </w:pPr>
      <w:r w:rsidRPr="00CF06CA">
        <w:rPr>
          <w:b/>
        </w:rPr>
        <w:t>Administrative Magistrate</w:t>
      </w:r>
      <w:r w:rsidRPr="00FD3CDE">
        <w:t>:</w:t>
      </w:r>
      <w:r w:rsidRPr="00FD3CDE">
        <w:tab/>
      </w:r>
      <w:r w:rsidRPr="00FD3CDE">
        <w:tab/>
      </w:r>
      <w:r w:rsidRPr="00FD3CDE">
        <w:tab/>
      </w:r>
    </w:p>
    <w:p w:rsidR="00790BE1" w:rsidRPr="00FD3CDE" w:rsidRDefault="00790BE1" w:rsidP="00790BE1">
      <w:pPr>
        <w:spacing w:line="240" w:lineRule="auto"/>
      </w:pPr>
    </w:p>
    <w:p w:rsidR="00790BE1" w:rsidRPr="000D620E" w:rsidRDefault="00790BE1" w:rsidP="00790BE1">
      <w:pPr>
        <w:ind w:firstLine="720"/>
      </w:pPr>
      <w:r w:rsidRPr="000D620E">
        <w:t xml:space="preserve">Kenneth Bresler                                          </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82171C">
        <w:rPr>
          <w:b/>
        </w:rPr>
        <w:t>SUMMARY OF DECISION</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7A5628" w:rsidRPr="007A5628" w:rsidRDefault="007A5628" w:rsidP="00B07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40" w:lineRule="auto"/>
        <w:ind w:left="720" w:right="720"/>
      </w:pPr>
      <w:r w:rsidRPr="007A5628">
        <w:t>State</w:t>
      </w:r>
      <w:r>
        <w:t xml:space="preserve"> Board of Retirement’s denial of Group 2 classification to a supervising nurse who </w:t>
      </w:r>
      <w:r w:rsidR="00B07F11">
        <w:t>directly cared for mentally ill patients more than 50% of the time during her last year of work is reversed.</w:t>
      </w:r>
    </w:p>
    <w:p w:rsidR="00790BE1"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b/>
        </w:rPr>
      </w:pPr>
      <w:r>
        <w:rPr>
          <w:b/>
        </w:rPr>
        <w:tab/>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sidRPr="00E004B9">
        <w:rPr>
          <w:b/>
        </w:rPr>
        <w:t>DECISION</w:t>
      </w:r>
    </w:p>
    <w:p w:rsidR="00790BE1" w:rsidRDefault="00790BE1" w:rsidP="00B07F11">
      <w:pPr>
        <w:widowControl w:val="0"/>
      </w:pPr>
      <w:r w:rsidRPr="00E004B9">
        <w:tab/>
      </w:r>
      <w:r>
        <w:t>The petitioner,</w:t>
      </w:r>
      <w:r w:rsidR="002E72C7">
        <w:t xml:space="preserve"> Charlene Correia</w:t>
      </w:r>
      <w:r>
        <w:t xml:space="preserve">, </w:t>
      </w:r>
      <w:r w:rsidR="00E83DD9">
        <w:t>appealed the denial by the State Board of Retirement (SBR) of her application to be reclassified in Group 2.</w:t>
      </w:r>
    </w:p>
    <w:p w:rsidR="00790BE1" w:rsidRDefault="00790BE1" w:rsidP="004D1994">
      <w:pPr>
        <w:widowControl w:val="0"/>
      </w:pPr>
      <w:r>
        <w:tab/>
        <w:t xml:space="preserve">I held a hearing on </w:t>
      </w:r>
      <w:r w:rsidR="00254A48">
        <w:t>September 6, 2017</w:t>
      </w:r>
      <w:r>
        <w:t xml:space="preserve">, which I recorded digitally. </w:t>
      </w:r>
      <w:r w:rsidR="0037420D">
        <w:t xml:space="preserve">I reopened the record </w:t>
      </w:r>
      <w:r w:rsidR="0037420D">
        <w:lastRenderedPageBreak/>
        <w:t>and hel</w:t>
      </w:r>
      <w:r w:rsidR="005E2AB7">
        <w:t>d a second day of hearing on Ma</w:t>
      </w:r>
      <w:r w:rsidR="004D1994">
        <w:t>y 17, 2018, for reasons that I explain below.</w:t>
      </w:r>
      <w:r w:rsidR="00554A2E">
        <w:t xml:space="preserve"> </w:t>
      </w:r>
      <w:r w:rsidR="005E2AB7">
        <w:t xml:space="preserve">Ms. </w:t>
      </w:r>
      <w:r w:rsidR="005E2AB7" w:rsidRPr="005E2AB7">
        <w:t>Correia</w:t>
      </w:r>
      <w:r>
        <w:t xml:space="preserve"> testified</w:t>
      </w:r>
      <w:r w:rsidR="004D1994">
        <w:t xml:space="preserve"> on September 6, 2017. She</w:t>
      </w:r>
      <w:r w:rsidR="005E2AB7">
        <w:t xml:space="preserve"> called Susan L. Davis as a witness on May 17, 2018. MTRS </w:t>
      </w:r>
      <w:r>
        <w:t>called no witness</w:t>
      </w:r>
      <w:r w:rsidR="004D1994">
        <w:t>es</w:t>
      </w:r>
      <w:r>
        <w:t xml:space="preserve">. </w:t>
      </w:r>
    </w:p>
    <w:p w:rsidR="00790BE1" w:rsidRDefault="00790BE1" w:rsidP="000F3CE1">
      <w:pPr>
        <w:widowControl w:val="0"/>
      </w:pPr>
      <w:r>
        <w:tab/>
        <w:t>I accepted into evidence</w:t>
      </w:r>
      <w:r w:rsidR="000C5781">
        <w:t xml:space="preserve"> 23</w:t>
      </w:r>
      <w:r>
        <w:t xml:space="preserve"> exhibits.</w:t>
      </w:r>
      <w:r w:rsidR="000C5781">
        <w:t xml:space="preserve"> On my own initiative, I admitted Exhibit 24, which is Ms. Correia’s appeal letter and the envelope that it arrived in.</w:t>
      </w:r>
      <w:r w:rsidR="00554A2E">
        <w:t xml:space="preserve"> </w:t>
      </w:r>
      <w:r w:rsidRPr="008D3FC8">
        <w:t xml:space="preserve">Both parties submitted post-hearing briefs. </w:t>
      </w:r>
    </w:p>
    <w:p w:rsidR="00790BE1" w:rsidRDefault="00790BE1" w:rsidP="00790BE1">
      <w:pPr>
        <w:jc w:val="center"/>
        <w:rPr>
          <w:b/>
        </w:rPr>
      </w:pPr>
      <w:r w:rsidRPr="00E004B9">
        <w:rPr>
          <w:b/>
        </w:rPr>
        <w:t>Findings of Fact</w:t>
      </w:r>
    </w:p>
    <w:p w:rsidR="006F3192" w:rsidRDefault="00B050B8" w:rsidP="00790BE1">
      <w:r>
        <w:tab/>
      </w:r>
      <w:r w:rsidR="00E83DD9">
        <w:t>1</w:t>
      </w:r>
      <w:r>
        <w:t>. Ms. Correia is a registered nurse who w</w:t>
      </w:r>
      <w:r w:rsidR="006F3192">
        <w:t>orked at Taunton State Hospital for 30 years</w:t>
      </w:r>
      <w:r w:rsidR="002D0D17">
        <w:t xml:space="preserve">, </w:t>
      </w:r>
      <w:r w:rsidR="00C32170">
        <w:t xml:space="preserve">from </w:t>
      </w:r>
      <w:r w:rsidR="002D0D17">
        <w:t>1982</w:t>
      </w:r>
      <w:r w:rsidR="00C32170">
        <w:t xml:space="preserve"> through 2012.</w:t>
      </w:r>
      <w:r w:rsidR="006F3192">
        <w:t xml:space="preserve"> (</w:t>
      </w:r>
      <w:r w:rsidR="009C5BDF">
        <w:t>Correia testimony</w:t>
      </w:r>
      <w:r w:rsidR="002D0D17">
        <w:t>, Ex</w:t>
      </w:r>
      <w:r w:rsidR="00C32170">
        <w:t>s</w:t>
      </w:r>
      <w:r w:rsidR="002D0D17">
        <w:t>. 10</w:t>
      </w:r>
      <w:r w:rsidR="00C32170">
        <w:t>, 13</w:t>
      </w:r>
      <w:r w:rsidR="006F3192">
        <w:t>.)</w:t>
      </w:r>
    </w:p>
    <w:p w:rsidR="00B050B8" w:rsidRDefault="00B050B8" w:rsidP="00790BE1">
      <w:r>
        <w:tab/>
      </w:r>
      <w:r w:rsidR="00E83DD9">
        <w:t>2</w:t>
      </w:r>
      <w:r>
        <w:t>. Taunton State Hospital is run by the Department of Mental Health. (Ex. 3.)</w:t>
      </w:r>
      <w:r w:rsidR="00C97EA4">
        <w:t xml:space="preserve"> All of its patients </w:t>
      </w:r>
      <w:r w:rsidR="00735078">
        <w:t xml:space="preserve">in Ms. Correia’s last year of employment </w:t>
      </w:r>
      <w:r w:rsidR="00C97EA4">
        <w:t>were mentally ill. (Correia testimony.)</w:t>
      </w:r>
    </w:p>
    <w:p w:rsidR="00B050B8" w:rsidRDefault="00B050B8" w:rsidP="00790BE1">
      <w:r>
        <w:tab/>
      </w:r>
      <w:r w:rsidR="00E83DD9">
        <w:t>3</w:t>
      </w:r>
      <w:r>
        <w:t>. In her last year of</w:t>
      </w:r>
      <w:r w:rsidR="00735078">
        <w:t xml:space="preserve"> employment</w:t>
      </w:r>
      <w:r>
        <w:t xml:space="preserve">, Ms. Correia’s job title was Registered Nurse 4, or RN-4. (Ex. 3; </w:t>
      </w:r>
      <w:r w:rsidR="009C5BDF">
        <w:t>Correia testimony</w:t>
      </w:r>
      <w:r>
        <w:t>.)</w:t>
      </w:r>
    </w:p>
    <w:p w:rsidR="00B050B8" w:rsidRDefault="00B050B8" w:rsidP="00790BE1">
      <w:r>
        <w:tab/>
      </w:r>
      <w:r w:rsidR="00E83DD9">
        <w:t>4</w:t>
      </w:r>
      <w:r>
        <w:t>. RN-4s were supervisors and did not directly care for patients. (</w:t>
      </w:r>
      <w:r w:rsidR="009C5BDF">
        <w:t>Correia testimony</w:t>
      </w:r>
      <w:r>
        <w:t>.)</w:t>
      </w:r>
    </w:p>
    <w:p w:rsidR="00B050B8" w:rsidRDefault="00B050B8" w:rsidP="00790BE1">
      <w:r>
        <w:tab/>
      </w:r>
      <w:r w:rsidR="00E83DD9">
        <w:t>5</w:t>
      </w:r>
      <w:r>
        <w:t>. Registered Nurse</w:t>
      </w:r>
      <w:r w:rsidR="00A87767">
        <w:t xml:space="preserve"> 2s, or RN-2s, were among the nurses who directly cared for patients. (</w:t>
      </w:r>
      <w:r w:rsidR="009C5BDF">
        <w:t>Correia testimony</w:t>
      </w:r>
      <w:r w:rsidR="00A87767">
        <w:t>.)</w:t>
      </w:r>
    </w:p>
    <w:p w:rsidR="00A87767" w:rsidRDefault="00A87767" w:rsidP="00790BE1">
      <w:r>
        <w:tab/>
      </w:r>
      <w:r w:rsidR="00E83DD9">
        <w:t>6</w:t>
      </w:r>
      <w:r>
        <w:t>. As part of</w:t>
      </w:r>
      <w:r w:rsidR="00AE3BCE">
        <w:t xml:space="preserve"> Taunton State Hospital’s</w:t>
      </w:r>
      <w:r>
        <w:t xml:space="preserve"> plan to avoid paying overtime to RN-2s, if an RN-2 was absent from a shift because of sickness or vacation, and if more than one RN-4</w:t>
      </w:r>
      <w:r w:rsidR="001366FD">
        <w:t xml:space="preserve"> was</w:t>
      </w:r>
      <w:r>
        <w:t xml:space="preserve"> on duty, an RN-4, such as Ms. Correia, would assume the duties of an RN-2, specifically a charge nurse; that is, a nurse in charge. In other words, a supervisor without direct-care duties</w:t>
      </w:r>
      <w:r w:rsidR="00E83DD9">
        <w:t xml:space="preserve"> for patients</w:t>
      </w:r>
      <w:r>
        <w:t xml:space="preserve"> would became a </w:t>
      </w:r>
      <w:r w:rsidR="00554A2E">
        <w:t>charge nurse</w:t>
      </w:r>
      <w:r>
        <w:t xml:space="preserve"> with direct-care duties for a shift. (Ex. 3, </w:t>
      </w:r>
      <w:r w:rsidR="009C5BDF">
        <w:t>Correia testimony</w:t>
      </w:r>
      <w:r>
        <w:t>.)</w:t>
      </w:r>
    </w:p>
    <w:p w:rsidR="00A87767" w:rsidRDefault="00735078" w:rsidP="00735078">
      <w:pPr>
        <w:widowControl w:val="0"/>
      </w:pPr>
      <w:r>
        <w:tab/>
      </w:r>
      <w:r w:rsidR="00E83DD9">
        <w:t>7</w:t>
      </w:r>
      <w:r>
        <w:t>. When Ms. Correia worked as a charge nurse</w:t>
      </w:r>
      <w:r w:rsidR="001366FD">
        <w:t xml:space="preserve">, her duties included taking patients’ vital </w:t>
      </w:r>
      <w:r w:rsidR="001366FD">
        <w:lastRenderedPageBreak/>
        <w:t>signs, conducting skin assessments, monitoring nutrition, changing dressings, administering oxygen, conducting the patient admission procedure, and restraining patients. (Ex. 3.)</w:t>
      </w:r>
    </w:p>
    <w:p w:rsidR="00790BE1" w:rsidRDefault="00E83DD9" w:rsidP="00C32170">
      <w:pPr>
        <w:widowControl w:val="0"/>
        <w:ind w:firstLine="720"/>
      </w:pPr>
      <w:r>
        <w:t>8</w:t>
      </w:r>
      <w:r w:rsidR="002E72C7">
        <w:t>. On October 9, 2012, Ms. Correia signed a classification questionnaire. (Ex. 3.)</w:t>
      </w:r>
    </w:p>
    <w:p w:rsidR="003D6F5D" w:rsidRDefault="003D6F5D" w:rsidP="001D3DFD">
      <w:r>
        <w:tab/>
      </w:r>
      <w:r w:rsidR="00E83DD9">
        <w:t>9</w:t>
      </w:r>
      <w:r>
        <w:t>. Also on October 9, 2012, Ms. Correia wrote a letter to SBR, asking to be reclassified from Group 1 to Group 2.</w:t>
      </w:r>
      <w:r w:rsidR="009D1E21">
        <w:t xml:space="preserve"> </w:t>
      </w:r>
      <w:proofErr w:type="gramStart"/>
      <w:r w:rsidR="009D1E21">
        <w:t>(Ex. 4.)</w:t>
      </w:r>
      <w:proofErr w:type="gramEnd"/>
    </w:p>
    <w:p w:rsidR="001366FD" w:rsidRDefault="001366FD" w:rsidP="001D3DFD">
      <w:r>
        <w:tab/>
        <w:t xml:space="preserve"> </w:t>
      </w:r>
      <w:r w:rsidR="00E83DD9">
        <w:t>10</w:t>
      </w:r>
      <w:r>
        <w:t xml:space="preserve">. Around this time, Ms. </w:t>
      </w:r>
      <w:r w:rsidR="00CC123A">
        <w:t xml:space="preserve">Correia reviewed the documents recording her shifts and prepared a grid </w:t>
      </w:r>
      <w:r w:rsidR="00554A2E">
        <w:t xml:space="preserve">that </w:t>
      </w:r>
      <w:r w:rsidR="00CC123A">
        <w:t xml:space="preserve">she titled “Charlene Correia, RN4 Productive Time Analysis: Direct Care </w:t>
      </w:r>
      <w:proofErr w:type="gramStart"/>
      <w:r w:rsidR="00CC123A">
        <w:t>vs  Supervisory</w:t>
      </w:r>
      <w:proofErr w:type="gramEnd"/>
      <w:r w:rsidR="00CC123A">
        <w:t xml:space="preserve"> Shifts</w:t>
      </w:r>
      <w:r w:rsidR="007933F4">
        <w:t>.</w:t>
      </w:r>
      <w:r w:rsidR="00554A2E">
        <w:t>”</w:t>
      </w:r>
      <w:r w:rsidR="007933F4">
        <w:t xml:space="preserve"> (Ex. 16.)</w:t>
      </w:r>
    </w:p>
    <w:p w:rsidR="007933F4" w:rsidRDefault="007933F4" w:rsidP="001D3DFD">
      <w:r>
        <w:tab/>
      </w:r>
      <w:r w:rsidR="00E83DD9">
        <w:t>11</w:t>
      </w:r>
      <w:r>
        <w:t xml:space="preserve">. </w:t>
      </w:r>
      <w:r w:rsidR="00C32170">
        <w:t>The grid that Ms. Correia prepared covered April 2011 through March 2012. (Ex. 16.)</w:t>
      </w:r>
    </w:p>
    <w:p w:rsidR="001366FD" w:rsidRDefault="00C32170" w:rsidP="00C32170">
      <w:r>
        <w:tab/>
      </w:r>
      <w:r w:rsidR="00E83DD9">
        <w:t>12</w:t>
      </w:r>
      <w:r>
        <w:t>. Ms. Correia’s last year of work was the calendar year 2012. (Ex. 13.) In other words, Ms. Correia’s grid covered the first three months of her last 12 months, but not the final nine months.</w:t>
      </w:r>
      <w:r w:rsidR="0037420D">
        <w:rPr>
          <w:rStyle w:val="FootnoteReference"/>
        </w:rPr>
        <w:footnoteReference w:id="1"/>
      </w:r>
    </w:p>
    <w:p w:rsidR="001366FD" w:rsidRDefault="00C32170" w:rsidP="001366FD">
      <w:r>
        <w:tab/>
      </w:r>
      <w:r w:rsidR="00E83DD9">
        <w:t>13</w:t>
      </w:r>
      <w:r>
        <w:t>. In April 2011, Ms. Correia worked 17 shifts, seven as a supervisor, 10 as a charge nurse. She spent 58% of her time caring for mentally ill patients. (Ex. 16.)</w:t>
      </w:r>
    </w:p>
    <w:p w:rsidR="00C32170" w:rsidRDefault="00E83DD9" w:rsidP="00C32170">
      <w:pPr>
        <w:ind w:firstLine="720"/>
      </w:pPr>
      <w:r>
        <w:t>14</w:t>
      </w:r>
      <w:r w:rsidR="00C32170">
        <w:t xml:space="preserve">. In </w:t>
      </w:r>
      <w:r w:rsidR="00D54215">
        <w:t>May</w:t>
      </w:r>
      <w:r w:rsidR="00C32170">
        <w:t xml:space="preserve"> 2011, Ms. Correia worked </w:t>
      </w:r>
      <w:r w:rsidR="00D54215">
        <w:t>23</w:t>
      </w:r>
      <w:r w:rsidR="00C32170">
        <w:t xml:space="preserve"> shifts, </w:t>
      </w:r>
      <w:r w:rsidR="00D54215">
        <w:t>11</w:t>
      </w:r>
      <w:r w:rsidR="00C32170">
        <w:t xml:space="preserve"> as a supervisor, </w:t>
      </w:r>
      <w:r w:rsidR="00D54215">
        <w:t>12</w:t>
      </w:r>
      <w:r w:rsidR="00C32170">
        <w:t xml:space="preserve"> as a charge nurse. She spent </w:t>
      </w:r>
      <w:r w:rsidR="00D54215" w:rsidRPr="00D54215">
        <w:t>52</w:t>
      </w:r>
      <w:r w:rsidR="00C32170" w:rsidRPr="00D54215">
        <w:t>%</w:t>
      </w:r>
      <w:r w:rsidR="00C32170">
        <w:t xml:space="preserve"> of her time caring for mentally ill patients. (Ex. 16.)</w:t>
      </w:r>
    </w:p>
    <w:p w:rsidR="00D54215" w:rsidRDefault="00E83DD9" w:rsidP="00D54215">
      <w:pPr>
        <w:ind w:firstLine="720"/>
      </w:pPr>
      <w:r>
        <w:t>15</w:t>
      </w:r>
      <w:r w:rsidR="00D54215">
        <w:t xml:space="preserve">. In June 2011, Ms. Correia worked 14 shifts, </w:t>
      </w:r>
      <w:r w:rsidR="00D54215" w:rsidRPr="00D54215">
        <w:t>seven</w:t>
      </w:r>
      <w:r w:rsidR="00D54215">
        <w:t xml:space="preserve"> as a supervisor, seven as a charge nurse. She spent </w:t>
      </w:r>
      <w:r w:rsidR="00D54215" w:rsidRPr="00D54215">
        <w:t>50%</w:t>
      </w:r>
      <w:r w:rsidR="00D54215">
        <w:t xml:space="preserve"> of her time caring for mentally ill patients. (Ex. 16.)</w:t>
      </w:r>
    </w:p>
    <w:p w:rsidR="00D54215" w:rsidRDefault="00E83DD9" w:rsidP="00D54215">
      <w:pPr>
        <w:ind w:firstLine="720"/>
      </w:pPr>
      <w:r>
        <w:lastRenderedPageBreak/>
        <w:t>16</w:t>
      </w:r>
      <w:r w:rsidR="00D54215">
        <w:t>. In July 2011, Ms. Correia worked 20 shifts, 14 as a supervisor, six as a charge nurse. She spent 30% of her time caring for mentally ill patients. (Ex. 16.)</w:t>
      </w:r>
    </w:p>
    <w:p w:rsidR="00D54215" w:rsidRDefault="00E83DD9" w:rsidP="00D54215">
      <w:pPr>
        <w:ind w:firstLine="720"/>
      </w:pPr>
      <w:r>
        <w:t>17</w:t>
      </w:r>
      <w:r w:rsidR="00D54215">
        <w:t xml:space="preserve">. In August 2011, Ms. Correia worked 14 shifts, </w:t>
      </w:r>
      <w:r w:rsidR="00D54215" w:rsidRPr="00D54215">
        <w:t>seven</w:t>
      </w:r>
      <w:r w:rsidR="00D54215">
        <w:t xml:space="preserve"> as a supervisor, seven as a charge nurse. She spent </w:t>
      </w:r>
      <w:r w:rsidR="00D54215" w:rsidRPr="00D54215">
        <w:t>50%</w:t>
      </w:r>
      <w:r w:rsidR="00D54215">
        <w:t xml:space="preserve"> of her time caring for mentally ill patients. (Ex. 16.)</w:t>
      </w:r>
    </w:p>
    <w:p w:rsidR="00D54215" w:rsidRDefault="00E83DD9" w:rsidP="00D54215">
      <w:pPr>
        <w:ind w:firstLine="720"/>
      </w:pPr>
      <w:r>
        <w:t>18</w:t>
      </w:r>
      <w:r w:rsidR="00D54215">
        <w:t xml:space="preserve">. In September 2011, Ms. Correia worked 20 shifts, 10 as a supervisor, </w:t>
      </w:r>
      <w:r w:rsidR="00D54215" w:rsidRPr="00D54215">
        <w:t>10</w:t>
      </w:r>
      <w:r w:rsidR="00D54215">
        <w:t xml:space="preserve"> as a charge nurse. She spent </w:t>
      </w:r>
      <w:r w:rsidR="00D54215" w:rsidRPr="00D54215">
        <w:t>5</w:t>
      </w:r>
      <w:r w:rsidR="00D54215">
        <w:t>0</w:t>
      </w:r>
      <w:r w:rsidR="00D54215" w:rsidRPr="00D54215">
        <w:t>%</w:t>
      </w:r>
      <w:r w:rsidR="00D54215">
        <w:t xml:space="preserve"> of her time caring for mentally ill patients. (Ex. 16.)</w:t>
      </w:r>
    </w:p>
    <w:p w:rsidR="00D54215" w:rsidRDefault="00E83DD9" w:rsidP="00D54215">
      <w:pPr>
        <w:ind w:firstLine="720"/>
      </w:pPr>
      <w:r>
        <w:t>19</w:t>
      </w:r>
      <w:r w:rsidR="00D54215">
        <w:t xml:space="preserve">. In October 2011, Ms. Correia worked 20 shifts, 10 as a supervisor, </w:t>
      </w:r>
      <w:r w:rsidR="00D54215" w:rsidRPr="00D54215">
        <w:t>10</w:t>
      </w:r>
      <w:r w:rsidR="00D54215">
        <w:t xml:space="preserve"> as a charge nurse. She spent </w:t>
      </w:r>
      <w:r w:rsidR="00D54215" w:rsidRPr="00D54215">
        <w:t>5</w:t>
      </w:r>
      <w:r w:rsidR="00D54215">
        <w:t>0</w:t>
      </w:r>
      <w:r w:rsidR="00D54215" w:rsidRPr="00D54215">
        <w:t>%</w:t>
      </w:r>
      <w:r w:rsidR="00D54215">
        <w:t xml:space="preserve"> of her time caring for mentally ill patients. (Ex. 16.)</w:t>
      </w:r>
    </w:p>
    <w:p w:rsidR="00D54215" w:rsidRDefault="00E83DD9" w:rsidP="00D54215">
      <w:pPr>
        <w:ind w:firstLine="720"/>
      </w:pPr>
      <w:r>
        <w:t>20</w:t>
      </w:r>
      <w:r w:rsidR="00D54215">
        <w:t xml:space="preserve">. In November 2011, Ms. Correia worked 12 shifts, five as a supervisor, seven as a charge nurse. She spent </w:t>
      </w:r>
      <w:r w:rsidR="00D54215" w:rsidRPr="00D54215">
        <w:t>58%</w:t>
      </w:r>
      <w:r w:rsidR="00D54215">
        <w:t xml:space="preserve"> of her time caring for mentally ill patients. (Ex. 16.)</w:t>
      </w:r>
    </w:p>
    <w:p w:rsidR="00D54215" w:rsidRDefault="00E83DD9" w:rsidP="00D54215">
      <w:pPr>
        <w:ind w:firstLine="720"/>
      </w:pPr>
      <w:r>
        <w:t>21</w:t>
      </w:r>
      <w:r w:rsidR="00D54215">
        <w:t>. In December 2011, Ms. Correia worked eight shifts, three as a supervisor, five as a charge nurse. She spent 62% of her time caring for mentally ill patients. (Ex. 16.)</w:t>
      </w:r>
    </w:p>
    <w:p w:rsidR="00D54215" w:rsidRDefault="00E83DD9" w:rsidP="00D54215">
      <w:pPr>
        <w:ind w:firstLine="720"/>
      </w:pPr>
      <w:r>
        <w:t>22</w:t>
      </w:r>
      <w:r w:rsidR="00D54215">
        <w:t>. In January 2012, Ms. Correia worked 26 shifts, eight as a supervisor, 18 as a charge nurse. She spent 69% of her time caring for mentally ill patients. (Ex. 16.)</w:t>
      </w:r>
    </w:p>
    <w:p w:rsidR="00D54215" w:rsidRDefault="00E83DD9" w:rsidP="00D54215">
      <w:pPr>
        <w:ind w:firstLine="720"/>
      </w:pPr>
      <w:r>
        <w:t>23</w:t>
      </w:r>
      <w:r w:rsidR="00D54215">
        <w:t xml:space="preserve">. In February 2012, Ms. Correia worked 20 shifts, </w:t>
      </w:r>
      <w:r w:rsidR="00D54215" w:rsidRPr="00D54215">
        <w:t>seven</w:t>
      </w:r>
      <w:r w:rsidR="00D54215">
        <w:t xml:space="preserve"> as a supervisor, 13 as a charge nurse. She spent 65% of her time caring for mentally ill patients. (Ex. 16.)</w:t>
      </w:r>
    </w:p>
    <w:p w:rsidR="00D54215" w:rsidRDefault="00E83DD9" w:rsidP="00D54215">
      <w:pPr>
        <w:ind w:firstLine="720"/>
      </w:pPr>
      <w:r>
        <w:t>24</w:t>
      </w:r>
      <w:r w:rsidR="00D54215">
        <w:t xml:space="preserve">. In March 2012, Ms. Correia worked 20 shifts, eight as a supervisor, </w:t>
      </w:r>
      <w:r w:rsidR="00D54215" w:rsidRPr="00D54215">
        <w:t>1</w:t>
      </w:r>
      <w:r w:rsidR="00D54215">
        <w:t>2 as a charge nurse. She spent 60% of her time caring for mentally ill patients. (Ex. 16.)</w:t>
      </w:r>
    </w:p>
    <w:p w:rsidR="002C7564" w:rsidRDefault="002C7564" w:rsidP="00B07F11">
      <w:pPr>
        <w:widowControl w:val="0"/>
      </w:pPr>
      <w:r>
        <w:tab/>
      </w:r>
      <w:r w:rsidR="002F77DE">
        <w:t>25</w:t>
      </w:r>
      <w:r>
        <w:t>. On November 29, 2012</w:t>
      </w:r>
      <w:r w:rsidR="00E46B47">
        <w:t>, SB</w:t>
      </w:r>
      <w:r w:rsidR="00904EA0">
        <w:t>R</w:t>
      </w:r>
      <w:r w:rsidR="00E46B47">
        <w:t xml:space="preserve"> denied Ms. Correia’s request</w:t>
      </w:r>
      <w:r w:rsidR="00D54215">
        <w:t xml:space="preserve"> for reclassification to Group 2</w:t>
      </w:r>
      <w:r w:rsidR="00E46B47">
        <w:t>. On December 4, 2012, it informed her of the denial. (Ex. 5.)</w:t>
      </w:r>
    </w:p>
    <w:p w:rsidR="00904EA0" w:rsidRDefault="00904EA0" w:rsidP="00B07F11">
      <w:pPr>
        <w:widowControl w:val="0"/>
      </w:pPr>
      <w:r>
        <w:tab/>
      </w:r>
      <w:r w:rsidR="00E83DD9">
        <w:t>2</w:t>
      </w:r>
      <w:r w:rsidR="002F77DE">
        <w:t>6</w:t>
      </w:r>
      <w:r>
        <w:t xml:space="preserve">. </w:t>
      </w:r>
      <w:r w:rsidR="00B52516">
        <w:t xml:space="preserve">On December 10, 2012, Ms. Correia timely appealed. She did so with a letter addressed to SBR and mailed to DALA, which DALA received on Dec. 17, 2012. </w:t>
      </w:r>
      <w:r w:rsidR="000C5781">
        <w:t>(Ex. 24.)</w:t>
      </w:r>
    </w:p>
    <w:p w:rsidR="002F77DE" w:rsidRDefault="002F77DE">
      <w:pPr>
        <w:spacing w:line="240" w:lineRule="auto"/>
        <w:rPr>
          <w:rFonts w:cs="Times New Roman"/>
          <w:b/>
          <w:szCs w:val="24"/>
        </w:rPr>
      </w:pPr>
      <w:r>
        <w:rPr>
          <w:rFonts w:cs="Times New Roman"/>
          <w:b/>
          <w:szCs w:val="24"/>
        </w:rPr>
        <w:br w:type="page"/>
      </w:r>
    </w:p>
    <w:p w:rsidR="00790BE1" w:rsidRDefault="00790BE1" w:rsidP="00D54215">
      <w:pPr>
        <w:jc w:val="center"/>
        <w:rPr>
          <w:rFonts w:cs="Times New Roman"/>
          <w:b/>
          <w:szCs w:val="24"/>
        </w:rPr>
      </w:pPr>
      <w:r w:rsidRPr="00F90200">
        <w:rPr>
          <w:rFonts w:cs="Times New Roman"/>
          <w:b/>
          <w:szCs w:val="24"/>
        </w:rPr>
        <w:lastRenderedPageBreak/>
        <w:t>Discussion</w:t>
      </w:r>
    </w:p>
    <w:p w:rsidR="00792222" w:rsidRPr="00AB0215" w:rsidRDefault="00792222" w:rsidP="00792222">
      <w:pPr>
        <w:rPr>
          <w:rFonts w:cs="Times New Roman"/>
          <w:szCs w:val="24"/>
        </w:rPr>
      </w:pPr>
      <w:r w:rsidRPr="00AB0215">
        <w:rPr>
          <w:rFonts w:cs="Times New Roman"/>
          <w:szCs w:val="24"/>
        </w:rPr>
        <w:tab/>
        <w:t>Group 1 is for the majority of the Commonwealth</w:t>
      </w:r>
      <w:r>
        <w:rPr>
          <w:rFonts w:cs="Times New Roman"/>
          <w:szCs w:val="24"/>
        </w:rPr>
        <w:t>’</w:t>
      </w:r>
      <w:r w:rsidRPr="00AB0215">
        <w:rPr>
          <w:rFonts w:cs="Times New Roman"/>
          <w:szCs w:val="24"/>
        </w:rPr>
        <w:t>s employees. G.L. c. 32, § 3(2)(g). Group 2 is a more favorable category</w:t>
      </w:r>
      <w:r>
        <w:rPr>
          <w:rFonts w:cs="Times New Roman"/>
          <w:szCs w:val="24"/>
        </w:rPr>
        <w:t>,</w:t>
      </w:r>
      <w:r w:rsidRPr="00AB0215">
        <w:rPr>
          <w:rFonts w:cs="Times New Roman"/>
          <w:szCs w:val="24"/>
        </w:rPr>
        <w:t xml:space="preserve"> once an employee retires</w:t>
      </w:r>
      <w:r>
        <w:rPr>
          <w:rFonts w:cs="Times New Roman"/>
          <w:szCs w:val="24"/>
        </w:rPr>
        <w:t>,</w:t>
      </w:r>
      <w:r w:rsidRPr="00AB0215">
        <w:rPr>
          <w:rFonts w:cs="Times New Roman"/>
          <w:szCs w:val="24"/>
        </w:rPr>
        <w:t xml:space="preserve"> and is for employees, among others, </w:t>
      </w:r>
      <w:r>
        <w:rPr>
          <w:rFonts w:cs="Times New Roman"/>
          <w:szCs w:val="24"/>
        </w:rPr>
        <w:t>“</w:t>
      </w:r>
      <w:r w:rsidRPr="00AB0215">
        <w:rPr>
          <w:rFonts w:cs="Times New Roman"/>
          <w:szCs w:val="24"/>
        </w:rPr>
        <w:t>whose regular and major duties require them to have the care, custody, instruction or other supervision of</w:t>
      </w:r>
      <w:r w:rsidRPr="00792222">
        <w:rPr>
          <w:rFonts w:cs="Times New Roman"/>
          <w:szCs w:val="24"/>
        </w:rPr>
        <w:t>…</w:t>
      </w:r>
      <w:r w:rsidRPr="00792222">
        <w:rPr>
          <w:rFonts w:cs="Times New Roman"/>
          <w:color w:val="333333"/>
          <w:szCs w:val="24"/>
        </w:rPr>
        <w:t>persons who are mentally ill</w:t>
      </w:r>
      <w:r w:rsidRPr="00792222">
        <w:rPr>
          <w:rFonts w:cs="Times New Roman"/>
          <w:szCs w:val="24"/>
        </w:rPr>
        <w:t>.” G.L. c. 32, § 3(2)(g).</w:t>
      </w:r>
      <w:r w:rsidRPr="00AB0215">
        <w:rPr>
          <w:rFonts w:cs="Times New Roman"/>
          <w:szCs w:val="24"/>
        </w:rPr>
        <w:t xml:space="preserve"> </w:t>
      </w:r>
    </w:p>
    <w:p w:rsidR="00790BE1" w:rsidRDefault="00790BE1" w:rsidP="001532CF">
      <w:pPr>
        <w:spacing w:line="240" w:lineRule="auto"/>
        <w:ind w:left="720" w:right="720"/>
        <w:rPr>
          <w:rFonts w:cs="Times New Roman"/>
          <w:bCs/>
          <w:color w:val="000000"/>
          <w:szCs w:val="24"/>
        </w:rPr>
      </w:pPr>
      <w:r>
        <w:rPr>
          <w:rFonts w:cs="Times New Roman"/>
          <w:szCs w:val="24"/>
        </w:rPr>
        <w:tab/>
      </w:r>
      <w:r w:rsidR="001532CF">
        <w:rPr>
          <w:rFonts w:cs="Times New Roman"/>
          <w:szCs w:val="24"/>
        </w:rPr>
        <w:t>The “</w:t>
      </w:r>
      <w:r w:rsidR="001532CF" w:rsidRPr="00CF4506">
        <w:rPr>
          <w:rFonts w:cs="Times New Roman"/>
          <w:szCs w:val="24"/>
        </w:rPr>
        <w:t>regular and major duties</w:t>
      </w:r>
      <w:r w:rsidR="001532CF">
        <w:rPr>
          <w:rFonts w:cs="Times New Roman"/>
          <w:szCs w:val="24"/>
        </w:rPr>
        <w:t>” requirement in G.L. c. 32, § 3(</w:t>
      </w:r>
      <w:r w:rsidR="001532CF" w:rsidRPr="004702EA">
        <w:rPr>
          <w:rFonts w:cs="Times New Roman"/>
          <w:szCs w:val="24"/>
        </w:rPr>
        <w:t>2</w:t>
      </w:r>
      <w:r w:rsidR="001532CF">
        <w:rPr>
          <w:rFonts w:cs="Times New Roman"/>
          <w:szCs w:val="24"/>
        </w:rPr>
        <w:t xml:space="preserve">)(g) has come to mean that an employee must spend more than half of his or her time engaged in those duties. </w:t>
      </w:r>
    </w:p>
    <w:p w:rsidR="001532CF" w:rsidRDefault="001532CF" w:rsidP="001532CF">
      <w:pPr>
        <w:spacing w:line="240" w:lineRule="auto"/>
        <w:ind w:left="720" w:right="720"/>
        <w:rPr>
          <w:rFonts w:cs="Times New Roman"/>
          <w:bCs/>
          <w:color w:val="000000"/>
          <w:szCs w:val="24"/>
        </w:rPr>
      </w:pPr>
    </w:p>
    <w:p w:rsidR="001532CF" w:rsidRPr="00910D87" w:rsidRDefault="001532CF" w:rsidP="001532CF">
      <w:pPr>
        <w:rPr>
          <w:rFonts w:cs="Times New Roman"/>
          <w:lang w:val="en"/>
        </w:rPr>
      </w:pPr>
      <w:r w:rsidRPr="00910D87">
        <w:rPr>
          <w:rFonts w:cs="Times New Roman"/>
          <w:i/>
          <w:lang w:val="en"/>
        </w:rPr>
        <w:t>Peter Forbes v. State Board of Retirement</w:t>
      </w:r>
      <w:r w:rsidRPr="00910D87">
        <w:rPr>
          <w:rFonts w:cs="Times New Roman"/>
          <w:lang w:val="en"/>
        </w:rPr>
        <w:t>, CR-13-146 (DALA 2016)</w:t>
      </w:r>
      <w:r w:rsidR="00792222">
        <w:rPr>
          <w:rFonts w:cs="Times New Roman"/>
          <w:lang w:val="en"/>
        </w:rPr>
        <w:t>(citations omitted)</w:t>
      </w:r>
      <w:r w:rsidRPr="00910D87">
        <w:rPr>
          <w:rFonts w:cs="Times New Roman"/>
          <w:lang w:val="en"/>
        </w:rPr>
        <w:t>.</w:t>
      </w:r>
      <w:r w:rsidR="00792222">
        <w:rPr>
          <w:rFonts w:cs="Times New Roman"/>
          <w:lang w:val="en"/>
        </w:rPr>
        <w:t xml:space="preserve"> The period that matters is an employee’s </w:t>
      </w:r>
      <w:r w:rsidR="00792222">
        <w:rPr>
          <w:rFonts w:eastAsia="Times New Roman" w:cs="Times New Roman"/>
          <w:szCs w:val="24"/>
          <w:lang w:val="en"/>
        </w:rPr>
        <w:t xml:space="preserve">last year of his employment. </w:t>
      </w:r>
      <w:r w:rsidR="00792222" w:rsidRPr="00944295">
        <w:rPr>
          <w:rFonts w:eastAsia="Times New Roman" w:cs="Times New Roman"/>
          <w:i/>
          <w:szCs w:val="24"/>
          <w:lang w:val="en"/>
        </w:rPr>
        <w:t>See e.g.</w:t>
      </w:r>
      <w:r w:rsidR="00792222">
        <w:rPr>
          <w:rFonts w:eastAsia="Times New Roman" w:cs="Times New Roman"/>
          <w:szCs w:val="24"/>
          <w:lang w:val="en"/>
        </w:rPr>
        <w:t xml:space="preserve">, </w:t>
      </w:r>
      <w:r w:rsidR="00792222" w:rsidRPr="00E7743E">
        <w:rPr>
          <w:rFonts w:eastAsia="Times New Roman" w:cs="Times New Roman"/>
          <w:bCs/>
          <w:i/>
          <w:szCs w:val="24"/>
          <w:lang w:val="en"/>
        </w:rPr>
        <w:t>Ernestine Gibbs v. State Board of Retirement</w:t>
      </w:r>
      <w:r w:rsidR="00792222" w:rsidRPr="00CB79E2">
        <w:rPr>
          <w:rFonts w:eastAsia="Times New Roman" w:cs="Times New Roman"/>
          <w:bCs/>
          <w:szCs w:val="24"/>
          <w:lang w:val="en"/>
        </w:rPr>
        <w:t xml:space="preserve">, </w:t>
      </w:r>
      <w:r w:rsidR="00792222" w:rsidRPr="00E7743E">
        <w:rPr>
          <w:rFonts w:eastAsia="Times New Roman" w:cs="Times New Roman"/>
          <w:bCs/>
          <w:szCs w:val="24"/>
          <w:lang w:val="en"/>
        </w:rPr>
        <w:t>CR-11-754</w:t>
      </w:r>
      <w:r w:rsidR="00792222" w:rsidRPr="00E7743E">
        <w:rPr>
          <w:rFonts w:eastAsia="Times New Roman" w:cs="Times New Roman"/>
          <w:szCs w:val="24"/>
          <w:lang w:val="en"/>
        </w:rPr>
        <w:t xml:space="preserve"> </w:t>
      </w:r>
      <w:r w:rsidR="00792222">
        <w:rPr>
          <w:rFonts w:eastAsia="Times New Roman" w:cs="Times New Roman"/>
          <w:bCs/>
          <w:szCs w:val="24"/>
          <w:lang w:val="en"/>
        </w:rPr>
        <w:t>(DALA</w:t>
      </w:r>
      <w:r w:rsidR="00792222" w:rsidRPr="00CB79E2">
        <w:rPr>
          <w:rFonts w:eastAsia="Times New Roman" w:cs="Times New Roman"/>
          <w:bCs/>
          <w:szCs w:val="24"/>
          <w:lang w:val="en"/>
        </w:rPr>
        <w:t xml:space="preserve"> 2016</w:t>
      </w:r>
      <w:r w:rsidR="00792222">
        <w:rPr>
          <w:rFonts w:eastAsia="Times New Roman" w:cs="Times New Roman"/>
          <w:bCs/>
          <w:szCs w:val="24"/>
          <w:lang w:val="en"/>
        </w:rPr>
        <w:t>).</w:t>
      </w:r>
    </w:p>
    <w:p w:rsidR="001532CF" w:rsidRPr="00070706" w:rsidRDefault="00792222" w:rsidP="001532CF">
      <w:pPr>
        <w:ind w:right="720"/>
        <w:rPr>
          <w:rFonts w:cs="Times New Roman"/>
          <w:szCs w:val="24"/>
        </w:rPr>
      </w:pPr>
      <w:r>
        <w:rPr>
          <w:rFonts w:cs="Times New Roman"/>
          <w:szCs w:val="24"/>
        </w:rPr>
        <w:tab/>
        <w:t xml:space="preserve">In three of Ms. Correia’s last 12 months, she cared for mentally ill persons </w:t>
      </w:r>
      <w:r w:rsidR="007A5628">
        <w:rPr>
          <w:rFonts w:cs="Times New Roman"/>
          <w:szCs w:val="24"/>
        </w:rPr>
        <w:t xml:space="preserve">significantly </w:t>
      </w:r>
      <w:r>
        <w:rPr>
          <w:rFonts w:cs="Times New Roman"/>
          <w:szCs w:val="24"/>
        </w:rPr>
        <w:t xml:space="preserve">more than 50% of the time. </w:t>
      </w:r>
      <w:r w:rsidR="00E83DD9">
        <w:rPr>
          <w:rFonts w:cs="Times New Roman"/>
          <w:szCs w:val="24"/>
        </w:rPr>
        <w:t>In four of the last nine months of 2011, Ms. Correia cared for mentally ill persons more than 50% of the time. From Ms. Correia’s grid (Ex. 16), and her testimony and Ms. Davis’s testimony that she generally cared for patients more than 50% of the time, I conclude that in the last 12 months of her employment, Ms. Correia cared for mentally ill persons more than 50% of the time. Having done so, she is entitled to Group 2 classification. SBR’s decision to deny her Group 2 classification is reversed.</w:t>
      </w:r>
    </w:p>
    <w:p w:rsidR="002F77DE" w:rsidRDefault="002F77DE">
      <w:pPr>
        <w:spacing w:line="240" w:lineRule="auto"/>
        <w:rPr>
          <w:rFonts w:cs="Times New Roman"/>
          <w:b/>
          <w:szCs w:val="24"/>
        </w:rPr>
      </w:pPr>
      <w:r>
        <w:rPr>
          <w:b/>
        </w:rPr>
        <w:br w:type="page"/>
      </w:r>
    </w:p>
    <w:p w:rsidR="00790BE1" w:rsidRDefault="00790BE1" w:rsidP="001532CF">
      <w:pPr>
        <w:pStyle w:val="Default"/>
        <w:spacing w:line="480" w:lineRule="auto"/>
        <w:jc w:val="center"/>
        <w:rPr>
          <w:b/>
          <w:color w:val="auto"/>
        </w:rPr>
      </w:pPr>
      <w:r w:rsidRPr="00DB6139">
        <w:rPr>
          <w:b/>
          <w:color w:val="auto"/>
        </w:rPr>
        <w:lastRenderedPageBreak/>
        <w:t>Conclusion</w:t>
      </w:r>
      <w:r>
        <w:rPr>
          <w:b/>
          <w:color w:val="auto"/>
        </w:rPr>
        <w:t xml:space="preserve"> and Order</w:t>
      </w:r>
    </w:p>
    <w:p w:rsidR="00790BE1" w:rsidRPr="00070706" w:rsidRDefault="00790BE1" w:rsidP="00790BE1">
      <w:pPr>
        <w:pStyle w:val="Default"/>
        <w:spacing w:line="480" w:lineRule="auto"/>
        <w:rPr>
          <w:color w:val="auto"/>
        </w:rPr>
      </w:pPr>
      <w:r>
        <w:rPr>
          <w:color w:val="auto"/>
        </w:rPr>
        <w:tab/>
      </w:r>
      <w:r w:rsidR="007A5628">
        <w:rPr>
          <w:color w:val="auto"/>
        </w:rPr>
        <w:t>In the last year of Ms. Correia’s employment, she cared for mentally ill persons more than 50% of the time. She deserves classification in Group 2. SBR’s decision to deny her application to be reclassified to Group 2 is reversed.</w:t>
      </w:r>
    </w:p>
    <w:p w:rsidR="00790BE1" w:rsidRPr="00DB613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ab/>
      </w:r>
      <w:r w:rsidRPr="00DB6139">
        <w:t xml:space="preserve"> </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__________________________________</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Kenneth Bresler</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2F77DE">
        <w:t>May 25, 2018</w:t>
      </w:r>
    </w:p>
    <w:p w:rsidR="00790BE1" w:rsidRPr="00E004B9" w:rsidRDefault="00790BE1" w:rsidP="00790B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790BE1" w:rsidRPr="00E004B9" w:rsidRDefault="00790BE1" w:rsidP="00790BE1">
      <w:pPr>
        <w:ind w:firstLine="720"/>
      </w:pPr>
    </w:p>
    <w:p w:rsidR="00343DEA" w:rsidRDefault="00343DEA" w:rsidP="00A61B7F">
      <w:pPr>
        <w:widowControl w:val="0"/>
      </w:pPr>
    </w:p>
    <w:sectPr w:rsidR="00343DEA" w:rsidSect="00FB003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EFB" w:rsidRDefault="00683EFB">
      <w:pPr>
        <w:spacing w:line="240" w:lineRule="auto"/>
      </w:pPr>
      <w:r>
        <w:separator/>
      </w:r>
    </w:p>
  </w:endnote>
  <w:endnote w:type="continuationSeparator" w:id="0">
    <w:p w:rsidR="00683EFB" w:rsidRDefault="00683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86270"/>
      <w:docPartObj>
        <w:docPartGallery w:val="Page Numbers (Bottom of Page)"/>
        <w:docPartUnique/>
      </w:docPartObj>
    </w:sdtPr>
    <w:sdtEndPr>
      <w:rPr>
        <w:noProof/>
      </w:rPr>
    </w:sdtEndPr>
    <w:sdtContent>
      <w:p w:rsidR="002A1DB8" w:rsidRDefault="00790BE1">
        <w:pPr>
          <w:pStyle w:val="Footer"/>
          <w:jc w:val="center"/>
        </w:pPr>
        <w:r>
          <w:fldChar w:fldCharType="begin"/>
        </w:r>
        <w:r>
          <w:instrText xml:space="preserve"> PAGE   \* MERGEFORMAT </w:instrText>
        </w:r>
        <w:r>
          <w:fldChar w:fldCharType="separate"/>
        </w:r>
        <w:r w:rsidR="009E79FF">
          <w:rPr>
            <w:noProof/>
          </w:rPr>
          <w:t>2</w:t>
        </w:r>
        <w:r>
          <w:rPr>
            <w:noProof/>
          </w:rPr>
          <w:fldChar w:fldCharType="end"/>
        </w:r>
      </w:p>
    </w:sdtContent>
  </w:sdt>
  <w:p w:rsidR="004721C1" w:rsidRDefault="00683E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1C1" w:rsidRDefault="00683EFB">
    <w:pPr>
      <w:pStyle w:val="Footer"/>
      <w:jc w:val="center"/>
    </w:pPr>
  </w:p>
  <w:p w:rsidR="004721C1" w:rsidRDefault="00683EFB"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EFB" w:rsidRDefault="00683EFB">
      <w:pPr>
        <w:spacing w:line="240" w:lineRule="auto"/>
      </w:pPr>
      <w:r>
        <w:separator/>
      </w:r>
    </w:p>
  </w:footnote>
  <w:footnote w:type="continuationSeparator" w:id="0">
    <w:p w:rsidR="00683EFB" w:rsidRDefault="00683EFB">
      <w:pPr>
        <w:spacing w:line="240" w:lineRule="auto"/>
      </w:pPr>
      <w:r>
        <w:continuationSeparator/>
      </w:r>
    </w:p>
  </w:footnote>
  <w:footnote w:id="1">
    <w:p w:rsidR="0037420D" w:rsidRDefault="0037420D" w:rsidP="00947257">
      <w:pPr>
        <w:pStyle w:val="FootnoteText"/>
        <w:spacing w:after="120"/>
        <w:rPr>
          <w:sz w:val="24"/>
          <w:szCs w:val="24"/>
        </w:rPr>
      </w:pPr>
      <w:r w:rsidRPr="00667BC0">
        <w:rPr>
          <w:rStyle w:val="FootnoteReference"/>
          <w:sz w:val="24"/>
          <w:szCs w:val="24"/>
        </w:rPr>
        <w:footnoteRef/>
      </w:r>
      <w:r w:rsidRPr="00667BC0">
        <w:rPr>
          <w:sz w:val="24"/>
          <w:szCs w:val="24"/>
        </w:rPr>
        <w:t xml:space="preserve"> </w:t>
      </w:r>
      <w:r w:rsidR="00667BC0">
        <w:rPr>
          <w:sz w:val="24"/>
          <w:szCs w:val="24"/>
        </w:rPr>
        <w:t xml:space="preserve">When I initially began drafting this </w:t>
      </w:r>
      <w:r w:rsidR="00667BC0" w:rsidRPr="00E83DD9">
        <w:rPr>
          <w:sz w:val="24"/>
          <w:szCs w:val="24"/>
        </w:rPr>
        <w:t>decision, I noticed that Exhibit 16 did not cover all of Ms. Correia’s last 12 months of employment. Because group classification must be based on the last 12 months of employment</w:t>
      </w:r>
      <w:r w:rsidR="00D11D19" w:rsidRPr="00E83DD9">
        <w:rPr>
          <w:sz w:val="24"/>
          <w:szCs w:val="24"/>
        </w:rPr>
        <w:t xml:space="preserve">, </w:t>
      </w:r>
      <w:r w:rsidR="00E83DD9" w:rsidRPr="00E83DD9">
        <w:rPr>
          <w:i/>
          <w:sz w:val="24"/>
          <w:szCs w:val="24"/>
        </w:rPr>
        <w:t>e.g,</w:t>
      </w:r>
      <w:r w:rsidR="00E83DD9">
        <w:rPr>
          <w:sz w:val="24"/>
          <w:szCs w:val="24"/>
        </w:rPr>
        <w:t xml:space="preserve"> </w:t>
      </w:r>
      <w:r w:rsidR="00E83DD9" w:rsidRPr="00E83DD9">
        <w:rPr>
          <w:rFonts w:cs="Times New Roman"/>
          <w:i/>
          <w:sz w:val="24"/>
          <w:szCs w:val="24"/>
          <w:lang w:val="en"/>
        </w:rPr>
        <w:t>Peter Forbes v. State Board of Retirement</w:t>
      </w:r>
      <w:r w:rsidR="00E83DD9" w:rsidRPr="00E83DD9">
        <w:rPr>
          <w:rFonts w:cs="Times New Roman"/>
          <w:sz w:val="24"/>
          <w:szCs w:val="24"/>
          <w:lang w:val="en"/>
        </w:rPr>
        <w:t xml:space="preserve">, CR-13-146 (DALA 2016), </w:t>
      </w:r>
      <w:r w:rsidR="00D11D19" w:rsidRPr="00E83DD9">
        <w:rPr>
          <w:sz w:val="24"/>
          <w:szCs w:val="24"/>
        </w:rPr>
        <w:t xml:space="preserve">I </w:t>
      </w:r>
      <w:r w:rsidR="002870E8" w:rsidRPr="00E83DD9">
        <w:rPr>
          <w:sz w:val="24"/>
          <w:szCs w:val="24"/>
        </w:rPr>
        <w:t xml:space="preserve">reopened the record and </w:t>
      </w:r>
      <w:r w:rsidR="00D11D19" w:rsidRPr="00E83DD9">
        <w:rPr>
          <w:sz w:val="24"/>
          <w:szCs w:val="24"/>
        </w:rPr>
        <w:t>gave Ms. Correia the opportunity</w:t>
      </w:r>
      <w:r w:rsidR="00D11D19">
        <w:rPr>
          <w:sz w:val="24"/>
          <w:szCs w:val="24"/>
        </w:rPr>
        <w:t xml:space="preserve"> to review the shift records and redo Exhibit 16. </w:t>
      </w:r>
      <w:r w:rsidR="002870E8">
        <w:rPr>
          <w:sz w:val="24"/>
          <w:szCs w:val="24"/>
        </w:rPr>
        <w:t>At the second day of hearing, Ms. Davis testified that the shift records summarized by Exhibit 16</w:t>
      </w:r>
      <w:r w:rsidR="00360415">
        <w:rPr>
          <w:sz w:val="24"/>
          <w:szCs w:val="24"/>
        </w:rPr>
        <w:t xml:space="preserve"> are no longer available, and Exhibit 16 cannot be revised, but that Ms. Correia generally worked more than half of her time caring for mentally ill patients.</w:t>
      </w:r>
    </w:p>
    <w:p w:rsidR="00360415" w:rsidRPr="00667BC0" w:rsidRDefault="00360415" w:rsidP="00947257">
      <w:pPr>
        <w:pStyle w:val="FootnoteText"/>
        <w:spacing w:after="120"/>
        <w:rPr>
          <w:sz w:val="24"/>
          <w:szCs w:val="24"/>
        </w:rPr>
      </w:pPr>
      <w:r>
        <w:rPr>
          <w:sz w:val="24"/>
          <w:szCs w:val="24"/>
        </w:rPr>
        <w:tab/>
      </w:r>
      <w:r w:rsidR="00947257">
        <w:rPr>
          <w:sz w:val="24"/>
          <w:szCs w:val="24"/>
        </w:rPr>
        <w:t xml:space="preserve">My reopening the record is not a procedural precedent. </w:t>
      </w:r>
      <w:r>
        <w:rPr>
          <w:sz w:val="24"/>
          <w:szCs w:val="24"/>
        </w:rPr>
        <w:t>I do not commit myself or the Division of Administrative Law Appeals to reopening the record</w:t>
      </w:r>
      <w:r w:rsidR="00947257">
        <w:rPr>
          <w:sz w:val="24"/>
          <w:szCs w:val="24"/>
        </w:rPr>
        <w:t xml:space="preserve"> when I or a fellow Administrative Magistrate notices a deficiency in a petitioner’s appeal.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BE1"/>
    <w:rsid w:val="0001236F"/>
    <w:rsid w:val="000508E7"/>
    <w:rsid w:val="000540CA"/>
    <w:rsid w:val="000C5781"/>
    <w:rsid w:val="000F3CE1"/>
    <w:rsid w:val="00112DCC"/>
    <w:rsid w:val="00123C26"/>
    <w:rsid w:val="001366FD"/>
    <w:rsid w:val="001532CF"/>
    <w:rsid w:val="001A1250"/>
    <w:rsid w:val="001D3DFD"/>
    <w:rsid w:val="00207D03"/>
    <w:rsid w:val="00254A48"/>
    <w:rsid w:val="00266914"/>
    <w:rsid w:val="002870E8"/>
    <w:rsid w:val="002C7564"/>
    <w:rsid w:val="002C79FD"/>
    <w:rsid w:val="002D0D17"/>
    <w:rsid w:val="002E72C7"/>
    <w:rsid w:val="002F77DE"/>
    <w:rsid w:val="00343DEA"/>
    <w:rsid w:val="00345340"/>
    <w:rsid w:val="00360415"/>
    <w:rsid w:val="0037420D"/>
    <w:rsid w:val="00374D94"/>
    <w:rsid w:val="003D6F5D"/>
    <w:rsid w:val="004073E1"/>
    <w:rsid w:val="00472998"/>
    <w:rsid w:val="004D1994"/>
    <w:rsid w:val="00534924"/>
    <w:rsid w:val="00554A2E"/>
    <w:rsid w:val="0055620F"/>
    <w:rsid w:val="00561A55"/>
    <w:rsid w:val="00591B3E"/>
    <w:rsid w:val="00596437"/>
    <w:rsid w:val="005D2CA6"/>
    <w:rsid w:val="005E2AB7"/>
    <w:rsid w:val="00667BC0"/>
    <w:rsid w:val="0067726A"/>
    <w:rsid w:val="00683EFB"/>
    <w:rsid w:val="006D29E1"/>
    <w:rsid w:val="006D37AE"/>
    <w:rsid w:val="006F3192"/>
    <w:rsid w:val="0072146D"/>
    <w:rsid w:val="00735078"/>
    <w:rsid w:val="007378C3"/>
    <w:rsid w:val="00790BE1"/>
    <w:rsid w:val="00792222"/>
    <w:rsid w:val="007933F4"/>
    <w:rsid w:val="00793E71"/>
    <w:rsid w:val="007A5628"/>
    <w:rsid w:val="007F5E81"/>
    <w:rsid w:val="00817EC2"/>
    <w:rsid w:val="008A52DE"/>
    <w:rsid w:val="008D3FC8"/>
    <w:rsid w:val="008E4CA3"/>
    <w:rsid w:val="00904EA0"/>
    <w:rsid w:val="00947257"/>
    <w:rsid w:val="009C5BDF"/>
    <w:rsid w:val="009D1E21"/>
    <w:rsid w:val="009E79FF"/>
    <w:rsid w:val="009F6151"/>
    <w:rsid w:val="00A05073"/>
    <w:rsid w:val="00A52F18"/>
    <w:rsid w:val="00A61B7F"/>
    <w:rsid w:val="00A87767"/>
    <w:rsid w:val="00A96545"/>
    <w:rsid w:val="00A97064"/>
    <w:rsid w:val="00AE3BCE"/>
    <w:rsid w:val="00B050B8"/>
    <w:rsid w:val="00B07F11"/>
    <w:rsid w:val="00B52516"/>
    <w:rsid w:val="00BB3CF6"/>
    <w:rsid w:val="00BD7F37"/>
    <w:rsid w:val="00BF44F5"/>
    <w:rsid w:val="00C32170"/>
    <w:rsid w:val="00C43F31"/>
    <w:rsid w:val="00C6221D"/>
    <w:rsid w:val="00C922A5"/>
    <w:rsid w:val="00C97EA4"/>
    <w:rsid w:val="00CC123A"/>
    <w:rsid w:val="00CC539C"/>
    <w:rsid w:val="00CF5F28"/>
    <w:rsid w:val="00D027B9"/>
    <w:rsid w:val="00D11D19"/>
    <w:rsid w:val="00D506A5"/>
    <w:rsid w:val="00D54215"/>
    <w:rsid w:val="00E21F9E"/>
    <w:rsid w:val="00E322D7"/>
    <w:rsid w:val="00E46B47"/>
    <w:rsid w:val="00E50809"/>
    <w:rsid w:val="00E83DD9"/>
    <w:rsid w:val="00EB72BE"/>
    <w:rsid w:val="00EC5D20"/>
    <w:rsid w:val="00F94B66"/>
    <w:rsid w:val="00FA1D67"/>
    <w:rsid w:val="00FD16DD"/>
    <w:rsid w:val="00FE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Header">
    <w:name w:val="header"/>
    <w:basedOn w:val="Normal"/>
    <w:link w:val="HeaderChar"/>
    <w:uiPriority w:val="99"/>
    <w:unhideWhenUsed/>
    <w:rsid w:val="004073E1"/>
    <w:pPr>
      <w:tabs>
        <w:tab w:val="center" w:pos="4680"/>
        <w:tab w:val="right" w:pos="9360"/>
      </w:tabs>
      <w:spacing w:line="240" w:lineRule="auto"/>
    </w:pPr>
  </w:style>
  <w:style w:type="character" w:customStyle="1" w:styleId="HeaderChar">
    <w:name w:val="Header Char"/>
    <w:basedOn w:val="DefaultParagraphFont"/>
    <w:link w:val="Header"/>
    <w:uiPriority w:val="99"/>
    <w:rsid w:val="004073E1"/>
    <w:rPr>
      <w:rFonts w:ascii="Times New Roman" w:hAnsi="Times New Roman"/>
      <w:sz w:val="24"/>
    </w:rPr>
  </w:style>
  <w:style w:type="paragraph" w:styleId="FootnoteText">
    <w:name w:val="footnote text"/>
    <w:basedOn w:val="Normal"/>
    <w:link w:val="FootnoteTextChar"/>
    <w:uiPriority w:val="99"/>
    <w:semiHidden/>
    <w:unhideWhenUsed/>
    <w:rsid w:val="0037420D"/>
    <w:pPr>
      <w:spacing w:line="240" w:lineRule="auto"/>
    </w:pPr>
    <w:rPr>
      <w:sz w:val="20"/>
      <w:szCs w:val="20"/>
    </w:rPr>
  </w:style>
  <w:style w:type="character" w:customStyle="1" w:styleId="FootnoteTextChar">
    <w:name w:val="Footnote Text Char"/>
    <w:basedOn w:val="DefaultParagraphFont"/>
    <w:link w:val="FootnoteText"/>
    <w:uiPriority w:val="99"/>
    <w:semiHidden/>
    <w:rsid w:val="0037420D"/>
    <w:rPr>
      <w:rFonts w:ascii="Times New Roman" w:hAnsi="Times New Roman"/>
      <w:sz w:val="20"/>
      <w:szCs w:val="20"/>
    </w:rPr>
  </w:style>
  <w:style w:type="character" w:styleId="FootnoteReference">
    <w:name w:val="footnote reference"/>
    <w:basedOn w:val="DefaultParagraphFont"/>
    <w:uiPriority w:val="99"/>
    <w:semiHidden/>
    <w:unhideWhenUsed/>
    <w:rsid w:val="0037420D"/>
    <w:rPr>
      <w:vertAlign w:val="superscript"/>
    </w:rPr>
  </w:style>
  <w:style w:type="paragraph" w:styleId="BalloonText">
    <w:name w:val="Balloon Text"/>
    <w:basedOn w:val="Normal"/>
    <w:link w:val="BalloonTextChar"/>
    <w:uiPriority w:val="99"/>
    <w:semiHidden/>
    <w:unhideWhenUsed/>
    <w:rsid w:val="007A56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BE1"/>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BE1"/>
    <w:pPr>
      <w:autoSpaceDE w:val="0"/>
      <w:autoSpaceDN w:val="0"/>
      <w:adjustRightInd w:val="0"/>
    </w:pPr>
    <w:rPr>
      <w:rFonts w:ascii="Times New Roman" w:hAnsi="Times New Roman" w:cs="Times New Roman"/>
      <w:color w:val="000000"/>
      <w:sz w:val="24"/>
      <w:szCs w:val="24"/>
    </w:rPr>
  </w:style>
  <w:style w:type="paragraph" w:styleId="Footer">
    <w:name w:val="footer"/>
    <w:basedOn w:val="Normal"/>
    <w:link w:val="FooterChar"/>
    <w:uiPriority w:val="99"/>
    <w:unhideWhenUsed/>
    <w:rsid w:val="00790BE1"/>
    <w:pPr>
      <w:tabs>
        <w:tab w:val="center" w:pos="4680"/>
        <w:tab w:val="right" w:pos="9360"/>
      </w:tabs>
      <w:spacing w:line="240" w:lineRule="auto"/>
    </w:pPr>
  </w:style>
  <w:style w:type="character" w:customStyle="1" w:styleId="FooterChar">
    <w:name w:val="Footer Char"/>
    <w:basedOn w:val="DefaultParagraphFont"/>
    <w:link w:val="Footer"/>
    <w:uiPriority w:val="99"/>
    <w:rsid w:val="00790BE1"/>
    <w:rPr>
      <w:rFonts w:ascii="Times New Roman" w:hAnsi="Times New Roman"/>
      <w:sz w:val="24"/>
    </w:rPr>
  </w:style>
  <w:style w:type="paragraph" w:styleId="Header">
    <w:name w:val="header"/>
    <w:basedOn w:val="Normal"/>
    <w:link w:val="HeaderChar"/>
    <w:uiPriority w:val="99"/>
    <w:unhideWhenUsed/>
    <w:rsid w:val="004073E1"/>
    <w:pPr>
      <w:tabs>
        <w:tab w:val="center" w:pos="4680"/>
        <w:tab w:val="right" w:pos="9360"/>
      </w:tabs>
      <w:spacing w:line="240" w:lineRule="auto"/>
    </w:pPr>
  </w:style>
  <w:style w:type="character" w:customStyle="1" w:styleId="HeaderChar">
    <w:name w:val="Header Char"/>
    <w:basedOn w:val="DefaultParagraphFont"/>
    <w:link w:val="Header"/>
    <w:uiPriority w:val="99"/>
    <w:rsid w:val="004073E1"/>
    <w:rPr>
      <w:rFonts w:ascii="Times New Roman" w:hAnsi="Times New Roman"/>
      <w:sz w:val="24"/>
    </w:rPr>
  </w:style>
  <w:style w:type="paragraph" w:styleId="FootnoteText">
    <w:name w:val="footnote text"/>
    <w:basedOn w:val="Normal"/>
    <w:link w:val="FootnoteTextChar"/>
    <w:uiPriority w:val="99"/>
    <w:semiHidden/>
    <w:unhideWhenUsed/>
    <w:rsid w:val="0037420D"/>
    <w:pPr>
      <w:spacing w:line="240" w:lineRule="auto"/>
    </w:pPr>
    <w:rPr>
      <w:sz w:val="20"/>
      <w:szCs w:val="20"/>
    </w:rPr>
  </w:style>
  <w:style w:type="character" w:customStyle="1" w:styleId="FootnoteTextChar">
    <w:name w:val="Footnote Text Char"/>
    <w:basedOn w:val="DefaultParagraphFont"/>
    <w:link w:val="FootnoteText"/>
    <w:uiPriority w:val="99"/>
    <w:semiHidden/>
    <w:rsid w:val="0037420D"/>
    <w:rPr>
      <w:rFonts w:ascii="Times New Roman" w:hAnsi="Times New Roman"/>
      <w:sz w:val="20"/>
      <w:szCs w:val="20"/>
    </w:rPr>
  </w:style>
  <w:style w:type="character" w:styleId="FootnoteReference">
    <w:name w:val="footnote reference"/>
    <w:basedOn w:val="DefaultParagraphFont"/>
    <w:uiPriority w:val="99"/>
    <w:semiHidden/>
    <w:unhideWhenUsed/>
    <w:rsid w:val="0037420D"/>
    <w:rPr>
      <w:vertAlign w:val="superscript"/>
    </w:rPr>
  </w:style>
  <w:style w:type="paragraph" w:styleId="BalloonText">
    <w:name w:val="Balloon Text"/>
    <w:basedOn w:val="Normal"/>
    <w:link w:val="BalloonTextChar"/>
    <w:uiPriority w:val="99"/>
    <w:semiHidden/>
    <w:unhideWhenUsed/>
    <w:rsid w:val="007A56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1154</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2018-06-04T22:07:00Z</cp:lastPrinted>
  <dcterms:created xsi:type="dcterms:W3CDTF">2018-06-04T22:07:00Z</dcterms:created>
  <dcterms:modified xsi:type="dcterms:W3CDTF">2018-06-04T22:07:00Z</dcterms:modified>
</cp:coreProperties>
</file>