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56" w:rsidRPr="00DD499D" w:rsidRDefault="009D3EF2">
      <w:pPr>
        <w:spacing w:before="75"/>
        <w:ind w:left="841"/>
        <w:rPr>
          <w:b/>
          <w:sz w:val="32"/>
        </w:rPr>
      </w:pPr>
      <w:bookmarkStart w:id="0" w:name="VAWA_-_Overview_of_Direct_Billing"/>
      <w:bookmarkEnd w:id="0"/>
      <w:r w:rsidRPr="00DD499D">
        <w:rPr>
          <w:b/>
          <w:sz w:val="32"/>
        </w:rPr>
        <w:t xml:space="preserve">Sexual Assault Forensic </w:t>
      </w:r>
      <w:r w:rsidR="00D6605A">
        <w:rPr>
          <w:b/>
          <w:sz w:val="32"/>
        </w:rPr>
        <w:t xml:space="preserve">Medical </w:t>
      </w:r>
      <w:r w:rsidRPr="00DD499D">
        <w:rPr>
          <w:b/>
          <w:sz w:val="32"/>
        </w:rPr>
        <w:t>Exams in Hospitals</w:t>
      </w:r>
    </w:p>
    <w:p w:rsidR="004A2156" w:rsidRPr="00DD499D" w:rsidRDefault="009D3EF2">
      <w:pPr>
        <w:spacing w:before="277" w:line="319" w:lineRule="exact"/>
        <w:ind w:left="100"/>
        <w:rPr>
          <w:b/>
          <w:i/>
          <w:sz w:val="28"/>
        </w:rPr>
      </w:pPr>
      <w:bookmarkStart w:id="1" w:name="_GoBack"/>
      <w:r w:rsidRPr="00DD499D">
        <w:rPr>
          <w:b/>
          <w:i/>
          <w:sz w:val="28"/>
        </w:rPr>
        <w:t>Overview of New Coverage and Billing Procedures:</w:t>
      </w:r>
    </w:p>
    <w:p w:rsidR="004A2156" w:rsidRPr="00DD499D" w:rsidRDefault="009D3EF2">
      <w:pPr>
        <w:pStyle w:val="ListParagraph"/>
        <w:numPr>
          <w:ilvl w:val="0"/>
          <w:numId w:val="6"/>
        </w:numPr>
        <w:tabs>
          <w:tab w:val="left" w:pos="460"/>
          <w:tab w:val="left" w:pos="461"/>
        </w:tabs>
        <w:ind w:right="536"/>
        <w:rPr>
          <w:sz w:val="24"/>
        </w:rPr>
      </w:pPr>
      <w:r w:rsidRPr="00DD499D">
        <w:rPr>
          <w:sz w:val="24"/>
        </w:rPr>
        <w:t>Under the federal Violence Against Women Act (VAWA), states are required to develop</w:t>
      </w:r>
      <w:r w:rsidRPr="00DD499D">
        <w:rPr>
          <w:spacing w:val="-14"/>
          <w:sz w:val="24"/>
        </w:rPr>
        <w:t xml:space="preserve"> </w:t>
      </w:r>
      <w:r w:rsidRPr="00DD499D">
        <w:rPr>
          <w:sz w:val="24"/>
        </w:rPr>
        <w:t xml:space="preserve">a process to cover </w:t>
      </w:r>
      <w:r w:rsidRPr="00DD499D">
        <w:rPr>
          <w:b/>
          <w:sz w:val="24"/>
        </w:rPr>
        <w:t>the full out-of-pocket costs for sexual assault forensic medical</w:t>
      </w:r>
      <w:r w:rsidRPr="00DD499D">
        <w:rPr>
          <w:b/>
          <w:spacing w:val="-13"/>
          <w:sz w:val="24"/>
        </w:rPr>
        <w:t xml:space="preserve"> </w:t>
      </w:r>
      <w:r w:rsidRPr="00DD499D">
        <w:rPr>
          <w:b/>
          <w:sz w:val="24"/>
        </w:rPr>
        <w:t>exams</w:t>
      </w:r>
      <w:r w:rsidRPr="00DD499D">
        <w:rPr>
          <w:sz w:val="24"/>
        </w:rPr>
        <w:t>.</w:t>
      </w:r>
    </w:p>
    <w:p w:rsidR="004A2156" w:rsidRPr="00DD499D" w:rsidRDefault="009D3EF2">
      <w:pPr>
        <w:pStyle w:val="ListParagraph"/>
        <w:numPr>
          <w:ilvl w:val="0"/>
          <w:numId w:val="6"/>
        </w:numPr>
        <w:tabs>
          <w:tab w:val="left" w:pos="460"/>
          <w:tab w:val="left" w:pos="461"/>
        </w:tabs>
        <w:ind w:right="117"/>
        <w:rPr>
          <w:b/>
          <w:sz w:val="24"/>
        </w:rPr>
      </w:pPr>
      <w:r w:rsidRPr="00DD499D">
        <w:rPr>
          <w:sz w:val="24"/>
        </w:rPr>
        <w:t xml:space="preserve">Specifically, the state must coordinate with healthcare providers to ensure that victims are aware that medical forensic examinations are available free of cost, and that </w:t>
      </w:r>
      <w:r w:rsidRPr="00DD499D">
        <w:rPr>
          <w:b/>
          <w:sz w:val="24"/>
        </w:rPr>
        <w:t>a patient will not be required to participate in any way in the criminal justice system or cooperate with</w:t>
      </w:r>
      <w:r w:rsidRPr="00DD499D">
        <w:rPr>
          <w:b/>
          <w:spacing w:val="-22"/>
          <w:sz w:val="24"/>
        </w:rPr>
        <w:t xml:space="preserve"> </w:t>
      </w:r>
      <w:r w:rsidRPr="00DD499D">
        <w:rPr>
          <w:b/>
          <w:sz w:val="24"/>
        </w:rPr>
        <w:t>law enforcement as a condition of receiving these</w:t>
      </w:r>
      <w:r w:rsidRPr="00DD499D">
        <w:rPr>
          <w:b/>
          <w:spacing w:val="-1"/>
          <w:sz w:val="24"/>
        </w:rPr>
        <w:t xml:space="preserve"> </w:t>
      </w:r>
      <w:r w:rsidRPr="00DD499D">
        <w:rPr>
          <w:b/>
          <w:sz w:val="24"/>
        </w:rPr>
        <w:t>services.</w:t>
      </w:r>
    </w:p>
    <w:p w:rsidR="004A2156" w:rsidRPr="00DD499D" w:rsidRDefault="009D3EF2">
      <w:pPr>
        <w:pStyle w:val="ListParagraph"/>
        <w:numPr>
          <w:ilvl w:val="0"/>
          <w:numId w:val="6"/>
        </w:numPr>
        <w:tabs>
          <w:tab w:val="left" w:pos="460"/>
          <w:tab w:val="left" w:pos="461"/>
        </w:tabs>
        <w:rPr>
          <w:sz w:val="24"/>
        </w:rPr>
      </w:pPr>
      <w:r w:rsidRPr="00DD499D">
        <w:rPr>
          <w:sz w:val="24"/>
        </w:rPr>
        <w:t xml:space="preserve">MHA, working closely with the Massachusetts Attorney General’s, the Executive Office of Health and Human Services, and the Executive Office of Public Safety and Security developed detailed guidance regarding the billing procedures for a sexual assault forensic </w:t>
      </w:r>
      <w:r w:rsidR="00D6605A">
        <w:rPr>
          <w:sz w:val="24"/>
        </w:rPr>
        <w:t xml:space="preserve">medical </w:t>
      </w:r>
      <w:r w:rsidRPr="00DD499D">
        <w:rPr>
          <w:sz w:val="24"/>
        </w:rPr>
        <w:t xml:space="preserve">exam </w:t>
      </w:r>
      <w:r w:rsidRPr="00DD499D">
        <w:rPr>
          <w:b/>
          <w:sz w:val="24"/>
        </w:rPr>
        <w:t>to ensure that a victim is not billed for any services provided within the emergency</w:t>
      </w:r>
      <w:r w:rsidRPr="00DD499D">
        <w:rPr>
          <w:b/>
          <w:spacing w:val="-13"/>
          <w:sz w:val="24"/>
        </w:rPr>
        <w:t xml:space="preserve"> </w:t>
      </w:r>
      <w:r w:rsidRPr="00DD499D">
        <w:rPr>
          <w:b/>
          <w:sz w:val="24"/>
        </w:rPr>
        <w:t>department</w:t>
      </w:r>
      <w:r w:rsidRPr="00DD499D">
        <w:rPr>
          <w:sz w:val="24"/>
        </w:rPr>
        <w:t>.</w:t>
      </w:r>
    </w:p>
    <w:bookmarkEnd w:id="1"/>
    <w:p w:rsidR="004A2156" w:rsidRPr="00DD499D" w:rsidRDefault="004A2156">
      <w:pPr>
        <w:spacing w:before="11"/>
        <w:rPr>
          <w:sz w:val="23"/>
        </w:rPr>
      </w:pPr>
    </w:p>
    <w:p w:rsidR="004A2156" w:rsidRPr="00DD499D" w:rsidRDefault="009D3EF2">
      <w:pPr>
        <w:pStyle w:val="Heading2"/>
        <w:ind w:right="1016"/>
        <w:rPr>
          <w:u w:val="none"/>
        </w:rPr>
      </w:pPr>
      <w:r w:rsidRPr="00DD499D">
        <w:rPr>
          <w:u w:val="none"/>
        </w:rPr>
        <w:t xml:space="preserve">It is the </w:t>
      </w:r>
      <w:r w:rsidRPr="00DD499D">
        <w:rPr>
          <w:u w:val="thick"/>
        </w:rPr>
        <w:t>expectation of the Massachusetts Attorney General and the</w:t>
      </w:r>
      <w:r w:rsidRPr="00DD499D">
        <w:rPr>
          <w:u w:val="none"/>
        </w:rPr>
        <w:t xml:space="preserve"> </w:t>
      </w:r>
      <w:r w:rsidRPr="00DD499D">
        <w:rPr>
          <w:u w:val="thick"/>
        </w:rPr>
        <w:t>Department of Public Health</w:t>
      </w:r>
      <w:r w:rsidRPr="00DD499D">
        <w:rPr>
          <w:u w:val="none"/>
        </w:rPr>
        <w:t xml:space="preserve"> that hospitals adopt the following policies:</w:t>
      </w:r>
    </w:p>
    <w:p w:rsidR="004A2156" w:rsidRPr="00DD499D" w:rsidRDefault="009D3EF2">
      <w:pPr>
        <w:pStyle w:val="ListParagraph"/>
        <w:numPr>
          <w:ilvl w:val="1"/>
          <w:numId w:val="6"/>
        </w:numPr>
        <w:tabs>
          <w:tab w:val="left" w:pos="1180"/>
          <w:tab w:val="left" w:pos="1181"/>
        </w:tabs>
        <w:ind w:right="365"/>
        <w:rPr>
          <w:sz w:val="24"/>
        </w:rPr>
      </w:pPr>
      <w:r w:rsidRPr="00DD499D">
        <w:rPr>
          <w:sz w:val="24"/>
        </w:rPr>
        <w:t>If the victim has insurance and is in agreement to have a claim submitted to their insurance, the hospital may submit the applicable costs of the forensic exam to the insurance carrier. However, if any portion of the costs is not covered by the</w:t>
      </w:r>
      <w:r w:rsidRPr="004A28C3">
        <w:rPr>
          <w:sz w:val="24"/>
        </w:rPr>
        <w:t xml:space="preserve"> </w:t>
      </w:r>
      <w:r w:rsidRPr="00DD499D">
        <w:rPr>
          <w:sz w:val="24"/>
        </w:rPr>
        <w:t>victim’s</w:t>
      </w:r>
    </w:p>
    <w:p w:rsidR="004A2156" w:rsidRPr="00EA440E" w:rsidRDefault="009D3EF2" w:rsidP="004A28C3">
      <w:pPr>
        <w:pStyle w:val="ListParagraph"/>
        <w:numPr>
          <w:ilvl w:val="1"/>
          <w:numId w:val="6"/>
        </w:numPr>
        <w:tabs>
          <w:tab w:val="left" w:pos="1180"/>
          <w:tab w:val="left" w:pos="1181"/>
        </w:tabs>
        <w:ind w:right="365"/>
      </w:pPr>
      <w:r w:rsidRPr="004A28C3">
        <w:rPr>
          <w:sz w:val="24"/>
        </w:rPr>
        <w:t xml:space="preserve">insurance (including the patient’s co-payments and/or deductibles), that amount should only be submitted to the </w:t>
      </w:r>
      <w:r w:rsidR="00D6605A" w:rsidRPr="004A28C3">
        <w:rPr>
          <w:sz w:val="24"/>
        </w:rPr>
        <w:t>Victim Compensation and Assistance Division</w:t>
      </w:r>
      <w:r w:rsidR="00D6605A">
        <w:rPr>
          <w:sz w:val="24"/>
        </w:rPr>
        <w:t xml:space="preserve"> (VCAD) within the Attorney General’s office</w:t>
      </w:r>
      <w:r w:rsidRPr="004A28C3">
        <w:rPr>
          <w:sz w:val="24"/>
        </w:rPr>
        <w:t>;</w:t>
      </w:r>
    </w:p>
    <w:p w:rsidR="004A2156" w:rsidRPr="00DD499D" w:rsidRDefault="004A2156">
      <w:pPr>
        <w:spacing w:before="5"/>
        <w:rPr>
          <w:sz w:val="23"/>
        </w:rPr>
      </w:pPr>
    </w:p>
    <w:p w:rsidR="004A2156" w:rsidRPr="00DD499D" w:rsidRDefault="009D3EF2">
      <w:pPr>
        <w:pStyle w:val="ListParagraph"/>
        <w:numPr>
          <w:ilvl w:val="1"/>
          <w:numId w:val="6"/>
        </w:numPr>
        <w:tabs>
          <w:tab w:val="left" w:pos="1180"/>
          <w:tab w:val="left" w:pos="1181"/>
        </w:tabs>
        <w:ind w:right="137"/>
        <w:rPr>
          <w:sz w:val="24"/>
        </w:rPr>
      </w:pPr>
      <w:r w:rsidRPr="00DD499D">
        <w:rPr>
          <w:sz w:val="24"/>
        </w:rPr>
        <w:t>If the victim indicates he/she does not want their insurance or the responsible party</w:t>
      </w:r>
      <w:r w:rsidRPr="00DD499D">
        <w:rPr>
          <w:spacing w:val="-17"/>
          <w:sz w:val="24"/>
        </w:rPr>
        <w:t xml:space="preserve"> </w:t>
      </w:r>
      <w:r w:rsidRPr="00DD499D">
        <w:rPr>
          <w:sz w:val="24"/>
        </w:rPr>
        <w:t>that is listed in the hospital billing system to be billed for any costs of the medical</w:t>
      </w:r>
      <w:r w:rsidRPr="00DD499D">
        <w:rPr>
          <w:spacing w:val="-9"/>
          <w:sz w:val="24"/>
        </w:rPr>
        <w:t xml:space="preserve"> </w:t>
      </w:r>
      <w:r w:rsidRPr="00DD499D">
        <w:rPr>
          <w:sz w:val="24"/>
        </w:rPr>
        <w:t>exam,</w:t>
      </w:r>
    </w:p>
    <w:p w:rsidR="004A2156" w:rsidRPr="00DD499D" w:rsidRDefault="009D3EF2">
      <w:pPr>
        <w:pStyle w:val="BodyText"/>
        <w:ind w:left="1180" w:right="209"/>
        <w:rPr>
          <w:rFonts w:ascii="Times New Roman" w:hAnsi="Times New Roman" w:cs="Times New Roman"/>
        </w:rPr>
      </w:pPr>
      <w:proofErr w:type="gramStart"/>
      <w:r w:rsidRPr="00DD499D">
        <w:rPr>
          <w:rFonts w:ascii="Times New Roman" w:hAnsi="Times New Roman" w:cs="Times New Roman"/>
        </w:rPr>
        <w:t>the</w:t>
      </w:r>
      <w:proofErr w:type="gramEnd"/>
      <w:r w:rsidRPr="00DD499D">
        <w:rPr>
          <w:rFonts w:ascii="Times New Roman" w:hAnsi="Times New Roman" w:cs="Times New Roman"/>
        </w:rPr>
        <w:t xml:space="preserve"> total amount of the exam (including the patient’s co-payments and/or deductibles), should be submitted to the </w:t>
      </w:r>
      <w:r w:rsidR="00D6605A" w:rsidRPr="004A28C3">
        <w:rPr>
          <w:rFonts w:ascii="Times New Roman" w:hAnsi="Times New Roman" w:cs="Times New Roman"/>
        </w:rPr>
        <w:t>V</w:t>
      </w:r>
      <w:r w:rsidR="00D6605A">
        <w:rPr>
          <w:rFonts w:ascii="Times New Roman" w:hAnsi="Times New Roman" w:cs="Times New Roman"/>
        </w:rPr>
        <w:t>CAD</w:t>
      </w:r>
      <w:r w:rsidR="00D6605A" w:rsidRPr="00DD499D" w:rsidDel="00D6605A">
        <w:rPr>
          <w:rFonts w:ascii="Times New Roman" w:hAnsi="Times New Roman" w:cs="Times New Roman"/>
        </w:rPr>
        <w:t xml:space="preserve"> </w:t>
      </w:r>
      <w:r w:rsidRPr="00DD499D">
        <w:rPr>
          <w:rFonts w:ascii="Times New Roman" w:hAnsi="Times New Roman" w:cs="Times New Roman"/>
        </w:rPr>
        <w:t>; or</w:t>
      </w:r>
    </w:p>
    <w:p w:rsidR="004A2156" w:rsidRPr="00DD499D" w:rsidRDefault="004A2156">
      <w:pPr>
        <w:rPr>
          <w:sz w:val="24"/>
        </w:rPr>
      </w:pPr>
    </w:p>
    <w:p w:rsidR="004A2156" w:rsidRPr="00DD499D" w:rsidRDefault="009D3EF2">
      <w:pPr>
        <w:pStyle w:val="ListParagraph"/>
        <w:numPr>
          <w:ilvl w:val="1"/>
          <w:numId w:val="6"/>
        </w:numPr>
        <w:tabs>
          <w:tab w:val="left" w:pos="1180"/>
          <w:tab w:val="left" w:pos="1181"/>
        </w:tabs>
        <w:spacing w:before="1"/>
        <w:ind w:right="321"/>
        <w:rPr>
          <w:sz w:val="24"/>
        </w:rPr>
      </w:pPr>
      <w:r w:rsidRPr="00DD499D">
        <w:rPr>
          <w:sz w:val="24"/>
        </w:rPr>
        <w:t>If a victim does not have insurance or if their existing coverage does not cover any</w:t>
      </w:r>
      <w:r w:rsidRPr="00DD499D">
        <w:rPr>
          <w:spacing w:val="-11"/>
          <w:sz w:val="24"/>
        </w:rPr>
        <w:t xml:space="preserve"> </w:t>
      </w:r>
      <w:r w:rsidRPr="00DD499D">
        <w:rPr>
          <w:sz w:val="24"/>
        </w:rPr>
        <w:t xml:space="preserve">or all costs of the medical exam, the total amount (including the patient’s co-payments and/or deductibles), should be submitted to the </w:t>
      </w:r>
      <w:r w:rsidR="00D6605A" w:rsidRPr="004A28C3">
        <w:rPr>
          <w:sz w:val="24"/>
        </w:rPr>
        <w:t>V</w:t>
      </w:r>
      <w:r w:rsidR="00D6605A">
        <w:rPr>
          <w:sz w:val="24"/>
        </w:rPr>
        <w:t>CAD.</w:t>
      </w:r>
    </w:p>
    <w:p w:rsidR="004A2156" w:rsidRPr="00DD499D" w:rsidRDefault="004A2156">
      <w:pPr>
        <w:rPr>
          <w:sz w:val="24"/>
        </w:rPr>
      </w:pPr>
    </w:p>
    <w:p w:rsidR="004A2156" w:rsidRPr="00DD499D" w:rsidRDefault="009D3EF2">
      <w:pPr>
        <w:pStyle w:val="BodyText"/>
        <w:ind w:left="100" w:right="142"/>
        <w:rPr>
          <w:rFonts w:ascii="Times New Roman" w:hAnsi="Times New Roman" w:cs="Times New Roman"/>
        </w:rPr>
      </w:pPr>
      <w:r w:rsidRPr="00DD499D">
        <w:rPr>
          <w:rFonts w:ascii="Times New Roman" w:hAnsi="Times New Roman" w:cs="Times New Roman"/>
        </w:rPr>
        <w:t xml:space="preserve">Attached is a quick reference guide of the costs and procedures hospitals should follow in submitting costs to the Victim Compensation Fund for services </w:t>
      </w:r>
      <w:r w:rsidR="00D6605A">
        <w:rPr>
          <w:rFonts w:ascii="Times New Roman" w:hAnsi="Times New Roman" w:cs="Times New Roman"/>
        </w:rPr>
        <w:t>related to a forensic medical exam</w:t>
      </w:r>
      <w:r w:rsidRPr="00DD499D">
        <w:rPr>
          <w:rFonts w:ascii="Times New Roman" w:hAnsi="Times New Roman" w:cs="Times New Roman"/>
        </w:rPr>
        <w:t xml:space="preserve">. </w:t>
      </w:r>
      <w:r w:rsidRPr="004A28C3">
        <w:rPr>
          <w:rFonts w:ascii="Times New Roman" w:hAnsi="Times New Roman" w:cs="Times New Roman"/>
          <w:b/>
          <w:i/>
        </w:rPr>
        <w:t xml:space="preserve">In particular, </w:t>
      </w:r>
      <w:r w:rsidR="00D6605A" w:rsidRPr="004A28C3">
        <w:rPr>
          <w:rFonts w:ascii="Times New Roman" w:hAnsi="Times New Roman" w:cs="Times New Roman"/>
          <w:b/>
          <w:i/>
        </w:rPr>
        <w:t>the state</w:t>
      </w:r>
      <w:r w:rsidR="00D6605A">
        <w:rPr>
          <w:rFonts w:ascii="Times New Roman" w:hAnsi="Times New Roman" w:cs="Times New Roman"/>
          <w:b/>
          <w:i/>
        </w:rPr>
        <w:t xml:space="preserve"> </w:t>
      </w:r>
      <w:r w:rsidR="00D6605A" w:rsidRPr="004A28C3">
        <w:rPr>
          <w:rFonts w:ascii="Times New Roman" w:hAnsi="Times New Roman" w:cs="Times New Roman"/>
          <w:b/>
          <w:i/>
        </w:rPr>
        <w:t>expect</w:t>
      </w:r>
      <w:r w:rsidR="00D6605A">
        <w:rPr>
          <w:rFonts w:ascii="Times New Roman" w:hAnsi="Times New Roman" w:cs="Times New Roman"/>
          <w:b/>
          <w:i/>
        </w:rPr>
        <w:t>s</w:t>
      </w:r>
      <w:r w:rsidR="00D6605A" w:rsidRPr="004A28C3">
        <w:rPr>
          <w:rFonts w:ascii="Times New Roman" w:hAnsi="Times New Roman" w:cs="Times New Roman"/>
          <w:b/>
          <w:i/>
        </w:rPr>
        <w:t xml:space="preserve"> </w:t>
      </w:r>
      <w:r w:rsidRPr="004A28C3">
        <w:rPr>
          <w:rFonts w:ascii="Times New Roman" w:hAnsi="Times New Roman" w:cs="Times New Roman"/>
          <w:b/>
          <w:i/>
        </w:rPr>
        <w:t xml:space="preserve">hospitals </w:t>
      </w:r>
      <w:r w:rsidR="00D6605A">
        <w:rPr>
          <w:rFonts w:ascii="Times New Roman" w:hAnsi="Times New Roman" w:cs="Times New Roman"/>
          <w:b/>
          <w:i/>
        </w:rPr>
        <w:t xml:space="preserve">to </w:t>
      </w:r>
      <w:r w:rsidR="00D6605A" w:rsidRPr="004A28C3">
        <w:rPr>
          <w:rFonts w:ascii="Times New Roman" w:hAnsi="Times New Roman" w:cs="Times New Roman"/>
          <w:b/>
          <w:i/>
        </w:rPr>
        <w:t xml:space="preserve">adhere to the </w:t>
      </w:r>
      <w:r w:rsidRPr="004A28C3">
        <w:rPr>
          <w:rFonts w:ascii="Times New Roman" w:hAnsi="Times New Roman" w:cs="Times New Roman"/>
          <w:b/>
          <w:i/>
        </w:rPr>
        <w:t xml:space="preserve">following </w:t>
      </w:r>
      <w:r w:rsidR="00D6605A" w:rsidRPr="004A28C3">
        <w:rPr>
          <w:rFonts w:ascii="Times New Roman" w:hAnsi="Times New Roman" w:cs="Times New Roman"/>
          <w:b/>
          <w:i/>
        </w:rPr>
        <w:t>principles</w:t>
      </w:r>
      <w:r w:rsidRPr="00DD499D">
        <w:rPr>
          <w:rFonts w:ascii="Times New Roman" w:hAnsi="Times New Roman" w:cs="Times New Roman"/>
        </w:rPr>
        <w:t>:</w:t>
      </w:r>
    </w:p>
    <w:p w:rsidR="004A2156" w:rsidRPr="00DD499D" w:rsidRDefault="009D3EF2">
      <w:pPr>
        <w:pStyle w:val="ListParagraph"/>
        <w:numPr>
          <w:ilvl w:val="0"/>
          <w:numId w:val="5"/>
        </w:numPr>
        <w:tabs>
          <w:tab w:val="left" w:pos="820"/>
          <w:tab w:val="left" w:pos="821"/>
        </w:tabs>
        <w:spacing w:before="5" w:line="235" w:lineRule="auto"/>
        <w:ind w:right="235"/>
      </w:pPr>
      <w:r w:rsidRPr="00DD499D">
        <w:t>The survivor should not be asked to nor should they be paying for costs that are covered under the scenarios above. The claims should either be: (1) directly submitted to the victim compensation fund for the forensic medical exam or (2) the provider should work with the survivor to help them with submitting an application to the victim compensation fund for all covered</w:t>
      </w:r>
      <w:r w:rsidRPr="00DD499D">
        <w:rPr>
          <w:spacing w:val="-13"/>
        </w:rPr>
        <w:t xml:space="preserve"> </w:t>
      </w:r>
      <w:r w:rsidRPr="00DD499D">
        <w:t>expenses;</w:t>
      </w:r>
    </w:p>
    <w:p w:rsidR="004A2156" w:rsidRPr="00DD499D" w:rsidRDefault="009D3EF2">
      <w:pPr>
        <w:pStyle w:val="ListParagraph"/>
        <w:numPr>
          <w:ilvl w:val="0"/>
          <w:numId w:val="5"/>
        </w:numPr>
        <w:tabs>
          <w:tab w:val="left" w:pos="820"/>
          <w:tab w:val="left" w:pos="821"/>
        </w:tabs>
        <w:spacing w:before="13" w:line="223" w:lineRule="auto"/>
        <w:ind w:right="945"/>
      </w:pPr>
      <w:r w:rsidRPr="00DD499D">
        <w:t>An eligible survivor‘s outstanding expense SHOULD NOT be sent to collections when an application is pending or being prepared;</w:t>
      </w:r>
      <w:r w:rsidRPr="00DD499D">
        <w:rPr>
          <w:spacing w:val="48"/>
        </w:rPr>
        <w:t xml:space="preserve"> </w:t>
      </w:r>
      <w:r w:rsidRPr="00DD499D">
        <w:t>and</w:t>
      </w:r>
    </w:p>
    <w:p w:rsidR="004A2156" w:rsidRPr="00DD499D" w:rsidRDefault="009D3EF2">
      <w:pPr>
        <w:pStyle w:val="ListParagraph"/>
        <w:numPr>
          <w:ilvl w:val="0"/>
          <w:numId w:val="5"/>
        </w:numPr>
        <w:tabs>
          <w:tab w:val="left" w:pos="820"/>
          <w:tab w:val="left" w:pos="821"/>
        </w:tabs>
        <w:spacing w:before="13" w:line="225" w:lineRule="auto"/>
        <w:ind w:right="157"/>
      </w:pPr>
      <w:r w:rsidRPr="00DD499D">
        <w:t>Providers should develop an internal system to be able to identify and flag cases as a sexual assault so that any claims can be held to be processed through one of the scenarios outlined</w:t>
      </w:r>
      <w:r w:rsidRPr="00DD499D">
        <w:rPr>
          <w:spacing w:val="-17"/>
        </w:rPr>
        <w:t xml:space="preserve"> </w:t>
      </w:r>
      <w:r w:rsidRPr="00DD499D">
        <w:t>above.</w:t>
      </w:r>
    </w:p>
    <w:p w:rsidR="004A2156" w:rsidRPr="00DD499D" w:rsidRDefault="004A2156">
      <w:pPr>
        <w:spacing w:before="11"/>
        <w:rPr>
          <w:sz w:val="23"/>
        </w:rPr>
      </w:pPr>
    </w:p>
    <w:p w:rsidR="004A2156" w:rsidRPr="00DD499D" w:rsidRDefault="009D3EF2">
      <w:pPr>
        <w:pStyle w:val="BodyText"/>
        <w:ind w:left="100" w:right="118"/>
        <w:rPr>
          <w:rFonts w:ascii="Times New Roman" w:hAnsi="Times New Roman" w:cs="Times New Roman"/>
        </w:rPr>
      </w:pPr>
      <w:r w:rsidRPr="00DD499D">
        <w:rPr>
          <w:rFonts w:ascii="Times New Roman" w:hAnsi="Times New Roman" w:cs="Times New Roman"/>
        </w:rPr>
        <w:t xml:space="preserve">The goal of the guidance is to develop a victim centric approach to ensure that survivors of sexual assaults are provided with the full support and assistance when they come to a hospital for a medical exam. Should you have any questions about this policy and expectations in Massachusetts, please contact </w:t>
      </w:r>
      <w:r w:rsidR="00D6605A">
        <w:rPr>
          <w:rFonts w:ascii="Times New Roman" w:hAnsi="Times New Roman" w:cs="Times New Roman"/>
        </w:rPr>
        <w:t>Janice Peters</w:t>
      </w:r>
      <w:r w:rsidRPr="00DD499D">
        <w:rPr>
          <w:rFonts w:ascii="Times New Roman" w:hAnsi="Times New Roman" w:cs="Times New Roman"/>
        </w:rPr>
        <w:t xml:space="preserve"> (MHA’s </w:t>
      </w:r>
      <w:r w:rsidR="00D6605A">
        <w:rPr>
          <w:rFonts w:ascii="Times New Roman" w:hAnsi="Times New Roman" w:cs="Times New Roman"/>
        </w:rPr>
        <w:t>Manager of Healthcare Policy</w:t>
      </w:r>
      <w:r w:rsidRPr="00DD499D">
        <w:rPr>
          <w:rFonts w:ascii="Times New Roman" w:hAnsi="Times New Roman" w:cs="Times New Roman"/>
        </w:rPr>
        <w:t>) a</w:t>
      </w:r>
      <w:hyperlink r:id="rId8" w:history="1">
        <w:r w:rsidR="00D6605A" w:rsidRPr="000E6CCD">
          <w:rPr>
            <w:rStyle w:val="Hyperlink"/>
            <w:rFonts w:ascii="Times New Roman" w:hAnsi="Times New Roman" w:cs="Times New Roman"/>
            <w:color w:val="auto"/>
            <w:u w:val="none"/>
          </w:rPr>
          <w:t>t</w:t>
        </w:r>
        <w:r w:rsidR="00D6605A" w:rsidRPr="000E6CCD">
          <w:rPr>
            <w:rStyle w:val="Hyperlink"/>
            <w:rFonts w:ascii="Times New Roman" w:hAnsi="Times New Roman" w:cs="Times New Roman"/>
            <w:color w:val="auto"/>
            <w:spacing w:val="-1"/>
            <w:u w:val="none"/>
          </w:rPr>
          <w:t xml:space="preserve"> </w:t>
        </w:r>
        <w:r w:rsidR="00D6605A" w:rsidRPr="00742680">
          <w:rPr>
            <w:rStyle w:val="Hyperlink"/>
            <w:rFonts w:ascii="Times New Roman" w:hAnsi="Times New Roman" w:cs="Times New Roman"/>
            <w:spacing w:val="-1"/>
          </w:rPr>
          <w:t>jpeters@mhalink.org or (781) 262-6023</w:t>
        </w:r>
        <w:r w:rsidR="00D6605A" w:rsidRPr="00742680">
          <w:rPr>
            <w:rStyle w:val="Hyperlink"/>
            <w:rFonts w:ascii="Times New Roman" w:hAnsi="Times New Roman" w:cs="Times New Roman"/>
          </w:rPr>
          <w:t>.</w:t>
        </w:r>
      </w:hyperlink>
    </w:p>
    <w:p w:rsidR="004A2156" w:rsidRPr="00DD499D" w:rsidRDefault="004A2156">
      <w:pPr>
        <w:sectPr w:rsidR="004A2156" w:rsidRPr="00DD499D" w:rsidSect="000E6CC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20" w:right="1200" w:bottom="280" w:left="1340" w:header="720" w:footer="0" w:gutter="0"/>
          <w:cols w:space="720"/>
          <w:docGrid w:linePitch="299"/>
        </w:sectPr>
      </w:pPr>
    </w:p>
    <w:p w:rsidR="00DD499D" w:rsidRPr="00DD499D" w:rsidRDefault="00DD499D" w:rsidP="00DD499D">
      <w:pPr>
        <w:pStyle w:val="Header"/>
        <w:jc w:val="center"/>
        <w:rPr>
          <w:rFonts w:ascii="Times New Roman" w:hAnsi="Times New Roman" w:cs="Times New Roman"/>
          <w:b/>
          <w:sz w:val="24"/>
          <w:szCs w:val="24"/>
        </w:rPr>
      </w:pPr>
      <w:bookmarkStart w:id="2" w:name="VAWA_-_Victims_Comp_Direct_Billing_Proce"/>
      <w:bookmarkEnd w:id="2"/>
      <w:r w:rsidRPr="00DD499D">
        <w:rPr>
          <w:rFonts w:ascii="Times New Roman" w:hAnsi="Times New Roman" w:cs="Times New Roman"/>
          <w:b/>
          <w:sz w:val="24"/>
          <w:szCs w:val="24"/>
        </w:rPr>
        <w:lastRenderedPageBreak/>
        <w:t>Coverage and Billing Procedures for Sexual Assault Exams in Massachusetts</w:t>
      </w:r>
    </w:p>
    <w:p w:rsidR="00DD499D" w:rsidRPr="00DD499D" w:rsidRDefault="00DD499D" w:rsidP="00DD499D">
      <w:pPr>
        <w:rPr>
          <w:b/>
          <w:sz w:val="16"/>
          <w:szCs w:val="16"/>
          <w:u w:val="single"/>
        </w:rPr>
      </w:pPr>
    </w:p>
    <w:p w:rsidR="00DD499D" w:rsidRPr="00DD499D" w:rsidRDefault="00DD499D" w:rsidP="00DD499D">
      <w:pPr>
        <w:rPr>
          <w:sz w:val="20"/>
          <w:szCs w:val="20"/>
        </w:rPr>
      </w:pPr>
      <w:r w:rsidRPr="00DD499D">
        <w:rPr>
          <w:sz w:val="20"/>
          <w:szCs w:val="20"/>
        </w:rPr>
        <w:t xml:space="preserve">Health care providers </w:t>
      </w:r>
      <w:r w:rsidR="00D6605A">
        <w:rPr>
          <w:sz w:val="20"/>
          <w:szCs w:val="20"/>
        </w:rPr>
        <w:t>should not</w:t>
      </w:r>
      <w:r w:rsidRPr="00DD499D">
        <w:rPr>
          <w:sz w:val="20"/>
          <w:szCs w:val="20"/>
        </w:rPr>
        <w:t xml:space="preserve"> bill survivors of a sexual assault for services received within a hospital setting.  The Massachusetts Hospital Association, Attorney General’s Office, Executive Office of Health and Human Services, and the Executive Office of Public Safety and Security developed the following guidance outlining costs that can be submitted directly to the Attorney General’s Victim Compensation and Assistance Division (VCAD).</w:t>
      </w:r>
    </w:p>
    <w:tbl>
      <w:tblPr>
        <w:tblStyle w:val="TableGrid"/>
        <w:tblW w:w="15048" w:type="dxa"/>
        <w:tblLook w:val="04A0" w:firstRow="1" w:lastRow="0" w:firstColumn="1" w:lastColumn="0" w:noHBand="0" w:noVBand="1"/>
      </w:tblPr>
      <w:tblGrid>
        <w:gridCol w:w="10278"/>
        <w:gridCol w:w="4770"/>
      </w:tblGrid>
      <w:tr w:rsidR="00DD499D" w:rsidRPr="00DD499D" w:rsidTr="00DD499D">
        <w:tc>
          <w:tcPr>
            <w:tcW w:w="15048" w:type="dxa"/>
            <w:gridSpan w:val="2"/>
          </w:tcPr>
          <w:p w:rsidR="00DD499D" w:rsidRPr="00DD499D" w:rsidRDefault="00DD499D" w:rsidP="00EA440E">
            <w:pPr>
              <w:jc w:val="center"/>
              <w:rPr>
                <w:b/>
              </w:rPr>
            </w:pPr>
            <w:r w:rsidRPr="00DD499D">
              <w:rPr>
                <w:b/>
              </w:rPr>
              <w:t xml:space="preserve">If a Sexual Assault </w:t>
            </w:r>
            <w:r w:rsidR="00EA440E">
              <w:rPr>
                <w:b/>
              </w:rPr>
              <w:t xml:space="preserve">Forensic Exam is Administered (including administration Sexual Assault </w:t>
            </w:r>
            <w:r w:rsidRPr="00DD499D">
              <w:rPr>
                <w:b/>
              </w:rPr>
              <w:t>Evidence Collection Kit</w:t>
            </w:r>
            <w:r w:rsidR="00EA440E">
              <w:rPr>
                <w:b/>
              </w:rPr>
              <w:t>)</w:t>
            </w:r>
          </w:p>
        </w:tc>
      </w:tr>
      <w:tr w:rsidR="00DD499D" w:rsidRPr="00DD499D" w:rsidTr="00DD499D">
        <w:tc>
          <w:tcPr>
            <w:tcW w:w="10278" w:type="dxa"/>
          </w:tcPr>
          <w:p w:rsidR="00DD499D" w:rsidRPr="00DD499D" w:rsidRDefault="00DD499D" w:rsidP="006C3885">
            <w:pPr>
              <w:rPr>
                <w:sz w:val="18"/>
                <w:szCs w:val="18"/>
              </w:rPr>
            </w:pPr>
            <w:r w:rsidRPr="00DD499D">
              <w:rPr>
                <w:b/>
                <w:u w:val="single"/>
              </w:rPr>
              <w:t>Overview:</w:t>
            </w:r>
            <w:r w:rsidRPr="00DD499D">
              <w:t xml:space="preserve"> </w:t>
            </w:r>
            <w:r w:rsidRPr="00DD499D">
              <w:rPr>
                <w:sz w:val="18"/>
                <w:szCs w:val="18"/>
              </w:rPr>
              <w:t>to</w:t>
            </w:r>
            <w:r w:rsidRPr="00DD499D">
              <w:t xml:space="preserve"> </w:t>
            </w:r>
            <w:r w:rsidRPr="00DD499D">
              <w:rPr>
                <w:sz w:val="18"/>
                <w:szCs w:val="18"/>
              </w:rPr>
              <w:t>ensure survivor centered care by eliminating the concern of medical expenses received in a hospital setting, the provider should inform the survivor about the availability of coverage for all expenses within the emergency department (ED).  The expenses outlined below, including the applicable co-payment, co-insurance, and/or deductible, should never be billed to the survivor.</w:t>
            </w:r>
          </w:p>
          <w:p w:rsidR="00DD499D" w:rsidRPr="00DD499D" w:rsidRDefault="00DD499D" w:rsidP="006C3885">
            <w:pPr>
              <w:rPr>
                <w:sz w:val="18"/>
                <w:szCs w:val="18"/>
              </w:rPr>
            </w:pPr>
          </w:p>
          <w:p w:rsidR="00DD499D" w:rsidRPr="00DD499D" w:rsidRDefault="00DD499D" w:rsidP="006C3885">
            <w:pPr>
              <w:rPr>
                <w:b/>
                <w:u w:val="single"/>
              </w:rPr>
            </w:pPr>
            <w:r w:rsidRPr="00DD499D">
              <w:rPr>
                <w:b/>
                <w:u w:val="single"/>
              </w:rPr>
              <w:t>Forensic Medical Examination Defined:</w:t>
            </w:r>
          </w:p>
          <w:p w:rsidR="00DD499D" w:rsidRPr="00DD499D" w:rsidRDefault="00DD499D" w:rsidP="006C3885">
            <w:pPr>
              <w:rPr>
                <w:sz w:val="18"/>
                <w:szCs w:val="18"/>
              </w:rPr>
            </w:pPr>
            <w:r w:rsidRPr="00DD499D">
              <w:rPr>
                <w:sz w:val="18"/>
                <w:szCs w:val="18"/>
              </w:rPr>
              <w:t>All expenses that occur from the moment the survivor comes to an emergency department (ED) through their discharge from the ED or a transfer to an inpatient or other level of care.  This includes:</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Physician fees that are part of or assigned to the facility and included in the overall facility fee</w:t>
            </w:r>
          </w:p>
          <w:p w:rsidR="00DD499D" w:rsidRPr="00DD499D" w:rsidRDefault="00DD499D" w:rsidP="00DD499D">
            <w:pPr>
              <w:pStyle w:val="ListParagraph"/>
              <w:numPr>
                <w:ilvl w:val="1"/>
                <w:numId w:val="7"/>
              </w:numPr>
              <w:ind w:left="720" w:right="0"/>
              <w:contextualSpacing/>
              <w:rPr>
                <w:sz w:val="18"/>
                <w:szCs w:val="18"/>
              </w:rPr>
            </w:pPr>
            <w:r w:rsidRPr="00DD499D">
              <w:rPr>
                <w:sz w:val="18"/>
                <w:szCs w:val="18"/>
              </w:rPr>
              <w:t>Please note that independent physician fees should be submitted separately</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Facility fees</w:t>
            </w:r>
          </w:p>
          <w:p w:rsidR="00DD499D" w:rsidRPr="00DD499D" w:rsidRDefault="00DD499D" w:rsidP="00DD499D">
            <w:pPr>
              <w:pStyle w:val="ListParagraph"/>
              <w:numPr>
                <w:ilvl w:val="0"/>
                <w:numId w:val="7"/>
              </w:numPr>
              <w:ind w:left="360" w:right="0" w:hanging="360"/>
              <w:contextualSpacing/>
              <w:rPr>
                <w:sz w:val="18"/>
                <w:szCs w:val="18"/>
              </w:rPr>
            </w:pPr>
            <w:r w:rsidRPr="009D3EF2">
              <w:rPr>
                <w:sz w:val="18"/>
                <w:szCs w:val="18"/>
              </w:rPr>
              <w:t xml:space="preserve">ED </w:t>
            </w:r>
            <w:r w:rsidRPr="00DD499D">
              <w:rPr>
                <w:sz w:val="18"/>
                <w:szCs w:val="18"/>
              </w:rPr>
              <w:t>Room and Board, Nursing and ancillary staff costs, Non-SANE staff (hospital clinicians) who administer the Sexual Assault Evidence Collection Kit (SAECK) costs, Ancillary services (labs, tox screens, etc.), Imaging services, and Medications (e.g., starter pack of prophylactic medications including Truvada, Flagyl, HIV meds, et</w:t>
            </w:r>
            <w:r w:rsidR="003C5328">
              <w:rPr>
                <w:sz w:val="18"/>
                <w:szCs w:val="18"/>
              </w:rPr>
              <w:t>c.</w:t>
            </w:r>
            <w:r w:rsidRPr="00DD499D">
              <w:rPr>
                <w:sz w:val="18"/>
                <w:szCs w:val="18"/>
              </w:rPr>
              <w:t>) provided during treatment and prior to discharge</w:t>
            </w:r>
          </w:p>
          <w:p w:rsidR="00DD499D" w:rsidRPr="00DD499D" w:rsidRDefault="00DD499D" w:rsidP="006C3885">
            <w:pPr>
              <w:rPr>
                <w:sz w:val="18"/>
                <w:szCs w:val="18"/>
              </w:rPr>
            </w:pPr>
          </w:p>
          <w:p w:rsidR="00DD499D" w:rsidRPr="00DD499D" w:rsidRDefault="00DD499D" w:rsidP="006C3885">
            <w:pPr>
              <w:rPr>
                <w:b/>
                <w:u w:val="single"/>
              </w:rPr>
            </w:pPr>
            <w:r w:rsidRPr="00DD499D">
              <w:rPr>
                <w:b/>
                <w:u w:val="single"/>
              </w:rPr>
              <w:t xml:space="preserve">Criteria for </w:t>
            </w:r>
            <w:r w:rsidRPr="009D3EF2">
              <w:rPr>
                <w:b/>
                <w:u w:val="single"/>
              </w:rPr>
              <w:t>Hospital and Physician Organization Payments:</w:t>
            </w:r>
            <w:r w:rsidRPr="00DD499D">
              <w:rPr>
                <w:b/>
                <w:u w:val="single"/>
              </w:rPr>
              <w:t xml:space="preserve"> </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The assault occurred in Massachusetts</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A SAECK was administered</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Invoice submitted directly to VCAD within 90 days from the date of service or receipt of an insurer’s Explanation of Benefits (EOB)</w:t>
            </w:r>
          </w:p>
          <w:p w:rsidR="00DD499D" w:rsidRPr="00DD499D" w:rsidRDefault="00DD499D" w:rsidP="006C3885">
            <w:pPr>
              <w:rPr>
                <w:sz w:val="18"/>
                <w:szCs w:val="18"/>
              </w:rPr>
            </w:pPr>
          </w:p>
          <w:p w:rsidR="00DD499D" w:rsidRPr="00DD499D" w:rsidRDefault="00DD499D" w:rsidP="006C3885">
            <w:pPr>
              <w:rPr>
                <w:b/>
                <w:u w:val="single"/>
              </w:rPr>
            </w:pPr>
            <w:r w:rsidRPr="00DD499D">
              <w:rPr>
                <w:b/>
                <w:u w:val="single"/>
              </w:rPr>
              <w:t>Compensation Requirements:</w:t>
            </w:r>
          </w:p>
          <w:p w:rsidR="00DD499D" w:rsidRPr="009D3EF2" w:rsidRDefault="00DD499D" w:rsidP="00DD499D">
            <w:pPr>
              <w:pStyle w:val="ListParagraph"/>
              <w:numPr>
                <w:ilvl w:val="0"/>
                <w:numId w:val="7"/>
              </w:numPr>
              <w:ind w:left="360" w:right="0" w:hanging="360"/>
              <w:contextualSpacing/>
              <w:rPr>
                <w:sz w:val="18"/>
                <w:szCs w:val="18"/>
              </w:rPr>
            </w:pPr>
            <w:r w:rsidRPr="009D3EF2">
              <w:rPr>
                <w:sz w:val="18"/>
                <w:szCs w:val="18"/>
              </w:rPr>
              <w:t xml:space="preserve">Hospital directly submits an itemized bill (1500 form) </w:t>
            </w:r>
          </w:p>
          <w:p w:rsidR="00DD499D" w:rsidRPr="009D3EF2" w:rsidRDefault="00DD499D" w:rsidP="00DD499D">
            <w:pPr>
              <w:pStyle w:val="ListParagraph"/>
              <w:numPr>
                <w:ilvl w:val="0"/>
                <w:numId w:val="7"/>
              </w:numPr>
              <w:ind w:left="360" w:right="0" w:hanging="360"/>
              <w:contextualSpacing/>
              <w:rPr>
                <w:sz w:val="18"/>
                <w:szCs w:val="18"/>
              </w:rPr>
            </w:pPr>
            <w:r w:rsidRPr="009D3EF2">
              <w:rPr>
                <w:sz w:val="18"/>
                <w:szCs w:val="18"/>
              </w:rPr>
              <w:t>MUST attach “Attachment B” that outlines: Incident Location, Name of Treating Facility, Date of Treatment, Patient information, SAECK Number, and location of the assault to accompany any invoices</w:t>
            </w:r>
          </w:p>
          <w:p w:rsidR="00DD499D" w:rsidRPr="00DD499D" w:rsidRDefault="00DD499D" w:rsidP="006C3885"/>
        </w:tc>
        <w:tc>
          <w:tcPr>
            <w:tcW w:w="4770" w:type="dxa"/>
          </w:tcPr>
          <w:p w:rsidR="00DD499D" w:rsidRPr="00DD499D" w:rsidRDefault="00DD499D" w:rsidP="006C3885">
            <w:pPr>
              <w:rPr>
                <w:b/>
                <w:u w:val="single"/>
              </w:rPr>
            </w:pPr>
            <w:r w:rsidRPr="00DD499D">
              <w:rPr>
                <w:b/>
                <w:u w:val="single"/>
              </w:rPr>
              <w:t>Submit Claims to:</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 xml:space="preserve">Secured email:  </w:t>
            </w:r>
            <w:hyperlink r:id="rId15" w:history="1">
              <w:r w:rsidRPr="00DD499D">
                <w:rPr>
                  <w:rStyle w:val="Hyperlink"/>
                  <w:sz w:val="18"/>
                  <w:szCs w:val="18"/>
                </w:rPr>
                <w:t>VCCorrespondence@state.ma.us</w:t>
              </w:r>
            </w:hyperlink>
            <w:r w:rsidRPr="00DD499D">
              <w:rPr>
                <w:sz w:val="18"/>
                <w:szCs w:val="18"/>
              </w:rPr>
              <w:t>; or</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Fax:  617-742-6262; or</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 xml:space="preserve">Mail: Office of the Attorney General, One </w:t>
            </w:r>
            <w:proofErr w:type="spellStart"/>
            <w:r w:rsidRPr="00DD499D">
              <w:rPr>
                <w:sz w:val="18"/>
                <w:szCs w:val="18"/>
              </w:rPr>
              <w:t>Ashburton</w:t>
            </w:r>
            <w:proofErr w:type="spellEnd"/>
            <w:r w:rsidRPr="00DD499D">
              <w:rPr>
                <w:sz w:val="18"/>
                <w:szCs w:val="18"/>
              </w:rPr>
              <w:t xml:space="preserve"> Place, 19th Floor, Boston, MA 02108 Attn: Victim Compensation &amp; Assistance Division </w:t>
            </w:r>
          </w:p>
          <w:p w:rsidR="00DD499D" w:rsidRPr="00DD499D" w:rsidRDefault="00DD499D" w:rsidP="006C3885">
            <w:pPr>
              <w:rPr>
                <w:sz w:val="18"/>
                <w:szCs w:val="18"/>
              </w:rPr>
            </w:pPr>
          </w:p>
          <w:p w:rsidR="00DD499D" w:rsidRPr="00DD499D" w:rsidRDefault="00DD499D" w:rsidP="006C3885">
            <w:pPr>
              <w:rPr>
                <w:b/>
                <w:u w:val="single"/>
              </w:rPr>
            </w:pPr>
            <w:r w:rsidRPr="00DD499D">
              <w:rPr>
                <w:b/>
                <w:u w:val="single"/>
              </w:rPr>
              <w:t>Compensation Amount:</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 xml:space="preserve">The total forensic medical exam is reimbursed using the Division’s approved payment factor:  </w:t>
            </w:r>
            <w:hyperlink r:id="rId16" w:history="1">
              <w:r w:rsidRPr="00DD499D">
                <w:rPr>
                  <w:rStyle w:val="Hyperlink"/>
                  <w:sz w:val="18"/>
                  <w:szCs w:val="18"/>
                </w:rPr>
                <w:t>http://www.mass.gov/eohhs/docs/eohhs/eohhs-regs/wc-2015-paf.pdf</w:t>
              </w:r>
            </w:hyperlink>
          </w:p>
          <w:p w:rsidR="00DD499D" w:rsidRPr="00DD499D" w:rsidRDefault="00DD499D" w:rsidP="006C3885">
            <w:pPr>
              <w:rPr>
                <w:sz w:val="18"/>
                <w:szCs w:val="18"/>
              </w:rPr>
            </w:pPr>
          </w:p>
          <w:p w:rsidR="00DD499D" w:rsidRPr="00DD499D" w:rsidRDefault="00DD499D" w:rsidP="006C3885">
            <w:pPr>
              <w:rPr>
                <w:b/>
                <w:u w:val="single"/>
              </w:rPr>
            </w:pPr>
            <w:r w:rsidRPr="00DD499D">
              <w:rPr>
                <w:b/>
                <w:u w:val="single"/>
              </w:rPr>
              <w:t>Expenses Not Covered under this Process:</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Ambulance services</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Inpatient medical/surgical/post-acute treatment</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Follow up outpatient and/or inpatient visits</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 xml:space="preserve">Expenses related to an assault that occurred in another state, please contact the VCAD for information on coverage from those states </w:t>
            </w:r>
          </w:p>
          <w:p w:rsidR="00DD499D" w:rsidRPr="00DD499D" w:rsidRDefault="00DD499D" w:rsidP="006C3885">
            <w:pPr>
              <w:rPr>
                <w:sz w:val="18"/>
                <w:szCs w:val="18"/>
              </w:rPr>
            </w:pPr>
          </w:p>
          <w:p w:rsidR="00DD499D" w:rsidRPr="00DD499D" w:rsidRDefault="00DD499D" w:rsidP="006C3885">
            <w:pPr>
              <w:rPr>
                <w:b/>
                <w:u w:val="single"/>
              </w:rPr>
            </w:pPr>
            <w:r w:rsidRPr="00DD499D">
              <w:rPr>
                <w:b/>
                <w:u w:val="single"/>
              </w:rPr>
              <w:t>Contact at VCAD for Questions:</w:t>
            </w:r>
          </w:p>
          <w:p w:rsidR="00DD499D" w:rsidRPr="009D3EF2" w:rsidRDefault="00DD499D" w:rsidP="006C3885">
            <w:pPr>
              <w:rPr>
                <w:sz w:val="18"/>
                <w:szCs w:val="18"/>
              </w:rPr>
            </w:pPr>
            <w:r w:rsidRPr="009D3EF2">
              <w:rPr>
                <w:sz w:val="18"/>
                <w:szCs w:val="18"/>
              </w:rPr>
              <w:t>Tel: (617) 963-2160</w:t>
            </w:r>
          </w:p>
          <w:p w:rsidR="00DD499D" w:rsidRPr="00DD499D" w:rsidRDefault="00DD499D" w:rsidP="009D3EF2">
            <w:pPr>
              <w:rPr>
                <w:sz w:val="18"/>
                <w:szCs w:val="18"/>
              </w:rPr>
            </w:pPr>
            <w:r w:rsidRPr="009D3EF2">
              <w:rPr>
                <w:sz w:val="18"/>
                <w:szCs w:val="18"/>
              </w:rPr>
              <w:t>Email</w:t>
            </w:r>
            <w:r w:rsidR="009D3EF2" w:rsidRPr="009D3EF2">
              <w:rPr>
                <w:sz w:val="18"/>
                <w:szCs w:val="18"/>
              </w:rPr>
              <w:t xml:space="preserve">: </w:t>
            </w:r>
            <w:hyperlink r:id="rId17" w:history="1">
              <w:r w:rsidR="009D3EF2" w:rsidRPr="00DD499D">
                <w:rPr>
                  <w:rStyle w:val="Hyperlink"/>
                  <w:sz w:val="18"/>
                  <w:szCs w:val="18"/>
                </w:rPr>
                <w:t>VCCorrespondence@state.ma.us</w:t>
              </w:r>
            </w:hyperlink>
            <w:r w:rsidRPr="00DD499D">
              <w:rPr>
                <w:color w:val="FF0000"/>
              </w:rPr>
              <w:t xml:space="preserve"> </w:t>
            </w:r>
          </w:p>
        </w:tc>
      </w:tr>
      <w:tr w:rsidR="00DD499D" w:rsidRPr="00DD499D" w:rsidTr="00DD499D">
        <w:trPr>
          <w:trHeight w:val="440"/>
        </w:trPr>
        <w:tc>
          <w:tcPr>
            <w:tcW w:w="15048" w:type="dxa"/>
            <w:gridSpan w:val="2"/>
            <w:vAlign w:val="bottom"/>
          </w:tcPr>
          <w:p w:rsidR="00DD499D" w:rsidRPr="00DD499D" w:rsidRDefault="00DD499D" w:rsidP="006C3885">
            <w:pPr>
              <w:jc w:val="center"/>
              <w:rPr>
                <w:b/>
              </w:rPr>
            </w:pPr>
            <w:r w:rsidRPr="00DD499D">
              <w:rPr>
                <w:b/>
              </w:rPr>
              <w:t>MA Forensic Sexual Assault Exam Post Exam Expense Application (following utilization of the SAECK)</w:t>
            </w:r>
          </w:p>
        </w:tc>
      </w:tr>
      <w:tr w:rsidR="00DD499D" w:rsidRPr="00DD499D" w:rsidTr="00DD499D">
        <w:tc>
          <w:tcPr>
            <w:tcW w:w="10278" w:type="dxa"/>
          </w:tcPr>
          <w:p w:rsidR="00DD499D" w:rsidRPr="00DD499D" w:rsidRDefault="00DD499D" w:rsidP="006C3885">
            <w:pPr>
              <w:rPr>
                <w:sz w:val="18"/>
                <w:szCs w:val="18"/>
              </w:rPr>
            </w:pPr>
            <w:r w:rsidRPr="00DD499D">
              <w:rPr>
                <w:b/>
                <w:u w:val="single"/>
              </w:rPr>
              <w:t xml:space="preserve">Overview:  </w:t>
            </w:r>
            <w:r w:rsidRPr="00DD499D">
              <w:rPr>
                <w:sz w:val="18"/>
                <w:szCs w:val="18"/>
              </w:rPr>
              <w:t xml:space="preserve">All services provided following the forensic medical examination should be submitted by the survivor to VCAD, including </w:t>
            </w:r>
            <w:r w:rsidRPr="009D3EF2">
              <w:rPr>
                <w:sz w:val="18"/>
                <w:szCs w:val="18"/>
              </w:rPr>
              <w:t>ambulance services,</w:t>
            </w:r>
            <w:r w:rsidRPr="00DD499D">
              <w:rPr>
                <w:b/>
                <w:color w:val="FF0000"/>
                <w:sz w:val="18"/>
                <w:szCs w:val="18"/>
              </w:rPr>
              <w:t xml:space="preserve"> </w:t>
            </w:r>
            <w:r w:rsidRPr="00DD499D">
              <w:rPr>
                <w:sz w:val="18"/>
                <w:szCs w:val="18"/>
              </w:rPr>
              <w:t>inpatient services, follow up clinic visits, outpatient prescriptions (e.g., 28 day additional medication regimen), mental health counseling.</w:t>
            </w:r>
          </w:p>
          <w:p w:rsidR="00DD499D" w:rsidRPr="00DD499D" w:rsidRDefault="00DD499D" w:rsidP="006C3885">
            <w:pPr>
              <w:rPr>
                <w:sz w:val="18"/>
                <w:szCs w:val="18"/>
              </w:rPr>
            </w:pPr>
          </w:p>
          <w:p w:rsidR="00DD499D" w:rsidRPr="00DD499D" w:rsidRDefault="00DD499D" w:rsidP="0023366D">
            <w:pPr>
              <w:rPr>
                <w:sz w:val="18"/>
                <w:szCs w:val="18"/>
              </w:rPr>
            </w:pPr>
            <w:r w:rsidRPr="00DD499D">
              <w:rPr>
                <w:b/>
                <w:u w:val="single"/>
              </w:rPr>
              <w:t xml:space="preserve">Submission of the Expense Form:   </w:t>
            </w:r>
            <w:r w:rsidRPr="00DD499D">
              <w:rPr>
                <w:sz w:val="18"/>
                <w:szCs w:val="18"/>
              </w:rPr>
              <w:t>Application is in the resource packet made available to all survivors after</w:t>
            </w:r>
            <w:r w:rsidR="0023366D">
              <w:rPr>
                <w:sz w:val="18"/>
                <w:szCs w:val="18"/>
              </w:rPr>
              <w:t xml:space="preserve"> the administration of a SAECK.</w:t>
            </w:r>
          </w:p>
        </w:tc>
        <w:tc>
          <w:tcPr>
            <w:tcW w:w="4770" w:type="dxa"/>
          </w:tcPr>
          <w:p w:rsidR="00DD499D" w:rsidRPr="00DD499D" w:rsidRDefault="00DD499D" w:rsidP="006C3885">
            <w:pPr>
              <w:rPr>
                <w:b/>
                <w:u w:val="single"/>
              </w:rPr>
            </w:pPr>
            <w:r w:rsidRPr="00DD499D">
              <w:rPr>
                <w:b/>
                <w:u w:val="single"/>
              </w:rPr>
              <w:t>Criteria for payments:</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The assault occurred in Massachusetts</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SAECK was administered</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Provider Sexual Crime Report (“PSCR”) completed</w:t>
            </w:r>
          </w:p>
          <w:p w:rsidR="00DD499D" w:rsidRPr="00DD499D" w:rsidRDefault="00DD499D" w:rsidP="00DD499D">
            <w:pPr>
              <w:pStyle w:val="ListParagraph"/>
              <w:numPr>
                <w:ilvl w:val="0"/>
                <w:numId w:val="7"/>
              </w:numPr>
              <w:ind w:left="360" w:right="0" w:hanging="360"/>
              <w:contextualSpacing/>
              <w:rPr>
                <w:sz w:val="18"/>
                <w:szCs w:val="18"/>
              </w:rPr>
            </w:pPr>
            <w:r w:rsidRPr="00DD499D">
              <w:rPr>
                <w:sz w:val="18"/>
                <w:szCs w:val="18"/>
              </w:rPr>
              <w:t>“MA Forensic Sexual Assault Exam Post Exam Expense Application” submitted to VCAD</w:t>
            </w:r>
          </w:p>
        </w:tc>
      </w:tr>
      <w:tr w:rsidR="00DD499D" w:rsidRPr="00DD499D" w:rsidTr="00DD499D">
        <w:tc>
          <w:tcPr>
            <w:tcW w:w="15048" w:type="dxa"/>
            <w:gridSpan w:val="2"/>
          </w:tcPr>
          <w:p w:rsidR="00DD499D" w:rsidRPr="00DD499D" w:rsidRDefault="00DD499D" w:rsidP="00EA440E">
            <w:pPr>
              <w:jc w:val="center"/>
            </w:pPr>
            <w:r w:rsidRPr="00DD499D">
              <w:rPr>
                <w:b/>
              </w:rPr>
              <w:t xml:space="preserve">If a Sexual Assault </w:t>
            </w:r>
            <w:r w:rsidR="00EA440E">
              <w:rPr>
                <w:b/>
              </w:rPr>
              <w:t xml:space="preserve">Forensic Exam is NOT Administered </w:t>
            </w:r>
          </w:p>
        </w:tc>
      </w:tr>
      <w:tr w:rsidR="00DD499D" w:rsidRPr="00DD499D" w:rsidTr="00DD499D">
        <w:tc>
          <w:tcPr>
            <w:tcW w:w="10278" w:type="dxa"/>
          </w:tcPr>
          <w:p w:rsidR="00DD499D" w:rsidRPr="00DD499D" w:rsidRDefault="00DD499D" w:rsidP="006C3885">
            <w:pPr>
              <w:rPr>
                <w:sz w:val="18"/>
                <w:szCs w:val="18"/>
              </w:rPr>
            </w:pPr>
            <w:r w:rsidRPr="00DD499D">
              <w:rPr>
                <w:sz w:val="18"/>
                <w:szCs w:val="18"/>
              </w:rPr>
              <w:t xml:space="preserve">A survivor of a sexual assault is not required to and may choose not to have a </w:t>
            </w:r>
            <w:r w:rsidR="00EA440E">
              <w:rPr>
                <w:sz w:val="18"/>
                <w:szCs w:val="18"/>
              </w:rPr>
              <w:t xml:space="preserve">forensic examination </w:t>
            </w:r>
            <w:r w:rsidRPr="00DD499D">
              <w:rPr>
                <w:sz w:val="18"/>
                <w:szCs w:val="18"/>
              </w:rPr>
              <w:t>but still have expenses covered by VCAD.</w:t>
            </w:r>
          </w:p>
          <w:p w:rsidR="00DD499D" w:rsidRPr="00DD499D" w:rsidRDefault="00DD499D" w:rsidP="006C3885">
            <w:pPr>
              <w:rPr>
                <w:sz w:val="18"/>
                <w:szCs w:val="18"/>
              </w:rPr>
            </w:pPr>
          </w:p>
          <w:p w:rsidR="00DD499D" w:rsidRPr="003C5328" w:rsidRDefault="00DD499D" w:rsidP="006C3885">
            <w:pPr>
              <w:rPr>
                <w:sz w:val="18"/>
                <w:szCs w:val="18"/>
              </w:rPr>
            </w:pPr>
            <w:r w:rsidRPr="00DD499D">
              <w:rPr>
                <w:b/>
                <w:u w:val="single"/>
              </w:rPr>
              <w:t xml:space="preserve">Criteria for Payment:  </w:t>
            </w:r>
            <w:r w:rsidRPr="00DD499D">
              <w:rPr>
                <w:sz w:val="18"/>
                <w:szCs w:val="18"/>
              </w:rPr>
              <w:t>The assault occurred in Massachusetts; No SAECK was administered as the treatment was sought beyond 5 days from the date of the crime OR survivor chooses not to have a kit administered</w:t>
            </w:r>
            <w:r w:rsidR="00D6605A">
              <w:rPr>
                <w:sz w:val="18"/>
                <w:szCs w:val="18"/>
              </w:rPr>
              <w:t xml:space="preserve">.  To obtain coverage, </w:t>
            </w:r>
            <w:r w:rsidR="00D6605A" w:rsidRPr="003C5328">
              <w:rPr>
                <w:sz w:val="18"/>
                <w:szCs w:val="18"/>
              </w:rPr>
              <w:t xml:space="preserve">the survivor </w:t>
            </w:r>
            <w:r w:rsidRPr="003C5328">
              <w:rPr>
                <w:sz w:val="18"/>
                <w:szCs w:val="18"/>
              </w:rPr>
              <w:t>must report the crime to their local police within 5 days of the crime to seek coverage under this process, unless there is reasonable cause for delay</w:t>
            </w:r>
            <w:r w:rsidR="00C32C9D" w:rsidRPr="003C5328">
              <w:rPr>
                <w:sz w:val="18"/>
                <w:szCs w:val="18"/>
              </w:rPr>
              <w:t>.</w:t>
            </w:r>
          </w:p>
          <w:p w:rsidR="00DD499D" w:rsidRPr="003C5328" w:rsidRDefault="00DD499D" w:rsidP="006C3885">
            <w:pPr>
              <w:rPr>
                <w:sz w:val="18"/>
                <w:szCs w:val="18"/>
              </w:rPr>
            </w:pPr>
          </w:p>
          <w:p w:rsidR="00DD499D" w:rsidRPr="00DD499D" w:rsidRDefault="00DD499D" w:rsidP="00EA440E">
            <w:r w:rsidRPr="003C5328">
              <w:rPr>
                <w:b/>
                <w:u w:val="single"/>
              </w:rPr>
              <w:t>Claims Submission Process:</w:t>
            </w:r>
            <w:r w:rsidRPr="003C5328">
              <w:t xml:space="preserve">  </w:t>
            </w:r>
            <w:r w:rsidRPr="003C5328">
              <w:rPr>
                <w:sz w:val="18"/>
                <w:szCs w:val="18"/>
              </w:rPr>
              <w:t>total expenses (including all co-payments, co-insurance, and deductibles) where</w:t>
            </w:r>
            <w:r w:rsidRPr="00DD499D">
              <w:rPr>
                <w:sz w:val="18"/>
                <w:szCs w:val="18"/>
              </w:rPr>
              <w:t xml:space="preserve"> a </w:t>
            </w:r>
            <w:r w:rsidR="00EA440E">
              <w:rPr>
                <w:sz w:val="18"/>
                <w:szCs w:val="18"/>
              </w:rPr>
              <w:t xml:space="preserve">forensic exam </w:t>
            </w:r>
            <w:r w:rsidRPr="00DD499D">
              <w:rPr>
                <w:sz w:val="18"/>
                <w:szCs w:val="18"/>
              </w:rPr>
              <w:t xml:space="preserve">is NOT </w:t>
            </w:r>
            <w:r w:rsidR="00EA440E">
              <w:rPr>
                <w:sz w:val="18"/>
                <w:szCs w:val="18"/>
              </w:rPr>
              <w:t xml:space="preserve">administered </w:t>
            </w:r>
            <w:r w:rsidRPr="00DD499D">
              <w:rPr>
                <w:sz w:val="18"/>
                <w:szCs w:val="18"/>
              </w:rPr>
              <w:t xml:space="preserve">should be included as part of the Standard Victim Compensation application submitted by the survivor: </w:t>
            </w:r>
            <w:hyperlink r:id="rId18" w:history="1">
              <w:r w:rsidRPr="00DD499D">
                <w:rPr>
                  <w:rStyle w:val="Hyperlink"/>
                  <w:sz w:val="18"/>
                  <w:szCs w:val="18"/>
                </w:rPr>
                <w:t>http://www.mass.gov/ago/docs/victim/victim-comp-app.pdf</w:t>
              </w:r>
            </w:hyperlink>
          </w:p>
        </w:tc>
        <w:tc>
          <w:tcPr>
            <w:tcW w:w="4770" w:type="dxa"/>
          </w:tcPr>
          <w:p w:rsidR="00DD499D" w:rsidRPr="00DD499D" w:rsidRDefault="00DD499D" w:rsidP="006C3885">
            <w:r w:rsidRPr="00DD499D">
              <w:rPr>
                <w:b/>
                <w:u w:val="single"/>
              </w:rPr>
              <w:lastRenderedPageBreak/>
              <w:t>Covered Expenses under this Application:</w:t>
            </w:r>
            <w:r w:rsidRPr="00DD499D">
              <w:t xml:space="preserve"> </w:t>
            </w:r>
          </w:p>
          <w:p w:rsidR="00E8051B" w:rsidRPr="003C5328" w:rsidRDefault="00DD499D" w:rsidP="00DD499D">
            <w:pPr>
              <w:pStyle w:val="ListParagraph"/>
              <w:numPr>
                <w:ilvl w:val="0"/>
                <w:numId w:val="7"/>
              </w:numPr>
              <w:ind w:left="252" w:right="0" w:hanging="252"/>
              <w:contextualSpacing/>
              <w:rPr>
                <w:sz w:val="18"/>
                <w:szCs w:val="18"/>
              </w:rPr>
            </w:pPr>
            <w:r w:rsidRPr="003C5328">
              <w:rPr>
                <w:sz w:val="18"/>
                <w:szCs w:val="18"/>
              </w:rPr>
              <w:t xml:space="preserve">All Medical and Mental Health Expenses </w:t>
            </w:r>
          </w:p>
          <w:p w:rsidR="00DD499D" w:rsidRPr="00E8051B" w:rsidRDefault="00DD499D" w:rsidP="00DD499D">
            <w:pPr>
              <w:pStyle w:val="ListParagraph"/>
              <w:numPr>
                <w:ilvl w:val="0"/>
                <w:numId w:val="7"/>
              </w:numPr>
              <w:ind w:left="252" w:right="0" w:hanging="252"/>
              <w:contextualSpacing/>
              <w:rPr>
                <w:sz w:val="18"/>
                <w:szCs w:val="18"/>
              </w:rPr>
            </w:pPr>
            <w:r w:rsidRPr="00E8051B">
              <w:rPr>
                <w:sz w:val="18"/>
                <w:szCs w:val="18"/>
              </w:rPr>
              <w:t xml:space="preserve">Dental Expenses               </w:t>
            </w:r>
          </w:p>
          <w:p w:rsidR="00DD499D" w:rsidRPr="00DD499D" w:rsidRDefault="00DD499D" w:rsidP="00DD499D">
            <w:pPr>
              <w:pStyle w:val="ListParagraph"/>
              <w:numPr>
                <w:ilvl w:val="0"/>
                <w:numId w:val="7"/>
              </w:numPr>
              <w:ind w:left="252" w:right="0" w:hanging="252"/>
              <w:contextualSpacing/>
              <w:rPr>
                <w:sz w:val="18"/>
                <w:szCs w:val="18"/>
              </w:rPr>
            </w:pPr>
            <w:r w:rsidRPr="00DD499D">
              <w:rPr>
                <w:sz w:val="18"/>
                <w:szCs w:val="18"/>
              </w:rPr>
              <w:t>Counseling Expense</w:t>
            </w:r>
          </w:p>
          <w:p w:rsidR="00DD499D" w:rsidRPr="00DD499D" w:rsidRDefault="00DD499D" w:rsidP="00DD499D">
            <w:pPr>
              <w:pStyle w:val="ListParagraph"/>
              <w:numPr>
                <w:ilvl w:val="0"/>
                <w:numId w:val="7"/>
              </w:numPr>
              <w:ind w:left="252" w:right="0" w:hanging="252"/>
              <w:contextualSpacing/>
              <w:rPr>
                <w:sz w:val="18"/>
                <w:szCs w:val="18"/>
              </w:rPr>
            </w:pPr>
            <w:r w:rsidRPr="00DD499D">
              <w:rPr>
                <w:sz w:val="18"/>
                <w:szCs w:val="18"/>
              </w:rPr>
              <w:t>Loss of Earnings</w:t>
            </w:r>
          </w:p>
          <w:p w:rsidR="00DD499D" w:rsidRPr="00DD499D" w:rsidRDefault="00DD499D" w:rsidP="00DD499D">
            <w:pPr>
              <w:pStyle w:val="ListParagraph"/>
              <w:numPr>
                <w:ilvl w:val="0"/>
                <w:numId w:val="7"/>
              </w:numPr>
              <w:ind w:left="252" w:right="0" w:hanging="252"/>
              <w:contextualSpacing/>
              <w:rPr>
                <w:sz w:val="18"/>
                <w:szCs w:val="18"/>
              </w:rPr>
            </w:pPr>
            <w:r w:rsidRPr="00DD499D">
              <w:rPr>
                <w:sz w:val="18"/>
                <w:szCs w:val="18"/>
              </w:rPr>
              <w:t>Loss of Support</w:t>
            </w:r>
          </w:p>
          <w:p w:rsidR="00DD499D" w:rsidRPr="00DD499D" w:rsidRDefault="00DD499D" w:rsidP="00DD499D">
            <w:pPr>
              <w:pStyle w:val="ListParagraph"/>
              <w:numPr>
                <w:ilvl w:val="0"/>
                <w:numId w:val="7"/>
              </w:numPr>
              <w:ind w:left="252" w:right="0" w:hanging="252"/>
              <w:contextualSpacing/>
              <w:rPr>
                <w:sz w:val="18"/>
                <w:szCs w:val="18"/>
              </w:rPr>
            </w:pPr>
            <w:r w:rsidRPr="00DD499D">
              <w:rPr>
                <w:sz w:val="18"/>
                <w:szCs w:val="18"/>
              </w:rPr>
              <w:t>Replacement Bedding/Clothing (taken with the SAECK)</w:t>
            </w:r>
          </w:p>
          <w:p w:rsidR="00DD499D" w:rsidRPr="00DD499D" w:rsidRDefault="00DD499D" w:rsidP="00DD499D">
            <w:pPr>
              <w:pStyle w:val="ListParagraph"/>
              <w:numPr>
                <w:ilvl w:val="0"/>
                <w:numId w:val="7"/>
              </w:numPr>
              <w:ind w:left="252" w:right="0" w:hanging="252"/>
              <w:contextualSpacing/>
              <w:rPr>
                <w:sz w:val="18"/>
                <w:szCs w:val="18"/>
              </w:rPr>
            </w:pPr>
            <w:r w:rsidRPr="00DD499D">
              <w:rPr>
                <w:sz w:val="18"/>
                <w:szCs w:val="18"/>
              </w:rPr>
              <w:t xml:space="preserve">Security Measures </w:t>
            </w:r>
          </w:p>
          <w:p w:rsidR="00DD499D" w:rsidRPr="00DD499D" w:rsidRDefault="00DD499D" w:rsidP="00DD499D">
            <w:pPr>
              <w:pStyle w:val="ListParagraph"/>
              <w:numPr>
                <w:ilvl w:val="0"/>
                <w:numId w:val="7"/>
              </w:numPr>
              <w:ind w:left="252" w:right="0" w:hanging="252"/>
              <w:contextualSpacing/>
              <w:rPr>
                <w:sz w:val="18"/>
                <w:szCs w:val="18"/>
              </w:rPr>
            </w:pPr>
            <w:r w:rsidRPr="00DD499D">
              <w:rPr>
                <w:sz w:val="18"/>
                <w:szCs w:val="18"/>
              </w:rPr>
              <w:t>Ambulance Services</w:t>
            </w:r>
          </w:p>
        </w:tc>
      </w:tr>
    </w:tbl>
    <w:p w:rsidR="004A2156" w:rsidRPr="00DD499D" w:rsidRDefault="004A2156" w:rsidP="00DD499D">
      <w:pPr>
        <w:pStyle w:val="Heading3"/>
        <w:spacing w:before="72" w:line="240" w:lineRule="auto"/>
        <w:ind w:left="3234"/>
        <w:rPr>
          <w:rFonts w:ascii="Times New Roman" w:hAnsi="Times New Roman" w:cs="Times New Roman"/>
        </w:rPr>
      </w:pPr>
    </w:p>
    <w:sectPr w:rsidR="004A2156" w:rsidRPr="00DD499D" w:rsidSect="00BE573E">
      <w:pgSz w:w="15840" w:h="12240" w:orient="landscape"/>
      <w:pgMar w:top="500" w:right="420" w:bottom="280" w:left="50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CCD" w:rsidRDefault="000E6CCD" w:rsidP="000E6CCD">
      <w:r>
        <w:separator/>
      </w:r>
    </w:p>
  </w:endnote>
  <w:endnote w:type="continuationSeparator" w:id="0">
    <w:p w:rsidR="000E6CCD" w:rsidRDefault="000E6CCD" w:rsidP="000E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66" w:rsidRDefault="00344A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CD" w:rsidRPr="00344A66" w:rsidRDefault="000E6CCD" w:rsidP="00344A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66" w:rsidRDefault="00344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CCD" w:rsidRDefault="000E6CCD" w:rsidP="000E6CCD">
      <w:r>
        <w:separator/>
      </w:r>
    </w:p>
  </w:footnote>
  <w:footnote w:type="continuationSeparator" w:id="0">
    <w:p w:rsidR="000E6CCD" w:rsidRDefault="000E6CCD" w:rsidP="000E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66" w:rsidRDefault="00344A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66" w:rsidRDefault="00344A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66" w:rsidRDefault="00344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B47"/>
    <w:multiLevelType w:val="hybridMultilevel"/>
    <w:tmpl w:val="1B3C4104"/>
    <w:lvl w:ilvl="0" w:tplc="A0FA350C">
      <w:numFmt w:val="bullet"/>
      <w:lvlText w:val=""/>
      <w:lvlJc w:val="left"/>
      <w:pPr>
        <w:ind w:left="460" w:hanging="360"/>
      </w:pPr>
      <w:rPr>
        <w:rFonts w:ascii="Symbol" w:eastAsia="Symbol" w:hAnsi="Symbol" w:cs="Symbol" w:hint="default"/>
        <w:w w:val="100"/>
        <w:sz w:val="24"/>
        <w:szCs w:val="24"/>
      </w:rPr>
    </w:lvl>
    <w:lvl w:ilvl="1" w:tplc="6C12806A">
      <w:start w:val="1"/>
      <w:numFmt w:val="decimal"/>
      <w:lvlText w:val="%2."/>
      <w:lvlJc w:val="left"/>
      <w:pPr>
        <w:ind w:left="1180" w:hanging="720"/>
        <w:jc w:val="left"/>
      </w:pPr>
      <w:rPr>
        <w:rFonts w:ascii="Times New Roman" w:eastAsia="Times New Roman" w:hAnsi="Times New Roman" w:cs="Times New Roman" w:hint="default"/>
        <w:spacing w:val="-5"/>
        <w:w w:val="99"/>
        <w:sz w:val="24"/>
        <w:szCs w:val="24"/>
      </w:rPr>
    </w:lvl>
    <w:lvl w:ilvl="2" w:tplc="F4A2A92C">
      <w:numFmt w:val="bullet"/>
      <w:lvlText w:val="•"/>
      <w:lvlJc w:val="left"/>
      <w:pPr>
        <w:ind w:left="2126" w:hanging="720"/>
      </w:pPr>
      <w:rPr>
        <w:rFonts w:hint="default"/>
      </w:rPr>
    </w:lvl>
    <w:lvl w:ilvl="3" w:tplc="8D325744">
      <w:numFmt w:val="bullet"/>
      <w:lvlText w:val="•"/>
      <w:lvlJc w:val="left"/>
      <w:pPr>
        <w:ind w:left="3073" w:hanging="720"/>
      </w:pPr>
      <w:rPr>
        <w:rFonts w:hint="default"/>
      </w:rPr>
    </w:lvl>
    <w:lvl w:ilvl="4" w:tplc="1C86C9CE">
      <w:numFmt w:val="bullet"/>
      <w:lvlText w:val="•"/>
      <w:lvlJc w:val="left"/>
      <w:pPr>
        <w:ind w:left="4020" w:hanging="720"/>
      </w:pPr>
      <w:rPr>
        <w:rFonts w:hint="default"/>
      </w:rPr>
    </w:lvl>
    <w:lvl w:ilvl="5" w:tplc="80D28FE8">
      <w:numFmt w:val="bullet"/>
      <w:lvlText w:val="•"/>
      <w:lvlJc w:val="left"/>
      <w:pPr>
        <w:ind w:left="4966" w:hanging="720"/>
      </w:pPr>
      <w:rPr>
        <w:rFonts w:hint="default"/>
      </w:rPr>
    </w:lvl>
    <w:lvl w:ilvl="6" w:tplc="3CEC9F20">
      <w:numFmt w:val="bullet"/>
      <w:lvlText w:val="•"/>
      <w:lvlJc w:val="left"/>
      <w:pPr>
        <w:ind w:left="5913" w:hanging="720"/>
      </w:pPr>
      <w:rPr>
        <w:rFonts w:hint="default"/>
      </w:rPr>
    </w:lvl>
    <w:lvl w:ilvl="7" w:tplc="0476808E">
      <w:numFmt w:val="bullet"/>
      <w:lvlText w:val="•"/>
      <w:lvlJc w:val="left"/>
      <w:pPr>
        <w:ind w:left="6860" w:hanging="720"/>
      </w:pPr>
      <w:rPr>
        <w:rFonts w:hint="default"/>
      </w:rPr>
    </w:lvl>
    <w:lvl w:ilvl="8" w:tplc="3B4087E4">
      <w:numFmt w:val="bullet"/>
      <w:lvlText w:val="•"/>
      <w:lvlJc w:val="left"/>
      <w:pPr>
        <w:ind w:left="7806" w:hanging="720"/>
      </w:pPr>
      <w:rPr>
        <w:rFonts w:hint="default"/>
      </w:rPr>
    </w:lvl>
  </w:abstractNum>
  <w:abstractNum w:abstractNumId="1">
    <w:nsid w:val="13C80ADE"/>
    <w:multiLevelType w:val="hybridMultilevel"/>
    <w:tmpl w:val="423A24D2"/>
    <w:lvl w:ilvl="0" w:tplc="066A71E2">
      <w:numFmt w:val="bullet"/>
      <w:lvlText w:val="•"/>
      <w:lvlJc w:val="left"/>
      <w:pPr>
        <w:ind w:left="467" w:hanging="360"/>
      </w:pPr>
      <w:rPr>
        <w:rFonts w:ascii="Calibri" w:eastAsia="Calibri" w:hAnsi="Calibri" w:cs="Calibri" w:hint="default"/>
        <w:spacing w:val="-4"/>
        <w:w w:val="99"/>
        <w:sz w:val="18"/>
        <w:szCs w:val="18"/>
      </w:rPr>
    </w:lvl>
    <w:lvl w:ilvl="1" w:tplc="8C74EA28">
      <w:numFmt w:val="bullet"/>
      <w:lvlText w:val="•"/>
      <w:lvlJc w:val="left"/>
      <w:pPr>
        <w:ind w:left="820" w:hanging="360"/>
      </w:pPr>
      <w:rPr>
        <w:rFonts w:hint="default"/>
      </w:rPr>
    </w:lvl>
    <w:lvl w:ilvl="2" w:tplc="9D287F8C">
      <w:numFmt w:val="bullet"/>
      <w:lvlText w:val="•"/>
      <w:lvlJc w:val="left"/>
      <w:pPr>
        <w:ind w:left="1870" w:hanging="360"/>
      </w:pPr>
      <w:rPr>
        <w:rFonts w:hint="default"/>
      </w:rPr>
    </w:lvl>
    <w:lvl w:ilvl="3" w:tplc="7BBC70F4">
      <w:numFmt w:val="bullet"/>
      <w:lvlText w:val="•"/>
      <w:lvlJc w:val="left"/>
      <w:pPr>
        <w:ind w:left="2920" w:hanging="360"/>
      </w:pPr>
      <w:rPr>
        <w:rFonts w:hint="default"/>
      </w:rPr>
    </w:lvl>
    <w:lvl w:ilvl="4" w:tplc="B3D0BC4E">
      <w:numFmt w:val="bullet"/>
      <w:lvlText w:val="•"/>
      <w:lvlJc w:val="left"/>
      <w:pPr>
        <w:ind w:left="3970" w:hanging="360"/>
      </w:pPr>
      <w:rPr>
        <w:rFonts w:hint="default"/>
      </w:rPr>
    </w:lvl>
    <w:lvl w:ilvl="5" w:tplc="6C0A4324">
      <w:numFmt w:val="bullet"/>
      <w:lvlText w:val="•"/>
      <w:lvlJc w:val="left"/>
      <w:pPr>
        <w:ind w:left="5020" w:hanging="360"/>
      </w:pPr>
      <w:rPr>
        <w:rFonts w:hint="default"/>
      </w:rPr>
    </w:lvl>
    <w:lvl w:ilvl="6" w:tplc="36B09022">
      <w:numFmt w:val="bullet"/>
      <w:lvlText w:val="•"/>
      <w:lvlJc w:val="left"/>
      <w:pPr>
        <w:ind w:left="6070" w:hanging="360"/>
      </w:pPr>
      <w:rPr>
        <w:rFonts w:hint="default"/>
      </w:rPr>
    </w:lvl>
    <w:lvl w:ilvl="7" w:tplc="E480BF2C">
      <w:numFmt w:val="bullet"/>
      <w:lvlText w:val="•"/>
      <w:lvlJc w:val="left"/>
      <w:pPr>
        <w:ind w:left="7120" w:hanging="360"/>
      </w:pPr>
      <w:rPr>
        <w:rFonts w:hint="default"/>
      </w:rPr>
    </w:lvl>
    <w:lvl w:ilvl="8" w:tplc="B278234A">
      <w:numFmt w:val="bullet"/>
      <w:lvlText w:val="•"/>
      <w:lvlJc w:val="left"/>
      <w:pPr>
        <w:ind w:left="8170" w:hanging="360"/>
      </w:pPr>
      <w:rPr>
        <w:rFonts w:hint="default"/>
      </w:rPr>
    </w:lvl>
  </w:abstractNum>
  <w:abstractNum w:abstractNumId="2">
    <w:nsid w:val="20714A95"/>
    <w:multiLevelType w:val="hybridMultilevel"/>
    <w:tmpl w:val="DD464A20"/>
    <w:lvl w:ilvl="0" w:tplc="14905F40">
      <w:numFmt w:val="bullet"/>
      <w:lvlText w:val="o"/>
      <w:lvlJc w:val="left"/>
      <w:pPr>
        <w:ind w:left="820" w:hanging="360"/>
      </w:pPr>
      <w:rPr>
        <w:rFonts w:ascii="Courier New" w:eastAsia="Courier New" w:hAnsi="Courier New" w:cs="Courier New" w:hint="default"/>
        <w:w w:val="100"/>
        <w:sz w:val="22"/>
        <w:szCs w:val="22"/>
      </w:rPr>
    </w:lvl>
    <w:lvl w:ilvl="1" w:tplc="91609E50">
      <w:numFmt w:val="bullet"/>
      <w:lvlText w:val="•"/>
      <w:lvlJc w:val="left"/>
      <w:pPr>
        <w:ind w:left="1708" w:hanging="360"/>
      </w:pPr>
      <w:rPr>
        <w:rFonts w:hint="default"/>
      </w:rPr>
    </w:lvl>
    <w:lvl w:ilvl="2" w:tplc="F2A8B830">
      <w:numFmt w:val="bullet"/>
      <w:lvlText w:val="•"/>
      <w:lvlJc w:val="left"/>
      <w:pPr>
        <w:ind w:left="2596" w:hanging="360"/>
      </w:pPr>
      <w:rPr>
        <w:rFonts w:hint="default"/>
      </w:rPr>
    </w:lvl>
    <w:lvl w:ilvl="3" w:tplc="C048FBEE">
      <w:numFmt w:val="bullet"/>
      <w:lvlText w:val="•"/>
      <w:lvlJc w:val="left"/>
      <w:pPr>
        <w:ind w:left="3484" w:hanging="360"/>
      </w:pPr>
      <w:rPr>
        <w:rFonts w:hint="default"/>
      </w:rPr>
    </w:lvl>
    <w:lvl w:ilvl="4" w:tplc="6376118A">
      <w:numFmt w:val="bullet"/>
      <w:lvlText w:val="•"/>
      <w:lvlJc w:val="left"/>
      <w:pPr>
        <w:ind w:left="4372" w:hanging="360"/>
      </w:pPr>
      <w:rPr>
        <w:rFonts w:hint="default"/>
      </w:rPr>
    </w:lvl>
    <w:lvl w:ilvl="5" w:tplc="20247E80">
      <w:numFmt w:val="bullet"/>
      <w:lvlText w:val="•"/>
      <w:lvlJc w:val="left"/>
      <w:pPr>
        <w:ind w:left="5260" w:hanging="360"/>
      </w:pPr>
      <w:rPr>
        <w:rFonts w:hint="default"/>
      </w:rPr>
    </w:lvl>
    <w:lvl w:ilvl="6" w:tplc="8C5C292A">
      <w:numFmt w:val="bullet"/>
      <w:lvlText w:val="•"/>
      <w:lvlJc w:val="left"/>
      <w:pPr>
        <w:ind w:left="6148" w:hanging="360"/>
      </w:pPr>
      <w:rPr>
        <w:rFonts w:hint="default"/>
      </w:rPr>
    </w:lvl>
    <w:lvl w:ilvl="7" w:tplc="954CFD1A">
      <w:numFmt w:val="bullet"/>
      <w:lvlText w:val="•"/>
      <w:lvlJc w:val="left"/>
      <w:pPr>
        <w:ind w:left="7036" w:hanging="360"/>
      </w:pPr>
      <w:rPr>
        <w:rFonts w:hint="default"/>
      </w:rPr>
    </w:lvl>
    <w:lvl w:ilvl="8" w:tplc="61B6069C">
      <w:numFmt w:val="bullet"/>
      <w:lvlText w:val="•"/>
      <w:lvlJc w:val="left"/>
      <w:pPr>
        <w:ind w:left="7924" w:hanging="360"/>
      </w:pPr>
      <w:rPr>
        <w:rFonts w:hint="default"/>
      </w:rPr>
    </w:lvl>
  </w:abstractNum>
  <w:abstractNum w:abstractNumId="3">
    <w:nsid w:val="32104D9B"/>
    <w:multiLevelType w:val="hybridMultilevel"/>
    <w:tmpl w:val="F4646C14"/>
    <w:lvl w:ilvl="0" w:tplc="AFDCFBDC">
      <w:numFmt w:val="bullet"/>
      <w:lvlText w:val="•"/>
      <w:lvlJc w:val="left"/>
      <w:pPr>
        <w:ind w:left="465" w:hanging="360"/>
      </w:pPr>
      <w:rPr>
        <w:rFonts w:ascii="Calibri" w:eastAsia="Calibri" w:hAnsi="Calibri" w:cs="Calibri" w:hint="default"/>
        <w:spacing w:val="-2"/>
        <w:w w:val="99"/>
        <w:sz w:val="18"/>
        <w:szCs w:val="18"/>
      </w:rPr>
    </w:lvl>
    <w:lvl w:ilvl="1" w:tplc="D422CC3E">
      <w:numFmt w:val="bullet"/>
      <w:lvlText w:val="•"/>
      <w:lvlJc w:val="left"/>
      <w:pPr>
        <w:ind w:left="854" w:hanging="360"/>
      </w:pPr>
      <w:rPr>
        <w:rFonts w:hint="default"/>
      </w:rPr>
    </w:lvl>
    <w:lvl w:ilvl="2" w:tplc="17466010">
      <w:numFmt w:val="bullet"/>
      <w:lvlText w:val="•"/>
      <w:lvlJc w:val="left"/>
      <w:pPr>
        <w:ind w:left="1248" w:hanging="360"/>
      </w:pPr>
      <w:rPr>
        <w:rFonts w:hint="default"/>
      </w:rPr>
    </w:lvl>
    <w:lvl w:ilvl="3" w:tplc="B5B2097A">
      <w:numFmt w:val="bullet"/>
      <w:lvlText w:val="•"/>
      <w:lvlJc w:val="left"/>
      <w:pPr>
        <w:ind w:left="1642" w:hanging="360"/>
      </w:pPr>
      <w:rPr>
        <w:rFonts w:hint="default"/>
      </w:rPr>
    </w:lvl>
    <w:lvl w:ilvl="4" w:tplc="0F4060E0">
      <w:numFmt w:val="bullet"/>
      <w:lvlText w:val="•"/>
      <w:lvlJc w:val="left"/>
      <w:pPr>
        <w:ind w:left="2036" w:hanging="360"/>
      </w:pPr>
      <w:rPr>
        <w:rFonts w:hint="default"/>
      </w:rPr>
    </w:lvl>
    <w:lvl w:ilvl="5" w:tplc="070A4BD4">
      <w:numFmt w:val="bullet"/>
      <w:lvlText w:val="•"/>
      <w:lvlJc w:val="left"/>
      <w:pPr>
        <w:ind w:left="2430" w:hanging="360"/>
      </w:pPr>
      <w:rPr>
        <w:rFonts w:hint="default"/>
      </w:rPr>
    </w:lvl>
    <w:lvl w:ilvl="6" w:tplc="692EAA80">
      <w:numFmt w:val="bullet"/>
      <w:lvlText w:val="•"/>
      <w:lvlJc w:val="left"/>
      <w:pPr>
        <w:ind w:left="2824" w:hanging="360"/>
      </w:pPr>
      <w:rPr>
        <w:rFonts w:hint="default"/>
      </w:rPr>
    </w:lvl>
    <w:lvl w:ilvl="7" w:tplc="820C7EB6">
      <w:numFmt w:val="bullet"/>
      <w:lvlText w:val="•"/>
      <w:lvlJc w:val="left"/>
      <w:pPr>
        <w:ind w:left="3218" w:hanging="360"/>
      </w:pPr>
      <w:rPr>
        <w:rFonts w:hint="default"/>
      </w:rPr>
    </w:lvl>
    <w:lvl w:ilvl="8" w:tplc="B32ACC00">
      <w:numFmt w:val="bullet"/>
      <w:lvlText w:val="•"/>
      <w:lvlJc w:val="left"/>
      <w:pPr>
        <w:ind w:left="3612" w:hanging="360"/>
      </w:pPr>
      <w:rPr>
        <w:rFonts w:hint="default"/>
      </w:rPr>
    </w:lvl>
  </w:abstractNum>
  <w:abstractNum w:abstractNumId="4">
    <w:nsid w:val="540F13D9"/>
    <w:multiLevelType w:val="hybridMultilevel"/>
    <w:tmpl w:val="40DEE492"/>
    <w:lvl w:ilvl="0" w:tplc="1A56BB32">
      <w:numFmt w:val="bullet"/>
      <w:lvlText w:val="•"/>
      <w:lvlJc w:val="left"/>
      <w:pPr>
        <w:ind w:left="720" w:hanging="72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1240B2"/>
    <w:multiLevelType w:val="hybridMultilevel"/>
    <w:tmpl w:val="6D3E66D8"/>
    <w:lvl w:ilvl="0" w:tplc="C8D8B0B8">
      <w:numFmt w:val="bullet"/>
      <w:lvlText w:val="•"/>
      <w:lvlJc w:val="left"/>
      <w:pPr>
        <w:ind w:left="465" w:hanging="360"/>
      </w:pPr>
      <w:rPr>
        <w:rFonts w:ascii="Calibri" w:eastAsia="Calibri" w:hAnsi="Calibri" w:cs="Calibri" w:hint="default"/>
        <w:spacing w:val="-4"/>
        <w:w w:val="99"/>
        <w:sz w:val="18"/>
        <w:szCs w:val="18"/>
      </w:rPr>
    </w:lvl>
    <w:lvl w:ilvl="1" w:tplc="2A045A32">
      <w:numFmt w:val="bullet"/>
      <w:lvlText w:val="•"/>
      <w:lvlJc w:val="left"/>
      <w:pPr>
        <w:ind w:left="854" w:hanging="360"/>
      </w:pPr>
      <w:rPr>
        <w:rFonts w:hint="default"/>
      </w:rPr>
    </w:lvl>
    <w:lvl w:ilvl="2" w:tplc="8E6C671E">
      <w:numFmt w:val="bullet"/>
      <w:lvlText w:val="•"/>
      <w:lvlJc w:val="left"/>
      <w:pPr>
        <w:ind w:left="1248" w:hanging="360"/>
      </w:pPr>
      <w:rPr>
        <w:rFonts w:hint="default"/>
      </w:rPr>
    </w:lvl>
    <w:lvl w:ilvl="3" w:tplc="7BD8B3FA">
      <w:numFmt w:val="bullet"/>
      <w:lvlText w:val="•"/>
      <w:lvlJc w:val="left"/>
      <w:pPr>
        <w:ind w:left="1642" w:hanging="360"/>
      </w:pPr>
      <w:rPr>
        <w:rFonts w:hint="default"/>
      </w:rPr>
    </w:lvl>
    <w:lvl w:ilvl="4" w:tplc="332205D4">
      <w:numFmt w:val="bullet"/>
      <w:lvlText w:val="•"/>
      <w:lvlJc w:val="left"/>
      <w:pPr>
        <w:ind w:left="2036" w:hanging="360"/>
      </w:pPr>
      <w:rPr>
        <w:rFonts w:hint="default"/>
      </w:rPr>
    </w:lvl>
    <w:lvl w:ilvl="5" w:tplc="E0AA5F74">
      <w:numFmt w:val="bullet"/>
      <w:lvlText w:val="•"/>
      <w:lvlJc w:val="left"/>
      <w:pPr>
        <w:ind w:left="2430" w:hanging="360"/>
      </w:pPr>
      <w:rPr>
        <w:rFonts w:hint="default"/>
      </w:rPr>
    </w:lvl>
    <w:lvl w:ilvl="6" w:tplc="813EA7DE">
      <w:numFmt w:val="bullet"/>
      <w:lvlText w:val="•"/>
      <w:lvlJc w:val="left"/>
      <w:pPr>
        <w:ind w:left="2824" w:hanging="360"/>
      </w:pPr>
      <w:rPr>
        <w:rFonts w:hint="default"/>
      </w:rPr>
    </w:lvl>
    <w:lvl w:ilvl="7" w:tplc="A0521A68">
      <w:numFmt w:val="bullet"/>
      <w:lvlText w:val="•"/>
      <w:lvlJc w:val="left"/>
      <w:pPr>
        <w:ind w:left="3218" w:hanging="360"/>
      </w:pPr>
      <w:rPr>
        <w:rFonts w:hint="default"/>
      </w:rPr>
    </w:lvl>
    <w:lvl w:ilvl="8" w:tplc="74D4677A">
      <w:numFmt w:val="bullet"/>
      <w:lvlText w:val="•"/>
      <w:lvlJc w:val="left"/>
      <w:pPr>
        <w:ind w:left="3612" w:hanging="360"/>
      </w:pPr>
      <w:rPr>
        <w:rFonts w:hint="default"/>
      </w:rPr>
    </w:lvl>
  </w:abstractNum>
  <w:abstractNum w:abstractNumId="6">
    <w:nsid w:val="75591E89"/>
    <w:multiLevelType w:val="hybridMultilevel"/>
    <w:tmpl w:val="45C85DAA"/>
    <w:lvl w:ilvl="0" w:tplc="AA840D98">
      <w:numFmt w:val="bullet"/>
      <w:lvlText w:val="•"/>
      <w:lvlJc w:val="left"/>
      <w:pPr>
        <w:ind w:left="357" w:hanging="252"/>
      </w:pPr>
      <w:rPr>
        <w:rFonts w:ascii="Calibri" w:eastAsia="Calibri" w:hAnsi="Calibri" w:cs="Calibri" w:hint="default"/>
        <w:spacing w:val="-4"/>
        <w:w w:val="99"/>
        <w:sz w:val="18"/>
        <w:szCs w:val="18"/>
      </w:rPr>
    </w:lvl>
    <w:lvl w:ilvl="1" w:tplc="C512D20C">
      <w:numFmt w:val="bullet"/>
      <w:lvlText w:val="•"/>
      <w:lvlJc w:val="left"/>
      <w:pPr>
        <w:ind w:left="764" w:hanging="252"/>
      </w:pPr>
      <w:rPr>
        <w:rFonts w:hint="default"/>
      </w:rPr>
    </w:lvl>
    <w:lvl w:ilvl="2" w:tplc="BB4E190C">
      <w:numFmt w:val="bullet"/>
      <w:lvlText w:val="•"/>
      <w:lvlJc w:val="left"/>
      <w:pPr>
        <w:ind w:left="1168" w:hanging="252"/>
      </w:pPr>
      <w:rPr>
        <w:rFonts w:hint="default"/>
      </w:rPr>
    </w:lvl>
    <w:lvl w:ilvl="3" w:tplc="5E101912">
      <w:numFmt w:val="bullet"/>
      <w:lvlText w:val="•"/>
      <w:lvlJc w:val="left"/>
      <w:pPr>
        <w:ind w:left="1572" w:hanging="252"/>
      </w:pPr>
      <w:rPr>
        <w:rFonts w:hint="default"/>
      </w:rPr>
    </w:lvl>
    <w:lvl w:ilvl="4" w:tplc="3D820828">
      <w:numFmt w:val="bullet"/>
      <w:lvlText w:val="•"/>
      <w:lvlJc w:val="left"/>
      <w:pPr>
        <w:ind w:left="1976" w:hanging="252"/>
      </w:pPr>
      <w:rPr>
        <w:rFonts w:hint="default"/>
      </w:rPr>
    </w:lvl>
    <w:lvl w:ilvl="5" w:tplc="35322E8E">
      <w:numFmt w:val="bullet"/>
      <w:lvlText w:val="•"/>
      <w:lvlJc w:val="left"/>
      <w:pPr>
        <w:ind w:left="2380" w:hanging="252"/>
      </w:pPr>
      <w:rPr>
        <w:rFonts w:hint="default"/>
      </w:rPr>
    </w:lvl>
    <w:lvl w:ilvl="6" w:tplc="4A4EEF34">
      <w:numFmt w:val="bullet"/>
      <w:lvlText w:val="•"/>
      <w:lvlJc w:val="left"/>
      <w:pPr>
        <w:ind w:left="2784" w:hanging="252"/>
      </w:pPr>
      <w:rPr>
        <w:rFonts w:hint="default"/>
      </w:rPr>
    </w:lvl>
    <w:lvl w:ilvl="7" w:tplc="32AEBDA6">
      <w:numFmt w:val="bullet"/>
      <w:lvlText w:val="•"/>
      <w:lvlJc w:val="left"/>
      <w:pPr>
        <w:ind w:left="3188" w:hanging="252"/>
      </w:pPr>
      <w:rPr>
        <w:rFonts w:hint="default"/>
      </w:rPr>
    </w:lvl>
    <w:lvl w:ilvl="8" w:tplc="02BC5626">
      <w:numFmt w:val="bullet"/>
      <w:lvlText w:val="•"/>
      <w:lvlJc w:val="left"/>
      <w:pPr>
        <w:ind w:left="3592" w:hanging="252"/>
      </w:pPr>
      <w:rPr>
        <w:rFonts w:hint="default"/>
      </w:r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56"/>
    <w:rsid w:val="000E6CCD"/>
    <w:rsid w:val="0023366D"/>
    <w:rsid w:val="00344A66"/>
    <w:rsid w:val="003C5328"/>
    <w:rsid w:val="004A2156"/>
    <w:rsid w:val="004A28C3"/>
    <w:rsid w:val="007A6564"/>
    <w:rsid w:val="009D3EF2"/>
    <w:rsid w:val="00BE573E"/>
    <w:rsid w:val="00C00419"/>
    <w:rsid w:val="00C32C9D"/>
    <w:rsid w:val="00D6605A"/>
    <w:rsid w:val="00DD499D"/>
    <w:rsid w:val="00E8051B"/>
    <w:rsid w:val="00EA440E"/>
    <w:rsid w:val="00F9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0"/>
      <w:ind w:left="351"/>
      <w:outlineLvl w:val="0"/>
    </w:pPr>
    <w:rPr>
      <w:rFonts w:ascii="Garamond" w:eastAsia="Garamond" w:hAnsi="Garamond" w:cs="Garamond"/>
      <w:sz w:val="44"/>
      <w:szCs w:val="44"/>
    </w:rPr>
  </w:style>
  <w:style w:type="paragraph" w:styleId="Heading2">
    <w:name w:val="heading 2"/>
    <w:basedOn w:val="Normal"/>
    <w:uiPriority w:val="1"/>
    <w:qFormat/>
    <w:pPr>
      <w:ind w:left="100"/>
      <w:outlineLvl w:val="1"/>
    </w:pPr>
    <w:rPr>
      <w:b/>
      <w:bCs/>
      <w:sz w:val="28"/>
      <w:szCs w:val="28"/>
      <w:u w:val="single" w:color="000000"/>
    </w:rPr>
  </w:style>
  <w:style w:type="paragraph" w:styleId="Heading3">
    <w:name w:val="heading 3"/>
    <w:basedOn w:val="Normal"/>
    <w:uiPriority w:val="1"/>
    <w:qFormat/>
    <w:pPr>
      <w:spacing w:line="255" w:lineRule="exact"/>
      <w:ind w:left="351"/>
      <w:outlineLvl w:val="2"/>
    </w:pPr>
    <w:rPr>
      <w:rFonts w:ascii="Garamond" w:eastAsia="Garamond"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aramond" w:eastAsia="Garamond" w:hAnsi="Garamond" w:cs="Garamond"/>
      <w:sz w:val="24"/>
      <w:szCs w:val="24"/>
    </w:rPr>
  </w:style>
  <w:style w:type="paragraph" w:styleId="ListParagraph">
    <w:name w:val="List Paragraph"/>
    <w:basedOn w:val="Normal"/>
    <w:uiPriority w:val="34"/>
    <w:qFormat/>
    <w:pPr>
      <w:ind w:left="460" w:right="110" w:hanging="360"/>
    </w:pPr>
  </w:style>
  <w:style w:type="paragraph" w:customStyle="1" w:styleId="TableParagraph">
    <w:name w:val="Table Paragraph"/>
    <w:basedOn w:val="Normal"/>
    <w:uiPriority w:val="1"/>
    <w:qFormat/>
    <w:pPr>
      <w:ind w:left="465"/>
    </w:pPr>
  </w:style>
  <w:style w:type="paragraph" w:styleId="BalloonText">
    <w:name w:val="Balloon Text"/>
    <w:basedOn w:val="Normal"/>
    <w:link w:val="BalloonTextChar"/>
    <w:uiPriority w:val="99"/>
    <w:semiHidden/>
    <w:unhideWhenUsed/>
    <w:rsid w:val="00DD499D"/>
    <w:rPr>
      <w:rFonts w:ascii="Tahoma" w:hAnsi="Tahoma" w:cs="Tahoma"/>
      <w:sz w:val="16"/>
      <w:szCs w:val="16"/>
    </w:rPr>
  </w:style>
  <w:style w:type="character" w:customStyle="1" w:styleId="BalloonTextChar">
    <w:name w:val="Balloon Text Char"/>
    <w:basedOn w:val="DefaultParagraphFont"/>
    <w:link w:val="BalloonText"/>
    <w:uiPriority w:val="99"/>
    <w:semiHidden/>
    <w:rsid w:val="00DD499D"/>
    <w:rPr>
      <w:rFonts w:ascii="Tahoma" w:eastAsia="Times New Roman" w:hAnsi="Tahoma" w:cs="Tahoma"/>
      <w:sz w:val="16"/>
      <w:szCs w:val="16"/>
    </w:rPr>
  </w:style>
  <w:style w:type="paragraph" w:styleId="Header">
    <w:name w:val="header"/>
    <w:basedOn w:val="Normal"/>
    <w:link w:val="HeaderChar"/>
    <w:uiPriority w:val="99"/>
    <w:unhideWhenUsed/>
    <w:rsid w:val="00DD499D"/>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DD499D"/>
  </w:style>
  <w:style w:type="table" w:styleId="TableGrid">
    <w:name w:val="Table Grid"/>
    <w:basedOn w:val="TableNormal"/>
    <w:uiPriority w:val="59"/>
    <w:rsid w:val="00DD499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99D"/>
    <w:rPr>
      <w:color w:val="0000FF" w:themeColor="hyperlink"/>
      <w:u w:val="single"/>
    </w:rPr>
  </w:style>
  <w:style w:type="paragraph" w:styleId="Footer">
    <w:name w:val="footer"/>
    <w:basedOn w:val="Normal"/>
    <w:link w:val="FooterChar"/>
    <w:uiPriority w:val="99"/>
    <w:unhideWhenUsed/>
    <w:rsid w:val="000E6CCD"/>
    <w:pPr>
      <w:tabs>
        <w:tab w:val="center" w:pos="4680"/>
        <w:tab w:val="right" w:pos="9360"/>
      </w:tabs>
    </w:pPr>
  </w:style>
  <w:style w:type="character" w:customStyle="1" w:styleId="FooterChar">
    <w:name w:val="Footer Char"/>
    <w:basedOn w:val="DefaultParagraphFont"/>
    <w:link w:val="Footer"/>
    <w:uiPriority w:val="99"/>
    <w:rsid w:val="000E6CC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0"/>
      <w:ind w:left="351"/>
      <w:outlineLvl w:val="0"/>
    </w:pPr>
    <w:rPr>
      <w:rFonts w:ascii="Garamond" w:eastAsia="Garamond" w:hAnsi="Garamond" w:cs="Garamond"/>
      <w:sz w:val="44"/>
      <w:szCs w:val="44"/>
    </w:rPr>
  </w:style>
  <w:style w:type="paragraph" w:styleId="Heading2">
    <w:name w:val="heading 2"/>
    <w:basedOn w:val="Normal"/>
    <w:uiPriority w:val="1"/>
    <w:qFormat/>
    <w:pPr>
      <w:ind w:left="100"/>
      <w:outlineLvl w:val="1"/>
    </w:pPr>
    <w:rPr>
      <w:b/>
      <w:bCs/>
      <w:sz w:val="28"/>
      <w:szCs w:val="28"/>
      <w:u w:val="single" w:color="000000"/>
    </w:rPr>
  </w:style>
  <w:style w:type="paragraph" w:styleId="Heading3">
    <w:name w:val="heading 3"/>
    <w:basedOn w:val="Normal"/>
    <w:uiPriority w:val="1"/>
    <w:qFormat/>
    <w:pPr>
      <w:spacing w:line="255" w:lineRule="exact"/>
      <w:ind w:left="351"/>
      <w:outlineLvl w:val="2"/>
    </w:pPr>
    <w:rPr>
      <w:rFonts w:ascii="Garamond" w:eastAsia="Garamond"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aramond" w:eastAsia="Garamond" w:hAnsi="Garamond" w:cs="Garamond"/>
      <w:sz w:val="24"/>
      <w:szCs w:val="24"/>
    </w:rPr>
  </w:style>
  <w:style w:type="paragraph" w:styleId="ListParagraph">
    <w:name w:val="List Paragraph"/>
    <w:basedOn w:val="Normal"/>
    <w:uiPriority w:val="34"/>
    <w:qFormat/>
    <w:pPr>
      <w:ind w:left="460" w:right="110" w:hanging="360"/>
    </w:pPr>
  </w:style>
  <w:style w:type="paragraph" w:customStyle="1" w:styleId="TableParagraph">
    <w:name w:val="Table Paragraph"/>
    <w:basedOn w:val="Normal"/>
    <w:uiPriority w:val="1"/>
    <w:qFormat/>
    <w:pPr>
      <w:ind w:left="465"/>
    </w:pPr>
  </w:style>
  <w:style w:type="paragraph" w:styleId="BalloonText">
    <w:name w:val="Balloon Text"/>
    <w:basedOn w:val="Normal"/>
    <w:link w:val="BalloonTextChar"/>
    <w:uiPriority w:val="99"/>
    <w:semiHidden/>
    <w:unhideWhenUsed/>
    <w:rsid w:val="00DD499D"/>
    <w:rPr>
      <w:rFonts w:ascii="Tahoma" w:hAnsi="Tahoma" w:cs="Tahoma"/>
      <w:sz w:val="16"/>
      <w:szCs w:val="16"/>
    </w:rPr>
  </w:style>
  <w:style w:type="character" w:customStyle="1" w:styleId="BalloonTextChar">
    <w:name w:val="Balloon Text Char"/>
    <w:basedOn w:val="DefaultParagraphFont"/>
    <w:link w:val="BalloonText"/>
    <w:uiPriority w:val="99"/>
    <w:semiHidden/>
    <w:rsid w:val="00DD499D"/>
    <w:rPr>
      <w:rFonts w:ascii="Tahoma" w:eastAsia="Times New Roman" w:hAnsi="Tahoma" w:cs="Tahoma"/>
      <w:sz w:val="16"/>
      <w:szCs w:val="16"/>
    </w:rPr>
  </w:style>
  <w:style w:type="paragraph" w:styleId="Header">
    <w:name w:val="header"/>
    <w:basedOn w:val="Normal"/>
    <w:link w:val="HeaderChar"/>
    <w:uiPriority w:val="99"/>
    <w:unhideWhenUsed/>
    <w:rsid w:val="00DD499D"/>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DD499D"/>
  </w:style>
  <w:style w:type="table" w:styleId="TableGrid">
    <w:name w:val="Table Grid"/>
    <w:basedOn w:val="TableNormal"/>
    <w:uiPriority w:val="59"/>
    <w:rsid w:val="00DD499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99D"/>
    <w:rPr>
      <w:color w:val="0000FF" w:themeColor="hyperlink"/>
      <w:u w:val="single"/>
    </w:rPr>
  </w:style>
  <w:style w:type="paragraph" w:styleId="Footer">
    <w:name w:val="footer"/>
    <w:basedOn w:val="Normal"/>
    <w:link w:val="FooterChar"/>
    <w:uiPriority w:val="99"/>
    <w:unhideWhenUsed/>
    <w:rsid w:val="000E6CCD"/>
    <w:pPr>
      <w:tabs>
        <w:tab w:val="center" w:pos="4680"/>
        <w:tab w:val="right" w:pos="9360"/>
      </w:tabs>
    </w:pPr>
  </w:style>
  <w:style w:type="character" w:customStyle="1" w:styleId="FooterChar">
    <w:name w:val="Footer Char"/>
    <w:basedOn w:val="DefaultParagraphFont"/>
    <w:link w:val="Footer"/>
    <w:uiPriority w:val="99"/>
    <w:rsid w:val="000E6CC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20jpeters@mhalink.org%20or%20(781)%20262-6023." TargetMode="External"/><Relationship Id="rId13" Type="http://schemas.openxmlformats.org/officeDocument/2006/relationships/header" Target="header3.xml"/><Relationship Id="rId18" Type="http://schemas.openxmlformats.org/officeDocument/2006/relationships/hyperlink" Target="http://www.mass.gov/ago/docs/victim/victim-comp-app.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VCCorrespondence@state.ma.us" TargetMode="External"/><Relationship Id="rId2" Type="http://schemas.openxmlformats.org/officeDocument/2006/relationships/styles" Target="styles.xml"/><Relationship Id="rId16" Type="http://schemas.openxmlformats.org/officeDocument/2006/relationships/hyperlink" Target="http://www.mass.gov/eohhs/docs/eohhs/eohhs-regs/wc-2015-paf.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CCorrespondence@state.ma.u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2019-05-10T17:21:00Z</dcterms:created>
  <dcterms:modified xsi:type="dcterms:W3CDTF">2019-05-10T17:21:00Z</dcterms:modified>
</cp:coreProperties>
</file>