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2FEE0" w14:textId="77777777" w:rsidR="002E0532" w:rsidRPr="00A03FD6" w:rsidRDefault="002E0532">
      <w:pPr>
        <w:suppressAutoHyphens/>
        <w:rPr>
          <w:sz w:val="22"/>
          <w:szCs w:val="22"/>
        </w:rPr>
      </w:pPr>
      <w:r w:rsidRPr="00A03FD6">
        <w:rPr>
          <w:sz w:val="22"/>
          <w:szCs w:val="22"/>
        </w:rPr>
        <w:t>Section</w:t>
      </w:r>
    </w:p>
    <w:p w14:paraId="491897E3" w14:textId="77777777" w:rsidR="002E0532" w:rsidRPr="00A03FD6" w:rsidRDefault="002E0532">
      <w:pPr>
        <w:suppressAutoHyphens/>
        <w:rPr>
          <w:sz w:val="22"/>
          <w:szCs w:val="22"/>
        </w:rPr>
      </w:pPr>
    </w:p>
    <w:p w14:paraId="4F87C85D" w14:textId="77777777" w:rsidR="002E0532" w:rsidRPr="00A03FD6" w:rsidRDefault="006F0897">
      <w:pPr>
        <w:suppressAutoHyphens/>
        <w:rPr>
          <w:sz w:val="22"/>
          <w:szCs w:val="22"/>
        </w:rPr>
      </w:pPr>
      <w:r w:rsidRPr="00A03FD6">
        <w:rPr>
          <w:sz w:val="22"/>
          <w:szCs w:val="22"/>
        </w:rPr>
        <w:t>446</w:t>
      </w:r>
      <w:r w:rsidR="002E0532" w:rsidRPr="00A03FD6">
        <w:rPr>
          <w:sz w:val="22"/>
          <w:szCs w:val="22"/>
        </w:rPr>
        <w:t>.01:  General Provisions</w:t>
      </w:r>
    </w:p>
    <w:p w14:paraId="271E7D04" w14:textId="77777777" w:rsidR="002E0532" w:rsidRPr="00A03FD6" w:rsidRDefault="006F0897">
      <w:pPr>
        <w:suppressAutoHyphens/>
        <w:rPr>
          <w:sz w:val="22"/>
          <w:szCs w:val="22"/>
        </w:rPr>
      </w:pPr>
      <w:r w:rsidRPr="00A03FD6">
        <w:rPr>
          <w:sz w:val="22"/>
          <w:szCs w:val="22"/>
        </w:rPr>
        <w:t>446</w:t>
      </w:r>
      <w:r w:rsidR="002E0532" w:rsidRPr="00A03FD6">
        <w:rPr>
          <w:sz w:val="22"/>
          <w:szCs w:val="22"/>
        </w:rPr>
        <w:t>.02:  Definitions</w:t>
      </w:r>
    </w:p>
    <w:p w14:paraId="57AEC523" w14:textId="77777777" w:rsidR="002E0532" w:rsidRPr="00A03FD6" w:rsidRDefault="006F0897">
      <w:pPr>
        <w:suppressAutoHyphens/>
        <w:rPr>
          <w:sz w:val="22"/>
          <w:szCs w:val="22"/>
        </w:rPr>
      </w:pPr>
      <w:r w:rsidRPr="00A03FD6">
        <w:rPr>
          <w:sz w:val="22"/>
          <w:szCs w:val="22"/>
        </w:rPr>
        <w:t>446</w:t>
      </w:r>
      <w:r w:rsidR="002E0532" w:rsidRPr="00A03FD6">
        <w:rPr>
          <w:sz w:val="22"/>
          <w:szCs w:val="22"/>
        </w:rPr>
        <w:t xml:space="preserve">.03:  General Rate Provisions and </w:t>
      </w:r>
      <w:r w:rsidR="00D00F25" w:rsidRPr="00A03FD6">
        <w:rPr>
          <w:sz w:val="22"/>
          <w:szCs w:val="22"/>
        </w:rPr>
        <w:t>Payment</w:t>
      </w:r>
    </w:p>
    <w:p w14:paraId="66CDC2E1" w14:textId="77777777" w:rsidR="00D00F25" w:rsidRPr="00A03FD6" w:rsidRDefault="006F0897">
      <w:pPr>
        <w:suppressAutoHyphens/>
        <w:rPr>
          <w:sz w:val="22"/>
          <w:szCs w:val="22"/>
        </w:rPr>
      </w:pPr>
      <w:r w:rsidRPr="00A03FD6">
        <w:rPr>
          <w:sz w:val="22"/>
          <w:szCs w:val="22"/>
        </w:rPr>
        <w:t>446</w:t>
      </w:r>
      <w:r w:rsidR="00D00F25" w:rsidRPr="00A03FD6">
        <w:rPr>
          <w:sz w:val="22"/>
          <w:szCs w:val="22"/>
        </w:rPr>
        <w:t>.04:</w:t>
      </w:r>
      <w:r w:rsidR="004A6844" w:rsidRPr="00A03FD6">
        <w:rPr>
          <w:sz w:val="22"/>
          <w:szCs w:val="22"/>
        </w:rPr>
        <w:t xml:space="preserve">  </w:t>
      </w:r>
      <w:r w:rsidR="00D00F25" w:rsidRPr="00A03FD6">
        <w:rPr>
          <w:sz w:val="22"/>
          <w:szCs w:val="22"/>
        </w:rPr>
        <w:t xml:space="preserve">Special </w:t>
      </w:r>
      <w:r w:rsidR="00D24841" w:rsidRPr="00A03FD6">
        <w:rPr>
          <w:sz w:val="22"/>
          <w:szCs w:val="22"/>
        </w:rPr>
        <w:t>Contracts</w:t>
      </w:r>
    </w:p>
    <w:p w14:paraId="7EBA128B" w14:textId="77777777" w:rsidR="002E0532" w:rsidRPr="00A03FD6" w:rsidRDefault="006F0897">
      <w:pPr>
        <w:suppressAutoHyphens/>
        <w:rPr>
          <w:sz w:val="22"/>
          <w:szCs w:val="22"/>
        </w:rPr>
      </w:pPr>
      <w:r w:rsidRPr="00A03FD6">
        <w:rPr>
          <w:sz w:val="22"/>
          <w:szCs w:val="22"/>
        </w:rPr>
        <w:t>446</w:t>
      </w:r>
      <w:r w:rsidR="002E0532" w:rsidRPr="00A03FD6">
        <w:rPr>
          <w:sz w:val="22"/>
          <w:szCs w:val="22"/>
        </w:rPr>
        <w:t>.0</w:t>
      </w:r>
      <w:r w:rsidR="00D00F25" w:rsidRPr="00A03FD6">
        <w:rPr>
          <w:sz w:val="22"/>
          <w:szCs w:val="22"/>
        </w:rPr>
        <w:t>5</w:t>
      </w:r>
      <w:r w:rsidR="002E0532" w:rsidRPr="00A03FD6">
        <w:rPr>
          <w:sz w:val="22"/>
          <w:szCs w:val="22"/>
        </w:rPr>
        <w:t>:  Reporting Requirements</w:t>
      </w:r>
    </w:p>
    <w:p w14:paraId="43665269" w14:textId="77777777" w:rsidR="002E0532" w:rsidRPr="00A03FD6" w:rsidRDefault="006F0897">
      <w:pPr>
        <w:suppressAutoHyphens/>
        <w:rPr>
          <w:sz w:val="22"/>
          <w:szCs w:val="22"/>
        </w:rPr>
      </w:pPr>
      <w:r w:rsidRPr="00A03FD6">
        <w:rPr>
          <w:sz w:val="22"/>
          <w:szCs w:val="22"/>
        </w:rPr>
        <w:t>446</w:t>
      </w:r>
      <w:r w:rsidR="002E0532" w:rsidRPr="00A03FD6">
        <w:rPr>
          <w:sz w:val="22"/>
          <w:szCs w:val="22"/>
        </w:rPr>
        <w:t>.0</w:t>
      </w:r>
      <w:r w:rsidR="00D00F25" w:rsidRPr="00A03FD6">
        <w:rPr>
          <w:sz w:val="22"/>
          <w:szCs w:val="22"/>
        </w:rPr>
        <w:t>6</w:t>
      </w:r>
      <w:r w:rsidR="002E0532" w:rsidRPr="00A03FD6">
        <w:rPr>
          <w:sz w:val="22"/>
          <w:szCs w:val="22"/>
        </w:rPr>
        <w:t>:  Severability</w:t>
      </w:r>
    </w:p>
    <w:p w14:paraId="47745FFC" w14:textId="77777777" w:rsidR="002E0532" w:rsidRPr="00A03FD6" w:rsidRDefault="002E0532">
      <w:pPr>
        <w:suppressAutoHyphens/>
        <w:rPr>
          <w:sz w:val="22"/>
          <w:szCs w:val="22"/>
        </w:rPr>
      </w:pPr>
    </w:p>
    <w:p w14:paraId="56931838" w14:textId="77777777" w:rsidR="002E0532" w:rsidRPr="00A03FD6" w:rsidRDefault="006F0897" w:rsidP="00166BF8">
      <w:pPr>
        <w:rPr>
          <w:sz w:val="22"/>
          <w:szCs w:val="22"/>
          <w:u w:val="single"/>
        </w:rPr>
      </w:pPr>
      <w:r w:rsidRPr="00A03FD6">
        <w:rPr>
          <w:sz w:val="22"/>
          <w:szCs w:val="22"/>
          <w:u w:val="single"/>
        </w:rPr>
        <w:t>446</w:t>
      </w:r>
      <w:r w:rsidR="002E0532" w:rsidRPr="00A03FD6">
        <w:rPr>
          <w:sz w:val="22"/>
          <w:szCs w:val="22"/>
          <w:u w:val="single"/>
        </w:rPr>
        <w:t>.01:  General Provisions</w:t>
      </w:r>
    </w:p>
    <w:p w14:paraId="6414F5BB" w14:textId="77777777" w:rsidR="002E0532" w:rsidRPr="00A03FD6" w:rsidRDefault="002E0532">
      <w:pPr>
        <w:suppressAutoHyphens/>
        <w:rPr>
          <w:sz w:val="22"/>
          <w:szCs w:val="22"/>
        </w:rPr>
      </w:pPr>
    </w:p>
    <w:p w14:paraId="1323FB86" w14:textId="1A074C82" w:rsidR="002E0532" w:rsidRPr="00A03FD6" w:rsidRDefault="002E0532" w:rsidP="00E922DE">
      <w:pPr>
        <w:tabs>
          <w:tab w:val="left" w:pos="-720"/>
          <w:tab w:val="left" w:pos="0"/>
        </w:tabs>
        <w:suppressAutoHyphens/>
        <w:ind w:left="720"/>
        <w:rPr>
          <w:sz w:val="22"/>
          <w:szCs w:val="22"/>
        </w:rPr>
      </w:pPr>
      <w:r w:rsidRPr="00A03FD6">
        <w:rPr>
          <w:sz w:val="22"/>
          <w:szCs w:val="22"/>
        </w:rPr>
        <w:t xml:space="preserve">(1)  </w:t>
      </w:r>
      <w:r w:rsidRPr="00A03FD6">
        <w:rPr>
          <w:sz w:val="22"/>
          <w:szCs w:val="22"/>
          <w:u w:val="single"/>
        </w:rPr>
        <w:t>Scope</w:t>
      </w:r>
      <w:r w:rsidR="00D00F25" w:rsidRPr="00A03FD6">
        <w:rPr>
          <w:sz w:val="22"/>
          <w:szCs w:val="22"/>
          <w:u w:val="single"/>
        </w:rPr>
        <w:t xml:space="preserve"> and</w:t>
      </w:r>
      <w:r w:rsidRPr="00A03FD6">
        <w:rPr>
          <w:sz w:val="22"/>
          <w:szCs w:val="22"/>
          <w:u w:val="single"/>
        </w:rPr>
        <w:t xml:space="preserve"> Purpose</w:t>
      </w:r>
      <w:r w:rsidRPr="00A03FD6">
        <w:rPr>
          <w:sz w:val="22"/>
          <w:szCs w:val="22"/>
        </w:rPr>
        <w:t xml:space="preserve">. </w:t>
      </w:r>
      <w:r w:rsidR="00F77D66" w:rsidRPr="00A03FD6">
        <w:rPr>
          <w:sz w:val="22"/>
          <w:szCs w:val="22"/>
        </w:rPr>
        <w:t xml:space="preserve"> </w:t>
      </w:r>
      <w:r w:rsidR="00D00F25" w:rsidRPr="00A03FD6">
        <w:rPr>
          <w:sz w:val="22"/>
          <w:szCs w:val="22"/>
        </w:rPr>
        <w:t>101</w:t>
      </w:r>
      <w:r w:rsidRPr="00A03FD6">
        <w:rPr>
          <w:sz w:val="22"/>
          <w:szCs w:val="22"/>
        </w:rPr>
        <w:t xml:space="preserve"> CMR </w:t>
      </w:r>
      <w:r w:rsidR="002A6E9D" w:rsidRPr="00A03FD6">
        <w:rPr>
          <w:sz w:val="22"/>
          <w:szCs w:val="22"/>
        </w:rPr>
        <w:t>446</w:t>
      </w:r>
      <w:r w:rsidRPr="00A03FD6">
        <w:rPr>
          <w:sz w:val="22"/>
          <w:szCs w:val="22"/>
        </w:rPr>
        <w:t xml:space="preserve">.00 governs the </w:t>
      </w:r>
      <w:r w:rsidR="00D00F25" w:rsidRPr="00A03FD6">
        <w:rPr>
          <w:sz w:val="22"/>
          <w:szCs w:val="22"/>
        </w:rPr>
        <w:t xml:space="preserve">rates of </w:t>
      </w:r>
      <w:r w:rsidRPr="00A03FD6">
        <w:rPr>
          <w:sz w:val="22"/>
          <w:szCs w:val="22"/>
        </w:rPr>
        <w:t>payment</w:t>
      </w:r>
      <w:r w:rsidR="00D00F25" w:rsidRPr="00A03FD6">
        <w:rPr>
          <w:sz w:val="22"/>
          <w:szCs w:val="22"/>
        </w:rPr>
        <w:t xml:space="preserve"> to </w:t>
      </w:r>
      <w:r w:rsidR="002A6E9D" w:rsidRPr="00A03FD6">
        <w:rPr>
          <w:sz w:val="22"/>
          <w:szCs w:val="22"/>
        </w:rPr>
        <w:t xml:space="preserve">certain community health care providers </w:t>
      </w:r>
      <w:r w:rsidR="00D00F25" w:rsidRPr="00A03FD6">
        <w:rPr>
          <w:sz w:val="22"/>
          <w:szCs w:val="22"/>
        </w:rPr>
        <w:t xml:space="preserve">to be used by all governmental units for services provided </w:t>
      </w:r>
      <w:r w:rsidRPr="00A03FD6">
        <w:rPr>
          <w:sz w:val="22"/>
          <w:szCs w:val="22"/>
        </w:rPr>
        <w:t xml:space="preserve">to </w:t>
      </w:r>
      <w:r w:rsidR="004410B6" w:rsidRPr="00A03FD6">
        <w:rPr>
          <w:sz w:val="22"/>
          <w:szCs w:val="22"/>
        </w:rPr>
        <w:t>p</w:t>
      </w:r>
      <w:r w:rsidRPr="00A03FD6">
        <w:rPr>
          <w:sz w:val="22"/>
          <w:szCs w:val="22"/>
        </w:rPr>
        <w:t xml:space="preserve">ublicly </w:t>
      </w:r>
      <w:r w:rsidR="004410B6" w:rsidRPr="00A03FD6">
        <w:rPr>
          <w:sz w:val="22"/>
          <w:szCs w:val="22"/>
        </w:rPr>
        <w:t>a</w:t>
      </w:r>
      <w:r w:rsidRPr="00A03FD6">
        <w:rPr>
          <w:sz w:val="22"/>
          <w:szCs w:val="22"/>
        </w:rPr>
        <w:t xml:space="preserve">ided </w:t>
      </w:r>
      <w:r w:rsidR="004410B6" w:rsidRPr="00A03FD6">
        <w:rPr>
          <w:sz w:val="22"/>
          <w:szCs w:val="22"/>
        </w:rPr>
        <w:t>i</w:t>
      </w:r>
      <w:r w:rsidRPr="00A03FD6">
        <w:rPr>
          <w:sz w:val="22"/>
          <w:szCs w:val="22"/>
        </w:rPr>
        <w:t>ndividuals</w:t>
      </w:r>
      <w:r w:rsidR="00D00F25" w:rsidRPr="00A03FD6">
        <w:rPr>
          <w:sz w:val="22"/>
          <w:szCs w:val="22"/>
        </w:rPr>
        <w:t>.</w:t>
      </w:r>
      <w:r w:rsidRPr="00A03FD6">
        <w:rPr>
          <w:sz w:val="22"/>
          <w:szCs w:val="22"/>
        </w:rPr>
        <w:t xml:space="preserve"> </w:t>
      </w:r>
      <w:r w:rsidR="00845057" w:rsidRPr="00A03FD6">
        <w:rPr>
          <w:sz w:val="22"/>
          <w:szCs w:val="22"/>
        </w:rPr>
        <w:t>The rates set forth in 101 CMR 446.</w:t>
      </w:r>
      <w:r w:rsidR="00F56ADA" w:rsidRPr="00A03FD6">
        <w:rPr>
          <w:sz w:val="22"/>
          <w:szCs w:val="22"/>
        </w:rPr>
        <w:t xml:space="preserve">03(5) </w:t>
      </w:r>
      <w:r w:rsidR="00845057" w:rsidRPr="00A03FD6">
        <w:rPr>
          <w:sz w:val="22"/>
          <w:szCs w:val="22"/>
        </w:rPr>
        <w:t xml:space="preserve">also apply to </w:t>
      </w:r>
      <w:r w:rsidR="00F56ADA" w:rsidRPr="00A03FD6">
        <w:rPr>
          <w:sz w:val="22"/>
          <w:szCs w:val="22"/>
        </w:rPr>
        <w:t xml:space="preserve">such services paid for by governmental units for </w:t>
      </w:r>
      <w:r w:rsidR="00845057" w:rsidRPr="00A03FD6">
        <w:rPr>
          <w:sz w:val="22"/>
          <w:szCs w:val="22"/>
        </w:rPr>
        <w:t xml:space="preserve">individuals covered by M.G.L. c. 152 (the Workers’ Compensation Act). </w:t>
      </w:r>
      <w:r w:rsidR="002A6E9D" w:rsidRPr="00A03FD6">
        <w:rPr>
          <w:sz w:val="22"/>
          <w:szCs w:val="22"/>
        </w:rPr>
        <w:t xml:space="preserve">These rates are for services related </w:t>
      </w:r>
      <w:r w:rsidR="006F0897" w:rsidRPr="00A03FD6">
        <w:rPr>
          <w:sz w:val="22"/>
          <w:szCs w:val="22"/>
        </w:rPr>
        <w:t>to</w:t>
      </w:r>
      <w:r w:rsidR="002A6E9D" w:rsidRPr="00A03FD6">
        <w:rPr>
          <w:sz w:val="22"/>
          <w:szCs w:val="22"/>
        </w:rPr>
        <w:t xml:space="preserve"> </w:t>
      </w:r>
      <w:r w:rsidR="00100C82" w:rsidRPr="00A03FD6">
        <w:rPr>
          <w:sz w:val="22"/>
          <w:szCs w:val="22"/>
        </w:rPr>
        <w:t>Coronavirus</w:t>
      </w:r>
      <w:r w:rsidR="002A6E9D" w:rsidRPr="00A03FD6">
        <w:rPr>
          <w:sz w:val="22"/>
          <w:szCs w:val="22"/>
        </w:rPr>
        <w:t xml:space="preserve"> </w:t>
      </w:r>
      <w:r w:rsidR="000164A6" w:rsidRPr="00A03FD6">
        <w:rPr>
          <w:sz w:val="22"/>
          <w:szCs w:val="22"/>
        </w:rPr>
        <w:t xml:space="preserve">Disease </w:t>
      </w:r>
      <w:r w:rsidR="00E5150C" w:rsidRPr="00A03FD6">
        <w:rPr>
          <w:sz w:val="22"/>
          <w:szCs w:val="22"/>
        </w:rPr>
        <w:t xml:space="preserve">2019 </w:t>
      </w:r>
      <w:r w:rsidR="002A6E9D" w:rsidRPr="00A03FD6">
        <w:rPr>
          <w:sz w:val="22"/>
          <w:szCs w:val="22"/>
        </w:rPr>
        <w:t xml:space="preserve">(COVID-19).  </w:t>
      </w:r>
    </w:p>
    <w:p w14:paraId="66750F6E" w14:textId="77777777" w:rsidR="00D00F25" w:rsidRPr="00A03FD6" w:rsidRDefault="00D00F25">
      <w:pPr>
        <w:tabs>
          <w:tab w:val="left" w:pos="-720"/>
          <w:tab w:val="left" w:pos="0"/>
        </w:tabs>
        <w:suppressAutoHyphens/>
        <w:ind w:left="720" w:hanging="720"/>
        <w:rPr>
          <w:sz w:val="22"/>
          <w:szCs w:val="22"/>
        </w:rPr>
      </w:pPr>
    </w:p>
    <w:p w14:paraId="33DDE14D" w14:textId="7870D604" w:rsidR="00D00F25" w:rsidRPr="00A03FD6" w:rsidRDefault="00D00F25" w:rsidP="00E922DE">
      <w:pPr>
        <w:tabs>
          <w:tab w:val="left" w:pos="-720"/>
          <w:tab w:val="left" w:pos="0"/>
        </w:tabs>
        <w:suppressAutoHyphens/>
        <w:ind w:left="720"/>
        <w:rPr>
          <w:sz w:val="22"/>
          <w:szCs w:val="22"/>
        </w:rPr>
      </w:pPr>
      <w:r w:rsidRPr="00A03FD6">
        <w:rPr>
          <w:sz w:val="22"/>
          <w:szCs w:val="22"/>
        </w:rPr>
        <w:t>(2)</w:t>
      </w:r>
      <w:r w:rsidR="00E922DE" w:rsidRPr="00A03FD6">
        <w:rPr>
          <w:sz w:val="22"/>
          <w:szCs w:val="22"/>
        </w:rPr>
        <w:t xml:space="preserve"> </w:t>
      </w:r>
      <w:r w:rsidRPr="00A03FD6">
        <w:rPr>
          <w:sz w:val="22"/>
          <w:szCs w:val="22"/>
        </w:rPr>
        <w:t xml:space="preserve"> </w:t>
      </w:r>
      <w:r w:rsidR="00D6286B" w:rsidRPr="00A03FD6">
        <w:rPr>
          <w:sz w:val="22"/>
          <w:szCs w:val="22"/>
          <w:u w:val="single"/>
        </w:rPr>
        <w:t xml:space="preserve">Applicable </w:t>
      </w:r>
      <w:r w:rsidRPr="00A03FD6">
        <w:rPr>
          <w:sz w:val="22"/>
          <w:szCs w:val="22"/>
          <w:u w:val="single"/>
        </w:rPr>
        <w:t>Date</w:t>
      </w:r>
      <w:r w:rsidR="00D6286B" w:rsidRPr="00A03FD6">
        <w:rPr>
          <w:sz w:val="22"/>
          <w:szCs w:val="22"/>
          <w:u w:val="single"/>
        </w:rPr>
        <w:t>s of Service</w:t>
      </w:r>
      <w:r w:rsidRPr="00A03FD6">
        <w:rPr>
          <w:sz w:val="22"/>
          <w:szCs w:val="22"/>
        </w:rPr>
        <w:t xml:space="preserve">. </w:t>
      </w:r>
      <w:r w:rsidR="00F77D66" w:rsidRPr="00A03FD6">
        <w:rPr>
          <w:sz w:val="22"/>
          <w:szCs w:val="22"/>
        </w:rPr>
        <w:t xml:space="preserve"> </w:t>
      </w:r>
      <w:r w:rsidRPr="00A03FD6">
        <w:rPr>
          <w:sz w:val="22"/>
          <w:szCs w:val="22"/>
        </w:rPr>
        <w:t xml:space="preserve">Rates in 101 CMR </w:t>
      </w:r>
      <w:r w:rsidR="002A6E9D" w:rsidRPr="00A03FD6">
        <w:rPr>
          <w:sz w:val="22"/>
          <w:szCs w:val="22"/>
        </w:rPr>
        <w:t>446</w:t>
      </w:r>
      <w:r w:rsidRPr="00A03FD6">
        <w:rPr>
          <w:sz w:val="22"/>
          <w:szCs w:val="22"/>
        </w:rPr>
        <w:t xml:space="preserve">.00 </w:t>
      </w:r>
      <w:r w:rsidR="00D6286B" w:rsidRPr="00A03FD6">
        <w:rPr>
          <w:sz w:val="22"/>
          <w:szCs w:val="22"/>
        </w:rPr>
        <w:t>apply</w:t>
      </w:r>
      <w:r w:rsidRPr="00A03FD6">
        <w:rPr>
          <w:sz w:val="22"/>
          <w:szCs w:val="22"/>
        </w:rPr>
        <w:t xml:space="preserve"> for dates of service on or after </w:t>
      </w:r>
      <w:r w:rsidR="00F95FCE" w:rsidRPr="00A03FD6">
        <w:rPr>
          <w:sz w:val="22"/>
          <w:szCs w:val="22"/>
        </w:rPr>
        <w:t>October 1, 2024</w:t>
      </w:r>
      <w:r w:rsidR="001F71B1" w:rsidRPr="00A03FD6">
        <w:rPr>
          <w:sz w:val="22"/>
          <w:szCs w:val="22"/>
        </w:rPr>
        <w:t xml:space="preserve">, except as otherwise noted.  </w:t>
      </w:r>
    </w:p>
    <w:p w14:paraId="621927DA" w14:textId="77777777" w:rsidR="002E0532" w:rsidRPr="00A03FD6" w:rsidRDefault="002E0532">
      <w:pPr>
        <w:tabs>
          <w:tab w:val="left" w:pos="-720"/>
        </w:tabs>
        <w:suppressAutoHyphens/>
        <w:rPr>
          <w:sz w:val="22"/>
          <w:szCs w:val="22"/>
        </w:rPr>
      </w:pPr>
    </w:p>
    <w:p w14:paraId="7A1AD113" w14:textId="3C286AF7" w:rsidR="002E0532" w:rsidRPr="00A03FD6" w:rsidRDefault="002E0532" w:rsidP="00E922DE">
      <w:pPr>
        <w:tabs>
          <w:tab w:val="left" w:pos="-720"/>
          <w:tab w:val="left" w:pos="0"/>
        </w:tabs>
        <w:suppressAutoHyphens/>
        <w:ind w:left="720"/>
        <w:rPr>
          <w:sz w:val="22"/>
          <w:szCs w:val="22"/>
        </w:rPr>
      </w:pPr>
      <w:r w:rsidRPr="00A03FD6">
        <w:rPr>
          <w:sz w:val="22"/>
          <w:szCs w:val="22"/>
        </w:rPr>
        <w:t>(</w:t>
      </w:r>
      <w:r w:rsidR="00D00F25" w:rsidRPr="00A03FD6">
        <w:rPr>
          <w:sz w:val="22"/>
          <w:szCs w:val="22"/>
        </w:rPr>
        <w:t>3</w:t>
      </w:r>
      <w:r w:rsidRPr="00A03FD6">
        <w:rPr>
          <w:sz w:val="22"/>
          <w:szCs w:val="22"/>
        </w:rPr>
        <w:t xml:space="preserve">)  </w:t>
      </w:r>
      <w:r w:rsidR="00D00F25" w:rsidRPr="00A03FD6">
        <w:rPr>
          <w:sz w:val="22"/>
          <w:szCs w:val="22"/>
          <w:u w:val="single"/>
        </w:rPr>
        <w:t xml:space="preserve">Disclaimer of </w:t>
      </w:r>
      <w:r w:rsidRPr="00A03FD6">
        <w:rPr>
          <w:sz w:val="22"/>
          <w:szCs w:val="22"/>
          <w:u w:val="single"/>
        </w:rPr>
        <w:t>Authorization of Services</w:t>
      </w:r>
      <w:r w:rsidRPr="00A03FD6">
        <w:rPr>
          <w:sz w:val="22"/>
          <w:szCs w:val="22"/>
        </w:rPr>
        <w:t>.</w:t>
      </w:r>
      <w:r w:rsidR="00F77D66" w:rsidRPr="00A03FD6">
        <w:rPr>
          <w:sz w:val="22"/>
          <w:szCs w:val="22"/>
        </w:rPr>
        <w:t xml:space="preserve"> </w:t>
      </w:r>
      <w:r w:rsidRPr="00A03FD6">
        <w:rPr>
          <w:sz w:val="22"/>
          <w:szCs w:val="22"/>
        </w:rPr>
        <w:t xml:space="preserve"> </w:t>
      </w:r>
      <w:r w:rsidR="002A6E9D" w:rsidRPr="00A03FD6">
        <w:rPr>
          <w:sz w:val="22"/>
          <w:szCs w:val="22"/>
        </w:rPr>
        <w:t>101 CMR 446</w:t>
      </w:r>
      <w:r w:rsidR="00397D11" w:rsidRPr="00A03FD6">
        <w:rPr>
          <w:sz w:val="22"/>
          <w:szCs w:val="22"/>
        </w:rPr>
        <w:t xml:space="preserve">.00 is not authorization for or approval of the services for which rates are determined pursuant to </w:t>
      </w:r>
      <w:r w:rsidR="002A6E9D" w:rsidRPr="00A03FD6">
        <w:rPr>
          <w:sz w:val="22"/>
          <w:szCs w:val="22"/>
        </w:rPr>
        <w:t>101 CMR 446</w:t>
      </w:r>
      <w:r w:rsidR="00397D11" w:rsidRPr="00A03FD6">
        <w:rPr>
          <w:sz w:val="22"/>
          <w:szCs w:val="22"/>
        </w:rPr>
        <w:t xml:space="preserve">.00. </w:t>
      </w:r>
      <w:r w:rsidRPr="00A03FD6">
        <w:rPr>
          <w:sz w:val="22"/>
          <w:szCs w:val="22"/>
        </w:rPr>
        <w:t xml:space="preserve">Governmental </w:t>
      </w:r>
      <w:r w:rsidR="00397D11" w:rsidRPr="00A03FD6">
        <w:rPr>
          <w:sz w:val="22"/>
          <w:szCs w:val="22"/>
        </w:rPr>
        <w:t>u</w:t>
      </w:r>
      <w:r w:rsidRPr="00A03FD6">
        <w:rPr>
          <w:sz w:val="22"/>
          <w:szCs w:val="22"/>
        </w:rPr>
        <w:t xml:space="preserve">nits </w:t>
      </w:r>
      <w:r w:rsidR="00397D11" w:rsidRPr="00A03FD6">
        <w:rPr>
          <w:sz w:val="22"/>
          <w:szCs w:val="22"/>
        </w:rPr>
        <w:t xml:space="preserve">that purchase services </w:t>
      </w:r>
      <w:r w:rsidRPr="00A03FD6">
        <w:rPr>
          <w:sz w:val="22"/>
          <w:szCs w:val="22"/>
        </w:rPr>
        <w:t>are responsible for the definition</w:t>
      </w:r>
      <w:r w:rsidR="00397D11" w:rsidRPr="00A03FD6">
        <w:rPr>
          <w:sz w:val="22"/>
          <w:szCs w:val="22"/>
        </w:rPr>
        <w:t>, authorization,</w:t>
      </w:r>
      <w:r w:rsidRPr="00A03FD6">
        <w:rPr>
          <w:sz w:val="22"/>
          <w:szCs w:val="22"/>
        </w:rPr>
        <w:t xml:space="preserve"> and </w:t>
      </w:r>
      <w:r w:rsidR="00397D11" w:rsidRPr="00A03FD6">
        <w:rPr>
          <w:sz w:val="22"/>
          <w:szCs w:val="22"/>
        </w:rPr>
        <w:t xml:space="preserve">approval of care </w:t>
      </w:r>
      <w:r w:rsidR="002A6E9D" w:rsidRPr="00A03FD6">
        <w:rPr>
          <w:sz w:val="22"/>
          <w:szCs w:val="22"/>
        </w:rPr>
        <w:t>a</w:t>
      </w:r>
      <w:r w:rsidR="00397D11" w:rsidRPr="00A03FD6">
        <w:rPr>
          <w:sz w:val="22"/>
          <w:szCs w:val="22"/>
        </w:rPr>
        <w:t>nd services provid</w:t>
      </w:r>
      <w:r w:rsidR="00007C02" w:rsidRPr="00A03FD6">
        <w:rPr>
          <w:sz w:val="22"/>
          <w:szCs w:val="22"/>
        </w:rPr>
        <w:t xml:space="preserve">ed to </w:t>
      </w:r>
      <w:r w:rsidR="004410B6" w:rsidRPr="00A03FD6">
        <w:rPr>
          <w:sz w:val="22"/>
          <w:szCs w:val="22"/>
        </w:rPr>
        <w:t>p</w:t>
      </w:r>
      <w:r w:rsidR="00007C02" w:rsidRPr="00A03FD6">
        <w:rPr>
          <w:sz w:val="22"/>
          <w:szCs w:val="22"/>
        </w:rPr>
        <w:t xml:space="preserve">ublicly </w:t>
      </w:r>
      <w:r w:rsidR="004410B6" w:rsidRPr="00A03FD6">
        <w:rPr>
          <w:sz w:val="22"/>
          <w:szCs w:val="22"/>
        </w:rPr>
        <w:t>a</w:t>
      </w:r>
      <w:r w:rsidR="00007C02" w:rsidRPr="00A03FD6">
        <w:rPr>
          <w:sz w:val="22"/>
          <w:szCs w:val="22"/>
        </w:rPr>
        <w:t xml:space="preserve">ided </w:t>
      </w:r>
      <w:r w:rsidR="00100C82" w:rsidRPr="00A03FD6">
        <w:rPr>
          <w:sz w:val="22"/>
          <w:szCs w:val="22"/>
        </w:rPr>
        <w:t>individuals</w:t>
      </w:r>
      <w:r w:rsidRPr="00A03FD6">
        <w:rPr>
          <w:sz w:val="22"/>
          <w:szCs w:val="22"/>
        </w:rPr>
        <w:t>.</w:t>
      </w:r>
    </w:p>
    <w:p w14:paraId="71D3C1E8" w14:textId="77777777" w:rsidR="002E0532" w:rsidRPr="00A03FD6" w:rsidRDefault="002E0532">
      <w:pPr>
        <w:tabs>
          <w:tab w:val="left" w:pos="-720"/>
        </w:tabs>
        <w:suppressAutoHyphens/>
        <w:rPr>
          <w:sz w:val="22"/>
          <w:szCs w:val="22"/>
        </w:rPr>
      </w:pPr>
    </w:p>
    <w:p w14:paraId="63C2D2CC" w14:textId="1BCF54D0" w:rsidR="002E0532" w:rsidRPr="00A03FD6" w:rsidRDefault="002E0532" w:rsidP="00E922DE">
      <w:pPr>
        <w:tabs>
          <w:tab w:val="left" w:pos="-720"/>
          <w:tab w:val="left" w:pos="0"/>
          <w:tab w:val="left" w:pos="720"/>
        </w:tabs>
        <w:suppressAutoHyphens/>
        <w:ind w:left="720"/>
        <w:rPr>
          <w:sz w:val="22"/>
          <w:szCs w:val="22"/>
        </w:rPr>
      </w:pPr>
      <w:r w:rsidRPr="00A03FD6">
        <w:rPr>
          <w:sz w:val="22"/>
          <w:szCs w:val="22"/>
        </w:rPr>
        <w:t>(</w:t>
      </w:r>
      <w:r w:rsidR="006723B1" w:rsidRPr="00A03FD6">
        <w:rPr>
          <w:sz w:val="22"/>
          <w:szCs w:val="22"/>
        </w:rPr>
        <w:t>4</w:t>
      </w:r>
      <w:r w:rsidRPr="00A03FD6">
        <w:rPr>
          <w:sz w:val="22"/>
          <w:szCs w:val="22"/>
        </w:rPr>
        <w:t xml:space="preserve">)  </w:t>
      </w:r>
      <w:r w:rsidRPr="00A03FD6">
        <w:rPr>
          <w:sz w:val="22"/>
          <w:szCs w:val="22"/>
          <w:u w:val="single"/>
        </w:rPr>
        <w:t>Coverage</w:t>
      </w:r>
      <w:r w:rsidRPr="00A03FD6">
        <w:rPr>
          <w:sz w:val="22"/>
          <w:szCs w:val="22"/>
        </w:rPr>
        <w:t xml:space="preserve">.  The </w:t>
      </w:r>
      <w:r w:rsidR="00007C02" w:rsidRPr="00A03FD6">
        <w:rPr>
          <w:sz w:val="22"/>
          <w:szCs w:val="22"/>
        </w:rPr>
        <w:t xml:space="preserve">rates of </w:t>
      </w:r>
      <w:r w:rsidRPr="00A03FD6">
        <w:rPr>
          <w:sz w:val="22"/>
          <w:szCs w:val="22"/>
        </w:rPr>
        <w:t xml:space="preserve">payment in </w:t>
      </w:r>
      <w:r w:rsidR="002A6E9D" w:rsidRPr="00A03FD6">
        <w:rPr>
          <w:sz w:val="22"/>
          <w:szCs w:val="22"/>
        </w:rPr>
        <w:t>101 CMR 446</w:t>
      </w:r>
      <w:r w:rsidRPr="00A03FD6">
        <w:rPr>
          <w:sz w:val="22"/>
          <w:szCs w:val="22"/>
        </w:rPr>
        <w:t>.00 constitute</w:t>
      </w:r>
      <w:r w:rsidR="00007C02" w:rsidRPr="00A03FD6">
        <w:rPr>
          <w:sz w:val="22"/>
          <w:szCs w:val="22"/>
        </w:rPr>
        <w:t xml:space="preserve"> payment in</w:t>
      </w:r>
      <w:r w:rsidRPr="00A03FD6">
        <w:rPr>
          <w:sz w:val="22"/>
          <w:szCs w:val="22"/>
        </w:rPr>
        <w:t xml:space="preserve"> full for </w:t>
      </w:r>
      <w:r w:rsidR="00007C02" w:rsidRPr="00A03FD6">
        <w:rPr>
          <w:sz w:val="22"/>
          <w:szCs w:val="22"/>
        </w:rPr>
        <w:t>all</w:t>
      </w:r>
      <w:r w:rsidRPr="00A03FD6">
        <w:rPr>
          <w:sz w:val="22"/>
          <w:szCs w:val="22"/>
        </w:rPr>
        <w:t xml:space="preserve"> services provided</w:t>
      </w:r>
      <w:r w:rsidR="00007C02" w:rsidRPr="00A03FD6">
        <w:rPr>
          <w:sz w:val="22"/>
          <w:szCs w:val="22"/>
        </w:rPr>
        <w:t xml:space="preserve"> by an eligible provider</w:t>
      </w:r>
      <w:r w:rsidRPr="00A03FD6">
        <w:rPr>
          <w:sz w:val="22"/>
          <w:szCs w:val="22"/>
        </w:rPr>
        <w:t xml:space="preserve">, including administration and professional supervision services. The payment rates </w:t>
      </w:r>
      <w:r w:rsidR="00007C02" w:rsidRPr="00A03FD6">
        <w:rPr>
          <w:sz w:val="22"/>
          <w:szCs w:val="22"/>
        </w:rPr>
        <w:t>will</w:t>
      </w:r>
      <w:r w:rsidRPr="00A03FD6">
        <w:rPr>
          <w:sz w:val="22"/>
          <w:szCs w:val="22"/>
        </w:rPr>
        <w:t xml:space="preserve"> apply to services </w:t>
      </w:r>
      <w:r w:rsidR="00F95FCE" w:rsidRPr="00A03FD6">
        <w:rPr>
          <w:sz w:val="22"/>
          <w:szCs w:val="22"/>
        </w:rPr>
        <w:t xml:space="preserve">set forth in 101 CMR 446.00 </w:t>
      </w:r>
      <w:r w:rsidRPr="00A03FD6">
        <w:rPr>
          <w:sz w:val="22"/>
          <w:szCs w:val="22"/>
        </w:rPr>
        <w:t>provided</w:t>
      </w:r>
      <w:r w:rsidR="00007C02" w:rsidRPr="00A03FD6">
        <w:rPr>
          <w:sz w:val="22"/>
          <w:szCs w:val="22"/>
        </w:rPr>
        <w:t xml:space="preserve"> by eligible providers</w:t>
      </w:r>
      <w:r w:rsidRPr="00A03FD6">
        <w:rPr>
          <w:sz w:val="22"/>
          <w:szCs w:val="22"/>
        </w:rPr>
        <w:t xml:space="preserve"> to publicly aided individuals </w:t>
      </w:r>
      <w:r w:rsidR="00007C02" w:rsidRPr="00A03FD6">
        <w:rPr>
          <w:sz w:val="22"/>
          <w:szCs w:val="22"/>
        </w:rPr>
        <w:t>under the conditions described by the purchasing governmental unit</w:t>
      </w:r>
      <w:r w:rsidR="006723B1" w:rsidRPr="00A03FD6">
        <w:rPr>
          <w:sz w:val="22"/>
          <w:szCs w:val="22"/>
        </w:rPr>
        <w:t>.</w:t>
      </w:r>
    </w:p>
    <w:p w14:paraId="441DBD24" w14:textId="77777777" w:rsidR="002E0532" w:rsidRPr="00A03FD6" w:rsidRDefault="002E0532">
      <w:pPr>
        <w:tabs>
          <w:tab w:val="left" w:pos="-720"/>
        </w:tabs>
        <w:suppressAutoHyphens/>
        <w:rPr>
          <w:sz w:val="22"/>
          <w:szCs w:val="22"/>
        </w:rPr>
      </w:pPr>
    </w:p>
    <w:p w14:paraId="43EDF089" w14:textId="0AB564C8" w:rsidR="0000185B" w:rsidRPr="00A03FD6" w:rsidRDefault="0000185B" w:rsidP="00F77D66">
      <w:pPr>
        <w:tabs>
          <w:tab w:val="left" w:pos="0"/>
        </w:tabs>
        <w:suppressAutoHyphens/>
        <w:ind w:left="720"/>
        <w:rPr>
          <w:snapToGrid w:val="0"/>
          <w:spacing w:val="-3"/>
          <w:sz w:val="22"/>
          <w:szCs w:val="22"/>
        </w:rPr>
      </w:pPr>
      <w:r w:rsidRPr="00A03FD6">
        <w:rPr>
          <w:sz w:val="22"/>
          <w:szCs w:val="22"/>
        </w:rPr>
        <w:t xml:space="preserve">(5)  </w:t>
      </w:r>
      <w:r w:rsidRPr="00A03FD6">
        <w:rPr>
          <w:snapToGrid w:val="0"/>
          <w:spacing w:val="-3"/>
          <w:sz w:val="22"/>
          <w:szCs w:val="22"/>
          <w:u w:val="single"/>
        </w:rPr>
        <w:t>Coding Updates and Corrections</w:t>
      </w:r>
      <w:r w:rsidRPr="00A03FD6">
        <w:rPr>
          <w:snapToGrid w:val="0"/>
          <w:spacing w:val="-3"/>
          <w:sz w:val="22"/>
          <w:szCs w:val="22"/>
        </w:rPr>
        <w:t xml:space="preserve">.  EOHHS may publish service code updates and corrections </w:t>
      </w:r>
      <w:r w:rsidR="000E056E" w:rsidRPr="00A03FD6">
        <w:rPr>
          <w:snapToGrid w:val="0"/>
          <w:spacing w:val="-3"/>
          <w:sz w:val="22"/>
          <w:szCs w:val="22"/>
        </w:rPr>
        <w:t>in the</w:t>
      </w:r>
      <w:r w:rsidRPr="00A03FD6">
        <w:rPr>
          <w:snapToGrid w:val="0"/>
          <w:spacing w:val="-3"/>
          <w:sz w:val="22"/>
          <w:szCs w:val="22"/>
        </w:rPr>
        <w:t xml:space="preserve"> form of an administrative bulletin. Updates may reference coding systems including</w:t>
      </w:r>
      <w:r w:rsidR="00F96EBC" w:rsidRPr="00A03FD6">
        <w:rPr>
          <w:snapToGrid w:val="0"/>
          <w:spacing w:val="-3"/>
          <w:sz w:val="22"/>
          <w:szCs w:val="22"/>
        </w:rPr>
        <w:t>,</w:t>
      </w:r>
      <w:r w:rsidRPr="00A03FD6">
        <w:rPr>
          <w:snapToGrid w:val="0"/>
          <w:spacing w:val="-3"/>
          <w:sz w:val="22"/>
          <w:szCs w:val="22"/>
        </w:rPr>
        <w:t xml:space="preserve"> but not limited to</w:t>
      </w:r>
      <w:r w:rsidR="00F96EBC" w:rsidRPr="00A03FD6">
        <w:rPr>
          <w:snapToGrid w:val="0"/>
          <w:spacing w:val="-3"/>
          <w:sz w:val="22"/>
          <w:szCs w:val="22"/>
        </w:rPr>
        <w:t>,</w:t>
      </w:r>
      <w:r w:rsidRPr="00A03FD6">
        <w:rPr>
          <w:snapToGrid w:val="0"/>
          <w:spacing w:val="-3"/>
          <w:sz w:val="22"/>
          <w:szCs w:val="22"/>
        </w:rPr>
        <w:t xml:space="preserve"> the </w:t>
      </w:r>
      <w:r w:rsidRPr="00A03FD6">
        <w:rPr>
          <w:i/>
          <w:snapToGrid w:val="0"/>
          <w:spacing w:val="-3"/>
          <w:sz w:val="22"/>
          <w:szCs w:val="22"/>
        </w:rPr>
        <w:t>Healthcare Common Procedure Coding System (HCPCS).</w:t>
      </w:r>
      <w:r w:rsidRPr="00A03FD6">
        <w:rPr>
          <w:snapToGrid w:val="0"/>
          <w:spacing w:val="-3"/>
          <w:sz w:val="22"/>
          <w:szCs w:val="22"/>
        </w:rPr>
        <w:t xml:space="preserve"> The publication of such updates and corrections will list</w:t>
      </w:r>
    </w:p>
    <w:p w14:paraId="1A31852C" w14:textId="759C4D5C" w:rsidR="0000185B" w:rsidRPr="00A03FD6" w:rsidRDefault="0000185B" w:rsidP="00F77D66">
      <w:pPr>
        <w:tabs>
          <w:tab w:val="left" w:pos="0"/>
        </w:tabs>
        <w:suppressAutoHyphens/>
        <w:ind w:left="1080"/>
        <w:rPr>
          <w:snapToGrid w:val="0"/>
          <w:spacing w:val="-3"/>
          <w:sz w:val="22"/>
          <w:szCs w:val="22"/>
        </w:rPr>
      </w:pPr>
      <w:r w:rsidRPr="00A03FD6">
        <w:rPr>
          <w:snapToGrid w:val="0"/>
          <w:spacing w:val="-3"/>
          <w:sz w:val="22"/>
          <w:szCs w:val="22"/>
        </w:rPr>
        <w:t xml:space="preserve">(a) </w:t>
      </w:r>
      <w:r w:rsidR="00F77D66" w:rsidRPr="00A03FD6">
        <w:rPr>
          <w:snapToGrid w:val="0"/>
          <w:spacing w:val="-3"/>
          <w:sz w:val="22"/>
          <w:szCs w:val="22"/>
        </w:rPr>
        <w:t xml:space="preserve"> </w:t>
      </w:r>
      <w:r w:rsidRPr="00A03FD6">
        <w:rPr>
          <w:snapToGrid w:val="0"/>
          <w:spacing w:val="-3"/>
          <w:sz w:val="22"/>
          <w:szCs w:val="22"/>
        </w:rPr>
        <w:t xml:space="preserve">codes for which the code numbers change, with the corresponding cross references between existing and new codes and the codes being replaced. Rates for such new codes are set at the rate of the code that is being </w:t>
      </w:r>
      <w:proofErr w:type="gramStart"/>
      <w:r w:rsidRPr="00A03FD6">
        <w:rPr>
          <w:snapToGrid w:val="0"/>
          <w:spacing w:val="-3"/>
          <w:sz w:val="22"/>
          <w:szCs w:val="22"/>
        </w:rPr>
        <w:t>replaced;</w:t>
      </w:r>
      <w:proofErr w:type="gramEnd"/>
    </w:p>
    <w:p w14:paraId="78CEB4CF" w14:textId="0850C09B" w:rsidR="0000185B" w:rsidRPr="00A03FD6" w:rsidRDefault="0000185B" w:rsidP="00F77D66">
      <w:pPr>
        <w:tabs>
          <w:tab w:val="left" w:pos="0"/>
        </w:tabs>
        <w:suppressAutoHyphens/>
        <w:ind w:left="1080"/>
        <w:rPr>
          <w:snapToGrid w:val="0"/>
          <w:spacing w:val="-3"/>
          <w:sz w:val="22"/>
          <w:szCs w:val="22"/>
        </w:rPr>
      </w:pPr>
      <w:r w:rsidRPr="00A03FD6">
        <w:rPr>
          <w:snapToGrid w:val="0"/>
          <w:spacing w:val="-3"/>
          <w:sz w:val="22"/>
          <w:szCs w:val="22"/>
        </w:rPr>
        <w:t xml:space="preserve">(b) </w:t>
      </w:r>
      <w:r w:rsidR="00F77D66" w:rsidRPr="00A03FD6">
        <w:rPr>
          <w:snapToGrid w:val="0"/>
          <w:spacing w:val="-3"/>
          <w:sz w:val="22"/>
          <w:szCs w:val="22"/>
        </w:rPr>
        <w:t xml:space="preserve"> </w:t>
      </w:r>
      <w:r w:rsidRPr="00A03FD6">
        <w:rPr>
          <w:snapToGrid w:val="0"/>
          <w:spacing w:val="-3"/>
          <w:sz w:val="22"/>
          <w:szCs w:val="22"/>
        </w:rPr>
        <w:t xml:space="preserve">codes for which the code number remains the </w:t>
      </w:r>
      <w:proofErr w:type="gramStart"/>
      <w:r w:rsidRPr="00A03FD6">
        <w:rPr>
          <w:snapToGrid w:val="0"/>
          <w:spacing w:val="-3"/>
          <w:sz w:val="22"/>
          <w:szCs w:val="22"/>
        </w:rPr>
        <w:t>same</w:t>
      </w:r>
      <w:proofErr w:type="gramEnd"/>
      <w:r w:rsidRPr="00A03FD6">
        <w:rPr>
          <w:snapToGrid w:val="0"/>
          <w:spacing w:val="-3"/>
          <w:sz w:val="22"/>
          <w:szCs w:val="22"/>
        </w:rPr>
        <w:t xml:space="preserve"> but the description has changed;</w:t>
      </w:r>
    </w:p>
    <w:p w14:paraId="2CFB6282" w14:textId="1CF9A94B" w:rsidR="0000185B" w:rsidRPr="00A03FD6" w:rsidRDefault="0000185B" w:rsidP="00F77D66">
      <w:pPr>
        <w:tabs>
          <w:tab w:val="left" w:pos="0"/>
        </w:tabs>
        <w:suppressAutoHyphens/>
        <w:ind w:left="1080"/>
        <w:rPr>
          <w:snapToGrid w:val="0"/>
          <w:spacing w:val="-3"/>
          <w:sz w:val="22"/>
          <w:szCs w:val="22"/>
        </w:rPr>
      </w:pPr>
      <w:r w:rsidRPr="00A03FD6">
        <w:rPr>
          <w:snapToGrid w:val="0"/>
          <w:spacing w:val="-3"/>
          <w:sz w:val="22"/>
          <w:szCs w:val="22"/>
        </w:rPr>
        <w:t xml:space="preserve">(c) </w:t>
      </w:r>
      <w:r w:rsidR="00F77D66" w:rsidRPr="00A03FD6">
        <w:rPr>
          <w:snapToGrid w:val="0"/>
          <w:spacing w:val="-3"/>
          <w:sz w:val="22"/>
          <w:szCs w:val="22"/>
        </w:rPr>
        <w:t xml:space="preserve"> </w:t>
      </w:r>
      <w:r w:rsidRPr="00A03FD6">
        <w:rPr>
          <w:snapToGrid w:val="0"/>
          <w:spacing w:val="-3"/>
          <w:sz w:val="22"/>
          <w:szCs w:val="22"/>
        </w:rPr>
        <w:t>deleted codes for which there are no corresponding new codes; and</w:t>
      </w:r>
    </w:p>
    <w:p w14:paraId="42FEF210" w14:textId="3D31D758" w:rsidR="0000185B" w:rsidRPr="00A03FD6" w:rsidRDefault="0000185B" w:rsidP="00F77D66">
      <w:pPr>
        <w:tabs>
          <w:tab w:val="left" w:pos="0"/>
        </w:tabs>
        <w:suppressAutoHyphens/>
        <w:ind w:left="1080"/>
        <w:rPr>
          <w:snapToGrid w:val="0"/>
          <w:spacing w:val="-3"/>
          <w:sz w:val="22"/>
          <w:szCs w:val="22"/>
        </w:rPr>
      </w:pPr>
      <w:r w:rsidRPr="00A03FD6">
        <w:rPr>
          <w:snapToGrid w:val="0"/>
          <w:spacing w:val="-3"/>
          <w:sz w:val="22"/>
          <w:szCs w:val="22"/>
        </w:rPr>
        <w:t xml:space="preserve">(d) </w:t>
      </w:r>
      <w:r w:rsidR="00F77D66" w:rsidRPr="00A03FD6">
        <w:rPr>
          <w:snapToGrid w:val="0"/>
          <w:spacing w:val="-3"/>
          <w:sz w:val="22"/>
          <w:szCs w:val="22"/>
        </w:rPr>
        <w:t xml:space="preserve"> </w:t>
      </w:r>
      <w:r w:rsidRPr="00A03FD6">
        <w:rPr>
          <w:snapToGrid w:val="0"/>
          <w:spacing w:val="-3"/>
          <w:sz w:val="22"/>
          <w:szCs w:val="22"/>
        </w:rPr>
        <w:t>codes for entirely new services that require pricing</w:t>
      </w:r>
      <w:r w:rsidR="000164A6" w:rsidRPr="00A03FD6">
        <w:rPr>
          <w:snapToGrid w:val="0"/>
          <w:spacing w:val="-3"/>
          <w:sz w:val="22"/>
          <w:szCs w:val="22"/>
        </w:rPr>
        <w:t>, or codes that had been previously added at individual consideration (I.C.)</w:t>
      </w:r>
      <w:r w:rsidRPr="00A03FD6">
        <w:rPr>
          <w:snapToGrid w:val="0"/>
          <w:spacing w:val="-3"/>
          <w:sz w:val="22"/>
          <w:szCs w:val="22"/>
        </w:rPr>
        <w:t xml:space="preserve">. </w:t>
      </w:r>
      <w:r w:rsidR="00B324D3" w:rsidRPr="00A03FD6">
        <w:rPr>
          <w:sz w:val="22"/>
          <w:szCs w:val="22"/>
        </w:rPr>
        <w:t>EOHHS may list and price these codes according to the rate methodology used in setting rates when Medicare fees are available.</w:t>
      </w:r>
      <w:r w:rsidR="00B324D3" w:rsidRPr="00A03FD6">
        <w:rPr>
          <w:snapToGrid w:val="0"/>
          <w:spacing w:val="-3"/>
          <w:sz w:val="22"/>
          <w:szCs w:val="22"/>
        </w:rPr>
        <w:t xml:space="preserve"> </w:t>
      </w:r>
      <w:r w:rsidR="00B324D3" w:rsidRPr="00A03FD6">
        <w:rPr>
          <w:sz w:val="22"/>
          <w:szCs w:val="22"/>
        </w:rPr>
        <w:t xml:space="preserve">When Medicare fees are not available, </w:t>
      </w:r>
      <w:r w:rsidRPr="00A03FD6">
        <w:rPr>
          <w:snapToGrid w:val="0"/>
          <w:spacing w:val="-3"/>
          <w:sz w:val="22"/>
          <w:szCs w:val="22"/>
        </w:rPr>
        <w:t xml:space="preserve">EOHHS </w:t>
      </w:r>
      <w:r w:rsidR="00B324D3" w:rsidRPr="00A03FD6">
        <w:rPr>
          <w:snapToGrid w:val="0"/>
          <w:spacing w:val="-3"/>
          <w:sz w:val="22"/>
          <w:szCs w:val="22"/>
        </w:rPr>
        <w:t>may</w:t>
      </w:r>
      <w:r w:rsidRPr="00A03FD6">
        <w:rPr>
          <w:snapToGrid w:val="0"/>
          <w:spacing w:val="-3"/>
          <w:sz w:val="22"/>
          <w:szCs w:val="22"/>
        </w:rPr>
        <w:t xml:space="preserve"> apply I.C. payment for these codes until appropriate rates can be developed.</w:t>
      </w:r>
    </w:p>
    <w:p w14:paraId="4F0B89C3" w14:textId="77777777" w:rsidR="004C1BA2" w:rsidRPr="00A03FD6" w:rsidRDefault="004C1BA2" w:rsidP="00F77D66">
      <w:pPr>
        <w:tabs>
          <w:tab w:val="left" w:pos="0"/>
        </w:tabs>
        <w:suppressAutoHyphens/>
        <w:ind w:left="1080"/>
        <w:rPr>
          <w:snapToGrid w:val="0"/>
          <w:spacing w:val="-3"/>
          <w:sz w:val="22"/>
          <w:szCs w:val="22"/>
        </w:rPr>
      </w:pPr>
    </w:p>
    <w:p w14:paraId="142D59DA" w14:textId="28A19341" w:rsidR="0000185B" w:rsidRPr="00A03FD6" w:rsidRDefault="0000185B" w:rsidP="00F77D66">
      <w:pPr>
        <w:tabs>
          <w:tab w:val="left" w:pos="0"/>
        </w:tabs>
        <w:suppressAutoHyphens/>
        <w:ind w:left="720"/>
        <w:rPr>
          <w:snapToGrid w:val="0"/>
          <w:spacing w:val="-3"/>
          <w:sz w:val="22"/>
          <w:szCs w:val="22"/>
        </w:rPr>
      </w:pPr>
      <w:r w:rsidRPr="00A03FD6">
        <w:rPr>
          <w:sz w:val="22"/>
          <w:szCs w:val="22"/>
        </w:rPr>
        <w:t xml:space="preserve">(6)  </w:t>
      </w:r>
      <w:r w:rsidRPr="00A03FD6">
        <w:rPr>
          <w:snapToGrid w:val="0"/>
          <w:spacing w:val="-3"/>
          <w:sz w:val="22"/>
          <w:szCs w:val="22"/>
          <w:u w:val="single"/>
        </w:rPr>
        <w:t>Administrative Bulletins</w:t>
      </w:r>
      <w:r w:rsidRPr="00A03FD6">
        <w:rPr>
          <w:snapToGrid w:val="0"/>
          <w:spacing w:val="-3"/>
          <w:sz w:val="22"/>
          <w:szCs w:val="22"/>
        </w:rPr>
        <w:t xml:space="preserve">. </w:t>
      </w:r>
      <w:r w:rsidR="00F77D66" w:rsidRPr="00A03FD6">
        <w:rPr>
          <w:snapToGrid w:val="0"/>
          <w:spacing w:val="-3"/>
          <w:sz w:val="22"/>
          <w:szCs w:val="22"/>
        </w:rPr>
        <w:t xml:space="preserve"> </w:t>
      </w:r>
      <w:r w:rsidRPr="00A03FD6">
        <w:rPr>
          <w:snapToGrid w:val="0"/>
          <w:spacing w:val="-3"/>
          <w:sz w:val="22"/>
          <w:szCs w:val="22"/>
        </w:rPr>
        <w:t xml:space="preserve">EOHHS may issue administrative bulletins to clarify its policy on and understanding of substantive provisions of 101 CMR 446.00, or to issue coding updates and corrections </w:t>
      </w:r>
      <w:r w:rsidR="000E056E" w:rsidRPr="00A03FD6">
        <w:rPr>
          <w:snapToGrid w:val="0"/>
          <w:spacing w:val="-3"/>
          <w:sz w:val="22"/>
          <w:szCs w:val="22"/>
        </w:rPr>
        <w:t>under 101</w:t>
      </w:r>
      <w:r w:rsidRPr="00A03FD6">
        <w:rPr>
          <w:snapToGrid w:val="0"/>
          <w:spacing w:val="-3"/>
          <w:sz w:val="22"/>
          <w:szCs w:val="22"/>
        </w:rPr>
        <w:t xml:space="preserve"> CMR 446.01(5).  </w:t>
      </w:r>
    </w:p>
    <w:p w14:paraId="7066F955" w14:textId="53B5D0E6" w:rsidR="0000185B" w:rsidRPr="00A03FD6" w:rsidRDefault="006F0897" w:rsidP="00166BF8">
      <w:pPr>
        <w:rPr>
          <w:sz w:val="22"/>
          <w:szCs w:val="22"/>
          <w:u w:val="single"/>
        </w:rPr>
      </w:pPr>
      <w:r w:rsidRPr="00A03FD6">
        <w:rPr>
          <w:sz w:val="22"/>
          <w:szCs w:val="22"/>
          <w:u w:val="single"/>
        </w:rPr>
        <w:lastRenderedPageBreak/>
        <w:t>446</w:t>
      </w:r>
      <w:r w:rsidR="0000185B" w:rsidRPr="00A03FD6">
        <w:rPr>
          <w:sz w:val="22"/>
          <w:szCs w:val="22"/>
          <w:u w:val="single"/>
        </w:rPr>
        <w:t>.02:  Definitions</w:t>
      </w:r>
    </w:p>
    <w:p w14:paraId="39783800" w14:textId="77777777" w:rsidR="0000185B" w:rsidRPr="00A03FD6" w:rsidRDefault="0000185B" w:rsidP="0000185B">
      <w:pPr>
        <w:tabs>
          <w:tab w:val="left" w:pos="-720"/>
        </w:tabs>
        <w:suppressAutoHyphens/>
        <w:rPr>
          <w:sz w:val="22"/>
          <w:szCs w:val="22"/>
        </w:rPr>
      </w:pPr>
    </w:p>
    <w:p w14:paraId="5409373C" w14:textId="6E50C09E" w:rsidR="0000185B" w:rsidRPr="00A03FD6" w:rsidRDefault="0000185B" w:rsidP="00BF3531">
      <w:pPr>
        <w:tabs>
          <w:tab w:val="left" w:pos="-720"/>
          <w:tab w:val="left" w:pos="0"/>
        </w:tabs>
        <w:suppressAutoHyphens/>
        <w:ind w:left="720" w:firstLine="360"/>
        <w:rPr>
          <w:sz w:val="22"/>
          <w:szCs w:val="22"/>
        </w:rPr>
      </w:pPr>
      <w:r w:rsidRPr="00A03FD6">
        <w:rPr>
          <w:sz w:val="22"/>
          <w:szCs w:val="22"/>
        </w:rPr>
        <w:t>As used in 101 CMR 446.00, terms have the meanings in 101 CMR 446.</w:t>
      </w:r>
      <w:r w:rsidR="00B05C49" w:rsidRPr="00A03FD6">
        <w:rPr>
          <w:sz w:val="22"/>
          <w:szCs w:val="22"/>
        </w:rPr>
        <w:t>02, except as otherwise provided.</w:t>
      </w:r>
    </w:p>
    <w:p w14:paraId="3EF6BB66" w14:textId="77777777" w:rsidR="000956E6" w:rsidRPr="00A03FD6" w:rsidRDefault="000956E6" w:rsidP="0013723F">
      <w:pPr>
        <w:tabs>
          <w:tab w:val="left" w:pos="-720"/>
          <w:tab w:val="left" w:pos="0"/>
        </w:tabs>
        <w:suppressAutoHyphens/>
        <w:ind w:left="720"/>
        <w:rPr>
          <w:sz w:val="22"/>
          <w:szCs w:val="22"/>
        </w:rPr>
      </w:pPr>
    </w:p>
    <w:p w14:paraId="40D3C7B6" w14:textId="0D7F5BF8" w:rsidR="000164A6" w:rsidRPr="00A03FD6" w:rsidRDefault="000164A6" w:rsidP="0013723F">
      <w:pPr>
        <w:tabs>
          <w:tab w:val="left" w:pos="-720"/>
          <w:tab w:val="left" w:pos="0"/>
        </w:tabs>
        <w:suppressAutoHyphens/>
        <w:ind w:left="720"/>
        <w:rPr>
          <w:sz w:val="22"/>
          <w:szCs w:val="22"/>
          <w:u w:val="single"/>
        </w:rPr>
      </w:pPr>
      <w:r w:rsidRPr="00A03FD6">
        <w:rPr>
          <w:sz w:val="22"/>
          <w:szCs w:val="22"/>
          <w:u w:val="single"/>
        </w:rPr>
        <w:t>Commonwealth COVID-19 Vaccination Plan</w:t>
      </w:r>
      <w:r w:rsidRPr="00A03FD6">
        <w:rPr>
          <w:sz w:val="22"/>
          <w:szCs w:val="22"/>
        </w:rPr>
        <w:t>.</w:t>
      </w:r>
      <w:r w:rsidRPr="00A03FD6">
        <w:rPr>
          <w:rStyle w:val="NoneA"/>
        </w:rPr>
        <w:t xml:space="preserve">  </w:t>
      </w:r>
      <w:r w:rsidRPr="00A03FD6">
        <w:rPr>
          <w:sz w:val="22"/>
          <w:szCs w:val="22"/>
        </w:rPr>
        <w:t>The plan describing the administration of COVID-19 vaccinations within the Commonwealth,</w:t>
      </w:r>
      <w:r w:rsidR="00BD4482" w:rsidRPr="00A03FD6">
        <w:rPr>
          <w:sz w:val="22"/>
          <w:szCs w:val="22"/>
        </w:rPr>
        <w:t xml:space="preserve"> available at</w:t>
      </w:r>
      <w:r w:rsidRPr="00A03FD6">
        <w:rPr>
          <w:sz w:val="22"/>
          <w:szCs w:val="22"/>
          <w:u w:val="single"/>
        </w:rPr>
        <w:t xml:space="preserve"> </w:t>
      </w:r>
      <w:r w:rsidR="00F95FCE" w:rsidRPr="00A03FD6">
        <w:rPr>
          <w:sz w:val="22"/>
          <w:szCs w:val="22"/>
        </w:rPr>
        <w:t>www.mass.gov/info-details/covid-19-vaccine-information</w:t>
      </w:r>
      <w:r w:rsidRPr="00A03FD6">
        <w:rPr>
          <w:sz w:val="22"/>
          <w:szCs w:val="22"/>
        </w:rPr>
        <w:t>.</w:t>
      </w:r>
    </w:p>
    <w:p w14:paraId="4016F37F" w14:textId="77777777" w:rsidR="00916A33" w:rsidRPr="00A03FD6" w:rsidRDefault="00916A33" w:rsidP="000956E6">
      <w:pPr>
        <w:tabs>
          <w:tab w:val="left" w:pos="-720"/>
          <w:tab w:val="left" w:pos="0"/>
        </w:tabs>
        <w:suppressAutoHyphens/>
        <w:ind w:left="720"/>
        <w:rPr>
          <w:sz w:val="22"/>
          <w:szCs w:val="22"/>
        </w:rPr>
      </w:pPr>
    </w:p>
    <w:p w14:paraId="6A51F495" w14:textId="77777777" w:rsidR="00CF0EDA" w:rsidRPr="00A03FD6" w:rsidRDefault="000164A6" w:rsidP="000956E6">
      <w:pPr>
        <w:tabs>
          <w:tab w:val="left" w:pos="-720"/>
          <w:tab w:val="left" w:pos="0"/>
        </w:tabs>
        <w:suppressAutoHyphens/>
        <w:ind w:left="720"/>
        <w:rPr>
          <w:sz w:val="22"/>
          <w:szCs w:val="22"/>
        </w:rPr>
      </w:pPr>
      <w:r w:rsidRPr="00A03FD6">
        <w:rPr>
          <w:sz w:val="22"/>
          <w:szCs w:val="22"/>
          <w:u w:val="single"/>
        </w:rPr>
        <w:t>Eligible Additional Individuals</w:t>
      </w:r>
      <w:r w:rsidRPr="00A03FD6">
        <w:rPr>
          <w:sz w:val="22"/>
          <w:szCs w:val="22"/>
        </w:rPr>
        <w:t xml:space="preserve">.  As determined by the governmental unit or its designee, any </w:t>
      </w:r>
    </w:p>
    <w:p w14:paraId="6ADB50AB" w14:textId="2AFA70E6" w:rsidR="00CF0EDA" w:rsidRPr="00A03FD6" w:rsidRDefault="000164A6" w:rsidP="00CF0EDA">
      <w:pPr>
        <w:tabs>
          <w:tab w:val="left" w:pos="-720"/>
          <w:tab w:val="left" w:pos="0"/>
        </w:tabs>
        <w:suppressAutoHyphens/>
        <w:ind w:left="1080"/>
        <w:rPr>
          <w:sz w:val="22"/>
          <w:szCs w:val="22"/>
        </w:rPr>
      </w:pPr>
      <w:r w:rsidRPr="00A03FD6">
        <w:rPr>
          <w:sz w:val="22"/>
          <w:szCs w:val="22"/>
        </w:rPr>
        <w:t>(</w:t>
      </w:r>
      <w:r w:rsidR="00BF3531" w:rsidRPr="00A03FD6">
        <w:rPr>
          <w:sz w:val="22"/>
          <w:szCs w:val="22"/>
        </w:rPr>
        <w:t>a</w:t>
      </w:r>
      <w:r w:rsidRPr="00A03FD6">
        <w:rPr>
          <w:sz w:val="22"/>
          <w:szCs w:val="22"/>
        </w:rPr>
        <w:t xml:space="preserve">) </w:t>
      </w:r>
      <w:r w:rsidR="008E1785" w:rsidRPr="00A03FD6">
        <w:rPr>
          <w:sz w:val="22"/>
          <w:szCs w:val="22"/>
        </w:rPr>
        <w:t xml:space="preserve"> </w:t>
      </w:r>
      <w:r w:rsidRPr="00A03FD6">
        <w:rPr>
          <w:sz w:val="22"/>
          <w:szCs w:val="22"/>
        </w:rPr>
        <w:t>family member of an eligible resident currently residing in th</w:t>
      </w:r>
      <w:r w:rsidR="00BF3531" w:rsidRPr="00A03FD6">
        <w:rPr>
          <w:sz w:val="22"/>
          <w:szCs w:val="22"/>
        </w:rPr>
        <w:t>e eligible resident’s household;</w:t>
      </w:r>
      <w:r w:rsidRPr="00A03FD6">
        <w:rPr>
          <w:sz w:val="22"/>
          <w:szCs w:val="22"/>
        </w:rPr>
        <w:t xml:space="preserve"> or </w:t>
      </w:r>
    </w:p>
    <w:p w14:paraId="0E3EAADC" w14:textId="64C9F900" w:rsidR="000164A6" w:rsidRPr="00A03FD6" w:rsidRDefault="000164A6" w:rsidP="00CF0EDA">
      <w:pPr>
        <w:tabs>
          <w:tab w:val="left" w:pos="-720"/>
          <w:tab w:val="left" w:pos="0"/>
        </w:tabs>
        <w:suppressAutoHyphens/>
        <w:ind w:left="1080"/>
        <w:rPr>
          <w:sz w:val="22"/>
          <w:szCs w:val="22"/>
        </w:rPr>
      </w:pPr>
      <w:r w:rsidRPr="00A03FD6">
        <w:rPr>
          <w:sz w:val="22"/>
          <w:szCs w:val="22"/>
        </w:rPr>
        <w:t>(</w:t>
      </w:r>
      <w:r w:rsidR="00BF3531" w:rsidRPr="00A03FD6">
        <w:rPr>
          <w:sz w:val="22"/>
          <w:szCs w:val="22"/>
        </w:rPr>
        <w:t>b</w:t>
      </w:r>
      <w:r w:rsidRPr="00A03FD6">
        <w:rPr>
          <w:sz w:val="22"/>
          <w:szCs w:val="22"/>
        </w:rPr>
        <w:t xml:space="preserve">) </w:t>
      </w:r>
      <w:r w:rsidR="008E1785" w:rsidRPr="00A03FD6">
        <w:rPr>
          <w:sz w:val="22"/>
          <w:szCs w:val="22"/>
        </w:rPr>
        <w:t xml:space="preserve"> </w:t>
      </w:r>
      <w:r w:rsidRPr="00A03FD6">
        <w:rPr>
          <w:sz w:val="22"/>
          <w:szCs w:val="22"/>
        </w:rPr>
        <w:t>home health worker who provides regular care to an eligible resident in the eligible resident’s household.</w:t>
      </w:r>
    </w:p>
    <w:p w14:paraId="5EBA4737" w14:textId="77777777" w:rsidR="000164A6" w:rsidRPr="00A03FD6" w:rsidRDefault="000164A6" w:rsidP="000956E6">
      <w:pPr>
        <w:tabs>
          <w:tab w:val="left" w:pos="-720"/>
          <w:tab w:val="left" w:pos="0"/>
        </w:tabs>
        <w:suppressAutoHyphens/>
        <w:ind w:left="720"/>
        <w:rPr>
          <w:sz w:val="22"/>
          <w:szCs w:val="22"/>
        </w:rPr>
      </w:pPr>
    </w:p>
    <w:p w14:paraId="4B881738" w14:textId="250494A8" w:rsidR="0000185B" w:rsidRPr="00A03FD6" w:rsidRDefault="0000185B" w:rsidP="000956E6">
      <w:pPr>
        <w:tabs>
          <w:tab w:val="left" w:pos="-720"/>
          <w:tab w:val="left" w:pos="0"/>
        </w:tabs>
        <w:suppressAutoHyphens/>
        <w:ind w:left="720"/>
        <w:rPr>
          <w:sz w:val="22"/>
          <w:szCs w:val="22"/>
        </w:rPr>
      </w:pPr>
      <w:r w:rsidRPr="00A03FD6">
        <w:rPr>
          <w:sz w:val="22"/>
          <w:szCs w:val="22"/>
          <w:u w:val="single"/>
        </w:rPr>
        <w:t>Eligible Provider</w:t>
      </w:r>
      <w:r w:rsidRPr="00A03FD6">
        <w:rPr>
          <w:sz w:val="22"/>
          <w:szCs w:val="22"/>
        </w:rPr>
        <w:t xml:space="preserve">. </w:t>
      </w:r>
      <w:r w:rsidR="00F77D66" w:rsidRPr="00A03FD6">
        <w:rPr>
          <w:sz w:val="22"/>
          <w:szCs w:val="22"/>
        </w:rPr>
        <w:t xml:space="preserve"> </w:t>
      </w:r>
      <w:r w:rsidRPr="00A03FD6">
        <w:rPr>
          <w:sz w:val="22"/>
          <w:szCs w:val="22"/>
        </w:rPr>
        <w:t>A person, partnership, corporation, governmental unit</w:t>
      </w:r>
      <w:r w:rsidR="005A37D0" w:rsidRPr="00A03FD6">
        <w:rPr>
          <w:sz w:val="22"/>
          <w:szCs w:val="22"/>
        </w:rPr>
        <w:t>,</w:t>
      </w:r>
      <w:r w:rsidRPr="00A03FD6">
        <w:rPr>
          <w:sz w:val="22"/>
          <w:szCs w:val="22"/>
        </w:rPr>
        <w:t xml:space="preserve"> or other entity that provides authorized COVID-19 </w:t>
      </w:r>
      <w:r w:rsidR="004410B6" w:rsidRPr="00A03FD6">
        <w:rPr>
          <w:sz w:val="22"/>
          <w:szCs w:val="22"/>
        </w:rPr>
        <w:t>s</w:t>
      </w:r>
      <w:r w:rsidRPr="00A03FD6">
        <w:rPr>
          <w:sz w:val="22"/>
          <w:szCs w:val="22"/>
        </w:rPr>
        <w:t xml:space="preserve">ervices and that also meets such conditions of participation as have been or may be adopted from time to time by a governmental unit purchasing COVID-19 </w:t>
      </w:r>
      <w:r w:rsidR="00FF4B3F" w:rsidRPr="00A03FD6">
        <w:rPr>
          <w:sz w:val="22"/>
          <w:szCs w:val="22"/>
        </w:rPr>
        <w:t>s</w:t>
      </w:r>
      <w:r w:rsidRPr="00A03FD6">
        <w:rPr>
          <w:sz w:val="22"/>
          <w:szCs w:val="22"/>
        </w:rPr>
        <w:t>ervices.</w:t>
      </w:r>
    </w:p>
    <w:p w14:paraId="3EEF8F25" w14:textId="77777777" w:rsidR="0000185B" w:rsidRPr="00A03FD6" w:rsidRDefault="0000185B" w:rsidP="000956E6">
      <w:pPr>
        <w:tabs>
          <w:tab w:val="left" w:pos="-720"/>
          <w:tab w:val="left" w:pos="0"/>
        </w:tabs>
        <w:suppressAutoHyphens/>
        <w:ind w:left="720"/>
        <w:rPr>
          <w:sz w:val="22"/>
          <w:szCs w:val="22"/>
        </w:rPr>
      </w:pPr>
    </w:p>
    <w:p w14:paraId="2882E372" w14:textId="0047B886" w:rsidR="000164A6" w:rsidRPr="00A03FD6" w:rsidRDefault="000164A6" w:rsidP="000164A6">
      <w:pPr>
        <w:pStyle w:val="BodyA"/>
        <w:widowControl/>
        <w:spacing w:after="240"/>
        <w:ind w:left="720"/>
        <w:rPr>
          <w:rFonts w:eastAsia="Times New Roman" w:cs="Times New Roman"/>
          <w:color w:val="auto"/>
          <w:sz w:val="22"/>
          <w:szCs w:val="22"/>
          <w:u w:val="single"/>
          <w:bdr w:val="none" w:sz="0" w:space="0" w:color="auto"/>
          <w14:textOutline w14:w="0" w14:cap="rnd" w14:cmpd="sng" w14:algn="ctr">
            <w14:noFill/>
            <w14:prstDash w14:val="solid"/>
            <w14:bevel/>
          </w14:textOutline>
        </w:rPr>
      </w:pPr>
      <w:r w:rsidRPr="00A03FD6">
        <w:rPr>
          <w:rFonts w:eastAsia="Times New Roman" w:cs="Times New Roman"/>
          <w:color w:val="auto"/>
          <w:sz w:val="22"/>
          <w:szCs w:val="22"/>
          <w:u w:val="single"/>
          <w:bdr w:val="none" w:sz="0" w:space="0" w:color="auto"/>
          <w14:textOutline w14:w="0" w14:cap="rnd" w14:cmpd="sng" w14:algn="ctr">
            <w14:noFill/>
            <w14:prstDash w14:val="solid"/>
            <w14:bevel/>
          </w14:textOutline>
        </w:rPr>
        <w:t>Eligible Resident</w:t>
      </w:r>
      <w:r w:rsidRPr="00A03FD6">
        <w:rPr>
          <w:rFonts w:eastAsia="Times New Roman" w:cs="Times New Roman"/>
          <w:color w:val="auto"/>
          <w:sz w:val="22"/>
          <w:szCs w:val="22"/>
          <w:bdr w:val="none" w:sz="0" w:space="0" w:color="auto"/>
          <w14:textOutline w14:w="0" w14:cap="rnd" w14:cmpd="sng" w14:algn="ctr">
            <w14:noFill/>
            <w14:prstDash w14:val="solid"/>
            <w14:bevel/>
          </w14:textOutline>
        </w:rPr>
        <w:t>.  A Massachusetts resident determined to be eligible for in-home vaccination services by the governmental unit or its designee.</w:t>
      </w:r>
      <w:r w:rsidRPr="00A03FD6">
        <w:rPr>
          <w:rFonts w:eastAsia="Times New Roman" w:cs="Times New Roman"/>
          <w:color w:val="auto"/>
          <w:sz w:val="22"/>
          <w:szCs w:val="22"/>
          <w:u w:val="single"/>
          <w:bdr w:val="none" w:sz="0" w:space="0" w:color="auto"/>
          <w14:textOutline w14:w="0" w14:cap="rnd" w14:cmpd="sng" w14:algn="ctr">
            <w14:noFill/>
            <w14:prstDash w14:val="solid"/>
            <w14:bevel/>
          </w14:textOutline>
        </w:rPr>
        <w:t xml:space="preserve">  </w:t>
      </w:r>
    </w:p>
    <w:p w14:paraId="07534314" w14:textId="3BC7C5B3" w:rsidR="0000185B" w:rsidRPr="00A03FD6" w:rsidRDefault="0000185B" w:rsidP="000956E6">
      <w:pPr>
        <w:tabs>
          <w:tab w:val="left" w:pos="-720"/>
          <w:tab w:val="left" w:pos="0"/>
        </w:tabs>
        <w:suppressAutoHyphens/>
        <w:ind w:left="720"/>
        <w:rPr>
          <w:sz w:val="22"/>
          <w:szCs w:val="22"/>
        </w:rPr>
      </w:pPr>
      <w:r w:rsidRPr="00A03FD6">
        <w:rPr>
          <w:sz w:val="22"/>
          <w:szCs w:val="22"/>
          <w:u w:val="single"/>
        </w:rPr>
        <w:t>EOHHS</w:t>
      </w:r>
      <w:r w:rsidRPr="00A03FD6">
        <w:rPr>
          <w:sz w:val="22"/>
          <w:szCs w:val="22"/>
        </w:rPr>
        <w:t xml:space="preserve">. </w:t>
      </w:r>
      <w:r w:rsidR="00F77D66" w:rsidRPr="00A03FD6">
        <w:rPr>
          <w:sz w:val="22"/>
          <w:szCs w:val="22"/>
        </w:rPr>
        <w:t xml:space="preserve"> </w:t>
      </w:r>
      <w:r w:rsidRPr="00A03FD6">
        <w:rPr>
          <w:sz w:val="22"/>
          <w:szCs w:val="22"/>
        </w:rPr>
        <w:t>The Executive Office of Health and Human Services established under M.G.L. c. 6A.</w:t>
      </w:r>
    </w:p>
    <w:p w14:paraId="2041186E" w14:textId="77777777" w:rsidR="0000185B" w:rsidRPr="00A03FD6" w:rsidRDefault="0000185B" w:rsidP="000956E6">
      <w:pPr>
        <w:tabs>
          <w:tab w:val="left" w:pos="-720"/>
          <w:tab w:val="left" w:pos="0"/>
        </w:tabs>
        <w:suppressAutoHyphens/>
        <w:ind w:left="720"/>
        <w:rPr>
          <w:sz w:val="22"/>
          <w:szCs w:val="22"/>
        </w:rPr>
      </w:pPr>
    </w:p>
    <w:p w14:paraId="7C52F658" w14:textId="715DA20A" w:rsidR="0000185B" w:rsidRPr="00A03FD6" w:rsidRDefault="0000185B" w:rsidP="000956E6">
      <w:pPr>
        <w:tabs>
          <w:tab w:val="left" w:pos="-720"/>
          <w:tab w:val="left" w:pos="0"/>
        </w:tabs>
        <w:suppressAutoHyphens/>
        <w:ind w:left="720"/>
        <w:rPr>
          <w:sz w:val="22"/>
          <w:szCs w:val="22"/>
        </w:rPr>
      </w:pPr>
      <w:r w:rsidRPr="00A03FD6">
        <w:rPr>
          <w:sz w:val="22"/>
          <w:szCs w:val="22"/>
          <w:u w:val="single"/>
        </w:rPr>
        <w:t>Governmental Unit</w:t>
      </w:r>
      <w:r w:rsidRPr="00A03FD6">
        <w:rPr>
          <w:sz w:val="22"/>
          <w:szCs w:val="22"/>
        </w:rPr>
        <w:t xml:space="preserve">. </w:t>
      </w:r>
      <w:r w:rsidR="00F77D66" w:rsidRPr="00A03FD6">
        <w:rPr>
          <w:sz w:val="22"/>
          <w:szCs w:val="22"/>
        </w:rPr>
        <w:t xml:space="preserve"> </w:t>
      </w:r>
      <w:r w:rsidRPr="00A03FD6">
        <w:rPr>
          <w:sz w:val="22"/>
          <w:szCs w:val="22"/>
        </w:rPr>
        <w:t>The Commonwealth of Massachusetts or any of its departments, agencies, boards, commissions, or political subdivisions.</w:t>
      </w:r>
    </w:p>
    <w:p w14:paraId="593BF4CD" w14:textId="77777777" w:rsidR="003F70BA" w:rsidRPr="00A03FD6" w:rsidRDefault="003F70BA" w:rsidP="003F70BA">
      <w:pPr>
        <w:tabs>
          <w:tab w:val="left" w:pos="-720"/>
          <w:tab w:val="left" w:pos="0"/>
        </w:tabs>
        <w:suppressAutoHyphens/>
        <w:ind w:left="720"/>
        <w:rPr>
          <w:sz w:val="22"/>
          <w:szCs w:val="22"/>
          <w:u w:val="single"/>
        </w:rPr>
      </w:pPr>
    </w:p>
    <w:p w14:paraId="3AC957D9" w14:textId="4955EA94" w:rsidR="003F70BA" w:rsidRPr="00A03FD6" w:rsidRDefault="003F70BA" w:rsidP="003F70BA">
      <w:pPr>
        <w:tabs>
          <w:tab w:val="left" w:pos="-720"/>
          <w:tab w:val="left" w:pos="0"/>
        </w:tabs>
        <w:suppressAutoHyphens/>
        <w:ind w:left="720"/>
        <w:rPr>
          <w:sz w:val="22"/>
          <w:szCs w:val="22"/>
        </w:rPr>
      </w:pPr>
      <w:r w:rsidRPr="00A03FD6">
        <w:rPr>
          <w:sz w:val="22"/>
          <w:szCs w:val="22"/>
          <w:u w:val="single"/>
        </w:rPr>
        <w:t>Household</w:t>
      </w:r>
      <w:r w:rsidRPr="00A03FD6">
        <w:rPr>
          <w:sz w:val="22"/>
          <w:szCs w:val="22"/>
        </w:rPr>
        <w:t xml:space="preserve">.  A home or residence within the Commonwealth in which at least one eligible resident resides, including congregate care facilities and other congregate housing, but excluding any facility or unit licensed by DPH as a long-term-care facility or unit pursuant to 105 CMR 150.000: </w:t>
      </w:r>
      <w:r w:rsidR="0016773E">
        <w:rPr>
          <w:sz w:val="22"/>
          <w:szCs w:val="22"/>
        </w:rPr>
        <w:t xml:space="preserve"> </w:t>
      </w:r>
      <w:r w:rsidRPr="00A03FD6">
        <w:rPr>
          <w:i/>
          <w:sz w:val="22"/>
          <w:szCs w:val="22"/>
        </w:rPr>
        <w:t>Standards for Long-</w:t>
      </w:r>
      <w:r w:rsidR="0075349B" w:rsidRPr="00A03FD6">
        <w:rPr>
          <w:i/>
          <w:sz w:val="22"/>
          <w:szCs w:val="22"/>
        </w:rPr>
        <w:t>t</w:t>
      </w:r>
      <w:r w:rsidRPr="00A03FD6">
        <w:rPr>
          <w:i/>
          <w:sz w:val="22"/>
          <w:szCs w:val="22"/>
        </w:rPr>
        <w:t>erm Care Facilities</w:t>
      </w:r>
      <w:r w:rsidRPr="00A03FD6">
        <w:rPr>
          <w:sz w:val="22"/>
          <w:szCs w:val="22"/>
        </w:rPr>
        <w:t>.</w:t>
      </w:r>
    </w:p>
    <w:p w14:paraId="15C18BA0" w14:textId="77777777" w:rsidR="000956E6" w:rsidRPr="00A03FD6" w:rsidRDefault="000956E6" w:rsidP="003F70BA">
      <w:pPr>
        <w:tabs>
          <w:tab w:val="left" w:pos="-720"/>
          <w:tab w:val="left" w:pos="0"/>
        </w:tabs>
        <w:suppressAutoHyphens/>
        <w:rPr>
          <w:sz w:val="22"/>
          <w:szCs w:val="22"/>
        </w:rPr>
      </w:pPr>
    </w:p>
    <w:p w14:paraId="5DE47237" w14:textId="4C3D4EDA" w:rsidR="000164A6" w:rsidRPr="00A03FD6" w:rsidRDefault="00E707A6" w:rsidP="000164A6">
      <w:pPr>
        <w:tabs>
          <w:tab w:val="left" w:pos="-720"/>
          <w:tab w:val="left" w:pos="0"/>
        </w:tabs>
        <w:suppressAutoHyphens/>
        <w:ind w:left="720"/>
        <w:rPr>
          <w:sz w:val="22"/>
          <w:szCs w:val="22"/>
        </w:rPr>
      </w:pPr>
      <w:r w:rsidRPr="00A03FD6">
        <w:rPr>
          <w:sz w:val="22"/>
          <w:szCs w:val="22"/>
          <w:u w:val="single"/>
        </w:rPr>
        <w:t>In-home</w:t>
      </w:r>
      <w:r w:rsidR="000164A6" w:rsidRPr="00A03FD6">
        <w:rPr>
          <w:sz w:val="22"/>
          <w:szCs w:val="22"/>
          <w:u w:val="single"/>
        </w:rPr>
        <w:t xml:space="preserve"> Vaccination Provider</w:t>
      </w:r>
      <w:r w:rsidR="000164A6" w:rsidRPr="00A03FD6">
        <w:rPr>
          <w:sz w:val="22"/>
          <w:szCs w:val="22"/>
        </w:rPr>
        <w:t xml:space="preserve">.  An eligible provider who provides in-home vaccination services </w:t>
      </w:r>
      <w:r w:rsidR="0031618E" w:rsidRPr="00A03FD6">
        <w:rPr>
          <w:sz w:val="22"/>
          <w:szCs w:val="22"/>
        </w:rPr>
        <w:t>pursuant to</w:t>
      </w:r>
      <w:r w:rsidR="000164A6" w:rsidRPr="00A03FD6">
        <w:rPr>
          <w:sz w:val="22"/>
          <w:szCs w:val="22"/>
        </w:rPr>
        <w:t xml:space="preserve"> a contract between the governmental unit and the eligible provider.</w:t>
      </w:r>
    </w:p>
    <w:p w14:paraId="02A47D02" w14:textId="77777777" w:rsidR="000164A6" w:rsidRPr="00A03FD6" w:rsidRDefault="000164A6" w:rsidP="000164A6">
      <w:pPr>
        <w:tabs>
          <w:tab w:val="left" w:pos="-720"/>
          <w:tab w:val="left" w:pos="0"/>
        </w:tabs>
        <w:suppressAutoHyphens/>
        <w:ind w:left="720"/>
        <w:rPr>
          <w:sz w:val="22"/>
          <w:szCs w:val="22"/>
        </w:rPr>
      </w:pPr>
    </w:p>
    <w:p w14:paraId="746B424C" w14:textId="704E25FC" w:rsidR="003F70BA" w:rsidRPr="00A03FD6" w:rsidRDefault="003F70BA" w:rsidP="003F70BA">
      <w:pPr>
        <w:ind w:left="720"/>
        <w:rPr>
          <w:sz w:val="22"/>
          <w:szCs w:val="22"/>
        </w:rPr>
      </w:pPr>
      <w:r w:rsidRPr="00A03FD6">
        <w:rPr>
          <w:sz w:val="22"/>
          <w:szCs w:val="22"/>
          <w:u w:val="single"/>
        </w:rPr>
        <w:t>In-home Vaccination Services</w:t>
      </w:r>
      <w:r w:rsidRPr="00A03FD6">
        <w:rPr>
          <w:sz w:val="22"/>
          <w:szCs w:val="22"/>
        </w:rPr>
        <w:t>.  COVID-19 vaccine administration services performed in a household by an in-home vaccination provider pursuant to a contract between the governmental unit and the in-home vaccination provider.</w:t>
      </w:r>
    </w:p>
    <w:p w14:paraId="219BF452" w14:textId="77777777" w:rsidR="000164A6" w:rsidRPr="00A03FD6" w:rsidRDefault="000164A6" w:rsidP="000164A6">
      <w:pPr>
        <w:tabs>
          <w:tab w:val="left" w:pos="-720"/>
          <w:tab w:val="left" w:pos="0"/>
        </w:tabs>
        <w:suppressAutoHyphens/>
        <w:ind w:left="720"/>
        <w:rPr>
          <w:sz w:val="22"/>
          <w:szCs w:val="22"/>
        </w:rPr>
      </w:pPr>
    </w:p>
    <w:p w14:paraId="01D78555" w14:textId="6884313A" w:rsidR="00643F08" w:rsidRPr="00A03FD6" w:rsidRDefault="00643F08" w:rsidP="00643F08">
      <w:pPr>
        <w:ind w:left="720"/>
        <w:rPr>
          <w:sz w:val="22"/>
          <w:szCs w:val="22"/>
        </w:rPr>
      </w:pPr>
      <w:r w:rsidRPr="00A03FD6">
        <w:rPr>
          <w:sz w:val="22"/>
          <w:szCs w:val="22"/>
          <w:u w:val="single"/>
        </w:rPr>
        <w:t>Other Vaccinable Individuals</w:t>
      </w:r>
      <w:r w:rsidRPr="00A03FD6">
        <w:rPr>
          <w:sz w:val="22"/>
          <w:szCs w:val="22"/>
        </w:rPr>
        <w:t>.  Residents of the Commonwealth who are neither eligible residents nor eligible additional individuals, but who are otherwise eligible to receive a COVID-19 vaccination in accordance with the Commonwealth’s COVID-19 vaccination plan.</w:t>
      </w:r>
    </w:p>
    <w:p w14:paraId="3CBF75F8" w14:textId="77777777" w:rsidR="0000185B" w:rsidRPr="00A03FD6" w:rsidRDefault="0000185B" w:rsidP="000956E6">
      <w:pPr>
        <w:tabs>
          <w:tab w:val="left" w:pos="-720"/>
          <w:tab w:val="left" w:pos="0"/>
        </w:tabs>
        <w:suppressAutoHyphens/>
        <w:ind w:left="720"/>
        <w:rPr>
          <w:sz w:val="22"/>
          <w:szCs w:val="22"/>
        </w:rPr>
      </w:pPr>
    </w:p>
    <w:p w14:paraId="181D7DAB" w14:textId="6D5080E8" w:rsidR="0000185B" w:rsidRPr="00A03FD6" w:rsidRDefault="0000185B" w:rsidP="000956E6">
      <w:pPr>
        <w:tabs>
          <w:tab w:val="left" w:pos="-720"/>
          <w:tab w:val="left" w:pos="0"/>
        </w:tabs>
        <w:suppressAutoHyphens/>
        <w:ind w:left="720"/>
        <w:rPr>
          <w:sz w:val="22"/>
          <w:szCs w:val="22"/>
        </w:rPr>
      </w:pPr>
      <w:r w:rsidRPr="00A03FD6">
        <w:rPr>
          <w:sz w:val="22"/>
          <w:szCs w:val="22"/>
          <w:u w:val="single"/>
        </w:rPr>
        <w:t>Publicly Aided Individual</w:t>
      </w:r>
      <w:r w:rsidRPr="00A03FD6">
        <w:rPr>
          <w:sz w:val="22"/>
          <w:szCs w:val="22"/>
        </w:rPr>
        <w:t xml:space="preserve">. </w:t>
      </w:r>
      <w:r w:rsidR="00F77D66" w:rsidRPr="00A03FD6">
        <w:rPr>
          <w:sz w:val="22"/>
          <w:szCs w:val="22"/>
        </w:rPr>
        <w:t xml:space="preserve"> </w:t>
      </w:r>
      <w:r w:rsidRPr="00A03FD6">
        <w:rPr>
          <w:sz w:val="22"/>
          <w:szCs w:val="22"/>
        </w:rPr>
        <w:t>A person for whose medical and other services a governmental unit is in whole or in part liable under a statutory program.</w:t>
      </w:r>
    </w:p>
    <w:p w14:paraId="7AD42D79" w14:textId="77777777" w:rsidR="00643F08" w:rsidRPr="00A03FD6" w:rsidRDefault="00643F08" w:rsidP="000956E6">
      <w:pPr>
        <w:tabs>
          <w:tab w:val="left" w:pos="-720"/>
          <w:tab w:val="left" w:pos="0"/>
        </w:tabs>
        <w:suppressAutoHyphens/>
        <w:ind w:left="720"/>
        <w:rPr>
          <w:sz w:val="22"/>
          <w:szCs w:val="22"/>
        </w:rPr>
      </w:pPr>
    </w:p>
    <w:p w14:paraId="38E162BC" w14:textId="357E94A1" w:rsidR="00643F08" w:rsidRPr="00A03FD6" w:rsidRDefault="00643F08" w:rsidP="000956E6">
      <w:pPr>
        <w:tabs>
          <w:tab w:val="left" w:pos="-720"/>
          <w:tab w:val="left" w:pos="0"/>
        </w:tabs>
        <w:suppressAutoHyphens/>
        <w:ind w:left="720"/>
        <w:rPr>
          <w:sz w:val="22"/>
          <w:szCs w:val="22"/>
        </w:rPr>
      </w:pPr>
      <w:r w:rsidRPr="00A03FD6">
        <w:rPr>
          <w:sz w:val="22"/>
          <w:szCs w:val="22"/>
          <w:u w:val="single"/>
        </w:rPr>
        <w:lastRenderedPageBreak/>
        <w:t>Waste Prevention Vaccinations</w:t>
      </w:r>
      <w:r w:rsidRPr="00A03FD6">
        <w:rPr>
          <w:sz w:val="22"/>
          <w:szCs w:val="22"/>
        </w:rPr>
        <w:t>.  COVID-19 vaccinations administered by a</w:t>
      </w:r>
      <w:r w:rsidR="00E707A6" w:rsidRPr="00A03FD6">
        <w:rPr>
          <w:sz w:val="22"/>
          <w:szCs w:val="22"/>
        </w:rPr>
        <w:t>n</w:t>
      </w:r>
      <w:r w:rsidRPr="00A03FD6">
        <w:rPr>
          <w:sz w:val="22"/>
          <w:szCs w:val="22"/>
        </w:rPr>
        <w:t xml:space="preserve"> </w:t>
      </w:r>
      <w:r w:rsidR="00E707A6" w:rsidRPr="00A03FD6">
        <w:rPr>
          <w:sz w:val="22"/>
          <w:szCs w:val="22"/>
        </w:rPr>
        <w:t>in-home</w:t>
      </w:r>
      <w:r w:rsidRPr="00A03FD6">
        <w:rPr>
          <w:sz w:val="22"/>
          <w:szCs w:val="22"/>
        </w:rPr>
        <w:t xml:space="preserve"> vaccination provider to other vaccinable individuals in any setting solely to avoid wasting COVID-19 vaccine doses that would otherwise spoil.  </w:t>
      </w:r>
    </w:p>
    <w:p w14:paraId="3E6ADA0B" w14:textId="77777777" w:rsidR="00C67257" w:rsidRPr="00A03FD6" w:rsidRDefault="00C67257" w:rsidP="000956E6">
      <w:pPr>
        <w:tabs>
          <w:tab w:val="left" w:pos="-720"/>
          <w:tab w:val="left" w:pos="0"/>
        </w:tabs>
        <w:suppressAutoHyphens/>
        <w:ind w:left="720"/>
        <w:rPr>
          <w:sz w:val="22"/>
          <w:szCs w:val="22"/>
        </w:rPr>
      </w:pPr>
    </w:p>
    <w:p w14:paraId="243BB86E" w14:textId="77777777" w:rsidR="002E0532" w:rsidRPr="00A03FD6" w:rsidRDefault="006F0897" w:rsidP="00166BF8">
      <w:pPr>
        <w:rPr>
          <w:sz w:val="22"/>
          <w:szCs w:val="22"/>
          <w:u w:val="single"/>
        </w:rPr>
      </w:pPr>
      <w:r w:rsidRPr="00A03FD6">
        <w:rPr>
          <w:sz w:val="22"/>
          <w:szCs w:val="22"/>
          <w:u w:val="single"/>
        </w:rPr>
        <w:t>446</w:t>
      </w:r>
      <w:r w:rsidR="002E0532" w:rsidRPr="00A03FD6">
        <w:rPr>
          <w:sz w:val="22"/>
          <w:szCs w:val="22"/>
          <w:u w:val="single"/>
        </w:rPr>
        <w:t xml:space="preserve">.03:  General Rate Provisions and </w:t>
      </w:r>
      <w:r w:rsidR="00475F0C" w:rsidRPr="00A03FD6">
        <w:rPr>
          <w:sz w:val="22"/>
          <w:szCs w:val="22"/>
          <w:u w:val="single"/>
        </w:rPr>
        <w:t>Payment</w:t>
      </w:r>
    </w:p>
    <w:p w14:paraId="221F2509" w14:textId="77777777" w:rsidR="002E0532" w:rsidRPr="00A03FD6" w:rsidRDefault="002E0532">
      <w:pPr>
        <w:tabs>
          <w:tab w:val="left" w:pos="-720"/>
        </w:tabs>
        <w:suppressAutoHyphens/>
        <w:rPr>
          <w:sz w:val="22"/>
          <w:szCs w:val="22"/>
        </w:rPr>
      </w:pPr>
    </w:p>
    <w:p w14:paraId="4777E117" w14:textId="79122923" w:rsidR="00F95FCE" w:rsidRPr="00A03FD6" w:rsidRDefault="00F95FCE" w:rsidP="00F95FCE">
      <w:pPr>
        <w:rPr>
          <w:sz w:val="22"/>
          <w:szCs w:val="22"/>
        </w:rPr>
      </w:pPr>
      <w:r w:rsidRPr="00A03FD6">
        <w:rPr>
          <w:sz w:val="22"/>
          <w:szCs w:val="22"/>
        </w:rPr>
        <w:t>(</w:t>
      </w:r>
      <w:r w:rsidR="001D37A0" w:rsidRPr="00A03FD6">
        <w:rPr>
          <w:sz w:val="22"/>
          <w:szCs w:val="22"/>
        </w:rPr>
        <w:t xml:space="preserve">101 CMR </w:t>
      </w:r>
      <w:r w:rsidRPr="00A03FD6">
        <w:rPr>
          <w:sz w:val="22"/>
          <w:szCs w:val="22"/>
        </w:rPr>
        <w:t>446.03</w:t>
      </w:r>
      <w:r w:rsidR="002E0532" w:rsidRPr="00A03FD6">
        <w:rPr>
          <w:sz w:val="22"/>
          <w:szCs w:val="22"/>
        </w:rPr>
        <w:t>(</w:t>
      </w:r>
      <w:r w:rsidR="00B05C49" w:rsidRPr="00A03FD6">
        <w:rPr>
          <w:sz w:val="22"/>
          <w:szCs w:val="22"/>
        </w:rPr>
        <w:t>1</w:t>
      </w:r>
      <w:r w:rsidR="002E0532" w:rsidRPr="00A03FD6">
        <w:rPr>
          <w:sz w:val="22"/>
          <w:szCs w:val="22"/>
        </w:rPr>
        <w:t xml:space="preserve">) </w:t>
      </w:r>
      <w:r w:rsidRPr="00A03FD6">
        <w:rPr>
          <w:sz w:val="22"/>
          <w:szCs w:val="22"/>
        </w:rPr>
        <w:t>Reserved)</w:t>
      </w:r>
      <w:r w:rsidR="002E0532" w:rsidRPr="00A03FD6">
        <w:rPr>
          <w:sz w:val="22"/>
          <w:szCs w:val="22"/>
        </w:rPr>
        <w:t xml:space="preserve"> </w:t>
      </w:r>
    </w:p>
    <w:p w14:paraId="068E63FC" w14:textId="0CD8E3AF" w:rsidR="00E94717" w:rsidRPr="00A03FD6" w:rsidRDefault="00E94717" w:rsidP="00F77D66">
      <w:pPr>
        <w:ind w:left="720"/>
        <w:rPr>
          <w:sz w:val="22"/>
          <w:szCs w:val="22"/>
        </w:rPr>
      </w:pPr>
    </w:p>
    <w:p w14:paraId="5B9CFC53" w14:textId="1F9E60FD" w:rsidR="0020734A" w:rsidRPr="00A03FD6" w:rsidRDefault="0020734A" w:rsidP="00F77D66">
      <w:pPr>
        <w:ind w:left="720"/>
        <w:rPr>
          <w:sz w:val="22"/>
          <w:szCs w:val="22"/>
        </w:rPr>
      </w:pPr>
      <w:r w:rsidRPr="00A03FD6">
        <w:rPr>
          <w:sz w:val="22"/>
          <w:szCs w:val="22"/>
        </w:rPr>
        <w:t>(</w:t>
      </w:r>
      <w:r w:rsidR="00B05C49" w:rsidRPr="00A03FD6">
        <w:rPr>
          <w:sz w:val="22"/>
          <w:szCs w:val="22"/>
        </w:rPr>
        <w:t>2</w:t>
      </w:r>
      <w:r w:rsidRPr="00A03FD6">
        <w:rPr>
          <w:sz w:val="22"/>
          <w:szCs w:val="22"/>
        </w:rPr>
        <w:t xml:space="preserve">)  </w:t>
      </w:r>
      <w:r w:rsidR="00C02D34" w:rsidRPr="00A03FD6">
        <w:rPr>
          <w:sz w:val="22"/>
          <w:szCs w:val="22"/>
          <w:u w:val="single"/>
        </w:rPr>
        <w:t>Medicine</w:t>
      </w:r>
      <w:r w:rsidR="00B10EDE" w:rsidRPr="00A03FD6">
        <w:rPr>
          <w:sz w:val="22"/>
          <w:szCs w:val="22"/>
        </w:rPr>
        <w:t>.</w:t>
      </w:r>
    </w:p>
    <w:p w14:paraId="3088E0EF" w14:textId="19F6070B" w:rsidR="00987A24" w:rsidRPr="00A03FD6" w:rsidRDefault="00D6286B" w:rsidP="00CA357B">
      <w:pPr>
        <w:ind w:left="1080"/>
        <w:rPr>
          <w:sz w:val="22"/>
          <w:szCs w:val="22"/>
          <w:u w:val="single"/>
        </w:rPr>
      </w:pPr>
      <w:r w:rsidRPr="00A03FD6">
        <w:rPr>
          <w:sz w:val="22"/>
          <w:szCs w:val="22"/>
        </w:rPr>
        <w:t>(</w:t>
      </w:r>
      <w:r w:rsidR="00CA357B" w:rsidRPr="00A03FD6">
        <w:rPr>
          <w:sz w:val="22"/>
          <w:szCs w:val="22"/>
        </w:rPr>
        <w:t>a</w:t>
      </w:r>
      <w:r w:rsidRPr="00A03FD6">
        <w:rPr>
          <w:sz w:val="22"/>
          <w:szCs w:val="22"/>
        </w:rPr>
        <w:t>)</w:t>
      </w:r>
      <w:r w:rsidR="00CA357B" w:rsidRPr="00A03FD6">
        <w:rPr>
          <w:sz w:val="22"/>
          <w:szCs w:val="22"/>
        </w:rPr>
        <w:t xml:space="preserve"> </w:t>
      </w:r>
      <w:r w:rsidR="00F77D66" w:rsidRPr="00A03FD6">
        <w:rPr>
          <w:sz w:val="22"/>
          <w:szCs w:val="22"/>
        </w:rPr>
        <w:t xml:space="preserve"> </w:t>
      </w:r>
      <w:r w:rsidR="005E16EF" w:rsidRPr="00A03FD6">
        <w:rPr>
          <w:sz w:val="22"/>
          <w:szCs w:val="22"/>
          <w:u w:val="single"/>
        </w:rPr>
        <w:t>General Rate Determination</w:t>
      </w:r>
      <w:r w:rsidR="005E16EF" w:rsidRPr="00A03FD6">
        <w:rPr>
          <w:sz w:val="22"/>
          <w:szCs w:val="22"/>
        </w:rPr>
        <w:t>.</w:t>
      </w:r>
      <w:r w:rsidR="005E16EF" w:rsidRPr="00A03FD6">
        <w:rPr>
          <w:sz w:val="22"/>
        </w:rPr>
        <w:t xml:space="preserve"> </w:t>
      </w:r>
      <w:r w:rsidR="00F77D66" w:rsidRPr="00A03FD6">
        <w:rPr>
          <w:sz w:val="22"/>
        </w:rPr>
        <w:t xml:space="preserve"> </w:t>
      </w:r>
      <w:r w:rsidR="00987A24" w:rsidRPr="00A03FD6">
        <w:rPr>
          <w:sz w:val="22"/>
          <w:szCs w:val="22"/>
        </w:rPr>
        <w:t>Rates of payment for services for which 101 CMR 446.03(2) applies are the lowest of</w:t>
      </w:r>
    </w:p>
    <w:p w14:paraId="0E29F011" w14:textId="64591E71" w:rsidR="00987A24" w:rsidRPr="00A03FD6" w:rsidRDefault="00CA357B" w:rsidP="00CA357B">
      <w:pPr>
        <w:ind w:left="1440"/>
        <w:rPr>
          <w:sz w:val="22"/>
          <w:szCs w:val="22"/>
        </w:rPr>
      </w:pPr>
      <w:r w:rsidRPr="00A03FD6">
        <w:rPr>
          <w:sz w:val="22"/>
          <w:szCs w:val="22"/>
        </w:rPr>
        <w:t xml:space="preserve">1. </w:t>
      </w:r>
      <w:r w:rsidR="00F77D66" w:rsidRPr="00A03FD6">
        <w:rPr>
          <w:sz w:val="22"/>
          <w:szCs w:val="22"/>
        </w:rPr>
        <w:t xml:space="preserve"> </w:t>
      </w:r>
      <w:r w:rsidR="00D6286B" w:rsidRPr="00A03FD6">
        <w:rPr>
          <w:sz w:val="22"/>
          <w:szCs w:val="22"/>
        </w:rPr>
        <w:t xml:space="preserve">the </w:t>
      </w:r>
      <w:r w:rsidR="00987A24" w:rsidRPr="00A03FD6">
        <w:rPr>
          <w:sz w:val="22"/>
          <w:szCs w:val="22"/>
        </w:rPr>
        <w:t xml:space="preserve">eligible provider’s usual fee to patients other than publicly aided </w:t>
      </w:r>
      <w:proofErr w:type="gramStart"/>
      <w:r w:rsidR="00987A24" w:rsidRPr="00A03FD6">
        <w:rPr>
          <w:sz w:val="22"/>
          <w:szCs w:val="22"/>
        </w:rPr>
        <w:t>individuals;</w:t>
      </w:r>
      <w:proofErr w:type="gramEnd"/>
    </w:p>
    <w:p w14:paraId="79EB7B56" w14:textId="49F1B87B" w:rsidR="00987A24" w:rsidRPr="00A03FD6" w:rsidRDefault="00CA357B" w:rsidP="00CA357B">
      <w:pPr>
        <w:ind w:left="1440"/>
        <w:rPr>
          <w:sz w:val="22"/>
          <w:szCs w:val="22"/>
        </w:rPr>
      </w:pPr>
      <w:r w:rsidRPr="00A03FD6">
        <w:rPr>
          <w:sz w:val="22"/>
          <w:szCs w:val="22"/>
        </w:rPr>
        <w:t xml:space="preserve">2. </w:t>
      </w:r>
      <w:r w:rsidR="00F77D66" w:rsidRPr="00A03FD6">
        <w:rPr>
          <w:sz w:val="22"/>
          <w:szCs w:val="22"/>
        </w:rPr>
        <w:t xml:space="preserve"> </w:t>
      </w:r>
      <w:r w:rsidR="00D6286B" w:rsidRPr="00A03FD6">
        <w:rPr>
          <w:sz w:val="22"/>
          <w:szCs w:val="22"/>
        </w:rPr>
        <w:t xml:space="preserve">the </w:t>
      </w:r>
      <w:r w:rsidR="00987A24" w:rsidRPr="00A03FD6">
        <w:rPr>
          <w:sz w:val="22"/>
          <w:szCs w:val="22"/>
        </w:rPr>
        <w:t>eligible provider’s actual charge submitted; or</w:t>
      </w:r>
    </w:p>
    <w:p w14:paraId="38772CDC" w14:textId="25659A5E" w:rsidR="00B324D3" w:rsidRPr="00A03FD6" w:rsidRDefault="00CA357B" w:rsidP="00F96EBC">
      <w:pPr>
        <w:ind w:left="1440"/>
        <w:rPr>
          <w:sz w:val="22"/>
        </w:rPr>
      </w:pPr>
      <w:r w:rsidRPr="00A03FD6">
        <w:rPr>
          <w:sz w:val="22"/>
          <w:szCs w:val="22"/>
        </w:rPr>
        <w:t xml:space="preserve">3. </w:t>
      </w:r>
      <w:r w:rsidR="00F77D66" w:rsidRPr="00A03FD6">
        <w:rPr>
          <w:sz w:val="22"/>
          <w:szCs w:val="22"/>
        </w:rPr>
        <w:t xml:space="preserve"> </w:t>
      </w:r>
      <w:r w:rsidR="00D6286B" w:rsidRPr="00A03FD6">
        <w:rPr>
          <w:sz w:val="22"/>
          <w:szCs w:val="22"/>
        </w:rPr>
        <w:t xml:space="preserve">the </w:t>
      </w:r>
      <w:r w:rsidR="00987A24" w:rsidRPr="00A03FD6">
        <w:rPr>
          <w:sz w:val="22"/>
          <w:szCs w:val="22"/>
        </w:rPr>
        <w:t>schedule of allowable fees set forth in 101 CMR 446.03(2)(</w:t>
      </w:r>
      <w:r w:rsidR="002330A6" w:rsidRPr="00A03FD6">
        <w:rPr>
          <w:sz w:val="22"/>
          <w:szCs w:val="22"/>
        </w:rPr>
        <w:t>e</w:t>
      </w:r>
      <w:r w:rsidR="00987A24" w:rsidRPr="00A03FD6">
        <w:rPr>
          <w:sz w:val="22"/>
          <w:szCs w:val="22"/>
        </w:rPr>
        <w:t xml:space="preserve">), </w:t>
      </w:r>
      <w:proofErr w:type="gramStart"/>
      <w:r w:rsidR="00987A24" w:rsidRPr="00A03FD6">
        <w:rPr>
          <w:sz w:val="22"/>
          <w:szCs w:val="22"/>
        </w:rPr>
        <w:t>taking into account</w:t>
      </w:r>
      <w:proofErr w:type="gramEnd"/>
      <w:r w:rsidR="00987A24" w:rsidRPr="00A03FD6">
        <w:rPr>
          <w:sz w:val="22"/>
          <w:szCs w:val="22"/>
        </w:rPr>
        <w:t xml:space="preserve"> appropriate modifiers and any other applicable rate provisions in accordance with 101 CMR 446.03(2)</w:t>
      </w:r>
      <w:r w:rsidR="005E16EF" w:rsidRPr="00A03FD6">
        <w:rPr>
          <w:sz w:val="22"/>
        </w:rPr>
        <w:t>.</w:t>
      </w:r>
    </w:p>
    <w:p w14:paraId="6A72BF93" w14:textId="5DEDC919" w:rsidR="00B324D3" w:rsidRPr="00A03FD6" w:rsidRDefault="00B324D3" w:rsidP="00B324D3">
      <w:pPr>
        <w:ind w:left="1080"/>
        <w:rPr>
          <w:sz w:val="22"/>
          <w:szCs w:val="22"/>
        </w:rPr>
      </w:pPr>
      <w:r w:rsidRPr="00A03FD6">
        <w:rPr>
          <w:sz w:val="22"/>
          <w:szCs w:val="22"/>
        </w:rPr>
        <w:t xml:space="preserve">(b) </w:t>
      </w:r>
      <w:r w:rsidR="00F77D66" w:rsidRPr="00A03FD6">
        <w:rPr>
          <w:sz w:val="22"/>
          <w:szCs w:val="22"/>
        </w:rPr>
        <w:t xml:space="preserve"> </w:t>
      </w:r>
      <w:r w:rsidRPr="00A03FD6">
        <w:rPr>
          <w:sz w:val="22"/>
          <w:szCs w:val="22"/>
          <w:u w:val="single"/>
        </w:rPr>
        <w:t>Individual Consideration</w:t>
      </w:r>
      <w:r w:rsidRPr="00A03FD6">
        <w:rPr>
          <w:sz w:val="22"/>
          <w:szCs w:val="22"/>
        </w:rPr>
        <w:t xml:space="preserve">. </w:t>
      </w:r>
      <w:r w:rsidR="00F77D66" w:rsidRPr="00A03FD6">
        <w:rPr>
          <w:sz w:val="22"/>
          <w:szCs w:val="22"/>
        </w:rPr>
        <w:t xml:space="preserve"> </w:t>
      </w:r>
      <w:r w:rsidRPr="00A03FD6">
        <w:rPr>
          <w:sz w:val="22"/>
          <w:szCs w:val="22"/>
        </w:rPr>
        <w:t xml:space="preserve">Medical services </w:t>
      </w:r>
      <w:proofErr w:type="spellStart"/>
      <w:r w:rsidR="00324E1C" w:rsidRPr="00A03FD6">
        <w:rPr>
          <w:sz w:val="22"/>
          <w:szCs w:val="22"/>
        </w:rPr>
        <w:t>services</w:t>
      </w:r>
      <w:proofErr w:type="spellEnd"/>
      <w:r w:rsidR="00324E1C" w:rsidRPr="00A03FD6">
        <w:rPr>
          <w:sz w:val="22"/>
          <w:szCs w:val="22"/>
        </w:rPr>
        <w:t xml:space="preserve"> designated “I.C.” are i</w:t>
      </w:r>
      <w:r w:rsidRPr="00A03FD6">
        <w:rPr>
          <w:sz w:val="22"/>
          <w:szCs w:val="22"/>
        </w:rPr>
        <w:t xml:space="preserve">ndividually </w:t>
      </w:r>
      <w:r w:rsidR="00324E1C" w:rsidRPr="00A03FD6">
        <w:rPr>
          <w:sz w:val="22"/>
          <w:szCs w:val="22"/>
        </w:rPr>
        <w:t>c</w:t>
      </w:r>
      <w:r w:rsidRPr="00A03FD6">
        <w:rPr>
          <w:sz w:val="22"/>
          <w:szCs w:val="22"/>
        </w:rPr>
        <w:t>onsidered items. The governmental unit or purchaser analyzes the eligible provider’s report of services rendered and charges submitted under the appropriate unlisted services or procedures category. The governmental unit or purchaser determines appropriate payment for procedures designated I.C. in accordance with the following standards and criteria</w:t>
      </w:r>
      <w:r w:rsidR="00BE349C" w:rsidRPr="00A03FD6">
        <w:rPr>
          <w:sz w:val="22"/>
          <w:szCs w:val="22"/>
        </w:rPr>
        <w:t>:</w:t>
      </w:r>
      <w:r w:rsidRPr="00A03FD6">
        <w:rPr>
          <w:sz w:val="22"/>
          <w:szCs w:val="22"/>
        </w:rPr>
        <w:t xml:space="preserve"> </w:t>
      </w:r>
    </w:p>
    <w:p w14:paraId="4F2C4FB4" w14:textId="725107EF" w:rsidR="00B324D3" w:rsidRPr="00A03FD6" w:rsidRDefault="00B324D3" w:rsidP="00B324D3">
      <w:pPr>
        <w:ind w:left="1440"/>
        <w:rPr>
          <w:sz w:val="22"/>
          <w:szCs w:val="22"/>
        </w:rPr>
      </w:pPr>
      <w:r w:rsidRPr="00A03FD6">
        <w:rPr>
          <w:sz w:val="22"/>
          <w:szCs w:val="22"/>
        </w:rPr>
        <w:t>1</w:t>
      </w:r>
      <w:r w:rsidR="00B05380" w:rsidRPr="00A03FD6">
        <w:rPr>
          <w:sz w:val="22"/>
          <w:szCs w:val="22"/>
        </w:rPr>
        <w:t>.</w:t>
      </w:r>
      <w:r w:rsidRPr="00A03FD6">
        <w:rPr>
          <w:sz w:val="22"/>
          <w:szCs w:val="22"/>
        </w:rPr>
        <w:t xml:space="preserve"> </w:t>
      </w:r>
      <w:r w:rsidR="00F77D66" w:rsidRPr="00A03FD6">
        <w:rPr>
          <w:sz w:val="22"/>
          <w:szCs w:val="22"/>
        </w:rPr>
        <w:t xml:space="preserve"> </w:t>
      </w:r>
      <w:r w:rsidR="00BE349C" w:rsidRPr="00A03FD6">
        <w:rPr>
          <w:sz w:val="22"/>
          <w:szCs w:val="22"/>
        </w:rPr>
        <w:t>t</w:t>
      </w:r>
      <w:r w:rsidRPr="00A03FD6">
        <w:rPr>
          <w:sz w:val="22"/>
          <w:szCs w:val="22"/>
        </w:rPr>
        <w:t xml:space="preserve">he amount of time required to perform the </w:t>
      </w:r>
      <w:proofErr w:type="gramStart"/>
      <w:r w:rsidRPr="00A03FD6">
        <w:rPr>
          <w:sz w:val="22"/>
          <w:szCs w:val="22"/>
        </w:rPr>
        <w:t>service;</w:t>
      </w:r>
      <w:proofErr w:type="gramEnd"/>
      <w:r w:rsidRPr="00A03FD6">
        <w:rPr>
          <w:sz w:val="22"/>
          <w:szCs w:val="22"/>
        </w:rPr>
        <w:t xml:space="preserve"> </w:t>
      </w:r>
    </w:p>
    <w:p w14:paraId="71FA9C68" w14:textId="29AA56EF" w:rsidR="00B324D3" w:rsidRPr="00A03FD6" w:rsidRDefault="00B324D3" w:rsidP="00B324D3">
      <w:pPr>
        <w:ind w:left="1440"/>
        <w:rPr>
          <w:sz w:val="22"/>
          <w:szCs w:val="22"/>
        </w:rPr>
      </w:pPr>
      <w:r w:rsidRPr="00A03FD6">
        <w:rPr>
          <w:sz w:val="22"/>
          <w:szCs w:val="22"/>
        </w:rPr>
        <w:t>2</w:t>
      </w:r>
      <w:r w:rsidR="00B05380" w:rsidRPr="00A03FD6">
        <w:rPr>
          <w:sz w:val="22"/>
          <w:szCs w:val="22"/>
        </w:rPr>
        <w:t>.</w:t>
      </w:r>
      <w:r w:rsidRPr="00A03FD6">
        <w:rPr>
          <w:sz w:val="22"/>
          <w:szCs w:val="22"/>
        </w:rPr>
        <w:t xml:space="preserve"> </w:t>
      </w:r>
      <w:r w:rsidR="00F77D66" w:rsidRPr="00A03FD6">
        <w:rPr>
          <w:sz w:val="22"/>
          <w:szCs w:val="22"/>
        </w:rPr>
        <w:t xml:space="preserve"> </w:t>
      </w:r>
      <w:r w:rsidR="00BE349C" w:rsidRPr="00A03FD6">
        <w:rPr>
          <w:sz w:val="22"/>
          <w:szCs w:val="22"/>
        </w:rPr>
        <w:t>t</w:t>
      </w:r>
      <w:r w:rsidRPr="00A03FD6">
        <w:rPr>
          <w:sz w:val="22"/>
          <w:szCs w:val="22"/>
        </w:rPr>
        <w:t xml:space="preserve">he degree of skill required to perform the </w:t>
      </w:r>
      <w:proofErr w:type="gramStart"/>
      <w:r w:rsidRPr="00A03FD6">
        <w:rPr>
          <w:sz w:val="22"/>
          <w:szCs w:val="22"/>
        </w:rPr>
        <w:t>service;</w:t>
      </w:r>
      <w:proofErr w:type="gramEnd"/>
      <w:r w:rsidRPr="00A03FD6">
        <w:rPr>
          <w:sz w:val="22"/>
          <w:szCs w:val="22"/>
        </w:rPr>
        <w:t xml:space="preserve"> </w:t>
      </w:r>
    </w:p>
    <w:p w14:paraId="364F30D3" w14:textId="06D5D316" w:rsidR="00B324D3" w:rsidRPr="00A03FD6" w:rsidRDefault="00B324D3" w:rsidP="00B324D3">
      <w:pPr>
        <w:ind w:left="1440"/>
        <w:rPr>
          <w:sz w:val="22"/>
          <w:szCs w:val="22"/>
        </w:rPr>
      </w:pPr>
      <w:r w:rsidRPr="00A03FD6">
        <w:rPr>
          <w:sz w:val="22"/>
          <w:szCs w:val="22"/>
        </w:rPr>
        <w:t>3</w:t>
      </w:r>
      <w:r w:rsidR="00B05380" w:rsidRPr="00A03FD6">
        <w:rPr>
          <w:sz w:val="22"/>
          <w:szCs w:val="22"/>
        </w:rPr>
        <w:t>.</w:t>
      </w:r>
      <w:r w:rsidRPr="00A03FD6">
        <w:rPr>
          <w:sz w:val="22"/>
          <w:szCs w:val="22"/>
        </w:rPr>
        <w:t xml:space="preserve"> </w:t>
      </w:r>
      <w:r w:rsidR="00F77D66" w:rsidRPr="00A03FD6">
        <w:rPr>
          <w:sz w:val="22"/>
          <w:szCs w:val="22"/>
        </w:rPr>
        <w:t xml:space="preserve"> </w:t>
      </w:r>
      <w:r w:rsidR="00BE349C" w:rsidRPr="00A03FD6">
        <w:rPr>
          <w:sz w:val="22"/>
          <w:szCs w:val="22"/>
        </w:rPr>
        <w:t>t</w:t>
      </w:r>
      <w:r w:rsidRPr="00A03FD6">
        <w:rPr>
          <w:sz w:val="22"/>
          <w:szCs w:val="22"/>
        </w:rPr>
        <w:t xml:space="preserve">he severity or complexity of the patient’s disease, disorder, or </w:t>
      </w:r>
      <w:proofErr w:type="gramStart"/>
      <w:r w:rsidRPr="00A03FD6">
        <w:rPr>
          <w:sz w:val="22"/>
          <w:szCs w:val="22"/>
        </w:rPr>
        <w:t>disability;</w:t>
      </w:r>
      <w:proofErr w:type="gramEnd"/>
      <w:r w:rsidRPr="00A03FD6">
        <w:rPr>
          <w:sz w:val="22"/>
          <w:szCs w:val="22"/>
        </w:rPr>
        <w:t xml:space="preserve"> </w:t>
      </w:r>
    </w:p>
    <w:p w14:paraId="1710EFD6" w14:textId="540FB8AD" w:rsidR="00B324D3" w:rsidRPr="00A03FD6" w:rsidRDefault="00B324D3" w:rsidP="00B324D3">
      <w:pPr>
        <w:ind w:left="1440"/>
        <w:rPr>
          <w:sz w:val="22"/>
          <w:szCs w:val="22"/>
        </w:rPr>
      </w:pPr>
      <w:r w:rsidRPr="00A03FD6">
        <w:rPr>
          <w:sz w:val="22"/>
          <w:szCs w:val="22"/>
        </w:rPr>
        <w:t>4</w:t>
      </w:r>
      <w:r w:rsidR="00B05380" w:rsidRPr="00A03FD6">
        <w:rPr>
          <w:sz w:val="22"/>
          <w:szCs w:val="22"/>
        </w:rPr>
        <w:t>.</w:t>
      </w:r>
      <w:r w:rsidRPr="00A03FD6">
        <w:rPr>
          <w:sz w:val="22"/>
          <w:szCs w:val="22"/>
        </w:rPr>
        <w:t xml:space="preserve"> </w:t>
      </w:r>
      <w:r w:rsidR="00F77D66" w:rsidRPr="00A03FD6">
        <w:rPr>
          <w:sz w:val="22"/>
          <w:szCs w:val="22"/>
        </w:rPr>
        <w:t xml:space="preserve"> </w:t>
      </w:r>
      <w:r w:rsidR="00BE349C" w:rsidRPr="00A03FD6">
        <w:rPr>
          <w:sz w:val="22"/>
          <w:szCs w:val="22"/>
        </w:rPr>
        <w:t>a</w:t>
      </w:r>
      <w:r w:rsidRPr="00A03FD6">
        <w:rPr>
          <w:sz w:val="22"/>
          <w:szCs w:val="22"/>
        </w:rPr>
        <w:t xml:space="preserve">ny applicable relative-value </w:t>
      </w:r>
      <w:proofErr w:type="gramStart"/>
      <w:r w:rsidRPr="00A03FD6">
        <w:rPr>
          <w:sz w:val="22"/>
          <w:szCs w:val="22"/>
        </w:rPr>
        <w:t>studies;</w:t>
      </w:r>
      <w:proofErr w:type="gramEnd"/>
      <w:r w:rsidRPr="00A03FD6">
        <w:rPr>
          <w:sz w:val="22"/>
          <w:szCs w:val="22"/>
        </w:rPr>
        <w:t xml:space="preserve"> </w:t>
      </w:r>
    </w:p>
    <w:p w14:paraId="7FCDAEC5" w14:textId="7A2C9BD6" w:rsidR="00B324D3" w:rsidRPr="00A03FD6" w:rsidRDefault="00B324D3" w:rsidP="00B324D3">
      <w:pPr>
        <w:ind w:left="1440"/>
        <w:rPr>
          <w:sz w:val="22"/>
          <w:szCs w:val="22"/>
        </w:rPr>
      </w:pPr>
      <w:r w:rsidRPr="00A03FD6">
        <w:rPr>
          <w:sz w:val="22"/>
          <w:szCs w:val="22"/>
        </w:rPr>
        <w:t>5</w:t>
      </w:r>
      <w:r w:rsidR="00B05380" w:rsidRPr="00A03FD6">
        <w:rPr>
          <w:sz w:val="22"/>
          <w:szCs w:val="22"/>
        </w:rPr>
        <w:t>.</w:t>
      </w:r>
      <w:r w:rsidRPr="00A03FD6">
        <w:rPr>
          <w:sz w:val="22"/>
          <w:szCs w:val="22"/>
        </w:rPr>
        <w:t xml:space="preserve"> </w:t>
      </w:r>
      <w:r w:rsidR="00F77D66" w:rsidRPr="00A03FD6">
        <w:rPr>
          <w:sz w:val="22"/>
          <w:szCs w:val="22"/>
        </w:rPr>
        <w:t xml:space="preserve"> </w:t>
      </w:r>
      <w:r w:rsidR="00BE349C" w:rsidRPr="00A03FD6">
        <w:rPr>
          <w:sz w:val="22"/>
          <w:szCs w:val="22"/>
        </w:rPr>
        <w:t>a</w:t>
      </w:r>
      <w:r w:rsidRPr="00A03FD6">
        <w:rPr>
          <w:sz w:val="22"/>
          <w:szCs w:val="22"/>
        </w:rPr>
        <w:t xml:space="preserve">ny complications or other circumstances that may be deemed </w:t>
      </w:r>
      <w:proofErr w:type="gramStart"/>
      <w:r w:rsidRPr="00A03FD6">
        <w:rPr>
          <w:sz w:val="22"/>
          <w:szCs w:val="22"/>
        </w:rPr>
        <w:t>relevant;</w:t>
      </w:r>
      <w:proofErr w:type="gramEnd"/>
      <w:r w:rsidRPr="00A03FD6">
        <w:rPr>
          <w:sz w:val="22"/>
          <w:szCs w:val="22"/>
        </w:rPr>
        <w:t xml:space="preserve"> </w:t>
      </w:r>
    </w:p>
    <w:p w14:paraId="10B6A717" w14:textId="769338C0" w:rsidR="00B324D3" w:rsidRPr="00A03FD6" w:rsidRDefault="00B324D3" w:rsidP="00B324D3">
      <w:pPr>
        <w:ind w:left="1440"/>
        <w:rPr>
          <w:sz w:val="22"/>
          <w:szCs w:val="22"/>
        </w:rPr>
      </w:pPr>
      <w:r w:rsidRPr="00A03FD6">
        <w:rPr>
          <w:sz w:val="22"/>
          <w:szCs w:val="22"/>
        </w:rPr>
        <w:t>6</w:t>
      </w:r>
      <w:r w:rsidR="00B05380" w:rsidRPr="00A03FD6">
        <w:rPr>
          <w:sz w:val="22"/>
          <w:szCs w:val="22"/>
        </w:rPr>
        <w:t>.</w:t>
      </w:r>
      <w:r w:rsidRPr="00A03FD6">
        <w:rPr>
          <w:sz w:val="22"/>
          <w:szCs w:val="22"/>
        </w:rPr>
        <w:t xml:space="preserve"> </w:t>
      </w:r>
      <w:r w:rsidR="00F77D66" w:rsidRPr="00A03FD6">
        <w:rPr>
          <w:sz w:val="22"/>
          <w:szCs w:val="22"/>
        </w:rPr>
        <w:t xml:space="preserve"> </w:t>
      </w:r>
      <w:r w:rsidR="00BE349C" w:rsidRPr="00A03FD6">
        <w:rPr>
          <w:sz w:val="22"/>
          <w:szCs w:val="22"/>
        </w:rPr>
        <w:t>t</w:t>
      </w:r>
      <w:r w:rsidRPr="00A03FD6">
        <w:rPr>
          <w:sz w:val="22"/>
          <w:szCs w:val="22"/>
        </w:rPr>
        <w:t>he policies, procedures, and practices of other third</w:t>
      </w:r>
      <w:r w:rsidR="00EB687D" w:rsidRPr="00A03FD6">
        <w:rPr>
          <w:sz w:val="22"/>
          <w:szCs w:val="22"/>
        </w:rPr>
        <w:t>-</w:t>
      </w:r>
      <w:r w:rsidRPr="00A03FD6">
        <w:rPr>
          <w:sz w:val="22"/>
          <w:szCs w:val="22"/>
        </w:rPr>
        <w:t xml:space="preserve">party </w:t>
      </w:r>
      <w:proofErr w:type="gramStart"/>
      <w:r w:rsidRPr="00A03FD6">
        <w:rPr>
          <w:sz w:val="22"/>
          <w:szCs w:val="22"/>
        </w:rPr>
        <w:t>insurers;</w:t>
      </w:r>
      <w:proofErr w:type="gramEnd"/>
      <w:r w:rsidRPr="00A03FD6">
        <w:rPr>
          <w:sz w:val="22"/>
          <w:szCs w:val="22"/>
        </w:rPr>
        <w:t xml:space="preserve"> </w:t>
      </w:r>
    </w:p>
    <w:p w14:paraId="4A34EA02" w14:textId="4C193183" w:rsidR="00B324D3" w:rsidRPr="00A03FD6" w:rsidRDefault="00B324D3" w:rsidP="00B324D3">
      <w:pPr>
        <w:ind w:left="1440"/>
        <w:rPr>
          <w:sz w:val="22"/>
          <w:szCs w:val="22"/>
        </w:rPr>
      </w:pPr>
      <w:r w:rsidRPr="00A03FD6">
        <w:rPr>
          <w:sz w:val="22"/>
          <w:szCs w:val="22"/>
        </w:rPr>
        <w:t>7</w:t>
      </w:r>
      <w:r w:rsidR="00B05380" w:rsidRPr="00A03FD6">
        <w:rPr>
          <w:sz w:val="22"/>
          <w:szCs w:val="22"/>
        </w:rPr>
        <w:t>.</w:t>
      </w:r>
      <w:r w:rsidRPr="00A03FD6">
        <w:rPr>
          <w:sz w:val="22"/>
          <w:szCs w:val="22"/>
        </w:rPr>
        <w:t xml:space="preserve"> </w:t>
      </w:r>
      <w:r w:rsidR="00F77D66" w:rsidRPr="00A03FD6">
        <w:rPr>
          <w:sz w:val="22"/>
          <w:szCs w:val="22"/>
        </w:rPr>
        <w:t xml:space="preserve"> </w:t>
      </w:r>
      <w:r w:rsidR="00BE349C" w:rsidRPr="00A03FD6">
        <w:rPr>
          <w:sz w:val="22"/>
          <w:szCs w:val="22"/>
        </w:rPr>
        <w:t>t</w:t>
      </w:r>
      <w:r w:rsidRPr="00A03FD6">
        <w:rPr>
          <w:sz w:val="22"/>
          <w:szCs w:val="22"/>
        </w:rPr>
        <w:t xml:space="preserve">he payment rate for prescribed drugs as set forth in 101 CMR 331.00: </w:t>
      </w:r>
      <w:r w:rsidR="009A48FD" w:rsidRPr="00A03FD6">
        <w:rPr>
          <w:sz w:val="22"/>
          <w:szCs w:val="22"/>
        </w:rPr>
        <w:t xml:space="preserve"> </w:t>
      </w:r>
      <w:r w:rsidRPr="00A03FD6">
        <w:rPr>
          <w:i/>
          <w:sz w:val="22"/>
          <w:szCs w:val="22"/>
        </w:rPr>
        <w:t>Prescribed Drugs</w:t>
      </w:r>
      <w:r w:rsidRPr="00A03FD6">
        <w:rPr>
          <w:sz w:val="22"/>
          <w:szCs w:val="22"/>
        </w:rPr>
        <w:t xml:space="preserve">; and </w:t>
      </w:r>
    </w:p>
    <w:p w14:paraId="59E7972A" w14:textId="5858C7DC" w:rsidR="00D6286B" w:rsidRPr="00A03FD6" w:rsidRDefault="00B324D3" w:rsidP="00B324D3">
      <w:pPr>
        <w:ind w:left="1440"/>
        <w:rPr>
          <w:sz w:val="22"/>
          <w:szCs w:val="22"/>
        </w:rPr>
      </w:pPr>
      <w:r w:rsidRPr="00A03FD6">
        <w:rPr>
          <w:sz w:val="22"/>
          <w:szCs w:val="22"/>
        </w:rPr>
        <w:t>8</w:t>
      </w:r>
      <w:r w:rsidR="00B05380" w:rsidRPr="00A03FD6">
        <w:rPr>
          <w:sz w:val="22"/>
          <w:szCs w:val="22"/>
        </w:rPr>
        <w:t>.</w:t>
      </w:r>
      <w:r w:rsidRPr="00A03FD6">
        <w:rPr>
          <w:sz w:val="22"/>
          <w:szCs w:val="22"/>
        </w:rPr>
        <w:t xml:space="preserve"> </w:t>
      </w:r>
      <w:r w:rsidR="00F77D66" w:rsidRPr="00A03FD6">
        <w:rPr>
          <w:sz w:val="22"/>
          <w:szCs w:val="22"/>
        </w:rPr>
        <w:t xml:space="preserve"> </w:t>
      </w:r>
      <w:r w:rsidR="00BE349C" w:rsidRPr="00A03FD6">
        <w:rPr>
          <w:sz w:val="22"/>
          <w:szCs w:val="22"/>
        </w:rPr>
        <w:t>a</w:t>
      </w:r>
      <w:r w:rsidRPr="00A03FD6">
        <w:rPr>
          <w:sz w:val="22"/>
          <w:szCs w:val="22"/>
        </w:rPr>
        <w:t xml:space="preserve"> copy of the current invoice from the supplier.</w:t>
      </w:r>
    </w:p>
    <w:p w14:paraId="249F0917" w14:textId="207C2D00" w:rsidR="00D6286B" w:rsidRPr="00A03FD6" w:rsidRDefault="00D6286B" w:rsidP="00F96EBC">
      <w:pPr>
        <w:ind w:left="1080"/>
        <w:rPr>
          <w:sz w:val="22"/>
        </w:rPr>
      </w:pPr>
      <w:r w:rsidRPr="00A03FD6">
        <w:rPr>
          <w:sz w:val="22"/>
          <w:szCs w:val="22"/>
        </w:rPr>
        <w:t>(</w:t>
      </w:r>
      <w:r w:rsidR="00B324D3" w:rsidRPr="00A03FD6">
        <w:rPr>
          <w:sz w:val="22"/>
          <w:szCs w:val="22"/>
        </w:rPr>
        <w:t>c</w:t>
      </w:r>
      <w:r w:rsidRPr="00A03FD6">
        <w:rPr>
          <w:sz w:val="22"/>
          <w:szCs w:val="22"/>
        </w:rPr>
        <w:t>)</w:t>
      </w:r>
      <w:r w:rsidR="00CA357B" w:rsidRPr="00A03FD6">
        <w:rPr>
          <w:sz w:val="22"/>
          <w:szCs w:val="22"/>
        </w:rPr>
        <w:t xml:space="preserve"> </w:t>
      </w:r>
      <w:r w:rsidR="00F77D66" w:rsidRPr="00A03FD6">
        <w:rPr>
          <w:sz w:val="22"/>
          <w:szCs w:val="22"/>
        </w:rPr>
        <w:t xml:space="preserve"> </w:t>
      </w:r>
      <w:r w:rsidR="005E16EF" w:rsidRPr="00A03FD6">
        <w:rPr>
          <w:sz w:val="22"/>
          <w:szCs w:val="22"/>
          <w:u w:val="single"/>
        </w:rPr>
        <w:t>Defined Terms</w:t>
      </w:r>
      <w:r w:rsidR="005E16EF" w:rsidRPr="00A03FD6">
        <w:rPr>
          <w:sz w:val="22"/>
          <w:szCs w:val="22"/>
        </w:rPr>
        <w:t>.</w:t>
      </w:r>
      <w:r w:rsidR="005E16EF" w:rsidRPr="00A03FD6">
        <w:rPr>
          <w:sz w:val="22"/>
        </w:rPr>
        <w:t xml:space="preserve">  </w:t>
      </w:r>
      <w:r w:rsidRPr="00A03FD6">
        <w:rPr>
          <w:sz w:val="22"/>
        </w:rPr>
        <w:t>T</w:t>
      </w:r>
      <w:r w:rsidR="005E16EF" w:rsidRPr="00A03FD6">
        <w:rPr>
          <w:sz w:val="22"/>
        </w:rPr>
        <w:t>erms used in 101 CMR 446.03(2) that have not been defined elsewhere in 101 CMR 446</w:t>
      </w:r>
      <w:r w:rsidRPr="00A03FD6">
        <w:rPr>
          <w:sz w:val="22"/>
        </w:rPr>
        <w:t>.00</w:t>
      </w:r>
      <w:r w:rsidR="005E16EF" w:rsidRPr="00A03FD6">
        <w:rPr>
          <w:sz w:val="22"/>
        </w:rPr>
        <w:t xml:space="preserve"> have the meanings </w:t>
      </w:r>
      <w:r w:rsidR="00CA357B" w:rsidRPr="00A03FD6">
        <w:rPr>
          <w:sz w:val="22"/>
        </w:rPr>
        <w:t>in</w:t>
      </w:r>
      <w:r w:rsidR="005E16EF" w:rsidRPr="00A03FD6">
        <w:rPr>
          <w:sz w:val="22"/>
        </w:rPr>
        <w:t xml:space="preserve"> 101 CMR 317.02</w:t>
      </w:r>
      <w:r w:rsidR="00EF1F98" w:rsidRPr="00A03FD6">
        <w:rPr>
          <w:sz w:val="22"/>
        </w:rPr>
        <w:t xml:space="preserve">: </w:t>
      </w:r>
      <w:r w:rsidR="00221EFE">
        <w:rPr>
          <w:sz w:val="22"/>
        </w:rPr>
        <w:t xml:space="preserve"> </w:t>
      </w:r>
      <w:r w:rsidR="00EF1F98" w:rsidRPr="00A03FD6">
        <w:rPr>
          <w:i/>
          <w:sz w:val="22"/>
        </w:rPr>
        <w:t>General Definitions</w:t>
      </w:r>
      <w:r w:rsidR="005E16EF" w:rsidRPr="00A03FD6">
        <w:rPr>
          <w:sz w:val="22"/>
        </w:rPr>
        <w:t>.</w:t>
      </w:r>
    </w:p>
    <w:p w14:paraId="7CEFD1A1" w14:textId="15F36424" w:rsidR="00B85B87" w:rsidRPr="00A03FD6" w:rsidRDefault="00D6286B" w:rsidP="00F96EBC">
      <w:pPr>
        <w:ind w:left="1080"/>
        <w:rPr>
          <w:sz w:val="22"/>
          <w:szCs w:val="22"/>
        </w:rPr>
      </w:pPr>
      <w:r w:rsidRPr="00A03FD6">
        <w:rPr>
          <w:sz w:val="22"/>
          <w:szCs w:val="22"/>
        </w:rPr>
        <w:t>(</w:t>
      </w:r>
      <w:r w:rsidR="00B324D3" w:rsidRPr="00A03FD6">
        <w:rPr>
          <w:sz w:val="22"/>
          <w:szCs w:val="22"/>
        </w:rPr>
        <w:t>d</w:t>
      </w:r>
      <w:r w:rsidRPr="00A03FD6">
        <w:rPr>
          <w:sz w:val="22"/>
          <w:szCs w:val="22"/>
        </w:rPr>
        <w:t>)</w:t>
      </w:r>
      <w:r w:rsidR="00CA357B" w:rsidRPr="00A03FD6">
        <w:rPr>
          <w:sz w:val="22"/>
          <w:szCs w:val="22"/>
        </w:rPr>
        <w:t xml:space="preserve"> </w:t>
      </w:r>
      <w:r w:rsidR="00F77D66" w:rsidRPr="00A03FD6">
        <w:rPr>
          <w:sz w:val="22"/>
          <w:szCs w:val="22"/>
        </w:rPr>
        <w:t xml:space="preserve"> </w:t>
      </w:r>
      <w:r w:rsidR="005E16EF" w:rsidRPr="00A03FD6">
        <w:rPr>
          <w:sz w:val="22"/>
          <w:szCs w:val="22"/>
          <w:u w:val="single"/>
        </w:rPr>
        <w:t>Codes and Modifiers</w:t>
      </w:r>
      <w:r w:rsidR="005E16EF" w:rsidRPr="00A03FD6">
        <w:rPr>
          <w:sz w:val="22"/>
          <w:szCs w:val="22"/>
        </w:rPr>
        <w:t xml:space="preserve">. </w:t>
      </w:r>
      <w:r w:rsidR="00B85B87" w:rsidRPr="00A03FD6">
        <w:rPr>
          <w:sz w:val="22"/>
          <w:szCs w:val="22"/>
        </w:rPr>
        <w:t xml:space="preserve"> </w:t>
      </w:r>
    </w:p>
    <w:p w14:paraId="042C813D" w14:textId="15870C56" w:rsidR="00D6286B" w:rsidRPr="00A03FD6" w:rsidRDefault="00B85B87" w:rsidP="00B85B87">
      <w:pPr>
        <w:ind w:left="1440"/>
        <w:rPr>
          <w:sz w:val="22"/>
          <w:szCs w:val="22"/>
        </w:rPr>
      </w:pPr>
      <w:r w:rsidRPr="00A03FD6">
        <w:rPr>
          <w:sz w:val="22"/>
          <w:szCs w:val="22"/>
        </w:rPr>
        <w:t xml:space="preserve">1. </w:t>
      </w:r>
      <w:r w:rsidR="008E1785" w:rsidRPr="00A03FD6">
        <w:rPr>
          <w:sz w:val="22"/>
          <w:szCs w:val="22"/>
        </w:rPr>
        <w:t xml:space="preserve"> </w:t>
      </w:r>
      <w:r w:rsidR="005E16EF" w:rsidRPr="00A03FD6">
        <w:rPr>
          <w:sz w:val="22"/>
          <w:szCs w:val="22"/>
        </w:rPr>
        <w:t>Except as otherwise provided, the codes and modifiers for the services described in 101 CMR 446.03(2) are as defined in 101 CMR 317.04(3)</w:t>
      </w:r>
      <w:r w:rsidR="00EF1F98" w:rsidRPr="00A03FD6">
        <w:rPr>
          <w:sz w:val="22"/>
          <w:szCs w:val="22"/>
        </w:rPr>
        <w:t xml:space="preserve">: </w:t>
      </w:r>
      <w:r w:rsidR="00221EFE">
        <w:rPr>
          <w:sz w:val="22"/>
          <w:szCs w:val="22"/>
        </w:rPr>
        <w:t xml:space="preserve"> </w:t>
      </w:r>
      <w:r w:rsidR="00EF1F98" w:rsidRPr="00A03FD6">
        <w:rPr>
          <w:i/>
          <w:sz w:val="22"/>
          <w:szCs w:val="22"/>
        </w:rPr>
        <w:t>Modifiers</w:t>
      </w:r>
      <w:r w:rsidR="005E16EF" w:rsidRPr="00A03FD6">
        <w:rPr>
          <w:sz w:val="22"/>
          <w:szCs w:val="22"/>
        </w:rPr>
        <w:t xml:space="preserve"> and 101 CMR 317.04(4)</w:t>
      </w:r>
      <w:r w:rsidR="00EF1F98" w:rsidRPr="00A03FD6">
        <w:rPr>
          <w:sz w:val="22"/>
          <w:szCs w:val="22"/>
        </w:rPr>
        <w:t xml:space="preserve">: </w:t>
      </w:r>
      <w:r w:rsidR="00EF1F98" w:rsidRPr="00A03FD6">
        <w:rPr>
          <w:i/>
          <w:sz w:val="22"/>
          <w:szCs w:val="22"/>
        </w:rPr>
        <w:t>Fee Schedule</w:t>
      </w:r>
      <w:r w:rsidR="005E16EF" w:rsidRPr="00A03FD6">
        <w:rPr>
          <w:sz w:val="22"/>
          <w:szCs w:val="22"/>
        </w:rPr>
        <w:t>.</w:t>
      </w:r>
    </w:p>
    <w:p w14:paraId="0975EC49" w14:textId="2BE11A94" w:rsidR="00B85B87" w:rsidRPr="00A03FD6" w:rsidRDefault="00B85B87" w:rsidP="00B85B87">
      <w:pPr>
        <w:ind w:left="1440"/>
        <w:rPr>
          <w:sz w:val="22"/>
          <w:szCs w:val="22"/>
        </w:rPr>
      </w:pPr>
      <w:r w:rsidRPr="00A03FD6">
        <w:rPr>
          <w:sz w:val="22"/>
          <w:szCs w:val="22"/>
        </w:rPr>
        <w:t xml:space="preserve">2. </w:t>
      </w:r>
      <w:r w:rsidR="008E1785" w:rsidRPr="00A03FD6">
        <w:rPr>
          <w:sz w:val="22"/>
          <w:szCs w:val="22"/>
        </w:rPr>
        <w:t xml:space="preserve"> </w:t>
      </w:r>
      <w:r w:rsidR="00B53570" w:rsidRPr="00A03FD6">
        <w:rPr>
          <w:sz w:val="22"/>
          <w:szCs w:val="22"/>
        </w:rPr>
        <w:t xml:space="preserve">The modifier </w:t>
      </w:r>
      <w:r w:rsidRPr="00A03FD6">
        <w:rPr>
          <w:sz w:val="22"/>
          <w:szCs w:val="22"/>
        </w:rPr>
        <w:t xml:space="preserve">“SL”: </w:t>
      </w:r>
      <w:r w:rsidR="009A48FD" w:rsidRPr="00A03FD6">
        <w:rPr>
          <w:sz w:val="22"/>
          <w:szCs w:val="22"/>
        </w:rPr>
        <w:t xml:space="preserve"> </w:t>
      </w:r>
      <w:r w:rsidRPr="00A03FD6">
        <w:rPr>
          <w:sz w:val="22"/>
          <w:szCs w:val="22"/>
        </w:rPr>
        <w:t xml:space="preserve">State supplied vaccine or antibodies. This modifier is to be applied to codes to identify </w:t>
      </w:r>
      <w:r w:rsidR="00643A7C" w:rsidRPr="00A03FD6">
        <w:rPr>
          <w:sz w:val="22"/>
          <w:szCs w:val="22"/>
        </w:rPr>
        <w:t>vaccine</w:t>
      </w:r>
      <w:r w:rsidRPr="00A03FD6">
        <w:rPr>
          <w:sz w:val="22"/>
          <w:szCs w:val="22"/>
        </w:rPr>
        <w:t xml:space="preserve"> or antibodies provided at no cost, whether by the Massachusetts Department of Public Health or other federal or state agency.</w:t>
      </w:r>
      <w:r w:rsidR="002609D9" w:rsidRPr="00A03FD6">
        <w:rPr>
          <w:sz w:val="22"/>
          <w:szCs w:val="22"/>
        </w:rPr>
        <w:t xml:space="preserve"> No payment shall be made for codes with this modifier.</w:t>
      </w:r>
      <w:r w:rsidRPr="00A03FD6">
        <w:rPr>
          <w:sz w:val="22"/>
          <w:szCs w:val="22"/>
        </w:rPr>
        <w:t xml:space="preserve">  </w:t>
      </w:r>
    </w:p>
    <w:p w14:paraId="11BC5C6C" w14:textId="3555874E" w:rsidR="005E16EF" w:rsidRPr="00A03FD6" w:rsidRDefault="00D6286B" w:rsidP="005702AD">
      <w:pPr>
        <w:ind w:left="1080"/>
        <w:rPr>
          <w:sz w:val="22"/>
          <w:szCs w:val="22"/>
        </w:rPr>
      </w:pPr>
      <w:r w:rsidRPr="00A03FD6">
        <w:rPr>
          <w:sz w:val="22"/>
          <w:szCs w:val="22"/>
        </w:rPr>
        <w:t>(</w:t>
      </w:r>
      <w:r w:rsidR="00B324D3" w:rsidRPr="00A03FD6">
        <w:rPr>
          <w:sz w:val="22"/>
          <w:szCs w:val="22"/>
        </w:rPr>
        <w:t>e</w:t>
      </w:r>
      <w:r w:rsidRPr="00A03FD6">
        <w:rPr>
          <w:sz w:val="22"/>
          <w:szCs w:val="22"/>
        </w:rPr>
        <w:t>)</w:t>
      </w:r>
      <w:r w:rsidR="00CA357B" w:rsidRPr="00A03FD6">
        <w:rPr>
          <w:sz w:val="22"/>
          <w:szCs w:val="22"/>
        </w:rPr>
        <w:t xml:space="preserve"> </w:t>
      </w:r>
      <w:r w:rsidR="00F77D66" w:rsidRPr="00A03FD6">
        <w:rPr>
          <w:sz w:val="22"/>
          <w:szCs w:val="22"/>
        </w:rPr>
        <w:t xml:space="preserve"> </w:t>
      </w:r>
      <w:r w:rsidR="005E16EF" w:rsidRPr="00A03FD6">
        <w:rPr>
          <w:sz w:val="22"/>
          <w:szCs w:val="22"/>
          <w:u w:val="single"/>
        </w:rPr>
        <w:t>Allowable Fee for Remote Patient Monitoring (RPM) Bundled Services</w:t>
      </w:r>
      <w:r w:rsidR="005E16EF" w:rsidRPr="00A03FD6">
        <w:rPr>
          <w:sz w:val="22"/>
          <w:szCs w:val="22"/>
        </w:rPr>
        <w:t>.</w:t>
      </w:r>
      <w:r w:rsidR="0035531B" w:rsidRPr="00A03FD6">
        <w:rPr>
          <w:sz w:val="22"/>
          <w:szCs w:val="22"/>
        </w:rPr>
        <w:t xml:space="preserve"> </w:t>
      </w:r>
      <w:r w:rsidR="00F77D66" w:rsidRPr="00A03FD6">
        <w:rPr>
          <w:sz w:val="22"/>
          <w:szCs w:val="22"/>
        </w:rPr>
        <w:t xml:space="preserve"> </w:t>
      </w:r>
      <w:r w:rsidR="0035531B" w:rsidRPr="00A03FD6">
        <w:rPr>
          <w:sz w:val="22"/>
          <w:szCs w:val="22"/>
        </w:rPr>
        <w:t>The following code, modifier, and fee apply for the provision of RPM bundled services.</w:t>
      </w:r>
    </w:p>
    <w:p w14:paraId="323C5056" w14:textId="77777777" w:rsidR="005702AD" w:rsidRPr="00A03FD6" w:rsidRDefault="005702AD" w:rsidP="005702AD">
      <w:pPr>
        <w:ind w:left="1080"/>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5E16EF" w:rsidRPr="00A03FD6" w14:paraId="28DC0C3C" w14:textId="77777777" w:rsidTr="0004148A">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02326664" w14:textId="77777777" w:rsidR="005E16EF" w:rsidRPr="00A03FD6" w:rsidRDefault="005E16EF" w:rsidP="005E16EF">
            <w:pPr>
              <w:tabs>
                <w:tab w:val="left" w:pos="900"/>
              </w:tabs>
              <w:jc w:val="center"/>
              <w:rPr>
                <w:b/>
                <w:bCs/>
                <w:sz w:val="22"/>
                <w:szCs w:val="22"/>
              </w:rPr>
            </w:pPr>
            <w:r w:rsidRPr="00A03FD6">
              <w:rPr>
                <w:b/>
                <w:bCs/>
                <w:sz w:val="22"/>
                <w:szCs w:val="22"/>
              </w:rPr>
              <w:lastRenderedPageBreak/>
              <w:t>Code</w:t>
            </w:r>
          </w:p>
        </w:tc>
        <w:tc>
          <w:tcPr>
            <w:tcW w:w="1980" w:type="dxa"/>
            <w:tcBorders>
              <w:top w:val="single" w:sz="4" w:space="0" w:color="auto"/>
              <w:left w:val="single" w:sz="4" w:space="0" w:color="auto"/>
              <w:bottom w:val="single" w:sz="4" w:space="0" w:color="auto"/>
              <w:right w:val="single" w:sz="4" w:space="0" w:color="auto"/>
            </w:tcBorders>
          </w:tcPr>
          <w:p w14:paraId="628EC4EC" w14:textId="77777777" w:rsidR="005E16EF" w:rsidRPr="00A03FD6" w:rsidRDefault="005E16EF" w:rsidP="005E16EF">
            <w:pPr>
              <w:jc w:val="center"/>
              <w:rPr>
                <w:b/>
                <w:bCs/>
                <w:sz w:val="22"/>
                <w:szCs w:val="22"/>
              </w:rPr>
            </w:pPr>
            <w:r w:rsidRPr="00A03FD6">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1A256D3A" w14:textId="77777777" w:rsidR="005E16EF" w:rsidRPr="00A03FD6" w:rsidRDefault="005E16EF" w:rsidP="005E16EF">
            <w:pPr>
              <w:jc w:val="center"/>
              <w:rPr>
                <w:b/>
                <w:bCs/>
                <w:sz w:val="22"/>
                <w:szCs w:val="22"/>
              </w:rPr>
            </w:pPr>
            <w:r w:rsidRPr="00A03FD6">
              <w:rPr>
                <w:b/>
                <w:bCs/>
                <w:sz w:val="22"/>
                <w:szCs w:val="22"/>
              </w:rPr>
              <w:t>Description of Code</w:t>
            </w:r>
          </w:p>
        </w:tc>
      </w:tr>
      <w:tr w:rsidR="005E16EF" w:rsidRPr="00A03FD6" w14:paraId="28401E96" w14:textId="77777777" w:rsidTr="0004148A">
        <w:trPr>
          <w:cantSplit/>
        </w:trPr>
        <w:tc>
          <w:tcPr>
            <w:tcW w:w="1530" w:type="dxa"/>
            <w:tcBorders>
              <w:top w:val="single" w:sz="4" w:space="0" w:color="auto"/>
              <w:left w:val="single" w:sz="4" w:space="0" w:color="auto"/>
              <w:bottom w:val="single" w:sz="4" w:space="0" w:color="auto"/>
              <w:right w:val="single" w:sz="4" w:space="0" w:color="auto"/>
            </w:tcBorders>
            <w:hideMark/>
          </w:tcPr>
          <w:p w14:paraId="1CCE1C30" w14:textId="77777777" w:rsidR="005E16EF" w:rsidRPr="00A03FD6" w:rsidRDefault="005E16EF" w:rsidP="005E16EF">
            <w:pPr>
              <w:jc w:val="center"/>
              <w:rPr>
                <w:color w:val="212121"/>
                <w:sz w:val="22"/>
                <w:szCs w:val="22"/>
                <w:shd w:val="clear" w:color="auto" w:fill="FFFFFF"/>
              </w:rPr>
            </w:pPr>
            <w:r w:rsidRPr="00A03FD6">
              <w:rPr>
                <w:color w:val="212121"/>
                <w:sz w:val="22"/>
                <w:szCs w:val="22"/>
                <w:shd w:val="clear" w:color="auto" w:fill="FFFFFF"/>
              </w:rPr>
              <w:t>99423 – U9</w:t>
            </w:r>
          </w:p>
          <w:p w14:paraId="2A1C0E5E" w14:textId="77777777" w:rsidR="005E16EF" w:rsidRPr="00A03FD6" w:rsidRDefault="005E16EF" w:rsidP="005E16EF">
            <w:pPr>
              <w:jc w:val="center"/>
              <w:rPr>
                <w:color w:val="212121"/>
                <w:sz w:val="22"/>
                <w:szCs w:val="22"/>
                <w:shd w:val="clear" w:color="auto" w:fill="FFFFFF"/>
              </w:rPr>
            </w:pPr>
          </w:p>
          <w:p w14:paraId="115FF714" w14:textId="77777777" w:rsidR="005E16EF" w:rsidRPr="00A03FD6" w:rsidRDefault="005E16EF" w:rsidP="005E16EF">
            <w:pPr>
              <w:jc w:val="center"/>
              <w:rPr>
                <w:color w:val="212121"/>
                <w:sz w:val="22"/>
                <w:szCs w:val="22"/>
                <w:shd w:val="clear" w:color="auto" w:fill="FFFFFF"/>
              </w:rPr>
            </w:pPr>
          </w:p>
          <w:p w14:paraId="29968652" w14:textId="77777777" w:rsidR="005E16EF" w:rsidRPr="00A03FD6" w:rsidRDefault="005E16EF" w:rsidP="005E16EF">
            <w:pPr>
              <w:pStyle w:val="NormalWeb"/>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EABB948" w14:textId="77777777" w:rsidR="005E16EF" w:rsidRPr="00A03FD6" w:rsidRDefault="005E16EF" w:rsidP="005E16EF">
            <w:pPr>
              <w:jc w:val="center"/>
              <w:rPr>
                <w:color w:val="000000"/>
                <w:sz w:val="22"/>
                <w:szCs w:val="22"/>
              </w:rPr>
            </w:pPr>
            <w:r w:rsidRPr="00A03FD6">
              <w:rPr>
                <w:color w:val="000000"/>
                <w:sz w:val="22"/>
                <w:szCs w:val="22"/>
              </w:rPr>
              <w:t>$870.72</w:t>
            </w:r>
          </w:p>
          <w:p w14:paraId="6CEFA930" w14:textId="77777777" w:rsidR="005E16EF" w:rsidRPr="00A03FD6" w:rsidRDefault="005E16EF" w:rsidP="005E16EF">
            <w:pPr>
              <w:rPr>
                <w:sz w:val="22"/>
                <w:szCs w:val="22"/>
              </w:rPr>
            </w:pPr>
          </w:p>
        </w:tc>
        <w:tc>
          <w:tcPr>
            <w:tcW w:w="6974" w:type="dxa"/>
            <w:tcBorders>
              <w:top w:val="single" w:sz="4" w:space="0" w:color="auto"/>
              <w:left w:val="single" w:sz="4" w:space="0" w:color="auto"/>
              <w:bottom w:val="single" w:sz="4" w:space="0" w:color="auto"/>
              <w:right w:val="single" w:sz="4" w:space="0" w:color="auto"/>
            </w:tcBorders>
            <w:hideMark/>
          </w:tcPr>
          <w:p w14:paraId="413A92D2" w14:textId="77777777" w:rsidR="005E16EF" w:rsidRPr="00A03FD6" w:rsidRDefault="005E16EF" w:rsidP="005E16EF">
            <w:pPr>
              <w:rPr>
                <w:sz w:val="22"/>
                <w:szCs w:val="22"/>
              </w:rPr>
            </w:pPr>
            <w:r w:rsidRPr="00A03FD6">
              <w:rPr>
                <w:sz w:val="22"/>
                <w:szCs w:val="22"/>
              </w:rPr>
              <w:t>Online digital evaluation and management service, for an established patient, for up to 7 days, cumulative time during the 7 days; 21 or more minutes.</w:t>
            </w:r>
          </w:p>
          <w:p w14:paraId="7F1F49D8" w14:textId="77777777" w:rsidR="005E16EF" w:rsidRPr="00A03FD6" w:rsidRDefault="005E16EF" w:rsidP="005E16EF">
            <w:pPr>
              <w:rPr>
                <w:sz w:val="22"/>
                <w:szCs w:val="22"/>
              </w:rPr>
            </w:pPr>
          </w:p>
          <w:p w14:paraId="6E60CF37" w14:textId="77777777" w:rsidR="005E16EF" w:rsidRPr="00A03FD6" w:rsidRDefault="005E16EF" w:rsidP="005E16EF">
            <w:pPr>
              <w:rPr>
                <w:sz w:val="22"/>
                <w:szCs w:val="22"/>
              </w:rPr>
            </w:pPr>
            <w:r w:rsidRPr="00A03FD6">
              <w:rPr>
                <w:sz w:val="22"/>
                <w:szCs w:val="22"/>
              </w:rPr>
              <w:t>(Used for COVID-19 remote patient monitoring bundled services provided through any appropriate technology or modality, including up to 7 days of daily check-ins for evaluation and monitoring; multidisciplinary clinical team reviews of a member’s status and needs; appropriate physician oversight; necessary care coordination; and provision of a thermometer and pulse oximeter for remote monitoring.)</w:t>
            </w:r>
          </w:p>
          <w:p w14:paraId="12FA529D" w14:textId="77777777" w:rsidR="005E16EF" w:rsidRPr="00A03FD6" w:rsidRDefault="005E16EF" w:rsidP="005E16EF">
            <w:pPr>
              <w:rPr>
                <w:sz w:val="22"/>
                <w:szCs w:val="22"/>
              </w:rPr>
            </w:pPr>
          </w:p>
        </w:tc>
      </w:tr>
    </w:tbl>
    <w:p w14:paraId="3EE23A42" w14:textId="77777777" w:rsidR="00EE6656" w:rsidRPr="00A03FD6" w:rsidRDefault="00EE6656" w:rsidP="00EE6656">
      <w:pPr>
        <w:rPr>
          <w:sz w:val="22"/>
          <w:szCs w:val="22"/>
        </w:rPr>
      </w:pPr>
    </w:p>
    <w:p w14:paraId="4CA18370" w14:textId="5E2ED0BA" w:rsidR="00593E75" w:rsidRPr="00A03FD6" w:rsidRDefault="005F6952" w:rsidP="00B324D3">
      <w:pPr>
        <w:ind w:left="1080"/>
        <w:rPr>
          <w:sz w:val="22"/>
          <w:szCs w:val="22"/>
        </w:rPr>
      </w:pPr>
      <w:r w:rsidRPr="00A03FD6">
        <w:rPr>
          <w:sz w:val="22"/>
          <w:szCs w:val="22"/>
        </w:rPr>
        <w:t>(</w:t>
      </w:r>
      <w:r w:rsidR="009D5BE5" w:rsidRPr="00A03FD6">
        <w:rPr>
          <w:sz w:val="22"/>
          <w:szCs w:val="22"/>
        </w:rPr>
        <w:t>f</w:t>
      </w:r>
      <w:r w:rsidRPr="00A03FD6">
        <w:rPr>
          <w:sz w:val="22"/>
          <w:szCs w:val="22"/>
        </w:rPr>
        <w:t xml:space="preserve">) </w:t>
      </w:r>
      <w:r w:rsidR="00AA5DA6" w:rsidRPr="00A03FD6">
        <w:rPr>
          <w:sz w:val="22"/>
          <w:szCs w:val="22"/>
        </w:rPr>
        <w:t xml:space="preserve"> </w:t>
      </w:r>
      <w:r w:rsidRPr="00A03FD6">
        <w:rPr>
          <w:sz w:val="22"/>
          <w:szCs w:val="22"/>
          <w:u w:val="single"/>
        </w:rPr>
        <w:t>Allowable Fee for COVID-19 Vaccine and Vaccine Administration</w:t>
      </w:r>
      <w:r w:rsidRPr="00A03FD6">
        <w:rPr>
          <w:sz w:val="22"/>
          <w:szCs w:val="22"/>
        </w:rPr>
        <w:t xml:space="preserve">. </w:t>
      </w:r>
      <w:r w:rsidR="008E1785" w:rsidRPr="00A03FD6">
        <w:rPr>
          <w:sz w:val="22"/>
          <w:szCs w:val="22"/>
        </w:rPr>
        <w:t xml:space="preserve"> </w:t>
      </w:r>
      <w:r w:rsidR="00EB687D" w:rsidRPr="00A03FD6">
        <w:rPr>
          <w:sz w:val="22"/>
          <w:szCs w:val="22"/>
        </w:rPr>
        <w:t xml:space="preserve">The allowable fees for COVID-19 vaccines and their administration are 100% of the </w:t>
      </w:r>
      <w:proofErr w:type="spellStart"/>
      <w:r w:rsidR="00EB687D" w:rsidRPr="00A03FD6">
        <w:rPr>
          <w:sz w:val="22"/>
          <w:szCs w:val="22"/>
        </w:rPr>
        <w:t>corrresponding</w:t>
      </w:r>
      <w:proofErr w:type="spellEnd"/>
      <w:r w:rsidR="00EB687D" w:rsidRPr="00A03FD6">
        <w:rPr>
          <w:sz w:val="22"/>
          <w:szCs w:val="22"/>
        </w:rPr>
        <w:t xml:space="preserve"> Medicare Part B payment rates, without geographic adjustment. Payment for administration of the COVID-19 vaccine provided by eligible providers who are certified nurse practitioners, certified nurse midwives, psychiatric clinical nurse specialists, clinical nurse specialists, physician assistants, registered nurses, pharmacies that utilize pharmacists, or other health care professionals certified in accordance with 105 CMR 700.000: </w:t>
      </w:r>
      <w:r w:rsidR="00221EFE">
        <w:rPr>
          <w:sz w:val="22"/>
          <w:szCs w:val="22"/>
        </w:rPr>
        <w:t xml:space="preserve"> </w:t>
      </w:r>
      <w:r w:rsidR="00EB687D" w:rsidRPr="00A03FD6">
        <w:rPr>
          <w:i/>
          <w:iCs/>
          <w:sz w:val="22"/>
          <w:szCs w:val="22"/>
        </w:rPr>
        <w:t>Implementation of M.G.L. c. 94C</w:t>
      </w:r>
      <w:r w:rsidR="00EB687D" w:rsidRPr="00A03FD6">
        <w:rPr>
          <w:sz w:val="22"/>
          <w:szCs w:val="22"/>
        </w:rPr>
        <w:t xml:space="preserve">, and home health agencies as specified in 101 CMR 317.02 is 85% of the allowable fee. In the event this fee structure conflicts with the rates for the same codes in 101 CMR 317.00: </w:t>
      </w:r>
      <w:r w:rsidR="00EB687D" w:rsidRPr="00A03FD6">
        <w:rPr>
          <w:i/>
          <w:iCs/>
          <w:sz w:val="22"/>
          <w:szCs w:val="22"/>
        </w:rPr>
        <w:t>Rates for Medicine Services</w:t>
      </w:r>
      <w:r w:rsidR="00EB687D" w:rsidRPr="00A03FD6">
        <w:rPr>
          <w:sz w:val="22"/>
          <w:szCs w:val="22"/>
        </w:rPr>
        <w:t xml:space="preserve">, then the fee structure in 101 CMR 317.00 will control. </w:t>
      </w:r>
    </w:p>
    <w:p w14:paraId="12E93BD2" w14:textId="77777777" w:rsidR="00EB687D" w:rsidRPr="00A03FD6" w:rsidRDefault="00EB687D" w:rsidP="00B324D3">
      <w:pPr>
        <w:ind w:left="1080"/>
        <w:rPr>
          <w:sz w:val="22"/>
          <w:szCs w:val="22"/>
        </w:rPr>
      </w:pPr>
    </w:p>
    <w:p w14:paraId="47B183EE" w14:textId="77777777" w:rsidR="00EB687D" w:rsidRPr="00A03FD6" w:rsidRDefault="00EB687D" w:rsidP="00EB687D">
      <w:pPr>
        <w:ind w:left="1080"/>
        <w:rPr>
          <w:sz w:val="22"/>
          <w:szCs w:val="22"/>
        </w:rPr>
      </w:pPr>
      <w:r w:rsidRPr="00A03FD6">
        <w:rPr>
          <w:sz w:val="22"/>
          <w:szCs w:val="22"/>
        </w:rPr>
        <w:t>This fee structure applies for the following codes:</w:t>
      </w:r>
    </w:p>
    <w:p w14:paraId="001F1084" w14:textId="77777777" w:rsidR="00EB687D" w:rsidRPr="00A03FD6" w:rsidRDefault="00EB687D" w:rsidP="00EB687D">
      <w:pPr>
        <w:ind w:left="1080"/>
        <w:rPr>
          <w:sz w:val="22"/>
          <w:szCs w:val="22"/>
        </w:rPr>
      </w:pPr>
    </w:p>
    <w:tbl>
      <w:tblPr>
        <w:tblStyle w:val="TableGrid"/>
        <w:tblW w:w="7694" w:type="dxa"/>
        <w:tblInd w:w="805" w:type="dxa"/>
        <w:tblLayout w:type="fixed"/>
        <w:tblLook w:val="04A0" w:firstRow="1" w:lastRow="0" w:firstColumn="1" w:lastColumn="0" w:noHBand="0" w:noVBand="1"/>
      </w:tblPr>
      <w:tblGrid>
        <w:gridCol w:w="2250"/>
        <w:gridCol w:w="5444"/>
      </w:tblGrid>
      <w:tr w:rsidR="00EB687D" w:rsidRPr="00A03FD6" w14:paraId="65A6DD4A" w14:textId="77777777" w:rsidTr="00E74741">
        <w:trPr>
          <w:cantSplit/>
          <w:tblHeader/>
        </w:trPr>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42C93D44" w14:textId="77777777" w:rsidR="00EB687D" w:rsidRPr="00A03FD6" w:rsidRDefault="00EB687D" w:rsidP="00E74741">
            <w:pPr>
              <w:tabs>
                <w:tab w:val="left" w:pos="900"/>
              </w:tabs>
              <w:jc w:val="center"/>
              <w:rPr>
                <w:b/>
                <w:bCs/>
                <w:sz w:val="22"/>
                <w:szCs w:val="22"/>
              </w:rPr>
            </w:pPr>
            <w:r w:rsidRPr="00A03FD6">
              <w:rPr>
                <w:b/>
                <w:bCs/>
                <w:sz w:val="22"/>
                <w:szCs w:val="22"/>
              </w:rPr>
              <w:t>Code</w:t>
            </w:r>
          </w:p>
        </w:tc>
        <w:tc>
          <w:tcPr>
            <w:tcW w:w="5444" w:type="dxa"/>
            <w:tcBorders>
              <w:top w:val="single" w:sz="4" w:space="0" w:color="auto"/>
              <w:left w:val="single" w:sz="4" w:space="0" w:color="auto"/>
              <w:bottom w:val="single" w:sz="4" w:space="0" w:color="auto"/>
              <w:right w:val="single" w:sz="4" w:space="0" w:color="auto"/>
            </w:tcBorders>
            <w:shd w:val="clear" w:color="auto" w:fill="auto"/>
            <w:hideMark/>
          </w:tcPr>
          <w:p w14:paraId="3D404514" w14:textId="77777777" w:rsidR="00EB687D" w:rsidRPr="00A03FD6" w:rsidRDefault="00EB687D" w:rsidP="00E74741">
            <w:pPr>
              <w:jc w:val="center"/>
              <w:rPr>
                <w:b/>
                <w:bCs/>
                <w:sz w:val="22"/>
                <w:szCs w:val="22"/>
              </w:rPr>
            </w:pPr>
            <w:r w:rsidRPr="00A03FD6">
              <w:rPr>
                <w:b/>
                <w:bCs/>
                <w:sz w:val="22"/>
                <w:szCs w:val="22"/>
              </w:rPr>
              <w:t>Description of Code</w:t>
            </w:r>
          </w:p>
        </w:tc>
      </w:tr>
      <w:tr w:rsidR="00EB687D" w:rsidRPr="00A03FD6" w14:paraId="3D9C5374" w14:textId="77777777" w:rsidTr="00E74741">
        <w:trPr>
          <w:cantSplit/>
        </w:trPr>
        <w:tc>
          <w:tcPr>
            <w:tcW w:w="2250" w:type="dxa"/>
            <w:tcBorders>
              <w:top w:val="single" w:sz="4" w:space="0" w:color="auto"/>
              <w:left w:val="single" w:sz="4" w:space="0" w:color="auto"/>
              <w:bottom w:val="single" w:sz="4" w:space="0" w:color="auto"/>
              <w:right w:val="single" w:sz="4" w:space="0" w:color="auto"/>
            </w:tcBorders>
          </w:tcPr>
          <w:p w14:paraId="4D845598" w14:textId="77777777" w:rsidR="00EB687D" w:rsidRPr="00A03FD6" w:rsidRDefault="00EB687D" w:rsidP="00E74741">
            <w:pPr>
              <w:jc w:val="center"/>
              <w:rPr>
                <w:sz w:val="22"/>
                <w:szCs w:val="22"/>
              </w:rPr>
            </w:pPr>
            <w:r w:rsidRPr="00A03FD6">
              <w:rPr>
                <w:sz w:val="22"/>
              </w:rPr>
              <w:t>90480</w:t>
            </w:r>
          </w:p>
        </w:tc>
        <w:tc>
          <w:tcPr>
            <w:tcW w:w="5444" w:type="dxa"/>
            <w:tcBorders>
              <w:top w:val="single" w:sz="4" w:space="0" w:color="auto"/>
              <w:left w:val="single" w:sz="4" w:space="0" w:color="auto"/>
              <w:bottom w:val="single" w:sz="4" w:space="0" w:color="auto"/>
              <w:right w:val="single" w:sz="4" w:space="0" w:color="auto"/>
            </w:tcBorders>
          </w:tcPr>
          <w:p w14:paraId="68D48FC4" w14:textId="77777777" w:rsidR="00EB687D" w:rsidRPr="00A03FD6" w:rsidRDefault="00EB687D" w:rsidP="00E74741">
            <w:pPr>
              <w:rPr>
                <w:sz w:val="22"/>
                <w:szCs w:val="22"/>
              </w:rPr>
            </w:pPr>
            <w:r w:rsidRPr="00A03FD6">
              <w:rPr>
                <w:sz w:val="22"/>
                <w:szCs w:val="22"/>
              </w:rPr>
              <w:t>Immunization administration by intramuscular injection of severe acute respiratory syndrome coronavirus 2 (SARS-CoV-2) (coronavirus disease [COVID-19]) vaccine, single dose</w:t>
            </w:r>
          </w:p>
        </w:tc>
      </w:tr>
      <w:tr w:rsidR="00EB687D" w:rsidRPr="00A03FD6" w14:paraId="24807A79" w14:textId="77777777" w:rsidTr="00E74741">
        <w:tc>
          <w:tcPr>
            <w:tcW w:w="2250" w:type="dxa"/>
            <w:tcBorders>
              <w:top w:val="single" w:sz="4" w:space="0" w:color="auto"/>
              <w:left w:val="single" w:sz="4" w:space="0" w:color="auto"/>
              <w:bottom w:val="single" w:sz="4" w:space="0" w:color="auto"/>
              <w:right w:val="single" w:sz="4" w:space="0" w:color="auto"/>
            </w:tcBorders>
          </w:tcPr>
          <w:p w14:paraId="313A6FA5" w14:textId="77777777" w:rsidR="00EB687D" w:rsidRPr="00A03FD6" w:rsidRDefault="00EB687D" w:rsidP="00E74741">
            <w:pPr>
              <w:jc w:val="center"/>
              <w:rPr>
                <w:color w:val="000000"/>
                <w:sz w:val="22"/>
                <w:szCs w:val="22"/>
                <w:shd w:val="clear" w:color="auto" w:fill="FFFFFF"/>
              </w:rPr>
            </w:pPr>
            <w:r w:rsidRPr="00A03FD6">
              <w:rPr>
                <w:color w:val="000000"/>
                <w:sz w:val="22"/>
                <w:szCs w:val="22"/>
                <w:shd w:val="clear" w:color="auto" w:fill="FFFFFF"/>
              </w:rPr>
              <w:t>91304</w:t>
            </w:r>
          </w:p>
        </w:tc>
        <w:tc>
          <w:tcPr>
            <w:tcW w:w="5444" w:type="dxa"/>
            <w:tcBorders>
              <w:top w:val="single" w:sz="4" w:space="0" w:color="auto"/>
              <w:left w:val="single" w:sz="4" w:space="0" w:color="auto"/>
              <w:bottom w:val="single" w:sz="4" w:space="0" w:color="auto"/>
              <w:right w:val="single" w:sz="4" w:space="0" w:color="auto"/>
            </w:tcBorders>
          </w:tcPr>
          <w:p w14:paraId="29D9D300" w14:textId="77777777" w:rsidR="00EB687D" w:rsidRPr="00A03FD6" w:rsidRDefault="00EB687D" w:rsidP="00E74741">
            <w:pPr>
              <w:rPr>
                <w:sz w:val="22"/>
              </w:rPr>
            </w:pPr>
            <w:r w:rsidRPr="00A03FD6">
              <w:rPr>
                <w:sz w:val="22"/>
              </w:rPr>
              <w:t>Severe acute respiratory syndrome coronavirus 2 (SARS-CoV-2) (coronavirus disease [COVID-19]) vaccine, recombinant spike protein nanoparticle, saponin-based adjuvant, preservative free, 5 mcg/0.5mL dosage, for intramuscular use</w:t>
            </w:r>
          </w:p>
        </w:tc>
      </w:tr>
      <w:tr w:rsidR="00EB687D" w:rsidRPr="00A03FD6" w14:paraId="1E361691" w14:textId="77777777" w:rsidTr="00E74741">
        <w:tc>
          <w:tcPr>
            <w:tcW w:w="2250" w:type="dxa"/>
            <w:tcBorders>
              <w:top w:val="single" w:sz="4" w:space="0" w:color="auto"/>
              <w:left w:val="single" w:sz="4" w:space="0" w:color="auto"/>
              <w:bottom w:val="single" w:sz="4" w:space="0" w:color="auto"/>
              <w:right w:val="single" w:sz="4" w:space="0" w:color="auto"/>
            </w:tcBorders>
          </w:tcPr>
          <w:p w14:paraId="6FE734C4" w14:textId="77777777" w:rsidR="00EB687D" w:rsidRPr="00A03FD6" w:rsidRDefault="00EB687D" w:rsidP="00E74741">
            <w:pPr>
              <w:jc w:val="center"/>
              <w:rPr>
                <w:color w:val="000000"/>
                <w:sz w:val="22"/>
                <w:szCs w:val="22"/>
                <w:shd w:val="clear" w:color="auto" w:fill="FFFFFF"/>
              </w:rPr>
            </w:pPr>
            <w:r w:rsidRPr="00A03FD6">
              <w:rPr>
                <w:color w:val="000000"/>
                <w:sz w:val="22"/>
                <w:szCs w:val="22"/>
                <w:shd w:val="clear" w:color="auto" w:fill="FFFFFF"/>
              </w:rPr>
              <w:t>91318</w:t>
            </w:r>
          </w:p>
        </w:tc>
        <w:tc>
          <w:tcPr>
            <w:tcW w:w="5444" w:type="dxa"/>
            <w:tcBorders>
              <w:top w:val="single" w:sz="4" w:space="0" w:color="auto"/>
              <w:left w:val="single" w:sz="4" w:space="0" w:color="auto"/>
              <w:bottom w:val="single" w:sz="4" w:space="0" w:color="auto"/>
              <w:right w:val="single" w:sz="4" w:space="0" w:color="auto"/>
            </w:tcBorders>
            <w:vAlign w:val="bottom"/>
          </w:tcPr>
          <w:p w14:paraId="13E047FB" w14:textId="77777777" w:rsidR="00EB687D" w:rsidRPr="00A03FD6" w:rsidRDefault="00EB687D" w:rsidP="00E74741">
            <w:pPr>
              <w:rPr>
                <w:sz w:val="22"/>
                <w:szCs w:val="22"/>
              </w:rPr>
            </w:pPr>
            <w:r w:rsidRPr="00A03FD6">
              <w:rPr>
                <w:sz w:val="22"/>
                <w:szCs w:val="22"/>
              </w:rPr>
              <w:t>Severe acute respiratory syndrome coronavirus 2 (SARS-CoV-2) (coronavirus disease [COVID-19]) vaccine, mRNA-LNP, spike protein, 3 mcg/0.2 mL dosage, tris-sucrose formulation, for intramuscular use</w:t>
            </w:r>
          </w:p>
        </w:tc>
      </w:tr>
      <w:tr w:rsidR="00EB687D" w:rsidRPr="00A03FD6" w14:paraId="0ADD801E" w14:textId="77777777" w:rsidTr="00E74741">
        <w:trPr>
          <w:trHeight w:val="638"/>
        </w:trPr>
        <w:tc>
          <w:tcPr>
            <w:tcW w:w="2250" w:type="dxa"/>
            <w:tcBorders>
              <w:top w:val="single" w:sz="4" w:space="0" w:color="auto"/>
              <w:left w:val="single" w:sz="4" w:space="0" w:color="auto"/>
              <w:bottom w:val="single" w:sz="4" w:space="0" w:color="auto"/>
              <w:right w:val="single" w:sz="4" w:space="0" w:color="auto"/>
            </w:tcBorders>
          </w:tcPr>
          <w:p w14:paraId="1C0C7CDD" w14:textId="77777777" w:rsidR="00EB687D" w:rsidRPr="00A03FD6" w:rsidRDefault="00EB687D" w:rsidP="00E74741">
            <w:pPr>
              <w:jc w:val="center"/>
              <w:rPr>
                <w:color w:val="000000"/>
                <w:sz w:val="22"/>
                <w:szCs w:val="22"/>
                <w:shd w:val="clear" w:color="auto" w:fill="FFFFFF"/>
              </w:rPr>
            </w:pPr>
            <w:r w:rsidRPr="00A03FD6">
              <w:rPr>
                <w:color w:val="000000"/>
                <w:sz w:val="22"/>
                <w:szCs w:val="22"/>
                <w:shd w:val="clear" w:color="auto" w:fill="FFFFFF"/>
              </w:rPr>
              <w:t>91319</w:t>
            </w:r>
          </w:p>
        </w:tc>
        <w:tc>
          <w:tcPr>
            <w:tcW w:w="5444" w:type="dxa"/>
            <w:tcBorders>
              <w:top w:val="single" w:sz="4" w:space="0" w:color="auto"/>
              <w:left w:val="single" w:sz="4" w:space="0" w:color="auto"/>
              <w:bottom w:val="single" w:sz="4" w:space="0" w:color="auto"/>
              <w:right w:val="single" w:sz="4" w:space="0" w:color="auto"/>
            </w:tcBorders>
            <w:vAlign w:val="bottom"/>
          </w:tcPr>
          <w:p w14:paraId="261EE901" w14:textId="77777777" w:rsidR="00EB687D" w:rsidRPr="00A03FD6" w:rsidRDefault="00EB687D" w:rsidP="00E74741">
            <w:pPr>
              <w:rPr>
                <w:sz w:val="22"/>
                <w:szCs w:val="22"/>
              </w:rPr>
            </w:pPr>
            <w:r w:rsidRPr="00A03FD6">
              <w:rPr>
                <w:sz w:val="22"/>
                <w:szCs w:val="22"/>
              </w:rPr>
              <w:t>Severe acute respiratory syndrome coronavirus 2 (SARS-CoV-2) (coronavirus disease [COVID-19]) vaccine, mRNA-LNP, spike protein, 10 mcg/0.2 mL dosage, tris-sucrose formulation, for intramuscular use</w:t>
            </w:r>
          </w:p>
        </w:tc>
      </w:tr>
      <w:tr w:rsidR="00EB687D" w:rsidRPr="00A03FD6" w14:paraId="6EDF0165" w14:textId="77777777" w:rsidTr="00E74741">
        <w:trPr>
          <w:trHeight w:val="638"/>
        </w:trPr>
        <w:tc>
          <w:tcPr>
            <w:tcW w:w="2250" w:type="dxa"/>
          </w:tcPr>
          <w:p w14:paraId="6E88AD94" w14:textId="77777777" w:rsidR="00EB687D" w:rsidRPr="00A03FD6" w:rsidRDefault="00EB687D" w:rsidP="00E74741">
            <w:pPr>
              <w:jc w:val="center"/>
              <w:rPr>
                <w:color w:val="000000"/>
                <w:sz w:val="22"/>
                <w:szCs w:val="22"/>
                <w:shd w:val="clear" w:color="auto" w:fill="FFFFFF"/>
              </w:rPr>
            </w:pPr>
            <w:r w:rsidRPr="00A03FD6">
              <w:rPr>
                <w:color w:val="000000"/>
                <w:sz w:val="22"/>
                <w:szCs w:val="22"/>
                <w:shd w:val="clear" w:color="auto" w:fill="FFFFFF"/>
              </w:rPr>
              <w:t>91320</w:t>
            </w:r>
          </w:p>
        </w:tc>
        <w:tc>
          <w:tcPr>
            <w:tcW w:w="5444" w:type="dxa"/>
            <w:vAlign w:val="bottom"/>
          </w:tcPr>
          <w:p w14:paraId="0C77E6D4" w14:textId="77777777" w:rsidR="00EB687D" w:rsidRPr="00A03FD6" w:rsidRDefault="00EB687D" w:rsidP="00E74741">
            <w:pPr>
              <w:rPr>
                <w:sz w:val="22"/>
                <w:szCs w:val="22"/>
              </w:rPr>
            </w:pPr>
            <w:r w:rsidRPr="00A03FD6">
              <w:rPr>
                <w:sz w:val="22"/>
                <w:szCs w:val="22"/>
              </w:rPr>
              <w:t>Severe acute respiratory syndrome coronavirus 2 (SARS-CoV-2) (coronavirus disease [COVID-19]) vaccine, mRNA-LNP, spike protein, 30 mcg/0.3 mL dosage, tris-sucrose formulation, for intramuscular use</w:t>
            </w:r>
          </w:p>
        </w:tc>
      </w:tr>
      <w:tr w:rsidR="00EB687D" w:rsidRPr="00A03FD6" w14:paraId="1F353E17" w14:textId="77777777" w:rsidTr="00E74741">
        <w:trPr>
          <w:trHeight w:val="638"/>
        </w:trPr>
        <w:tc>
          <w:tcPr>
            <w:tcW w:w="2250" w:type="dxa"/>
          </w:tcPr>
          <w:p w14:paraId="7C456A3C" w14:textId="77777777" w:rsidR="00EB687D" w:rsidRPr="00A03FD6" w:rsidRDefault="00EB687D" w:rsidP="00E74741">
            <w:pPr>
              <w:jc w:val="center"/>
              <w:rPr>
                <w:color w:val="000000"/>
                <w:sz w:val="22"/>
                <w:szCs w:val="22"/>
                <w:shd w:val="clear" w:color="auto" w:fill="FFFFFF"/>
              </w:rPr>
            </w:pPr>
            <w:r w:rsidRPr="00A03FD6">
              <w:rPr>
                <w:color w:val="000000"/>
                <w:sz w:val="22"/>
                <w:szCs w:val="22"/>
                <w:shd w:val="clear" w:color="auto" w:fill="FFFFFF"/>
              </w:rPr>
              <w:lastRenderedPageBreak/>
              <w:t>91321</w:t>
            </w:r>
          </w:p>
        </w:tc>
        <w:tc>
          <w:tcPr>
            <w:tcW w:w="5444" w:type="dxa"/>
            <w:vAlign w:val="bottom"/>
          </w:tcPr>
          <w:p w14:paraId="0E098B64" w14:textId="77777777" w:rsidR="00EB687D" w:rsidRPr="00A03FD6" w:rsidRDefault="00EB687D" w:rsidP="00E74741">
            <w:pPr>
              <w:rPr>
                <w:sz w:val="22"/>
                <w:szCs w:val="22"/>
              </w:rPr>
            </w:pPr>
            <w:r w:rsidRPr="00A03FD6">
              <w:rPr>
                <w:sz w:val="22"/>
                <w:szCs w:val="22"/>
              </w:rPr>
              <w:t>Severe acute respiratory syndrome coronavirus 2 (SARS-CoV-2) (coronavirus disease [COVID-19]) vaccine, mRNA-LNP, 25 mcg/0.25 mL dosage, for intramuscular use</w:t>
            </w:r>
          </w:p>
        </w:tc>
      </w:tr>
      <w:tr w:rsidR="00EB687D" w:rsidRPr="00A03FD6" w14:paraId="5B61FEFD" w14:textId="77777777" w:rsidTr="00E74741">
        <w:trPr>
          <w:trHeight w:val="638"/>
        </w:trPr>
        <w:tc>
          <w:tcPr>
            <w:tcW w:w="2250" w:type="dxa"/>
          </w:tcPr>
          <w:p w14:paraId="589BCC20" w14:textId="77777777" w:rsidR="00EB687D" w:rsidRPr="00A03FD6" w:rsidRDefault="00EB687D" w:rsidP="00E74741">
            <w:pPr>
              <w:jc w:val="center"/>
              <w:rPr>
                <w:color w:val="000000"/>
                <w:sz w:val="22"/>
                <w:szCs w:val="22"/>
                <w:shd w:val="clear" w:color="auto" w:fill="FFFFFF"/>
              </w:rPr>
            </w:pPr>
            <w:r w:rsidRPr="00A03FD6">
              <w:rPr>
                <w:color w:val="000000"/>
                <w:sz w:val="22"/>
                <w:szCs w:val="22"/>
                <w:shd w:val="clear" w:color="auto" w:fill="FFFFFF"/>
              </w:rPr>
              <w:t>91322</w:t>
            </w:r>
          </w:p>
        </w:tc>
        <w:tc>
          <w:tcPr>
            <w:tcW w:w="5444" w:type="dxa"/>
            <w:vAlign w:val="bottom"/>
          </w:tcPr>
          <w:p w14:paraId="6BF2C44F" w14:textId="77777777" w:rsidR="00EB687D" w:rsidRPr="00A03FD6" w:rsidRDefault="00EB687D" w:rsidP="00E74741">
            <w:pPr>
              <w:rPr>
                <w:sz w:val="22"/>
                <w:szCs w:val="22"/>
              </w:rPr>
            </w:pPr>
            <w:r w:rsidRPr="00A03FD6">
              <w:rPr>
                <w:sz w:val="22"/>
                <w:szCs w:val="22"/>
              </w:rPr>
              <w:t>Severe acute respiratory syndrome coronavirus 2 (SARS-CoV-2) (coronavirus disease [COVID-19]) vaccine, mRNA-LNP, 50 mcg/0.5 mL dosage, for intramuscular use</w:t>
            </w:r>
          </w:p>
        </w:tc>
      </w:tr>
    </w:tbl>
    <w:p w14:paraId="6288F3F2" w14:textId="77777777" w:rsidR="00EB687D" w:rsidRPr="00A03FD6" w:rsidRDefault="00EB687D" w:rsidP="00B324D3">
      <w:pPr>
        <w:ind w:left="1080"/>
        <w:rPr>
          <w:sz w:val="22"/>
          <w:szCs w:val="22"/>
        </w:rPr>
      </w:pPr>
    </w:p>
    <w:p w14:paraId="362053FC" w14:textId="0AA3A0BF" w:rsidR="00EB687D" w:rsidRPr="00A03FD6" w:rsidRDefault="008929FB" w:rsidP="00EB687D">
      <w:pPr>
        <w:ind w:left="1080"/>
        <w:rPr>
          <w:sz w:val="22"/>
          <w:szCs w:val="22"/>
        </w:rPr>
      </w:pPr>
      <w:r w:rsidRPr="00A03FD6">
        <w:rPr>
          <w:sz w:val="22"/>
          <w:szCs w:val="22"/>
        </w:rPr>
        <w:t>(</w:t>
      </w:r>
      <w:r w:rsidR="00EB687D" w:rsidRPr="00A03FD6">
        <w:rPr>
          <w:sz w:val="22"/>
          <w:szCs w:val="22"/>
        </w:rPr>
        <w:t>g</w:t>
      </w:r>
      <w:r w:rsidRPr="00A03FD6">
        <w:rPr>
          <w:sz w:val="22"/>
          <w:szCs w:val="22"/>
        </w:rPr>
        <w:t xml:space="preserve">) </w:t>
      </w:r>
      <w:r w:rsidR="00FB6110" w:rsidRPr="00A03FD6">
        <w:rPr>
          <w:sz w:val="22"/>
          <w:szCs w:val="22"/>
        </w:rPr>
        <w:t xml:space="preserve"> </w:t>
      </w:r>
      <w:r w:rsidRPr="00A03FD6">
        <w:rPr>
          <w:sz w:val="22"/>
          <w:szCs w:val="22"/>
          <w:u w:val="single"/>
        </w:rPr>
        <w:t>Allowable Fee for COVID-19 Treatment</w:t>
      </w:r>
      <w:r w:rsidRPr="00A03FD6">
        <w:rPr>
          <w:sz w:val="22"/>
          <w:szCs w:val="22"/>
        </w:rPr>
        <w:t xml:space="preserve">. </w:t>
      </w:r>
      <w:r w:rsidR="008E1785" w:rsidRPr="00A03FD6">
        <w:rPr>
          <w:sz w:val="22"/>
          <w:szCs w:val="22"/>
        </w:rPr>
        <w:t xml:space="preserve"> </w:t>
      </w:r>
      <w:r w:rsidR="00EB687D" w:rsidRPr="00A03FD6">
        <w:rPr>
          <w:sz w:val="22"/>
          <w:szCs w:val="22"/>
        </w:rPr>
        <w:t xml:space="preserve">The allowable fees for monoclonal antibodies and their administration for the treatment of COVID-19 are 100% of the </w:t>
      </w:r>
      <w:proofErr w:type="spellStart"/>
      <w:r w:rsidR="00EB687D" w:rsidRPr="00A03FD6">
        <w:rPr>
          <w:sz w:val="22"/>
          <w:szCs w:val="22"/>
        </w:rPr>
        <w:t>corrresponding</w:t>
      </w:r>
      <w:proofErr w:type="spellEnd"/>
      <w:r w:rsidR="00EB687D" w:rsidRPr="00A03FD6">
        <w:rPr>
          <w:sz w:val="22"/>
          <w:szCs w:val="22"/>
        </w:rPr>
        <w:t xml:space="preserve"> Medicare Part B payment rates, without geographic adjustment. Payment for the administration of monoclonal antibodies provided by eligible providers who are certified nurse practitioners, certified nurse midwives, psychiatric clinical nurse specialists, clinical nurse specialists, physician assistants, registered nurses, pharmacies that utilize pharmacists, or other health care professionals certified in accordance with 105 CMR 700.000: </w:t>
      </w:r>
      <w:r w:rsidR="003B510C">
        <w:rPr>
          <w:sz w:val="22"/>
          <w:szCs w:val="22"/>
        </w:rPr>
        <w:t xml:space="preserve"> </w:t>
      </w:r>
      <w:r w:rsidR="00EB687D" w:rsidRPr="00A03FD6">
        <w:rPr>
          <w:i/>
          <w:iCs/>
          <w:sz w:val="22"/>
          <w:szCs w:val="22"/>
        </w:rPr>
        <w:t>Implementation of M.G.L. c. 94C</w:t>
      </w:r>
      <w:r w:rsidR="00EB687D" w:rsidRPr="00A03FD6">
        <w:rPr>
          <w:sz w:val="22"/>
          <w:szCs w:val="22"/>
        </w:rPr>
        <w:t xml:space="preserve">, and home health agencies as specified in 101 CMR 317.02 is 85% of the allowable fee. In the event this fee structure conflicts with the rates for the same codes in 101 CMR 317.00: </w:t>
      </w:r>
      <w:r w:rsidR="003B510C">
        <w:rPr>
          <w:sz w:val="22"/>
          <w:szCs w:val="22"/>
        </w:rPr>
        <w:t xml:space="preserve"> </w:t>
      </w:r>
      <w:r w:rsidR="00EB687D" w:rsidRPr="00A03FD6">
        <w:rPr>
          <w:i/>
          <w:iCs/>
          <w:sz w:val="22"/>
          <w:szCs w:val="22"/>
        </w:rPr>
        <w:t>Rates for Medicine Services</w:t>
      </w:r>
      <w:r w:rsidR="00EB687D" w:rsidRPr="00A03FD6">
        <w:rPr>
          <w:sz w:val="22"/>
          <w:szCs w:val="22"/>
        </w:rPr>
        <w:t>, then the fee structure in 101 CMR 317.00 will control.</w:t>
      </w:r>
    </w:p>
    <w:p w14:paraId="1142BE2C" w14:textId="77777777" w:rsidR="00EB687D" w:rsidRPr="00A03FD6" w:rsidRDefault="00EB687D" w:rsidP="00EB687D">
      <w:pPr>
        <w:ind w:left="1080"/>
        <w:rPr>
          <w:sz w:val="22"/>
          <w:szCs w:val="22"/>
        </w:rPr>
      </w:pPr>
    </w:p>
    <w:p w14:paraId="4886465F" w14:textId="77777777" w:rsidR="00EB687D" w:rsidRPr="00A03FD6" w:rsidRDefault="00EB687D" w:rsidP="00EB687D">
      <w:pPr>
        <w:ind w:left="1080"/>
        <w:rPr>
          <w:sz w:val="22"/>
          <w:szCs w:val="22"/>
        </w:rPr>
      </w:pPr>
      <w:r w:rsidRPr="00A03FD6">
        <w:rPr>
          <w:sz w:val="22"/>
          <w:szCs w:val="22"/>
        </w:rPr>
        <w:t>This fee structure applies for the following codes:</w:t>
      </w:r>
    </w:p>
    <w:p w14:paraId="2F756057" w14:textId="77777777" w:rsidR="00C41997" w:rsidRPr="00A03FD6" w:rsidRDefault="00C41997" w:rsidP="00EB687D">
      <w:pPr>
        <w:ind w:left="1080"/>
        <w:rPr>
          <w:sz w:val="22"/>
          <w:szCs w:val="22"/>
        </w:rPr>
      </w:pPr>
    </w:p>
    <w:tbl>
      <w:tblPr>
        <w:tblStyle w:val="TableGrid"/>
        <w:tblW w:w="8504" w:type="dxa"/>
        <w:tblInd w:w="-5" w:type="dxa"/>
        <w:tblLayout w:type="fixed"/>
        <w:tblLook w:val="04A0" w:firstRow="1" w:lastRow="0" w:firstColumn="1" w:lastColumn="0" w:noHBand="0" w:noVBand="1"/>
      </w:tblPr>
      <w:tblGrid>
        <w:gridCol w:w="1530"/>
        <w:gridCol w:w="6974"/>
      </w:tblGrid>
      <w:tr w:rsidR="00C41997" w:rsidRPr="00A03FD6" w14:paraId="25BC2625" w14:textId="77777777" w:rsidTr="001D37A0">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5270C0E2" w14:textId="77777777" w:rsidR="00C41997" w:rsidRPr="00A03FD6" w:rsidRDefault="00C41997" w:rsidP="00E74741">
            <w:pPr>
              <w:tabs>
                <w:tab w:val="left" w:pos="900"/>
              </w:tabs>
              <w:jc w:val="center"/>
              <w:rPr>
                <w:b/>
                <w:bCs/>
                <w:sz w:val="22"/>
                <w:szCs w:val="22"/>
              </w:rPr>
            </w:pPr>
            <w:r w:rsidRPr="00A03FD6">
              <w:rPr>
                <w:b/>
                <w:bCs/>
                <w:sz w:val="22"/>
                <w:szCs w:val="22"/>
              </w:rPr>
              <w:t>Code</w:t>
            </w:r>
          </w:p>
        </w:tc>
        <w:tc>
          <w:tcPr>
            <w:tcW w:w="6974" w:type="dxa"/>
            <w:tcBorders>
              <w:top w:val="single" w:sz="4" w:space="0" w:color="auto"/>
              <w:left w:val="single" w:sz="4" w:space="0" w:color="auto"/>
              <w:bottom w:val="single" w:sz="4" w:space="0" w:color="auto"/>
              <w:right w:val="single" w:sz="4" w:space="0" w:color="auto"/>
            </w:tcBorders>
            <w:hideMark/>
          </w:tcPr>
          <w:p w14:paraId="4AA48CD8" w14:textId="77777777" w:rsidR="00C41997" w:rsidRPr="00A03FD6" w:rsidRDefault="00C41997" w:rsidP="00E74741">
            <w:pPr>
              <w:jc w:val="center"/>
              <w:rPr>
                <w:b/>
                <w:bCs/>
                <w:sz w:val="22"/>
                <w:szCs w:val="22"/>
              </w:rPr>
            </w:pPr>
            <w:r w:rsidRPr="00A03FD6">
              <w:rPr>
                <w:b/>
                <w:bCs/>
                <w:sz w:val="22"/>
                <w:szCs w:val="22"/>
              </w:rPr>
              <w:t>Description of Code</w:t>
            </w:r>
          </w:p>
        </w:tc>
      </w:tr>
      <w:tr w:rsidR="00C41997" w:rsidRPr="00A03FD6" w14:paraId="04C6E968" w14:textId="77777777" w:rsidTr="001D37A0">
        <w:trPr>
          <w:cantSplit/>
          <w:trHeight w:val="53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E100D98" w14:textId="77777777" w:rsidR="00C41997" w:rsidRPr="00A03FD6" w:rsidRDefault="00C41997" w:rsidP="00E74741">
            <w:pPr>
              <w:jc w:val="center"/>
              <w:rPr>
                <w:sz w:val="22"/>
                <w:szCs w:val="22"/>
              </w:rPr>
            </w:pPr>
            <w:r w:rsidRPr="00A03FD6">
              <w:rPr>
                <w:sz w:val="22"/>
                <w:szCs w:val="22"/>
              </w:rPr>
              <w:t>Q0220 SL</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center"/>
          </w:tcPr>
          <w:p w14:paraId="08E643E2" w14:textId="77777777" w:rsidR="00C41997" w:rsidRPr="00A03FD6" w:rsidRDefault="00C41997" w:rsidP="00E74741">
            <w:pPr>
              <w:rPr>
                <w:color w:val="000000"/>
                <w:sz w:val="22"/>
                <w:szCs w:val="22"/>
              </w:rPr>
            </w:pPr>
            <w:r w:rsidRPr="00A03FD6">
              <w:rPr>
                <w:color w:val="000000"/>
                <w:sz w:val="22"/>
                <w:szCs w:val="22"/>
                <w:shd w:val="clear" w:color="auto" w:fill="FFFFFF"/>
              </w:rPr>
              <w:t xml:space="preserve">Injection, </w:t>
            </w:r>
            <w:proofErr w:type="spellStart"/>
            <w:r w:rsidRPr="00A03FD6">
              <w:rPr>
                <w:color w:val="000000"/>
                <w:sz w:val="22"/>
                <w:szCs w:val="22"/>
                <w:shd w:val="clear" w:color="auto" w:fill="FFFFFF"/>
              </w:rPr>
              <w:t>tixagevimab</w:t>
            </w:r>
            <w:proofErr w:type="spellEnd"/>
            <w:r w:rsidRPr="00A03FD6">
              <w:rPr>
                <w:color w:val="000000"/>
                <w:sz w:val="22"/>
                <w:szCs w:val="22"/>
                <w:shd w:val="clear" w:color="auto" w:fill="FFFFFF"/>
              </w:rPr>
              <w:t xml:space="preserve"> and </w:t>
            </w:r>
            <w:proofErr w:type="spellStart"/>
            <w:r w:rsidRPr="00A03FD6">
              <w:rPr>
                <w:color w:val="000000"/>
                <w:sz w:val="22"/>
                <w:szCs w:val="22"/>
                <w:shd w:val="clear" w:color="auto" w:fill="FFFFFF"/>
              </w:rPr>
              <w:t>cilgavimab</w:t>
            </w:r>
            <w:proofErr w:type="spellEnd"/>
            <w:r w:rsidRPr="00A03FD6">
              <w:rPr>
                <w:color w:val="000000"/>
                <w:sz w:val="22"/>
                <w:szCs w:val="22"/>
                <w:shd w:val="clear" w:color="auto" w:fill="FFFFFF"/>
              </w:rPr>
              <w:t>,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 and/or covid-19 vaccine component(s), 300 mg</w:t>
            </w:r>
          </w:p>
        </w:tc>
      </w:tr>
      <w:tr w:rsidR="00C41997" w:rsidRPr="00A03FD6" w14:paraId="1A06D8B9" w14:textId="77777777" w:rsidTr="001D37A0">
        <w:trPr>
          <w:cantSplit/>
          <w:trHeight w:val="530"/>
        </w:trPr>
        <w:tc>
          <w:tcPr>
            <w:tcW w:w="1530" w:type="dxa"/>
            <w:tcBorders>
              <w:top w:val="single" w:sz="4" w:space="0" w:color="auto"/>
              <w:left w:val="single" w:sz="4" w:space="0" w:color="auto"/>
              <w:bottom w:val="single" w:sz="4" w:space="0" w:color="auto"/>
              <w:right w:val="single" w:sz="4" w:space="0" w:color="auto"/>
            </w:tcBorders>
            <w:shd w:val="clear" w:color="auto" w:fill="auto"/>
          </w:tcPr>
          <w:p w14:paraId="5DF4E603" w14:textId="77777777" w:rsidR="00C41997" w:rsidRPr="00A03FD6" w:rsidRDefault="00C41997" w:rsidP="00E74741">
            <w:pPr>
              <w:jc w:val="center"/>
              <w:rPr>
                <w:sz w:val="22"/>
                <w:szCs w:val="22"/>
              </w:rPr>
            </w:pPr>
            <w:r w:rsidRPr="00A03FD6">
              <w:rPr>
                <w:sz w:val="22"/>
                <w:szCs w:val="22"/>
              </w:rPr>
              <w:t>Q0221 SL</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1728F9E1" w14:textId="77777777" w:rsidR="00C41997" w:rsidRPr="00A03FD6" w:rsidRDefault="00C41997" w:rsidP="00E74741">
            <w:pPr>
              <w:rPr>
                <w:sz w:val="22"/>
                <w:szCs w:val="22"/>
              </w:rPr>
            </w:pPr>
            <w:r w:rsidRPr="00A03FD6">
              <w:rPr>
                <w:sz w:val="22"/>
                <w:szCs w:val="22"/>
              </w:rPr>
              <w:t xml:space="preserve">Injection, </w:t>
            </w:r>
            <w:proofErr w:type="spellStart"/>
            <w:r w:rsidRPr="00A03FD6">
              <w:rPr>
                <w:sz w:val="22"/>
                <w:szCs w:val="22"/>
              </w:rPr>
              <w:t>tixagevimab</w:t>
            </w:r>
            <w:proofErr w:type="spellEnd"/>
            <w:r w:rsidRPr="00A03FD6">
              <w:rPr>
                <w:sz w:val="22"/>
                <w:szCs w:val="22"/>
              </w:rPr>
              <w:t xml:space="preserve"> and </w:t>
            </w:r>
            <w:proofErr w:type="spellStart"/>
            <w:r w:rsidRPr="00A03FD6">
              <w:rPr>
                <w:sz w:val="22"/>
                <w:szCs w:val="22"/>
              </w:rPr>
              <w:t>cilgavimab</w:t>
            </w:r>
            <w:proofErr w:type="spellEnd"/>
            <w:r w:rsidRPr="00A03FD6">
              <w:rPr>
                <w:sz w:val="22"/>
                <w:szCs w:val="22"/>
              </w:rPr>
              <w:t>,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 and/or covid-19 vaccine component(s), 600 mg</w:t>
            </w:r>
          </w:p>
        </w:tc>
      </w:tr>
      <w:tr w:rsidR="00C41997" w:rsidRPr="00A03FD6" w14:paraId="4F004066" w14:textId="77777777" w:rsidTr="001D37A0">
        <w:trPr>
          <w:cantSplit/>
          <w:trHeight w:val="530"/>
        </w:trPr>
        <w:tc>
          <w:tcPr>
            <w:tcW w:w="1530" w:type="dxa"/>
            <w:tcBorders>
              <w:top w:val="single" w:sz="4" w:space="0" w:color="auto"/>
              <w:left w:val="single" w:sz="4" w:space="0" w:color="auto"/>
              <w:bottom w:val="single" w:sz="4" w:space="0" w:color="auto"/>
              <w:right w:val="single" w:sz="4" w:space="0" w:color="auto"/>
            </w:tcBorders>
            <w:shd w:val="clear" w:color="auto" w:fill="auto"/>
          </w:tcPr>
          <w:p w14:paraId="13B4FC97" w14:textId="77777777" w:rsidR="00C41997" w:rsidRPr="00A03FD6" w:rsidRDefault="00C41997" w:rsidP="00E74741">
            <w:pPr>
              <w:jc w:val="center"/>
              <w:rPr>
                <w:sz w:val="22"/>
                <w:szCs w:val="22"/>
              </w:rPr>
            </w:pPr>
            <w:r w:rsidRPr="00A03FD6">
              <w:rPr>
                <w:sz w:val="22"/>
                <w:szCs w:val="22"/>
              </w:rPr>
              <w:t>Q0222</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214AD5FE" w14:textId="77777777" w:rsidR="00C41997" w:rsidRPr="00A03FD6" w:rsidRDefault="00C41997" w:rsidP="00E74741">
            <w:pPr>
              <w:rPr>
                <w:sz w:val="22"/>
                <w:szCs w:val="22"/>
              </w:rPr>
            </w:pPr>
            <w:r w:rsidRPr="00A03FD6">
              <w:rPr>
                <w:sz w:val="22"/>
                <w:szCs w:val="22"/>
              </w:rPr>
              <w:t xml:space="preserve">Injection, </w:t>
            </w:r>
            <w:proofErr w:type="spellStart"/>
            <w:r w:rsidRPr="00A03FD6">
              <w:rPr>
                <w:sz w:val="22"/>
                <w:szCs w:val="22"/>
              </w:rPr>
              <w:t>bebtelovimab</w:t>
            </w:r>
            <w:proofErr w:type="spellEnd"/>
            <w:r w:rsidRPr="00A03FD6">
              <w:rPr>
                <w:sz w:val="22"/>
                <w:szCs w:val="22"/>
              </w:rPr>
              <w:t>, 175 mg</w:t>
            </w:r>
          </w:p>
        </w:tc>
      </w:tr>
      <w:tr w:rsidR="00C41997" w:rsidRPr="00A03FD6" w14:paraId="09238E2D" w14:textId="77777777" w:rsidTr="001D37A0">
        <w:trPr>
          <w:cantSplit/>
          <w:trHeight w:val="53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7B35BB3" w14:textId="77777777" w:rsidR="00C41997" w:rsidRPr="00A03FD6" w:rsidRDefault="00C41997" w:rsidP="00E74741">
            <w:pPr>
              <w:jc w:val="center"/>
              <w:rPr>
                <w:sz w:val="22"/>
                <w:szCs w:val="22"/>
              </w:rPr>
            </w:pPr>
            <w:r w:rsidRPr="00A03FD6">
              <w:rPr>
                <w:sz w:val="22"/>
                <w:szCs w:val="22"/>
              </w:rPr>
              <w:t>Q0240 SL</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center"/>
          </w:tcPr>
          <w:p w14:paraId="16D1C948" w14:textId="77777777" w:rsidR="00C41997" w:rsidRPr="00A03FD6" w:rsidRDefault="00C41997" w:rsidP="00E74741">
            <w:pPr>
              <w:rPr>
                <w:sz w:val="22"/>
                <w:szCs w:val="22"/>
              </w:rPr>
            </w:pPr>
            <w:r w:rsidRPr="00A03FD6">
              <w:rPr>
                <w:color w:val="000000"/>
                <w:sz w:val="22"/>
                <w:szCs w:val="22"/>
              </w:rPr>
              <w:t>Injection, casirivimab and imdevimab, 600 mg</w:t>
            </w:r>
          </w:p>
        </w:tc>
      </w:tr>
      <w:tr w:rsidR="00C41997" w:rsidRPr="00A03FD6" w14:paraId="015B97FF" w14:textId="77777777" w:rsidTr="001D37A0">
        <w:trPr>
          <w:cantSplit/>
          <w:trHeight w:val="53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411FE9C" w14:textId="77777777" w:rsidR="00C41997" w:rsidRPr="00A03FD6" w:rsidRDefault="00C41997" w:rsidP="00E74741">
            <w:pPr>
              <w:jc w:val="center"/>
              <w:rPr>
                <w:sz w:val="22"/>
                <w:szCs w:val="22"/>
              </w:rPr>
            </w:pPr>
            <w:r w:rsidRPr="00A03FD6">
              <w:rPr>
                <w:sz w:val="22"/>
                <w:szCs w:val="22"/>
              </w:rPr>
              <w:t>Q0243 SL</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center"/>
          </w:tcPr>
          <w:p w14:paraId="31616B3C" w14:textId="77777777" w:rsidR="00C41997" w:rsidRPr="00A03FD6" w:rsidRDefault="00C41997" w:rsidP="00E74741">
            <w:pPr>
              <w:rPr>
                <w:sz w:val="22"/>
                <w:szCs w:val="22"/>
              </w:rPr>
            </w:pPr>
            <w:r w:rsidRPr="00A03FD6">
              <w:rPr>
                <w:sz w:val="22"/>
                <w:szCs w:val="22"/>
              </w:rPr>
              <w:t>Injection, casirivimab and imdevimab, 2400 mg</w:t>
            </w:r>
          </w:p>
        </w:tc>
      </w:tr>
      <w:tr w:rsidR="00C41997" w:rsidRPr="00A03FD6" w14:paraId="6B140D5A" w14:textId="77777777" w:rsidTr="001D37A0">
        <w:trPr>
          <w:cantSplit/>
          <w:trHeight w:val="53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1E2B1C8" w14:textId="77777777" w:rsidR="00C41997" w:rsidRPr="00A03FD6" w:rsidRDefault="00C41997" w:rsidP="00E74741">
            <w:pPr>
              <w:jc w:val="center"/>
              <w:rPr>
                <w:sz w:val="22"/>
                <w:szCs w:val="22"/>
              </w:rPr>
            </w:pPr>
            <w:r w:rsidRPr="00A03FD6">
              <w:rPr>
                <w:color w:val="000000"/>
                <w:sz w:val="22"/>
                <w:szCs w:val="22"/>
              </w:rPr>
              <w:t>Q0244 SL</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center"/>
          </w:tcPr>
          <w:p w14:paraId="60CB1C93" w14:textId="77777777" w:rsidR="00C41997" w:rsidRPr="00A03FD6" w:rsidRDefault="00C41997" w:rsidP="00E74741">
            <w:pPr>
              <w:rPr>
                <w:sz w:val="22"/>
                <w:szCs w:val="22"/>
              </w:rPr>
            </w:pPr>
            <w:r w:rsidRPr="00A03FD6">
              <w:rPr>
                <w:color w:val="000000"/>
                <w:sz w:val="22"/>
                <w:szCs w:val="22"/>
              </w:rPr>
              <w:t>Injection, casirivimab and imdevimab, 1200 mg</w:t>
            </w:r>
          </w:p>
        </w:tc>
      </w:tr>
      <w:tr w:rsidR="001D37A0" w:rsidRPr="00A03FD6" w14:paraId="226EA54A" w14:textId="77777777" w:rsidTr="001D37A0">
        <w:trPr>
          <w:trHeight w:val="530"/>
        </w:trPr>
        <w:tc>
          <w:tcPr>
            <w:tcW w:w="1530" w:type="dxa"/>
          </w:tcPr>
          <w:p w14:paraId="7B62E492" w14:textId="77777777" w:rsidR="001D37A0" w:rsidRPr="00A03FD6" w:rsidRDefault="001D37A0" w:rsidP="00E74741">
            <w:pPr>
              <w:jc w:val="center"/>
              <w:rPr>
                <w:sz w:val="22"/>
                <w:szCs w:val="22"/>
              </w:rPr>
            </w:pPr>
            <w:r w:rsidRPr="00A03FD6">
              <w:rPr>
                <w:sz w:val="22"/>
                <w:szCs w:val="22"/>
              </w:rPr>
              <w:lastRenderedPageBreak/>
              <w:t>Q0245 SL</w:t>
            </w:r>
          </w:p>
        </w:tc>
        <w:tc>
          <w:tcPr>
            <w:tcW w:w="6974" w:type="dxa"/>
          </w:tcPr>
          <w:p w14:paraId="1BE7B099" w14:textId="77777777" w:rsidR="001D37A0" w:rsidRPr="00A03FD6" w:rsidRDefault="001D37A0" w:rsidP="00E74741">
            <w:pPr>
              <w:rPr>
                <w:sz w:val="22"/>
                <w:szCs w:val="22"/>
              </w:rPr>
            </w:pPr>
            <w:r w:rsidRPr="00A03FD6">
              <w:rPr>
                <w:sz w:val="22"/>
                <w:szCs w:val="22"/>
              </w:rPr>
              <w:t xml:space="preserve">Injection, </w:t>
            </w:r>
            <w:proofErr w:type="spellStart"/>
            <w:r w:rsidRPr="00A03FD6">
              <w:rPr>
                <w:sz w:val="22"/>
                <w:szCs w:val="22"/>
              </w:rPr>
              <w:t>bamlanivimab</w:t>
            </w:r>
            <w:proofErr w:type="spellEnd"/>
            <w:r w:rsidRPr="00A03FD6">
              <w:rPr>
                <w:sz w:val="22"/>
                <w:szCs w:val="22"/>
              </w:rPr>
              <w:t xml:space="preserve"> and </w:t>
            </w:r>
            <w:proofErr w:type="spellStart"/>
            <w:r w:rsidRPr="00A03FD6">
              <w:rPr>
                <w:sz w:val="22"/>
                <w:szCs w:val="22"/>
              </w:rPr>
              <w:t>etesevimab</w:t>
            </w:r>
            <w:proofErr w:type="spellEnd"/>
            <w:r w:rsidRPr="00A03FD6">
              <w:rPr>
                <w:sz w:val="22"/>
                <w:szCs w:val="22"/>
              </w:rPr>
              <w:t>, 2100 mg</w:t>
            </w:r>
          </w:p>
        </w:tc>
      </w:tr>
      <w:tr w:rsidR="001D37A0" w:rsidRPr="00A03FD6" w14:paraId="21835FA4" w14:textId="77777777" w:rsidTr="001D37A0">
        <w:trPr>
          <w:trHeight w:val="530"/>
        </w:trPr>
        <w:tc>
          <w:tcPr>
            <w:tcW w:w="1530" w:type="dxa"/>
          </w:tcPr>
          <w:p w14:paraId="09C7DB35" w14:textId="77777777" w:rsidR="001D37A0" w:rsidRPr="00A03FD6" w:rsidRDefault="001D37A0" w:rsidP="00E74741">
            <w:pPr>
              <w:jc w:val="center"/>
              <w:rPr>
                <w:sz w:val="22"/>
                <w:szCs w:val="22"/>
              </w:rPr>
            </w:pPr>
            <w:r w:rsidRPr="00A03FD6">
              <w:rPr>
                <w:sz w:val="22"/>
                <w:szCs w:val="22"/>
              </w:rPr>
              <w:t>Q0247</w:t>
            </w:r>
          </w:p>
        </w:tc>
        <w:tc>
          <w:tcPr>
            <w:tcW w:w="6974" w:type="dxa"/>
          </w:tcPr>
          <w:p w14:paraId="53313321" w14:textId="77777777" w:rsidR="001D37A0" w:rsidRPr="00A03FD6" w:rsidRDefault="001D37A0" w:rsidP="00E74741">
            <w:pPr>
              <w:rPr>
                <w:sz w:val="22"/>
                <w:szCs w:val="22"/>
              </w:rPr>
            </w:pPr>
            <w:r w:rsidRPr="00A03FD6">
              <w:rPr>
                <w:sz w:val="22"/>
                <w:szCs w:val="22"/>
              </w:rPr>
              <w:t>Injection, sotrovimab, 500 mg</w:t>
            </w:r>
          </w:p>
        </w:tc>
      </w:tr>
      <w:tr w:rsidR="00C41997" w:rsidRPr="00A03FD6" w14:paraId="08821E79" w14:textId="77777777" w:rsidTr="001D37A0">
        <w:trPr>
          <w:cantSplit/>
          <w:trHeight w:val="53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886F656" w14:textId="77777777" w:rsidR="00C41997" w:rsidRPr="00A03FD6" w:rsidRDefault="00C41997" w:rsidP="00E74741">
            <w:pPr>
              <w:jc w:val="center"/>
              <w:rPr>
                <w:sz w:val="22"/>
                <w:szCs w:val="22"/>
              </w:rPr>
            </w:pPr>
            <w:r w:rsidRPr="00A03FD6">
              <w:rPr>
                <w:sz w:val="22"/>
                <w:szCs w:val="22"/>
              </w:rPr>
              <w:t>Q0249</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center"/>
          </w:tcPr>
          <w:p w14:paraId="1CA53229" w14:textId="77777777" w:rsidR="00C41997" w:rsidRPr="00A03FD6" w:rsidRDefault="00C41997" w:rsidP="00E74741">
            <w:pPr>
              <w:rPr>
                <w:sz w:val="22"/>
                <w:szCs w:val="22"/>
              </w:rPr>
            </w:pPr>
            <w:r w:rsidRPr="00A03FD6">
              <w:rPr>
                <w:sz w:val="22"/>
                <w:szCs w:val="22"/>
              </w:rPr>
              <w:t>Injection, tocilizumab, for hospitalized adults and pediatric patients (2 years of age and older) with COVID-19 who are receiving systemic corticosteroids and require supplemental oxygen, non-invasive or invasive mechanical ventilation, or extracorporeal membrane oxygenation (ECMO) only, 1 mg</w:t>
            </w:r>
          </w:p>
        </w:tc>
      </w:tr>
      <w:tr w:rsidR="00C41997" w:rsidRPr="00A03FD6" w14:paraId="4FA7FB7F" w14:textId="77777777" w:rsidTr="001D37A0">
        <w:trPr>
          <w:cantSplit/>
          <w:trHeight w:val="53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2D7B7B1" w14:textId="77777777" w:rsidR="00C41997" w:rsidRPr="00A03FD6" w:rsidRDefault="00C41997" w:rsidP="00E74741">
            <w:pPr>
              <w:jc w:val="center"/>
              <w:rPr>
                <w:sz w:val="22"/>
                <w:szCs w:val="22"/>
              </w:rPr>
            </w:pPr>
            <w:r w:rsidRPr="00A03FD6">
              <w:rPr>
                <w:sz w:val="22"/>
                <w:szCs w:val="22"/>
              </w:rPr>
              <w:t>M0220</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center"/>
          </w:tcPr>
          <w:p w14:paraId="28AEA977" w14:textId="77777777" w:rsidR="00C41997" w:rsidRPr="00A03FD6" w:rsidRDefault="00C41997" w:rsidP="00E74741">
            <w:pPr>
              <w:rPr>
                <w:sz w:val="22"/>
                <w:szCs w:val="22"/>
              </w:rPr>
            </w:pPr>
            <w:r w:rsidRPr="00A03FD6">
              <w:rPr>
                <w:color w:val="000000"/>
                <w:sz w:val="22"/>
                <w:szCs w:val="22"/>
                <w:shd w:val="clear" w:color="auto" w:fill="FFFFFF"/>
              </w:rPr>
              <w:t xml:space="preserve">Injection, </w:t>
            </w:r>
            <w:proofErr w:type="spellStart"/>
            <w:r w:rsidRPr="00A03FD6">
              <w:rPr>
                <w:color w:val="000000"/>
                <w:sz w:val="22"/>
                <w:szCs w:val="22"/>
                <w:shd w:val="clear" w:color="auto" w:fill="FFFFFF"/>
              </w:rPr>
              <w:t>tixagevimab</w:t>
            </w:r>
            <w:proofErr w:type="spellEnd"/>
            <w:r w:rsidRPr="00A03FD6">
              <w:rPr>
                <w:color w:val="000000"/>
                <w:sz w:val="22"/>
                <w:szCs w:val="22"/>
                <w:shd w:val="clear" w:color="auto" w:fill="FFFFFF"/>
              </w:rPr>
              <w:t xml:space="preserve"> and </w:t>
            </w:r>
            <w:proofErr w:type="spellStart"/>
            <w:r w:rsidRPr="00A03FD6">
              <w:rPr>
                <w:color w:val="000000"/>
                <w:sz w:val="22"/>
                <w:szCs w:val="22"/>
                <w:shd w:val="clear" w:color="auto" w:fill="FFFFFF"/>
              </w:rPr>
              <w:t>cilgavimab</w:t>
            </w:r>
            <w:proofErr w:type="spellEnd"/>
            <w:r w:rsidRPr="00A03FD6">
              <w:rPr>
                <w:color w:val="000000"/>
                <w:sz w:val="22"/>
                <w:szCs w:val="22"/>
                <w:shd w:val="clear" w:color="auto" w:fill="FFFFFF"/>
              </w:rPr>
              <w:t>,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 and/or COVID-19 vaccine component(s), includes injection and post administration monitoring</w:t>
            </w:r>
          </w:p>
        </w:tc>
      </w:tr>
      <w:tr w:rsidR="00C41997" w:rsidRPr="00A03FD6" w14:paraId="1BA3E9E1" w14:textId="77777777" w:rsidTr="001D37A0">
        <w:trPr>
          <w:cantSplit/>
          <w:trHeight w:val="53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A6809A1" w14:textId="77777777" w:rsidR="00C41997" w:rsidRPr="00A03FD6" w:rsidRDefault="00C41997" w:rsidP="00E74741">
            <w:pPr>
              <w:jc w:val="center"/>
              <w:rPr>
                <w:sz w:val="22"/>
                <w:szCs w:val="22"/>
              </w:rPr>
            </w:pPr>
            <w:r w:rsidRPr="00A03FD6">
              <w:rPr>
                <w:sz w:val="22"/>
                <w:szCs w:val="22"/>
              </w:rPr>
              <w:t>M0221</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center"/>
          </w:tcPr>
          <w:p w14:paraId="0446652C" w14:textId="77777777" w:rsidR="00C41997" w:rsidRPr="00A03FD6" w:rsidRDefault="00C41997" w:rsidP="00E74741">
            <w:pPr>
              <w:rPr>
                <w:color w:val="000000"/>
                <w:sz w:val="22"/>
                <w:szCs w:val="22"/>
                <w:shd w:val="clear" w:color="auto" w:fill="FFFFFF"/>
              </w:rPr>
            </w:pPr>
            <w:r w:rsidRPr="00A03FD6">
              <w:rPr>
                <w:color w:val="000000"/>
                <w:sz w:val="22"/>
                <w:szCs w:val="22"/>
                <w:shd w:val="clear" w:color="auto" w:fill="FFFFFF"/>
              </w:rPr>
              <w:t xml:space="preserve">Injection, </w:t>
            </w:r>
            <w:proofErr w:type="spellStart"/>
            <w:r w:rsidRPr="00A03FD6">
              <w:rPr>
                <w:color w:val="000000"/>
                <w:sz w:val="22"/>
                <w:szCs w:val="22"/>
                <w:shd w:val="clear" w:color="auto" w:fill="FFFFFF"/>
              </w:rPr>
              <w:t>tixagevimab</w:t>
            </w:r>
            <w:proofErr w:type="spellEnd"/>
            <w:r w:rsidRPr="00A03FD6">
              <w:rPr>
                <w:color w:val="000000"/>
                <w:sz w:val="22"/>
                <w:szCs w:val="22"/>
                <w:shd w:val="clear" w:color="auto" w:fill="FFFFFF"/>
              </w:rPr>
              <w:t xml:space="preserve"> and </w:t>
            </w:r>
            <w:proofErr w:type="spellStart"/>
            <w:r w:rsidRPr="00A03FD6">
              <w:rPr>
                <w:color w:val="000000"/>
                <w:sz w:val="22"/>
                <w:szCs w:val="22"/>
                <w:shd w:val="clear" w:color="auto" w:fill="FFFFFF"/>
              </w:rPr>
              <w:t>cilgavimab</w:t>
            </w:r>
            <w:proofErr w:type="spellEnd"/>
            <w:r w:rsidRPr="00A03FD6">
              <w:rPr>
                <w:color w:val="000000"/>
                <w:sz w:val="22"/>
                <w:szCs w:val="22"/>
                <w:shd w:val="clear" w:color="auto" w:fill="FFFFFF"/>
              </w:rPr>
              <w:t>,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 and/or COVID-19 vaccine component(s), includes injection and post administration monitoring in the home or residence; this includes a beneficiary’s home that has been made provider-based to the hospital during the federal COVID-19 public health emergency</w:t>
            </w:r>
          </w:p>
        </w:tc>
      </w:tr>
      <w:tr w:rsidR="00C41997" w:rsidRPr="00A03FD6" w14:paraId="68F1A7B1" w14:textId="77777777" w:rsidTr="001D37A0">
        <w:trPr>
          <w:cantSplit/>
          <w:trHeight w:val="530"/>
        </w:trPr>
        <w:tc>
          <w:tcPr>
            <w:tcW w:w="1530" w:type="dxa"/>
            <w:tcBorders>
              <w:top w:val="single" w:sz="4" w:space="0" w:color="auto"/>
              <w:left w:val="single" w:sz="4" w:space="0" w:color="auto"/>
              <w:bottom w:val="single" w:sz="4" w:space="0" w:color="auto"/>
              <w:right w:val="single" w:sz="4" w:space="0" w:color="auto"/>
            </w:tcBorders>
            <w:shd w:val="clear" w:color="auto" w:fill="auto"/>
          </w:tcPr>
          <w:p w14:paraId="7A502C9C" w14:textId="77777777" w:rsidR="00C41997" w:rsidRPr="00A03FD6" w:rsidRDefault="00C41997" w:rsidP="00E74741">
            <w:pPr>
              <w:jc w:val="center"/>
              <w:rPr>
                <w:sz w:val="22"/>
                <w:szCs w:val="22"/>
              </w:rPr>
            </w:pPr>
            <w:r w:rsidRPr="00A03FD6">
              <w:rPr>
                <w:sz w:val="22"/>
                <w:szCs w:val="22"/>
              </w:rPr>
              <w:t>M0222</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70CC4EA3" w14:textId="77777777" w:rsidR="00C41997" w:rsidRPr="00A03FD6" w:rsidRDefault="00C41997" w:rsidP="00E74741">
            <w:pPr>
              <w:rPr>
                <w:color w:val="000000"/>
                <w:sz w:val="22"/>
                <w:szCs w:val="22"/>
                <w:shd w:val="clear" w:color="auto" w:fill="FFFFFF"/>
              </w:rPr>
            </w:pPr>
            <w:r w:rsidRPr="00A03FD6">
              <w:rPr>
                <w:sz w:val="22"/>
                <w:szCs w:val="22"/>
              </w:rPr>
              <w:t xml:space="preserve">Intravenous injection, </w:t>
            </w:r>
            <w:proofErr w:type="spellStart"/>
            <w:r w:rsidRPr="00A03FD6">
              <w:rPr>
                <w:sz w:val="22"/>
                <w:szCs w:val="22"/>
              </w:rPr>
              <w:t>bebtelovimab</w:t>
            </w:r>
            <w:proofErr w:type="spellEnd"/>
            <w:r w:rsidRPr="00A03FD6">
              <w:rPr>
                <w:sz w:val="22"/>
                <w:szCs w:val="22"/>
              </w:rPr>
              <w:t>, includes injection and post administration monitoring</w:t>
            </w:r>
          </w:p>
        </w:tc>
      </w:tr>
      <w:tr w:rsidR="00C41997" w:rsidRPr="00A03FD6" w14:paraId="02BD2390" w14:textId="77777777" w:rsidTr="001D37A0">
        <w:trPr>
          <w:cantSplit/>
          <w:trHeight w:val="530"/>
        </w:trPr>
        <w:tc>
          <w:tcPr>
            <w:tcW w:w="1530" w:type="dxa"/>
            <w:tcBorders>
              <w:top w:val="single" w:sz="4" w:space="0" w:color="auto"/>
              <w:left w:val="single" w:sz="4" w:space="0" w:color="auto"/>
              <w:bottom w:val="single" w:sz="4" w:space="0" w:color="auto"/>
              <w:right w:val="single" w:sz="4" w:space="0" w:color="auto"/>
            </w:tcBorders>
            <w:shd w:val="clear" w:color="auto" w:fill="auto"/>
          </w:tcPr>
          <w:p w14:paraId="19BB2179" w14:textId="77777777" w:rsidR="00C41997" w:rsidRPr="00A03FD6" w:rsidRDefault="00C41997" w:rsidP="00E74741">
            <w:pPr>
              <w:jc w:val="center"/>
              <w:rPr>
                <w:sz w:val="22"/>
                <w:szCs w:val="22"/>
              </w:rPr>
            </w:pPr>
            <w:r w:rsidRPr="00A03FD6">
              <w:rPr>
                <w:sz w:val="22"/>
                <w:szCs w:val="22"/>
              </w:rPr>
              <w:t>M0223</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3AFFCF36" w14:textId="77777777" w:rsidR="00C41997" w:rsidRPr="00A03FD6" w:rsidRDefault="00C41997" w:rsidP="00E74741">
            <w:pPr>
              <w:rPr>
                <w:color w:val="000000"/>
                <w:sz w:val="22"/>
                <w:szCs w:val="22"/>
                <w:shd w:val="clear" w:color="auto" w:fill="FFFFFF"/>
              </w:rPr>
            </w:pPr>
            <w:r w:rsidRPr="00A03FD6">
              <w:rPr>
                <w:sz w:val="22"/>
                <w:szCs w:val="22"/>
              </w:rPr>
              <w:t xml:space="preserve">Intravenous injection, </w:t>
            </w:r>
            <w:proofErr w:type="spellStart"/>
            <w:r w:rsidRPr="00A03FD6">
              <w:rPr>
                <w:sz w:val="22"/>
                <w:szCs w:val="22"/>
              </w:rPr>
              <w:t>bebtelovimab</w:t>
            </w:r>
            <w:proofErr w:type="spellEnd"/>
            <w:r w:rsidRPr="00A03FD6">
              <w:rPr>
                <w:sz w:val="22"/>
                <w:szCs w:val="22"/>
              </w:rPr>
              <w:t>, includes injection and post administration monitoring in the home or residence; this includes a beneficiary’s home that has been made provider-based to the hospital during the federal COVID-19 public health emergency</w:t>
            </w:r>
          </w:p>
        </w:tc>
      </w:tr>
      <w:tr w:rsidR="00C41997" w:rsidRPr="00A03FD6" w14:paraId="0935AE75" w14:textId="77777777" w:rsidTr="001D37A0">
        <w:trPr>
          <w:cantSplit/>
          <w:trHeight w:val="53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D09EFBB" w14:textId="77777777" w:rsidR="00C41997" w:rsidRPr="00A03FD6" w:rsidRDefault="00C41997" w:rsidP="00E74741">
            <w:pPr>
              <w:jc w:val="center"/>
              <w:rPr>
                <w:sz w:val="22"/>
                <w:szCs w:val="22"/>
              </w:rPr>
            </w:pPr>
            <w:r w:rsidRPr="00A03FD6">
              <w:rPr>
                <w:sz w:val="22"/>
                <w:szCs w:val="22"/>
              </w:rPr>
              <w:t>M0240</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center"/>
          </w:tcPr>
          <w:p w14:paraId="713E970C" w14:textId="77777777" w:rsidR="00C41997" w:rsidRPr="00A03FD6" w:rsidRDefault="00C41997" w:rsidP="00E74741">
            <w:pPr>
              <w:rPr>
                <w:sz w:val="22"/>
                <w:szCs w:val="22"/>
              </w:rPr>
            </w:pPr>
            <w:r w:rsidRPr="00A03FD6">
              <w:rPr>
                <w:color w:val="000000"/>
                <w:sz w:val="22"/>
                <w:szCs w:val="22"/>
              </w:rPr>
              <w:t>Intravenous infusion or subcutaneous injection, casirivimab and imdevimab includes infusion or injection, and post administration monitoring, subsequent repeat doses</w:t>
            </w:r>
          </w:p>
        </w:tc>
      </w:tr>
      <w:tr w:rsidR="00C41997" w:rsidRPr="00A03FD6" w14:paraId="68853E1B" w14:textId="77777777" w:rsidTr="001D37A0">
        <w:trPr>
          <w:cantSplit/>
          <w:trHeight w:val="53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B728529" w14:textId="77777777" w:rsidR="00C41997" w:rsidRPr="00A03FD6" w:rsidRDefault="00C41997" w:rsidP="00E74741">
            <w:pPr>
              <w:jc w:val="center"/>
              <w:rPr>
                <w:sz w:val="22"/>
                <w:szCs w:val="22"/>
              </w:rPr>
            </w:pPr>
            <w:r w:rsidRPr="00A03FD6">
              <w:rPr>
                <w:sz w:val="22"/>
                <w:szCs w:val="22"/>
              </w:rPr>
              <w:t>M0241</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center"/>
          </w:tcPr>
          <w:p w14:paraId="236B5AC0" w14:textId="77777777" w:rsidR="00C41997" w:rsidRPr="00A03FD6" w:rsidRDefault="00C41997" w:rsidP="00E74741">
            <w:pPr>
              <w:rPr>
                <w:sz w:val="22"/>
                <w:szCs w:val="22"/>
              </w:rPr>
            </w:pPr>
            <w:r w:rsidRPr="00A03FD6">
              <w:rPr>
                <w:color w:val="000000"/>
                <w:sz w:val="22"/>
                <w:szCs w:val="22"/>
              </w:rPr>
              <w:t>Intravenous infusion or subcutaneous injection, casirivimab and imdevimab includes infusion or injection, and post administration monitoring in the home or residence, this includes a beneficiary's home that has been made provider-based to the hospital during the federal COVID-19 public health emergency, subsequent repeat doses</w:t>
            </w:r>
          </w:p>
        </w:tc>
      </w:tr>
      <w:tr w:rsidR="00C41997" w:rsidRPr="00A03FD6" w14:paraId="027956D6" w14:textId="77777777" w:rsidTr="001D37A0">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5AAC8127" w14:textId="77777777" w:rsidR="00C41997" w:rsidRPr="00A03FD6" w:rsidRDefault="00C41997" w:rsidP="00E74741">
            <w:pPr>
              <w:jc w:val="center"/>
              <w:rPr>
                <w:sz w:val="22"/>
                <w:szCs w:val="22"/>
              </w:rPr>
            </w:pPr>
            <w:r w:rsidRPr="00A03FD6">
              <w:rPr>
                <w:sz w:val="22"/>
                <w:szCs w:val="22"/>
              </w:rPr>
              <w:t>M0243</w:t>
            </w:r>
          </w:p>
        </w:tc>
        <w:tc>
          <w:tcPr>
            <w:tcW w:w="6974" w:type="dxa"/>
            <w:tcBorders>
              <w:top w:val="single" w:sz="4" w:space="0" w:color="auto"/>
              <w:left w:val="single" w:sz="4" w:space="0" w:color="auto"/>
              <w:bottom w:val="single" w:sz="4" w:space="0" w:color="auto"/>
              <w:right w:val="single" w:sz="4" w:space="0" w:color="auto"/>
            </w:tcBorders>
            <w:vAlign w:val="center"/>
          </w:tcPr>
          <w:p w14:paraId="26E38BDD" w14:textId="77777777" w:rsidR="00C41997" w:rsidRPr="00A03FD6" w:rsidRDefault="00C41997" w:rsidP="00E74741">
            <w:pPr>
              <w:rPr>
                <w:sz w:val="22"/>
                <w:szCs w:val="22"/>
              </w:rPr>
            </w:pPr>
            <w:r w:rsidRPr="00A03FD6">
              <w:rPr>
                <w:sz w:val="22"/>
                <w:szCs w:val="22"/>
              </w:rPr>
              <w:t>Intravenous infusion, casirivimab and imdevimab includes infusion and post administration monitoring</w:t>
            </w:r>
          </w:p>
        </w:tc>
      </w:tr>
      <w:tr w:rsidR="00C41997" w:rsidRPr="00A03FD6" w14:paraId="69829ED3" w14:textId="77777777" w:rsidTr="001D37A0">
        <w:trPr>
          <w:cantSplit/>
          <w:trHeight w:val="152"/>
        </w:trPr>
        <w:tc>
          <w:tcPr>
            <w:tcW w:w="1530" w:type="dxa"/>
            <w:tcBorders>
              <w:top w:val="single" w:sz="4" w:space="0" w:color="auto"/>
              <w:left w:val="single" w:sz="4" w:space="0" w:color="auto"/>
              <w:bottom w:val="single" w:sz="4" w:space="0" w:color="auto"/>
              <w:right w:val="single" w:sz="4" w:space="0" w:color="auto"/>
            </w:tcBorders>
            <w:vAlign w:val="center"/>
          </w:tcPr>
          <w:p w14:paraId="0404F00A" w14:textId="77777777" w:rsidR="00C41997" w:rsidRPr="00A03FD6" w:rsidRDefault="00C41997" w:rsidP="00E74741">
            <w:pPr>
              <w:jc w:val="center"/>
              <w:rPr>
                <w:sz w:val="22"/>
                <w:szCs w:val="22"/>
              </w:rPr>
            </w:pPr>
            <w:r w:rsidRPr="00A03FD6">
              <w:rPr>
                <w:sz w:val="22"/>
                <w:szCs w:val="22"/>
              </w:rPr>
              <w:t>M0244</w:t>
            </w:r>
          </w:p>
        </w:tc>
        <w:tc>
          <w:tcPr>
            <w:tcW w:w="6974" w:type="dxa"/>
            <w:tcBorders>
              <w:top w:val="single" w:sz="4" w:space="0" w:color="auto"/>
              <w:left w:val="single" w:sz="4" w:space="0" w:color="auto"/>
              <w:bottom w:val="single" w:sz="4" w:space="0" w:color="auto"/>
              <w:right w:val="single" w:sz="4" w:space="0" w:color="auto"/>
            </w:tcBorders>
            <w:vAlign w:val="center"/>
          </w:tcPr>
          <w:p w14:paraId="4C796E20" w14:textId="77777777" w:rsidR="00C41997" w:rsidRPr="00A03FD6" w:rsidRDefault="00C41997" w:rsidP="00E74741">
            <w:pPr>
              <w:pStyle w:val="NormalWeb"/>
              <w:rPr>
                <w:sz w:val="22"/>
                <w:szCs w:val="22"/>
              </w:rPr>
            </w:pPr>
            <w:r w:rsidRPr="00A03FD6">
              <w:rPr>
                <w:sz w:val="22"/>
                <w:szCs w:val="22"/>
              </w:rPr>
              <w:t>Intravenous infusion, casirivimab and imdevimab includes infusion and post administration monitoring in the home or residence; this includes a beneficiary’s home that has been made provider-based to the hospital during the federal COVID-19 public health emergency</w:t>
            </w:r>
          </w:p>
        </w:tc>
      </w:tr>
      <w:tr w:rsidR="00C41997" w:rsidRPr="00A03FD6" w14:paraId="40EA6451" w14:textId="77777777" w:rsidTr="001D37A0">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5313F412" w14:textId="77777777" w:rsidR="00C41997" w:rsidRPr="00A03FD6" w:rsidRDefault="00C41997" w:rsidP="00E74741">
            <w:pPr>
              <w:jc w:val="center"/>
              <w:rPr>
                <w:sz w:val="22"/>
                <w:szCs w:val="22"/>
              </w:rPr>
            </w:pPr>
            <w:r w:rsidRPr="00A03FD6">
              <w:rPr>
                <w:sz w:val="22"/>
                <w:szCs w:val="22"/>
              </w:rPr>
              <w:lastRenderedPageBreak/>
              <w:t>M0245</w:t>
            </w:r>
          </w:p>
        </w:tc>
        <w:tc>
          <w:tcPr>
            <w:tcW w:w="6974" w:type="dxa"/>
            <w:tcBorders>
              <w:top w:val="single" w:sz="4" w:space="0" w:color="auto"/>
              <w:left w:val="single" w:sz="4" w:space="0" w:color="auto"/>
              <w:bottom w:val="single" w:sz="4" w:space="0" w:color="auto"/>
              <w:right w:val="single" w:sz="4" w:space="0" w:color="auto"/>
            </w:tcBorders>
            <w:vAlign w:val="center"/>
          </w:tcPr>
          <w:p w14:paraId="3F873433" w14:textId="77777777" w:rsidR="00C41997" w:rsidRPr="00A03FD6" w:rsidRDefault="00C41997" w:rsidP="00E74741">
            <w:pPr>
              <w:rPr>
                <w:sz w:val="22"/>
                <w:szCs w:val="22"/>
              </w:rPr>
            </w:pPr>
            <w:r w:rsidRPr="00A03FD6">
              <w:rPr>
                <w:sz w:val="22"/>
                <w:szCs w:val="22"/>
              </w:rPr>
              <w:t xml:space="preserve">Intravenous infusion, </w:t>
            </w:r>
            <w:proofErr w:type="spellStart"/>
            <w:r w:rsidRPr="00A03FD6">
              <w:rPr>
                <w:sz w:val="22"/>
                <w:szCs w:val="22"/>
              </w:rPr>
              <w:t>bamlanivimab</w:t>
            </w:r>
            <w:proofErr w:type="spellEnd"/>
            <w:r w:rsidRPr="00A03FD6">
              <w:rPr>
                <w:sz w:val="22"/>
                <w:szCs w:val="22"/>
              </w:rPr>
              <w:t xml:space="preserve"> and </w:t>
            </w:r>
            <w:proofErr w:type="spellStart"/>
            <w:r w:rsidRPr="00A03FD6">
              <w:rPr>
                <w:sz w:val="22"/>
                <w:szCs w:val="22"/>
              </w:rPr>
              <w:t>etesevimab</w:t>
            </w:r>
            <w:proofErr w:type="spellEnd"/>
            <w:r w:rsidRPr="00A03FD6">
              <w:rPr>
                <w:sz w:val="22"/>
                <w:szCs w:val="22"/>
              </w:rPr>
              <w:t>, includes infusion and post administration monitoring</w:t>
            </w:r>
          </w:p>
        </w:tc>
      </w:tr>
      <w:tr w:rsidR="00C41997" w:rsidRPr="00A03FD6" w14:paraId="08D4BCC9" w14:textId="77777777" w:rsidTr="001D37A0">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7B173E74" w14:textId="77777777" w:rsidR="00C41997" w:rsidRPr="00A03FD6" w:rsidRDefault="00C41997" w:rsidP="00E74741">
            <w:pPr>
              <w:jc w:val="center"/>
              <w:rPr>
                <w:sz w:val="22"/>
                <w:szCs w:val="22"/>
              </w:rPr>
            </w:pPr>
            <w:r w:rsidRPr="00A03FD6">
              <w:rPr>
                <w:sz w:val="22"/>
                <w:szCs w:val="22"/>
              </w:rPr>
              <w:t>M0246</w:t>
            </w:r>
          </w:p>
        </w:tc>
        <w:tc>
          <w:tcPr>
            <w:tcW w:w="6974" w:type="dxa"/>
            <w:tcBorders>
              <w:top w:val="single" w:sz="4" w:space="0" w:color="auto"/>
              <w:left w:val="single" w:sz="4" w:space="0" w:color="auto"/>
              <w:bottom w:val="single" w:sz="4" w:space="0" w:color="auto"/>
              <w:right w:val="single" w:sz="4" w:space="0" w:color="auto"/>
            </w:tcBorders>
            <w:vAlign w:val="center"/>
          </w:tcPr>
          <w:p w14:paraId="45C3EFD6" w14:textId="77777777" w:rsidR="00C41997" w:rsidRPr="00A03FD6" w:rsidRDefault="00C41997" w:rsidP="00E74741">
            <w:pPr>
              <w:rPr>
                <w:sz w:val="22"/>
                <w:szCs w:val="22"/>
              </w:rPr>
            </w:pPr>
            <w:r w:rsidRPr="00A03FD6">
              <w:rPr>
                <w:sz w:val="22"/>
                <w:szCs w:val="22"/>
              </w:rPr>
              <w:t xml:space="preserve">Intravenous infusion, </w:t>
            </w:r>
            <w:proofErr w:type="spellStart"/>
            <w:r w:rsidRPr="00A03FD6">
              <w:rPr>
                <w:sz w:val="22"/>
                <w:szCs w:val="22"/>
              </w:rPr>
              <w:t>bamlanivimab</w:t>
            </w:r>
            <w:proofErr w:type="spellEnd"/>
            <w:r w:rsidRPr="00A03FD6">
              <w:rPr>
                <w:sz w:val="22"/>
                <w:szCs w:val="22"/>
              </w:rPr>
              <w:t xml:space="preserve"> and </w:t>
            </w:r>
            <w:proofErr w:type="spellStart"/>
            <w:r w:rsidRPr="00A03FD6">
              <w:rPr>
                <w:sz w:val="22"/>
                <w:szCs w:val="22"/>
              </w:rPr>
              <w:t>etesevimab</w:t>
            </w:r>
            <w:proofErr w:type="spellEnd"/>
            <w:r w:rsidRPr="00A03FD6">
              <w:rPr>
                <w:sz w:val="22"/>
                <w:szCs w:val="22"/>
              </w:rPr>
              <w:t>, includes infusion and post administration monitoring in the home or residence; this includes a beneficiary’s home that has been made provider-based to the hospital during the federal COVID-19 public health emergency</w:t>
            </w:r>
          </w:p>
        </w:tc>
      </w:tr>
      <w:tr w:rsidR="00C41997" w:rsidRPr="00A03FD6" w14:paraId="242D941C" w14:textId="77777777" w:rsidTr="001D37A0">
        <w:trPr>
          <w:trHeight w:val="530"/>
        </w:trPr>
        <w:tc>
          <w:tcPr>
            <w:tcW w:w="1530" w:type="dxa"/>
          </w:tcPr>
          <w:p w14:paraId="6FBD62CE" w14:textId="77777777" w:rsidR="00C41997" w:rsidRPr="00A03FD6" w:rsidRDefault="00C41997" w:rsidP="00E74741">
            <w:pPr>
              <w:jc w:val="center"/>
              <w:rPr>
                <w:sz w:val="22"/>
                <w:szCs w:val="22"/>
              </w:rPr>
            </w:pPr>
            <w:r w:rsidRPr="00A03FD6">
              <w:rPr>
                <w:sz w:val="22"/>
                <w:szCs w:val="22"/>
              </w:rPr>
              <w:t>M0247</w:t>
            </w:r>
          </w:p>
        </w:tc>
        <w:tc>
          <w:tcPr>
            <w:tcW w:w="6974" w:type="dxa"/>
          </w:tcPr>
          <w:p w14:paraId="4F845E97" w14:textId="77777777" w:rsidR="00C41997" w:rsidRPr="00A03FD6" w:rsidRDefault="00C41997" w:rsidP="00E74741">
            <w:pPr>
              <w:rPr>
                <w:sz w:val="22"/>
                <w:szCs w:val="22"/>
              </w:rPr>
            </w:pPr>
            <w:r w:rsidRPr="00A03FD6">
              <w:rPr>
                <w:sz w:val="22"/>
                <w:szCs w:val="22"/>
              </w:rPr>
              <w:t>Intravenous infusion, sotrovimab, includes infusion and post administration monitoring</w:t>
            </w:r>
          </w:p>
        </w:tc>
      </w:tr>
      <w:tr w:rsidR="00C41997" w:rsidRPr="00A03FD6" w14:paraId="513DCD03" w14:textId="77777777" w:rsidTr="001D37A0">
        <w:trPr>
          <w:trHeight w:val="152"/>
        </w:trPr>
        <w:tc>
          <w:tcPr>
            <w:tcW w:w="1530" w:type="dxa"/>
          </w:tcPr>
          <w:p w14:paraId="0397B411" w14:textId="77777777" w:rsidR="00C41997" w:rsidRPr="00A03FD6" w:rsidRDefault="00C41997" w:rsidP="00E74741">
            <w:pPr>
              <w:jc w:val="center"/>
              <w:rPr>
                <w:sz w:val="22"/>
                <w:szCs w:val="22"/>
              </w:rPr>
            </w:pPr>
            <w:r w:rsidRPr="00A03FD6">
              <w:rPr>
                <w:sz w:val="22"/>
                <w:szCs w:val="22"/>
              </w:rPr>
              <w:t>M0248</w:t>
            </w:r>
          </w:p>
        </w:tc>
        <w:tc>
          <w:tcPr>
            <w:tcW w:w="6974" w:type="dxa"/>
          </w:tcPr>
          <w:p w14:paraId="6DE3A4FF" w14:textId="77777777" w:rsidR="00C41997" w:rsidRPr="00A03FD6" w:rsidRDefault="00C41997" w:rsidP="00E74741">
            <w:pPr>
              <w:pStyle w:val="NormalWeb"/>
              <w:rPr>
                <w:sz w:val="22"/>
                <w:szCs w:val="22"/>
              </w:rPr>
            </w:pPr>
            <w:r w:rsidRPr="00A03FD6">
              <w:rPr>
                <w:sz w:val="22"/>
                <w:szCs w:val="22"/>
              </w:rPr>
              <w:t>Intravenous infusion, sotrovimab, includes infusion and post administration monitoring in the home or residence; this includes a beneficiary’s home that has been made provider-based to the hospital during the federal COVID-19 public health emergency</w:t>
            </w:r>
          </w:p>
        </w:tc>
      </w:tr>
      <w:tr w:rsidR="00C41997" w:rsidRPr="00A03FD6" w14:paraId="7D138D0C" w14:textId="77777777" w:rsidTr="001D37A0">
        <w:trPr>
          <w:trHeight w:val="530"/>
        </w:trPr>
        <w:tc>
          <w:tcPr>
            <w:tcW w:w="1530" w:type="dxa"/>
          </w:tcPr>
          <w:p w14:paraId="52494C63" w14:textId="77777777" w:rsidR="00C41997" w:rsidRPr="00A03FD6" w:rsidRDefault="00C41997" w:rsidP="00E74741">
            <w:pPr>
              <w:jc w:val="center"/>
              <w:rPr>
                <w:sz w:val="22"/>
                <w:szCs w:val="22"/>
              </w:rPr>
            </w:pPr>
            <w:r w:rsidRPr="00A03FD6">
              <w:rPr>
                <w:sz w:val="22"/>
                <w:szCs w:val="22"/>
              </w:rPr>
              <w:t>M0249</w:t>
            </w:r>
          </w:p>
        </w:tc>
        <w:tc>
          <w:tcPr>
            <w:tcW w:w="6974" w:type="dxa"/>
          </w:tcPr>
          <w:p w14:paraId="61044D3A" w14:textId="77777777" w:rsidR="00C41997" w:rsidRPr="00A03FD6" w:rsidRDefault="00C41997" w:rsidP="00E74741">
            <w:pPr>
              <w:pStyle w:val="NormalWeb"/>
              <w:rPr>
                <w:sz w:val="22"/>
                <w:szCs w:val="22"/>
              </w:rPr>
            </w:pPr>
            <w:r w:rsidRPr="00A03FD6">
              <w:rPr>
                <w:sz w:val="22"/>
                <w:szCs w:val="22"/>
              </w:rPr>
              <w:t>Intravenous infusion, tocilizumab, for hospitalized adults and pediatric patients (2 years of age and older) with COVID-19 who are receiving systemic corticosteroids and require supplemental oxygen, non-invasive or invasive mechanical ventilation, or extracorporeal membrane oxygenation (ECMO) only, includes infusion and post administration monitoring, first dose</w:t>
            </w:r>
          </w:p>
        </w:tc>
      </w:tr>
      <w:tr w:rsidR="00C41997" w:rsidRPr="00A03FD6" w14:paraId="3E060FF7" w14:textId="77777777" w:rsidTr="001D37A0">
        <w:trPr>
          <w:trHeight w:val="152"/>
        </w:trPr>
        <w:tc>
          <w:tcPr>
            <w:tcW w:w="1530" w:type="dxa"/>
          </w:tcPr>
          <w:p w14:paraId="72170389" w14:textId="77777777" w:rsidR="00C41997" w:rsidRPr="00A03FD6" w:rsidRDefault="00C41997" w:rsidP="00E74741">
            <w:pPr>
              <w:jc w:val="center"/>
              <w:rPr>
                <w:sz w:val="22"/>
                <w:szCs w:val="22"/>
              </w:rPr>
            </w:pPr>
            <w:r w:rsidRPr="00A03FD6">
              <w:rPr>
                <w:sz w:val="22"/>
                <w:szCs w:val="22"/>
              </w:rPr>
              <w:t>M0250</w:t>
            </w:r>
          </w:p>
        </w:tc>
        <w:tc>
          <w:tcPr>
            <w:tcW w:w="6974" w:type="dxa"/>
          </w:tcPr>
          <w:p w14:paraId="77EF9A79" w14:textId="77777777" w:rsidR="00C41997" w:rsidRPr="00A03FD6" w:rsidRDefault="00C41997" w:rsidP="00E74741">
            <w:pPr>
              <w:pStyle w:val="NormalWeb"/>
              <w:rPr>
                <w:sz w:val="22"/>
                <w:szCs w:val="22"/>
              </w:rPr>
            </w:pPr>
            <w:r w:rsidRPr="00A03FD6">
              <w:rPr>
                <w:sz w:val="22"/>
                <w:szCs w:val="22"/>
              </w:rPr>
              <w:t>Intravenous infusion, tocilizumab, for hospitalized adults and pediatric patients (2 years of age and older) with COVID-19 who are receiving systemic corticosteroids and require supplemental oxygen, non-invasive or invasive mechanical ventilation, or extracorporeal membrane oxygenation (ECMO) only, includes infusion and post administration monitoring, second dose</w:t>
            </w:r>
          </w:p>
        </w:tc>
      </w:tr>
    </w:tbl>
    <w:p w14:paraId="5B845E6F" w14:textId="23CD3545" w:rsidR="00A60C09" w:rsidRPr="00A03FD6" w:rsidRDefault="00A60C09" w:rsidP="00A60C09"/>
    <w:p w14:paraId="07E1C0AF" w14:textId="77777777" w:rsidR="00EE6656" w:rsidRPr="00A03FD6" w:rsidRDefault="0020734A" w:rsidP="00A5360D">
      <w:pPr>
        <w:pStyle w:val="Heading1"/>
        <w:ind w:left="720"/>
        <w:rPr>
          <w:u w:val="single"/>
        </w:rPr>
      </w:pPr>
      <w:r w:rsidRPr="00A03FD6">
        <w:t>(</w:t>
      </w:r>
      <w:r w:rsidR="00B05C49" w:rsidRPr="00A03FD6">
        <w:t>3</w:t>
      </w:r>
      <w:r w:rsidRPr="00A03FD6">
        <w:t xml:space="preserve">)  </w:t>
      </w:r>
      <w:r w:rsidR="0001206F" w:rsidRPr="00A03FD6">
        <w:rPr>
          <w:u w:val="single"/>
        </w:rPr>
        <w:t>Durable Medical Equipment, Oxygen and Respiratory Therapy Equipment</w:t>
      </w:r>
      <w:r w:rsidR="00CA357B" w:rsidRPr="00A03FD6">
        <w:rPr>
          <w:u w:val="single"/>
        </w:rPr>
        <w:t>,</w:t>
      </w:r>
      <w:r w:rsidR="00EE6656" w:rsidRPr="00A03FD6">
        <w:rPr>
          <w:u w:val="single"/>
        </w:rPr>
        <w:t xml:space="preserve"> and Supplies</w:t>
      </w:r>
      <w:r w:rsidR="00B10EDE" w:rsidRPr="00A03FD6">
        <w:t>.</w:t>
      </w:r>
    </w:p>
    <w:p w14:paraId="7AA9B0B8" w14:textId="1CE301DD" w:rsidR="00987A24" w:rsidRPr="00A03FD6" w:rsidRDefault="00D6286B" w:rsidP="00A5360D">
      <w:pPr>
        <w:ind w:left="1080"/>
        <w:rPr>
          <w:sz w:val="22"/>
        </w:rPr>
      </w:pPr>
      <w:r w:rsidRPr="00A03FD6">
        <w:rPr>
          <w:sz w:val="22"/>
          <w:szCs w:val="22"/>
        </w:rPr>
        <w:t>(</w:t>
      </w:r>
      <w:r w:rsidR="00CA357B" w:rsidRPr="00A03FD6">
        <w:rPr>
          <w:sz w:val="22"/>
          <w:szCs w:val="22"/>
        </w:rPr>
        <w:t>a</w:t>
      </w:r>
      <w:r w:rsidRPr="00A03FD6">
        <w:rPr>
          <w:sz w:val="22"/>
          <w:szCs w:val="22"/>
        </w:rPr>
        <w:t>)</w:t>
      </w:r>
      <w:r w:rsidR="00CA357B" w:rsidRPr="00A03FD6">
        <w:rPr>
          <w:sz w:val="22"/>
          <w:szCs w:val="22"/>
        </w:rPr>
        <w:t xml:space="preserve"> </w:t>
      </w:r>
      <w:r w:rsidR="00F77D66" w:rsidRPr="00A03FD6">
        <w:rPr>
          <w:sz w:val="22"/>
          <w:szCs w:val="22"/>
        </w:rPr>
        <w:t xml:space="preserve"> </w:t>
      </w:r>
      <w:r w:rsidR="005E3FB4" w:rsidRPr="00A03FD6">
        <w:rPr>
          <w:sz w:val="22"/>
          <w:szCs w:val="22"/>
          <w:u w:val="single"/>
        </w:rPr>
        <w:t>General Rate Determination</w:t>
      </w:r>
      <w:r w:rsidR="005E3FB4" w:rsidRPr="00A03FD6">
        <w:rPr>
          <w:sz w:val="22"/>
          <w:szCs w:val="22"/>
        </w:rPr>
        <w:t xml:space="preserve">. </w:t>
      </w:r>
      <w:r w:rsidR="00F77D66" w:rsidRPr="00A03FD6">
        <w:rPr>
          <w:sz w:val="22"/>
          <w:szCs w:val="22"/>
        </w:rPr>
        <w:t xml:space="preserve"> </w:t>
      </w:r>
      <w:r w:rsidR="00987A24" w:rsidRPr="00A03FD6">
        <w:rPr>
          <w:sz w:val="22"/>
          <w:szCs w:val="22"/>
        </w:rPr>
        <w:t>Rates of payment for services for which 101 CMR 446.03(3) applies are the lowest of</w:t>
      </w:r>
    </w:p>
    <w:p w14:paraId="5AED770E" w14:textId="5B976135" w:rsidR="00987A24" w:rsidRPr="00A03FD6" w:rsidRDefault="00CA357B" w:rsidP="00CA357B">
      <w:pPr>
        <w:ind w:left="1440"/>
        <w:rPr>
          <w:sz w:val="22"/>
          <w:szCs w:val="22"/>
        </w:rPr>
      </w:pPr>
      <w:r w:rsidRPr="00A03FD6">
        <w:rPr>
          <w:sz w:val="22"/>
          <w:szCs w:val="22"/>
        </w:rPr>
        <w:t>1.</w:t>
      </w:r>
      <w:r w:rsidR="008E1785" w:rsidRPr="00A03FD6">
        <w:rPr>
          <w:sz w:val="22"/>
          <w:szCs w:val="22"/>
        </w:rPr>
        <w:t xml:space="preserve"> </w:t>
      </w:r>
      <w:r w:rsidRPr="00A03FD6">
        <w:rPr>
          <w:sz w:val="22"/>
          <w:szCs w:val="22"/>
        </w:rPr>
        <w:t xml:space="preserve"> </w:t>
      </w:r>
      <w:r w:rsidR="00D6286B" w:rsidRPr="00A03FD6">
        <w:rPr>
          <w:sz w:val="22"/>
          <w:szCs w:val="22"/>
        </w:rPr>
        <w:t xml:space="preserve">the </w:t>
      </w:r>
      <w:r w:rsidR="00987A24" w:rsidRPr="00A03FD6">
        <w:rPr>
          <w:sz w:val="22"/>
          <w:szCs w:val="22"/>
        </w:rPr>
        <w:t xml:space="preserve">eligible provider’s usual fee to patients other than publicly aided </w:t>
      </w:r>
      <w:proofErr w:type="gramStart"/>
      <w:r w:rsidR="00987A24" w:rsidRPr="00A03FD6">
        <w:rPr>
          <w:sz w:val="22"/>
          <w:szCs w:val="22"/>
        </w:rPr>
        <w:t>individuals;</w:t>
      </w:r>
      <w:proofErr w:type="gramEnd"/>
    </w:p>
    <w:p w14:paraId="62FD49CC" w14:textId="597902FF" w:rsidR="00987A24" w:rsidRPr="00A03FD6" w:rsidRDefault="00CA357B" w:rsidP="00CA357B">
      <w:pPr>
        <w:ind w:left="1440"/>
        <w:rPr>
          <w:sz w:val="22"/>
          <w:szCs w:val="22"/>
        </w:rPr>
      </w:pPr>
      <w:r w:rsidRPr="00A03FD6">
        <w:rPr>
          <w:sz w:val="22"/>
          <w:szCs w:val="22"/>
        </w:rPr>
        <w:t>2.</w:t>
      </w:r>
      <w:r w:rsidR="008E1785" w:rsidRPr="00A03FD6">
        <w:rPr>
          <w:sz w:val="22"/>
          <w:szCs w:val="22"/>
        </w:rPr>
        <w:t xml:space="preserve"> </w:t>
      </w:r>
      <w:r w:rsidRPr="00A03FD6">
        <w:rPr>
          <w:sz w:val="22"/>
          <w:szCs w:val="22"/>
        </w:rPr>
        <w:t xml:space="preserve"> </w:t>
      </w:r>
      <w:r w:rsidR="00D6286B" w:rsidRPr="00A03FD6">
        <w:rPr>
          <w:sz w:val="22"/>
          <w:szCs w:val="22"/>
        </w:rPr>
        <w:t xml:space="preserve">the </w:t>
      </w:r>
      <w:r w:rsidR="00987A24" w:rsidRPr="00A03FD6">
        <w:rPr>
          <w:sz w:val="22"/>
          <w:szCs w:val="22"/>
        </w:rPr>
        <w:t>eligible provider’s actual charge submitted; or</w:t>
      </w:r>
    </w:p>
    <w:p w14:paraId="2ED5ACC5" w14:textId="56602E5F" w:rsidR="00B05380" w:rsidRPr="00A03FD6" w:rsidRDefault="00CA357B" w:rsidP="00742330">
      <w:pPr>
        <w:ind w:left="1440"/>
        <w:rPr>
          <w:sz w:val="22"/>
        </w:rPr>
      </w:pPr>
      <w:r w:rsidRPr="00A03FD6">
        <w:rPr>
          <w:sz w:val="22"/>
          <w:szCs w:val="22"/>
        </w:rPr>
        <w:t xml:space="preserve">3. </w:t>
      </w:r>
      <w:r w:rsidR="008E1785" w:rsidRPr="00A03FD6">
        <w:rPr>
          <w:sz w:val="22"/>
          <w:szCs w:val="22"/>
        </w:rPr>
        <w:t xml:space="preserve"> </w:t>
      </w:r>
      <w:r w:rsidR="00D6286B" w:rsidRPr="00A03FD6">
        <w:rPr>
          <w:sz w:val="22"/>
          <w:szCs w:val="22"/>
        </w:rPr>
        <w:t xml:space="preserve">the </w:t>
      </w:r>
      <w:r w:rsidR="00987A24" w:rsidRPr="00A03FD6">
        <w:rPr>
          <w:sz w:val="22"/>
          <w:szCs w:val="22"/>
        </w:rPr>
        <w:t>schedule of allowable fees set forth in 101 CMR 446.03(3)</w:t>
      </w:r>
      <w:r w:rsidR="00A60C09" w:rsidRPr="00A03FD6">
        <w:rPr>
          <w:sz w:val="22"/>
          <w:szCs w:val="22"/>
        </w:rPr>
        <w:t>(f) and (g),</w:t>
      </w:r>
      <w:r w:rsidR="00987A24" w:rsidRPr="00A03FD6">
        <w:rPr>
          <w:sz w:val="22"/>
          <w:szCs w:val="22"/>
        </w:rPr>
        <w:t xml:space="preserve"> </w:t>
      </w:r>
      <w:proofErr w:type="gramStart"/>
      <w:r w:rsidR="00987A24" w:rsidRPr="00A03FD6">
        <w:rPr>
          <w:sz w:val="22"/>
          <w:szCs w:val="22"/>
        </w:rPr>
        <w:t>taking into account</w:t>
      </w:r>
      <w:proofErr w:type="gramEnd"/>
      <w:r w:rsidR="00987A24" w:rsidRPr="00A03FD6">
        <w:rPr>
          <w:sz w:val="22"/>
          <w:szCs w:val="22"/>
        </w:rPr>
        <w:t xml:space="preserve"> appropriate modifiers and any other applicable rate provisions in accordance with 101 CMR 446.03(3)</w:t>
      </w:r>
      <w:r w:rsidR="00A46EDC" w:rsidRPr="00A03FD6">
        <w:rPr>
          <w:sz w:val="22"/>
          <w:szCs w:val="22"/>
        </w:rPr>
        <w:t>.</w:t>
      </w:r>
      <w:r w:rsidR="005E3FB4" w:rsidRPr="00A03FD6">
        <w:rPr>
          <w:sz w:val="22"/>
        </w:rPr>
        <w:t xml:space="preserve"> </w:t>
      </w:r>
    </w:p>
    <w:p w14:paraId="208F9E31" w14:textId="4F056264" w:rsidR="005D629F" w:rsidRPr="00A03FD6" w:rsidRDefault="00D6286B" w:rsidP="00742330">
      <w:pPr>
        <w:ind w:left="1080"/>
        <w:rPr>
          <w:sz w:val="22"/>
        </w:rPr>
      </w:pPr>
      <w:r w:rsidRPr="00A03FD6">
        <w:rPr>
          <w:sz w:val="22"/>
          <w:szCs w:val="22"/>
        </w:rPr>
        <w:t>(</w:t>
      </w:r>
      <w:r w:rsidR="00CA357B" w:rsidRPr="00A03FD6">
        <w:rPr>
          <w:sz w:val="22"/>
          <w:szCs w:val="22"/>
        </w:rPr>
        <w:t>b</w:t>
      </w:r>
      <w:r w:rsidRPr="00A03FD6">
        <w:rPr>
          <w:sz w:val="22"/>
          <w:szCs w:val="22"/>
        </w:rPr>
        <w:t>)</w:t>
      </w:r>
      <w:r w:rsidR="00CA357B" w:rsidRPr="00A03FD6">
        <w:rPr>
          <w:sz w:val="22"/>
          <w:szCs w:val="22"/>
        </w:rPr>
        <w:t xml:space="preserve"> </w:t>
      </w:r>
      <w:r w:rsidR="00F77D66" w:rsidRPr="00A03FD6">
        <w:rPr>
          <w:sz w:val="22"/>
          <w:szCs w:val="22"/>
        </w:rPr>
        <w:t xml:space="preserve"> </w:t>
      </w:r>
      <w:r w:rsidR="005E3FB4" w:rsidRPr="00A03FD6">
        <w:rPr>
          <w:sz w:val="22"/>
          <w:szCs w:val="22"/>
          <w:u w:val="single"/>
        </w:rPr>
        <w:t>Defined Terms</w:t>
      </w:r>
      <w:r w:rsidR="005E3FB4" w:rsidRPr="00A03FD6">
        <w:rPr>
          <w:sz w:val="22"/>
          <w:szCs w:val="22"/>
        </w:rPr>
        <w:t>.</w:t>
      </w:r>
      <w:r w:rsidR="005E3FB4" w:rsidRPr="00A03FD6">
        <w:rPr>
          <w:sz w:val="22"/>
        </w:rPr>
        <w:t xml:space="preserve"> </w:t>
      </w:r>
      <w:r w:rsidR="00F77D66" w:rsidRPr="00A03FD6">
        <w:rPr>
          <w:sz w:val="22"/>
        </w:rPr>
        <w:t xml:space="preserve"> </w:t>
      </w:r>
      <w:r w:rsidR="005E3FB4" w:rsidRPr="00A03FD6">
        <w:rPr>
          <w:sz w:val="22"/>
        </w:rPr>
        <w:t xml:space="preserve">Terms </w:t>
      </w:r>
      <w:r w:rsidR="009A48FD" w:rsidRPr="00A03FD6">
        <w:rPr>
          <w:sz w:val="22"/>
        </w:rPr>
        <w:t xml:space="preserve">used </w:t>
      </w:r>
      <w:r w:rsidR="005E3FB4" w:rsidRPr="00A03FD6">
        <w:rPr>
          <w:sz w:val="22"/>
        </w:rPr>
        <w:t xml:space="preserve">in 101 CMR </w:t>
      </w:r>
      <w:r w:rsidR="00DD72EF" w:rsidRPr="00A03FD6">
        <w:rPr>
          <w:sz w:val="22"/>
        </w:rPr>
        <w:t>446.03</w:t>
      </w:r>
      <w:r w:rsidR="005E3FB4" w:rsidRPr="00A03FD6">
        <w:rPr>
          <w:sz w:val="22"/>
        </w:rPr>
        <w:t>(</w:t>
      </w:r>
      <w:r w:rsidR="00747669" w:rsidRPr="00A03FD6">
        <w:rPr>
          <w:sz w:val="22"/>
        </w:rPr>
        <w:t>3</w:t>
      </w:r>
      <w:r w:rsidR="005E3FB4" w:rsidRPr="00A03FD6">
        <w:rPr>
          <w:sz w:val="22"/>
        </w:rPr>
        <w:t>) have the m</w:t>
      </w:r>
      <w:r w:rsidR="009D1671" w:rsidRPr="00A03FD6">
        <w:rPr>
          <w:sz w:val="22"/>
        </w:rPr>
        <w:t>eaning defined in 101 CMR 322</w:t>
      </w:r>
      <w:r w:rsidR="00EF1F98" w:rsidRPr="00A03FD6">
        <w:rPr>
          <w:sz w:val="22"/>
        </w:rPr>
        <w:t xml:space="preserve">.02: </w:t>
      </w:r>
      <w:r w:rsidR="009A48FD" w:rsidRPr="00A03FD6">
        <w:rPr>
          <w:sz w:val="22"/>
        </w:rPr>
        <w:t xml:space="preserve"> </w:t>
      </w:r>
      <w:r w:rsidR="00EF1F98" w:rsidRPr="00A03FD6">
        <w:rPr>
          <w:i/>
          <w:sz w:val="22"/>
        </w:rPr>
        <w:t>General Definitions</w:t>
      </w:r>
      <w:r w:rsidR="005E3FB4" w:rsidRPr="00A03FD6">
        <w:rPr>
          <w:sz w:val="22"/>
        </w:rPr>
        <w:t>.</w:t>
      </w:r>
      <w:r w:rsidR="00B324D3" w:rsidRPr="00A03FD6">
        <w:rPr>
          <w:sz w:val="22"/>
          <w:szCs w:val="22"/>
        </w:rPr>
        <w:t xml:space="preserve"> </w:t>
      </w:r>
    </w:p>
    <w:p w14:paraId="5C5A1D73" w14:textId="324D0793" w:rsidR="00D6286B" w:rsidRPr="00A03FD6" w:rsidRDefault="00D6286B" w:rsidP="00742330">
      <w:pPr>
        <w:ind w:left="1080"/>
        <w:rPr>
          <w:sz w:val="22"/>
          <w:szCs w:val="22"/>
        </w:rPr>
      </w:pPr>
      <w:r w:rsidRPr="00A03FD6">
        <w:rPr>
          <w:sz w:val="22"/>
          <w:szCs w:val="22"/>
        </w:rPr>
        <w:t>(</w:t>
      </w:r>
      <w:r w:rsidR="00CA357B" w:rsidRPr="00A03FD6">
        <w:rPr>
          <w:sz w:val="22"/>
          <w:szCs w:val="22"/>
        </w:rPr>
        <w:t>c</w:t>
      </w:r>
      <w:r w:rsidRPr="00A03FD6">
        <w:rPr>
          <w:sz w:val="22"/>
          <w:szCs w:val="22"/>
        </w:rPr>
        <w:t>)</w:t>
      </w:r>
      <w:r w:rsidR="00CA357B" w:rsidRPr="00A03FD6">
        <w:rPr>
          <w:sz w:val="22"/>
          <w:szCs w:val="22"/>
        </w:rPr>
        <w:t xml:space="preserve"> </w:t>
      </w:r>
      <w:r w:rsidR="00F77D66" w:rsidRPr="00A03FD6">
        <w:rPr>
          <w:sz w:val="22"/>
          <w:szCs w:val="22"/>
        </w:rPr>
        <w:t xml:space="preserve"> </w:t>
      </w:r>
      <w:r w:rsidR="00EE6656" w:rsidRPr="00A03FD6">
        <w:rPr>
          <w:sz w:val="22"/>
          <w:szCs w:val="22"/>
          <w:u w:val="single"/>
        </w:rPr>
        <w:t>Codes and Modifiers</w:t>
      </w:r>
      <w:r w:rsidR="00EE6656" w:rsidRPr="00A03FD6">
        <w:rPr>
          <w:sz w:val="22"/>
          <w:szCs w:val="22"/>
        </w:rPr>
        <w:t xml:space="preserve">. </w:t>
      </w:r>
      <w:r w:rsidR="00F77D66" w:rsidRPr="00A03FD6">
        <w:rPr>
          <w:sz w:val="22"/>
          <w:szCs w:val="22"/>
        </w:rPr>
        <w:t xml:space="preserve"> </w:t>
      </w:r>
      <w:r w:rsidR="00EE6656" w:rsidRPr="00A03FD6">
        <w:rPr>
          <w:sz w:val="22"/>
          <w:szCs w:val="22"/>
        </w:rPr>
        <w:t>Except as otherwise provided, the codes and modifiers for the DME services described in 101 CMR 446.03(</w:t>
      </w:r>
      <w:r w:rsidR="005E3FB4" w:rsidRPr="00A03FD6">
        <w:rPr>
          <w:sz w:val="22"/>
          <w:szCs w:val="22"/>
        </w:rPr>
        <w:t>3</w:t>
      </w:r>
      <w:r w:rsidR="00EE6656" w:rsidRPr="00A03FD6">
        <w:rPr>
          <w:sz w:val="22"/>
          <w:szCs w:val="22"/>
        </w:rPr>
        <w:t>) are as defined in 101 CMR 322.03(13)</w:t>
      </w:r>
      <w:r w:rsidR="00EF1F98" w:rsidRPr="00A03FD6">
        <w:rPr>
          <w:sz w:val="22"/>
          <w:szCs w:val="22"/>
        </w:rPr>
        <w:t xml:space="preserve">: </w:t>
      </w:r>
      <w:r w:rsidR="00EF1F98" w:rsidRPr="00A03FD6">
        <w:rPr>
          <w:i/>
          <w:sz w:val="22"/>
          <w:szCs w:val="22"/>
        </w:rPr>
        <w:t>Modifiers</w:t>
      </w:r>
      <w:r w:rsidR="00EE6656" w:rsidRPr="00A03FD6">
        <w:rPr>
          <w:sz w:val="22"/>
          <w:szCs w:val="22"/>
        </w:rPr>
        <w:t xml:space="preserve"> and 101 CMR 322.06: </w:t>
      </w:r>
      <w:r w:rsidR="009A48FD" w:rsidRPr="00A03FD6">
        <w:rPr>
          <w:sz w:val="22"/>
          <w:szCs w:val="22"/>
        </w:rPr>
        <w:t xml:space="preserve"> </w:t>
      </w:r>
      <w:r w:rsidR="00CF3A9A" w:rsidRPr="00A03FD6">
        <w:rPr>
          <w:i/>
          <w:sz w:val="22"/>
          <w:szCs w:val="22"/>
        </w:rPr>
        <w:t>Allowable Fees and Rate Schedule</w:t>
      </w:r>
      <w:r w:rsidR="00EE6656" w:rsidRPr="00A03FD6">
        <w:rPr>
          <w:sz w:val="22"/>
          <w:szCs w:val="22"/>
        </w:rPr>
        <w:t>.</w:t>
      </w:r>
    </w:p>
    <w:p w14:paraId="09D63030" w14:textId="77777777" w:rsidR="004E2A06" w:rsidRPr="00A03FD6" w:rsidRDefault="004E2A06" w:rsidP="00CA357B">
      <w:pPr>
        <w:ind w:left="1080"/>
        <w:rPr>
          <w:sz w:val="22"/>
          <w:szCs w:val="22"/>
        </w:rPr>
      </w:pPr>
    </w:p>
    <w:p w14:paraId="7C6E8DA8" w14:textId="5F19E682" w:rsidR="00C41997" w:rsidRPr="00A03FD6" w:rsidRDefault="00C41997" w:rsidP="004E2A06">
      <w:pPr>
        <w:ind w:left="1080"/>
        <w:rPr>
          <w:sz w:val="22"/>
          <w:szCs w:val="22"/>
        </w:rPr>
      </w:pPr>
      <w:r w:rsidRPr="00A03FD6">
        <w:rPr>
          <w:sz w:val="22"/>
          <w:szCs w:val="22"/>
        </w:rPr>
        <w:t>(101 CMR 446.03(3)</w:t>
      </w:r>
      <w:r w:rsidR="00D6286B" w:rsidRPr="00A03FD6">
        <w:rPr>
          <w:sz w:val="22"/>
          <w:szCs w:val="22"/>
        </w:rPr>
        <w:t>(</w:t>
      </w:r>
      <w:r w:rsidR="00CA357B" w:rsidRPr="00A03FD6">
        <w:rPr>
          <w:sz w:val="22"/>
          <w:szCs w:val="22"/>
        </w:rPr>
        <w:t>d</w:t>
      </w:r>
      <w:r w:rsidR="00D6286B" w:rsidRPr="00A03FD6">
        <w:rPr>
          <w:sz w:val="22"/>
          <w:szCs w:val="22"/>
        </w:rPr>
        <w:t>)</w:t>
      </w:r>
      <w:r w:rsidRPr="00A03FD6">
        <w:rPr>
          <w:sz w:val="22"/>
          <w:szCs w:val="22"/>
        </w:rPr>
        <w:t xml:space="preserve"> and (e) Reserved)</w:t>
      </w:r>
      <w:r w:rsidR="00CA357B" w:rsidRPr="00A03FD6">
        <w:rPr>
          <w:sz w:val="22"/>
          <w:szCs w:val="22"/>
        </w:rPr>
        <w:t xml:space="preserve"> </w:t>
      </w:r>
      <w:r w:rsidR="00F77D66" w:rsidRPr="00A03FD6">
        <w:rPr>
          <w:sz w:val="22"/>
          <w:szCs w:val="22"/>
        </w:rPr>
        <w:t xml:space="preserve"> </w:t>
      </w:r>
    </w:p>
    <w:p w14:paraId="27E90335" w14:textId="7300C708" w:rsidR="00CC6963" w:rsidRPr="00A03FD6" w:rsidRDefault="00CC6963" w:rsidP="00CC6963">
      <w:pPr>
        <w:ind w:left="720"/>
        <w:rPr>
          <w:sz w:val="22"/>
          <w:szCs w:val="22"/>
          <w:u w:val="single"/>
        </w:rPr>
      </w:pPr>
    </w:p>
    <w:p w14:paraId="61EB4E93" w14:textId="488DFD59" w:rsidR="00A60C09" w:rsidRPr="00A03FD6" w:rsidRDefault="00A60C09" w:rsidP="00A60C09">
      <w:pPr>
        <w:ind w:left="1080"/>
        <w:rPr>
          <w:sz w:val="22"/>
          <w:szCs w:val="22"/>
        </w:rPr>
      </w:pPr>
      <w:r w:rsidRPr="00A03FD6">
        <w:rPr>
          <w:sz w:val="22"/>
          <w:szCs w:val="22"/>
        </w:rPr>
        <w:t xml:space="preserve">(f) </w:t>
      </w:r>
      <w:r w:rsidR="00173895" w:rsidRPr="00A03FD6">
        <w:rPr>
          <w:sz w:val="22"/>
          <w:szCs w:val="22"/>
        </w:rPr>
        <w:t xml:space="preserve"> </w:t>
      </w:r>
      <w:r w:rsidRPr="00A03FD6">
        <w:rPr>
          <w:sz w:val="22"/>
          <w:szCs w:val="22"/>
          <w:u w:val="single"/>
        </w:rPr>
        <w:t>Allowable Fee for Over-the-counter Diagnostic Tests for SARS-CoV-2</w:t>
      </w:r>
      <w:bookmarkStart w:id="0" w:name="_Hlk97814668"/>
      <w:r w:rsidRPr="00A03FD6">
        <w:rPr>
          <w:sz w:val="22"/>
          <w:szCs w:val="22"/>
        </w:rPr>
        <w:t xml:space="preserve">.  For over-the-counter diagnostic tests for SARS-CoV-2 supplied through pharmacies to MassHealth members, EOHHS may set allowable fees no higher than $12.00 per test. </w:t>
      </w:r>
      <w:bookmarkEnd w:id="0"/>
      <w:r w:rsidRPr="00A03FD6">
        <w:rPr>
          <w:sz w:val="22"/>
          <w:szCs w:val="22"/>
        </w:rPr>
        <w:t xml:space="preserve">EOHHS may set the allowable fee for </w:t>
      </w:r>
      <w:proofErr w:type="gramStart"/>
      <w:r w:rsidRPr="00A03FD6">
        <w:rPr>
          <w:sz w:val="22"/>
          <w:szCs w:val="22"/>
        </w:rPr>
        <w:t>particular tests</w:t>
      </w:r>
      <w:proofErr w:type="gramEnd"/>
      <w:r w:rsidRPr="00A03FD6">
        <w:rPr>
          <w:sz w:val="22"/>
          <w:szCs w:val="22"/>
        </w:rPr>
        <w:t xml:space="preserve"> below $12.00 per test, so long as the allowable fee is equal to or greater than the lowest retail rate available to MassHealth members in Massachusetts. For over-the-counter tests suppl</w:t>
      </w:r>
      <w:r w:rsidR="00173895" w:rsidRPr="00A03FD6">
        <w:rPr>
          <w:sz w:val="22"/>
          <w:szCs w:val="22"/>
        </w:rPr>
        <w:t>i</w:t>
      </w:r>
      <w:r w:rsidRPr="00A03FD6">
        <w:rPr>
          <w:sz w:val="22"/>
          <w:szCs w:val="22"/>
        </w:rPr>
        <w:t xml:space="preserve">ed through pharmacies for MassHealth </w:t>
      </w:r>
      <w:r w:rsidRPr="00A03FD6">
        <w:rPr>
          <w:sz w:val="22"/>
          <w:szCs w:val="22"/>
        </w:rPr>
        <w:lastRenderedPageBreak/>
        <w:t xml:space="preserve">members, EOHHS will designate allowable fees via Pharmacy Facts, provider bulletin, or other written issuance, consistent with this section. The $12.00 maximum allowable fee per test rate may be adjusted via administrative bulletin if guidance from the </w:t>
      </w:r>
      <w:r w:rsidR="004C5B9E" w:rsidRPr="00A03FD6">
        <w:rPr>
          <w:sz w:val="22"/>
          <w:szCs w:val="22"/>
        </w:rPr>
        <w:t>f</w:t>
      </w:r>
      <w:r w:rsidRPr="00A03FD6">
        <w:rPr>
          <w:sz w:val="22"/>
          <w:szCs w:val="22"/>
        </w:rPr>
        <w:t>ederal Departments of Labor, Health and Human Services, or the Treasury changes regarding rates payable by commercial plans.</w:t>
      </w:r>
    </w:p>
    <w:p w14:paraId="70B7949B" w14:textId="54D7B509" w:rsidR="00A60C09" w:rsidRPr="00A03FD6" w:rsidRDefault="00A60C09" w:rsidP="00A60C09">
      <w:pPr>
        <w:ind w:left="1080"/>
        <w:rPr>
          <w:b/>
          <w:bCs/>
          <w:sz w:val="22"/>
          <w:szCs w:val="22"/>
          <w:u w:val="single"/>
        </w:rPr>
      </w:pPr>
      <w:r w:rsidRPr="00A03FD6">
        <w:rPr>
          <w:sz w:val="22"/>
          <w:szCs w:val="22"/>
        </w:rPr>
        <w:t xml:space="preserve">(g) </w:t>
      </w:r>
      <w:r w:rsidR="00173895" w:rsidRPr="00A03FD6">
        <w:rPr>
          <w:sz w:val="22"/>
          <w:szCs w:val="22"/>
        </w:rPr>
        <w:t xml:space="preserve"> </w:t>
      </w:r>
      <w:r w:rsidRPr="00A03FD6">
        <w:rPr>
          <w:sz w:val="22"/>
          <w:szCs w:val="22"/>
          <w:u w:val="single"/>
        </w:rPr>
        <w:t>Allowable Fee for Formula and Thickening Agents</w:t>
      </w:r>
      <w:r w:rsidRPr="00A03FD6">
        <w:rPr>
          <w:sz w:val="22"/>
          <w:szCs w:val="22"/>
        </w:rPr>
        <w:t>.  For formula and thickening agents dispensed through pharmacies to MassHealth members, the allowable fee is the wholesale acquisition cost. For purposes of this section, the wholesale acquisition cost means the manufacturer’s price published in a national price compendium or other publicly available source or an adjusted list price.</w:t>
      </w:r>
    </w:p>
    <w:p w14:paraId="2C82E1D6" w14:textId="4A097C53" w:rsidR="00E27D3D" w:rsidRPr="00A03FD6" w:rsidRDefault="00BB7DD9" w:rsidP="00E27D3D">
      <w:pPr>
        <w:ind w:left="1080"/>
        <w:rPr>
          <w:sz w:val="22"/>
          <w:szCs w:val="22"/>
          <w:u w:val="single"/>
        </w:rPr>
      </w:pPr>
      <w:r w:rsidRPr="00A03FD6">
        <w:rPr>
          <w:sz w:val="22"/>
          <w:szCs w:val="22"/>
        </w:rPr>
        <w:t>(</w:t>
      </w:r>
      <w:r w:rsidR="00A60C09" w:rsidRPr="00A03FD6">
        <w:rPr>
          <w:sz w:val="22"/>
          <w:szCs w:val="22"/>
        </w:rPr>
        <w:t>h</w:t>
      </w:r>
      <w:r w:rsidRPr="00A03FD6">
        <w:rPr>
          <w:sz w:val="22"/>
          <w:szCs w:val="22"/>
        </w:rPr>
        <w:t>)</w:t>
      </w:r>
      <w:r w:rsidR="000A5461" w:rsidRPr="00A03FD6">
        <w:rPr>
          <w:sz w:val="22"/>
          <w:szCs w:val="22"/>
        </w:rPr>
        <w:t xml:space="preserve"> </w:t>
      </w:r>
      <w:r w:rsidR="00F77D66" w:rsidRPr="00A03FD6">
        <w:rPr>
          <w:sz w:val="22"/>
          <w:szCs w:val="22"/>
        </w:rPr>
        <w:t xml:space="preserve"> </w:t>
      </w:r>
      <w:r w:rsidR="00CC6963" w:rsidRPr="00A03FD6">
        <w:rPr>
          <w:sz w:val="22"/>
          <w:szCs w:val="22"/>
          <w:u w:val="single"/>
        </w:rPr>
        <w:t>Reporting Requirements</w:t>
      </w:r>
      <w:r w:rsidR="00CC6963" w:rsidRPr="00A03FD6">
        <w:rPr>
          <w:sz w:val="22"/>
          <w:szCs w:val="22"/>
        </w:rPr>
        <w:t xml:space="preserve">. </w:t>
      </w:r>
      <w:r w:rsidR="00F77D66" w:rsidRPr="00A03FD6">
        <w:rPr>
          <w:sz w:val="22"/>
          <w:szCs w:val="22"/>
        </w:rPr>
        <w:t xml:space="preserve"> </w:t>
      </w:r>
      <w:r w:rsidR="00CC6963" w:rsidRPr="00A03FD6">
        <w:rPr>
          <w:sz w:val="22"/>
          <w:szCs w:val="22"/>
        </w:rPr>
        <w:t xml:space="preserve">Reporting requirements for 101 CMR </w:t>
      </w:r>
      <w:r w:rsidR="00DD72EF" w:rsidRPr="00A03FD6">
        <w:rPr>
          <w:sz w:val="22"/>
          <w:szCs w:val="22"/>
        </w:rPr>
        <w:t>446.03</w:t>
      </w:r>
      <w:r w:rsidR="00CC6963" w:rsidRPr="00A03FD6">
        <w:rPr>
          <w:sz w:val="22"/>
          <w:szCs w:val="22"/>
        </w:rPr>
        <w:t>(</w:t>
      </w:r>
      <w:r w:rsidR="00747669" w:rsidRPr="00A03FD6">
        <w:rPr>
          <w:sz w:val="22"/>
          <w:szCs w:val="22"/>
        </w:rPr>
        <w:t>3</w:t>
      </w:r>
      <w:r w:rsidR="00CC6963" w:rsidRPr="00A03FD6">
        <w:rPr>
          <w:sz w:val="22"/>
          <w:szCs w:val="22"/>
        </w:rPr>
        <w:t>) are those in 101 CMR 322.04</w:t>
      </w:r>
      <w:r w:rsidR="00A1348A" w:rsidRPr="00A03FD6">
        <w:rPr>
          <w:sz w:val="22"/>
          <w:szCs w:val="22"/>
        </w:rPr>
        <w:t xml:space="preserve">: </w:t>
      </w:r>
      <w:r w:rsidR="006003C3">
        <w:rPr>
          <w:sz w:val="22"/>
          <w:szCs w:val="22"/>
        </w:rPr>
        <w:t xml:space="preserve"> </w:t>
      </w:r>
      <w:r w:rsidR="00A1348A" w:rsidRPr="00A03FD6">
        <w:rPr>
          <w:i/>
          <w:sz w:val="22"/>
          <w:szCs w:val="22"/>
        </w:rPr>
        <w:t>Reporting Requirements</w:t>
      </w:r>
      <w:r w:rsidR="00CC6963" w:rsidRPr="00A03FD6">
        <w:rPr>
          <w:sz w:val="22"/>
          <w:szCs w:val="22"/>
        </w:rPr>
        <w:t>.</w:t>
      </w:r>
      <w:r w:rsidR="00CC6963" w:rsidRPr="00A03FD6">
        <w:rPr>
          <w:sz w:val="22"/>
          <w:szCs w:val="22"/>
          <w:u w:val="single"/>
        </w:rPr>
        <w:t xml:space="preserve">  </w:t>
      </w:r>
    </w:p>
    <w:p w14:paraId="0B056869" w14:textId="77777777" w:rsidR="00FB6110" w:rsidRPr="00A03FD6" w:rsidRDefault="00FB6110" w:rsidP="00E27D3D">
      <w:pPr>
        <w:ind w:left="720"/>
        <w:rPr>
          <w:sz w:val="22"/>
          <w:szCs w:val="22"/>
          <w:u w:val="single"/>
        </w:rPr>
      </w:pPr>
    </w:p>
    <w:p w14:paraId="072F5FF8" w14:textId="77777777" w:rsidR="00C41997" w:rsidRPr="00A03FD6" w:rsidRDefault="00C41997" w:rsidP="00C41997">
      <w:pPr>
        <w:rPr>
          <w:sz w:val="22"/>
          <w:szCs w:val="22"/>
        </w:rPr>
      </w:pPr>
      <w:r w:rsidRPr="00A03FD6">
        <w:rPr>
          <w:sz w:val="22"/>
          <w:szCs w:val="22"/>
        </w:rPr>
        <w:t>(101 CMR 446.03</w:t>
      </w:r>
      <w:r w:rsidR="0020734A" w:rsidRPr="00A03FD6">
        <w:rPr>
          <w:sz w:val="22"/>
          <w:szCs w:val="22"/>
        </w:rPr>
        <w:t>(</w:t>
      </w:r>
      <w:r w:rsidR="00170BD5" w:rsidRPr="00A03FD6">
        <w:rPr>
          <w:sz w:val="22"/>
          <w:szCs w:val="22"/>
        </w:rPr>
        <w:t>4</w:t>
      </w:r>
      <w:r w:rsidR="0020734A" w:rsidRPr="00A03FD6">
        <w:rPr>
          <w:sz w:val="22"/>
          <w:szCs w:val="22"/>
        </w:rPr>
        <w:t xml:space="preserve">) </w:t>
      </w:r>
      <w:r w:rsidRPr="00A03FD6">
        <w:rPr>
          <w:sz w:val="22"/>
          <w:szCs w:val="22"/>
        </w:rPr>
        <w:t>Reserved)</w:t>
      </w:r>
      <w:r w:rsidR="0020734A" w:rsidRPr="00A03FD6">
        <w:rPr>
          <w:sz w:val="22"/>
          <w:szCs w:val="22"/>
        </w:rPr>
        <w:t xml:space="preserve"> </w:t>
      </w:r>
    </w:p>
    <w:p w14:paraId="7D6A9EE3" w14:textId="77777777" w:rsidR="00593E75" w:rsidRPr="00A03FD6" w:rsidRDefault="00593E75" w:rsidP="00F96EBC">
      <w:pPr>
        <w:tabs>
          <w:tab w:val="left" w:pos="-720"/>
          <w:tab w:val="left" w:pos="0"/>
        </w:tabs>
        <w:suppressAutoHyphens/>
        <w:ind w:left="720"/>
        <w:rPr>
          <w:sz w:val="22"/>
          <w:szCs w:val="22"/>
        </w:rPr>
      </w:pPr>
    </w:p>
    <w:p w14:paraId="1303127F" w14:textId="10FE0DF8" w:rsidR="00B05C49" w:rsidRPr="00A03FD6" w:rsidRDefault="002E0532" w:rsidP="00F96EBC">
      <w:pPr>
        <w:tabs>
          <w:tab w:val="left" w:pos="-720"/>
          <w:tab w:val="left" w:pos="0"/>
        </w:tabs>
        <w:suppressAutoHyphens/>
        <w:ind w:left="720"/>
        <w:rPr>
          <w:sz w:val="22"/>
          <w:szCs w:val="22"/>
        </w:rPr>
      </w:pPr>
      <w:r w:rsidRPr="00A03FD6">
        <w:rPr>
          <w:sz w:val="22"/>
          <w:szCs w:val="22"/>
        </w:rPr>
        <w:t>(</w:t>
      </w:r>
      <w:r w:rsidR="00170BD5" w:rsidRPr="00A03FD6">
        <w:rPr>
          <w:sz w:val="22"/>
          <w:szCs w:val="22"/>
        </w:rPr>
        <w:t>5</w:t>
      </w:r>
      <w:r w:rsidRPr="00A03FD6">
        <w:rPr>
          <w:sz w:val="22"/>
          <w:szCs w:val="22"/>
        </w:rPr>
        <w:t xml:space="preserve">)  </w:t>
      </w:r>
      <w:r w:rsidR="00F81C12" w:rsidRPr="00A03FD6">
        <w:rPr>
          <w:sz w:val="22"/>
          <w:szCs w:val="22"/>
          <w:u w:val="single"/>
        </w:rPr>
        <w:t>Prescribed Drugs</w:t>
      </w:r>
      <w:r w:rsidR="00F96EBC" w:rsidRPr="00A03FD6">
        <w:rPr>
          <w:sz w:val="22"/>
          <w:szCs w:val="22"/>
        </w:rPr>
        <w:t>.</w:t>
      </w:r>
      <w:r w:rsidR="00F81C12" w:rsidRPr="00A03FD6">
        <w:rPr>
          <w:sz w:val="22"/>
          <w:szCs w:val="22"/>
        </w:rPr>
        <w:t xml:space="preserve"> </w:t>
      </w:r>
    </w:p>
    <w:p w14:paraId="77E94203" w14:textId="08A4C660" w:rsidR="00307C74" w:rsidRPr="00A03FD6" w:rsidRDefault="00BB7DD9" w:rsidP="00F96EBC">
      <w:pPr>
        <w:ind w:left="1080"/>
        <w:rPr>
          <w:sz w:val="22"/>
          <w:szCs w:val="22"/>
        </w:rPr>
      </w:pPr>
      <w:r w:rsidRPr="00A03FD6">
        <w:rPr>
          <w:sz w:val="22"/>
          <w:szCs w:val="22"/>
        </w:rPr>
        <w:t>(</w:t>
      </w:r>
      <w:r w:rsidR="00A1348A" w:rsidRPr="00A03FD6">
        <w:rPr>
          <w:sz w:val="22"/>
          <w:szCs w:val="22"/>
        </w:rPr>
        <w:t>a</w:t>
      </w:r>
      <w:r w:rsidRPr="00A03FD6">
        <w:rPr>
          <w:sz w:val="22"/>
          <w:szCs w:val="22"/>
        </w:rPr>
        <w:t>)</w:t>
      </w:r>
      <w:r w:rsidR="00A1348A" w:rsidRPr="00A03FD6">
        <w:rPr>
          <w:sz w:val="22"/>
          <w:szCs w:val="22"/>
        </w:rPr>
        <w:t xml:space="preserve"> </w:t>
      </w:r>
      <w:r w:rsidR="00F77D66" w:rsidRPr="00A03FD6">
        <w:rPr>
          <w:sz w:val="22"/>
          <w:szCs w:val="22"/>
        </w:rPr>
        <w:t xml:space="preserve"> </w:t>
      </w:r>
      <w:r w:rsidR="00170BD5" w:rsidRPr="00A03FD6">
        <w:rPr>
          <w:sz w:val="22"/>
          <w:szCs w:val="22"/>
          <w:u w:val="single"/>
        </w:rPr>
        <w:t>Defined Terms</w:t>
      </w:r>
      <w:r w:rsidR="00170BD5" w:rsidRPr="00A03FD6">
        <w:rPr>
          <w:sz w:val="22"/>
          <w:szCs w:val="22"/>
        </w:rPr>
        <w:t xml:space="preserve">. </w:t>
      </w:r>
      <w:r w:rsidR="00F77D66" w:rsidRPr="00A03FD6">
        <w:rPr>
          <w:sz w:val="22"/>
          <w:szCs w:val="22"/>
        </w:rPr>
        <w:t xml:space="preserve"> </w:t>
      </w:r>
      <w:r w:rsidRPr="00A03FD6">
        <w:rPr>
          <w:sz w:val="22"/>
          <w:szCs w:val="22"/>
        </w:rPr>
        <w:t>T</w:t>
      </w:r>
      <w:r w:rsidR="004321FC" w:rsidRPr="00A03FD6">
        <w:rPr>
          <w:sz w:val="22"/>
          <w:szCs w:val="22"/>
        </w:rPr>
        <w:t>erms used in 101 CMR 446.03(</w:t>
      </w:r>
      <w:r w:rsidR="004A3204" w:rsidRPr="00A03FD6">
        <w:rPr>
          <w:sz w:val="22"/>
          <w:szCs w:val="22"/>
        </w:rPr>
        <w:t>5</w:t>
      </w:r>
      <w:r w:rsidR="004321FC" w:rsidRPr="00A03FD6">
        <w:rPr>
          <w:sz w:val="22"/>
          <w:szCs w:val="22"/>
        </w:rPr>
        <w:t>) that have not been defined elsewhere in 101 CMR 446</w:t>
      </w:r>
      <w:r w:rsidR="00A1348A" w:rsidRPr="00A03FD6">
        <w:rPr>
          <w:sz w:val="22"/>
          <w:szCs w:val="22"/>
        </w:rPr>
        <w:t>.00</w:t>
      </w:r>
      <w:r w:rsidR="004321FC" w:rsidRPr="00A03FD6">
        <w:rPr>
          <w:sz w:val="22"/>
          <w:szCs w:val="22"/>
        </w:rPr>
        <w:t xml:space="preserve"> have the meanings </w:t>
      </w:r>
      <w:r w:rsidR="00A1348A" w:rsidRPr="00A03FD6">
        <w:rPr>
          <w:sz w:val="22"/>
          <w:szCs w:val="22"/>
        </w:rPr>
        <w:t>in</w:t>
      </w:r>
      <w:r w:rsidR="004321FC" w:rsidRPr="00A03FD6">
        <w:rPr>
          <w:sz w:val="22"/>
          <w:szCs w:val="22"/>
        </w:rPr>
        <w:t xml:space="preserve"> 101 CMR 3</w:t>
      </w:r>
      <w:r w:rsidR="007D071E" w:rsidRPr="00A03FD6">
        <w:rPr>
          <w:sz w:val="22"/>
          <w:szCs w:val="22"/>
        </w:rPr>
        <w:t>31</w:t>
      </w:r>
      <w:r w:rsidR="004321FC" w:rsidRPr="00A03FD6">
        <w:rPr>
          <w:sz w:val="22"/>
          <w:szCs w:val="22"/>
        </w:rPr>
        <w:t>.02</w:t>
      </w:r>
      <w:r w:rsidR="00A1348A" w:rsidRPr="00A03FD6">
        <w:rPr>
          <w:sz w:val="22"/>
          <w:szCs w:val="22"/>
        </w:rPr>
        <w:t xml:space="preserve">: </w:t>
      </w:r>
      <w:r w:rsidR="006003C3">
        <w:rPr>
          <w:sz w:val="22"/>
          <w:szCs w:val="22"/>
        </w:rPr>
        <w:t xml:space="preserve"> </w:t>
      </w:r>
      <w:r w:rsidR="00A1348A" w:rsidRPr="00A03FD6">
        <w:rPr>
          <w:i/>
          <w:sz w:val="22"/>
          <w:szCs w:val="22"/>
        </w:rPr>
        <w:t>General Definitions</w:t>
      </w:r>
      <w:r w:rsidR="00A46EDC" w:rsidRPr="00A03FD6">
        <w:rPr>
          <w:sz w:val="22"/>
          <w:szCs w:val="22"/>
        </w:rPr>
        <w:t>.</w:t>
      </w:r>
    </w:p>
    <w:p w14:paraId="4A966FEA" w14:textId="623CC550" w:rsidR="00170BD5" w:rsidRPr="00A03FD6" w:rsidRDefault="00BB7DD9" w:rsidP="00F96EBC">
      <w:pPr>
        <w:ind w:left="1080"/>
        <w:rPr>
          <w:sz w:val="22"/>
          <w:szCs w:val="22"/>
        </w:rPr>
      </w:pPr>
      <w:r w:rsidRPr="00A03FD6">
        <w:rPr>
          <w:sz w:val="22"/>
          <w:szCs w:val="22"/>
        </w:rPr>
        <w:t>(</w:t>
      </w:r>
      <w:r w:rsidR="00A1348A" w:rsidRPr="00A03FD6">
        <w:rPr>
          <w:sz w:val="22"/>
          <w:szCs w:val="22"/>
        </w:rPr>
        <w:t>b</w:t>
      </w:r>
      <w:r w:rsidRPr="00A03FD6">
        <w:rPr>
          <w:sz w:val="22"/>
          <w:szCs w:val="22"/>
        </w:rPr>
        <w:t>)</w:t>
      </w:r>
      <w:r w:rsidR="00A1348A" w:rsidRPr="00A03FD6">
        <w:rPr>
          <w:sz w:val="22"/>
          <w:szCs w:val="22"/>
        </w:rPr>
        <w:t xml:space="preserve"> </w:t>
      </w:r>
      <w:r w:rsidR="00F77D66" w:rsidRPr="00A03FD6">
        <w:rPr>
          <w:sz w:val="22"/>
          <w:szCs w:val="22"/>
        </w:rPr>
        <w:t xml:space="preserve"> </w:t>
      </w:r>
      <w:r w:rsidR="00B05C49" w:rsidRPr="00A03FD6">
        <w:rPr>
          <w:sz w:val="22"/>
          <w:szCs w:val="22"/>
          <w:u w:val="single"/>
        </w:rPr>
        <w:t>Delivery Fee</w:t>
      </w:r>
      <w:r w:rsidR="00B05C49" w:rsidRPr="00A03FD6">
        <w:rPr>
          <w:sz w:val="22"/>
          <w:szCs w:val="22"/>
        </w:rPr>
        <w:t xml:space="preserve">. </w:t>
      </w:r>
      <w:r w:rsidR="00F77D66" w:rsidRPr="00A03FD6">
        <w:rPr>
          <w:sz w:val="22"/>
          <w:szCs w:val="22"/>
        </w:rPr>
        <w:t xml:space="preserve"> </w:t>
      </w:r>
      <w:r w:rsidR="00F81C12" w:rsidRPr="00A03FD6">
        <w:rPr>
          <w:sz w:val="22"/>
          <w:szCs w:val="22"/>
        </w:rPr>
        <w:t xml:space="preserve">Eligible providers will receive a payment adjustment to the professional </w:t>
      </w:r>
      <w:r w:rsidRPr="00A03FD6">
        <w:rPr>
          <w:sz w:val="22"/>
          <w:szCs w:val="22"/>
        </w:rPr>
        <w:t xml:space="preserve">dispensing fee </w:t>
      </w:r>
      <w:r w:rsidR="00F81C12" w:rsidRPr="00A03FD6">
        <w:rPr>
          <w:sz w:val="22"/>
          <w:szCs w:val="22"/>
        </w:rPr>
        <w:t xml:space="preserve">when medications are delivered to a personal residence (including homeless shelters). The payment adjustment will be the lower of the provider’s </w:t>
      </w:r>
      <w:r w:rsidR="00530D86" w:rsidRPr="00A03FD6">
        <w:rPr>
          <w:sz w:val="22"/>
          <w:szCs w:val="22"/>
        </w:rPr>
        <w:t xml:space="preserve">usual </w:t>
      </w:r>
      <w:r w:rsidR="00F81C12" w:rsidRPr="00A03FD6">
        <w:rPr>
          <w:sz w:val="22"/>
          <w:szCs w:val="22"/>
        </w:rPr>
        <w:t xml:space="preserve">and </w:t>
      </w:r>
      <w:r w:rsidR="00530D86" w:rsidRPr="00A03FD6">
        <w:rPr>
          <w:sz w:val="22"/>
          <w:szCs w:val="22"/>
        </w:rPr>
        <w:t xml:space="preserve">customary charge </w:t>
      </w:r>
      <w:r w:rsidR="00F81C12" w:rsidRPr="00A03FD6">
        <w:rPr>
          <w:sz w:val="22"/>
          <w:szCs w:val="22"/>
        </w:rPr>
        <w:t xml:space="preserve">for prescription delivery or </w:t>
      </w:r>
      <w:proofErr w:type="gramStart"/>
      <w:r w:rsidR="00F81C12" w:rsidRPr="00A03FD6">
        <w:rPr>
          <w:sz w:val="22"/>
          <w:szCs w:val="22"/>
        </w:rPr>
        <w:t>$8.00, and</w:t>
      </w:r>
      <w:proofErr w:type="gramEnd"/>
      <w:r w:rsidR="00F81C12" w:rsidRPr="00A03FD6">
        <w:rPr>
          <w:sz w:val="22"/>
          <w:szCs w:val="22"/>
        </w:rPr>
        <w:t xml:space="preserve"> will be made only when </w:t>
      </w:r>
      <w:r w:rsidR="004410B6" w:rsidRPr="00A03FD6">
        <w:rPr>
          <w:sz w:val="22"/>
          <w:szCs w:val="22"/>
        </w:rPr>
        <w:t xml:space="preserve">the MassHealth agency </w:t>
      </w:r>
      <w:r w:rsidR="00F81C12" w:rsidRPr="00A03FD6">
        <w:rPr>
          <w:sz w:val="22"/>
          <w:szCs w:val="22"/>
        </w:rPr>
        <w:t xml:space="preserve">is the primary payer. </w:t>
      </w:r>
      <w:r w:rsidR="00A60C09" w:rsidRPr="00A03FD6">
        <w:rPr>
          <w:sz w:val="22"/>
          <w:szCs w:val="22"/>
        </w:rPr>
        <w:t>Payment of this fee by MassHealth will occur only in such circu</w:t>
      </w:r>
      <w:r w:rsidR="00FA4F7B" w:rsidRPr="00A03FD6">
        <w:rPr>
          <w:sz w:val="22"/>
          <w:szCs w:val="22"/>
        </w:rPr>
        <w:t>mst</w:t>
      </w:r>
      <w:r w:rsidR="00A60C09" w:rsidRPr="00A03FD6">
        <w:rPr>
          <w:sz w:val="22"/>
          <w:szCs w:val="22"/>
        </w:rPr>
        <w:t xml:space="preserve">ances as </w:t>
      </w:r>
      <w:r w:rsidR="00C41997" w:rsidRPr="00A03FD6">
        <w:rPr>
          <w:sz w:val="22"/>
          <w:szCs w:val="22"/>
        </w:rPr>
        <w:t>i</w:t>
      </w:r>
      <w:r w:rsidR="00A60C09" w:rsidRPr="00A03FD6">
        <w:rPr>
          <w:sz w:val="22"/>
          <w:szCs w:val="22"/>
        </w:rPr>
        <w:t>s designated by Pharmacy Facts, provider bulletin, or other written issuance from the MassHealth agency</w:t>
      </w:r>
      <w:r w:rsidR="00F81C12" w:rsidRPr="00A03FD6">
        <w:rPr>
          <w:sz w:val="22"/>
          <w:szCs w:val="22"/>
        </w:rPr>
        <w:t>.</w:t>
      </w:r>
    </w:p>
    <w:p w14:paraId="0850438C" w14:textId="402955AC" w:rsidR="002E0532" w:rsidRPr="00A03FD6" w:rsidRDefault="00B30F21" w:rsidP="00F96EBC">
      <w:pPr>
        <w:tabs>
          <w:tab w:val="left" w:pos="-720"/>
          <w:tab w:val="left" w:pos="720"/>
        </w:tabs>
        <w:suppressAutoHyphens/>
        <w:ind w:left="1080"/>
        <w:rPr>
          <w:sz w:val="22"/>
          <w:szCs w:val="22"/>
        </w:rPr>
      </w:pPr>
      <w:r w:rsidRPr="00A03FD6">
        <w:rPr>
          <w:sz w:val="22"/>
          <w:szCs w:val="22"/>
        </w:rPr>
        <w:t>(</w:t>
      </w:r>
      <w:r w:rsidR="00FD54CD" w:rsidRPr="00A03FD6">
        <w:rPr>
          <w:sz w:val="22"/>
          <w:szCs w:val="22"/>
        </w:rPr>
        <w:t>c</w:t>
      </w:r>
      <w:r w:rsidRPr="00A03FD6">
        <w:rPr>
          <w:sz w:val="22"/>
          <w:szCs w:val="22"/>
        </w:rPr>
        <w:t>)</w:t>
      </w:r>
      <w:r w:rsidR="00FD54CD" w:rsidRPr="00A03FD6">
        <w:rPr>
          <w:sz w:val="22"/>
          <w:szCs w:val="22"/>
        </w:rPr>
        <w:t xml:space="preserve"> </w:t>
      </w:r>
      <w:r w:rsidR="00F77D66" w:rsidRPr="00A03FD6">
        <w:rPr>
          <w:sz w:val="22"/>
          <w:szCs w:val="22"/>
        </w:rPr>
        <w:t xml:space="preserve"> </w:t>
      </w:r>
      <w:r w:rsidR="00170BD5" w:rsidRPr="00A03FD6">
        <w:rPr>
          <w:sz w:val="22"/>
          <w:szCs w:val="22"/>
          <w:u w:val="single"/>
        </w:rPr>
        <w:t>Reporting Requirements</w:t>
      </w:r>
      <w:r w:rsidR="00170BD5" w:rsidRPr="00A03FD6">
        <w:rPr>
          <w:sz w:val="22"/>
          <w:szCs w:val="22"/>
        </w:rPr>
        <w:t xml:space="preserve">.  Reporting requirements </w:t>
      </w:r>
      <w:r w:rsidR="00E52721" w:rsidRPr="00A03FD6">
        <w:rPr>
          <w:sz w:val="22"/>
          <w:szCs w:val="22"/>
        </w:rPr>
        <w:t>for 101 CMR 446.0</w:t>
      </w:r>
      <w:r w:rsidR="00DD72EF" w:rsidRPr="00A03FD6">
        <w:rPr>
          <w:sz w:val="22"/>
          <w:szCs w:val="22"/>
        </w:rPr>
        <w:t>3</w:t>
      </w:r>
      <w:r w:rsidR="00E52721" w:rsidRPr="00A03FD6">
        <w:rPr>
          <w:sz w:val="22"/>
          <w:szCs w:val="22"/>
        </w:rPr>
        <w:t xml:space="preserve">(5) </w:t>
      </w:r>
      <w:r w:rsidR="00170BD5" w:rsidRPr="00A03FD6">
        <w:rPr>
          <w:sz w:val="22"/>
          <w:szCs w:val="22"/>
        </w:rPr>
        <w:t xml:space="preserve">are </w:t>
      </w:r>
      <w:r w:rsidR="00E52721" w:rsidRPr="00A03FD6">
        <w:rPr>
          <w:sz w:val="22"/>
          <w:szCs w:val="22"/>
        </w:rPr>
        <w:t>those in</w:t>
      </w:r>
      <w:r w:rsidR="00170BD5" w:rsidRPr="00A03FD6">
        <w:rPr>
          <w:sz w:val="22"/>
          <w:szCs w:val="22"/>
        </w:rPr>
        <w:t xml:space="preserve"> 101 CMR 331.03</w:t>
      </w:r>
      <w:r w:rsidR="00FD54CD" w:rsidRPr="00A03FD6">
        <w:rPr>
          <w:sz w:val="22"/>
          <w:szCs w:val="22"/>
        </w:rPr>
        <w:t xml:space="preserve">: </w:t>
      </w:r>
      <w:r w:rsidR="00FD54CD" w:rsidRPr="00A03FD6">
        <w:rPr>
          <w:i/>
          <w:sz w:val="22"/>
          <w:szCs w:val="22"/>
        </w:rPr>
        <w:t>Reporting Requirements</w:t>
      </w:r>
      <w:r w:rsidR="00170BD5" w:rsidRPr="00A03FD6">
        <w:rPr>
          <w:sz w:val="22"/>
          <w:szCs w:val="22"/>
        </w:rPr>
        <w:t xml:space="preserve">.  </w:t>
      </w:r>
    </w:p>
    <w:p w14:paraId="0A3BF5AE" w14:textId="77777777" w:rsidR="002A1C35" w:rsidRPr="00A03FD6" w:rsidRDefault="002A1C35">
      <w:pPr>
        <w:tabs>
          <w:tab w:val="left" w:pos="-720"/>
        </w:tabs>
        <w:suppressAutoHyphens/>
        <w:rPr>
          <w:sz w:val="22"/>
          <w:szCs w:val="22"/>
        </w:rPr>
      </w:pPr>
    </w:p>
    <w:p w14:paraId="2979C840" w14:textId="77777777" w:rsidR="00C41997" w:rsidRPr="00A03FD6" w:rsidRDefault="00C41997" w:rsidP="004435E1">
      <w:pPr>
        <w:tabs>
          <w:tab w:val="left" w:pos="-720"/>
        </w:tabs>
        <w:suppressAutoHyphens/>
        <w:rPr>
          <w:sz w:val="22"/>
          <w:szCs w:val="22"/>
        </w:rPr>
      </w:pPr>
      <w:r w:rsidRPr="00A03FD6">
        <w:rPr>
          <w:sz w:val="22"/>
          <w:szCs w:val="22"/>
        </w:rPr>
        <w:t>(101 CMR 446.03</w:t>
      </w:r>
      <w:r w:rsidR="00F42804" w:rsidRPr="00A03FD6">
        <w:rPr>
          <w:sz w:val="22"/>
          <w:szCs w:val="22"/>
        </w:rPr>
        <w:t>(</w:t>
      </w:r>
      <w:r w:rsidR="00170BD5" w:rsidRPr="00A03FD6">
        <w:rPr>
          <w:sz w:val="22"/>
          <w:szCs w:val="22"/>
        </w:rPr>
        <w:t>6</w:t>
      </w:r>
      <w:r w:rsidR="00F42804" w:rsidRPr="00A03FD6">
        <w:rPr>
          <w:sz w:val="22"/>
          <w:szCs w:val="22"/>
        </w:rPr>
        <w:t>)</w:t>
      </w:r>
      <w:r w:rsidRPr="00A03FD6">
        <w:rPr>
          <w:sz w:val="22"/>
          <w:szCs w:val="22"/>
        </w:rPr>
        <w:t xml:space="preserve"> Reserved)</w:t>
      </w:r>
      <w:r w:rsidR="00F42804" w:rsidRPr="00A03FD6">
        <w:rPr>
          <w:sz w:val="22"/>
          <w:szCs w:val="22"/>
        </w:rPr>
        <w:t xml:space="preserve"> </w:t>
      </w:r>
      <w:r w:rsidR="005C7914" w:rsidRPr="00A03FD6">
        <w:rPr>
          <w:sz w:val="22"/>
          <w:szCs w:val="22"/>
        </w:rPr>
        <w:t xml:space="preserve"> </w:t>
      </w:r>
    </w:p>
    <w:p w14:paraId="75BB402A" w14:textId="77777777" w:rsidR="00742745" w:rsidRPr="00A03FD6" w:rsidRDefault="00742745" w:rsidP="003F2699">
      <w:pPr>
        <w:tabs>
          <w:tab w:val="left" w:pos="-720"/>
        </w:tabs>
        <w:suppressAutoHyphens/>
        <w:ind w:left="720"/>
        <w:rPr>
          <w:sz w:val="22"/>
          <w:szCs w:val="22"/>
        </w:rPr>
      </w:pPr>
    </w:p>
    <w:p w14:paraId="5B20791D" w14:textId="1CED55CA" w:rsidR="003F2699" w:rsidRPr="00A03FD6" w:rsidRDefault="003F2699" w:rsidP="003F2699">
      <w:pPr>
        <w:tabs>
          <w:tab w:val="left" w:pos="-720"/>
        </w:tabs>
        <w:suppressAutoHyphens/>
        <w:ind w:left="720"/>
        <w:rPr>
          <w:sz w:val="22"/>
          <w:szCs w:val="22"/>
        </w:rPr>
      </w:pPr>
      <w:r w:rsidRPr="00A03FD6">
        <w:rPr>
          <w:sz w:val="22"/>
          <w:szCs w:val="22"/>
        </w:rPr>
        <w:t xml:space="preserve">(7)  </w:t>
      </w:r>
      <w:r w:rsidRPr="00A03FD6">
        <w:rPr>
          <w:sz w:val="22"/>
          <w:szCs w:val="22"/>
          <w:u w:val="single"/>
        </w:rPr>
        <w:t>Allowable Fee for In-</w:t>
      </w:r>
      <w:r w:rsidR="00742745" w:rsidRPr="00A03FD6">
        <w:rPr>
          <w:sz w:val="22"/>
          <w:szCs w:val="22"/>
          <w:u w:val="single"/>
        </w:rPr>
        <w:t>h</w:t>
      </w:r>
      <w:r w:rsidRPr="00A03FD6">
        <w:rPr>
          <w:sz w:val="22"/>
          <w:szCs w:val="22"/>
          <w:u w:val="single"/>
        </w:rPr>
        <w:t>ome Vaccination Services and Waste Prevention Vaccinations Provided Pursuant to a Contract Between a</w:t>
      </w:r>
      <w:r w:rsidR="00CB2304" w:rsidRPr="00A03FD6">
        <w:rPr>
          <w:sz w:val="22"/>
          <w:szCs w:val="22"/>
          <w:u w:val="single"/>
        </w:rPr>
        <w:t>n</w:t>
      </w:r>
      <w:r w:rsidRPr="00A03FD6">
        <w:rPr>
          <w:sz w:val="22"/>
          <w:szCs w:val="22"/>
          <w:u w:val="single"/>
        </w:rPr>
        <w:t xml:space="preserve"> </w:t>
      </w:r>
      <w:r w:rsidR="00CB2304" w:rsidRPr="00A03FD6">
        <w:rPr>
          <w:sz w:val="22"/>
          <w:szCs w:val="22"/>
          <w:u w:val="single"/>
        </w:rPr>
        <w:t>In-home</w:t>
      </w:r>
      <w:r w:rsidRPr="00A03FD6">
        <w:rPr>
          <w:sz w:val="22"/>
          <w:szCs w:val="22"/>
          <w:u w:val="single"/>
        </w:rPr>
        <w:t xml:space="preserve"> Vaccination Provider and a Governmental Unit</w:t>
      </w:r>
      <w:r w:rsidRPr="00A03FD6">
        <w:rPr>
          <w:sz w:val="22"/>
          <w:szCs w:val="22"/>
        </w:rPr>
        <w:t xml:space="preserve">.  </w:t>
      </w:r>
    </w:p>
    <w:p w14:paraId="4B0A7A81" w14:textId="10EF0CE9" w:rsidR="003F2699" w:rsidRPr="00A03FD6" w:rsidRDefault="003F2699" w:rsidP="003F2699">
      <w:pPr>
        <w:tabs>
          <w:tab w:val="left" w:pos="-720"/>
        </w:tabs>
        <w:suppressAutoHyphens/>
        <w:ind w:left="1080"/>
        <w:rPr>
          <w:sz w:val="22"/>
          <w:szCs w:val="22"/>
        </w:rPr>
      </w:pPr>
      <w:r w:rsidRPr="00A03FD6">
        <w:rPr>
          <w:sz w:val="22"/>
          <w:szCs w:val="22"/>
        </w:rPr>
        <w:t xml:space="preserve"> (a)</w:t>
      </w:r>
      <w:r w:rsidR="00FB6110" w:rsidRPr="00A03FD6">
        <w:rPr>
          <w:sz w:val="22"/>
          <w:szCs w:val="22"/>
        </w:rPr>
        <w:t xml:space="preserve"> </w:t>
      </w:r>
      <w:r w:rsidRPr="00A03FD6">
        <w:rPr>
          <w:sz w:val="22"/>
          <w:szCs w:val="22"/>
        </w:rPr>
        <w:t xml:space="preserve"> </w:t>
      </w:r>
      <w:r w:rsidRPr="00A03FD6">
        <w:rPr>
          <w:sz w:val="22"/>
          <w:szCs w:val="22"/>
          <w:u w:val="single"/>
        </w:rPr>
        <w:t>General Rate Determination</w:t>
      </w:r>
      <w:r w:rsidRPr="00A03FD6">
        <w:rPr>
          <w:sz w:val="22"/>
          <w:szCs w:val="22"/>
        </w:rPr>
        <w:t>.  Rates of payment for services for which 101 CMR 446.</w:t>
      </w:r>
      <w:r w:rsidR="00B53570" w:rsidRPr="00A03FD6">
        <w:rPr>
          <w:sz w:val="22"/>
          <w:szCs w:val="22"/>
        </w:rPr>
        <w:t>03(7) applies are the lowest of</w:t>
      </w:r>
    </w:p>
    <w:p w14:paraId="68D03862" w14:textId="0942EB48" w:rsidR="003F2699" w:rsidRPr="00A03FD6" w:rsidRDefault="003F2699" w:rsidP="003F2699">
      <w:pPr>
        <w:tabs>
          <w:tab w:val="left" w:pos="-720"/>
        </w:tabs>
        <w:suppressAutoHyphens/>
        <w:ind w:left="1440"/>
        <w:rPr>
          <w:sz w:val="22"/>
          <w:szCs w:val="22"/>
        </w:rPr>
      </w:pPr>
      <w:r w:rsidRPr="00A03FD6">
        <w:rPr>
          <w:sz w:val="22"/>
          <w:szCs w:val="22"/>
        </w:rPr>
        <w:t xml:space="preserve">1. </w:t>
      </w:r>
      <w:r w:rsidR="00B53570" w:rsidRPr="00A03FD6">
        <w:rPr>
          <w:sz w:val="22"/>
          <w:szCs w:val="22"/>
        </w:rPr>
        <w:t xml:space="preserve"> </w:t>
      </w:r>
      <w:r w:rsidRPr="00A03FD6">
        <w:rPr>
          <w:sz w:val="22"/>
          <w:szCs w:val="22"/>
        </w:rPr>
        <w:t xml:space="preserve">the </w:t>
      </w:r>
      <w:r w:rsidR="00E707A6" w:rsidRPr="00A03FD6">
        <w:rPr>
          <w:sz w:val="22"/>
          <w:szCs w:val="22"/>
        </w:rPr>
        <w:t>in-home</w:t>
      </w:r>
      <w:r w:rsidRPr="00A03FD6">
        <w:rPr>
          <w:sz w:val="22"/>
          <w:szCs w:val="22"/>
        </w:rPr>
        <w:t xml:space="preserve"> vaccination provider’s usual fee to patients other than publicly aided </w:t>
      </w:r>
      <w:proofErr w:type="gramStart"/>
      <w:r w:rsidRPr="00A03FD6">
        <w:rPr>
          <w:sz w:val="22"/>
          <w:szCs w:val="22"/>
        </w:rPr>
        <w:t>individuals;</w:t>
      </w:r>
      <w:proofErr w:type="gramEnd"/>
    </w:p>
    <w:p w14:paraId="170FE38B" w14:textId="65DAAA2B" w:rsidR="003F2699" w:rsidRPr="00A03FD6" w:rsidRDefault="003F2699" w:rsidP="003F2699">
      <w:pPr>
        <w:tabs>
          <w:tab w:val="left" w:pos="-720"/>
        </w:tabs>
        <w:suppressAutoHyphens/>
        <w:ind w:left="1440"/>
        <w:rPr>
          <w:sz w:val="22"/>
          <w:szCs w:val="22"/>
        </w:rPr>
      </w:pPr>
      <w:r w:rsidRPr="00A03FD6">
        <w:rPr>
          <w:sz w:val="22"/>
          <w:szCs w:val="22"/>
        </w:rPr>
        <w:t xml:space="preserve">2. </w:t>
      </w:r>
      <w:r w:rsidR="00B53570" w:rsidRPr="00A03FD6">
        <w:rPr>
          <w:sz w:val="22"/>
          <w:szCs w:val="22"/>
        </w:rPr>
        <w:t xml:space="preserve"> </w:t>
      </w:r>
      <w:r w:rsidRPr="00A03FD6">
        <w:rPr>
          <w:sz w:val="22"/>
          <w:szCs w:val="22"/>
        </w:rPr>
        <w:t xml:space="preserve">the </w:t>
      </w:r>
      <w:r w:rsidR="00E707A6" w:rsidRPr="00A03FD6">
        <w:rPr>
          <w:sz w:val="22"/>
          <w:szCs w:val="22"/>
        </w:rPr>
        <w:t>in-home</w:t>
      </w:r>
      <w:r w:rsidRPr="00A03FD6">
        <w:rPr>
          <w:sz w:val="22"/>
          <w:szCs w:val="22"/>
        </w:rPr>
        <w:t xml:space="preserve"> vaccination provider’s actual charge submitted; or</w:t>
      </w:r>
    </w:p>
    <w:p w14:paraId="5798FA1A" w14:textId="63F85584" w:rsidR="003F2699" w:rsidRPr="00A03FD6" w:rsidRDefault="003F2699" w:rsidP="003F2699">
      <w:pPr>
        <w:tabs>
          <w:tab w:val="left" w:pos="-720"/>
        </w:tabs>
        <w:suppressAutoHyphens/>
        <w:ind w:left="1440"/>
        <w:rPr>
          <w:sz w:val="22"/>
          <w:szCs w:val="22"/>
        </w:rPr>
      </w:pPr>
      <w:r w:rsidRPr="00A03FD6">
        <w:rPr>
          <w:sz w:val="22"/>
          <w:szCs w:val="22"/>
        </w:rPr>
        <w:t xml:space="preserve">3. </w:t>
      </w:r>
      <w:r w:rsidR="00B53570" w:rsidRPr="00A03FD6">
        <w:rPr>
          <w:sz w:val="22"/>
          <w:szCs w:val="22"/>
        </w:rPr>
        <w:t xml:space="preserve"> </w:t>
      </w:r>
      <w:r w:rsidRPr="00A03FD6">
        <w:rPr>
          <w:sz w:val="22"/>
          <w:szCs w:val="22"/>
        </w:rPr>
        <w:t xml:space="preserve">the schedule of allowable fees set forth in 101 CMR 446.03(7)(c), taking into account appropriate modifiers and any other applicable rate provisions in accordance with 101 CMR 446.03(7). </w:t>
      </w:r>
    </w:p>
    <w:p w14:paraId="2A18B07C" w14:textId="7CED29D7" w:rsidR="003F2699" w:rsidRPr="00A03FD6" w:rsidRDefault="003F2699" w:rsidP="003F2699">
      <w:pPr>
        <w:tabs>
          <w:tab w:val="left" w:pos="-720"/>
        </w:tabs>
        <w:suppressAutoHyphens/>
        <w:ind w:left="1080"/>
        <w:rPr>
          <w:sz w:val="22"/>
          <w:szCs w:val="22"/>
        </w:rPr>
      </w:pPr>
      <w:r w:rsidRPr="00A03FD6">
        <w:rPr>
          <w:sz w:val="22"/>
          <w:szCs w:val="22"/>
        </w:rPr>
        <w:t xml:space="preserve">(b)  </w:t>
      </w:r>
      <w:r w:rsidRPr="00A03FD6">
        <w:rPr>
          <w:sz w:val="22"/>
          <w:szCs w:val="22"/>
          <w:u w:val="single"/>
        </w:rPr>
        <w:t>Defined Terms</w:t>
      </w:r>
      <w:r w:rsidRPr="00A03FD6">
        <w:rPr>
          <w:sz w:val="22"/>
          <w:szCs w:val="22"/>
        </w:rPr>
        <w:t xml:space="preserve">.  Terms used in 101 CMR 446.03(7) that have not been defined elsewhere in 101 CMR 446.00 have the meanings ascribed to those terms in the contract between the </w:t>
      </w:r>
      <w:r w:rsidR="00E707A6" w:rsidRPr="00A03FD6">
        <w:rPr>
          <w:sz w:val="22"/>
          <w:szCs w:val="22"/>
        </w:rPr>
        <w:t>in-home</w:t>
      </w:r>
      <w:r w:rsidRPr="00A03FD6">
        <w:rPr>
          <w:sz w:val="22"/>
          <w:szCs w:val="22"/>
        </w:rPr>
        <w:t xml:space="preserve"> vaccination provider and the governmental unit.  </w:t>
      </w:r>
    </w:p>
    <w:p w14:paraId="666ECC63" w14:textId="6B76DB4A" w:rsidR="003F2699" w:rsidRPr="00A03FD6" w:rsidRDefault="003F2699" w:rsidP="003F2699">
      <w:pPr>
        <w:tabs>
          <w:tab w:val="left" w:pos="-720"/>
        </w:tabs>
        <w:suppressAutoHyphens/>
        <w:ind w:left="1080"/>
        <w:rPr>
          <w:sz w:val="22"/>
          <w:szCs w:val="22"/>
        </w:rPr>
      </w:pPr>
      <w:r w:rsidRPr="00A03FD6">
        <w:rPr>
          <w:sz w:val="22"/>
          <w:szCs w:val="22"/>
        </w:rPr>
        <w:t xml:space="preserve">(c)  </w:t>
      </w:r>
      <w:r w:rsidRPr="00A03FD6">
        <w:rPr>
          <w:sz w:val="22"/>
          <w:szCs w:val="22"/>
          <w:u w:val="single"/>
        </w:rPr>
        <w:t>Allowable Fee for In-</w:t>
      </w:r>
      <w:r w:rsidR="00B53570" w:rsidRPr="00A03FD6">
        <w:rPr>
          <w:sz w:val="22"/>
          <w:szCs w:val="22"/>
          <w:u w:val="single"/>
        </w:rPr>
        <w:t>h</w:t>
      </w:r>
      <w:r w:rsidRPr="00A03FD6">
        <w:rPr>
          <w:sz w:val="22"/>
          <w:szCs w:val="22"/>
          <w:u w:val="single"/>
        </w:rPr>
        <w:t xml:space="preserve">ome Vaccination Services and Waste Prevention Vaccinations Provided by </w:t>
      </w:r>
      <w:r w:rsidR="00E707A6" w:rsidRPr="00A03FD6">
        <w:rPr>
          <w:sz w:val="22"/>
          <w:szCs w:val="22"/>
          <w:u w:val="single"/>
        </w:rPr>
        <w:t>In-home</w:t>
      </w:r>
      <w:r w:rsidR="006A35AC" w:rsidRPr="00A03FD6">
        <w:rPr>
          <w:sz w:val="22"/>
          <w:szCs w:val="22"/>
          <w:u w:val="single"/>
        </w:rPr>
        <w:t xml:space="preserve"> Vaccination Providers</w:t>
      </w:r>
      <w:r w:rsidR="006A35AC" w:rsidRPr="00A03FD6">
        <w:rPr>
          <w:sz w:val="22"/>
          <w:szCs w:val="22"/>
        </w:rPr>
        <w:t xml:space="preserve">. </w:t>
      </w:r>
      <w:r w:rsidR="006052E3" w:rsidRPr="00A03FD6">
        <w:rPr>
          <w:sz w:val="22"/>
          <w:szCs w:val="22"/>
        </w:rPr>
        <w:t xml:space="preserve"> </w:t>
      </w:r>
      <w:r w:rsidRPr="00A03FD6">
        <w:rPr>
          <w:sz w:val="22"/>
          <w:szCs w:val="22"/>
        </w:rPr>
        <w:t xml:space="preserve">The following fees apply for the listed in-home vaccination services and waste prevention vaccinations rendered by </w:t>
      </w:r>
      <w:r w:rsidR="00E707A6" w:rsidRPr="00A03FD6">
        <w:rPr>
          <w:sz w:val="22"/>
          <w:szCs w:val="22"/>
        </w:rPr>
        <w:t>in-home</w:t>
      </w:r>
      <w:r w:rsidRPr="00A03FD6">
        <w:rPr>
          <w:sz w:val="22"/>
          <w:szCs w:val="22"/>
        </w:rPr>
        <w:t xml:space="preserve"> vaccination providers.  </w:t>
      </w:r>
    </w:p>
    <w:p w14:paraId="766F58C8" w14:textId="77777777" w:rsidR="00567624" w:rsidRPr="00A03FD6" w:rsidRDefault="00567624">
      <w:pPr>
        <w:tabs>
          <w:tab w:val="left" w:pos="-720"/>
        </w:tabs>
        <w:suppressAutoHyphens/>
        <w:rPr>
          <w:sz w:val="22"/>
          <w:szCs w:val="22"/>
        </w:rPr>
      </w:pPr>
    </w:p>
    <w:tbl>
      <w:tblPr>
        <w:tblStyle w:val="TableGrid"/>
        <w:tblW w:w="10466" w:type="dxa"/>
        <w:tblInd w:w="85" w:type="dxa"/>
        <w:tblLook w:val="04A0" w:firstRow="1" w:lastRow="0" w:firstColumn="1" w:lastColumn="0" w:noHBand="0" w:noVBand="1"/>
      </w:tblPr>
      <w:tblGrid>
        <w:gridCol w:w="5400"/>
        <w:gridCol w:w="5066"/>
      </w:tblGrid>
      <w:tr w:rsidR="003F2699" w:rsidRPr="00A03FD6" w14:paraId="07885525" w14:textId="77777777" w:rsidTr="00E94717">
        <w:tc>
          <w:tcPr>
            <w:tcW w:w="5400" w:type="dxa"/>
            <w:shd w:val="pct15" w:color="auto" w:fill="auto"/>
          </w:tcPr>
          <w:p w14:paraId="492AEBFF" w14:textId="5AEE3703" w:rsidR="003F2699" w:rsidRPr="00A03FD6" w:rsidRDefault="003F2699" w:rsidP="00E94717">
            <w:pPr>
              <w:jc w:val="center"/>
              <w:rPr>
                <w:b/>
                <w:bCs/>
                <w:sz w:val="22"/>
                <w:szCs w:val="22"/>
              </w:rPr>
            </w:pPr>
            <w:r w:rsidRPr="00A03FD6">
              <w:rPr>
                <w:b/>
                <w:bCs/>
                <w:sz w:val="22"/>
                <w:szCs w:val="22"/>
              </w:rPr>
              <w:lastRenderedPageBreak/>
              <w:t>S</w:t>
            </w:r>
            <w:r w:rsidR="00C41997" w:rsidRPr="00A03FD6">
              <w:rPr>
                <w:b/>
                <w:bCs/>
                <w:sz w:val="22"/>
                <w:szCs w:val="22"/>
              </w:rPr>
              <w:t>ervice</w:t>
            </w:r>
          </w:p>
        </w:tc>
        <w:tc>
          <w:tcPr>
            <w:tcW w:w="5066" w:type="dxa"/>
            <w:shd w:val="pct15" w:color="auto" w:fill="auto"/>
          </w:tcPr>
          <w:p w14:paraId="0EAC6AC2" w14:textId="342AF00F" w:rsidR="003F2699" w:rsidRPr="00A03FD6" w:rsidRDefault="003F2699" w:rsidP="00E94717">
            <w:pPr>
              <w:jc w:val="center"/>
              <w:rPr>
                <w:b/>
                <w:bCs/>
                <w:sz w:val="22"/>
                <w:szCs w:val="22"/>
              </w:rPr>
            </w:pPr>
            <w:r w:rsidRPr="00A03FD6">
              <w:rPr>
                <w:b/>
                <w:bCs/>
                <w:sz w:val="22"/>
                <w:szCs w:val="22"/>
              </w:rPr>
              <w:t>A</w:t>
            </w:r>
            <w:r w:rsidR="00C41997" w:rsidRPr="00A03FD6">
              <w:rPr>
                <w:b/>
                <w:bCs/>
                <w:sz w:val="22"/>
                <w:szCs w:val="22"/>
              </w:rPr>
              <w:t>llowable</w:t>
            </w:r>
            <w:r w:rsidRPr="00A03FD6">
              <w:rPr>
                <w:b/>
                <w:bCs/>
                <w:sz w:val="22"/>
                <w:szCs w:val="22"/>
              </w:rPr>
              <w:t xml:space="preserve"> F</w:t>
            </w:r>
            <w:r w:rsidR="00C41997" w:rsidRPr="00A03FD6">
              <w:rPr>
                <w:b/>
                <w:bCs/>
                <w:sz w:val="22"/>
                <w:szCs w:val="22"/>
              </w:rPr>
              <w:t>ee</w:t>
            </w:r>
          </w:p>
        </w:tc>
      </w:tr>
      <w:tr w:rsidR="003F2699" w:rsidRPr="00A03FD6" w14:paraId="76A0670D" w14:textId="77777777" w:rsidTr="00E94717">
        <w:tc>
          <w:tcPr>
            <w:tcW w:w="5400" w:type="dxa"/>
          </w:tcPr>
          <w:p w14:paraId="1437168E" w14:textId="5800FA60" w:rsidR="003F2699" w:rsidRPr="00A03FD6" w:rsidRDefault="003F2699" w:rsidP="006052E3">
            <w:pPr>
              <w:rPr>
                <w:sz w:val="22"/>
                <w:szCs w:val="22"/>
              </w:rPr>
            </w:pPr>
            <w:r w:rsidRPr="00A03FD6">
              <w:rPr>
                <w:sz w:val="22"/>
                <w:szCs w:val="22"/>
              </w:rPr>
              <w:t>In-</w:t>
            </w:r>
            <w:r w:rsidR="00742745" w:rsidRPr="00A03FD6">
              <w:rPr>
                <w:sz w:val="22"/>
                <w:szCs w:val="22"/>
              </w:rPr>
              <w:t>h</w:t>
            </w:r>
            <w:r w:rsidRPr="00A03FD6">
              <w:rPr>
                <w:sz w:val="22"/>
                <w:szCs w:val="22"/>
              </w:rPr>
              <w:t xml:space="preserve">ome </w:t>
            </w:r>
            <w:r w:rsidR="006052E3" w:rsidRPr="00A03FD6">
              <w:rPr>
                <w:sz w:val="22"/>
                <w:szCs w:val="22"/>
              </w:rPr>
              <w:t>v</w:t>
            </w:r>
            <w:r w:rsidRPr="00A03FD6">
              <w:rPr>
                <w:sz w:val="22"/>
                <w:szCs w:val="22"/>
              </w:rPr>
              <w:t xml:space="preserve">accination </w:t>
            </w:r>
            <w:r w:rsidR="006052E3" w:rsidRPr="00A03FD6">
              <w:rPr>
                <w:sz w:val="22"/>
                <w:szCs w:val="22"/>
              </w:rPr>
              <w:t>s</w:t>
            </w:r>
            <w:r w:rsidRPr="00A03FD6">
              <w:rPr>
                <w:sz w:val="22"/>
                <w:szCs w:val="22"/>
              </w:rPr>
              <w:t xml:space="preserve">ervices rendered to </w:t>
            </w:r>
            <w:r w:rsidR="006052E3" w:rsidRPr="00A03FD6">
              <w:rPr>
                <w:sz w:val="22"/>
                <w:szCs w:val="22"/>
              </w:rPr>
              <w:t>e</w:t>
            </w:r>
            <w:r w:rsidRPr="00A03FD6">
              <w:rPr>
                <w:sz w:val="22"/>
                <w:szCs w:val="22"/>
              </w:rPr>
              <w:t xml:space="preserve">ligible </w:t>
            </w:r>
            <w:r w:rsidR="006052E3" w:rsidRPr="00A03FD6">
              <w:rPr>
                <w:sz w:val="22"/>
                <w:szCs w:val="22"/>
              </w:rPr>
              <w:t>r</w:t>
            </w:r>
            <w:r w:rsidRPr="00A03FD6">
              <w:rPr>
                <w:sz w:val="22"/>
                <w:szCs w:val="22"/>
              </w:rPr>
              <w:t xml:space="preserve">esidents, </w:t>
            </w:r>
            <w:r w:rsidR="006052E3" w:rsidRPr="00A03FD6">
              <w:rPr>
                <w:sz w:val="22"/>
                <w:szCs w:val="22"/>
              </w:rPr>
              <w:t>i</w:t>
            </w:r>
            <w:r w:rsidRPr="00A03FD6">
              <w:rPr>
                <w:sz w:val="22"/>
                <w:szCs w:val="22"/>
              </w:rPr>
              <w:t>n-</w:t>
            </w:r>
            <w:r w:rsidR="006052E3" w:rsidRPr="00A03FD6">
              <w:rPr>
                <w:sz w:val="22"/>
                <w:szCs w:val="22"/>
              </w:rPr>
              <w:t>h</w:t>
            </w:r>
            <w:r w:rsidRPr="00A03FD6">
              <w:rPr>
                <w:sz w:val="22"/>
                <w:szCs w:val="22"/>
              </w:rPr>
              <w:t xml:space="preserve">ome </w:t>
            </w:r>
            <w:r w:rsidR="006052E3" w:rsidRPr="00A03FD6">
              <w:rPr>
                <w:sz w:val="22"/>
                <w:szCs w:val="22"/>
              </w:rPr>
              <w:t>v</w:t>
            </w:r>
            <w:r w:rsidRPr="00A03FD6">
              <w:rPr>
                <w:sz w:val="22"/>
                <w:szCs w:val="22"/>
              </w:rPr>
              <w:t xml:space="preserve">accination </w:t>
            </w:r>
            <w:r w:rsidR="006052E3" w:rsidRPr="00A03FD6">
              <w:rPr>
                <w:sz w:val="22"/>
                <w:szCs w:val="22"/>
              </w:rPr>
              <w:t>s</w:t>
            </w:r>
            <w:r w:rsidRPr="00A03FD6">
              <w:rPr>
                <w:sz w:val="22"/>
                <w:szCs w:val="22"/>
              </w:rPr>
              <w:t xml:space="preserve">ervices rendered to </w:t>
            </w:r>
            <w:r w:rsidR="006052E3" w:rsidRPr="00A03FD6">
              <w:rPr>
                <w:sz w:val="22"/>
                <w:szCs w:val="22"/>
              </w:rPr>
              <w:t>e</w:t>
            </w:r>
            <w:r w:rsidRPr="00A03FD6">
              <w:rPr>
                <w:sz w:val="22"/>
                <w:szCs w:val="22"/>
              </w:rPr>
              <w:t xml:space="preserve">ligible </w:t>
            </w:r>
            <w:r w:rsidR="006052E3" w:rsidRPr="00A03FD6">
              <w:rPr>
                <w:sz w:val="22"/>
                <w:szCs w:val="22"/>
              </w:rPr>
              <w:t>a</w:t>
            </w:r>
            <w:r w:rsidRPr="00A03FD6">
              <w:rPr>
                <w:sz w:val="22"/>
                <w:szCs w:val="22"/>
              </w:rPr>
              <w:t xml:space="preserve">dditional </w:t>
            </w:r>
            <w:r w:rsidR="006052E3" w:rsidRPr="00A03FD6">
              <w:rPr>
                <w:sz w:val="22"/>
                <w:szCs w:val="22"/>
              </w:rPr>
              <w:t>i</w:t>
            </w:r>
            <w:r w:rsidRPr="00A03FD6">
              <w:rPr>
                <w:sz w:val="22"/>
                <w:szCs w:val="22"/>
              </w:rPr>
              <w:t xml:space="preserve">ndividuals, or </w:t>
            </w:r>
            <w:r w:rsidR="006052E3" w:rsidRPr="00A03FD6">
              <w:rPr>
                <w:sz w:val="22"/>
                <w:szCs w:val="22"/>
              </w:rPr>
              <w:t>w</w:t>
            </w:r>
            <w:r w:rsidRPr="00A03FD6">
              <w:rPr>
                <w:sz w:val="22"/>
                <w:szCs w:val="22"/>
              </w:rPr>
              <w:t xml:space="preserve">aste </w:t>
            </w:r>
            <w:r w:rsidR="006052E3" w:rsidRPr="00A03FD6">
              <w:rPr>
                <w:sz w:val="22"/>
                <w:szCs w:val="22"/>
              </w:rPr>
              <w:t>p</w:t>
            </w:r>
            <w:r w:rsidRPr="00A03FD6">
              <w:rPr>
                <w:sz w:val="22"/>
                <w:szCs w:val="22"/>
              </w:rPr>
              <w:t xml:space="preserve">revention </w:t>
            </w:r>
            <w:r w:rsidR="006052E3" w:rsidRPr="00A03FD6">
              <w:rPr>
                <w:sz w:val="22"/>
                <w:szCs w:val="22"/>
              </w:rPr>
              <w:t>v</w:t>
            </w:r>
            <w:r w:rsidRPr="00A03FD6">
              <w:rPr>
                <w:sz w:val="22"/>
                <w:szCs w:val="22"/>
              </w:rPr>
              <w:t xml:space="preserve">accinations administered to </w:t>
            </w:r>
            <w:r w:rsidR="006052E3" w:rsidRPr="00A03FD6">
              <w:rPr>
                <w:sz w:val="22"/>
                <w:szCs w:val="22"/>
              </w:rPr>
              <w:t>o</w:t>
            </w:r>
            <w:r w:rsidRPr="00A03FD6">
              <w:rPr>
                <w:sz w:val="22"/>
                <w:szCs w:val="22"/>
              </w:rPr>
              <w:t xml:space="preserve">ther </w:t>
            </w:r>
            <w:r w:rsidR="006052E3" w:rsidRPr="00A03FD6">
              <w:rPr>
                <w:sz w:val="22"/>
                <w:szCs w:val="22"/>
              </w:rPr>
              <w:t>v</w:t>
            </w:r>
            <w:r w:rsidRPr="00A03FD6">
              <w:rPr>
                <w:sz w:val="22"/>
                <w:szCs w:val="22"/>
              </w:rPr>
              <w:t xml:space="preserve">accinable </w:t>
            </w:r>
            <w:r w:rsidR="006052E3" w:rsidRPr="00A03FD6">
              <w:rPr>
                <w:sz w:val="22"/>
                <w:szCs w:val="22"/>
              </w:rPr>
              <w:t>i</w:t>
            </w:r>
            <w:r w:rsidRPr="00A03FD6">
              <w:rPr>
                <w:sz w:val="22"/>
                <w:szCs w:val="22"/>
              </w:rPr>
              <w:t>ndividuals</w:t>
            </w:r>
          </w:p>
        </w:tc>
        <w:tc>
          <w:tcPr>
            <w:tcW w:w="5066" w:type="dxa"/>
          </w:tcPr>
          <w:p w14:paraId="2068FC36" w14:textId="49C7A7BC" w:rsidR="003F2699" w:rsidRPr="00A03FD6" w:rsidRDefault="003F2699" w:rsidP="00E94717">
            <w:pPr>
              <w:rPr>
                <w:sz w:val="22"/>
                <w:szCs w:val="22"/>
              </w:rPr>
            </w:pPr>
            <w:r w:rsidRPr="00A03FD6">
              <w:rPr>
                <w:sz w:val="22"/>
                <w:szCs w:val="22"/>
              </w:rPr>
              <w:t>$150</w:t>
            </w:r>
            <w:r w:rsidR="00E707A6" w:rsidRPr="00A03FD6">
              <w:rPr>
                <w:sz w:val="22"/>
                <w:szCs w:val="22"/>
              </w:rPr>
              <w:t>.00</w:t>
            </w:r>
            <w:r w:rsidRPr="00A03FD6">
              <w:rPr>
                <w:sz w:val="22"/>
                <w:szCs w:val="22"/>
              </w:rPr>
              <w:t xml:space="preserve"> per COVID-19 vaccine dose administered</w:t>
            </w:r>
          </w:p>
        </w:tc>
      </w:tr>
    </w:tbl>
    <w:p w14:paraId="518F5F11" w14:textId="77777777" w:rsidR="003F2699" w:rsidRPr="00A03FD6" w:rsidRDefault="003F2699">
      <w:pPr>
        <w:tabs>
          <w:tab w:val="left" w:pos="-720"/>
        </w:tabs>
        <w:suppressAutoHyphens/>
        <w:rPr>
          <w:sz w:val="22"/>
          <w:szCs w:val="22"/>
        </w:rPr>
      </w:pPr>
    </w:p>
    <w:p w14:paraId="28ADE180" w14:textId="0EA61D83" w:rsidR="002E0532" w:rsidRPr="00A03FD6" w:rsidRDefault="006F0897" w:rsidP="0020734A">
      <w:pPr>
        <w:pStyle w:val="Heading2"/>
        <w:keepNext/>
        <w:spacing w:after="240"/>
      </w:pPr>
      <w:r w:rsidRPr="00A03FD6">
        <w:t>446</w:t>
      </w:r>
      <w:r w:rsidR="00653B5C" w:rsidRPr="00A03FD6">
        <w:t>.04: Special Contracts</w:t>
      </w:r>
    </w:p>
    <w:p w14:paraId="5384B4D4" w14:textId="3800B47F" w:rsidR="00E27D3D" w:rsidRPr="00A03FD6" w:rsidRDefault="0097793A" w:rsidP="00F67D0E">
      <w:pPr>
        <w:tabs>
          <w:tab w:val="left" w:pos="720"/>
          <w:tab w:val="left" w:pos="1555"/>
          <w:tab w:val="left" w:pos="1915"/>
          <w:tab w:val="left" w:pos="2275"/>
          <w:tab w:val="left" w:pos="2635"/>
          <w:tab w:val="left" w:pos="2995"/>
          <w:tab w:val="left" w:pos="7675"/>
        </w:tabs>
        <w:ind w:left="720" w:firstLine="360"/>
        <w:rPr>
          <w:sz w:val="22"/>
          <w:szCs w:val="22"/>
        </w:rPr>
      </w:pPr>
      <w:r w:rsidRPr="00A03FD6">
        <w:rPr>
          <w:sz w:val="22"/>
          <w:szCs w:val="22"/>
        </w:rPr>
        <w:t xml:space="preserve">Notwithstanding </w:t>
      </w:r>
      <w:r w:rsidR="002A6E9D" w:rsidRPr="00A03FD6">
        <w:rPr>
          <w:sz w:val="22"/>
          <w:szCs w:val="22"/>
        </w:rPr>
        <w:t>101 CMR 446</w:t>
      </w:r>
      <w:r w:rsidRPr="00A03FD6">
        <w:rPr>
          <w:sz w:val="22"/>
          <w:szCs w:val="22"/>
        </w:rPr>
        <w:t>.03</w:t>
      </w:r>
      <w:r w:rsidR="006F0897" w:rsidRPr="00A03FD6">
        <w:rPr>
          <w:sz w:val="22"/>
          <w:szCs w:val="22"/>
        </w:rPr>
        <w:t xml:space="preserve">, </w:t>
      </w:r>
      <w:r w:rsidRPr="00A03FD6">
        <w:rPr>
          <w:sz w:val="22"/>
          <w:szCs w:val="22"/>
        </w:rPr>
        <w:t>a</w:t>
      </w:r>
      <w:r w:rsidR="002E0532" w:rsidRPr="00A03FD6">
        <w:rPr>
          <w:sz w:val="22"/>
          <w:szCs w:val="22"/>
        </w:rPr>
        <w:t xml:space="preserve"> </w:t>
      </w:r>
      <w:r w:rsidRPr="00A03FD6">
        <w:rPr>
          <w:sz w:val="22"/>
          <w:szCs w:val="22"/>
        </w:rPr>
        <w:t>governmental unit</w:t>
      </w:r>
      <w:r w:rsidR="002E0532" w:rsidRPr="00A03FD6">
        <w:rPr>
          <w:sz w:val="22"/>
          <w:szCs w:val="22"/>
        </w:rPr>
        <w:t xml:space="preserve"> </w:t>
      </w:r>
      <w:r w:rsidRPr="00A03FD6">
        <w:rPr>
          <w:sz w:val="22"/>
          <w:szCs w:val="22"/>
        </w:rPr>
        <w:t xml:space="preserve">may enter into a special contract with an eligible provider </w:t>
      </w:r>
      <w:r w:rsidR="002E0532" w:rsidRPr="00A03FD6">
        <w:rPr>
          <w:sz w:val="22"/>
          <w:szCs w:val="22"/>
        </w:rPr>
        <w:t xml:space="preserve">under which the </w:t>
      </w:r>
      <w:r w:rsidRPr="00A03FD6">
        <w:rPr>
          <w:sz w:val="22"/>
          <w:szCs w:val="22"/>
        </w:rPr>
        <w:t>g</w:t>
      </w:r>
      <w:r w:rsidR="002E0532" w:rsidRPr="00A03FD6">
        <w:rPr>
          <w:sz w:val="22"/>
          <w:szCs w:val="22"/>
        </w:rPr>
        <w:t xml:space="preserve">overnmental </w:t>
      </w:r>
      <w:r w:rsidRPr="00A03FD6">
        <w:rPr>
          <w:sz w:val="22"/>
          <w:szCs w:val="22"/>
        </w:rPr>
        <w:t>u</w:t>
      </w:r>
      <w:r w:rsidR="002E0532" w:rsidRPr="00A03FD6">
        <w:rPr>
          <w:sz w:val="22"/>
          <w:szCs w:val="22"/>
        </w:rPr>
        <w:t xml:space="preserve">nit will </w:t>
      </w:r>
      <w:r w:rsidRPr="00A03FD6">
        <w:rPr>
          <w:sz w:val="22"/>
          <w:szCs w:val="22"/>
        </w:rPr>
        <w:t>pay</w:t>
      </w:r>
      <w:r w:rsidR="002E0532" w:rsidRPr="00A03FD6">
        <w:rPr>
          <w:sz w:val="22"/>
          <w:szCs w:val="22"/>
        </w:rPr>
        <w:t xml:space="preserve"> </w:t>
      </w:r>
      <w:r w:rsidRPr="00A03FD6">
        <w:rPr>
          <w:sz w:val="22"/>
          <w:szCs w:val="22"/>
        </w:rPr>
        <w:t>for services authorized but not listed herein, or authorized services performed in exceptional circumstances</w:t>
      </w:r>
      <w:r w:rsidR="005D72BD" w:rsidRPr="00A03FD6">
        <w:rPr>
          <w:sz w:val="22"/>
          <w:szCs w:val="22"/>
        </w:rPr>
        <w:t>.</w:t>
      </w:r>
    </w:p>
    <w:p w14:paraId="2519FC6A" w14:textId="77777777" w:rsidR="00E27D3D" w:rsidRPr="00A03FD6" w:rsidRDefault="00E27D3D">
      <w:pPr>
        <w:tabs>
          <w:tab w:val="left" w:pos="-720"/>
        </w:tabs>
        <w:suppressAutoHyphens/>
        <w:rPr>
          <w:sz w:val="22"/>
          <w:szCs w:val="22"/>
        </w:rPr>
      </w:pPr>
    </w:p>
    <w:p w14:paraId="13836A1D" w14:textId="77777777" w:rsidR="002E0532" w:rsidRPr="00A03FD6" w:rsidRDefault="006F0897" w:rsidP="00675247">
      <w:pPr>
        <w:pStyle w:val="Heading2"/>
      </w:pPr>
      <w:r w:rsidRPr="00A03FD6">
        <w:t>446</w:t>
      </w:r>
      <w:r w:rsidR="002E0532" w:rsidRPr="00A03FD6">
        <w:t>.0</w:t>
      </w:r>
      <w:r w:rsidR="00CE2CEB" w:rsidRPr="00A03FD6">
        <w:t>5</w:t>
      </w:r>
      <w:r w:rsidR="002E0532" w:rsidRPr="00A03FD6">
        <w:t>:  Reporting Requirements</w:t>
      </w:r>
    </w:p>
    <w:p w14:paraId="0819E73B" w14:textId="77777777" w:rsidR="00E27D3D" w:rsidRPr="00A03FD6" w:rsidRDefault="00E27D3D" w:rsidP="00E27D3D"/>
    <w:p w14:paraId="682B9B98" w14:textId="010C0B5D" w:rsidR="002E0532" w:rsidRPr="00A03FD6" w:rsidRDefault="00E27D3D" w:rsidP="00D24841">
      <w:pPr>
        <w:tabs>
          <w:tab w:val="left" w:pos="-720"/>
          <w:tab w:val="left" w:pos="90"/>
          <w:tab w:val="left" w:pos="720"/>
        </w:tabs>
        <w:ind w:left="720"/>
        <w:rPr>
          <w:sz w:val="22"/>
          <w:szCs w:val="22"/>
        </w:rPr>
      </w:pPr>
      <w:r w:rsidRPr="00A03FD6">
        <w:rPr>
          <w:sz w:val="22"/>
          <w:szCs w:val="22"/>
        </w:rPr>
        <w:t xml:space="preserve"> </w:t>
      </w:r>
      <w:r w:rsidR="002E0532" w:rsidRPr="00A03FD6">
        <w:rPr>
          <w:sz w:val="22"/>
          <w:szCs w:val="22"/>
        </w:rPr>
        <w:t xml:space="preserve">(1)  </w:t>
      </w:r>
      <w:r w:rsidR="002E0532" w:rsidRPr="00A03FD6">
        <w:rPr>
          <w:sz w:val="22"/>
          <w:szCs w:val="22"/>
          <w:u w:val="single"/>
        </w:rPr>
        <w:t>Required Reports</w:t>
      </w:r>
      <w:r w:rsidR="005C7914" w:rsidRPr="00A03FD6">
        <w:rPr>
          <w:sz w:val="22"/>
          <w:szCs w:val="22"/>
        </w:rPr>
        <w:t xml:space="preserve">.  </w:t>
      </w:r>
      <w:r w:rsidR="00170BD5" w:rsidRPr="00A03FD6">
        <w:rPr>
          <w:sz w:val="22"/>
          <w:szCs w:val="22"/>
        </w:rPr>
        <w:t>Except as otherwise provided, r</w:t>
      </w:r>
      <w:r w:rsidR="00CE2CEB" w:rsidRPr="00A03FD6">
        <w:rPr>
          <w:sz w:val="22"/>
          <w:szCs w:val="22"/>
        </w:rPr>
        <w:t xml:space="preserve">eporting requirements are governed by 957 CMR 6.00: </w:t>
      </w:r>
      <w:r w:rsidR="004E2A06">
        <w:rPr>
          <w:sz w:val="22"/>
          <w:szCs w:val="22"/>
        </w:rPr>
        <w:t xml:space="preserve"> </w:t>
      </w:r>
      <w:r w:rsidR="00CE2CEB" w:rsidRPr="00A03FD6">
        <w:rPr>
          <w:i/>
          <w:sz w:val="22"/>
          <w:szCs w:val="22"/>
        </w:rPr>
        <w:t>Cost Reporting Requirements</w:t>
      </w:r>
      <w:r w:rsidR="00E10939" w:rsidRPr="00A03FD6">
        <w:rPr>
          <w:sz w:val="22"/>
          <w:szCs w:val="22"/>
        </w:rPr>
        <w:t xml:space="preserve">.  </w:t>
      </w:r>
      <w:r w:rsidR="00CE2CEB" w:rsidRPr="00A03FD6">
        <w:rPr>
          <w:sz w:val="22"/>
          <w:szCs w:val="22"/>
        </w:rPr>
        <w:t xml:space="preserve"> </w:t>
      </w:r>
    </w:p>
    <w:p w14:paraId="6BFCF3E0" w14:textId="77777777" w:rsidR="00CE2CEB" w:rsidRPr="00A03FD6" w:rsidRDefault="00CE2CEB" w:rsidP="00D24841">
      <w:pPr>
        <w:tabs>
          <w:tab w:val="left" w:pos="-720"/>
          <w:tab w:val="left" w:pos="90"/>
          <w:tab w:val="left" w:pos="720"/>
        </w:tabs>
        <w:ind w:left="720"/>
        <w:rPr>
          <w:sz w:val="22"/>
          <w:szCs w:val="22"/>
        </w:rPr>
      </w:pPr>
    </w:p>
    <w:p w14:paraId="3AE03427" w14:textId="531BAA78" w:rsidR="002E0532" w:rsidRPr="00A03FD6" w:rsidRDefault="00E922DE" w:rsidP="00D93374">
      <w:pPr>
        <w:tabs>
          <w:tab w:val="left" w:pos="-720"/>
          <w:tab w:val="left" w:pos="90"/>
          <w:tab w:val="left" w:pos="720"/>
          <w:tab w:val="left" w:pos="1080"/>
        </w:tabs>
        <w:ind w:left="720"/>
        <w:rPr>
          <w:sz w:val="22"/>
          <w:szCs w:val="22"/>
        </w:rPr>
      </w:pPr>
      <w:r w:rsidRPr="00A03FD6">
        <w:rPr>
          <w:sz w:val="22"/>
          <w:szCs w:val="22"/>
        </w:rPr>
        <w:t xml:space="preserve">(2)  </w:t>
      </w:r>
      <w:r w:rsidR="00CE2CEB" w:rsidRPr="00A03FD6">
        <w:rPr>
          <w:sz w:val="22"/>
          <w:szCs w:val="22"/>
          <w:u w:val="single"/>
        </w:rPr>
        <w:t>Penalty for Noncompliance</w:t>
      </w:r>
      <w:r w:rsidR="00CE2CEB" w:rsidRPr="00A03FD6">
        <w:rPr>
          <w:sz w:val="22"/>
          <w:szCs w:val="22"/>
        </w:rPr>
        <w:t>.</w:t>
      </w:r>
      <w:r w:rsidR="005D72BD" w:rsidRPr="00A03FD6">
        <w:rPr>
          <w:sz w:val="22"/>
          <w:szCs w:val="22"/>
        </w:rPr>
        <w:t xml:space="preserve"> </w:t>
      </w:r>
      <w:r w:rsidR="005C7914" w:rsidRPr="00A03FD6">
        <w:rPr>
          <w:sz w:val="22"/>
          <w:szCs w:val="22"/>
        </w:rPr>
        <w:t xml:space="preserve"> </w:t>
      </w:r>
      <w:r w:rsidR="00170BD5" w:rsidRPr="00A03FD6">
        <w:rPr>
          <w:sz w:val="22"/>
          <w:szCs w:val="22"/>
        </w:rPr>
        <w:t>Except as otherwise provided, t</w:t>
      </w:r>
      <w:r w:rsidR="00CE2CEB" w:rsidRPr="00A03FD6">
        <w:rPr>
          <w:sz w:val="22"/>
          <w:szCs w:val="22"/>
        </w:rPr>
        <w:t xml:space="preserve">he purchasing governmental unit may impose a penalty in the amount of up to 15% of its payments to any provider that fails to submit required information. The purchasing governmental unit will notify the provider in advance of its intention to impose a penalty under </w:t>
      </w:r>
      <w:r w:rsidR="002A6E9D" w:rsidRPr="00A03FD6">
        <w:rPr>
          <w:sz w:val="22"/>
          <w:szCs w:val="22"/>
        </w:rPr>
        <w:t>101 CMR 446</w:t>
      </w:r>
      <w:r w:rsidR="00CE2CEB" w:rsidRPr="00A03FD6">
        <w:rPr>
          <w:sz w:val="22"/>
          <w:szCs w:val="22"/>
        </w:rPr>
        <w:t>.05(2).</w:t>
      </w:r>
    </w:p>
    <w:p w14:paraId="5742F154" w14:textId="77777777" w:rsidR="00FB6110" w:rsidRPr="00A03FD6" w:rsidRDefault="00FB6110" w:rsidP="00FB6110">
      <w:pPr>
        <w:pStyle w:val="Heading2"/>
        <w:keepNext/>
      </w:pPr>
    </w:p>
    <w:p w14:paraId="463D7E1B" w14:textId="2933FF5C" w:rsidR="002E0532" w:rsidRPr="00A03FD6" w:rsidRDefault="006F0897" w:rsidP="00E10939">
      <w:pPr>
        <w:pStyle w:val="Heading2"/>
        <w:keepNext/>
        <w:spacing w:after="240"/>
      </w:pPr>
      <w:r w:rsidRPr="00A03FD6">
        <w:t>446</w:t>
      </w:r>
      <w:r w:rsidR="002E0532" w:rsidRPr="00A03FD6">
        <w:t>.0</w:t>
      </w:r>
      <w:r w:rsidR="00CE2CEB" w:rsidRPr="00A03FD6">
        <w:t>6</w:t>
      </w:r>
      <w:r w:rsidR="00A5360D" w:rsidRPr="00A03FD6">
        <w:t>:</w:t>
      </w:r>
      <w:r w:rsidR="002E0532" w:rsidRPr="00A03FD6">
        <w:t xml:space="preserve">  Severability</w:t>
      </w:r>
    </w:p>
    <w:p w14:paraId="401BA5A7" w14:textId="77777777" w:rsidR="002E0532" w:rsidRPr="00A03FD6" w:rsidRDefault="002E0532" w:rsidP="002F48F1">
      <w:pPr>
        <w:tabs>
          <w:tab w:val="left" w:pos="-720"/>
          <w:tab w:val="left" w:pos="0"/>
        </w:tabs>
        <w:suppressAutoHyphens/>
        <w:ind w:left="720" w:firstLine="360"/>
        <w:rPr>
          <w:sz w:val="22"/>
          <w:szCs w:val="22"/>
        </w:rPr>
      </w:pPr>
      <w:r w:rsidRPr="00A03FD6">
        <w:rPr>
          <w:sz w:val="22"/>
          <w:szCs w:val="22"/>
        </w:rPr>
        <w:t xml:space="preserve">The provisions of </w:t>
      </w:r>
      <w:r w:rsidR="002A6E9D" w:rsidRPr="00A03FD6">
        <w:rPr>
          <w:sz w:val="22"/>
          <w:szCs w:val="22"/>
        </w:rPr>
        <w:t>101 CMR 446</w:t>
      </w:r>
      <w:r w:rsidRPr="00A03FD6">
        <w:rPr>
          <w:sz w:val="22"/>
          <w:szCs w:val="22"/>
        </w:rPr>
        <w:t>.00 are severable</w:t>
      </w:r>
      <w:r w:rsidR="00CE2CEB" w:rsidRPr="00A03FD6">
        <w:rPr>
          <w:sz w:val="22"/>
          <w:szCs w:val="22"/>
        </w:rPr>
        <w:t xml:space="preserve"> and</w:t>
      </w:r>
      <w:r w:rsidRPr="00A03FD6">
        <w:rPr>
          <w:sz w:val="22"/>
          <w:szCs w:val="22"/>
        </w:rPr>
        <w:t xml:space="preserve"> </w:t>
      </w:r>
      <w:r w:rsidR="00CE2CEB" w:rsidRPr="00A03FD6">
        <w:rPr>
          <w:sz w:val="22"/>
          <w:szCs w:val="22"/>
        </w:rPr>
        <w:t>i</w:t>
      </w:r>
      <w:r w:rsidRPr="00A03FD6">
        <w:rPr>
          <w:sz w:val="22"/>
          <w:szCs w:val="22"/>
        </w:rPr>
        <w:t xml:space="preserve">f any provisions of </w:t>
      </w:r>
      <w:r w:rsidR="002A6E9D" w:rsidRPr="00A03FD6">
        <w:rPr>
          <w:sz w:val="22"/>
          <w:szCs w:val="22"/>
        </w:rPr>
        <w:t>101 CMR 446</w:t>
      </w:r>
      <w:r w:rsidRPr="00A03FD6">
        <w:rPr>
          <w:sz w:val="22"/>
          <w:szCs w:val="22"/>
        </w:rPr>
        <w:t xml:space="preserve">.00 or the application of such provisions to any person or circumstances </w:t>
      </w:r>
      <w:r w:rsidR="00654EEE" w:rsidRPr="00A03FD6">
        <w:rPr>
          <w:sz w:val="22"/>
          <w:szCs w:val="22"/>
        </w:rPr>
        <w:t>is</w:t>
      </w:r>
      <w:r w:rsidRPr="00A03FD6">
        <w:rPr>
          <w:sz w:val="22"/>
          <w:szCs w:val="22"/>
        </w:rPr>
        <w:t xml:space="preserve"> held to be invalid or unconstitutional, such invalidity </w:t>
      </w:r>
      <w:r w:rsidR="00BB7DD9" w:rsidRPr="00A03FD6">
        <w:rPr>
          <w:sz w:val="22"/>
          <w:szCs w:val="22"/>
        </w:rPr>
        <w:t xml:space="preserve">will </w:t>
      </w:r>
      <w:r w:rsidRPr="00A03FD6">
        <w:rPr>
          <w:sz w:val="22"/>
          <w:szCs w:val="22"/>
        </w:rPr>
        <w:t xml:space="preserve">not be construed to affect the validity or constitutionality of any remaining provisions </w:t>
      </w:r>
      <w:r w:rsidR="00654EEE" w:rsidRPr="00A03FD6">
        <w:rPr>
          <w:sz w:val="22"/>
          <w:szCs w:val="22"/>
        </w:rPr>
        <w:t xml:space="preserve">of </w:t>
      </w:r>
      <w:r w:rsidR="002A6E9D" w:rsidRPr="00A03FD6">
        <w:rPr>
          <w:sz w:val="22"/>
          <w:szCs w:val="22"/>
        </w:rPr>
        <w:t>101 CMR 446</w:t>
      </w:r>
      <w:r w:rsidR="00654EEE" w:rsidRPr="00A03FD6">
        <w:rPr>
          <w:sz w:val="22"/>
          <w:szCs w:val="22"/>
        </w:rPr>
        <w:t xml:space="preserve">.00 or application of such provisions </w:t>
      </w:r>
      <w:r w:rsidRPr="00A03FD6">
        <w:rPr>
          <w:sz w:val="22"/>
          <w:szCs w:val="22"/>
        </w:rPr>
        <w:t>to eligible providers or circumstances other than those held invalid.</w:t>
      </w:r>
    </w:p>
    <w:p w14:paraId="7FAEDB52" w14:textId="77777777" w:rsidR="002E0532" w:rsidRPr="00A03FD6" w:rsidRDefault="002E0532">
      <w:pPr>
        <w:tabs>
          <w:tab w:val="left" w:pos="-720"/>
        </w:tabs>
        <w:suppressAutoHyphens/>
        <w:rPr>
          <w:sz w:val="22"/>
          <w:szCs w:val="22"/>
        </w:rPr>
      </w:pPr>
    </w:p>
    <w:p w14:paraId="38E9A330" w14:textId="77777777" w:rsidR="00742330" w:rsidRPr="00A03FD6" w:rsidRDefault="00742330">
      <w:pPr>
        <w:tabs>
          <w:tab w:val="left" w:pos="-720"/>
        </w:tabs>
        <w:suppressAutoHyphens/>
        <w:rPr>
          <w:sz w:val="22"/>
          <w:szCs w:val="22"/>
        </w:rPr>
      </w:pPr>
    </w:p>
    <w:p w14:paraId="7220C8F4" w14:textId="77777777" w:rsidR="002E0532" w:rsidRPr="00A03FD6" w:rsidRDefault="002E0532" w:rsidP="00675247">
      <w:pPr>
        <w:pStyle w:val="Heading2"/>
        <w:rPr>
          <w:u w:val="none"/>
        </w:rPr>
      </w:pPr>
      <w:r w:rsidRPr="00A03FD6">
        <w:rPr>
          <w:u w:val="none"/>
        </w:rPr>
        <w:t>REGULATORY AUTHORITY</w:t>
      </w:r>
    </w:p>
    <w:p w14:paraId="6ECA35B2" w14:textId="77777777" w:rsidR="002E0532" w:rsidRPr="00A03FD6" w:rsidRDefault="002E0532">
      <w:pPr>
        <w:tabs>
          <w:tab w:val="left" w:pos="-720"/>
        </w:tabs>
        <w:suppressAutoHyphens/>
        <w:rPr>
          <w:sz w:val="22"/>
          <w:szCs w:val="22"/>
        </w:rPr>
      </w:pPr>
    </w:p>
    <w:p w14:paraId="79D8B9BF" w14:textId="77777777" w:rsidR="005D090D" w:rsidRPr="00A03FD6" w:rsidRDefault="005D090D">
      <w:pPr>
        <w:tabs>
          <w:tab w:val="left" w:pos="-720"/>
        </w:tabs>
        <w:suppressAutoHyphens/>
        <w:rPr>
          <w:sz w:val="22"/>
          <w:szCs w:val="22"/>
        </w:rPr>
      </w:pPr>
    </w:p>
    <w:p w14:paraId="5E7ACDA5" w14:textId="77777777" w:rsidR="002E0532" w:rsidRPr="004A6844" w:rsidRDefault="002A6E9D" w:rsidP="00100C82">
      <w:pPr>
        <w:tabs>
          <w:tab w:val="left" w:pos="-720"/>
          <w:tab w:val="left" w:pos="0"/>
        </w:tabs>
        <w:suppressAutoHyphens/>
        <w:ind w:left="720"/>
        <w:rPr>
          <w:sz w:val="22"/>
          <w:szCs w:val="22"/>
        </w:rPr>
      </w:pPr>
      <w:r w:rsidRPr="00A03FD6">
        <w:rPr>
          <w:sz w:val="22"/>
          <w:szCs w:val="22"/>
        </w:rPr>
        <w:t>101 CMR 446</w:t>
      </w:r>
      <w:r w:rsidR="002E0532" w:rsidRPr="00A03FD6">
        <w:rPr>
          <w:sz w:val="22"/>
          <w:szCs w:val="22"/>
        </w:rPr>
        <w:t>.00</w:t>
      </w:r>
      <w:r w:rsidR="00572021" w:rsidRPr="00A03FD6">
        <w:rPr>
          <w:sz w:val="22"/>
          <w:szCs w:val="22"/>
        </w:rPr>
        <w:t>:</w:t>
      </w:r>
      <w:r w:rsidR="002E0532" w:rsidRPr="00A03FD6">
        <w:rPr>
          <w:sz w:val="22"/>
          <w:szCs w:val="22"/>
        </w:rPr>
        <w:t xml:space="preserve">  M.G.L.</w:t>
      </w:r>
      <w:r w:rsidR="002F48F1" w:rsidRPr="00A03FD6">
        <w:rPr>
          <w:sz w:val="22"/>
          <w:szCs w:val="22"/>
        </w:rPr>
        <w:t xml:space="preserve"> </w:t>
      </w:r>
      <w:r w:rsidR="002E0532" w:rsidRPr="00A03FD6">
        <w:rPr>
          <w:sz w:val="22"/>
          <w:szCs w:val="22"/>
        </w:rPr>
        <w:t>c.118</w:t>
      </w:r>
      <w:r w:rsidR="00572021" w:rsidRPr="00A03FD6">
        <w:rPr>
          <w:sz w:val="22"/>
          <w:szCs w:val="22"/>
        </w:rPr>
        <w:t>E</w:t>
      </w:r>
      <w:r w:rsidR="009E0BD7" w:rsidRPr="00A03FD6">
        <w:rPr>
          <w:sz w:val="22"/>
          <w:szCs w:val="22"/>
        </w:rPr>
        <w:t>.</w:t>
      </w:r>
    </w:p>
    <w:sectPr w:rsidR="002E0532" w:rsidRPr="004A6844" w:rsidSect="005702AD">
      <w:headerReference w:type="default" r:id="rId8"/>
      <w:footerReference w:type="even" r:id="rId9"/>
      <w:footerReference w:type="default" r:id="rId10"/>
      <w:pgSz w:w="12240" w:h="15840" w:code="1"/>
      <w:pgMar w:top="432" w:right="1440" w:bottom="720" w:left="1440" w:header="43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976B1" w14:textId="77777777" w:rsidR="00712055" w:rsidRDefault="00712055">
      <w:r>
        <w:separator/>
      </w:r>
    </w:p>
  </w:endnote>
  <w:endnote w:type="continuationSeparator" w:id="0">
    <w:p w14:paraId="42063F86" w14:textId="77777777" w:rsidR="00712055" w:rsidRDefault="00712055">
      <w:r>
        <w:continuationSeparator/>
      </w:r>
    </w:p>
  </w:endnote>
  <w:endnote w:type="continuationNotice" w:id="1">
    <w:p w14:paraId="4B23CC07" w14:textId="77777777" w:rsidR="00712055" w:rsidRDefault="00712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39A65" w14:textId="77777777" w:rsidR="00D90101" w:rsidRDefault="00D901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46C565" w14:textId="77777777" w:rsidR="00D90101" w:rsidRDefault="00D90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727AF" w14:textId="77777777" w:rsidR="00D90101" w:rsidRDefault="00D901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075A24F1" w14:textId="77777777" w:rsidR="00D90101" w:rsidRDefault="00D90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C1AC9" w14:textId="77777777" w:rsidR="00712055" w:rsidRDefault="00712055">
      <w:r>
        <w:separator/>
      </w:r>
    </w:p>
  </w:footnote>
  <w:footnote w:type="continuationSeparator" w:id="0">
    <w:p w14:paraId="185DA186" w14:textId="77777777" w:rsidR="00712055" w:rsidRDefault="00712055">
      <w:r>
        <w:continuationSeparator/>
      </w:r>
    </w:p>
  </w:footnote>
  <w:footnote w:type="continuationNotice" w:id="1">
    <w:p w14:paraId="388C8D58" w14:textId="77777777" w:rsidR="00712055" w:rsidRDefault="00712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44515" w14:textId="77777777" w:rsidR="0058073B" w:rsidRPr="008C41FB" w:rsidRDefault="00E6338D" w:rsidP="0058073B">
    <w:pPr>
      <w:pStyle w:val="Header"/>
      <w:jc w:val="right"/>
      <w:rPr>
        <w:sz w:val="22"/>
        <w:szCs w:val="22"/>
      </w:rPr>
    </w:pPr>
    <w:r>
      <w:rPr>
        <w:sz w:val="22"/>
        <w:szCs w:val="22"/>
      </w:rPr>
      <w:tab/>
      <w:t xml:space="preserve">                                                                                                               </w:t>
    </w:r>
    <w:r w:rsidR="0058073B">
      <w:rPr>
        <w:sz w:val="22"/>
        <w:szCs w:val="22"/>
      </w:rPr>
      <w:t xml:space="preserve">Final </w:t>
    </w:r>
    <w:r w:rsidR="0058073B" w:rsidRPr="008C41FB">
      <w:rPr>
        <w:sz w:val="22"/>
        <w:szCs w:val="22"/>
      </w:rPr>
      <w:t>Adoption</w:t>
    </w:r>
  </w:p>
  <w:p w14:paraId="1ADE735A" w14:textId="3EB0CBCA" w:rsidR="00D90101" w:rsidRPr="0058073B" w:rsidRDefault="0058073B" w:rsidP="0058073B">
    <w:pPr>
      <w:pStyle w:val="Header"/>
      <w:jc w:val="right"/>
      <w:rPr>
        <w:sz w:val="22"/>
        <w:szCs w:val="22"/>
      </w:rPr>
    </w:pPr>
    <w:r w:rsidRPr="0058073B">
      <w:rPr>
        <w:sz w:val="22"/>
        <w:szCs w:val="22"/>
      </w:rPr>
      <w:t>Date Published in Mass Register: September 27, 2024</w:t>
    </w:r>
  </w:p>
  <w:p w14:paraId="3D7828BF" w14:textId="77777777" w:rsidR="0058073B" w:rsidRDefault="0058073B" w:rsidP="0058073B">
    <w:pPr>
      <w:pStyle w:val="Header"/>
      <w:jc w:val="center"/>
      <w:rPr>
        <w:sz w:val="22"/>
        <w:szCs w:val="22"/>
      </w:rPr>
    </w:pPr>
  </w:p>
  <w:p w14:paraId="62FBF54C" w14:textId="252CF243" w:rsidR="00D90101" w:rsidRDefault="00D90101" w:rsidP="0031332D">
    <w:pPr>
      <w:pStyle w:val="Header"/>
      <w:jc w:val="center"/>
      <w:rPr>
        <w:sz w:val="22"/>
        <w:szCs w:val="22"/>
      </w:rPr>
    </w:pPr>
    <w:r>
      <w:rPr>
        <w:sz w:val="22"/>
        <w:szCs w:val="22"/>
      </w:rPr>
      <w:t>101 CMR:  EXECUTIVE OFFICE OF HEALTH AND HUMAN SERVICES</w:t>
    </w:r>
  </w:p>
  <w:p w14:paraId="4856B993" w14:textId="77777777" w:rsidR="00D90101" w:rsidRDefault="00D90101" w:rsidP="0031332D">
    <w:pPr>
      <w:pStyle w:val="Header"/>
      <w:jc w:val="center"/>
      <w:rPr>
        <w:sz w:val="22"/>
        <w:szCs w:val="22"/>
      </w:rPr>
    </w:pPr>
  </w:p>
  <w:p w14:paraId="76FE47E3" w14:textId="5E59F1B1" w:rsidR="00D90101" w:rsidRDefault="00D90101" w:rsidP="002A6E9D">
    <w:pPr>
      <w:suppressAutoHyphens/>
      <w:jc w:val="center"/>
      <w:rPr>
        <w:sz w:val="22"/>
        <w:szCs w:val="22"/>
      </w:rPr>
    </w:pPr>
    <w:r w:rsidRPr="002A6E9D">
      <w:rPr>
        <w:sz w:val="22"/>
        <w:szCs w:val="22"/>
      </w:rPr>
      <w:t xml:space="preserve">101 CMR 446.00: </w:t>
    </w:r>
    <w:r>
      <w:rPr>
        <w:sz w:val="22"/>
        <w:szCs w:val="22"/>
      </w:rPr>
      <w:t xml:space="preserve"> </w:t>
    </w:r>
    <w:r w:rsidR="00F95FCE">
      <w:rPr>
        <w:sz w:val="22"/>
        <w:szCs w:val="22"/>
      </w:rPr>
      <w:t xml:space="preserve">COVID-19 AND </w:t>
    </w:r>
    <w:r>
      <w:rPr>
        <w:sz w:val="22"/>
        <w:szCs w:val="22"/>
      </w:rPr>
      <w:t>PUBLIC HEALTH EMERGENCY</w:t>
    </w:r>
    <w:r w:rsidRPr="002A6E9D">
      <w:rPr>
        <w:sz w:val="22"/>
        <w:szCs w:val="22"/>
      </w:rPr>
      <w:t xml:space="preserve"> PAYMENT RATES FOR CERTAIN COMMUNITY HEALTH CARE PROVIDERS </w:t>
    </w:r>
  </w:p>
  <w:p w14:paraId="71999936" w14:textId="77777777" w:rsidR="00D90101" w:rsidRPr="002A6E9D" w:rsidRDefault="00D90101" w:rsidP="002A6E9D">
    <w:pPr>
      <w:suppressAutoHyphens/>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B4C56"/>
    <w:multiLevelType w:val="hybridMultilevel"/>
    <w:tmpl w:val="71ECECA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3E1DB7"/>
    <w:multiLevelType w:val="singleLevel"/>
    <w:tmpl w:val="8A428118"/>
    <w:lvl w:ilvl="0">
      <w:start w:val="6"/>
      <w:numFmt w:val="none"/>
      <w:lvlText w:val="(5)"/>
      <w:lvlJc w:val="left"/>
      <w:pPr>
        <w:tabs>
          <w:tab w:val="num" w:pos="1170"/>
        </w:tabs>
        <w:ind w:left="1170" w:hanging="360"/>
      </w:pPr>
      <w:rPr>
        <w:rFonts w:hint="default"/>
      </w:rPr>
    </w:lvl>
  </w:abstractNum>
  <w:abstractNum w:abstractNumId="2" w15:restartNumberingAfterBreak="0">
    <w:nsid w:val="0EAA3204"/>
    <w:multiLevelType w:val="singleLevel"/>
    <w:tmpl w:val="080E6450"/>
    <w:lvl w:ilvl="0">
      <w:start w:val="2"/>
      <w:numFmt w:val="decimal"/>
      <w:lvlText w:val="(%1)"/>
      <w:lvlJc w:val="left"/>
      <w:pPr>
        <w:tabs>
          <w:tab w:val="num" w:pos="1080"/>
        </w:tabs>
        <w:ind w:left="1080" w:hanging="360"/>
      </w:pPr>
      <w:rPr>
        <w:rFonts w:hint="default"/>
      </w:rPr>
    </w:lvl>
  </w:abstractNum>
  <w:abstractNum w:abstractNumId="3" w15:restartNumberingAfterBreak="0">
    <w:nsid w:val="215044F7"/>
    <w:multiLevelType w:val="hybridMultilevel"/>
    <w:tmpl w:val="6CD6E9A4"/>
    <w:lvl w:ilvl="0" w:tplc="F9C6A4E2">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5C365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884070F"/>
    <w:multiLevelType w:val="multilevel"/>
    <w:tmpl w:val="D06C69BE"/>
    <w:lvl w:ilvl="0">
      <w:start w:val="1"/>
      <w:numFmt w:val="bullet"/>
      <w:lvlText w:val=""/>
      <w:lvlJc w:val="left"/>
      <w:pPr>
        <w:tabs>
          <w:tab w:val="left" w:pos="810"/>
        </w:tabs>
        <w:ind w:left="810" w:hanging="360"/>
      </w:pPr>
      <w:rPr>
        <w:rFonts w:ascii="Symbol" w:hAnsi="Symbol"/>
        <w:sz w:val="16"/>
      </w:rPr>
    </w:lvl>
    <w:lvl w:ilvl="1">
      <w:start w:val="1"/>
      <w:numFmt w:val="bullet"/>
      <w:lvlText w:val="o"/>
      <w:lvlJc w:val="left"/>
      <w:pPr>
        <w:tabs>
          <w:tab w:val="left" w:pos="1170"/>
        </w:tabs>
        <w:ind w:left="1170" w:hanging="360"/>
      </w:pPr>
      <w:rPr>
        <w:rFonts w:ascii="Courier New" w:hAnsi="Courier New"/>
      </w:rPr>
    </w:lvl>
    <w:lvl w:ilvl="2">
      <w:start w:val="1"/>
      <w:numFmt w:val="bullet"/>
      <w:lvlText w:val=""/>
      <w:lvlJc w:val="left"/>
      <w:pPr>
        <w:tabs>
          <w:tab w:val="left" w:pos="1890"/>
        </w:tabs>
        <w:ind w:left="1890" w:hanging="360"/>
      </w:pPr>
      <w:rPr>
        <w:rFonts w:ascii="Wingdings" w:hAnsi="Wingdings"/>
      </w:rPr>
    </w:lvl>
    <w:lvl w:ilvl="3">
      <w:start w:val="1"/>
      <w:numFmt w:val="bullet"/>
      <w:lvlText w:val=""/>
      <w:lvlJc w:val="left"/>
      <w:pPr>
        <w:tabs>
          <w:tab w:val="left" w:pos="2610"/>
        </w:tabs>
        <w:ind w:left="2610" w:hanging="360"/>
      </w:pPr>
      <w:rPr>
        <w:rFonts w:ascii="Symbol" w:hAnsi="Symbol"/>
      </w:rPr>
    </w:lvl>
    <w:lvl w:ilvl="4">
      <w:start w:val="1"/>
      <w:numFmt w:val="bullet"/>
      <w:lvlText w:val="o"/>
      <w:lvlJc w:val="left"/>
      <w:pPr>
        <w:tabs>
          <w:tab w:val="left" w:pos="3330"/>
        </w:tabs>
        <w:ind w:left="3330" w:hanging="360"/>
      </w:pPr>
      <w:rPr>
        <w:rFonts w:ascii="Courier New" w:hAnsi="Courier New"/>
      </w:rPr>
    </w:lvl>
    <w:lvl w:ilvl="5">
      <w:start w:val="1"/>
      <w:numFmt w:val="bullet"/>
      <w:lvlText w:val=""/>
      <w:lvlJc w:val="left"/>
      <w:pPr>
        <w:tabs>
          <w:tab w:val="left" w:pos="4050"/>
        </w:tabs>
        <w:ind w:left="4050" w:hanging="360"/>
      </w:pPr>
      <w:rPr>
        <w:rFonts w:ascii="Wingdings" w:hAnsi="Wingdings"/>
      </w:rPr>
    </w:lvl>
    <w:lvl w:ilvl="6">
      <w:start w:val="1"/>
      <w:numFmt w:val="bullet"/>
      <w:lvlText w:val=""/>
      <w:lvlJc w:val="left"/>
      <w:pPr>
        <w:tabs>
          <w:tab w:val="left" w:pos="4770"/>
        </w:tabs>
        <w:ind w:left="4770" w:hanging="360"/>
      </w:pPr>
      <w:rPr>
        <w:rFonts w:ascii="Symbol" w:hAnsi="Symbol"/>
      </w:rPr>
    </w:lvl>
    <w:lvl w:ilvl="7">
      <w:start w:val="1"/>
      <w:numFmt w:val="bullet"/>
      <w:lvlText w:val="o"/>
      <w:lvlJc w:val="left"/>
      <w:pPr>
        <w:tabs>
          <w:tab w:val="left" w:pos="5490"/>
        </w:tabs>
        <w:ind w:left="5490" w:hanging="360"/>
      </w:pPr>
      <w:rPr>
        <w:rFonts w:ascii="Courier New" w:hAnsi="Courier New"/>
      </w:rPr>
    </w:lvl>
    <w:lvl w:ilvl="8">
      <w:start w:val="1"/>
      <w:numFmt w:val="bullet"/>
      <w:lvlText w:val=""/>
      <w:lvlJc w:val="left"/>
      <w:pPr>
        <w:tabs>
          <w:tab w:val="left" w:pos="6210"/>
        </w:tabs>
        <w:ind w:left="6210" w:hanging="360"/>
      </w:pPr>
      <w:rPr>
        <w:rFonts w:ascii="Wingdings" w:hAnsi="Wingdings"/>
      </w:rPr>
    </w:lvl>
  </w:abstractNum>
  <w:abstractNum w:abstractNumId="6" w15:restartNumberingAfterBreak="0">
    <w:nsid w:val="31A67C41"/>
    <w:multiLevelType w:val="hybridMultilevel"/>
    <w:tmpl w:val="4F280698"/>
    <w:lvl w:ilvl="0" w:tplc="293E9ECE">
      <w:start w:val="1"/>
      <w:numFmt w:val="bullet"/>
      <w:lvlText w:val=""/>
      <w:lvlJc w:val="left"/>
      <w:pPr>
        <w:tabs>
          <w:tab w:val="num" w:pos="1530"/>
        </w:tabs>
        <w:ind w:left="1530" w:hanging="360"/>
      </w:pPr>
      <w:rPr>
        <w:rFonts w:ascii="Symbol" w:hAnsi="Symbol" w:hint="default"/>
      </w:rPr>
    </w:lvl>
    <w:lvl w:ilvl="1" w:tplc="D7882CE0" w:tentative="1">
      <w:start w:val="1"/>
      <w:numFmt w:val="bullet"/>
      <w:lvlText w:val="o"/>
      <w:lvlJc w:val="left"/>
      <w:pPr>
        <w:tabs>
          <w:tab w:val="num" w:pos="2250"/>
        </w:tabs>
        <w:ind w:left="2250" w:hanging="360"/>
      </w:pPr>
      <w:rPr>
        <w:rFonts w:ascii="Courier New" w:hAnsi="Courier New" w:cs="Courier New" w:hint="default"/>
      </w:rPr>
    </w:lvl>
    <w:lvl w:ilvl="2" w:tplc="18E8EFDC" w:tentative="1">
      <w:start w:val="1"/>
      <w:numFmt w:val="bullet"/>
      <w:lvlText w:val=""/>
      <w:lvlJc w:val="left"/>
      <w:pPr>
        <w:tabs>
          <w:tab w:val="num" w:pos="2970"/>
        </w:tabs>
        <w:ind w:left="2970" w:hanging="360"/>
      </w:pPr>
      <w:rPr>
        <w:rFonts w:ascii="Wingdings" w:hAnsi="Wingdings" w:hint="default"/>
      </w:rPr>
    </w:lvl>
    <w:lvl w:ilvl="3" w:tplc="4B84997C" w:tentative="1">
      <w:start w:val="1"/>
      <w:numFmt w:val="bullet"/>
      <w:lvlText w:val=""/>
      <w:lvlJc w:val="left"/>
      <w:pPr>
        <w:tabs>
          <w:tab w:val="num" w:pos="3690"/>
        </w:tabs>
        <w:ind w:left="3690" w:hanging="360"/>
      </w:pPr>
      <w:rPr>
        <w:rFonts w:ascii="Symbol" w:hAnsi="Symbol" w:hint="default"/>
      </w:rPr>
    </w:lvl>
    <w:lvl w:ilvl="4" w:tplc="CCF6AF26" w:tentative="1">
      <w:start w:val="1"/>
      <w:numFmt w:val="bullet"/>
      <w:lvlText w:val="o"/>
      <w:lvlJc w:val="left"/>
      <w:pPr>
        <w:tabs>
          <w:tab w:val="num" w:pos="4410"/>
        </w:tabs>
        <w:ind w:left="4410" w:hanging="360"/>
      </w:pPr>
      <w:rPr>
        <w:rFonts w:ascii="Courier New" w:hAnsi="Courier New" w:cs="Courier New" w:hint="default"/>
      </w:rPr>
    </w:lvl>
    <w:lvl w:ilvl="5" w:tplc="EA5A347A" w:tentative="1">
      <w:start w:val="1"/>
      <w:numFmt w:val="bullet"/>
      <w:lvlText w:val=""/>
      <w:lvlJc w:val="left"/>
      <w:pPr>
        <w:tabs>
          <w:tab w:val="num" w:pos="5130"/>
        </w:tabs>
        <w:ind w:left="5130" w:hanging="360"/>
      </w:pPr>
      <w:rPr>
        <w:rFonts w:ascii="Wingdings" w:hAnsi="Wingdings" w:hint="default"/>
      </w:rPr>
    </w:lvl>
    <w:lvl w:ilvl="6" w:tplc="8C08909E" w:tentative="1">
      <w:start w:val="1"/>
      <w:numFmt w:val="bullet"/>
      <w:lvlText w:val=""/>
      <w:lvlJc w:val="left"/>
      <w:pPr>
        <w:tabs>
          <w:tab w:val="num" w:pos="5850"/>
        </w:tabs>
        <w:ind w:left="5850" w:hanging="360"/>
      </w:pPr>
      <w:rPr>
        <w:rFonts w:ascii="Symbol" w:hAnsi="Symbol" w:hint="default"/>
      </w:rPr>
    </w:lvl>
    <w:lvl w:ilvl="7" w:tplc="810C30D4" w:tentative="1">
      <w:start w:val="1"/>
      <w:numFmt w:val="bullet"/>
      <w:lvlText w:val="o"/>
      <w:lvlJc w:val="left"/>
      <w:pPr>
        <w:tabs>
          <w:tab w:val="num" w:pos="6570"/>
        </w:tabs>
        <w:ind w:left="6570" w:hanging="360"/>
      </w:pPr>
      <w:rPr>
        <w:rFonts w:ascii="Courier New" w:hAnsi="Courier New" w:cs="Courier New" w:hint="default"/>
      </w:rPr>
    </w:lvl>
    <w:lvl w:ilvl="8" w:tplc="BBE28410" w:tentative="1">
      <w:start w:val="1"/>
      <w:numFmt w:val="bullet"/>
      <w:lvlText w:val=""/>
      <w:lvlJc w:val="left"/>
      <w:pPr>
        <w:tabs>
          <w:tab w:val="num" w:pos="7290"/>
        </w:tabs>
        <w:ind w:left="7290" w:hanging="360"/>
      </w:pPr>
      <w:rPr>
        <w:rFonts w:ascii="Wingdings" w:hAnsi="Wingdings" w:hint="default"/>
      </w:rPr>
    </w:lvl>
  </w:abstractNum>
  <w:abstractNum w:abstractNumId="7" w15:restartNumberingAfterBreak="0">
    <w:nsid w:val="3923294C"/>
    <w:multiLevelType w:val="singleLevel"/>
    <w:tmpl w:val="3730BCB6"/>
    <w:lvl w:ilvl="0">
      <w:start w:val="5"/>
      <w:numFmt w:val="decimal"/>
      <w:lvlText w:val="(%1)"/>
      <w:lvlJc w:val="left"/>
      <w:pPr>
        <w:tabs>
          <w:tab w:val="num" w:pos="1890"/>
        </w:tabs>
        <w:ind w:left="1890" w:hanging="450"/>
      </w:pPr>
      <w:rPr>
        <w:rFonts w:hint="default"/>
      </w:rPr>
    </w:lvl>
  </w:abstractNum>
  <w:abstractNum w:abstractNumId="8" w15:restartNumberingAfterBreak="0">
    <w:nsid w:val="3DB45CEF"/>
    <w:multiLevelType w:val="singleLevel"/>
    <w:tmpl w:val="13A0520E"/>
    <w:lvl w:ilvl="0">
      <w:start w:val="8"/>
      <w:numFmt w:val="decimal"/>
      <w:lvlText w:val="(%1)"/>
      <w:lvlJc w:val="left"/>
      <w:pPr>
        <w:tabs>
          <w:tab w:val="num" w:pos="360"/>
        </w:tabs>
        <w:ind w:left="360" w:hanging="360"/>
      </w:pPr>
      <w:rPr>
        <w:rFonts w:hint="default"/>
        <w:u w:val="none"/>
      </w:rPr>
    </w:lvl>
  </w:abstractNum>
  <w:abstractNum w:abstractNumId="9" w15:restartNumberingAfterBreak="0">
    <w:nsid w:val="46C00059"/>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F704120"/>
    <w:multiLevelType w:val="singleLevel"/>
    <w:tmpl w:val="04090019"/>
    <w:lvl w:ilvl="0">
      <w:start w:val="1"/>
      <w:numFmt w:val="lowerLetter"/>
      <w:lvlText w:val="(%1)"/>
      <w:lvlJc w:val="left"/>
      <w:pPr>
        <w:tabs>
          <w:tab w:val="num" w:pos="360"/>
        </w:tabs>
        <w:ind w:left="360" w:hanging="360"/>
      </w:pPr>
    </w:lvl>
  </w:abstractNum>
  <w:abstractNum w:abstractNumId="11" w15:restartNumberingAfterBreak="0">
    <w:nsid w:val="50EE7B0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18E7923"/>
    <w:multiLevelType w:val="hybridMultilevel"/>
    <w:tmpl w:val="19982D00"/>
    <w:lvl w:ilvl="0" w:tplc="ABD45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50041A"/>
    <w:multiLevelType w:val="hybridMultilevel"/>
    <w:tmpl w:val="74EE6A7E"/>
    <w:lvl w:ilvl="0" w:tplc="988830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750A57"/>
    <w:multiLevelType w:val="hybridMultilevel"/>
    <w:tmpl w:val="1DC46E2A"/>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E3021E"/>
    <w:multiLevelType w:val="hybridMultilevel"/>
    <w:tmpl w:val="524800D4"/>
    <w:lvl w:ilvl="0" w:tplc="F0DCD6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F736B"/>
    <w:multiLevelType w:val="singleLevel"/>
    <w:tmpl w:val="9B489D08"/>
    <w:lvl w:ilvl="0">
      <w:start w:val="1"/>
      <w:numFmt w:val="lowerLetter"/>
      <w:lvlText w:val="(%1)"/>
      <w:lvlJc w:val="left"/>
      <w:pPr>
        <w:tabs>
          <w:tab w:val="num" w:pos="360"/>
        </w:tabs>
        <w:ind w:left="360" w:hanging="360"/>
      </w:pPr>
    </w:lvl>
  </w:abstractNum>
  <w:abstractNum w:abstractNumId="17" w15:restartNumberingAfterBreak="0">
    <w:nsid w:val="5B326599"/>
    <w:multiLevelType w:val="hybridMultilevel"/>
    <w:tmpl w:val="C7F6C8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0D27A80"/>
    <w:multiLevelType w:val="hybridMultilevel"/>
    <w:tmpl w:val="8E0252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A53093"/>
    <w:multiLevelType w:val="hybridMultilevel"/>
    <w:tmpl w:val="64E07F94"/>
    <w:lvl w:ilvl="0" w:tplc="E51E4DDC">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5D334C"/>
    <w:multiLevelType w:val="singleLevel"/>
    <w:tmpl w:val="4B602764"/>
    <w:lvl w:ilvl="0">
      <w:start w:val="4"/>
      <w:numFmt w:val="decimal"/>
      <w:lvlText w:val="(%1)"/>
      <w:lvlJc w:val="left"/>
      <w:pPr>
        <w:tabs>
          <w:tab w:val="num" w:pos="1800"/>
        </w:tabs>
        <w:ind w:left="1800" w:hanging="360"/>
      </w:pPr>
      <w:rPr>
        <w:rFonts w:hint="default"/>
      </w:rPr>
    </w:lvl>
  </w:abstractNum>
  <w:abstractNum w:abstractNumId="21" w15:restartNumberingAfterBreak="0">
    <w:nsid w:val="7C576DDC"/>
    <w:multiLevelType w:val="hybridMultilevel"/>
    <w:tmpl w:val="C4741BF2"/>
    <w:lvl w:ilvl="0" w:tplc="54640CF2">
      <w:start w:val="4"/>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FF6A0D"/>
    <w:multiLevelType w:val="singleLevel"/>
    <w:tmpl w:val="5B74CB02"/>
    <w:lvl w:ilvl="0">
      <w:start w:val="5"/>
      <w:numFmt w:val="none"/>
      <w:lvlText w:val="(7)"/>
      <w:lvlJc w:val="left"/>
      <w:pPr>
        <w:tabs>
          <w:tab w:val="num" w:pos="1080"/>
        </w:tabs>
        <w:ind w:left="1080" w:hanging="360"/>
      </w:pPr>
      <w:rPr>
        <w:rFonts w:hint="default"/>
      </w:rPr>
    </w:lvl>
  </w:abstractNum>
  <w:abstractNum w:abstractNumId="23" w15:restartNumberingAfterBreak="0">
    <w:nsid w:val="7E0A0D6B"/>
    <w:multiLevelType w:val="hybridMultilevel"/>
    <w:tmpl w:val="F7447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F49693A"/>
    <w:multiLevelType w:val="hybridMultilevel"/>
    <w:tmpl w:val="232823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83528341">
    <w:abstractNumId w:val="2"/>
  </w:num>
  <w:num w:numId="2" w16cid:durableId="1759790668">
    <w:abstractNumId w:val="20"/>
  </w:num>
  <w:num w:numId="3" w16cid:durableId="488599142">
    <w:abstractNumId w:val="8"/>
  </w:num>
  <w:num w:numId="4" w16cid:durableId="1865748894">
    <w:abstractNumId w:val="11"/>
  </w:num>
  <w:num w:numId="5" w16cid:durableId="1751461598">
    <w:abstractNumId w:val="4"/>
  </w:num>
  <w:num w:numId="6" w16cid:durableId="1608345165">
    <w:abstractNumId w:val="9"/>
  </w:num>
  <w:num w:numId="7" w16cid:durableId="1386677616">
    <w:abstractNumId w:val="22"/>
  </w:num>
  <w:num w:numId="8" w16cid:durableId="865338103">
    <w:abstractNumId w:val="1"/>
  </w:num>
  <w:num w:numId="9" w16cid:durableId="2140144070">
    <w:abstractNumId w:val="7"/>
  </w:num>
  <w:num w:numId="10" w16cid:durableId="1571304923">
    <w:abstractNumId w:val="10"/>
  </w:num>
  <w:num w:numId="11" w16cid:durableId="2087458903">
    <w:abstractNumId w:val="16"/>
  </w:num>
  <w:num w:numId="12" w16cid:durableId="1217593581">
    <w:abstractNumId w:val="5"/>
  </w:num>
  <w:num w:numId="13" w16cid:durableId="584728731">
    <w:abstractNumId w:val="6"/>
  </w:num>
  <w:num w:numId="14" w16cid:durableId="1220706080">
    <w:abstractNumId w:val="19"/>
  </w:num>
  <w:num w:numId="15" w16cid:durableId="511993281">
    <w:abstractNumId w:val="3"/>
  </w:num>
  <w:num w:numId="16" w16cid:durableId="927159107">
    <w:abstractNumId w:val="23"/>
  </w:num>
  <w:num w:numId="17" w16cid:durableId="979265452">
    <w:abstractNumId w:val="15"/>
  </w:num>
  <w:num w:numId="18" w16cid:durableId="1587223619">
    <w:abstractNumId w:val="13"/>
  </w:num>
  <w:num w:numId="19" w16cid:durableId="1029336236">
    <w:abstractNumId w:val="12"/>
  </w:num>
  <w:num w:numId="20" w16cid:durableId="1651711022">
    <w:abstractNumId w:val="24"/>
  </w:num>
  <w:num w:numId="21" w16cid:durableId="1988631604">
    <w:abstractNumId w:val="14"/>
  </w:num>
  <w:num w:numId="22" w16cid:durableId="998189695">
    <w:abstractNumId w:val="21"/>
  </w:num>
  <w:num w:numId="23" w16cid:durableId="292712243">
    <w:abstractNumId w:val="18"/>
  </w:num>
  <w:num w:numId="24" w16cid:durableId="1829053020">
    <w:abstractNumId w:val="0"/>
  </w:num>
  <w:num w:numId="25" w16cid:durableId="17166562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FF"/>
    <w:rsid w:val="0000170F"/>
    <w:rsid w:val="0000185B"/>
    <w:rsid w:val="00007C02"/>
    <w:rsid w:val="00011764"/>
    <w:rsid w:val="0001206F"/>
    <w:rsid w:val="000164A6"/>
    <w:rsid w:val="0004148A"/>
    <w:rsid w:val="000468F2"/>
    <w:rsid w:val="000512CF"/>
    <w:rsid w:val="00051496"/>
    <w:rsid w:val="00065197"/>
    <w:rsid w:val="00073635"/>
    <w:rsid w:val="00073A6C"/>
    <w:rsid w:val="00091304"/>
    <w:rsid w:val="000932F5"/>
    <w:rsid w:val="0009469F"/>
    <w:rsid w:val="000956E6"/>
    <w:rsid w:val="000A00DD"/>
    <w:rsid w:val="000A1C75"/>
    <w:rsid w:val="000A531C"/>
    <w:rsid w:val="000A5461"/>
    <w:rsid w:val="000A579D"/>
    <w:rsid w:val="000C01E8"/>
    <w:rsid w:val="000D03BA"/>
    <w:rsid w:val="000D0B70"/>
    <w:rsid w:val="000E056E"/>
    <w:rsid w:val="000E4748"/>
    <w:rsid w:val="000E5415"/>
    <w:rsid w:val="000F3E1F"/>
    <w:rsid w:val="00100C82"/>
    <w:rsid w:val="00100DE2"/>
    <w:rsid w:val="00107A9B"/>
    <w:rsid w:val="00121208"/>
    <w:rsid w:val="00124870"/>
    <w:rsid w:val="0013109B"/>
    <w:rsid w:val="001320FC"/>
    <w:rsid w:val="001347C2"/>
    <w:rsid w:val="0013723F"/>
    <w:rsid w:val="001411F3"/>
    <w:rsid w:val="00157419"/>
    <w:rsid w:val="00164BB0"/>
    <w:rsid w:val="00166BF8"/>
    <w:rsid w:val="0016773E"/>
    <w:rsid w:val="00170BD5"/>
    <w:rsid w:val="00173895"/>
    <w:rsid w:val="0017455E"/>
    <w:rsid w:val="0017697C"/>
    <w:rsid w:val="0018360D"/>
    <w:rsid w:val="0018425C"/>
    <w:rsid w:val="00193A6E"/>
    <w:rsid w:val="001B4021"/>
    <w:rsid w:val="001C2C49"/>
    <w:rsid w:val="001D37A0"/>
    <w:rsid w:val="001E0402"/>
    <w:rsid w:val="001E687C"/>
    <w:rsid w:val="001E723B"/>
    <w:rsid w:val="001F71B1"/>
    <w:rsid w:val="002054B5"/>
    <w:rsid w:val="00205D91"/>
    <w:rsid w:val="0020734A"/>
    <w:rsid w:val="00221EFE"/>
    <w:rsid w:val="00222829"/>
    <w:rsid w:val="002270F0"/>
    <w:rsid w:val="002330A6"/>
    <w:rsid w:val="00242234"/>
    <w:rsid w:val="0024699F"/>
    <w:rsid w:val="002609D9"/>
    <w:rsid w:val="00261AF6"/>
    <w:rsid w:val="002633B6"/>
    <w:rsid w:val="00267DDA"/>
    <w:rsid w:val="00267DE4"/>
    <w:rsid w:val="00270BC9"/>
    <w:rsid w:val="0027554D"/>
    <w:rsid w:val="00284BDD"/>
    <w:rsid w:val="00297D83"/>
    <w:rsid w:val="002A1C35"/>
    <w:rsid w:val="002A25E9"/>
    <w:rsid w:val="002A6E9D"/>
    <w:rsid w:val="002B54C9"/>
    <w:rsid w:val="002B5A91"/>
    <w:rsid w:val="002B5B96"/>
    <w:rsid w:val="002B7C32"/>
    <w:rsid w:val="002C2464"/>
    <w:rsid w:val="002C3696"/>
    <w:rsid w:val="002C7AB0"/>
    <w:rsid w:val="002D0778"/>
    <w:rsid w:val="002D5741"/>
    <w:rsid w:val="002E0532"/>
    <w:rsid w:val="002F1F78"/>
    <w:rsid w:val="002F3B85"/>
    <w:rsid w:val="002F48F1"/>
    <w:rsid w:val="002F6250"/>
    <w:rsid w:val="00307C74"/>
    <w:rsid w:val="0031332D"/>
    <w:rsid w:val="00316171"/>
    <w:rsid w:val="00316179"/>
    <w:rsid w:val="0031618E"/>
    <w:rsid w:val="00324E1C"/>
    <w:rsid w:val="00330F8F"/>
    <w:rsid w:val="003337E8"/>
    <w:rsid w:val="003443A4"/>
    <w:rsid w:val="00344F5D"/>
    <w:rsid w:val="00345751"/>
    <w:rsid w:val="00347834"/>
    <w:rsid w:val="0035531B"/>
    <w:rsid w:val="00362258"/>
    <w:rsid w:val="00363AB6"/>
    <w:rsid w:val="003737F2"/>
    <w:rsid w:val="00397D11"/>
    <w:rsid w:val="003A404B"/>
    <w:rsid w:val="003B2D35"/>
    <w:rsid w:val="003B37F4"/>
    <w:rsid w:val="003B510C"/>
    <w:rsid w:val="003C13FB"/>
    <w:rsid w:val="003C28A3"/>
    <w:rsid w:val="003E2845"/>
    <w:rsid w:val="003E3DB0"/>
    <w:rsid w:val="003F2699"/>
    <w:rsid w:val="003F70BA"/>
    <w:rsid w:val="00402012"/>
    <w:rsid w:val="00403661"/>
    <w:rsid w:val="00413AE6"/>
    <w:rsid w:val="00416478"/>
    <w:rsid w:val="00422935"/>
    <w:rsid w:val="00427AB5"/>
    <w:rsid w:val="004321FC"/>
    <w:rsid w:val="00434AE1"/>
    <w:rsid w:val="004410B6"/>
    <w:rsid w:val="004435E1"/>
    <w:rsid w:val="00475F0C"/>
    <w:rsid w:val="0047630D"/>
    <w:rsid w:val="004A3204"/>
    <w:rsid w:val="004A6844"/>
    <w:rsid w:val="004B56A9"/>
    <w:rsid w:val="004C1BA2"/>
    <w:rsid w:val="004C458D"/>
    <w:rsid w:val="004C5B9E"/>
    <w:rsid w:val="004C7398"/>
    <w:rsid w:val="004E2A06"/>
    <w:rsid w:val="004F3DA8"/>
    <w:rsid w:val="004F414C"/>
    <w:rsid w:val="00504BB9"/>
    <w:rsid w:val="00516E06"/>
    <w:rsid w:val="00525F98"/>
    <w:rsid w:val="00530D86"/>
    <w:rsid w:val="0053579E"/>
    <w:rsid w:val="00536C1F"/>
    <w:rsid w:val="00557BE6"/>
    <w:rsid w:val="00567624"/>
    <w:rsid w:val="005702AD"/>
    <w:rsid w:val="00572021"/>
    <w:rsid w:val="005744E4"/>
    <w:rsid w:val="0058073B"/>
    <w:rsid w:val="005831C7"/>
    <w:rsid w:val="00593E75"/>
    <w:rsid w:val="00596617"/>
    <w:rsid w:val="005A1FD4"/>
    <w:rsid w:val="005A37D0"/>
    <w:rsid w:val="005B584F"/>
    <w:rsid w:val="005C018A"/>
    <w:rsid w:val="005C363C"/>
    <w:rsid w:val="005C7914"/>
    <w:rsid w:val="005D090D"/>
    <w:rsid w:val="005D3167"/>
    <w:rsid w:val="005D629F"/>
    <w:rsid w:val="005D72BD"/>
    <w:rsid w:val="005E16EF"/>
    <w:rsid w:val="005E3FB4"/>
    <w:rsid w:val="005F3146"/>
    <w:rsid w:val="005F4EA2"/>
    <w:rsid w:val="005F5F08"/>
    <w:rsid w:val="005F6952"/>
    <w:rsid w:val="005F7116"/>
    <w:rsid w:val="005F7A26"/>
    <w:rsid w:val="006003C3"/>
    <w:rsid w:val="00601BF0"/>
    <w:rsid w:val="00601E5B"/>
    <w:rsid w:val="00604B5A"/>
    <w:rsid w:val="006052E3"/>
    <w:rsid w:val="0061447E"/>
    <w:rsid w:val="006152C7"/>
    <w:rsid w:val="00615882"/>
    <w:rsid w:val="0062275D"/>
    <w:rsid w:val="00641121"/>
    <w:rsid w:val="00643A7C"/>
    <w:rsid w:val="00643F08"/>
    <w:rsid w:val="00652A60"/>
    <w:rsid w:val="00653B5C"/>
    <w:rsid w:val="00654EEE"/>
    <w:rsid w:val="006706ED"/>
    <w:rsid w:val="006723B1"/>
    <w:rsid w:val="00672421"/>
    <w:rsid w:val="00675247"/>
    <w:rsid w:val="00680196"/>
    <w:rsid w:val="00681CA9"/>
    <w:rsid w:val="00685990"/>
    <w:rsid w:val="00693234"/>
    <w:rsid w:val="006A35AC"/>
    <w:rsid w:val="006A45DF"/>
    <w:rsid w:val="006A4FDB"/>
    <w:rsid w:val="006A6593"/>
    <w:rsid w:val="006D0606"/>
    <w:rsid w:val="006E1059"/>
    <w:rsid w:val="006F0686"/>
    <w:rsid w:val="006F073E"/>
    <w:rsid w:val="006F0897"/>
    <w:rsid w:val="006F751A"/>
    <w:rsid w:val="00700560"/>
    <w:rsid w:val="00705CE9"/>
    <w:rsid w:val="00712055"/>
    <w:rsid w:val="0071261C"/>
    <w:rsid w:val="00726053"/>
    <w:rsid w:val="007276A6"/>
    <w:rsid w:val="007302AA"/>
    <w:rsid w:val="00742330"/>
    <w:rsid w:val="00742745"/>
    <w:rsid w:val="00742A58"/>
    <w:rsid w:val="007461BB"/>
    <w:rsid w:val="00747669"/>
    <w:rsid w:val="0075349B"/>
    <w:rsid w:val="00753666"/>
    <w:rsid w:val="007617D1"/>
    <w:rsid w:val="00764982"/>
    <w:rsid w:val="0079307F"/>
    <w:rsid w:val="00795DB1"/>
    <w:rsid w:val="007A01DE"/>
    <w:rsid w:val="007A6377"/>
    <w:rsid w:val="007B3583"/>
    <w:rsid w:val="007B66FB"/>
    <w:rsid w:val="007B6C5F"/>
    <w:rsid w:val="007C5428"/>
    <w:rsid w:val="007C5AC1"/>
    <w:rsid w:val="007D071E"/>
    <w:rsid w:val="007D7BE0"/>
    <w:rsid w:val="007E6E8D"/>
    <w:rsid w:val="007F4743"/>
    <w:rsid w:val="00804521"/>
    <w:rsid w:val="00805B56"/>
    <w:rsid w:val="008126C8"/>
    <w:rsid w:val="0081791B"/>
    <w:rsid w:val="00822132"/>
    <w:rsid w:val="00823314"/>
    <w:rsid w:val="008370D9"/>
    <w:rsid w:val="00845057"/>
    <w:rsid w:val="008503F0"/>
    <w:rsid w:val="00853B54"/>
    <w:rsid w:val="00860350"/>
    <w:rsid w:val="008805FD"/>
    <w:rsid w:val="008929FB"/>
    <w:rsid w:val="008A32AE"/>
    <w:rsid w:val="008A35E2"/>
    <w:rsid w:val="008A4E26"/>
    <w:rsid w:val="008C41FB"/>
    <w:rsid w:val="008C7399"/>
    <w:rsid w:val="008E1785"/>
    <w:rsid w:val="008E4E27"/>
    <w:rsid w:val="008F7926"/>
    <w:rsid w:val="00911714"/>
    <w:rsid w:val="009135FA"/>
    <w:rsid w:val="0091656E"/>
    <w:rsid w:val="00916A33"/>
    <w:rsid w:val="00925322"/>
    <w:rsid w:val="00933DFB"/>
    <w:rsid w:val="00934696"/>
    <w:rsid w:val="00935423"/>
    <w:rsid w:val="0093656A"/>
    <w:rsid w:val="00956683"/>
    <w:rsid w:val="00963B8E"/>
    <w:rsid w:val="00970D1D"/>
    <w:rsid w:val="0097793A"/>
    <w:rsid w:val="00986E49"/>
    <w:rsid w:val="00987A24"/>
    <w:rsid w:val="009932B7"/>
    <w:rsid w:val="00995AA5"/>
    <w:rsid w:val="00996C69"/>
    <w:rsid w:val="009A09D9"/>
    <w:rsid w:val="009A30AF"/>
    <w:rsid w:val="009A4591"/>
    <w:rsid w:val="009A48FD"/>
    <w:rsid w:val="009B15BE"/>
    <w:rsid w:val="009B4080"/>
    <w:rsid w:val="009D1671"/>
    <w:rsid w:val="009D5BE5"/>
    <w:rsid w:val="009E0BD7"/>
    <w:rsid w:val="00A01A61"/>
    <w:rsid w:val="00A031FE"/>
    <w:rsid w:val="00A03FD6"/>
    <w:rsid w:val="00A1348A"/>
    <w:rsid w:val="00A14710"/>
    <w:rsid w:val="00A15C04"/>
    <w:rsid w:val="00A225FB"/>
    <w:rsid w:val="00A32CFE"/>
    <w:rsid w:val="00A34225"/>
    <w:rsid w:val="00A350FC"/>
    <w:rsid w:val="00A43524"/>
    <w:rsid w:val="00A44645"/>
    <w:rsid w:val="00A4508F"/>
    <w:rsid w:val="00A46EDC"/>
    <w:rsid w:val="00A516DB"/>
    <w:rsid w:val="00A5360D"/>
    <w:rsid w:val="00A55106"/>
    <w:rsid w:val="00A555E7"/>
    <w:rsid w:val="00A5572D"/>
    <w:rsid w:val="00A60C09"/>
    <w:rsid w:val="00A91CFC"/>
    <w:rsid w:val="00A947AC"/>
    <w:rsid w:val="00AA413B"/>
    <w:rsid w:val="00AA433E"/>
    <w:rsid w:val="00AA5DA6"/>
    <w:rsid w:val="00AA633B"/>
    <w:rsid w:val="00AB198A"/>
    <w:rsid w:val="00AB3A45"/>
    <w:rsid w:val="00AB54FF"/>
    <w:rsid w:val="00AB656F"/>
    <w:rsid w:val="00AC2B83"/>
    <w:rsid w:val="00AC402C"/>
    <w:rsid w:val="00AD3D9B"/>
    <w:rsid w:val="00AE1063"/>
    <w:rsid w:val="00AE2D94"/>
    <w:rsid w:val="00AE4011"/>
    <w:rsid w:val="00AF7854"/>
    <w:rsid w:val="00B015AE"/>
    <w:rsid w:val="00B02261"/>
    <w:rsid w:val="00B03C6B"/>
    <w:rsid w:val="00B05380"/>
    <w:rsid w:val="00B05C49"/>
    <w:rsid w:val="00B10EDE"/>
    <w:rsid w:val="00B26879"/>
    <w:rsid w:val="00B30F21"/>
    <w:rsid w:val="00B324D3"/>
    <w:rsid w:val="00B32D8D"/>
    <w:rsid w:val="00B34947"/>
    <w:rsid w:val="00B359B6"/>
    <w:rsid w:val="00B4596C"/>
    <w:rsid w:val="00B52F35"/>
    <w:rsid w:val="00B53570"/>
    <w:rsid w:val="00B6067A"/>
    <w:rsid w:val="00B620D4"/>
    <w:rsid w:val="00B702C2"/>
    <w:rsid w:val="00B71076"/>
    <w:rsid w:val="00B776BA"/>
    <w:rsid w:val="00B77DE6"/>
    <w:rsid w:val="00B85B87"/>
    <w:rsid w:val="00B86345"/>
    <w:rsid w:val="00BA06A3"/>
    <w:rsid w:val="00BB29BD"/>
    <w:rsid w:val="00BB7DD9"/>
    <w:rsid w:val="00BC4E1D"/>
    <w:rsid w:val="00BD3F5D"/>
    <w:rsid w:val="00BD4482"/>
    <w:rsid w:val="00BD628F"/>
    <w:rsid w:val="00BE349C"/>
    <w:rsid w:val="00BE7599"/>
    <w:rsid w:val="00BE7E5D"/>
    <w:rsid w:val="00BF0322"/>
    <w:rsid w:val="00BF3531"/>
    <w:rsid w:val="00BF400F"/>
    <w:rsid w:val="00C00ACB"/>
    <w:rsid w:val="00C00D2C"/>
    <w:rsid w:val="00C02D34"/>
    <w:rsid w:val="00C078CC"/>
    <w:rsid w:val="00C10648"/>
    <w:rsid w:val="00C15EEA"/>
    <w:rsid w:val="00C24189"/>
    <w:rsid w:val="00C26DB5"/>
    <w:rsid w:val="00C312C2"/>
    <w:rsid w:val="00C317DF"/>
    <w:rsid w:val="00C41997"/>
    <w:rsid w:val="00C46C73"/>
    <w:rsid w:val="00C531FF"/>
    <w:rsid w:val="00C551E7"/>
    <w:rsid w:val="00C57B1D"/>
    <w:rsid w:val="00C60D57"/>
    <w:rsid w:val="00C62257"/>
    <w:rsid w:val="00C666C2"/>
    <w:rsid w:val="00C67257"/>
    <w:rsid w:val="00C86310"/>
    <w:rsid w:val="00CA187F"/>
    <w:rsid w:val="00CA357B"/>
    <w:rsid w:val="00CA373A"/>
    <w:rsid w:val="00CA401C"/>
    <w:rsid w:val="00CB2304"/>
    <w:rsid w:val="00CC36CF"/>
    <w:rsid w:val="00CC6963"/>
    <w:rsid w:val="00CD2E9B"/>
    <w:rsid w:val="00CD7B52"/>
    <w:rsid w:val="00CE1F7E"/>
    <w:rsid w:val="00CE2CEB"/>
    <w:rsid w:val="00CE62F2"/>
    <w:rsid w:val="00CE747C"/>
    <w:rsid w:val="00CF0EDA"/>
    <w:rsid w:val="00CF3A9A"/>
    <w:rsid w:val="00D00F25"/>
    <w:rsid w:val="00D0386F"/>
    <w:rsid w:val="00D24841"/>
    <w:rsid w:val="00D25F90"/>
    <w:rsid w:val="00D37383"/>
    <w:rsid w:val="00D445A5"/>
    <w:rsid w:val="00D6286B"/>
    <w:rsid w:val="00D90101"/>
    <w:rsid w:val="00D93374"/>
    <w:rsid w:val="00D9384A"/>
    <w:rsid w:val="00D96FAF"/>
    <w:rsid w:val="00DA162B"/>
    <w:rsid w:val="00DB3502"/>
    <w:rsid w:val="00DB36A2"/>
    <w:rsid w:val="00DB7EE9"/>
    <w:rsid w:val="00DC668C"/>
    <w:rsid w:val="00DD57C1"/>
    <w:rsid w:val="00DD72EF"/>
    <w:rsid w:val="00DF50BD"/>
    <w:rsid w:val="00E00E9D"/>
    <w:rsid w:val="00E01432"/>
    <w:rsid w:val="00E02977"/>
    <w:rsid w:val="00E10939"/>
    <w:rsid w:val="00E225AB"/>
    <w:rsid w:val="00E25891"/>
    <w:rsid w:val="00E25F1B"/>
    <w:rsid w:val="00E27D3D"/>
    <w:rsid w:val="00E5150C"/>
    <w:rsid w:val="00E52721"/>
    <w:rsid w:val="00E54FF3"/>
    <w:rsid w:val="00E61248"/>
    <w:rsid w:val="00E6338D"/>
    <w:rsid w:val="00E652CD"/>
    <w:rsid w:val="00E707A6"/>
    <w:rsid w:val="00E748E0"/>
    <w:rsid w:val="00E7653A"/>
    <w:rsid w:val="00E922DE"/>
    <w:rsid w:val="00E94717"/>
    <w:rsid w:val="00EA21C7"/>
    <w:rsid w:val="00EB3E97"/>
    <w:rsid w:val="00EB687D"/>
    <w:rsid w:val="00EC50BB"/>
    <w:rsid w:val="00EC6079"/>
    <w:rsid w:val="00EC7BC1"/>
    <w:rsid w:val="00ED268D"/>
    <w:rsid w:val="00ED6439"/>
    <w:rsid w:val="00EE24C2"/>
    <w:rsid w:val="00EE6656"/>
    <w:rsid w:val="00EF1243"/>
    <w:rsid w:val="00EF1F98"/>
    <w:rsid w:val="00F057B5"/>
    <w:rsid w:val="00F07CD5"/>
    <w:rsid w:val="00F239AC"/>
    <w:rsid w:val="00F2542A"/>
    <w:rsid w:val="00F2580C"/>
    <w:rsid w:val="00F363C1"/>
    <w:rsid w:val="00F37F2B"/>
    <w:rsid w:val="00F42804"/>
    <w:rsid w:val="00F457B7"/>
    <w:rsid w:val="00F47604"/>
    <w:rsid w:val="00F56ADA"/>
    <w:rsid w:val="00F56F6B"/>
    <w:rsid w:val="00F57C22"/>
    <w:rsid w:val="00F67D0E"/>
    <w:rsid w:val="00F715D2"/>
    <w:rsid w:val="00F77D66"/>
    <w:rsid w:val="00F81C12"/>
    <w:rsid w:val="00F82463"/>
    <w:rsid w:val="00F82BA3"/>
    <w:rsid w:val="00F9220F"/>
    <w:rsid w:val="00F95494"/>
    <w:rsid w:val="00F95FCE"/>
    <w:rsid w:val="00F96EBC"/>
    <w:rsid w:val="00FA4F7B"/>
    <w:rsid w:val="00FA67D8"/>
    <w:rsid w:val="00FA7BD4"/>
    <w:rsid w:val="00FB6110"/>
    <w:rsid w:val="00FB635E"/>
    <w:rsid w:val="00FB69D0"/>
    <w:rsid w:val="00FC7086"/>
    <w:rsid w:val="00FD2A6D"/>
    <w:rsid w:val="00FD54CD"/>
    <w:rsid w:val="00FD660C"/>
    <w:rsid w:val="00FE3AD9"/>
    <w:rsid w:val="00FF42EE"/>
    <w:rsid w:val="00FF4B3F"/>
    <w:rsid w:val="00FF5206"/>
    <w:rsid w:val="00FF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FDFC8"/>
  <w15:docId w15:val="{28B8D6D7-7F21-4491-816F-E4D7F0B6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675247"/>
    <w:pPr>
      <w:suppressAutoHyphens/>
      <w:outlineLvl w:val="0"/>
    </w:pPr>
    <w:rPr>
      <w:sz w:val="22"/>
      <w:szCs w:val="22"/>
    </w:rPr>
  </w:style>
  <w:style w:type="paragraph" w:styleId="Heading2">
    <w:name w:val="heading 2"/>
    <w:basedOn w:val="Normal"/>
    <w:next w:val="Normal"/>
    <w:qFormat/>
    <w:rsid w:val="00675247"/>
    <w:pPr>
      <w:suppressAutoHyphens/>
      <w:outlineLvl w:val="1"/>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440"/>
        <w:tab w:val="left" w:pos="-720"/>
        <w:tab w:val="left" w:pos="0"/>
        <w:tab w:val="left" w:pos="1152"/>
        <w:tab w:val="left" w:pos="1728"/>
        <w:tab w:val="left" w:pos="2304"/>
        <w:tab w:val="left" w:pos="2880"/>
      </w:tabs>
      <w:suppressAutoHyphens/>
      <w:ind w:left="576" w:hanging="576"/>
    </w:pPr>
    <w:rPr>
      <w:sz w:val="24"/>
    </w:rPr>
  </w:style>
  <w:style w:type="paragraph" w:styleId="BodyTextIndent2">
    <w:name w:val="Body Text Indent 2"/>
    <w:basedOn w:val="Normal"/>
    <w:semiHidden/>
    <w:pPr>
      <w:tabs>
        <w:tab w:val="left" w:pos="-1440"/>
        <w:tab w:val="left" w:pos="-720"/>
        <w:tab w:val="left" w:pos="0"/>
        <w:tab w:val="left" w:pos="1152"/>
        <w:tab w:val="left" w:pos="1728"/>
        <w:tab w:val="left" w:pos="2304"/>
        <w:tab w:val="left" w:pos="2880"/>
      </w:tabs>
      <w:suppressAutoHyphens/>
      <w:ind w:left="1440"/>
    </w:pPr>
    <w:rPr>
      <w:sz w:val="24"/>
    </w:rPr>
  </w:style>
  <w:style w:type="paragraph" w:styleId="BlockText">
    <w:name w:val="Block Text"/>
    <w:basedOn w:val="Normal"/>
    <w:semiHidden/>
    <w:pPr>
      <w:tabs>
        <w:tab w:val="left" w:pos="-720"/>
        <w:tab w:val="left" w:pos="0"/>
      </w:tabs>
      <w:suppressAutoHyphens/>
      <w:ind w:left="720" w:right="720" w:hanging="720"/>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D00F25"/>
    <w:pPr>
      <w:ind w:left="720"/>
      <w:contextualSpacing/>
    </w:pPr>
  </w:style>
  <w:style w:type="paragraph" w:styleId="Revision">
    <w:name w:val="Revision"/>
    <w:hidden/>
    <w:uiPriority w:val="99"/>
    <w:semiHidden/>
    <w:rsid w:val="00C26DB5"/>
  </w:style>
  <w:style w:type="table" w:styleId="TableGrid">
    <w:name w:val="Table Grid"/>
    <w:basedOn w:val="TableNormal"/>
    <w:rsid w:val="00EE6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0BD5"/>
    <w:rPr>
      <w:sz w:val="16"/>
      <w:szCs w:val="16"/>
    </w:rPr>
  </w:style>
  <w:style w:type="paragraph" w:styleId="CommentText">
    <w:name w:val="annotation text"/>
    <w:basedOn w:val="Normal"/>
    <w:link w:val="CommentTextChar"/>
    <w:uiPriority w:val="99"/>
    <w:unhideWhenUsed/>
    <w:rsid w:val="00B34947"/>
  </w:style>
  <w:style w:type="character" w:customStyle="1" w:styleId="CommentTextChar">
    <w:name w:val="Comment Text Char"/>
    <w:basedOn w:val="DefaultParagraphFont"/>
    <w:link w:val="CommentText"/>
    <w:uiPriority w:val="99"/>
    <w:rsid w:val="00170BD5"/>
  </w:style>
  <w:style w:type="paragraph" w:styleId="CommentSubject">
    <w:name w:val="annotation subject"/>
    <w:basedOn w:val="CommentText"/>
    <w:next w:val="CommentText"/>
    <w:link w:val="CommentSubjectChar"/>
    <w:uiPriority w:val="99"/>
    <w:semiHidden/>
    <w:unhideWhenUsed/>
    <w:rsid w:val="00170BD5"/>
    <w:rPr>
      <w:b/>
      <w:bCs/>
    </w:rPr>
  </w:style>
  <w:style w:type="character" w:customStyle="1" w:styleId="CommentSubjectChar">
    <w:name w:val="Comment Subject Char"/>
    <w:basedOn w:val="CommentTextChar"/>
    <w:link w:val="CommentSubject"/>
    <w:uiPriority w:val="99"/>
    <w:semiHidden/>
    <w:rsid w:val="00170BD5"/>
    <w:rPr>
      <w:b/>
      <w:bCs/>
    </w:rPr>
  </w:style>
  <w:style w:type="paragraph" w:styleId="NormalWeb">
    <w:name w:val="Normal (Web)"/>
    <w:basedOn w:val="Normal"/>
    <w:uiPriority w:val="99"/>
    <w:rsid w:val="005E16EF"/>
    <w:pPr>
      <w:spacing w:before="100" w:beforeAutospacing="1" w:after="100" w:afterAutospacing="1"/>
    </w:pPr>
    <w:rPr>
      <w:sz w:val="24"/>
      <w:szCs w:val="24"/>
    </w:rPr>
  </w:style>
  <w:style w:type="character" w:customStyle="1" w:styleId="None">
    <w:name w:val="None"/>
    <w:rsid w:val="000164A6"/>
  </w:style>
  <w:style w:type="character" w:customStyle="1" w:styleId="NoneA">
    <w:name w:val="None A"/>
    <w:rsid w:val="000164A6"/>
  </w:style>
  <w:style w:type="character" w:customStyle="1" w:styleId="Hyperlink0">
    <w:name w:val="Hyperlink.0"/>
    <w:basedOn w:val="None"/>
    <w:rsid w:val="000164A6"/>
    <w:rPr>
      <w:color w:val="0000FF"/>
      <w:u w:val="single" w:color="0000FF"/>
      <w14:textOutline w14:w="0" w14:cap="rnd" w14:cmpd="sng" w14:algn="ctr">
        <w14:noFill/>
        <w14:prstDash w14:val="solid"/>
        <w14:bevel/>
      </w14:textOutline>
    </w:rPr>
  </w:style>
  <w:style w:type="paragraph" w:customStyle="1" w:styleId="BodyA">
    <w:name w:val="Body A"/>
    <w:rsid w:val="000164A6"/>
    <w:pPr>
      <w:widowControl w:val="0"/>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Hyperlink1">
    <w:name w:val="Hyperlink.1"/>
    <w:rsid w:val="000164A6"/>
    <w:rPr>
      <w:sz w:val="24"/>
      <w:szCs w:val="24"/>
      <w:lang w:val="en-US"/>
    </w:rPr>
  </w:style>
  <w:style w:type="character" w:styleId="Hyperlink">
    <w:name w:val="Hyperlink"/>
    <w:basedOn w:val="DefaultParagraphFont"/>
    <w:uiPriority w:val="99"/>
    <w:unhideWhenUsed/>
    <w:rsid w:val="007C5AC1"/>
    <w:rPr>
      <w:color w:val="0000FF" w:themeColor="hyperlink"/>
      <w:u w:val="single"/>
    </w:rPr>
  </w:style>
  <w:style w:type="character" w:styleId="FollowedHyperlink">
    <w:name w:val="FollowedHyperlink"/>
    <w:basedOn w:val="DefaultParagraphFont"/>
    <w:uiPriority w:val="99"/>
    <w:semiHidden/>
    <w:unhideWhenUsed/>
    <w:rsid w:val="007C5A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82695">
      <w:bodyDiv w:val="1"/>
      <w:marLeft w:val="0"/>
      <w:marRight w:val="0"/>
      <w:marTop w:val="0"/>
      <w:marBottom w:val="0"/>
      <w:divBdr>
        <w:top w:val="none" w:sz="0" w:space="0" w:color="auto"/>
        <w:left w:val="none" w:sz="0" w:space="0" w:color="auto"/>
        <w:bottom w:val="none" w:sz="0" w:space="0" w:color="auto"/>
        <w:right w:val="none" w:sz="0" w:space="0" w:color="auto"/>
      </w:divBdr>
    </w:div>
    <w:div w:id="69893349">
      <w:bodyDiv w:val="1"/>
      <w:marLeft w:val="0"/>
      <w:marRight w:val="0"/>
      <w:marTop w:val="0"/>
      <w:marBottom w:val="0"/>
      <w:divBdr>
        <w:top w:val="none" w:sz="0" w:space="0" w:color="auto"/>
        <w:left w:val="none" w:sz="0" w:space="0" w:color="auto"/>
        <w:bottom w:val="none" w:sz="0" w:space="0" w:color="auto"/>
        <w:right w:val="none" w:sz="0" w:space="0" w:color="auto"/>
      </w:divBdr>
    </w:div>
    <w:div w:id="675235326">
      <w:bodyDiv w:val="1"/>
      <w:marLeft w:val="0"/>
      <w:marRight w:val="0"/>
      <w:marTop w:val="0"/>
      <w:marBottom w:val="0"/>
      <w:divBdr>
        <w:top w:val="none" w:sz="0" w:space="0" w:color="auto"/>
        <w:left w:val="none" w:sz="0" w:space="0" w:color="auto"/>
        <w:bottom w:val="none" w:sz="0" w:space="0" w:color="auto"/>
        <w:right w:val="none" w:sz="0" w:space="0" w:color="auto"/>
      </w:divBdr>
    </w:div>
    <w:div w:id="719792826">
      <w:bodyDiv w:val="1"/>
      <w:marLeft w:val="0"/>
      <w:marRight w:val="0"/>
      <w:marTop w:val="0"/>
      <w:marBottom w:val="0"/>
      <w:divBdr>
        <w:top w:val="none" w:sz="0" w:space="0" w:color="auto"/>
        <w:left w:val="none" w:sz="0" w:space="0" w:color="auto"/>
        <w:bottom w:val="none" w:sz="0" w:space="0" w:color="auto"/>
        <w:right w:val="none" w:sz="0" w:space="0" w:color="auto"/>
      </w:divBdr>
    </w:div>
    <w:div w:id="1182553351">
      <w:bodyDiv w:val="1"/>
      <w:marLeft w:val="0"/>
      <w:marRight w:val="0"/>
      <w:marTop w:val="0"/>
      <w:marBottom w:val="0"/>
      <w:divBdr>
        <w:top w:val="none" w:sz="0" w:space="0" w:color="auto"/>
        <w:left w:val="none" w:sz="0" w:space="0" w:color="auto"/>
        <w:bottom w:val="none" w:sz="0" w:space="0" w:color="auto"/>
        <w:right w:val="none" w:sz="0" w:space="0" w:color="auto"/>
      </w:divBdr>
      <w:divsChild>
        <w:div w:id="1986545384">
          <w:blockQuote w:val="1"/>
          <w:marLeft w:val="600"/>
          <w:marRight w:val="0"/>
          <w:marTop w:val="0"/>
          <w:marBottom w:val="0"/>
          <w:divBdr>
            <w:top w:val="none" w:sz="0" w:space="0" w:color="auto"/>
            <w:left w:val="none" w:sz="0" w:space="0" w:color="auto"/>
            <w:bottom w:val="none" w:sz="0" w:space="0" w:color="auto"/>
            <w:right w:val="none" w:sz="0" w:space="0" w:color="auto"/>
          </w:divBdr>
          <w:divsChild>
            <w:div w:id="703209067">
              <w:marLeft w:val="0"/>
              <w:marRight w:val="0"/>
              <w:marTop w:val="0"/>
              <w:marBottom w:val="0"/>
              <w:divBdr>
                <w:top w:val="none" w:sz="0" w:space="0" w:color="auto"/>
                <w:left w:val="none" w:sz="0" w:space="0" w:color="auto"/>
                <w:bottom w:val="none" w:sz="0" w:space="0" w:color="auto"/>
                <w:right w:val="none" w:sz="0" w:space="0" w:color="auto"/>
              </w:divBdr>
              <w:divsChild>
                <w:div w:id="454180372">
                  <w:marLeft w:val="0"/>
                  <w:marRight w:val="0"/>
                  <w:marTop w:val="0"/>
                  <w:marBottom w:val="0"/>
                  <w:divBdr>
                    <w:top w:val="none" w:sz="0" w:space="0" w:color="auto"/>
                    <w:left w:val="none" w:sz="0" w:space="0" w:color="auto"/>
                    <w:bottom w:val="none" w:sz="0" w:space="0" w:color="auto"/>
                    <w:right w:val="none" w:sz="0" w:space="0" w:color="auto"/>
                  </w:divBdr>
                  <w:divsChild>
                    <w:div w:id="10758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6809">
          <w:blockQuote w:val="1"/>
          <w:marLeft w:val="600"/>
          <w:marRight w:val="0"/>
          <w:marTop w:val="0"/>
          <w:marBottom w:val="0"/>
          <w:divBdr>
            <w:top w:val="none" w:sz="0" w:space="0" w:color="auto"/>
            <w:left w:val="none" w:sz="0" w:space="0" w:color="auto"/>
            <w:bottom w:val="none" w:sz="0" w:space="0" w:color="auto"/>
            <w:right w:val="none" w:sz="0" w:space="0" w:color="auto"/>
          </w:divBdr>
          <w:divsChild>
            <w:div w:id="1576360798">
              <w:blockQuote w:val="1"/>
              <w:marLeft w:val="600"/>
              <w:marRight w:val="0"/>
              <w:marTop w:val="0"/>
              <w:marBottom w:val="0"/>
              <w:divBdr>
                <w:top w:val="none" w:sz="0" w:space="0" w:color="auto"/>
                <w:left w:val="none" w:sz="0" w:space="0" w:color="auto"/>
                <w:bottom w:val="none" w:sz="0" w:space="0" w:color="auto"/>
                <w:right w:val="none" w:sz="0" w:space="0" w:color="auto"/>
              </w:divBdr>
              <w:divsChild>
                <w:div w:id="1298802780">
                  <w:marLeft w:val="0"/>
                  <w:marRight w:val="0"/>
                  <w:marTop w:val="0"/>
                  <w:marBottom w:val="0"/>
                  <w:divBdr>
                    <w:top w:val="none" w:sz="0" w:space="0" w:color="auto"/>
                    <w:left w:val="none" w:sz="0" w:space="0" w:color="auto"/>
                    <w:bottom w:val="none" w:sz="0" w:space="0" w:color="auto"/>
                    <w:right w:val="none" w:sz="0" w:space="0" w:color="auto"/>
                  </w:divBdr>
                  <w:divsChild>
                    <w:div w:id="305478462">
                      <w:marLeft w:val="0"/>
                      <w:marRight w:val="0"/>
                      <w:marTop w:val="0"/>
                      <w:marBottom w:val="0"/>
                      <w:divBdr>
                        <w:top w:val="none" w:sz="0" w:space="0" w:color="auto"/>
                        <w:left w:val="none" w:sz="0" w:space="0" w:color="auto"/>
                        <w:bottom w:val="none" w:sz="0" w:space="0" w:color="auto"/>
                        <w:right w:val="none" w:sz="0" w:space="0" w:color="auto"/>
                      </w:divBdr>
                      <w:divsChild>
                        <w:div w:id="1402023528">
                          <w:marLeft w:val="0"/>
                          <w:marRight w:val="0"/>
                          <w:marTop w:val="0"/>
                          <w:marBottom w:val="0"/>
                          <w:divBdr>
                            <w:top w:val="none" w:sz="0" w:space="0" w:color="auto"/>
                            <w:left w:val="none" w:sz="0" w:space="0" w:color="auto"/>
                            <w:bottom w:val="none" w:sz="0" w:space="0" w:color="auto"/>
                            <w:right w:val="none" w:sz="0" w:space="0" w:color="auto"/>
                          </w:divBdr>
                        </w:div>
                        <w:div w:id="1846938417">
                          <w:marLeft w:val="0"/>
                          <w:marRight w:val="0"/>
                          <w:marTop w:val="0"/>
                          <w:marBottom w:val="0"/>
                          <w:divBdr>
                            <w:top w:val="none" w:sz="0" w:space="0" w:color="auto"/>
                            <w:left w:val="none" w:sz="0" w:space="0" w:color="auto"/>
                            <w:bottom w:val="none" w:sz="0" w:space="0" w:color="auto"/>
                            <w:right w:val="none" w:sz="0" w:space="0" w:color="auto"/>
                          </w:divBdr>
                        </w:div>
                        <w:div w:id="166122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390445">
      <w:bodyDiv w:val="1"/>
      <w:marLeft w:val="0"/>
      <w:marRight w:val="0"/>
      <w:marTop w:val="0"/>
      <w:marBottom w:val="0"/>
      <w:divBdr>
        <w:top w:val="none" w:sz="0" w:space="0" w:color="auto"/>
        <w:left w:val="none" w:sz="0" w:space="0" w:color="auto"/>
        <w:bottom w:val="none" w:sz="0" w:space="0" w:color="auto"/>
        <w:right w:val="none" w:sz="0" w:space="0" w:color="auto"/>
      </w:divBdr>
    </w:div>
    <w:div w:id="176903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B3CFE-DB7F-42B3-A6AB-7A2009B3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3506</Words>
  <Characters>19987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101 CMR 327.00</vt:lpstr>
    </vt:vector>
  </TitlesOfParts>
  <Company>DHCFP</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CMR 327.00</dc:title>
  <dc:subject>Rates of Payment for Ambulance and Wheelchair Van Services</dc:subject>
  <dc:creator>EOHHS</dc:creator>
  <cp:lastModifiedBy>Bentley, Bernadette M. (EHS)</cp:lastModifiedBy>
  <cp:revision>3</cp:revision>
  <cp:lastPrinted>2024-09-12T14:28:00Z</cp:lastPrinted>
  <dcterms:created xsi:type="dcterms:W3CDTF">2024-09-12T14:48:00Z</dcterms:created>
  <dcterms:modified xsi:type="dcterms:W3CDTF">2024-09-12T14:48:00Z</dcterms:modified>
</cp:coreProperties>
</file>