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BF7C" w14:textId="138EA62C" w:rsidR="00BD5657" w:rsidRPr="00BA52BA" w:rsidRDefault="00BB6395" w:rsidP="005125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5045748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C01F25" w:rsidRPr="00BA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 Commonwealth has</w:t>
      </w:r>
      <w:r w:rsidR="00C01F25" w:rsidRPr="00BA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F25" w:rsidRPr="00BA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taken significant steps to support nursing facility </w:t>
      </w:r>
      <w:r w:rsidR="0017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residents and </w:t>
      </w:r>
      <w:r w:rsidR="00C01F25" w:rsidRPr="00BA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staff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54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hroughout the pandemic:</w:t>
      </w:r>
    </w:p>
    <w:p w14:paraId="3492FC49" w14:textId="684E0825" w:rsidR="00BD5657" w:rsidRDefault="00BD5657" w:rsidP="0051259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A4D8AC" w14:textId="6289A419" w:rsidR="005432BE" w:rsidRPr="00BA52BA" w:rsidRDefault="005432BE" w:rsidP="005432BE">
      <w:pPr>
        <w:numPr>
          <w:ilvl w:val="0"/>
          <w:numId w:val="22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$260 million in state funding</w:t>
      </w:r>
      <w:r w:rsidRPr="00BA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including $130 million tied directly to infection control audit results, in addition to at least </w:t>
      </w:r>
      <w:r w:rsidRPr="00BA5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$180 million in federal funding</w:t>
      </w:r>
    </w:p>
    <w:p w14:paraId="54E797C9" w14:textId="0401591C" w:rsidR="00AA4FC3" w:rsidRPr="00512593" w:rsidRDefault="00BB6395" w:rsidP="00CE6BA9">
      <w:pPr>
        <w:numPr>
          <w:ilvl w:val="0"/>
          <w:numId w:val="22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 </w:t>
      </w:r>
      <w:r w:rsidR="00BD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</w:t>
      </w:r>
      <w:r w:rsidRPr="00512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million pieces of PPE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state</w:t>
      </w:r>
      <w:r w:rsidR="00BD5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emergency stockpile</w:t>
      </w:r>
    </w:p>
    <w:p w14:paraId="597E4D7E" w14:textId="5569432C" w:rsidR="00595CB0" w:rsidRPr="00BA52BA" w:rsidRDefault="00595CB0" w:rsidP="00CE6BA9">
      <w:pPr>
        <w:numPr>
          <w:ilvl w:val="0"/>
          <w:numId w:val="22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Short and long-term staffing support</w:t>
      </w:r>
      <w:r w:rsidR="0017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augment existing facility needs</w:t>
      </w:r>
    </w:p>
    <w:p w14:paraId="3C8B6169" w14:textId="50412E7B" w:rsidR="00AA4FC3" w:rsidRPr="00BA52BA" w:rsidRDefault="00AA4FC3" w:rsidP="00CE6BA9">
      <w:pPr>
        <w:numPr>
          <w:ilvl w:val="0"/>
          <w:numId w:val="22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Baseline testing </w:t>
      </w:r>
      <w:r w:rsidR="00543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ongoing staff surveillance testing </w:t>
      </w:r>
      <w:r w:rsidRPr="00BA5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all staff and residents </w:t>
      </w:r>
    </w:p>
    <w:p w14:paraId="2CAD1801" w14:textId="1067A735" w:rsidR="00AA4FC3" w:rsidRPr="001F1CA1" w:rsidRDefault="005432BE" w:rsidP="00CE6BA9">
      <w:pPr>
        <w:numPr>
          <w:ilvl w:val="0"/>
          <w:numId w:val="2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Increased oversight and </w:t>
      </w:r>
      <w:r w:rsidR="00AA4FC3" w:rsidRPr="001F1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accountability through regular </w:t>
      </w:r>
      <w:r w:rsidRPr="001F1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implemented </w:t>
      </w:r>
      <w:r w:rsidR="00AA4FC3" w:rsidRPr="001F1CA1">
        <w:rPr>
          <w:rFonts w:ascii="Times New Roman" w:eastAsia="Times New Roman" w:hAnsi="Times New Roman" w:cs="Times New Roman"/>
          <w:color w:val="000000"/>
          <w:sz w:val="24"/>
          <w:szCs w:val="24"/>
        </w:rPr>
        <w:t>infection control audits using a 28-point checklist and targeted survey tool</w:t>
      </w:r>
    </w:p>
    <w:p w14:paraId="41359663" w14:textId="77777777" w:rsidR="00AA4FC3" w:rsidRPr="00BA52BA" w:rsidRDefault="00AA4FC3" w:rsidP="00CE6B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E9EA32" w14:textId="6AFCCE86" w:rsidR="00483F8B" w:rsidRDefault="00BB63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83F8B" w:rsidRPr="00483F8B">
        <w:rPr>
          <w:rFonts w:ascii="Times New Roman" w:eastAsia="Times New Roman" w:hAnsi="Times New Roman" w:cs="Times New Roman"/>
          <w:color w:val="000000"/>
          <w:sz w:val="24"/>
          <w:szCs w:val="24"/>
        </w:rPr>
        <w:t>ew COVID-19 cases and deaths in nursing facilities have declined by over 90% since late April based on 7-day averages</w:t>
      </w:r>
      <w:r w:rsidR="00D80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 </w:t>
      </w:r>
      <w:r w:rsidR="00D44B91">
        <w:rPr>
          <w:rFonts w:ascii="Times New Roman" w:eastAsia="Times New Roman" w:hAnsi="Times New Roman" w:cs="Times New Roman"/>
          <w:color w:val="000000"/>
          <w:sz w:val="24"/>
          <w:szCs w:val="24"/>
        </w:rPr>
        <w:t>Table 1 below</w:t>
      </w:r>
      <w:r w:rsidR="00D8039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83F8B" w:rsidRPr="00483F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8BD85F" w14:textId="77777777" w:rsidR="00512593" w:rsidRPr="00CE6BA9" w:rsidRDefault="0051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4611A9" w14:textId="1A53D412" w:rsidR="00C01F25" w:rsidRPr="00F521C7" w:rsidRDefault="00633544" w:rsidP="00CE6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Building off </w:t>
      </w:r>
      <w:r w:rsidR="009B4B60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April </w:t>
      </w:r>
      <w:r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accountability and support</w:t>
      </w:r>
      <w:r w:rsidR="009B4B60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measures</w:t>
      </w:r>
      <w:r w:rsidR="00BA52BA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03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17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Nursing Facility Accountability and Supports Package 2.0 </w:t>
      </w:r>
      <w:r w:rsidR="00BA52BA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hold</w:t>
      </w:r>
      <w:r w:rsidR="0054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BA52BA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facilities to</w:t>
      </w:r>
      <w:r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higher standards</w:t>
      </w:r>
      <w:r w:rsidR="009B4B60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care</w:t>
      </w:r>
      <w:r w:rsidR="00986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infection control</w:t>
      </w:r>
      <w:r w:rsidR="0054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BB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6395" w:rsidRPr="00BB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invests up to $140 million</w:t>
      </w:r>
      <w:r w:rsidR="0017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new funding</w:t>
      </w:r>
      <w:r w:rsidR="00BB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and</w:t>
      </w:r>
      <w:r w:rsidR="0054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restructures Medicaid </w:t>
      </w:r>
      <w:r w:rsidR="00BB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rates</w:t>
      </w:r>
      <w:r w:rsidR="00543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E6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consistent with </w:t>
      </w:r>
      <w:r w:rsidR="002F433F" w:rsidRPr="00512593">
        <w:rPr>
          <w:rFonts w:ascii="Times New Roman" w:hAnsi="Times New Roman"/>
          <w:b/>
          <w:color w:val="000000"/>
          <w:sz w:val="24"/>
        </w:rPr>
        <w:t>the recommendations of the</w:t>
      </w:r>
      <w:r w:rsidR="002F433F" w:rsidRPr="00BB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8" w:history="1">
        <w:r w:rsidR="002F433F" w:rsidRPr="00512593">
          <w:rPr>
            <w:rStyle w:val="Hyperlink"/>
            <w:rFonts w:ascii="Times New Roman" w:hAnsi="Times New Roman"/>
            <w:b/>
            <w:sz w:val="24"/>
          </w:rPr>
          <w:t>Nursing Facility Taskforce</w:t>
        </w:r>
      </w:hyperlink>
      <w:r w:rsidRPr="00512593">
        <w:rPr>
          <w:rFonts w:ascii="Times New Roman" w:hAnsi="Times New Roman"/>
          <w:b/>
          <w:color w:val="000000"/>
          <w:sz w:val="24"/>
        </w:rPr>
        <w:t>.</w:t>
      </w:r>
      <w:r w:rsidR="007A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283EA6" w14:textId="10F85042" w:rsidR="00BA52BA" w:rsidRPr="00CE6BA9" w:rsidRDefault="00BA52BA" w:rsidP="00CE6B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BA14F" w14:textId="1E3D1E22" w:rsidR="00BA52BA" w:rsidRPr="00CE6BA9" w:rsidRDefault="005860C1" w:rsidP="00CE6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five key elements of the Nursing Facility Accountability and Supports Package 2.0 are</w:t>
      </w:r>
      <w:r w:rsidR="00BA52BA" w:rsidRPr="00CE6B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35F9851" w14:textId="6D2554AD" w:rsidR="00CE65C2" w:rsidRPr="00BB6395" w:rsidRDefault="00BB6395" w:rsidP="00AC020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506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equirements </w:t>
      </w:r>
      <w:r w:rsidR="00CC4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 s</w:t>
      </w:r>
      <w:r w:rsidR="00CC46AF" w:rsidRPr="00CC4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trengthen </w:t>
      </w:r>
      <w:r w:rsidR="00506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staffing</w:t>
      </w:r>
      <w:r w:rsidR="00082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</w:t>
      </w:r>
      <w:r w:rsidR="00506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</w:t>
      </w:r>
      <w:r w:rsidR="00CC46AF" w:rsidRPr="00CC4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 care workforce</w:t>
      </w:r>
      <w:r w:rsidR="00506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de-densify congregate rooms, </w:t>
      </w:r>
      <w:r w:rsidR="00CC4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improve standards of care</w:t>
      </w:r>
    </w:p>
    <w:p w14:paraId="69135CB9" w14:textId="29F0B149" w:rsidR="00CE65C2" w:rsidRDefault="00BB6395" w:rsidP="00CE65C2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CC4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stablish minimum </w:t>
      </w:r>
      <w:r w:rsidR="00CC46AF" w:rsidRPr="00CC4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staffing level</w:t>
      </w:r>
      <w:r w:rsidR="00CC4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414E5C76" w14:textId="280FF0DE" w:rsidR="00CE65C2" w:rsidRDefault="00BB6395" w:rsidP="00CE65C2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</w:t>
      </w:r>
      <w:r w:rsidR="00CC4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old facilities </w:t>
      </w:r>
      <w:r w:rsidR="00CE65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financially </w:t>
      </w:r>
      <w:r w:rsidR="00CC4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accountable for revenue spent to support direct care staffing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CC4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</w:t>
      </w:r>
    </w:p>
    <w:p w14:paraId="4F671600" w14:textId="11F92D39" w:rsidR="00CC46AF" w:rsidRDefault="00BB6395" w:rsidP="00BB6395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506D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equire facilities to de-densify congregate rooms</w:t>
      </w:r>
      <w:r w:rsidR="00B1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C4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including</w:t>
      </w:r>
      <w:r w:rsidR="00B1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</w:t>
      </w:r>
      <w:r w:rsidR="00CC4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elimination of 3 and 4 bedrooms</w:t>
      </w:r>
    </w:p>
    <w:p w14:paraId="0B11DF23" w14:textId="726D3F6C" w:rsidR="00595CB0" w:rsidRPr="009B16F3" w:rsidRDefault="00CC46AF" w:rsidP="00D44B91">
      <w:pPr>
        <w:numPr>
          <w:ilvl w:val="0"/>
          <w:numId w:val="23"/>
        </w:numPr>
        <w:tabs>
          <w:tab w:val="left" w:pos="71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Long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erm </w:t>
      </w:r>
      <w:r w:rsidR="0071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investment through MassHealth rate restructuring</w:t>
      </w:r>
      <w:r w:rsidR="00506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6BDAD2F" w14:textId="0281AF07" w:rsidR="00CC46AF" w:rsidRPr="00512593" w:rsidRDefault="00CC46AF" w:rsidP="00512593">
      <w:pPr>
        <w:pStyle w:val="ListParagraph"/>
        <w:numPr>
          <w:ilvl w:val="0"/>
          <w:numId w:val="37"/>
        </w:numPr>
        <w:tabs>
          <w:tab w:val="left" w:pos="716"/>
        </w:tabs>
        <w:rPr>
          <w:color w:val="000000"/>
        </w:rPr>
      </w:pPr>
      <w:r w:rsidRPr="00512593">
        <w:rPr>
          <w:bCs/>
          <w:color w:val="000000"/>
        </w:rPr>
        <w:t xml:space="preserve">$82 million </w:t>
      </w:r>
      <w:r w:rsidR="00595CB0">
        <w:rPr>
          <w:bCs/>
          <w:color w:val="000000"/>
        </w:rPr>
        <w:t>net new investment into rates</w:t>
      </w:r>
      <w:r w:rsidR="00506D07" w:rsidRPr="00512593">
        <w:rPr>
          <w:bCs/>
          <w:color w:val="000000"/>
        </w:rPr>
        <w:t xml:space="preserve"> </w:t>
      </w:r>
      <w:r w:rsidRPr="00512593">
        <w:rPr>
          <w:bCs/>
          <w:color w:val="000000"/>
        </w:rPr>
        <w:t xml:space="preserve">in line with the </w:t>
      </w:r>
      <w:r w:rsidR="00B1625C" w:rsidRPr="00512593">
        <w:rPr>
          <w:bCs/>
          <w:color w:val="000000"/>
        </w:rPr>
        <w:t xml:space="preserve">recommendations of the </w:t>
      </w:r>
      <w:r w:rsidRPr="00512593">
        <w:rPr>
          <w:bCs/>
          <w:color w:val="000000"/>
        </w:rPr>
        <w:t>Nursing Facility Task Force</w:t>
      </w:r>
      <w:r w:rsidR="00B1625C" w:rsidRPr="00512593">
        <w:rPr>
          <w:bCs/>
          <w:color w:val="000000"/>
        </w:rPr>
        <w:t xml:space="preserve"> </w:t>
      </w:r>
      <w:r w:rsidRPr="00512593">
        <w:rPr>
          <w:bCs/>
          <w:color w:val="000000"/>
        </w:rPr>
        <w:t xml:space="preserve">to promote a high-quality, sustainable </w:t>
      </w:r>
      <w:r w:rsidR="00506D07" w:rsidRPr="00512593">
        <w:rPr>
          <w:bCs/>
          <w:color w:val="000000"/>
        </w:rPr>
        <w:t xml:space="preserve">and right-sized </w:t>
      </w:r>
      <w:r w:rsidRPr="00512593">
        <w:rPr>
          <w:bCs/>
          <w:color w:val="000000"/>
        </w:rPr>
        <w:t>industry</w:t>
      </w:r>
    </w:p>
    <w:p w14:paraId="5E3F28D2" w14:textId="279D4EEE" w:rsidR="00BB6395" w:rsidRPr="00715D06" w:rsidRDefault="00176DEB" w:rsidP="00BB6395">
      <w:pPr>
        <w:numPr>
          <w:ilvl w:val="1"/>
          <w:numId w:val="23"/>
        </w:numPr>
        <w:tabs>
          <w:tab w:val="left" w:pos="71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50542388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595C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 new</w:t>
      </w:r>
      <w:r w:rsidR="00BB63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rate structure incentivizes high-quality, high-occupancy, and care for high-acuity special populations while ensuring stability for high-Medicaid facilities</w:t>
      </w:r>
    </w:p>
    <w:bookmarkEnd w:id="1"/>
    <w:p w14:paraId="16CF1723" w14:textId="151CFE76" w:rsidR="00A673DB" w:rsidRDefault="00715D06" w:rsidP="00715D0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6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Targeted COVID-19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 w:rsidRPr="00CE6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unding</w:t>
      </w:r>
      <w:r w:rsidR="00A6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44B91" w:rsidRPr="00D44B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CE6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Pr="00CE6B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 to $60 million in targeted, near-term funding to support COVID response actions</w:t>
      </w:r>
    </w:p>
    <w:p w14:paraId="16AA6169" w14:textId="68684950" w:rsidR="00715D06" w:rsidRPr="00715D06" w:rsidRDefault="00A673DB" w:rsidP="00A673DB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Majority of funding is only dispersed in the event that </w:t>
      </w:r>
      <w:r w:rsidR="00B61206" w:rsidRPr="00B612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statewide infection rates rise and the industry experiences staffing shortages</w:t>
      </w:r>
    </w:p>
    <w:p w14:paraId="148ADE7B" w14:textId="0EAB6F12" w:rsidR="00CE6BA9" w:rsidRPr="00715D06" w:rsidRDefault="00376512" w:rsidP="00715D0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Sustained </w:t>
      </w:r>
      <w:r w:rsidR="00A673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versight and </w:t>
      </w:r>
      <w:r w:rsidR="00CE6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7109BC" w:rsidRPr="00CE6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oni</w:t>
      </w:r>
      <w:r w:rsidR="002F433F" w:rsidRPr="00CE6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toring </w:t>
      </w:r>
      <w:r w:rsidR="00715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715D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state will c</w:t>
      </w:r>
      <w:r w:rsidR="002F433F" w:rsidRPr="00715D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ontinue</w:t>
      </w:r>
      <w:r w:rsidR="002C431D" w:rsidRPr="0071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431D" w:rsidRPr="007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monitoring </w:t>
      </w:r>
      <w:r w:rsidR="00B1625C">
        <w:rPr>
          <w:rFonts w:ascii="Times New Roman" w:eastAsia="Times New Roman" w:hAnsi="Times New Roman" w:cs="Times New Roman"/>
          <w:color w:val="000000"/>
          <w:sz w:val="24"/>
          <w:szCs w:val="24"/>
        </w:rPr>
        <w:t>facilities</w:t>
      </w:r>
      <w:r w:rsidR="002C431D" w:rsidRPr="007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across </w:t>
      </w:r>
      <w:r w:rsidR="00A673DB">
        <w:rPr>
          <w:rFonts w:ascii="Times New Roman" w:eastAsia="Times New Roman" w:hAnsi="Times New Roman" w:cs="Times New Roman"/>
          <w:color w:val="000000"/>
          <w:sz w:val="24"/>
          <w:szCs w:val="24"/>
        </w:rPr>
        <w:t>infection control, staffing, and management</w:t>
      </w:r>
      <w:r w:rsidR="00B1625C">
        <w:rPr>
          <w:rFonts w:ascii="Times New Roman" w:hAnsi="Times New Roman" w:cs="Times New Roman"/>
          <w:color w:val="000000"/>
          <w:sz w:val="24"/>
          <w:szCs w:val="24"/>
        </w:rPr>
        <w:t xml:space="preserve"> through regular reporting and increased infection control surveys</w:t>
      </w:r>
    </w:p>
    <w:p w14:paraId="1610B207" w14:textId="5069F02D" w:rsidR="001F1CA1" w:rsidRPr="00D54F84" w:rsidRDefault="00376512" w:rsidP="00CF5C7B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4F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Early identification of issues</w:t>
      </w:r>
      <w:r w:rsidR="00A673DB" w:rsidRPr="00D54F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6756" w:rsidRPr="00D54F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rapid response teams</w:t>
      </w:r>
      <w:r w:rsidR="00D44B91" w:rsidRPr="00D5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A673DB" w:rsidRPr="00D54F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1625C" w:rsidRPr="00D54F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proactive response including </w:t>
      </w:r>
      <w:r w:rsidRPr="00D54F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rapid response team</w:t>
      </w:r>
      <w:r w:rsidR="00595CB0" w:rsidRPr="00D54F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 and other </w:t>
      </w:r>
      <w:r w:rsidR="00B1625C" w:rsidRPr="00D54F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supports, corrective measures, and enforcement </w:t>
      </w:r>
    </w:p>
    <w:p w14:paraId="76C3365E" w14:textId="0D112A8D" w:rsidR="0029264A" w:rsidRDefault="00AA4FC3" w:rsidP="000D74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D74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Approach Details:</w:t>
      </w:r>
    </w:p>
    <w:p w14:paraId="669A2C33" w14:textId="77777777" w:rsidR="00D54F84" w:rsidRPr="000D7446" w:rsidRDefault="00D54F84" w:rsidP="000D74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D7A7F9" w14:textId="58AAC590" w:rsidR="00A673DB" w:rsidRPr="00D54F84" w:rsidRDefault="00A673DB" w:rsidP="00A673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50469022"/>
      <w:r w:rsidRPr="00D5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Requirements to strengthen staffing and the direct care workforce, de-densify congregate rooms, and improve standards of care </w:t>
      </w:r>
    </w:p>
    <w:p w14:paraId="42CB7D74" w14:textId="2A6A0513" w:rsidR="00D8039F" w:rsidRDefault="00D8039F" w:rsidP="0051259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Facilities </w:t>
      </w:r>
      <w:r w:rsidRPr="00512593">
        <w:rPr>
          <w:rFonts w:ascii="Times New Roman" w:hAnsi="Times New Roman"/>
          <w:color w:val="000000"/>
          <w:sz w:val="24"/>
        </w:rPr>
        <w:t xml:space="preserve">will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held accountable for compliance with the</w:t>
      </w:r>
      <w:r w:rsidR="00BD5657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requirements, and will be subject to financial penalties for noncompliance</w:t>
      </w:r>
    </w:p>
    <w:bookmarkEnd w:id="2"/>
    <w:p w14:paraId="02631754" w14:textId="0D415ADC" w:rsidR="00715D06" w:rsidRPr="00D54F84" w:rsidRDefault="00715D06" w:rsidP="0051259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Nursing facilities will be required </w:t>
      </w:r>
      <w:r w:rsidR="00C776FB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>meet a</w:t>
      </w:r>
      <w:r w:rsidR="00C776FB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1A28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Hours Per Patient Day (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HPPD</w:t>
      </w:r>
      <w:r w:rsidR="00601A28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staffing minimum of 3.5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="00DE40C1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January 2021</w:t>
      </w:r>
    </w:p>
    <w:p w14:paraId="5066E2EE" w14:textId="0E26EF42" w:rsidR="00A673DB" w:rsidRPr="00D54F84" w:rsidRDefault="00715D06" w:rsidP="00A673D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Nursing facilities will be required to 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invest at least 75% of their revenue towards direct care staffing costs</w:t>
      </w:r>
      <w:r w:rsidR="00DE40C1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, effective October 1, 2020</w:t>
      </w:r>
    </w:p>
    <w:p w14:paraId="39BBC837" w14:textId="6FF09089" w:rsidR="00D05DDC" w:rsidRPr="001F201B" w:rsidRDefault="00715D06" w:rsidP="00715D06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Replaces the </w:t>
      </w:r>
      <w:r w:rsidR="002B3A89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MassHealth </w:t>
      </w:r>
      <w:r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 care staffing add-on </w:t>
      </w:r>
      <w:r w:rsidR="00AC0201" w:rsidRPr="001F201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to </w:t>
      </w:r>
      <w:r w:rsidR="00D05DDC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better </w:t>
      </w:r>
      <w:r w:rsidR="00A673DB">
        <w:rPr>
          <w:rFonts w:ascii="Times New Roman" w:eastAsia="Times New Roman" w:hAnsi="Times New Roman" w:cs="Times New Roman"/>
          <w:color w:val="000000"/>
          <w:sz w:val="24"/>
          <w:szCs w:val="24"/>
        </w:rPr>
        <w:t>hold facilities accountable for managing their revenue and investing in direct care staff</w:t>
      </w:r>
    </w:p>
    <w:p w14:paraId="0A341199" w14:textId="7AEB4FAF" w:rsidR="00715D06" w:rsidRPr="001F201B" w:rsidRDefault="008D34C8" w:rsidP="00715D0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De-densify congregate rooms by e</w:t>
      </w:r>
      <w:r w:rsidR="00715D06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liminat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715D06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and 4 bedrooms and </w:t>
      </w:r>
      <w:r w:rsidR="00052821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 w:rsidR="000829C4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052821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changes to meet square footage requirements</w:t>
      </w:r>
      <w:r w:rsidR="00715D06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ensure adequate distance between residents</w:t>
      </w:r>
      <w:r w:rsidR="00D05DDC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>, promote infection control</w:t>
      </w:r>
      <w:r w:rsidR="00A673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15D06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improve resident quality of life</w:t>
      </w:r>
    </w:p>
    <w:p w14:paraId="750143A7" w14:textId="5531BA6F" w:rsidR="00A673DB" w:rsidRPr="00A673DB" w:rsidRDefault="00B60464" w:rsidP="000829C4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>In the immediate term, between October and December</w:t>
      </w:r>
      <w:r w:rsidR="008D34C8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</w:t>
      </w:r>
      <w:r w:rsidR="008D34C8" w:rsidRPr="001F20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facilities </w:t>
      </w:r>
      <w:r w:rsidR="008D34C8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</w:t>
      </w:r>
      <w:r w:rsidR="00052821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 converting 3 and 4 bed rooms </w:t>
      </w:r>
      <w:r w:rsidR="008D34C8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>to singles or doubles</w:t>
      </w:r>
      <w:r w:rsidR="00A67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existing capacity or managing admissions</w:t>
      </w:r>
    </w:p>
    <w:p w14:paraId="4B34DC0D" w14:textId="6FCA1B7F" w:rsidR="00052821" w:rsidRPr="001F201B" w:rsidRDefault="000829C4" w:rsidP="001F201B">
      <w:pPr>
        <w:numPr>
          <w:ilvl w:val="2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>The $60 million of t</w:t>
      </w:r>
      <w:r w:rsidR="00052821" w:rsidRPr="001F201B">
        <w:rPr>
          <w:rFonts w:ascii="Times New Roman" w:eastAsia="Times New Roman" w:hAnsi="Times New Roman" w:cs="Times New Roman"/>
          <w:color w:val="000000"/>
          <w:sz w:val="24"/>
          <w:szCs w:val="24"/>
        </w:rPr>
        <w:t>argeted COVID funding will be contingent on facilities complying with this requirement</w:t>
      </w:r>
    </w:p>
    <w:p w14:paraId="04A20D66" w14:textId="35CA9847" w:rsidR="00D44B91" w:rsidRPr="00A673DB" w:rsidRDefault="00A96BF2" w:rsidP="00512593">
      <w:pPr>
        <w:spacing w:after="0" w:line="240" w:lineRule="auto"/>
        <w:ind w:left="1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Hlk50495145"/>
      <w:r w:rsidRPr="00A96BF2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addition, DPH will require, 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updates to its</w:t>
      </w:r>
      <w:r w:rsidRPr="00A96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licensure regulation, </w:t>
      </w:r>
      <w:r w:rsidR="000829C4" w:rsidRPr="00A96BF2">
        <w:rPr>
          <w:rFonts w:ascii="Times New Roman" w:eastAsia="Times New Roman" w:hAnsi="Times New Roman" w:cs="Times New Roman"/>
          <w:color w:val="000000"/>
          <w:sz w:val="24"/>
          <w:szCs w:val="24"/>
        </w:rPr>
        <w:t>all facilities</w:t>
      </w:r>
      <w:r w:rsidR="00A673DB" w:rsidRPr="00A96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A673DB" w:rsidRPr="00A96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eliminate 3 and 4 bed rooms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increase the</w:t>
      </w:r>
      <w:r w:rsidR="00A673DB" w:rsidRPr="00A96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29C4" w:rsidRPr="00A96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minimum square footage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doubles,</w:t>
      </w:r>
      <w:r w:rsidRPr="00A96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January 2022. </w:t>
      </w:r>
      <w:bookmarkEnd w:id="3"/>
    </w:p>
    <w:p w14:paraId="263BCA95" w14:textId="77777777" w:rsidR="001F201B" w:rsidRPr="00A96BF2" w:rsidRDefault="001F201B">
      <w:pPr>
        <w:spacing w:after="0" w:line="240" w:lineRule="auto"/>
        <w:ind w:left="1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026F4B" w14:textId="77777777" w:rsidR="00D54F84" w:rsidRPr="00D54F84" w:rsidRDefault="00D8039F" w:rsidP="00D8039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Long term investment through MassHealth rate restructuring</w:t>
      </w:r>
      <w:r w:rsidR="00D4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EE2C16D" w14:textId="7CA82404" w:rsidR="00715D06" w:rsidRPr="00D54F84" w:rsidRDefault="00D44B91" w:rsidP="00D54F8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8039F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 new investment of $82M </w:t>
      </w:r>
      <w:r w:rsidR="00BC6756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annually beginning in October </w:t>
      </w:r>
      <w:r w:rsidR="00D8039F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D54F84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715D06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promote a high-quality, sustainable industry in line with the policy </w:t>
      </w:r>
      <w:r w:rsidR="00C776FB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recommendations </w:t>
      </w:r>
      <w:r w:rsidR="00715D06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of the Nursing Facility Task Force</w:t>
      </w:r>
    </w:p>
    <w:p w14:paraId="2202906A" w14:textId="77777777" w:rsidR="00715D06" w:rsidRDefault="00715D06" w:rsidP="00715D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Progressive rate reforms move towards right-sizing the industry by 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incentivizing high-quality care, efficient-occupancy rates, care for high-acuity special populations</w:t>
      </w:r>
      <w:r w:rsidRPr="00715D06">
        <w:rPr>
          <w:rFonts w:ascii="Times New Roman" w:eastAsia="Times New Roman" w:hAnsi="Times New Roman" w:cs="Times New Roman"/>
          <w:color w:val="000000"/>
          <w:sz w:val="24"/>
          <w:szCs w:val="24"/>
        </w:rPr>
        <w:t>, and long-term stability to high-Medicaid facilities</w:t>
      </w:r>
    </w:p>
    <w:p w14:paraId="7431318C" w14:textId="622C00F0" w:rsidR="00715D06" w:rsidRDefault="00176DEB" w:rsidP="00715D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15D06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implified, integrated structure</w:t>
      </w:r>
      <w:r w:rsidR="00715D06" w:rsidRPr="00715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5D06" w:rsidRPr="007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eliminates antiquated add-ons to provide greater transparency </w:t>
      </w:r>
      <w:r w:rsidR="00C776FB">
        <w:rPr>
          <w:rFonts w:ascii="Times New Roman" w:eastAsia="Times New Roman" w:hAnsi="Times New Roman" w:cs="Times New Roman"/>
          <w:color w:val="000000"/>
          <w:sz w:val="24"/>
          <w:szCs w:val="24"/>
        </w:rPr>
        <w:t>into the rate calculation and distribution of funding</w:t>
      </w:r>
    </w:p>
    <w:p w14:paraId="6B2D81A5" w14:textId="17410BC3" w:rsidR="00BC6756" w:rsidRPr="00BC6756" w:rsidRDefault="00D54F84" w:rsidP="00715D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C6756" w:rsidRPr="00512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liminates the historic issue where high occupancy facilities </w:t>
      </w:r>
      <w:r w:rsidR="00BC6756">
        <w:rPr>
          <w:rFonts w:ascii="Times New Roman" w:eastAsia="Times New Roman" w:hAnsi="Times New Roman" w:cs="Times New Roman"/>
          <w:color w:val="000000"/>
          <w:sz w:val="24"/>
          <w:szCs w:val="24"/>
        </w:rPr>
        <w:t>have effectively cross-subsidized lower occupancy facilities; this ensures appropriate resources and sustainability for facilities that are operating at reasonable levels of occupancy</w:t>
      </w:r>
    </w:p>
    <w:p w14:paraId="435044B7" w14:textId="453C8C7C" w:rsidR="00715D06" w:rsidRPr="00D54F84" w:rsidRDefault="00715D06" w:rsidP="00715D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average, these reforms will result in a 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6% rate increase across the industry, and an </w:t>
      </w:r>
      <w:r w:rsidR="00052821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average 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8% increase for high-quality, high-occupancy, and/or high-Medicaid facilities</w:t>
      </w:r>
    </w:p>
    <w:p w14:paraId="5EF80DCC" w14:textId="105334E1" w:rsidR="00715D06" w:rsidRDefault="00715D06" w:rsidP="00715D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6248DC" w14:textId="2F8866A3" w:rsidR="00601A28" w:rsidRDefault="00601A28" w:rsidP="00601A28">
      <w:pPr>
        <w:pStyle w:val="ListParagraph"/>
        <w:numPr>
          <w:ilvl w:val="0"/>
          <w:numId w:val="4"/>
        </w:numPr>
      </w:pPr>
      <w:r w:rsidRPr="00D54F84">
        <w:rPr>
          <w:b/>
          <w:color w:val="000000"/>
        </w:rPr>
        <w:t>Targeted near-term funding</w:t>
      </w:r>
      <w:r w:rsidR="00D44B91" w:rsidRPr="00D54F84">
        <w:rPr>
          <w:b/>
          <w:color w:val="000000"/>
        </w:rPr>
        <w:t>:</w:t>
      </w:r>
      <w:r w:rsidRPr="00CE6BA9">
        <w:rPr>
          <w:b/>
        </w:rPr>
        <w:t xml:space="preserve"> </w:t>
      </w:r>
      <w:r w:rsidR="00D44B91">
        <w:rPr>
          <w:b/>
          <w:color w:val="000000"/>
        </w:rPr>
        <w:t>U</w:t>
      </w:r>
      <w:r w:rsidRPr="00CE6BA9">
        <w:rPr>
          <w:b/>
          <w:color w:val="000000"/>
        </w:rPr>
        <w:t xml:space="preserve">p to $60 million </w:t>
      </w:r>
      <w:r w:rsidR="009E637F">
        <w:rPr>
          <w:b/>
          <w:color w:val="000000"/>
        </w:rPr>
        <w:t>between October and December 31</w:t>
      </w:r>
      <w:r w:rsidR="009E637F" w:rsidRPr="00512593">
        <w:rPr>
          <w:b/>
          <w:color w:val="000000"/>
          <w:vertAlign w:val="superscript"/>
        </w:rPr>
        <w:t>st</w:t>
      </w:r>
      <w:r w:rsidR="009E637F">
        <w:rPr>
          <w:b/>
          <w:color w:val="000000"/>
        </w:rPr>
        <w:t xml:space="preserve"> </w:t>
      </w:r>
      <w:r w:rsidRPr="00CE6BA9">
        <w:rPr>
          <w:b/>
          <w:color w:val="000000"/>
        </w:rPr>
        <w:t>to support COVID-19 response efforts and ensure quick action if statewide infection rates rise to a defined threshold</w:t>
      </w:r>
    </w:p>
    <w:p w14:paraId="45EE5B7E" w14:textId="4205B6B2" w:rsidR="00601A28" w:rsidRDefault="00601A28" w:rsidP="00601A28">
      <w:pPr>
        <w:pStyle w:val="ListParagraph"/>
        <w:numPr>
          <w:ilvl w:val="0"/>
          <w:numId w:val="31"/>
        </w:numPr>
      </w:pPr>
      <w:r w:rsidRPr="00D54F84">
        <w:t>$12-36M for COVID-19 surge funding</w:t>
      </w:r>
      <w:r w:rsidRPr="00601A28">
        <w:t xml:space="preserve"> in the event that</w:t>
      </w:r>
      <w:r w:rsidR="00945CA8">
        <w:t xml:space="preserve"> </w:t>
      </w:r>
      <w:r w:rsidR="00945CA8" w:rsidRPr="00945CA8">
        <w:rPr>
          <w:bCs/>
        </w:rPr>
        <w:t xml:space="preserve">statewide infections rise to and the industry experiences staffing shortages </w:t>
      </w:r>
    </w:p>
    <w:p w14:paraId="0731EF7E" w14:textId="7247122B" w:rsidR="00601A28" w:rsidRPr="00601A28" w:rsidRDefault="00601A28" w:rsidP="00601A28">
      <w:pPr>
        <w:pStyle w:val="ListParagraph"/>
        <w:numPr>
          <w:ilvl w:val="1"/>
          <w:numId w:val="31"/>
        </w:numPr>
      </w:pPr>
      <w:r w:rsidRPr="00601A28">
        <w:lastRenderedPageBreak/>
        <w:t xml:space="preserve"> </w:t>
      </w:r>
      <w:r w:rsidR="00BD5657">
        <w:t>Funding</w:t>
      </w:r>
      <w:r w:rsidRPr="00601A28">
        <w:t xml:space="preserve"> will be contingent upon facilities meeting up-front staffing, testing, </w:t>
      </w:r>
      <w:r w:rsidR="00BD5657">
        <w:t>de-densification</w:t>
      </w:r>
      <w:r w:rsidR="00C776FB">
        <w:t xml:space="preserve">, and other </w:t>
      </w:r>
      <w:r w:rsidRPr="00601A28">
        <w:t>reporting requirements</w:t>
      </w:r>
      <w:r w:rsidR="00BD5657">
        <w:t xml:space="preserve"> and</w:t>
      </w:r>
      <w:r w:rsidRPr="00601A28">
        <w:t xml:space="preserve"> must be spent on COVID-related costs</w:t>
      </w:r>
    </w:p>
    <w:p w14:paraId="02D6BEA8" w14:textId="71DAF6BA" w:rsidR="00601A28" w:rsidRPr="00CE6BA9" w:rsidRDefault="00601A28" w:rsidP="00601A28">
      <w:pPr>
        <w:pStyle w:val="ListParagraph"/>
        <w:numPr>
          <w:ilvl w:val="0"/>
          <w:numId w:val="31"/>
        </w:numPr>
      </w:pPr>
      <w:r w:rsidRPr="00D54F84">
        <w:t>Up to $24M</w:t>
      </w:r>
      <w:r w:rsidRPr="00CE6BA9">
        <w:rPr>
          <w:b/>
          <w:bCs/>
        </w:rPr>
        <w:t xml:space="preserve"> </w:t>
      </w:r>
      <w:r w:rsidRPr="00CE6BA9">
        <w:t xml:space="preserve">to all nursing facilities for </w:t>
      </w:r>
      <w:r w:rsidRPr="00D54F84">
        <w:t>continued surveillance testing</w:t>
      </w:r>
      <w:r w:rsidRPr="00CE6BA9">
        <w:t xml:space="preserve"> through December</w:t>
      </w:r>
      <w:r w:rsidR="00A6679E">
        <w:t xml:space="preserve"> dependent upon additional federal financial supports</w:t>
      </w:r>
      <w:r w:rsidRPr="00CE6BA9">
        <w:t xml:space="preserve">.   </w:t>
      </w:r>
    </w:p>
    <w:p w14:paraId="035CD50D" w14:textId="6D28A4D3" w:rsidR="00601A28" w:rsidRPr="002916AD" w:rsidRDefault="00601A28" w:rsidP="00601A28">
      <w:pPr>
        <w:pStyle w:val="ListParagraph"/>
        <w:numPr>
          <w:ilvl w:val="1"/>
          <w:numId w:val="17"/>
        </w:numPr>
      </w:pPr>
      <w:r w:rsidRPr="00512593">
        <w:t xml:space="preserve">The state will seek to leverage available federal funding for nursing facility testing to the extent possible </w:t>
      </w:r>
      <w:r w:rsidRPr="002916AD">
        <w:t xml:space="preserve"> </w:t>
      </w:r>
    </w:p>
    <w:p w14:paraId="5F8A8A74" w14:textId="77777777" w:rsidR="00601A28" w:rsidRDefault="00601A28" w:rsidP="00601A28">
      <w:pPr>
        <w:numPr>
          <w:ilvl w:val="0"/>
          <w:numId w:val="32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sz w:val="24"/>
          <w:szCs w:val="24"/>
        </w:rPr>
        <w:t>$3.6M</w:t>
      </w:r>
      <w:r w:rsidRPr="00CE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facilities that meet 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heightened criteria to establish a dedicated COVID-19 isolation space</w:t>
      </w:r>
      <w:r w:rsidRPr="00CE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October-December. </w:t>
      </w:r>
    </w:p>
    <w:p w14:paraId="68ABE357" w14:textId="32FCF8BB" w:rsidR="00601A28" w:rsidRDefault="00601A28" w:rsidP="00715D06">
      <w:pPr>
        <w:numPr>
          <w:ilvl w:val="1"/>
          <w:numId w:val="32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A2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After September 30, eligible facilities that opt</w:t>
      </w:r>
      <w:r w:rsidR="000829C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601A2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in to creat</w:t>
      </w:r>
      <w:r w:rsidR="00CF25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</w:t>
      </w:r>
      <w:r w:rsidRPr="00601A2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isolation spaces must meet the heightened infection control, quality, and staffing criteria and will be required to admit COVID positive residents</w:t>
      </w:r>
      <w:r w:rsidR="00CF25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14:paraId="6EC3A342" w14:textId="77777777" w:rsidR="005860C1" w:rsidRPr="005860C1" w:rsidRDefault="005860C1" w:rsidP="005860C1">
      <w:pPr>
        <w:tabs>
          <w:tab w:val="left" w:pos="716"/>
        </w:tabs>
        <w:spacing w:after="0"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986D4B" w14:textId="0E07EBE2" w:rsidR="00C2645D" w:rsidRPr="00CE6BA9" w:rsidRDefault="002916AD" w:rsidP="00CE6B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Sustained oversight and monitorin</w:t>
      </w:r>
      <w:r w:rsidRPr="00B6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="00D44B91" w:rsidRPr="00B61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2645D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1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601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 Commonwealth</w:t>
      </w:r>
      <w:r w:rsidR="00C2645D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4" w:name="_Hlk50469477"/>
      <w:r w:rsidR="00C2645D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will continu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oversight and monitoring of </w:t>
      </w:r>
      <w:r w:rsidR="00C2645D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facilities across three key dimensions: infection control, staffing, and management</w:t>
      </w:r>
      <w:bookmarkEnd w:id="4"/>
      <w:r w:rsidRPr="0029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</w:t>
      </w:r>
      <w:r w:rsidR="00A96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enable early identification of issues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Pr="00512593">
        <w:rPr>
          <w:rFonts w:ascii="Times New Roman" w:hAnsi="Times New Roman"/>
          <w:b/>
          <w:color w:val="000000"/>
          <w:sz w:val="24"/>
        </w:rPr>
        <w:t>inform the state’s response</w:t>
      </w:r>
    </w:p>
    <w:p w14:paraId="7E19B890" w14:textId="77777777" w:rsidR="00601A28" w:rsidRDefault="00896DC6" w:rsidP="00601A2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6BA9">
        <w:rPr>
          <w:rFonts w:ascii="Times New Roman" w:eastAsia="Times New Roman" w:hAnsi="Times New Roman" w:cs="Times New Roman"/>
          <w:color w:val="000000"/>
          <w:sz w:val="24"/>
          <w:szCs w:val="24"/>
        </w:rPr>
        <w:t>Ongoing</w:t>
      </w:r>
      <w:r w:rsidR="00A42B4C" w:rsidRPr="00CE6BA9">
        <w:rPr>
          <w:rFonts w:ascii="Times New Roman" w:eastAsia="Times New Roman" w:hAnsi="Times New Roman" w:cs="Times New Roman"/>
          <w:color w:val="000000"/>
          <w:sz w:val="24"/>
          <w:szCs w:val="24"/>
        </w:rPr>
        <w:t>, regular</w:t>
      </w:r>
      <w:r w:rsidRPr="00CE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B4C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nfection </w:t>
      </w:r>
      <w:r w:rsidR="00A42B4C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ontrol surveys</w:t>
      </w:r>
      <w:r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all facilities using </w:t>
      </w:r>
      <w:r w:rsidR="00A42B4C" w:rsidRPr="00CE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CE6BA9">
        <w:rPr>
          <w:rFonts w:ascii="Times New Roman" w:eastAsia="Times New Roman" w:hAnsi="Times New Roman" w:cs="Times New Roman"/>
          <w:color w:val="000000"/>
          <w:sz w:val="24"/>
          <w:szCs w:val="24"/>
        </w:rPr>
        <w:t>new CMS infection control survey tool</w:t>
      </w:r>
    </w:p>
    <w:p w14:paraId="0D1DDB4E" w14:textId="62C7B14F" w:rsidR="002916AD" w:rsidRPr="002916AD" w:rsidRDefault="00264AED" w:rsidP="00601A28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Facilities with deficiencies will be re-surveyed </w:t>
      </w:r>
      <w:r w:rsidR="002916AD">
        <w:rPr>
          <w:rFonts w:ascii="Times New Roman" w:eastAsia="Times New Roman" w:hAnsi="Times New Roman" w:cs="Times New Roman"/>
          <w:color w:val="000000"/>
          <w:sz w:val="24"/>
          <w:szCs w:val="24"/>
        </w:rPr>
        <w:t>to ensure issues are corrected</w:t>
      </w:r>
    </w:p>
    <w:p w14:paraId="515C48F8" w14:textId="25DAE8E4" w:rsidR="00601A28" w:rsidRDefault="00896DC6" w:rsidP="00601A2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6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Assessment of </w:t>
      </w:r>
      <w:r w:rsidR="00A42B4C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affing</w:t>
      </w:r>
      <w:r w:rsidR="00C776FB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levels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42B4C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anagement </w:t>
      </w:r>
      <w:r w:rsidR="00C776FB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competency</w:t>
      </w:r>
    </w:p>
    <w:p w14:paraId="4BD93677" w14:textId="7C4449E9" w:rsidR="00601A28" w:rsidRDefault="00A42B4C" w:rsidP="00601A28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Staffing will be determined through </w:t>
      </w:r>
      <w:r w:rsidR="00264AED"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 </w:t>
      </w:r>
      <w:r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reporting on staffing </w:t>
      </w:r>
      <w:r w:rsidR="002916AD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requirements,</w:t>
      </w:r>
      <w:r w:rsidR="000231BD"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Hours Per Patient Day (HPPD) </w:t>
      </w:r>
      <w:r w:rsidR="00DB37A2"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>and contingency staffing plans</w:t>
      </w:r>
      <w:r w:rsidR="00C77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5E605A" w14:textId="04EDD762" w:rsidR="00264AED" w:rsidRPr="00601A28" w:rsidRDefault="00A42B4C" w:rsidP="00601A28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Management </w:t>
      </w:r>
      <w:r w:rsidR="00C77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competency </w:t>
      </w:r>
      <w:r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="00C776FB">
        <w:rPr>
          <w:rFonts w:ascii="Times New Roman" w:eastAsia="Times New Roman" w:hAnsi="Times New Roman" w:cs="Times New Roman"/>
          <w:color w:val="000000"/>
          <w:sz w:val="24"/>
          <w:szCs w:val="24"/>
        </w:rPr>
        <w:t>evaluated</w:t>
      </w:r>
      <w:r w:rsidR="001F5C37"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across</w:t>
      </w:r>
      <w:r w:rsidR="00387033"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45D"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multiple indicators </w:t>
      </w:r>
      <w:r w:rsidR="002916AD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 w:rsidR="00C2645D"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033"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>compliance with surveillance testing policy, refusal of state supports</w:t>
      </w:r>
      <w:r w:rsidR="00291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7033"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5071"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1E1571" w:rsidRPr="00601A28">
        <w:rPr>
          <w:rFonts w:ascii="Times New Roman" w:eastAsia="Times New Roman" w:hAnsi="Times New Roman" w:cs="Times New Roman"/>
          <w:color w:val="000000"/>
          <w:sz w:val="24"/>
          <w:szCs w:val="24"/>
        </w:rPr>
        <w:t>CMS recertification surveys</w:t>
      </w:r>
    </w:p>
    <w:p w14:paraId="1933935A" w14:textId="458C3D33" w:rsidR="00F05FE5" w:rsidRPr="00CE6BA9" w:rsidRDefault="00F05FE5" w:rsidP="00CE6BA9">
      <w:pPr>
        <w:spacing w:after="0" w:line="240" w:lineRule="auto"/>
        <w:ind w:left="2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8B397A" w14:textId="4CCB2ADA" w:rsidR="00896DC6" w:rsidRPr="00CE6BA9" w:rsidRDefault="002916AD" w:rsidP="00CE6BA9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Early identification of issues</w:t>
      </w:r>
      <w:r w:rsidR="00BC6756" w:rsidRPr="00D5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rapid response teams</w:t>
      </w:r>
      <w:r w:rsidR="00D44B91" w:rsidRPr="00D5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D44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345671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 state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will</w:t>
      </w:r>
      <w:r w:rsidR="00345671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5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proactively address issues with targeted</w:t>
      </w:r>
      <w:r w:rsidR="00C2645D" w:rsidRPr="00CE6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supports, corrective measures, and enforcement actions</w:t>
      </w:r>
      <w:r w:rsidR="005A4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60D0B2" w14:textId="2937B8F3" w:rsidR="00AC0201" w:rsidRPr="00D54F84" w:rsidRDefault="002916AD" w:rsidP="00AC0201">
      <w:pPr>
        <w:numPr>
          <w:ilvl w:val="0"/>
          <w:numId w:val="3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Targeted s</w:t>
      </w:r>
      <w:r w:rsidR="0009428B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upports:</w:t>
      </w:r>
    </w:p>
    <w:p w14:paraId="041D9279" w14:textId="74F1E824" w:rsidR="000829C4" w:rsidRDefault="000829C4" w:rsidP="000829C4">
      <w:pPr>
        <w:numPr>
          <w:ilvl w:val="1"/>
          <w:numId w:val="3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Clinical staffing rapid response teams will continue to provide nursing and other staffing needs</w:t>
      </w:r>
      <w:r w:rsidRPr="00AC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facilities will also have access to the </w:t>
      </w:r>
      <w:hyperlink r:id="rId9" w:history="1">
        <w:r w:rsidRPr="00BD56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LTC staffing portal</w:t>
        </w:r>
      </w:hyperlink>
      <w:r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, allowing for direct communication with job candidates through an improved matching algorithm to support hiring needs</w:t>
      </w:r>
      <w:r w:rsidRPr="00AC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484FEF8" w14:textId="1192B480" w:rsidR="00AC0201" w:rsidRDefault="00A352ED" w:rsidP="00AC0201">
      <w:pPr>
        <w:numPr>
          <w:ilvl w:val="1"/>
          <w:numId w:val="3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Infection control assistance</w:t>
      </w:r>
      <w:r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contracted infection control specialists and DPH’s onsite </w:t>
      </w:r>
      <w:r w:rsidR="00A6679E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</w:p>
    <w:p w14:paraId="3DFC5A42" w14:textId="346CAB16" w:rsidR="00AC0201" w:rsidRDefault="0009428B" w:rsidP="00AC0201">
      <w:pPr>
        <w:numPr>
          <w:ilvl w:val="1"/>
          <w:numId w:val="3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 supports</w:t>
      </w:r>
      <w:r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445F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through a state-contracted crisis management firm</w:t>
      </w:r>
    </w:p>
    <w:p w14:paraId="7BEA75DB" w14:textId="47EC4A9A" w:rsidR="00AC0201" w:rsidRPr="00D54F84" w:rsidRDefault="00A352ED" w:rsidP="00AC0201">
      <w:pPr>
        <w:numPr>
          <w:ilvl w:val="0"/>
          <w:numId w:val="3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Corrective </w:t>
      </w:r>
      <w:r w:rsidR="00BD5657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F201B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easures</w:t>
      </w:r>
      <w:r w:rsidR="00896DC6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A488722" w14:textId="22FFDB60" w:rsidR="00052821" w:rsidRPr="00D54F84" w:rsidRDefault="00176DEB" w:rsidP="00AC0201">
      <w:pPr>
        <w:numPr>
          <w:ilvl w:val="1"/>
          <w:numId w:val="3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</w:t>
      </w:r>
      <w:r w:rsidR="00052821" w:rsidRPr="000528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acilities with identified infection control, staffing or management deficiencies, the state will </w:t>
      </w:r>
      <w:r w:rsidR="00052821" w:rsidRPr="00D54F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require the facility to implement a corrective action plan or take other appropriate steps to address the deficiency </w:t>
      </w:r>
    </w:p>
    <w:p w14:paraId="60214305" w14:textId="35766CD3" w:rsidR="00176DEB" w:rsidRPr="001F1CA1" w:rsidRDefault="00674990" w:rsidP="001F1CA1">
      <w:pPr>
        <w:numPr>
          <w:ilvl w:val="1"/>
          <w:numId w:val="34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If facilities do not submit corrective action pla</w:t>
      </w:r>
      <w:r w:rsidR="005A17B4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n where required</w:t>
      </w:r>
      <w:r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demonstrate they have corrected deficiencies, they </w:t>
      </w:r>
      <w:r w:rsidR="002952D3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subject to </w:t>
      </w:r>
      <w:r w:rsidR="00913E8F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enforcement action</w:t>
      </w:r>
      <w:r w:rsidR="0048445F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 monetary penalties.</w:t>
      </w:r>
    </w:p>
    <w:p w14:paraId="2879B4C8" w14:textId="057E7A2A" w:rsidR="00AC0201" w:rsidRPr="00D54F84" w:rsidRDefault="00E83EDE" w:rsidP="00AC0201">
      <w:pPr>
        <w:numPr>
          <w:ilvl w:val="0"/>
          <w:numId w:val="35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Enforcement </w:t>
      </w:r>
      <w:r w:rsidR="00D61192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actions</w:t>
      </w:r>
      <w:r w:rsidR="0066564C" w:rsidRPr="00D54F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D076626" w14:textId="636AFB14" w:rsidR="00D851D2" w:rsidRPr="00512593" w:rsidRDefault="0009428B" w:rsidP="00AC0201">
      <w:pPr>
        <w:numPr>
          <w:ilvl w:val="1"/>
          <w:numId w:val="35"/>
        </w:num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896DC6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acilities </w:t>
      </w:r>
      <w:r w:rsidR="00E83EDE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that are</w:t>
      </w:r>
      <w:r w:rsidR="00896DC6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445F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consistently unable to</w:t>
      </w:r>
      <w:r w:rsidR="00BF0480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correct deficiencies</w:t>
      </w:r>
      <w:r w:rsidR="00896DC6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48445F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/or</w:t>
      </w:r>
      <w:r w:rsidR="00896DC6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</w:t>
      </w:r>
      <w:r w:rsidR="0048445F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BF0480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</w:t>
      </w:r>
      <w:r w:rsidR="00896DC6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operate safely</w:t>
      </w:r>
      <w:r w:rsidR="00E83EDE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464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="00B60464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DC6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 to a range of </w:t>
      </w:r>
      <w:r w:rsidR="00D61192">
        <w:rPr>
          <w:rFonts w:ascii="Times New Roman" w:eastAsia="Times New Roman" w:hAnsi="Times New Roman" w:cs="Times New Roman"/>
          <w:color w:val="000000"/>
          <w:sz w:val="24"/>
          <w:szCs w:val="24"/>
        </w:rPr>
        <w:t>enforcement actions</w:t>
      </w:r>
      <w:r w:rsidR="00D61192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DC6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including</w:t>
      </w:r>
      <w:r w:rsidR="00AD5E88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6DC6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penalties, receivership, admissions freeze, termination from MassHealth or</w:t>
      </w:r>
      <w:r w:rsidR="00A6679E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ultimately</w:t>
      </w:r>
      <w:r w:rsidR="00896DC6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closure</w:t>
      </w:r>
      <w:r w:rsidR="00A6679E" w:rsidRPr="00AC0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End w:id="0"/>
    </w:p>
    <w:p w14:paraId="6AFD0589" w14:textId="45F964F2" w:rsidR="00D44B91" w:rsidRDefault="00D44B91" w:rsidP="00D44B91">
      <w:p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A272E1" w14:textId="24925664" w:rsidR="00D44B91" w:rsidRDefault="00D44B91" w:rsidP="00D44B91">
      <w:p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 1.</w:t>
      </w:r>
    </w:p>
    <w:p w14:paraId="1D08EE8E" w14:textId="77777777" w:rsidR="00D44B91" w:rsidRDefault="00D44B91" w:rsidP="00D44B91">
      <w:p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2328"/>
        <w:gridCol w:w="2492"/>
        <w:gridCol w:w="2180"/>
      </w:tblGrid>
      <w:tr w:rsidR="00D44B91" w:rsidRPr="005A79CF" w14:paraId="4B23EE8B" w14:textId="77777777" w:rsidTr="00D31A74">
        <w:trPr>
          <w:trHeight w:val="196"/>
        </w:trPr>
        <w:tc>
          <w:tcPr>
            <w:tcW w:w="9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2575" w14:textId="11CDBDF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Nursing Facilities: </w:t>
            </w:r>
            <w:r w:rsidR="00BC6756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Comparison of </w:t>
            </w: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COVID-19 Cases and Deaths</w:t>
            </w:r>
            <w:r w:rsidR="00BC6756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between late April and beginning of September</w:t>
            </w:r>
          </w:p>
        </w:tc>
      </w:tr>
      <w:tr w:rsidR="00D44B91" w:rsidRPr="005A79CF" w14:paraId="70CDCB3F" w14:textId="77777777" w:rsidTr="00D31A74">
        <w:trPr>
          <w:trHeight w:val="196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19D8" w14:textId="77777777" w:rsidR="00D44B91" w:rsidRPr="00D31A74" w:rsidRDefault="00D44B91" w:rsidP="00D31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5B06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COVID-19 Cases (7-day avg)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A9B5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COVID-19 Deaths (7-day average)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44E5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Cases and Deaths Combined </w:t>
            </w:r>
          </w:p>
        </w:tc>
      </w:tr>
      <w:tr w:rsidR="00D44B91" w:rsidRPr="005A79CF" w14:paraId="7850F083" w14:textId="77777777" w:rsidTr="00D31A74">
        <w:trPr>
          <w:trHeight w:val="116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29B9" w14:textId="758EC51D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April 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24-30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5F2C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540.3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E0F8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112.1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5699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652.4</w:t>
            </w:r>
          </w:p>
        </w:tc>
      </w:tr>
      <w:tr w:rsidR="00D44B91" w:rsidRPr="005A79CF" w14:paraId="779AAF5E" w14:textId="77777777" w:rsidTr="00D31A74">
        <w:trPr>
          <w:trHeight w:val="116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7D5FD" w14:textId="741B2987" w:rsidR="00D44B91" w:rsidRPr="00D31A74" w:rsidRDefault="00AA2C23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August 31- </w:t>
            </w:r>
            <w:r w:rsidR="00D44B91"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September 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2341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7.3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2E02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8.0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3E1D0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15.3</w:t>
            </w:r>
          </w:p>
        </w:tc>
      </w:tr>
      <w:tr w:rsidR="00D44B91" w:rsidRPr="005A79CF" w14:paraId="31F13020" w14:textId="77777777" w:rsidTr="00D31A74">
        <w:trPr>
          <w:trHeight w:val="116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9BF1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Percent decline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2A85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-99%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EC1C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-93%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C611" w14:textId="77777777" w:rsidR="00D44B91" w:rsidRPr="00D31A74" w:rsidRDefault="00D44B91" w:rsidP="00D31A74">
            <w:pPr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D31A74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-98%</w:t>
            </w:r>
          </w:p>
        </w:tc>
      </w:tr>
    </w:tbl>
    <w:p w14:paraId="35FAFCD4" w14:textId="77777777" w:rsidR="00D44B91" w:rsidRPr="00D44B91" w:rsidRDefault="00D44B91" w:rsidP="00512593">
      <w:pPr>
        <w:tabs>
          <w:tab w:val="left" w:pos="71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D44B91" w:rsidRPr="00D44B91" w:rsidSect="00FE157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213B" w14:textId="77777777" w:rsidR="004503D8" w:rsidRDefault="004503D8" w:rsidP="009018E8">
      <w:pPr>
        <w:spacing w:after="0" w:line="240" w:lineRule="auto"/>
      </w:pPr>
      <w:r>
        <w:separator/>
      </w:r>
    </w:p>
  </w:endnote>
  <w:endnote w:type="continuationSeparator" w:id="0">
    <w:p w14:paraId="5ECA5ED2" w14:textId="77777777" w:rsidR="004503D8" w:rsidRDefault="004503D8" w:rsidP="009018E8">
      <w:pPr>
        <w:spacing w:after="0" w:line="240" w:lineRule="auto"/>
      </w:pPr>
      <w:r>
        <w:continuationSeparator/>
      </w:r>
    </w:p>
  </w:endnote>
  <w:endnote w:type="continuationNotice" w:id="1">
    <w:p w14:paraId="05BB0EFD" w14:textId="77777777" w:rsidR="004503D8" w:rsidRDefault="00450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84167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E74AD" w14:textId="63F65BF8" w:rsidR="004F1339" w:rsidRPr="00FE1571" w:rsidRDefault="004F1339" w:rsidP="00FE157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E1571">
          <w:rPr>
            <w:rFonts w:ascii="Arial" w:hAnsi="Arial" w:cs="Arial"/>
            <w:sz w:val="20"/>
            <w:szCs w:val="20"/>
          </w:rPr>
          <w:fldChar w:fldCharType="begin"/>
        </w:r>
        <w:r w:rsidRPr="00FE15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1571">
          <w:rPr>
            <w:rFonts w:ascii="Arial" w:hAnsi="Arial" w:cs="Arial"/>
            <w:sz w:val="20"/>
            <w:szCs w:val="20"/>
          </w:rPr>
          <w:fldChar w:fldCharType="separate"/>
        </w:r>
        <w:r w:rsidR="00A96BF2">
          <w:rPr>
            <w:rFonts w:ascii="Arial" w:hAnsi="Arial" w:cs="Arial"/>
            <w:noProof/>
            <w:sz w:val="20"/>
            <w:szCs w:val="20"/>
          </w:rPr>
          <w:t>3</w:t>
        </w:r>
        <w:r w:rsidRPr="00FE157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401740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EF04D" w14:textId="3A491FEA" w:rsidR="004F1339" w:rsidRPr="00FE1571" w:rsidRDefault="004F1339" w:rsidP="00FE157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E1571">
          <w:rPr>
            <w:rFonts w:ascii="Arial" w:hAnsi="Arial" w:cs="Arial"/>
            <w:sz w:val="20"/>
            <w:szCs w:val="20"/>
          </w:rPr>
          <w:fldChar w:fldCharType="begin"/>
        </w:r>
        <w:r w:rsidRPr="00FE15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1571">
          <w:rPr>
            <w:rFonts w:ascii="Arial" w:hAnsi="Arial" w:cs="Arial"/>
            <w:sz w:val="20"/>
            <w:szCs w:val="20"/>
          </w:rPr>
          <w:fldChar w:fldCharType="separate"/>
        </w:r>
        <w:r w:rsidR="00595CB0">
          <w:rPr>
            <w:rFonts w:ascii="Arial" w:hAnsi="Arial" w:cs="Arial"/>
            <w:noProof/>
            <w:sz w:val="20"/>
            <w:szCs w:val="20"/>
          </w:rPr>
          <w:t>1</w:t>
        </w:r>
        <w:r w:rsidRPr="00FE157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E12B" w14:textId="77777777" w:rsidR="004503D8" w:rsidRDefault="004503D8" w:rsidP="009018E8">
      <w:pPr>
        <w:spacing w:after="0" w:line="240" w:lineRule="auto"/>
      </w:pPr>
      <w:r>
        <w:separator/>
      </w:r>
    </w:p>
  </w:footnote>
  <w:footnote w:type="continuationSeparator" w:id="0">
    <w:p w14:paraId="0A3A6459" w14:textId="77777777" w:rsidR="004503D8" w:rsidRDefault="004503D8" w:rsidP="009018E8">
      <w:pPr>
        <w:spacing w:after="0" w:line="240" w:lineRule="auto"/>
      </w:pPr>
      <w:r>
        <w:continuationSeparator/>
      </w:r>
    </w:p>
  </w:footnote>
  <w:footnote w:type="continuationNotice" w:id="1">
    <w:p w14:paraId="111F3A50" w14:textId="77777777" w:rsidR="004503D8" w:rsidRDefault="004503D8">
      <w:pPr>
        <w:spacing w:after="0" w:line="240" w:lineRule="auto"/>
      </w:pPr>
    </w:p>
  </w:footnote>
  <w:footnote w:id="2">
    <w:p w14:paraId="633DE827" w14:textId="77777777" w:rsidR="00715D06" w:rsidRDefault="00715D06" w:rsidP="00715D06">
      <w:pPr>
        <w:pStyle w:val="FootnoteText"/>
      </w:pPr>
      <w:r>
        <w:rPr>
          <w:rStyle w:val="FootnoteReference"/>
        </w:rPr>
        <w:footnoteRef/>
      </w:r>
      <w:r>
        <w:t xml:space="preserve"> Or an amount equivalent to the lower bound HPPD level in the CMS 3-star range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1720" w14:textId="77777777" w:rsidR="004F1339" w:rsidRDefault="004F1339" w:rsidP="00FE1571">
    <w:pPr>
      <w:tabs>
        <w:tab w:val="num" w:pos="720"/>
      </w:tabs>
      <w:spacing w:after="0" w:line="240" w:lineRule="auto"/>
      <w:ind w:left="360" w:hanging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85A9" w14:textId="6B7BD3D9" w:rsidR="004F1339" w:rsidRPr="004F5D71" w:rsidRDefault="004503D8" w:rsidP="00C01F25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32"/>
      </w:rPr>
    </w:pPr>
    <w:r>
      <w:rPr>
        <w:rFonts w:ascii="Arial" w:eastAsia="Times New Roman" w:hAnsi="Arial" w:cs="Arial"/>
        <w:noProof/>
        <w:sz w:val="20"/>
        <w:szCs w:val="20"/>
      </w:rPr>
      <w:object w:dxaOrig="1440" w:dyaOrig="1440" w14:anchorId="614F1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444.4pt;margin-top:-62.25pt;width:63pt;height:60.15pt;z-index:-251658240;mso-wrap-edited:f;mso-width-percent:0;mso-height-percent:0;mso-width-percent:0;mso-height-percent:0" fillcolor="#0c9">
          <v:imagedata r:id="rId1" o:title=""/>
        </v:shape>
        <o:OLEObject Type="Embed" ProgID="StaticMetafile" ShapeID="_x0000_s2049" DrawAspect="Content" ObjectID="_1661256491" r:id="rId2"/>
      </w:object>
    </w:r>
    <w:r w:rsidR="00BA52BA">
      <w:rPr>
        <w:rFonts w:ascii="Times New Roman" w:eastAsia="Times New Roman" w:hAnsi="Times New Roman" w:cs="Times New Roman"/>
        <w:b/>
        <w:color w:val="000080"/>
        <w:sz w:val="32"/>
        <w:szCs w:val="32"/>
      </w:rPr>
      <w:t>Nursing Facility Accountability and Supports Package 2.0</w:t>
    </w:r>
    <w:r w:rsidR="004F1339">
      <w:rPr>
        <w:rFonts w:ascii="Times New Roman" w:eastAsia="Times New Roman" w:hAnsi="Times New Roman" w:cs="Times New Roman"/>
        <w:b/>
        <w:color w:val="000080"/>
        <w:sz w:val="32"/>
        <w:szCs w:val="32"/>
      </w:rPr>
      <w:t xml:space="preserve">  </w:t>
    </w:r>
  </w:p>
  <w:p w14:paraId="320595EA" w14:textId="7F89FA0F" w:rsidR="004F1339" w:rsidRPr="004F5D71" w:rsidRDefault="004F1339" w:rsidP="00C01F25">
    <w:pPr>
      <w:spacing w:after="0" w:line="240" w:lineRule="auto"/>
      <w:jc w:val="center"/>
      <w:rPr>
        <w:rFonts w:ascii="Calibri" w:eastAsia="Times New Roman" w:hAnsi="Calibri" w:cs="Arial"/>
        <w:i/>
        <w:color w:val="000080"/>
        <w:sz w:val="24"/>
        <w:szCs w:val="24"/>
      </w:rPr>
    </w:pPr>
    <w:r w:rsidRPr="004F5D71">
      <w:rPr>
        <w:rFonts w:ascii="Times New Roman" w:eastAsia="Times New Roman" w:hAnsi="Times New Roman" w:cs="Times New Roman"/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55039B" wp14:editId="277823BB">
              <wp:simplePos x="0" y="0"/>
              <wp:positionH relativeFrom="page">
                <wp:align>left</wp:align>
              </wp:positionH>
              <wp:positionV relativeFrom="paragraph">
                <wp:posOffset>238760</wp:posOffset>
              </wp:positionV>
              <wp:extent cx="7772400" cy="3810"/>
              <wp:effectExtent l="19050" t="38100" r="38100" b="5334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381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97B5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8.8pt" to="61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" strokecolor="#a50021" strokeweight="6pt">
              <w10:wrap anchorx="page"/>
            </v:line>
          </w:pict>
        </mc:Fallback>
      </mc:AlternateContent>
    </w:r>
    <w:r w:rsidR="00BA52BA">
      <w:rPr>
        <w:rFonts w:ascii="Times New Roman" w:eastAsia="Times New Roman" w:hAnsi="Times New Roman" w:cs="Times New Roman"/>
        <w:i/>
        <w:color w:val="000080"/>
        <w:sz w:val="24"/>
        <w:szCs w:val="24"/>
      </w:rPr>
      <w:t xml:space="preserve">September </w:t>
    </w:r>
    <w:r w:rsidR="00052821">
      <w:rPr>
        <w:rFonts w:ascii="Times New Roman" w:eastAsia="Times New Roman" w:hAnsi="Times New Roman" w:cs="Times New Roman"/>
        <w:i/>
        <w:color w:val="000080"/>
        <w:sz w:val="24"/>
        <w:szCs w:val="24"/>
      </w:rPr>
      <w:t>10</w:t>
    </w:r>
    <w:r>
      <w:rPr>
        <w:rFonts w:ascii="Times New Roman" w:eastAsia="Times New Roman" w:hAnsi="Times New Roman" w:cs="Times New Roman"/>
        <w:i/>
        <w:color w:val="000080"/>
        <w:sz w:val="24"/>
        <w:szCs w:val="24"/>
      </w:rPr>
      <w:t>,</w:t>
    </w:r>
    <w:r w:rsidRPr="004F5D71">
      <w:rPr>
        <w:rFonts w:ascii="Times New Roman" w:eastAsia="Times New Roman" w:hAnsi="Times New Roman" w:cs="Times New Roman"/>
        <w:i/>
        <w:color w:val="000080"/>
        <w:sz w:val="24"/>
        <w:szCs w:val="24"/>
      </w:rPr>
      <w:t xml:space="preserve"> 2020</w:t>
    </w:r>
    <w:r w:rsidRPr="004F5D71">
      <w:rPr>
        <w:rFonts w:ascii="Times New Roman" w:eastAsia="Times New Roman" w:hAnsi="Times New Roman" w:cs="Times New Roman"/>
        <w:i/>
        <w:color w:val="000080"/>
        <w:sz w:val="24"/>
        <w:szCs w:val="24"/>
      </w:rPr>
      <w:br/>
    </w:r>
  </w:p>
  <w:p w14:paraId="442D8A12" w14:textId="1A00C3E6" w:rsidR="004F1339" w:rsidRDefault="004F1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7EF5"/>
    <w:multiLevelType w:val="hybridMultilevel"/>
    <w:tmpl w:val="68529870"/>
    <w:lvl w:ilvl="0" w:tplc="A6CC72C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73B1F"/>
    <w:multiLevelType w:val="hybridMultilevel"/>
    <w:tmpl w:val="5AE20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D3B88"/>
    <w:multiLevelType w:val="hybridMultilevel"/>
    <w:tmpl w:val="3FEE07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B55391"/>
    <w:multiLevelType w:val="hybridMultilevel"/>
    <w:tmpl w:val="EC3C674C"/>
    <w:lvl w:ilvl="0" w:tplc="2F40F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725A"/>
    <w:multiLevelType w:val="hybridMultilevel"/>
    <w:tmpl w:val="87006F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F0F56A2"/>
    <w:multiLevelType w:val="hybridMultilevel"/>
    <w:tmpl w:val="7FE4C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404A3"/>
    <w:multiLevelType w:val="hybridMultilevel"/>
    <w:tmpl w:val="D9D8AEFC"/>
    <w:lvl w:ilvl="0" w:tplc="7EF61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D68"/>
    <w:multiLevelType w:val="multilevel"/>
    <w:tmpl w:val="E672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B688D"/>
    <w:multiLevelType w:val="hybridMultilevel"/>
    <w:tmpl w:val="0BA2A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F0A06"/>
    <w:multiLevelType w:val="hybridMultilevel"/>
    <w:tmpl w:val="21DAF9B6"/>
    <w:lvl w:ilvl="0" w:tplc="87FC787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C9E"/>
    <w:multiLevelType w:val="hybridMultilevel"/>
    <w:tmpl w:val="E7847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F014C"/>
    <w:multiLevelType w:val="hybridMultilevel"/>
    <w:tmpl w:val="78F0F7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E45A0"/>
    <w:multiLevelType w:val="hybridMultilevel"/>
    <w:tmpl w:val="E8187416"/>
    <w:lvl w:ilvl="0" w:tplc="9C668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70F1BD4"/>
    <w:multiLevelType w:val="hybridMultilevel"/>
    <w:tmpl w:val="A2F03936"/>
    <w:lvl w:ilvl="0" w:tplc="5ADE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623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66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CC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2C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89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08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5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A2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13EB3"/>
    <w:multiLevelType w:val="hybridMultilevel"/>
    <w:tmpl w:val="FA82E9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01854BC"/>
    <w:multiLevelType w:val="hybridMultilevel"/>
    <w:tmpl w:val="925C80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16C3FEA"/>
    <w:multiLevelType w:val="hybridMultilevel"/>
    <w:tmpl w:val="E4D8D3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53C7D82"/>
    <w:multiLevelType w:val="hybridMultilevel"/>
    <w:tmpl w:val="76841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8320B5A"/>
    <w:multiLevelType w:val="hybridMultilevel"/>
    <w:tmpl w:val="667AC1D4"/>
    <w:lvl w:ilvl="0" w:tplc="9AE4CD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F5E37"/>
    <w:multiLevelType w:val="hybridMultilevel"/>
    <w:tmpl w:val="6FAC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06C3"/>
    <w:multiLevelType w:val="hybridMultilevel"/>
    <w:tmpl w:val="33F4A1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7B36460"/>
    <w:multiLevelType w:val="hybridMultilevel"/>
    <w:tmpl w:val="F44A6D5A"/>
    <w:lvl w:ilvl="0" w:tplc="B2C4B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E96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47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223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60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C9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A3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64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08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9796C"/>
    <w:multiLevelType w:val="hybridMultilevel"/>
    <w:tmpl w:val="FB1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97F6E"/>
    <w:multiLevelType w:val="hybridMultilevel"/>
    <w:tmpl w:val="EC6E00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2A9662A"/>
    <w:multiLevelType w:val="hybridMultilevel"/>
    <w:tmpl w:val="361898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C3B8A"/>
    <w:multiLevelType w:val="hybridMultilevel"/>
    <w:tmpl w:val="D13EDD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75816AA"/>
    <w:multiLevelType w:val="hybridMultilevel"/>
    <w:tmpl w:val="597A0D14"/>
    <w:lvl w:ilvl="0" w:tplc="0DBC63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A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2B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43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21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C2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8B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A0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C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4281D"/>
    <w:multiLevelType w:val="hybridMultilevel"/>
    <w:tmpl w:val="41A823A2"/>
    <w:lvl w:ilvl="0" w:tplc="AAECC2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07AC6"/>
    <w:multiLevelType w:val="hybridMultilevel"/>
    <w:tmpl w:val="9F68F7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440418B"/>
    <w:multiLevelType w:val="hybridMultilevel"/>
    <w:tmpl w:val="720E12B0"/>
    <w:lvl w:ilvl="0" w:tplc="3844FD5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2DC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44DB6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EC7B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E92A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2E65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A3A7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F96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2FE4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090A3C"/>
    <w:multiLevelType w:val="hybridMultilevel"/>
    <w:tmpl w:val="B6AE9F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B52759A"/>
    <w:multiLevelType w:val="hybridMultilevel"/>
    <w:tmpl w:val="E8CEE9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15A6A26"/>
    <w:multiLevelType w:val="hybridMultilevel"/>
    <w:tmpl w:val="136EE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E47B08"/>
    <w:multiLevelType w:val="hybridMultilevel"/>
    <w:tmpl w:val="56C8BADC"/>
    <w:lvl w:ilvl="0" w:tplc="2F40F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674C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B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4A9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E9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8D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5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66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03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24436"/>
    <w:multiLevelType w:val="hybridMultilevel"/>
    <w:tmpl w:val="F926D326"/>
    <w:lvl w:ilvl="0" w:tplc="1A9E74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8EC51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7E5E764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E1AB8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AD2C1E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B68479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190E9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183ACD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5284246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493562"/>
    <w:multiLevelType w:val="hybridMultilevel"/>
    <w:tmpl w:val="743EF4DA"/>
    <w:lvl w:ilvl="0" w:tplc="EE388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0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8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C6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3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E9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A8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E0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1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4A73C5"/>
    <w:multiLevelType w:val="hybridMultilevel"/>
    <w:tmpl w:val="4C188FF4"/>
    <w:lvl w:ilvl="0" w:tplc="2F40F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66B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4A9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E9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8D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5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66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03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3"/>
  </w:num>
  <w:num w:numId="4">
    <w:abstractNumId w:val="0"/>
  </w:num>
  <w:num w:numId="5">
    <w:abstractNumId w:val="36"/>
  </w:num>
  <w:num w:numId="6">
    <w:abstractNumId w:val="13"/>
  </w:num>
  <w:num w:numId="7">
    <w:abstractNumId w:val="6"/>
  </w:num>
  <w:num w:numId="8">
    <w:abstractNumId w:val="5"/>
  </w:num>
  <w:num w:numId="9">
    <w:abstractNumId w:val="34"/>
  </w:num>
  <w:num w:numId="10">
    <w:abstractNumId w:val="27"/>
  </w:num>
  <w:num w:numId="11">
    <w:abstractNumId w:val="2"/>
  </w:num>
  <w:num w:numId="12">
    <w:abstractNumId w:val="17"/>
  </w:num>
  <w:num w:numId="13">
    <w:abstractNumId w:val="10"/>
  </w:num>
  <w:num w:numId="14">
    <w:abstractNumId w:val="3"/>
  </w:num>
  <w:num w:numId="15">
    <w:abstractNumId w:val="24"/>
  </w:num>
  <w:num w:numId="16">
    <w:abstractNumId w:val="28"/>
  </w:num>
  <w:num w:numId="17">
    <w:abstractNumId w:val="25"/>
  </w:num>
  <w:num w:numId="18">
    <w:abstractNumId w:val="8"/>
  </w:num>
  <w:num w:numId="19">
    <w:abstractNumId w:val="18"/>
  </w:num>
  <w:num w:numId="20">
    <w:abstractNumId w:val="32"/>
  </w:num>
  <w:num w:numId="21">
    <w:abstractNumId w:val="9"/>
  </w:num>
  <w:num w:numId="22">
    <w:abstractNumId w:val="22"/>
  </w:num>
  <w:num w:numId="23">
    <w:abstractNumId w:val="12"/>
  </w:num>
  <w:num w:numId="24">
    <w:abstractNumId w:val="21"/>
  </w:num>
  <w:num w:numId="25">
    <w:abstractNumId w:val="11"/>
  </w:num>
  <w:num w:numId="26">
    <w:abstractNumId w:val="31"/>
  </w:num>
  <w:num w:numId="27">
    <w:abstractNumId w:val="26"/>
  </w:num>
  <w:num w:numId="28">
    <w:abstractNumId w:val="35"/>
  </w:num>
  <w:num w:numId="29">
    <w:abstractNumId w:val="15"/>
  </w:num>
  <w:num w:numId="30">
    <w:abstractNumId w:val="30"/>
  </w:num>
  <w:num w:numId="31">
    <w:abstractNumId w:val="14"/>
  </w:num>
  <w:num w:numId="32">
    <w:abstractNumId w:val="4"/>
  </w:num>
  <w:num w:numId="33">
    <w:abstractNumId w:val="1"/>
  </w:num>
  <w:num w:numId="34">
    <w:abstractNumId w:val="20"/>
  </w:num>
  <w:num w:numId="35">
    <w:abstractNumId w:val="23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C6"/>
    <w:rsid w:val="0001164F"/>
    <w:rsid w:val="00014653"/>
    <w:rsid w:val="00017940"/>
    <w:rsid w:val="000231BD"/>
    <w:rsid w:val="00027708"/>
    <w:rsid w:val="00045085"/>
    <w:rsid w:val="00052821"/>
    <w:rsid w:val="00064748"/>
    <w:rsid w:val="000829C4"/>
    <w:rsid w:val="0009428B"/>
    <w:rsid w:val="000A30FA"/>
    <w:rsid w:val="000B186B"/>
    <w:rsid w:val="000B5C3B"/>
    <w:rsid w:val="000D08DE"/>
    <w:rsid w:val="000D3E6D"/>
    <w:rsid w:val="000D7446"/>
    <w:rsid w:val="00135C0A"/>
    <w:rsid w:val="00153BF1"/>
    <w:rsid w:val="00176DEB"/>
    <w:rsid w:val="00191873"/>
    <w:rsid w:val="00194CB4"/>
    <w:rsid w:val="00194F48"/>
    <w:rsid w:val="001B4611"/>
    <w:rsid w:val="001C3A1E"/>
    <w:rsid w:val="001C5358"/>
    <w:rsid w:val="001E1571"/>
    <w:rsid w:val="001F1CA1"/>
    <w:rsid w:val="001F201B"/>
    <w:rsid w:val="001F5C37"/>
    <w:rsid w:val="00206F6A"/>
    <w:rsid w:val="00237ABA"/>
    <w:rsid w:val="00260578"/>
    <w:rsid w:val="00264AED"/>
    <w:rsid w:val="00265CA0"/>
    <w:rsid w:val="002916AD"/>
    <w:rsid w:val="0029264A"/>
    <w:rsid w:val="00293D0B"/>
    <w:rsid w:val="00294E28"/>
    <w:rsid w:val="002952D3"/>
    <w:rsid w:val="002B3A89"/>
    <w:rsid w:val="002C431D"/>
    <w:rsid w:val="002D6361"/>
    <w:rsid w:val="002F3051"/>
    <w:rsid w:val="002F433F"/>
    <w:rsid w:val="002F780A"/>
    <w:rsid w:val="00304320"/>
    <w:rsid w:val="00307C7A"/>
    <w:rsid w:val="00345671"/>
    <w:rsid w:val="00346638"/>
    <w:rsid w:val="00376512"/>
    <w:rsid w:val="00387033"/>
    <w:rsid w:val="003A2887"/>
    <w:rsid w:val="003A4565"/>
    <w:rsid w:val="003B34B5"/>
    <w:rsid w:val="003B65AA"/>
    <w:rsid w:val="003C2FF3"/>
    <w:rsid w:val="003F78F0"/>
    <w:rsid w:val="004503D8"/>
    <w:rsid w:val="00450D2A"/>
    <w:rsid w:val="00473017"/>
    <w:rsid w:val="004764CC"/>
    <w:rsid w:val="00483F8B"/>
    <w:rsid w:val="0048445F"/>
    <w:rsid w:val="004922CF"/>
    <w:rsid w:val="00495054"/>
    <w:rsid w:val="004965F6"/>
    <w:rsid w:val="004B2F9C"/>
    <w:rsid w:val="004C6EE0"/>
    <w:rsid w:val="004F1339"/>
    <w:rsid w:val="00506D07"/>
    <w:rsid w:val="00512593"/>
    <w:rsid w:val="00514A98"/>
    <w:rsid w:val="00517E12"/>
    <w:rsid w:val="005232ED"/>
    <w:rsid w:val="00535018"/>
    <w:rsid w:val="00536D8D"/>
    <w:rsid w:val="005432BE"/>
    <w:rsid w:val="00553F46"/>
    <w:rsid w:val="0057334D"/>
    <w:rsid w:val="005860C1"/>
    <w:rsid w:val="00595CB0"/>
    <w:rsid w:val="0059704F"/>
    <w:rsid w:val="005A17B4"/>
    <w:rsid w:val="005A4807"/>
    <w:rsid w:val="005A79CF"/>
    <w:rsid w:val="005D4FC1"/>
    <w:rsid w:val="005E113E"/>
    <w:rsid w:val="005F1B95"/>
    <w:rsid w:val="00601A28"/>
    <w:rsid w:val="00607BE2"/>
    <w:rsid w:val="00613634"/>
    <w:rsid w:val="00633544"/>
    <w:rsid w:val="0063630C"/>
    <w:rsid w:val="00643E05"/>
    <w:rsid w:val="0066564C"/>
    <w:rsid w:val="00674990"/>
    <w:rsid w:val="006B5454"/>
    <w:rsid w:val="006E280F"/>
    <w:rsid w:val="007109BC"/>
    <w:rsid w:val="00715D06"/>
    <w:rsid w:val="007937AE"/>
    <w:rsid w:val="00795C1A"/>
    <w:rsid w:val="007972B8"/>
    <w:rsid w:val="007A0EFE"/>
    <w:rsid w:val="007D28D8"/>
    <w:rsid w:val="007E63D6"/>
    <w:rsid w:val="007F2749"/>
    <w:rsid w:val="007F2931"/>
    <w:rsid w:val="007F4C4C"/>
    <w:rsid w:val="007F506C"/>
    <w:rsid w:val="00822D85"/>
    <w:rsid w:val="00827FF8"/>
    <w:rsid w:val="00862B64"/>
    <w:rsid w:val="00896DC6"/>
    <w:rsid w:val="008D34C8"/>
    <w:rsid w:val="0090016F"/>
    <w:rsid w:val="009018E8"/>
    <w:rsid w:val="0090327B"/>
    <w:rsid w:val="00913E8F"/>
    <w:rsid w:val="009448DE"/>
    <w:rsid w:val="00945CA8"/>
    <w:rsid w:val="009718A4"/>
    <w:rsid w:val="00986AA6"/>
    <w:rsid w:val="009A4235"/>
    <w:rsid w:val="009A674E"/>
    <w:rsid w:val="009B16F3"/>
    <w:rsid w:val="009B4B60"/>
    <w:rsid w:val="009D63AE"/>
    <w:rsid w:val="009E637F"/>
    <w:rsid w:val="009E63D0"/>
    <w:rsid w:val="009E66BB"/>
    <w:rsid w:val="00A17942"/>
    <w:rsid w:val="00A229F4"/>
    <w:rsid w:val="00A24BE0"/>
    <w:rsid w:val="00A31104"/>
    <w:rsid w:val="00A352ED"/>
    <w:rsid w:val="00A42B4C"/>
    <w:rsid w:val="00A6679E"/>
    <w:rsid w:val="00A673DB"/>
    <w:rsid w:val="00A95CCC"/>
    <w:rsid w:val="00A96BF2"/>
    <w:rsid w:val="00AA0E43"/>
    <w:rsid w:val="00AA2C23"/>
    <w:rsid w:val="00AA4FC3"/>
    <w:rsid w:val="00AC0201"/>
    <w:rsid w:val="00AC3B5F"/>
    <w:rsid w:val="00AD4CB3"/>
    <w:rsid w:val="00AD5E88"/>
    <w:rsid w:val="00AD64C8"/>
    <w:rsid w:val="00B02B56"/>
    <w:rsid w:val="00B07955"/>
    <w:rsid w:val="00B1625C"/>
    <w:rsid w:val="00B172BB"/>
    <w:rsid w:val="00B52129"/>
    <w:rsid w:val="00B60464"/>
    <w:rsid w:val="00B61206"/>
    <w:rsid w:val="00B63C91"/>
    <w:rsid w:val="00B70EBC"/>
    <w:rsid w:val="00B81684"/>
    <w:rsid w:val="00BA52BA"/>
    <w:rsid w:val="00BB6395"/>
    <w:rsid w:val="00BC1732"/>
    <w:rsid w:val="00BC6756"/>
    <w:rsid w:val="00BD5657"/>
    <w:rsid w:val="00BF0480"/>
    <w:rsid w:val="00BF58ED"/>
    <w:rsid w:val="00C01F25"/>
    <w:rsid w:val="00C065A9"/>
    <w:rsid w:val="00C24DA9"/>
    <w:rsid w:val="00C25704"/>
    <w:rsid w:val="00C2645D"/>
    <w:rsid w:val="00C776FB"/>
    <w:rsid w:val="00C97196"/>
    <w:rsid w:val="00CA3BF3"/>
    <w:rsid w:val="00CB3D45"/>
    <w:rsid w:val="00CC14FC"/>
    <w:rsid w:val="00CC46AF"/>
    <w:rsid w:val="00CE65C2"/>
    <w:rsid w:val="00CE6BA9"/>
    <w:rsid w:val="00CF2531"/>
    <w:rsid w:val="00D05DDC"/>
    <w:rsid w:val="00D44B91"/>
    <w:rsid w:val="00D471BA"/>
    <w:rsid w:val="00D47B91"/>
    <w:rsid w:val="00D54F84"/>
    <w:rsid w:val="00D60282"/>
    <w:rsid w:val="00D61192"/>
    <w:rsid w:val="00D63527"/>
    <w:rsid w:val="00D70528"/>
    <w:rsid w:val="00D8039F"/>
    <w:rsid w:val="00D83479"/>
    <w:rsid w:val="00D851D2"/>
    <w:rsid w:val="00D91093"/>
    <w:rsid w:val="00D92E5A"/>
    <w:rsid w:val="00D92E73"/>
    <w:rsid w:val="00D95045"/>
    <w:rsid w:val="00DA2680"/>
    <w:rsid w:val="00DB1E6A"/>
    <w:rsid w:val="00DB37A2"/>
    <w:rsid w:val="00DE2613"/>
    <w:rsid w:val="00DE40C1"/>
    <w:rsid w:val="00DF1FCC"/>
    <w:rsid w:val="00E07944"/>
    <w:rsid w:val="00E2210C"/>
    <w:rsid w:val="00E54735"/>
    <w:rsid w:val="00E83EDE"/>
    <w:rsid w:val="00EA5002"/>
    <w:rsid w:val="00EB45BF"/>
    <w:rsid w:val="00EC0C78"/>
    <w:rsid w:val="00EE6B10"/>
    <w:rsid w:val="00EF3E76"/>
    <w:rsid w:val="00F05FE5"/>
    <w:rsid w:val="00F13A0D"/>
    <w:rsid w:val="00F16228"/>
    <w:rsid w:val="00F24F39"/>
    <w:rsid w:val="00F335B7"/>
    <w:rsid w:val="00F34E5F"/>
    <w:rsid w:val="00F45071"/>
    <w:rsid w:val="00F521C7"/>
    <w:rsid w:val="00F60068"/>
    <w:rsid w:val="00F60BE1"/>
    <w:rsid w:val="00F819DA"/>
    <w:rsid w:val="00FB2E60"/>
    <w:rsid w:val="00FB6745"/>
    <w:rsid w:val="00FB6E70"/>
    <w:rsid w:val="00FE0881"/>
    <w:rsid w:val="00FE1571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99C853"/>
  <w15:docId w15:val="{6C7275D8-7A43-4471-8D69-D9E5D6F6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2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B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B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4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DE2613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E2613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2613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E2613"/>
    <w:rPr>
      <w:i/>
      <w:iCs/>
    </w:rPr>
  </w:style>
  <w:style w:type="table" w:styleId="LightShading-Accent1">
    <w:name w:val="Light Shading Accent 1"/>
    <w:basedOn w:val="TableNormal"/>
    <w:uiPriority w:val="60"/>
    <w:rsid w:val="00DE2613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8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E8"/>
  </w:style>
  <w:style w:type="paragraph" w:styleId="Footer">
    <w:name w:val="footer"/>
    <w:basedOn w:val="Normal"/>
    <w:link w:val="FooterChar"/>
    <w:uiPriority w:val="99"/>
    <w:unhideWhenUsed/>
    <w:rsid w:val="00901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E8"/>
  </w:style>
  <w:style w:type="table" w:styleId="TableGrid">
    <w:name w:val="Table Grid"/>
    <w:basedOn w:val="TableNormal"/>
    <w:uiPriority w:val="39"/>
    <w:rsid w:val="00EA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17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52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2BA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48445F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165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21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518">
          <w:marLeft w:val="2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83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3615">
          <w:marLeft w:val="1296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699">
          <w:marLeft w:val="1296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357">
          <w:marLeft w:val="1296"/>
          <w:marRight w:val="1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0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81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075">
          <w:marLeft w:val="1296"/>
          <w:marRight w:val="11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9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8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0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7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6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450">
          <w:marLeft w:val="31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533">
          <w:marLeft w:val="72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557">
          <w:marLeft w:val="72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23">
          <w:marLeft w:val="72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677">
          <w:marLeft w:val="31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347">
          <w:marLeft w:val="31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976">
          <w:marLeft w:val="72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588">
          <w:marLeft w:val="72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41">
          <w:marLeft w:val="72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685">
          <w:marLeft w:val="72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033">
          <w:marLeft w:val="31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94">
          <w:marLeft w:val="31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32">
          <w:marLeft w:val="72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72">
          <w:marLeft w:val="72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889">
          <w:marLeft w:val="72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808">
          <w:marLeft w:val="72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085">
          <w:marLeft w:val="31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nursing-facility-task-force-repo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vid19ltc.umassmed.ed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527F-D41C-4928-B28B-968669AF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Lyons</dc:creator>
  <cp:lastModifiedBy>Jessica Lyons</cp:lastModifiedBy>
  <cp:revision>6</cp:revision>
  <cp:lastPrinted>2020-09-10T18:28:00Z</cp:lastPrinted>
  <dcterms:created xsi:type="dcterms:W3CDTF">2020-09-10T12:59:00Z</dcterms:created>
  <dcterms:modified xsi:type="dcterms:W3CDTF">2020-09-10T19:21:00Z</dcterms:modified>
</cp:coreProperties>
</file>