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65E9A" w14:textId="77777777" w:rsidR="000537DA" w:rsidRDefault="000537DA" w:rsidP="00263560">
      <w:pPr>
        <w:framePr w:w="6926" w:hSpace="187" w:wrap="notBeside" w:vAnchor="page" w:hAnchor="page" w:x="2574" w:y="466"/>
        <w:jc w:val="center"/>
        <w:rPr>
          <w:rFonts w:ascii="Arial" w:hAnsi="Arial"/>
          <w:sz w:val="36"/>
        </w:rPr>
      </w:pPr>
      <w:r>
        <w:rPr>
          <w:rFonts w:ascii="Arial" w:hAnsi="Arial"/>
          <w:sz w:val="36"/>
        </w:rPr>
        <w:t>The Commonwealth of Massachusetts</w:t>
      </w:r>
    </w:p>
    <w:p w14:paraId="1268106A" w14:textId="77777777" w:rsidR="000537DA" w:rsidRDefault="000537DA" w:rsidP="00263560">
      <w:pPr>
        <w:pStyle w:val="ExecOffice"/>
        <w:framePr w:w="6926" w:wrap="notBeside" w:vAnchor="page" w:x="2574" w:y="466"/>
      </w:pPr>
      <w:r>
        <w:t>Executive Office of Health and Human Services</w:t>
      </w:r>
    </w:p>
    <w:p w14:paraId="3D4A7D83" w14:textId="77777777" w:rsidR="000537DA" w:rsidRDefault="000537DA" w:rsidP="00263560">
      <w:pPr>
        <w:pStyle w:val="ExecOffice"/>
        <w:framePr w:w="6926" w:wrap="notBeside" w:vAnchor="page" w:x="2574" w:y="466"/>
      </w:pPr>
      <w:r>
        <w:t>Department of Public Health</w:t>
      </w:r>
    </w:p>
    <w:p w14:paraId="6DBDDD9C" w14:textId="77777777" w:rsidR="00263560" w:rsidRDefault="00263560" w:rsidP="00263560">
      <w:pPr>
        <w:pStyle w:val="ExecOffice"/>
        <w:framePr w:w="6926" w:wrap="notBeside" w:vAnchor="page" w:x="2574" w:y="466"/>
      </w:pPr>
      <w:r>
        <w:t>Bureau of Health Care Safety and Quality</w:t>
      </w:r>
    </w:p>
    <w:p w14:paraId="27EB8D67" w14:textId="77777777" w:rsidR="006D06D9" w:rsidRDefault="00263560" w:rsidP="00263560">
      <w:pPr>
        <w:pStyle w:val="ExecOffice"/>
        <w:framePr w:w="6926" w:wrap="notBeside" w:vAnchor="page" w:x="2574" w:y="466"/>
      </w:pPr>
      <w:r>
        <w:t>67 Forest St., Marlborough, MA 01752</w:t>
      </w:r>
    </w:p>
    <w:p w14:paraId="129C7945" w14:textId="771C12DF" w:rsidR="00BA4055" w:rsidRDefault="00D93AA4" w:rsidP="00BA4055">
      <w:pPr>
        <w:framePr w:w="1927" w:hSpace="180" w:wrap="auto" w:vAnchor="text" w:hAnchor="page" w:x="940" w:y="-951"/>
        <w:rPr>
          <w:rFonts w:ascii="LinePrinter" w:hAnsi="LinePrinter"/>
        </w:rPr>
      </w:pPr>
      <w:r>
        <w:rPr>
          <w:rFonts w:ascii="LinePrinter" w:hAnsi="LinePrinter"/>
          <w:noProof/>
        </w:rPr>
        <w:drawing>
          <wp:inline distT="0" distB="0" distL="0" distR="0" wp14:anchorId="778DAB72" wp14:editId="4C29B546">
            <wp:extent cx="965200" cy="1149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5200" cy="1149350"/>
                    </a:xfrm>
                    <a:prstGeom prst="rect">
                      <a:avLst/>
                    </a:prstGeom>
                    <a:noFill/>
                    <a:ln>
                      <a:noFill/>
                    </a:ln>
                  </pic:spPr>
                </pic:pic>
              </a:graphicData>
            </a:graphic>
          </wp:inline>
        </w:drawing>
      </w:r>
    </w:p>
    <w:p w14:paraId="17E4FF2C" w14:textId="142310C7" w:rsidR="009908FF" w:rsidRDefault="00D93AA4" w:rsidP="0072610D">
      <w:r>
        <w:rPr>
          <w:noProof/>
        </w:rPr>
        <mc:AlternateContent>
          <mc:Choice Requires="wps">
            <w:drawing>
              <wp:anchor distT="0" distB="0" distL="114300" distR="114300" simplePos="0" relativeHeight="251658240" behindDoc="0" locked="0" layoutInCell="1" allowOverlap="1" wp14:anchorId="55BF9187" wp14:editId="25A8222D">
                <wp:simplePos x="0" y="0"/>
                <wp:positionH relativeFrom="margin">
                  <wp:align>right</wp:align>
                </wp:positionH>
                <wp:positionV relativeFrom="paragraph">
                  <wp:posOffset>514350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74D03B" w14:textId="77777777" w:rsidR="00FC6B42" w:rsidRDefault="00FC6B42" w:rsidP="00FC6B42">
                            <w:pPr>
                              <w:pStyle w:val="Governor"/>
                              <w:spacing w:after="0"/>
                              <w:rPr>
                                <w:sz w:val="16"/>
                              </w:rPr>
                            </w:pPr>
                          </w:p>
                          <w:p w14:paraId="11655A01" w14:textId="77777777" w:rsidR="00FC6B42" w:rsidRPr="003A7AFC" w:rsidRDefault="00FC6B42" w:rsidP="00FC6B42">
                            <w:pPr>
                              <w:pStyle w:val="Weld"/>
                            </w:pPr>
                            <w:r>
                              <w:t>MARYLOU SUDDERS</w:t>
                            </w:r>
                          </w:p>
                          <w:p w14:paraId="783A817F" w14:textId="77777777" w:rsidR="00FC6B42" w:rsidRDefault="00FC6B42" w:rsidP="00FC6B42">
                            <w:pPr>
                              <w:pStyle w:val="Governor"/>
                            </w:pPr>
                            <w:r>
                              <w:t>Secretary</w:t>
                            </w:r>
                          </w:p>
                          <w:p w14:paraId="7786DA9F" w14:textId="77777777" w:rsidR="00FC6B42" w:rsidRDefault="004B763E" w:rsidP="00033154">
                            <w:pPr>
                              <w:jc w:val="center"/>
                              <w:rPr>
                                <w:rFonts w:ascii="Arial Rounded MT Bold" w:hAnsi="Arial Rounded MT Bold"/>
                                <w:sz w:val="14"/>
                                <w:szCs w:val="14"/>
                              </w:rPr>
                            </w:pPr>
                            <w:r>
                              <w:rPr>
                                <w:rFonts w:ascii="Arial Rounded MT Bold" w:hAnsi="Arial Rounded MT Bold"/>
                                <w:sz w:val="16"/>
                                <w:szCs w:val="16"/>
                              </w:rPr>
                              <w:t>MARGRET R. COOKE</w:t>
                            </w:r>
                            <w:r w:rsidR="00033154" w:rsidRPr="00033154">
                              <w:rPr>
                                <w:rFonts w:ascii="Arial Rounded MT Bold" w:hAnsi="Arial Rounded MT Bold"/>
                                <w:sz w:val="16"/>
                                <w:szCs w:val="16"/>
                              </w:rPr>
                              <w:t xml:space="preserve"> </w:t>
                            </w:r>
                            <w:r>
                              <w:rPr>
                                <w:rFonts w:ascii="Arial Rounded MT Bold" w:hAnsi="Arial Rounded MT Bold"/>
                                <w:sz w:val="16"/>
                                <w:szCs w:val="16"/>
                              </w:rPr>
                              <w:t xml:space="preserve">                       </w:t>
                            </w:r>
                            <w:r>
                              <w:rPr>
                                <w:rFonts w:ascii="Arial Rounded MT Bold" w:hAnsi="Arial Rounded MT Bold"/>
                                <w:sz w:val="14"/>
                                <w:szCs w:val="14"/>
                              </w:rPr>
                              <w:t>Acting C</w:t>
                            </w:r>
                            <w:r w:rsidR="00FC6B42" w:rsidRPr="00FC6B42">
                              <w:rPr>
                                <w:rFonts w:ascii="Arial Rounded MT Bold" w:hAnsi="Arial Rounded MT Bold"/>
                                <w:sz w:val="14"/>
                                <w:szCs w:val="14"/>
                              </w:rPr>
                              <w:t>ommissioner</w:t>
                            </w:r>
                          </w:p>
                          <w:p w14:paraId="0B7DFEC6" w14:textId="77777777" w:rsidR="004813AC" w:rsidRDefault="004813AC" w:rsidP="00FC6B42">
                            <w:pPr>
                              <w:jc w:val="center"/>
                              <w:rPr>
                                <w:rFonts w:ascii="Arial Rounded MT Bold" w:hAnsi="Arial Rounded MT Bold"/>
                                <w:sz w:val="14"/>
                                <w:szCs w:val="14"/>
                              </w:rPr>
                            </w:pPr>
                          </w:p>
                          <w:p w14:paraId="7BA3B2E4"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5212C12C"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489A800"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5BF9187" id="_x0000_t202" coordsize="21600,21600" o:spt="202" path="m,l,21600r21600,l21600,xe">
                <v:stroke joinstyle="miter"/>
                <v:path gradientshapeok="t" o:connecttype="rect"/>
              </v:shapetype>
              <v:shape id="Text Box 2" o:spid="_x0000_s1026" type="#_x0000_t202" style="position:absolute;margin-left:91.65pt;margin-top:40.5pt;width:142.85pt;height:89.45pt;z-index:251658240;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" stroked="f">
                <v:textbox style="mso-fit-shape-to-text:t">
                  <w:txbxContent>
                    <w:p w14:paraId="7974D03B" w14:textId="77777777" w:rsidR="00FC6B42" w:rsidRDefault="00FC6B42" w:rsidP="00FC6B42">
                      <w:pPr>
                        <w:pStyle w:val="Governor"/>
                        <w:spacing w:after="0"/>
                        <w:rPr>
                          <w:sz w:val="16"/>
                        </w:rPr>
                      </w:pPr>
                    </w:p>
                    <w:p w14:paraId="11655A01" w14:textId="77777777" w:rsidR="00FC6B42" w:rsidRPr="003A7AFC" w:rsidRDefault="00FC6B42" w:rsidP="00FC6B42">
                      <w:pPr>
                        <w:pStyle w:val="Weld"/>
                      </w:pPr>
                      <w:r>
                        <w:t>MARYLOU SUDDERS</w:t>
                      </w:r>
                    </w:p>
                    <w:p w14:paraId="783A817F" w14:textId="77777777" w:rsidR="00FC6B42" w:rsidRDefault="00FC6B42" w:rsidP="00FC6B42">
                      <w:pPr>
                        <w:pStyle w:val="Governor"/>
                      </w:pPr>
                      <w:r>
                        <w:t>Secretary</w:t>
                      </w:r>
                    </w:p>
                    <w:p w14:paraId="7786DA9F" w14:textId="77777777" w:rsidR="00FC6B42" w:rsidRDefault="004B763E" w:rsidP="00033154">
                      <w:pPr>
                        <w:jc w:val="center"/>
                        <w:rPr>
                          <w:rFonts w:ascii="Arial Rounded MT Bold" w:hAnsi="Arial Rounded MT Bold"/>
                          <w:sz w:val="14"/>
                          <w:szCs w:val="14"/>
                        </w:rPr>
                      </w:pPr>
                      <w:r>
                        <w:rPr>
                          <w:rFonts w:ascii="Arial Rounded MT Bold" w:hAnsi="Arial Rounded MT Bold"/>
                          <w:sz w:val="16"/>
                          <w:szCs w:val="16"/>
                        </w:rPr>
                        <w:t>MARGRET R. COOKE</w:t>
                      </w:r>
                      <w:r w:rsidR="00033154" w:rsidRPr="00033154">
                        <w:rPr>
                          <w:rFonts w:ascii="Arial Rounded MT Bold" w:hAnsi="Arial Rounded MT Bold"/>
                          <w:sz w:val="16"/>
                          <w:szCs w:val="16"/>
                        </w:rPr>
                        <w:t xml:space="preserve"> </w:t>
                      </w:r>
                      <w:r>
                        <w:rPr>
                          <w:rFonts w:ascii="Arial Rounded MT Bold" w:hAnsi="Arial Rounded MT Bold"/>
                          <w:sz w:val="16"/>
                          <w:szCs w:val="16"/>
                        </w:rPr>
                        <w:t xml:space="preserve">                       </w:t>
                      </w:r>
                      <w:r>
                        <w:rPr>
                          <w:rFonts w:ascii="Arial Rounded MT Bold" w:hAnsi="Arial Rounded MT Bold"/>
                          <w:sz w:val="14"/>
                          <w:szCs w:val="14"/>
                        </w:rPr>
                        <w:t>Acting C</w:t>
                      </w:r>
                      <w:r w:rsidR="00FC6B42" w:rsidRPr="00FC6B42">
                        <w:rPr>
                          <w:rFonts w:ascii="Arial Rounded MT Bold" w:hAnsi="Arial Rounded MT Bold"/>
                          <w:sz w:val="14"/>
                          <w:szCs w:val="14"/>
                        </w:rPr>
                        <w:t>ommissioner</w:t>
                      </w:r>
                    </w:p>
                    <w:p w14:paraId="0B7DFEC6" w14:textId="77777777" w:rsidR="004813AC" w:rsidRDefault="004813AC" w:rsidP="00FC6B42">
                      <w:pPr>
                        <w:jc w:val="center"/>
                        <w:rPr>
                          <w:rFonts w:ascii="Arial Rounded MT Bold" w:hAnsi="Arial Rounded MT Bold"/>
                          <w:sz w:val="14"/>
                          <w:szCs w:val="14"/>
                        </w:rPr>
                      </w:pPr>
                    </w:p>
                    <w:p w14:paraId="7BA3B2E4"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5212C12C"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489A800" w14:textId="77777777" w:rsidR="004813AC" w:rsidRPr="00FC6B42" w:rsidRDefault="004813AC" w:rsidP="00FC6B42">
                      <w:pPr>
                        <w:jc w:val="center"/>
                        <w:rPr>
                          <w:rFonts w:ascii="Arial Rounded MT Bold" w:hAnsi="Arial Rounded MT Bold"/>
                          <w:sz w:val="14"/>
                          <w:szCs w:val="14"/>
                        </w:rPr>
                      </w:pPr>
                    </w:p>
                  </w:txbxContent>
                </v:textbox>
                <w10:wrap anchorx="margin"/>
              </v:shape>
            </w:pict>
          </mc:Fallback>
        </mc:AlternateContent>
      </w:r>
    </w:p>
    <w:p w14:paraId="471DE9D1" w14:textId="2047705F" w:rsidR="00FC6B42" w:rsidRDefault="001E78B9" w:rsidP="0072610D">
      <w:r>
        <w:rPr>
          <w:noProof/>
        </w:rPr>
        <mc:AlternateContent>
          <mc:Choice Requires="wps">
            <w:drawing>
              <wp:anchor distT="0" distB="0" distL="114300" distR="114300" simplePos="0" relativeHeight="251657216" behindDoc="0" locked="0" layoutInCell="1" allowOverlap="1" wp14:anchorId="313EDBE2" wp14:editId="6FAEAA53">
                <wp:simplePos x="0" y="0"/>
                <wp:positionH relativeFrom="margin">
                  <wp:align>left</wp:align>
                </wp:positionH>
                <wp:positionV relativeFrom="paragraph">
                  <wp:posOffset>29845</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1F72CF" w14:textId="77777777" w:rsidR="00FC6B42" w:rsidRDefault="00FC6B42" w:rsidP="00FC6B42">
                            <w:pPr>
                              <w:pStyle w:val="Governor"/>
                              <w:spacing w:after="0"/>
                              <w:rPr>
                                <w:sz w:val="16"/>
                              </w:rPr>
                            </w:pPr>
                          </w:p>
                          <w:p w14:paraId="448421DA" w14:textId="77777777" w:rsidR="00FC6B42" w:rsidRDefault="00FC6B42" w:rsidP="00FC6B42">
                            <w:pPr>
                              <w:pStyle w:val="Governor"/>
                              <w:spacing w:after="0"/>
                              <w:rPr>
                                <w:sz w:val="16"/>
                              </w:rPr>
                            </w:pPr>
                            <w:r>
                              <w:rPr>
                                <w:sz w:val="16"/>
                              </w:rPr>
                              <w:t>CHARLES D. BAKER</w:t>
                            </w:r>
                          </w:p>
                          <w:p w14:paraId="1C1379F2" w14:textId="77777777" w:rsidR="00FC6B42" w:rsidRDefault="00FC6B42" w:rsidP="00FC6B42">
                            <w:pPr>
                              <w:pStyle w:val="Governor"/>
                            </w:pPr>
                            <w:r>
                              <w:t>Governor</w:t>
                            </w:r>
                          </w:p>
                          <w:p w14:paraId="3239F2E9" w14:textId="77777777" w:rsidR="00FC6B42" w:rsidRDefault="00FC6B42" w:rsidP="00FC6B42">
                            <w:pPr>
                              <w:pStyle w:val="Governor"/>
                              <w:spacing w:after="0"/>
                              <w:rPr>
                                <w:sz w:val="16"/>
                              </w:rPr>
                            </w:pPr>
                            <w:r>
                              <w:rPr>
                                <w:sz w:val="16"/>
                              </w:rPr>
                              <w:t>KARYN E. POLITO</w:t>
                            </w:r>
                          </w:p>
                          <w:p w14:paraId="74289EBF"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13EDBE2" id="_x0000_s1027" type="#_x0000_t202" style="position:absolute;margin-left:0;margin-top:2.35pt;width:123.85pt;height:63.15pt;z-index:251657216;visibility:visible;mso-wrap-style:square;mso-width-percent:0;mso-height-percent:200;mso-wrap-distance-left:9pt;mso-wrap-distance-top:0;mso-wrap-distance-right:9pt;mso-wrap-distance-bottom:0;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" stroked="f">
                <v:textbox style="mso-fit-shape-to-text:t">
                  <w:txbxContent>
                    <w:p w14:paraId="0F1F72CF" w14:textId="77777777" w:rsidR="00FC6B42" w:rsidRDefault="00FC6B42" w:rsidP="00FC6B42">
                      <w:pPr>
                        <w:pStyle w:val="Governor"/>
                        <w:spacing w:after="0"/>
                        <w:rPr>
                          <w:sz w:val="16"/>
                        </w:rPr>
                      </w:pPr>
                    </w:p>
                    <w:p w14:paraId="448421DA" w14:textId="77777777" w:rsidR="00FC6B42" w:rsidRDefault="00FC6B42" w:rsidP="00FC6B42">
                      <w:pPr>
                        <w:pStyle w:val="Governor"/>
                        <w:spacing w:after="0"/>
                        <w:rPr>
                          <w:sz w:val="16"/>
                        </w:rPr>
                      </w:pPr>
                      <w:r>
                        <w:rPr>
                          <w:sz w:val="16"/>
                        </w:rPr>
                        <w:t>CHARLES D. BAKER</w:t>
                      </w:r>
                    </w:p>
                    <w:p w14:paraId="1C1379F2" w14:textId="77777777" w:rsidR="00FC6B42" w:rsidRDefault="00FC6B42" w:rsidP="00FC6B42">
                      <w:pPr>
                        <w:pStyle w:val="Governor"/>
                      </w:pPr>
                      <w:r>
                        <w:t>Governor</w:t>
                      </w:r>
                    </w:p>
                    <w:p w14:paraId="3239F2E9" w14:textId="77777777" w:rsidR="00FC6B42" w:rsidRDefault="00FC6B42" w:rsidP="00FC6B42">
                      <w:pPr>
                        <w:pStyle w:val="Governor"/>
                        <w:spacing w:after="0"/>
                        <w:rPr>
                          <w:sz w:val="16"/>
                        </w:rPr>
                      </w:pPr>
                      <w:r>
                        <w:rPr>
                          <w:sz w:val="16"/>
                        </w:rPr>
                        <w:t>KARYN E. POLITO</w:t>
                      </w:r>
                    </w:p>
                    <w:p w14:paraId="74289EBF" w14:textId="77777777" w:rsidR="00FC6B42" w:rsidRDefault="00FC6B42" w:rsidP="00FC6B42">
                      <w:pPr>
                        <w:pStyle w:val="Governor"/>
                      </w:pPr>
                      <w:r>
                        <w:t>Lieutenant Governor</w:t>
                      </w:r>
                    </w:p>
                  </w:txbxContent>
                </v:textbox>
                <w10:wrap anchorx="margin"/>
              </v:shape>
            </w:pict>
          </mc:Fallback>
        </mc:AlternateContent>
      </w:r>
    </w:p>
    <w:p w14:paraId="619FBE8E" w14:textId="77777777" w:rsidR="00FC6B42" w:rsidRDefault="00FC6B42" w:rsidP="0072610D"/>
    <w:p w14:paraId="485E404D" w14:textId="77777777" w:rsidR="00033154" w:rsidRDefault="00033154" w:rsidP="0072610D"/>
    <w:p w14:paraId="62D5A755" w14:textId="77777777" w:rsidR="00033154" w:rsidRDefault="00033154" w:rsidP="0072610D"/>
    <w:p w14:paraId="39814E28" w14:textId="77777777" w:rsidR="00945A24" w:rsidRDefault="00A26158" w:rsidP="00BD6FF4">
      <w:r>
        <w:t xml:space="preserve"> </w:t>
      </w:r>
    </w:p>
    <w:p w14:paraId="30A02C0C" w14:textId="77777777" w:rsidR="00AC222C" w:rsidRPr="00AC222C" w:rsidRDefault="00AC222C" w:rsidP="00AC222C">
      <w:pPr>
        <w:jc w:val="center"/>
      </w:pPr>
      <w:r w:rsidRPr="00AC222C">
        <w:rPr>
          <w:b/>
        </w:rPr>
        <w:t>Memorandum</w:t>
      </w:r>
    </w:p>
    <w:p w14:paraId="0BC6A832" w14:textId="77777777" w:rsidR="00AC222C" w:rsidRPr="00AC222C" w:rsidRDefault="00AC222C" w:rsidP="00AC222C">
      <w:pPr>
        <w:autoSpaceDE w:val="0"/>
        <w:autoSpaceDN w:val="0"/>
        <w:adjustRightInd w:val="0"/>
        <w:rPr>
          <w:rFonts w:eastAsia="@Batang"/>
        </w:rPr>
      </w:pPr>
    </w:p>
    <w:p w14:paraId="5F2F45DA" w14:textId="77777777" w:rsidR="00AC222C" w:rsidRPr="00AC222C" w:rsidRDefault="00AC222C" w:rsidP="00CA33E5">
      <w:pPr>
        <w:autoSpaceDE w:val="0"/>
        <w:autoSpaceDN w:val="0"/>
        <w:adjustRightInd w:val="0"/>
        <w:ind w:left="1440" w:hanging="1440"/>
        <w:rPr>
          <w:rFonts w:eastAsia="@Batang"/>
          <w:b/>
        </w:rPr>
      </w:pPr>
      <w:r w:rsidRPr="00AC222C">
        <w:rPr>
          <w:rFonts w:eastAsia="@Batang"/>
          <w:b/>
        </w:rPr>
        <w:t>TO:</w:t>
      </w:r>
      <w:r w:rsidRPr="00AC222C">
        <w:rPr>
          <w:rFonts w:eastAsia="@Batang"/>
        </w:rPr>
        <w:tab/>
      </w:r>
      <w:r w:rsidR="005F3E75">
        <w:rPr>
          <w:rFonts w:eastAsia="@Batang"/>
        </w:rPr>
        <w:t>Hospice Programs</w:t>
      </w:r>
    </w:p>
    <w:p w14:paraId="3397A52C" w14:textId="77777777" w:rsidR="00AC222C" w:rsidRPr="00AC222C" w:rsidRDefault="00AC222C" w:rsidP="00AC222C">
      <w:pPr>
        <w:autoSpaceDE w:val="0"/>
        <w:autoSpaceDN w:val="0"/>
        <w:adjustRightInd w:val="0"/>
        <w:rPr>
          <w:rFonts w:eastAsia="@Batang"/>
          <w:b/>
        </w:rPr>
      </w:pPr>
    </w:p>
    <w:p w14:paraId="5BA84ED1" w14:textId="5AEA5E6A" w:rsidR="00AC222C" w:rsidRPr="00AC222C" w:rsidRDefault="00AC222C" w:rsidP="00AC222C">
      <w:pPr>
        <w:autoSpaceDE w:val="0"/>
        <w:autoSpaceDN w:val="0"/>
        <w:adjustRightInd w:val="0"/>
        <w:rPr>
          <w:rFonts w:eastAsia="@Batang"/>
        </w:rPr>
      </w:pPr>
      <w:r w:rsidRPr="00AC222C">
        <w:rPr>
          <w:rFonts w:eastAsia="@Batang"/>
          <w:b/>
        </w:rPr>
        <w:t>FROM:</w:t>
      </w:r>
      <w:r w:rsidRPr="00AC222C">
        <w:rPr>
          <w:rFonts w:eastAsia="@Batang"/>
        </w:rPr>
        <w:t xml:space="preserve">          </w:t>
      </w:r>
      <w:r w:rsidRPr="00AC222C">
        <w:rPr>
          <w:rFonts w:eastAsia="@Batang"/>
        </w:rPr>
        <w:tab/>
        <w:t>Elizabeth D</w:t>
      </w:r>
      <w:r w:rsidR="001E78B9">
        <w:rPr>
          <w:rFonts w:eastAsia="@Batang"/>
        </w:rPr>
        <w:t>.</w:t>
      </w:r>
      <w:r w:rsidRPr="00AC222C">
        <w:rPr>
          <w:rFonts w:eastAsia="@Batang"/>
        </w:rPr>
        <w:t xml:space="preserve"> Kelley, MPH, MBA, Director</w:t>
      </w:r>
      <w:r w:rsidRPr="00AC222C">
        <w:rPr>
          <w:color w:val="1F497D"/>
        </w:rPr>
        <w:t xml:space="preserve"> </w:t>
      </w:r>
    </w:p>
    <w:p w14:paraId="62E48CDA" w14:textId="77777777" w:rsidR="00AC222C" w:rsidRPr="00AC222C" w:rsidRDefault="00AC222C" w:rsidP="00AC222C">
      <w:pPr>
        <w:autoSpaceDE w:val="0"/>
        <w:autoSpaceDN w:val="0"/>
        <w:adjustRightInd w:val="0"/>
        <w:ind w:left="720" w:firstLine="720"/>
        <w:rPr>
          <w:rFonts w:eastAsia="@Batang"/>
        </w:rPr>
      </w:pPr>
      <w:r w:rsidRPr="00AC222C">
        <w:rPr>
          <w:rFonts w:eastAsia="@Batang"/>
        </w:rPr>
        <w:t>Bureau of Health Care Safety and Quality</w:t>
      </w:r>
      <w:r w:rsidRPr="00AC222C">
        <w:rPr>
          <w:rFonts w:eastAsia="@Batang"/>
        </w:rPr>
        <w:tab/>
      </w:r>
    </w:p>
    <w:p w14:paraId="74FC7ABB" w14:textId="77777777" w:rsidR="00AC222C" w:rsidRPr="00AC222C" w:rsidRDefault="00AC222C" w:rsidP="00AC222C">
      <w:pPr>
        <w:autoSpaceDE w:val="0"/>
        <w:autoSpaceDN w:val="0"/>
        <w:adjustRightInd w:val="0"/>
        <w:rPr>
          <w:rFonts w:eastAsia="@Batang"/>
        </w:rPr>
      </w:pPr>
      <w:r w:rsidRPr="00AC222C">
        <w:rPr>
          <w:rFonts w:eastAsia="@Batang"/>
        </w:rPr>
        <w:tab/>
      </w:r>
      <w:r w:rsidRPr="00AC222C">
        <w:rPr>
          <w:rFonts w:eastAsia="@Batang"/>
        </w:rPr>
        <w:tab/>
      </w:r>
    </w:p>
    <w:p w14:paraId="14FD5B96" w14:textId="77777777" w:rsidR="00AC222C" w:rsidRPr="00AC222C" w:rsidRDefault="00AC222C" w:rsidP="00AC222C">
      <w:pPr>
        <w:tabs>
          <w:tab w:val="left" w:pos="1440"/>
        </w:tabs>
        <w:autoSpaceDE w:val="0"/>
        <w:autoSpaceDN w:val="0"/>
        <w:adjustRightInd w:val="0"/>
        <w:ind w:left="1440" w:hanging="1440"/>
      </w:pPr>
      <w:r w:rsidRPr="00AC222C">
        <w:rPr>
          <w:rFonts w:eastAsia="@Batang"/>
          <w:b/>
        </w:rPr>
        <w:t>SUBJECT:</w:t>
      </w:r>
      <w:r w:rsidRPr="00AC222C">
        <w:rPr>
          <w:rFonts w:eastAsia="@Batang"/>
        </w:rPr>
        <w:t xml:space="preserve">   </w:t>
      </w:r>
      <w:r w:rsidRPr="00AC222C">
        <w:rPr>
          <w:rFonts w:eastAsia="@Batang"/>
        </w:rPr>
        <w:tab/>
      </w:r>
      <w:r w:rsidR="008B45C3">
        <w:rPr>
          <w:rFonts w:eastAsia="@Batang"/>
        </w:rPr>
        <w:t xml:space="preserve">Updated </w:t>
      </w:r>
      <w:r w:rsidR="00CA33E5">
        <w:rPr>
          <w:rFonts w:eastAsia="@Batang"/>
        </w:rPr>
        <w:t xml:space="preserve">COVID-19 </w:t>
      </w:r>
      <w:r w:rsidR="008974FA">
        <w:rPr>
          <w:rFonts w:eastAsia="@Batang"/>
        </w:rPr>
        <w:t>Personnel</w:t>
      </w:r>
      <w:r w:rsidR="00CA33E5">
        <w:rPr>
          <w:rFonts w:eastAsia="@Batang"/>
        </w:rPr>
        <w:t xml:space="preserve"> Vaccination </w:t>
      </w:r>
      <w:r w:rsidR="008974FA">
        <w:rPr>
          <w:rFonts w:eastAsia="@Batang"/>
        </w:rPr>
        <w:t>Requirement</w:t>
      </w:r>
    </w:p>
    <w:p w14:paraId="56AF4283" w14:textId="77777777" w:rsidR="00AC222C" w:rsidRPr="00AC222C" w:rsidRDefault="00AC222C" w:rsidP="00AC222C">
      <w:pPr>
        <w:autoSpaceDE w:val="0"/>
        <w:autoSpaceDN w:val="0"/>
        <w:adjustRightInd w:val="0"/>
        <w:rPr>
          <w:rFonts w:eastAsia="@Batang"/>
          <w:b/>
        </w:rPr>
      </w:pPr>
    </w:p>
    <w:p w14:paraId="1C977E33" w14:textId="7E600666" w:rsidR="00AC222C" w:rsidRPr="00AC222C" w:rsidRDefault="00AC222C" w:rsidP="00AC222C">
      <w:pPr>
        <w:autoSpaceDE w:val="0"/>
        <w:autoSpaceDN w:val="0"/>
        <w:adjustRightInd w:val="0"/>
        <w:rPr>
          <w:rFonts w:eastAsia="@Batang"/>
        </w:rPr>
      </w:pPr>
      <w:r w:rsidRPr="00AC222C">
        <w:rPr>
          <w:rFonts w:eastAsia="@Batang"/>
          <w:b/>
        </w:rPr>
        <w:t>DATE:</w:t>
      </w:r>
      <w:r w:rsidRPr="00AC222C">
        <w:rPr>
          <w:rFonts w:eastAsia="@Batang"/>
          <w:b/>
        </w:rPr>
        <w:tab/>
      </w:r>
      <w:r w:rsidR="008D14FA">
        <w:rPr>
          <w:rFonts w:eastAsia="@Batang"/>
          <w:bCs/>
        </w:rPr>
        <w:t xml:space="preserve">November </w:t>
      </w:r>
      <w:r w:rsidR="00A40CD8">
        <w:rPr>
          <w:rFonts w:eastAsia="@Batang"/>
          <w:bCs/>
        </w:rPr>
        <w:t>21</w:t>
      </w:r>
      <w:r w:rsidR="00BD2E17">
        <w:rPr>
          <w:rFonts w:eastAsia="@Batang"/>
          <w:bCs/>
        </w:rPr>
        <w:t>, 2022</w:t>
      </w:r>
    </w:p>
    <w:p w14:paraId="7AD11F80" w14:textId="77777777" w:rsidR="00AC222C" w:rsidRPr="00AC222C" w:rsidRDefault="00AC222C" w:rsidP="00AC222C">
      <w:pPr>
        <w:autoSpaceDE w:val="0"/>
        <w:autoSpaceDN w:val="0"/>
        <w:adjustRightInd w:val="0"/>
        <w:rPr>
          <w:color w:val="000000"/>
        </w:rPr>
      </w:pPr>
    </w:p>
    <w:p w14:paraId="43B25B73" w14:textId="77777777" w:rsidR="00AC222C" w:rsidRPr="00AC222C" w:rsidRDefault="00AC222C" w:rsidP="00AC222C">
      <w:pPr>
        <w:autoSpaceDE w:val="0"/>
        <w:autoSpaceDN w:val="0"/>
        <w:adjustRightInd w:val="0"/>
        <w:rPr>
          <w:color w:val="000000"/>
          <w:szCs w:val="24"/>
        </w:rPr>
      </w:pPr>
      <w:r w:rsidRPr="00AC222C">
        <w:rPr>
          <w:color w:val="000000"/>
          <w:szCs w:val="24"/>
        </w:rPr>
        <w:t xml:space="preserve">The Massachusetts Department of Public Health (DPH) continues to work with state, federal and local partners to address the Coronavirus Disease 2019 (COVID-19) pandemic. DPH understands the important role that </w:t>
      </w:r>
      <w:r w:rsidR="00FF4A6B">
        <w:rPr>
          <w:color w:val="000000"/>
          <w:szCs w:val="24"/>
        </w:rPr>
        <w:t xml:space="preserve">hospice programs </w:t>
      </w:r>
      <w:r w:rsidRPr="00AC222C">
        <w:rPr>
          <w:color w:val="000000"/>
          <w:szCs w:val="24"/>
        </w:rPr>
        <w:t xml:space="preserve">serve in caring for Massachusetts residents.  </w:t>
      </w:r>
    </w:p>
    <w:p w14:paraId="2C6B1EA0" w14:textId="77777777" w:rsidR="00F53671" w:rsidRPr="00906B27" w:rsidRDefault="00F53671" w:rsidP="00CA33E5">
      <w:pPr>
        <w:autoSpaceDE w:val="0"/>
        <w:autoSpaceDN w:val="0"/>
        <w:adjustRightInd w:val="0"/>
        <w:rPr>
          <w:b/>
          <w:szCs w:val="24"/>
        </w:rPr>
      </w:pPr>
    </w:p>
    <w:p w14:paraId="24829D6B" w14:textId="77777777" w:rsidR="00A0306F" w:rsidRDefault="00A0306F" w:rsidP="00F53671">
      <w:pPr>
        <w:rPr>
          <w:b/>
          <w:bCs/>
          <w:szCs w:val="24"/>
        </w:rPr>
      </w:pPr>
      <w:r>
        <w:rPr>
          <w:b/>
          <w:bCs/>
          <w:szCs w:val="24"/>
        </w:rPr>
        <w:t>COVID-19 Primary Series Vaccination Requirement:</w:t>
      </w:r>
    </w:p>
    <w:p w14:paraId="41DDDBAD" w14:textId="77777777" w:rsidR="00A0306F" w:rsidRDefault="00A0306F" w:rsidP="00F53671">
      <w:pPr>
        <w:rPr>
          <w:rFonts w:eastAsia="Calibri"/>
          <w:szCs w:val="24"/>
        </w:rPr>
      </w:pPr>
    </w:p>
    <w:p w14:paraId="77415276" w14:textId="77777777" w:rsidR="00A0306F" w:rsidRPr="00F53671" w:rsidRDefault="00A0306F" w:rsidP="00A0306F">
      <w:pPr>
        <w:rPr>
          <w:rFonts w:eastAsia="Calibri"/>
          <w:szCs w:val="24"/>
        </w:rPr>
      </w:pPr>
      <w:r>
        <w:rPr>
          <w:szCs w:val="24"/>
        </w:rPr>
        <w:t xml:space="preserve">Pursuant to the hospice licensure regulations </w:t>
      </w:r>
      <w:hyperlink r:id="rId9" w:history="1">
        <w:r w:rsidRPr="00A0306F">
          <w:rPr>
            <w:rStyle w:val="Hyperlink"/>
            <w:szCs w:val="24"/>
          </w:rPr>
          <w:t>(105 CMR 141.201(D)),</w:t>
        </w:r>
      </w:hyperlink>
      <w:r>
        <w:rPr>
          <w:szCs w:val="24"/>
        </w:rPr>
        <w:t xml:space="preserve"> hospice programs </w:t>
      </w:r>
      <w:r w:rsidRPr="004B0636">
        <w:rPr>
          <w:szCs w:val="24"/>
        </w:rPr>
        <w:t xml:space="preserve">must ensure that all personnel </w:t>
      </w:r>
      <w:r>
        <w:rPr>
          <w:szCs w:val="24"/>
        </w:rPr>
        <w:t xml:space="preserve">have </w:t>
      </w:r>
      <w:bookmarkStart w:id="0" w:name="_Hlk92543592"/>
      <w:r>
        <w:rPr>
          <w:szCs w:val="24"/>
        </w:rPr>
        <w:t xml:space="preserve">completed the full required regimen of vaccine doses </w:t>
      </w:r>
      <w:r w:rsidRPr="004B0636">
        <w:rPr>
          <w:szCs w:val="24"/>
        </w:rPr>
        <w:t xml:space="preserve">against COVID-19 </w:t>
      </w:r>
      <w:bookmarkEnd w:id="0"/>
      <w:r w:rsidRPr="004B0636">
        <w:rPr>
          <w:szCs w:val="24"/>
        </w:rPr>
        <w:t>unless such administration is medically contraindicated, which means administration of COVID-19 vaccine is likely to be detrimental to the individual’s health</w:t>
      </w:r>
      <w:r>
        <w:t>,</w:t>
      </w:r>
      <w:r w:rsidRPr="00F22E5C">
        <w:t xml:space="preserve"> provided that the individual provides supporting documentation</w:t>
      </w:r>
      <w:r w:rsidRPr="00F22E5C">
        <w:rPr>
          <w:szCs w:val="24"/>
        </w:rPr>
        <w:t xml:space="preserve">, </w:t>
      </w:r>
      <w:r w:rsidRPr="004B0636">
        <w:rPr>
          <w:szCs w:val="24"/>
        </w:rPr>
        <w:t xml:space="preserve">or the individual </w:t>
      </w:r>
      <w:r w:rsidRPr="002C730F">
        <w:rPr>
          <w:szCs w:val="24"/>
        </w:rPr>
        <w:t>objects to vaccination on the basis of a sincerely held religious belief</w:t>
      </w:r>
      <w:r>
        <w:rPr>
          <w:szCs w:val="24"/>
        </w:rPr>
        <w:t>.  If the individual seeks an exemption for either medical or religious reasons, the individual must be able to perform their essential job functions with a reasonable accommodation that is not an undue burden on the hospice program</w:t>
      </w:r>
      <w:r w:rsidRPr="004B0636">
        <w:rPr>
          <w:szCs w:val="24"/>
        </w:rPr>
        <w:t xml:space="preserve">. Personnel may not otherwise decline the vaccine. </w:t>
      </w:r>
      <w:r>
        <w:rPr>
          <w:szCs w:val="24"/>
        </w:rPr>
        <w:t xml:space="preserve">Hospice programs </w:t>
      </w:r>
      <w:r w:rsidRPr="004B0636">
        <w:rPr>
          <w:szCs w:val="24"/>
        </w:rPr>
        <w:t xml:space="preserve">shall </w:t>
      </w:r>
      <w:r>
        <w:rPr>
          <w:szCs w:val="24"/>
        </w:rPr>
        <w:t>ensure that all new personnel</w:t>
      </w:r>
      <w:r w:rsidR="00DB4A8C">
        <w:rPr>
          <w:szCs w:val="24"/>
        </w:rPr>
        <w:t xml:space="preserve"> have</w:t>
      </w:r>
      <w:r>
        <w:rPr>
          <w:szCs w:val="24"/>
        </w:rPr>
        <w:t xml:space="preserve"> </w:t>
      </w:r>
      <w:r w:rsidR="00DB4A8C" w:rsidRPr="00DB4A8C">
        <w:rPr>
          <w:szCs w:val="24"/>
        </w:rPr>
        <w:t xml:space="preserve">completed the full required regimen of vaccine doses against COVID-19 </w:t>
      </w:r>
      <w:r>
        <w:rPr>
          <w:szCs w:val="24"/>
        </w:rPr>
        <w:t xml:space="preserve">or qualify for an exemption from the requirement as described herein prior to being hired or otherwise affiliated with the facility. </w:t>
      </w:r>
    </w:p>
    <w:p w14:paraId="2005782C" w14:textId="77777777" w:rsidR="00A0306F" w:rsidRDefault="00A0306F" w:rsidP="00F53671">
      <w:pPr>
        <w:rPr>
          <w:rFonts w:eastAsia="Calibri"/>
          <w:szCs w:val="24"/>
        </w:rPr>
      </w:pPr>
    </w:p>
    <w:p w14:paraId="0CDFFAD7" w14:textId="77777777" w:rsidR="00A0306F" w:rsidRDefault="00A0306F" w:rsidP="00A0306F">
      <w:pPr>
        <w:rPr>
          <w:b/>
          <w:bCs/>
        </w:rPr>
      </w:pPr>
    </w:p>
    <w:p w14:paraId="07A6CF31" w14:textId="77777777" w:rsidR="008D14FA" w:rsidRDefault="008D14FA" w:rsidP="008D14FA">
      <w:r>
        <w:t>Hospice programs must ensure that all eligible personnel have completed the primary series of COVID-19 vaccine in accordance with the Centers for Medicare and Medicaid Services (CMS) requirements</w:t>
      </w:r>
      <w:r w:rsidR="009B613B">
        <w:rPr>
          <w:rStyle w:val="FootnoteReference"/>
        </w:rPr>
        <w:footnoteReference w:id="1"/>
      </w:r>
      <w:r>
        <w:t xml:space="preserve">. While not required, all </w:t>
      </w:r>
      <w:r w:rsidR="009B613B">
        <w:t>hospice program</w:t>
      </w:r>
      <w:r>
        <w:t xml:space="preserve"> personnel are strongly encouraged to stay up to date with COVID-19 vaccines, which means an individual has received all doses in</w:t>
      </w:r>
      <w:r w:rsidR="009B613B">
        <w:t xml:space="preserve"> </w:t>
      </w:r>
      <w:r>
        <w:t xml:space="preserve">the primary series and received the most recent booster dose recommended for the individual by the CDC. </w:t>
      </w:r>
    </w:p>
    <w:p w14:paraId="25675069" w14:textId="77777777" w:rsidR="008D14FA" w:rsidRDefault="008D14FA" w:rsidP="008D14FA"/>
    <w:p w14:paraId="07849C2C" w14:textId="77777777" w:rsidR="009B613B" w:rsidRDefault="008D14FA" w:rsidP="008D14FA">
      <w:r>
        <w:lastRenderedPageBreak/>
        <w:t xml:space="preserve">Any individual who has been granted a reasonable accommodation by their employer based on medical contraindication or a sincerely held religious belief is exempt from the requirement to receive the primary series. </w:t>
      </w:r>
      <w:r w:rsidR="009B613B">
        <w:t>Hospice programs</w:t>
      </w:r>
      <w:r>
        <w:t xml:space="preserve"> must ensure that personnel who have not yet received their primary series and who have not been granted a reasonable accommodation receive the primary series as soon as possible. All new personnel must have received the primary series at the time of hiring.</w:t>
      </w:r>
    </w:p>
    <w:p w14:paraId="0567F72A" w14:textId="77777777" w:rsidR="00A0306F" w:rsidRDefault="00A0306F" w:rsidP="00A0306F">
      <w:pPr>
        <w:rPr>
          <w:color w:val="212121"/>
          <w:szCs w:val="24"/>
        </w:rPr>
      </w:pPr>
    </w:p>
    <w:p w14:paraId="0081BC0F" w14:textId="77777777" w:rsidR="00A0306F" w:rsidRPr="00F53671" w:rsidRDefault="00A0306F" w:rsidP="00F53671">
      <w:pPr>
        <w:rPr>
          <w:rFonts w:eastAsia="Calibri"/>
          <w:szCs w:val="24"/>
        </w:rPr>
      </w:pPr>
    </w:p>
    <w:p w14:paraId="0C184EF7" w14:textId="77777777" w:rsidR="00A437F4" w:rsidRPr="00451DDB" w:rsidRDefault="00823DEA" w:rsidP="00A437F4">
      <w:pPr>
        <w:rPr>
          <w:b/>
          <w:bCs/>
        </w:rPr>
      </w:pPr>
      <w:r>
        <w:rPr>
          <w:b/>
          <w:bCs/>
        </w:rPr>
        <w:t>Hospice Program</w:t>
      </w:r>
      <w:r w:rsidR="00A437F4" w:rsidRPr="00451DDB">
        <w:rPr>
          <w:b/>
          <w:bCs/>
        </w:rPr>
        <w:t xml:space="preserve"> Documentation:</w:t>
      </w:r>
    </w:p>
    <w:p w14:paraId="1B9A0019" w14:textId="77777777" w:rsidR="00A437F4" w:rsidRPr="00451DDB" w:rsidRDefault="00A437F4" w:rsidP="00A437F4">
      <w:pPr>
        <w:rPr>
          <w:b/>
          <w:bCs/>
        </w:rPr>
      </w:pPr>
    </w:p>
    <w:p w14:paraId="7E027E0E" w14:textId="77777777" w:rsidR="00A437F4" w:rsidRPr="00451DDB" w:rsidRDefault="005F3E75" w:rsidP="00A437F4">
      <w:r>
        <w:t>Hospice program</w:t>
      </w:r>
      <w:r w:rsidR="00A437F4" w:rsidRPr="00451DDB">
        <w:t xml:space="preserve">s shall require and maintain for each individual proof of current vaccination against COVID-19 or the individual’s declination statement, and a central system to track the vaccination status of all personnel. The proof of current vaccination and central system must be made available to DPH upon request. Individual proof of current vaccination may include but is not limited to: </w:t>
      </w:r>
    </w:p>
    <w:p w14:paraId="40AAE5C5" w14:textId="77777777" w:rsidR="00A437F4" w:rsidRPr="00451DDB" w:rsidRDefault="00A437F4" w:rsidP="00A437F4">
      <w:pPr>
        <w:numPr>
          <w:ilvl w:val="0"/>
          <w:numId w:val="4"/>
        </w:numPr>
      </w:pPr>
      <w:r w:rsidRPr="00451DDB">
        <w:t>Copy of CDC Vaccination Card</w:t>
      </w:r>
    </w:p>
    <w:p w14:paraId="773D9067" w14:textId="77777777" w:rsidR="00A437F4" w:rsidRPr="00451DDB" w:rsidRDefault="00A437F4" w:rsidP="00A437F4">
      <w:pPr>
        <w:numPr>
          <w:ilvl w:val="0"/>
          <w:numId w:val="4"/>
        </w:numPr>
      </w:pPr>
      <w:r w:rsidRPr="00451DDB">
        <w:t>Copy of MA Immunization Information System (MIIS) Vaccination Record</w:t>
      </w:r>
    </w:p>
    <w:p w14:paraId="0FD9B775" w14:textId="77777777" w:rsidR="00A437F4" w:rsidRDefault="00A437F4" w:rsidP="00A437F4">
      <w:pPr>
        <w:numPr>
          <w:ilvl w:val="0"/>
          <w:numId w:val="4"/>
        </w:numPr>
      </w:pPr>
      <w:r w:rsidRPr="00451DDB">
        <w:t>Copy of vaccination from their electronic health record</w:t>
      </w:r>
    </w:p>
    <w:p w14:paraId="2E5FB6AE" w14:textId="77777777" w:rsidR="00DB4A8C" w:rsidRPr="00451DDB" w:rsidRDefault="00DB4A8C" w:rsidP="00A437F4">
      <w:pPr>
        <w:numPr>
          <w:ilvl w:val="0"/>
          <w:numId w:val="4"/>
        </w:numPr>
      </w:pPr>
      <w:r w:rsidRPr="00DB4A8C">
        <w:t xml:space="preserve">COVID19 </w:t>
      </w:r>
      <w:hyperlink r:id="rId10" w:history="1">
        <w:proofErr w:type="spellStart"/>
        <w:r w:rsidRPr="00263560">
          <w:rPr>
            <w:rStyle w:val="Hyperlink"/>
          </w:rPr>
          <w:t>SmartHealthcard</w:t>
        </w:r>
        <w:proofErr w:type="spellEnd"/>
      </w:hyperlink>
      <w:r w:rsidRPr="00DB4A8C">
        <w:t xml:space="preserve"> from the Commonwealth’s </w:t>
      </w:r>
      <w:proofErr w:type="spellStart"/>
      <w:r w:rsidRPr="00DB4A8C">
        <w:t>massvaxrecords</w:t>
      </w:r>
      <w:proofErr w:type="spellEnd"/>
      <w:r w:rsidRPr="00DB4A8C">
        <w:t xml:space="preserve"> public portal</w:t>
      </w:r>
    </w:p>
    <w:p w14:paraId="28F00D60" w14:textId="77777777" w:rsidR="00A437F4" w:rsidRPr="00451DDB" w:rsidRDefault="00A437F4" w:rsidP="00A437F4">
      <w:r w:rsidRPr="00451DDB">
        <w:tab/>
      </w:r>
    </w:p>
    <w:p w14:paraId="1C3DDF63" w14:textId="77777777" w:rsidR="008C6772" w:rsidRDefault="00A437F4" w:rsidP="009741EE">
      <w:r w:rsidRPr="00451DDB">
        <w:t xml:space="preserve">Declination statements from personnel must include but are not limited to </w:t>
      </w:r>
      <w:r w:rsidR="00C54C52">
        <w:t xml:space="preserve">a signed declination statement from </w:t>
      </w:r>
      <w:r w:rsidRPr="00451DDB">
        <w:t>each individual who declines vaccination due to medical contraindication or a sincerely held religious belief certifying he or she received information about the risks and benefits of COVID-19 vaccine.</w:t>
      </w:r>
      <w:r w:rsidRPr="00A437F4">
        <w:t xml:space="preserve"> </w:t>
      </w:r>
    </w:p>
    <w:p w14:paraId="0CAFA5B2" w14:textId="77777777" w:rsidR="008C6772" w:rsidRDefault="008C6772" w:rsidP="009741EE"/>
    <w:p w14:paraId="49745124" w14:textId="77777777" w:rsidR="009741EE" w:rsidRDefault="00A437F4" w:rsidP="009741EE">
      <w:r>
        <w:t>A</w:t>
      </w:r>
      <w:r w:rsidRPr="00A437F4">
        <w:t xml:space="preserve">ppropriate documentation of a medical exemption must be issued by a licensed </w:t>
      </w:r>
      <w:r>
        <w:t xml:space="preserve">independent </w:t>
      </w:r>
      <w:r w:rsidRPr="00A437F4">
        <w:t xml:space="preserve">practitioner who has a practitioner/patient relationship with the individual and the documentation </w:t>
      </w:r>
      <w:r>
        <w:t xml:space="preserve">must </w:t>
      </w:r>
      <w:r w:rsidRPr="00A437F4">
        <w:t>support the finding that the COVID-19 vaccine is medically contraindicated, which means that the vaccine would likely be detrimental to the person’s health.</w:t>
      </w:r>
    </w:p>
    <w:p w14:paraId="0E59A3C1" w14:textId="77777777" w:rsidR="009741EE" w:rsidRDefault="009741EE" w:rsidP="009741EE"/>
    <w:p w14:paraId="1FEBD624" w14:textId="6F6E5A50" w:rsidR="00BA1212" w:rsidRDefault="009741EE" w:rsidP="009741EE">
      <w:pPr>
        <w:rPr>
          <w:szCs w:val="24"/>
        </w:rPr>
      </w:pPr>
      <w:r>
        <w:t xml:space="preserve">For every individual who has submitted a request for exemption, the </w:t>
      </w:r>
      <w:r w:rsidR="0035128A">
        <w:t>h</w:t>
      </w:r>
      <w:r>
        <w:t xml:space="preserve">ospice program must document that it has engaged in an appropriate individualized determination that the exemption is </w:t>
      </w:r>
      <w:r w:rsidR="005049DD">
        <w:t>valid,</w:t>
      </w:r>
      <w:r>
        <w:t xml:space="preserve"> and that the hospice program has determined that the individual </w:t>
      </w:r>
      <w:r>
        <w:rPr>
          <w:szCs w:val="24"/>
        </w:rPr>
        <w:t>is able to perform their essential job functions with a reasonable accommodation that is not an undue burden on the employer.</w:t>
      </w:r>
      <w:r w:rsidR="00DB483F" w:rsidRPr="00DB483F">
        <w:t xml:space="preserve"> </w:t>
      </w:r>
      <w:r w:rsidR="002B43CF">
        <w:rPr>
          <w:szCs w:val="24"/>
        </w:rPr>
        <w:t xml:space="preserve">DPH recommends that </w:t>
      </w:r>
      <w:r w:rsidR="009B613B">
        <w:rPr>
          <w:szCs w:val="24"/>
        </w:rPr>
        <w:t xml:space="preserve">hospice programs </w:t>
      </w:r>
      <w:r w:rsidR="002B43CF">
        <w:rPr>
          <w:szCs w:val="24"/>
        </w:rPr>
        <w:t xml:space="preserve">work with their legal counsel to ensure they conduct an appropriate process.  </w:t>
      </w:r>
      <w:r w:rsidR="00E05C7D">
        <w:t xml:space="preserve">As part </w:t>
      </w:r>
      <w:r w:rsidR="00DB483F" w:rsidRPr="00DB483F">
        <w:rPr>
          <w:szCs w:val="24"/>
        </w:rPr>
        <w:t xml:space="preserve">of this individualized determination </w:t>
      </w:r>
      <w:r w:rsidR="00E05C7D">
        <w:rPr>
          <w:szCs w:val="24"/>
        </w:rPr>
        <w:t xml:space="preserve">hospice programs should incorporate clinical considerations </w:t>
      </w:r>
      <w:r w:rsidR="007A0F9C">
        <w:rPr>
          <w:szCs w:val="24"/>
        </w:rPr>
        <w:t>beyond standard infection control requirements (</w:t>
      </w:r>
      <w:proofErr w:type="gramStart"/>
      <w:r w:rsidR="007A0F9C">
        <w:rPr>
          <w:szCs w:val="24"/>
        </w:rPr>
        <w:t>e.g.</w:t>
      </w:r>
      <w:proofErr w:type="gramEnd"/>
      <w:r w:rsidR="007A0F9C">
        <w:rPr>
          <w:szCs w:val="24"/>
        </w:rPr>
        <w:t xml:space="preserve"> testing frequency).  For example</w:t>
      </w:r>
      <w:r w:rsidR="00DB483F" w:rsidRPr="00DB483F">
        <w:rPr>
          <w:szCs w:val="24"/>
        </w:rPr>
        <w:t xml:space="preserve">: </w:t>
      </w:r>
    </w:p>
    <w:p w14:paraId="3582F14E" w14:textId="5B9019AD" w:rsidR="00BA1212" w:rsidRPr="00BA1212" w:rsidRDefault="0013678A" w:rsidP="0013678A">
      <w:pPr>
        <w:numPr>
          <w:ilvl w:val="0"/>
          <w:numId w:val="8"/>
        </w:numPr>
      </w:pPr>
      <w:r w:rsidRPr="0013678A">
        <w:rPr>
          <w:szCs w:val="24"/>
        </w:rPr>
        <w:t xml:space="preserve">requiring point of care testing for unvaccinated staff prior to beginning each </w:t>
      </w:r>
      <w:r w:rsidR="005049DD" w:rsidRPr="0013678A">
        <w:rPr>
          <w:szCs w:val="24"/>
        </w:rPr>
        <w:t>shift</w:t>
      </w:r>
      <w:r w:rsidR="005049DD">
        <w:rPr>
          <w:szCs w:val="24"/>
        </w:rPr>
        <w:t>.</w:t>
      </w:r>
      <w:r w:rsidR="007A0F9C">
        <w:rPr>
          <w:szCs w:val="24"/>
        </w:rPr>
        <w:t xml:space="preserve"> </w:t>
      </w:r>
    </w:p>
    <w:p w14:paraId="7B700916" w14:textId="77777777" w:rsidR="003E1A42" w:rsidRPr="003E1A42" w:rsidRDefault="00DB483F" w:rsidP="0013678A">
      <w:pPr>
        <w:numPr>
          <w:ilvl w:val="0"/>
          <w:numId w:val="8"/>
        </w:numPr>
      </w:pPr>
      <w:r w:rsidRPr="00DB483F">
        <w:rPr>
          <w:szCs w:val="24"/>
        </w:rPr>
        <w:t xml:space="preserve">avoiding direct care for </w:t>
      </w:r>
      <w:r w:rsidR="00DB4A8C">
        <w:rPr>
          <w:szCs w:val="24"/>
        </w:rPr>
        <w:t>patients</w:t>
      </w:r>
      <w:r w:rsidR="00DB4A8C" w:rsidRPr="00DB483F">
        <w:rPr>
          <w:szCs w:val="24"/>
        </w:rPr>
        <w:t xml:space="preserve"> </w:t>
      </w:r>
      <w:r w:rsidRPr="00DB483F">
        <w:rPr>
          <w:szCs w:val="24"/>
        </w:rPr>
        <w:t>who are</w:t>
      </w:r>
      <w:r w:rsidR="00BA1212">
        <w:rPr>
          <w:szCs w:val="24"/>
        </w:rPr>
        <w:t xml:space="preserve"> </w:t>
      </w:r>
      <w:r w:rsidRPr="00DB483F">
        <w:rPr>
          <w:szCs w:val="24"/>
        </w:rPr>
        <w:t>confirmed or suspected to be infected with COVID-19</w:t>
      </w:r>
      <w:r w:rsidR="00BA1212">
        <w:rPr>
          <w:szCs w:val="24"/>
        </w:rPr>
        <w:t>,</w:t>
      </w:r>
      <w:r w:rsidR="007A0F9C">
        <w:rPr>
          <w:szCs w:val="24"/>
        </w:rPr>
        <w:t xml:space="preserve"> </w:t>
      </w:r>
      <w:r w:rsidRPr="00DB483F">
        <w:rPr>
          <w:szCs w:val="24"/>
        </w:rPr>
        <w:t>are immunocompromised</w:t>
      </w:r>
      <w:r w:rsidR="00BA1212">
        <w:rPr>
          <w:szCs w:val="24"/>
        </w:rPr>
        <w:t xml:space="preserve"> or are not fully vaccinated;</w:t>
      </w:r>
      <w:r w:rsidR="007A0F9C">
        <w:rPr>
          <w:szCs w:val="24"/>
        </w:rPr>
        <w:t xml:space="preserve"> </w:t>
      </w:r>
      <w:r w:rsidR="00341BCC">
        <w:rPr>
          <w:szCs w:val="24"/>
        </w:rPr>
        <w:t>and</w:t>
      </w:r>
    </w:p>
    <w:p w14:paraId="14198356" w14:textId="77777777" w:rsidR="003E1A42" w:rsidRPr="003E1A42" w:rsidRDefault="00341BCC" w:rsidP="0013678A">
      <w:pPr>
        <w:numPr>
          <w:ilvl w:val="0"/>
          <w:numId w:val="8"/>
        </w:numPr>
      </w:pPr>
      <w:r>
        <w:rPr>
          <w:szCs w:val="24"/>
        </w:rPr>
        <w:t>refraining from working</w:t>
      </w:r>
      <w:r w:rsidR="003E1A42">
        <w:rPr>
          <w:szCs w:val="24"/>
        </w:rPr>
        <w:t xml:space="preserve"> after a </w:t>
      </w:r>
      <w:r>
        <w:rPr>
          <w:szCs w:val="24"/>
        </w:rPr>
        <w:t>close contact or exposure</w:t>
      </w:r>
      <w:r w:rsidR="007A0F9C">
        <w:rPr>
          <w:szCs w:val="24"/>
        </w:rPr>
        <w:t>.</w:t>
      </w:r>
    </w:p>
    <w:p w14:paraId="31D034EA" w14:textId="77777777" w:rsidR="00823DEA" w:rsidRDefault="00823DEA" w:rsidP="003E1A42">
      <w:pPr>
        <w:rPr>
          <w:szCs w:val="24"/>
        </w:rPr>
      </w:pPr>
    </w:p>
    <w:p w14:paraId="1B8AB11A" w14:textId="77777777" w:rsidR="009741EE" w:rsidRPr="007344A2" w:rsidRDefault="00DB483F" w:rsidP="003E1A42">
      <w:r w:rsidRPr="00DB483F">
        <w:rPr>
          <w:szCs w:val="24"/>
        </w:rPr>
        <w:t xml:space="preserve">DPH supports staff using personal protective equipment as outlined in the Comprehensive PPE Guidance and does not endorse clinical considerations that deviate from this guidance.  </w:t>
      </w:r>
      <w:r w:rsidR="001E420A" w:rsidRPr="001E420A">
        <w:rPr>
          <w:szCs w:val="24"/>
        </w:rPr>
        <w:t xml:space="preserve">For example, while N95 respirators should be worn when caring for a patient with </w:t>
      </w:r>
      <w:r w:rsidR="00E05C7D">
        <w:rPr>
          <w:szCs w:val="24"/>
        </w:rPr>
        <w:t xml:space="preserve">confirmed or suspected </w:t>
      </w:r>
      <w:r w:rsidR="001E420A" w:rsidRPr="001E420A">
        <w:rPr>
          <w:szCs w:val="24"/>
        </w:rPr>
        <w:t xml:space="preserve">COVID-19, the available evidence does not support using </w:t>
      </w:r>
      <w:r w:rsidR="00E05C7D">
        <w:rPr>
          <w:szCs w:val="24"/>
        </w:rPr>
        <w:t>N95 respirators</w:t>
      </w:r>
      <w:r w:rsidR="001E420A" w:rsidRPr="001E420A">
        <w:rPr>
          <w:szCs w:val="24"/>
        </w:rPr>
        <w:t xml:space="preserve"> as daily PPE as a substitute for direct care staff </w:t>
      </w:r>
      <w:r w:rsidR="00415B6D">
        <w:rPr>
          <w:szCs w:val="24"/>
        </w:rPr>
        <w:t>being vaccinated against</w:t>
      </w:r>
      <w:r w:rsidR="00234DB4">
        <w:rPr>
          <w:szCs w:val="24"/>
        </w:rPr>
        <w:t xml:space="preserve"> </w:t>
      </w:r>
      <w:r w:rsidR="00415B6D">
        <w:rPr>
          <w:szCs w:val="24"/>
        </w:rPr>
        <w:t>COVID-</w:t>
      </w:r>
      <w:r w:rsidR="00E05C7D">
        <w:rPr>
          <w:szCs w:val="24"/>
        </w:rPr>
        <w:t>19.</w:t>
      </w:r>
    </w:p>
    <w:p w14:paraId="32B8FFD9" w14:textId="77777777" w:rsidR="00A437F4" w:rsidRPr="00451DDB" w:rsidRDefault="00A437F4" w:rsidP="00A437F4"/>
    <w:p w14:paraId="7E3BF3A8" w14:textId="77777777" w:rsidR="009108BA" w:rsidRPr="009108BA" w:rsidRDefault="009108BA" w:rsidP="007F4041">
      <w:pPr>
        <w:rPr>
          <w:b/>
          <w:bCs/>
        </w:rPr>
      </w:pPr>
      <w:r w:rsidRPr="009108BA">
        <w:rPr>
          <w:b/>
          <w:bCs/>
        </w:rPr>
        <w:lastRenderedPageBreak/>
        <w:t xml:space="preserve">Reporting: </w:t>
      </w:r>
    </w:p>
    <w:p w14:paraId="5CFF6D57" w14:textId="77777777" w:rsidR="00002540" w:rsidRDefault="00002540" w:rsidP="007F4041"/>
    <w:p w14:paraId="4E127F71" w14:textId="77777777" w:rsidR="007F4041" w:rsidRDefault="005F3E75" w:rsidP="007F4041">
      <w:pPr>
        <w:autoSpaceDE w:val="0"/>
        <w:autoSpaceDN w:val="0"/>
        <w:adjustRightInd w:val="0"/>
        <w:rPr>
          <w:b/>
          <w:bCs/>
        </w:rPr>
      </w:pPr>
      <w:r>
        <w:t>Hospice program</w:t>
      </w:r>
      <w:r w:rsidR="007F4041">
        <w:t xml:space="preserve">s must </w:t>
      </w:r>
      <w:r w:rsidR="00FA360B">
        <w:t>collect COVID-19 vaccination information from each personnel</w:t>
      </w:r>
      <w:r w:rsidR="003C44FA">
        <w:t xml:space="preserve"> subject to this requirement</w:t>
      </w:r>
      <w:r w:rsidR="006B05FA">
        <w:t xml:space="preserve"> and make it available upon request to DPH</w:t>
      </w:r>
      <w:r w:rsidR="00FA360B">
        <w:t>.</w:t>
      </w:r>
      <w:r w:rsidR="007F4041">
        <w:t xml:space="preserve"> </w:t>
      </w:r>
    </w:p>
    <w:p w14:paraId="36AFEDEA" w14:textId="77777777" w:rsidR="00823DEA" w:rsidRDefault="00823DEA" w:rsidP="007F4041">
      <w:pPr>
        <w:autoSpaceDE w:val="0"/>
        <w:autoSpaceDN w:val="0"/>
        <w:adjustRightInd w:val="0"/>
        <w:rPr>
          <w:bCs/>
        </w:rPr>
      </w:pPr>
    </w:p>
    <w:p w14:paraId="1646F803" w14:textId="77777777" w:rsidR="007F4041" w:rsidRDefault="005F3E75" w:rsidP="007F4041">
      <w:pPr>
        <w:autoSpaceDE w:val="0"/>
        <w:autoSpaceDN w:val="0"/>
        <w:adjustRightInd w:val="0"/>
        <w:rPr>
          <w:bCs/>
        </w:rPr>
      </w:pPr>
      <w:r>
        <w:rPr>
          <w:bCs/>
        </w:rPr>
        <w:t>Hospice program</w:t>
      </w:r>
      <w:r w:rsidR="007F4041">
        <w:rPr>
          <w:bCs/>
        </w:rPr>
        <w:t xml:space="preserve">s must </w:t>
      </w:r>
      <w:r w:rsidR="00B73F93">
        <w:rPr>
          <w:bCs/>
        </w:rPr>
        <w:t>update their</w:t>
      </w:r>
      <w:r w:rsidR="007F4041">
        <w:rPr>
          <w:bCs/>
        </w:rPr>
        <w:t xml:space="preserve"> vaccination </w:t>
      </w:r>
      <w:r w:rsidR="006B05FA">
        <w:rPr>
          <w:bCs/>
        </w:rPr>
        <w:t xml:space="preserve">status information </w:t>
      </w:r>
      <w:r w:rsidR="00390CCC">
        <w:rPr>
          <w:bCs/>
        </w:rPr>
        <w:t xml:space="preserve">by the last day of each </w:t>
      </w:r>
      <w:r w:rsidR="006B05FA">
        <w:rPr>
          <w:bCs/>
        </w:rPr>
        <w:t>month</w:t>
      </w:r>
      <w:r w:rsidR="00390CCC">
        <w:rPr>
          <w:bCs/>
        </w:rPr>
        <w:t xml:space="preserve">.  Details about the specific information required to be </w:t>
      </w:r>
      <w:r w:rsidR="006B05FA">
        <w:rPr>
          <w:bCs/>
        </w:rPr>
        <w:t>available for DPH review</w:t>
      </w:r>
      <w:r w:rsidR="00390CCC">
        <w:rPr>
          <w:bCs/>
        </w:rPr>
        <w:t xml:space="preserve"> may be found in Appendix A.  </w:t>
      </w:r>
      <w:r w:rsidR="009108BA">
        <w:rPr>
          <w:bCs/>
        </w:rPr>
        <w:t xml:space="preserve">DPH will use </w:t>
      </w:r>
      <w:r w:rsidR="00AB0826">
        <w:rPr>
          <w:bCs/>
        </w:rPr>
        <w:t xml:space="preserve">requested </w:t>
      </w:r>
      <w:r w:rsidR="009108BA">
        <w:rPr>
          <w:bCs/>
        </w:rPr>
        <w:t xml:space="preserve">information to identify if all personnel </w:t>
      </w:r>
      <w:r w:rsidR="006B05FA">
        <w:rPr>
          <w:bCs/>
        </w:rPr>
        <w:t xml:space="preserve">have completed </w:t>
      </w:r>
      <w:r w:rsidR="008D14FA">
        <w:rPr>
          <w:bCs/>
        </w:rPr>
        <w:t>the primary series of</w:t>
      </w:r>
      <w:r w:rsidR="006B05FA">
        <w:rPr>
          <w:bCs/>
        </w:rPr>
        <w:t xml:space="preserve"> COVID-19</w:t>
      </w:r>
      <w:r w:rsidR="008D14FA">
        <w:rPr>
          <w:bCs/>
        </w:rPr>
        <w:t xml:space="preserve"> vaccine</w:t>
      </w:r>
      <w:r w:rsidR="006579CC">
        <w:rPr>
          <w:bCs/>
        </w:rPr>
        <w:t>,</w:t>
      </w:r>
      <w:r w:rsidR="009108BA">
        <w:rPr>
          <w:bCs/>
        </w:rPr>
        <w:t xml:space="preserve"> </w:t>
      </w:r>
      <w:r w:rsidR="006579CC">
        <w:rPr>
          <w:bCs/>
        </w:rPr>
        <w:t xml:space="preserve">unless otherwise exempt, </w:t>
      </w:r>
      <w:r w:rsidR="009108BA">
        <w:rPr>
          <w:bCs/>
        </w:rPr>
        <w:t xml:space="preserve">at each </w:t>
      </w:r>
      <w:r w:rsidR="006B05FA">
        <w:rPr>
          <w:bCs/>
        </w:rPr>
        <w:t xml:space="preserve">hospice program </w:t>
      </w:r>
      <w:r w:rsidR="004B1528">
        <w:rPr>
          <w:bCs/>
        </w:rPr>
        <w:t xml:space="preserve">to assess compliance with the </w:t>
      </w:r>
      <w:r w:rsidR="00390CCC">
        <w:rPr>
          <w:bCs/>
        </w:rPr>
        <w:t>regulation</w:t>
      </w:r>
      <w:r w:rsidR="007F4041">
        <w:rPr>
          <w:bCs/>
        </w:rPr>
        <w:t xml:space="preserve">.  </w:t>
      </w:r>
    </w:p>
    <w:p w14:paraId="3BA541F0" w14:textId="77777777" w:rsidR="00CA33E5" w:rsidRDefault="00CA33E5" w:rsidP="00CA33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4"/>
        </w:rPr>
      </w:pPr>
    </w:p>
    <w:p w14:paraId="4DDF6C87" w14:textId="77777777" w:rsidR="00991042" w:rsidRDefault="00544CDD" w:rsidP="007920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4"/>
        </w:rPr>
      </w:pPr>
      <w:r w:rsidRPr="00906B27">
        <w:rPr>
          <w:b/>
          <w:szCs w:val="24"/>
        </w:rPr>
        <w:t>Enforcement</w:t>
      </w:r>
      <w:r w:rsidR="00F53671" w:rsidRPr="00906B27">
        <w:rPr>
          <w:b/>
          <w:szCs w:val="24"/>
        </w:rPr>
        <w:t xml:space="preserve"> Action</w:t>
      </w:r>
      <w:r>
        <w:rPr>
          <w:szCs w:val="24"/>
        </w:rPr>
        <w:t xml:space="preserve">: </w:t>
      </w:r>
    </w:p>
    <w:p w14:paraId="0F5356CE" w14:textId="77777777" w:rsidR="00991042" w:rsidRDefault="00991042" w:rsidP="007920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4"/>
        </w:rPr>
      </w:pPr>
    </w:p>
    <w:p w14:paraId="0B35D58F" w14:textId="77777777" w:rsidR="00991042" w:rsidRDefault="00991042" w:rsidP="00991042">
      <w:pPr>
        <w:rPr>
          <w:szCs w:val="24"/>
        </w:rPr>
      </w:pPr>
      <w:r>
        <w:rPr>
          <w:szCs w:val="24"/>
        </w:rPr>
        <w:t xml:space="preserve">This guidance serves as notice that if a </w:t>
      </w:r>
      <w:r w:rsidR="00823DEA">
        <w:rPr>
          <w:szCs w:val="24"/>
        </w:rPr>
        <w:t>hospice program</w:t>
      </w:r>
      <w:r>
        <w:rPr>
          <w:szCs w:val="24"/>
        </w:rPr>
        <w:t xml:space="preserve"> fails to comply with the </w:t>
      </w:r>
      <w:r w:rsidR="00390CCC">
        <w:rPr>
          <w:szCs w:val="24"/>
        </w:rPr>
        <w:t>regulation</w:t>
      </w:r>
      <w:r>
        <w:rPr>
          <w:szCs w:val="24"/>
        </w:rPr>
        <w:t xml:space="preserve">, including the </w:t>
      </w:r>
      <w:r w:rsidR="00B73F93">
        <w:rPr>
          <w:szCs w:val="24"/>
        </w:rPr>
        <w:t xml:space="preserve">data collection </w:t>
      </w:r>
      <w:r>
        <w:rPr>
          <w:szCs w:val="24"/>
        </w:rPr>
        <w:t>requirements set forth in this or subsequent guidance, it will be subject to the following penalties p</w:t>
      </w:r>
      <w:r w:rsidRPr="00A3056A">
        <w:rPr>
          <w:szCs w:val="24"/>
        </w:rPr>
        <w:t xml:space="preserve">ursuant to G.L. c. 111, § </w:t>
      </w:r>
      <w:r w:rsidR="00B60546">
        <w:rPr>
          <w:szCs w:val="24"/>
        </w:rPr>
        <w:t>57D</w:t>
      </w:r>
      <w:r w:rsidRPr="00A3056A">
        <w:rPr>
          <w:szCs w:val="24"/>
        </w:rPr>
        <w:t xml:space="preserve"> and 105 CMR 1</w:t>
      </w:r>
      <w:r w:rsidR="005A197B">
        <w:rPr>
          <w:szCs w:val="24"/>
        </w:rPr>
        <w:t>41</w:t>
      </w:r>
      <w:r w:rsidRPr="00A3056A">
        <w:rPr>
          <w:szCs w:val="24"/>
        </w:rPr>
        <w:t>.</w:t>
      </w:r>
      <w:r w:rsidR="00C055C6">
        <w:rPr>
          <w:szCs w:val="24"/>
        </w:rPr>
        <w:t>131</w:t>
      </w:r>
      <w:r>
        <w:rPr>
          <w:rStyle w:val="FootnoteReference"/>
          <w:szCs w:val="24"/>
        </w:rPr>
        <w:footnoteReference w:id="2"/>
      </w:r>
      <w:r>
        <w:rPr>
          <w:szCs w:val="24"/>
        </w:rPr>
        <w:t>:</w:t>
      </w:r>
    </w:p>
    <w:p w14:paraId="2B4E95AF" w14:textId="77777777" w:rsidR="00991042" w:rsidRDefault="00991042" w:rsidP="00991042">
      <w:pPr>
        <w:rPr>
          <w:szCs w:val="24"/>
        </w:rPr>
      </w:pPr>
    </w:p>
    <w:p w14:paraId="00D12009" w14:textId="77777777" w:rsidR="00991042" w:rsidRDefault="003C21B4" w:rsidP="00D065CB">
      <w:pPr>
        <w:pStyle w:val="ListParagraph"/>
        <w:numPr>
          <w:ilvl w:val="0"/>
          <w:numId w:val="6"/>
        </w:numPr>
        <w:rPr>
          <w:szCs w:val="24"/>
        </w:rPr>
      </w:pPr>
      <w:r>
        <w:rPr>
          <w:szCs w:val="24"/>
        </w:rPr>
        <w:t xml:space="preserve">After </w:t>
      </w:r>
      <w:r w:rsidR="00823DEA">
        <w:rPr>
          <w:szCs w:val="24"/>
        </w:rPr>
        <w:t>February 28</w:t>
      </w:r>
      <w:r>
        <w:rPr>
          <w:szCs w:val="24"/>
        </w:rPr>
        <w:t>, 20</w:t>
      </w:r>
      <w:r w:rsidR="00823DEA">
        <w:rPr>
          <w:szCs w:val="24"/>
        </w:rPr>
        <w:t>22</w:t>
      </w:r>
      <w:r>
        <w:rPr>
          <w:szCs w:val="24"/>
        </w:rPr>
        <w:t xml:space="preserve">, </w:t>
      </w:r>
      <w:r w:rsidR="00991042">
        <w:rPr>
          <w:szCs w:val="24"/>
        </w:rPr>
        <w:t xml:space="preserve">DPH </w:t>
      </w:r>
      <w:r w:rsidR="00B73F93">
        <w:rPr>
          <w:szCs w:val="24"/>
        </w:rPr>
        <w:t>may take licensure action</w:t>
      </w:r>
      <w:r w:rsidR="00D065CB">
        <w:rPr>
          <w:szCs w:val="24"/>
        </w:rPr>
        <w:t xml:space="preserve"> which may include s</w:t>
      </w:r>
      <w:r w:rsidR="00D065CB" w:rsidRPr="00D065CB">
        <w:rPr>
          <w:color w:val="333333"/>
          <w:szCs w:val="24"/>
          <w:shd w:val="clear" w:color="auto" w:fill="FFFFFF"/>
        </w:rPr>
        <w:t xml:space="preserve">uspension, </w:t>
      </w:r>
      <w:proofErr w:type="gramStart"/>
      <w:r w:rsidR="00D065CB" w:rsidRPr="00D065CB">
        <w:rPr>
          <w:color w:val="333333"/>
          <w:szCs w:val="24"/>
          <w:shd w:val="clear" w:color="auto" w:fill="FFFFFF"/>
        </w:rPr>
        <w:t>revocation</w:t>
      </w:r>
      <w:proofErr w:type="gramEnd"/>
      <w:r w:rsidR="00D065CB" w:rsidRPr="00D065CB">
        <w:rPr>
          <w:color w:val="333333"/>
          <w:szCs w:val="24"/>
          <w:shd w:val="clear" w:color="auto" w:fill="FFFFFF"/>
        </w:rPr>
        <w:t xml:space="preserve"> or refusal to renew</w:t>
      </w:r>
      <w:r w:rsidR="00B73F93">
        <w:rPr>
          <w:szCs w:val="24"/>
        </w:rPr>
        <w:t>.</w:t>
      </w:r>
    </w:p>
    <w:p w14:paraId="71C6BB5B" w14:textId="77777777" w:rsidR="00991042" w:rsidRDefault="00991042" w:rsidP="00991042">
      <w:pPr>
        <w:pStyle w:val="ListParagraph"/>
        <w:rPr>
          <w:szCs w:val="24"/>
        </w:rPr>
      </w:pPr>
    </w:p>
    <w:p w14:paraId="700E73D7" w14:textId="77777777" w:rsidR="00AC222C" w:rsidRDefault="00FA5FD5" w:rsidP="00AC222C">
      <w:pPr>
        <w:autoSpaceDE w:val="0"/>
        <w:autoSpaceDN w:val="0"/>
        <w:adjustRightInd w:val="0"/>
        <w:rPr>
          <w:szCs w:val="24"/>
        </w:rPr>
      </w:pPr>
      <w:r w:rsidRPr="00FA5FD5">
        <w:rPr>
          <w:szCs w:val="24"/>
        </w:rPr>
        <w:t xml:space="preserve">The Bureau may revise, change, update, or rescind this memorandum at any time.  </w:t>
      </w:r>
    </w:p>
    <w:p w14:paraId="757EE621" w14:textId="77777777" w:rsidR="00447246" w:rsidRPr="00AC222C" w:rsidRDefault="00447246" w:rsidP="00AC222C">
      <w:pPr>
        <w:autoSpaceDE w:val="0"/>
        <w:autoSpaceDN w:val="0"/>
        <w:adjustRightInd w:val="0"/>
        <w:rPr>
          <w:rFonts w:eastAsia="@Batang"/>
          <w:szCs w:val="24"/>
        </w:rPr>
      </w:pPr>
    </w:p>
    <w:p w14:paraId="204F76E7" w14:textId="77777777" w:rsidR="00AC222C" w:rsidRPr="00AC222C" w:rsidRDefault="00AC222C" w:rsidP="00AC222C">
      <w:pPr>
        <w:autoSpaceDE w:val="0"/>
        <w:autoSpaceDN w:val="0"/>
        <w:adjustRightInd w:val="0"/>
        <w:rPr>
          <w:szCs w:val="24"/>
        </w:rPr>
      </w:pPr>
      <w:r w:rsidRPr="00AC222C">
        <w:rPr>
          <w:rFonts w:eastAsia="@Batang"/>
          <w:szCs w:val="24"/>
        </w:rPr>
        <w:t xml:space="preserve">DPH strongly encourages all </w:t>
      </w:r>
      <w:r w:rsidR="005F3E75">
        <w:rPr>
          <w:rFonts w:eastAsia="@Batang"/>
          <w:szCs w:val="24"/>
        </w:rPr>
        <w:t>hospice program</w:t>
      </w:r>
      <w:r w:rsidR="00A371CC">
        <w:rPr>
          <w:rFonts w:eastAsia="@Batang"/>
          <w:szCs w:val="24"/>
        </w:rPr>
        <w:t>s</w:t>
      </w:r>
      <w:r w:rsidRPr="00AC222C">
        <w:rPr>
          <w:rFonts w:eastAsia="@Batang"/>
          <w:szCs w:val="24"/>
        </w:rPr>
        <w:t xml:space="preserve"> in Massachusetts to monitor the </w:t>
      </w:r>
      <w:r w:rsidRPr="00AC222C">
        <w:rPr>
          <w:szCs w:val="24"/>
        </w:rPr>
        <w:t>Centers for Disease Control and Prevention (CDC) website for up-to-date information and resources:</w:t>
      </w:r>
    </w:p>
    <w:p w14:paraId="23913996" w14:textId="77777777" w:rsidR="00772881" w:rsidRPr="00772881" w:rsidRDefault="00AC222C" w:rsidP="00772881">
      <w:pPr>
        <w:numPr>
          <w:ilvl w:val="0"/>
          <w:numId w:val="2"/>
        </w:numPr>
        <w:autoSpaceDE w:val="0"/>
        <w:autoSpaceDN w:val="0"/>
        <w:adjustRightInd w:val="0"/>
        <w:rPr>
          <w:szCs w:val="24"/>
        </w:rPr>
      </w:pPr>
      <w:r w:rsidRPr="00AC222C">
        <w:rPr>
          <w:szCs w:val="24"/>
        </w:rPr>
        <w:t xml:space="preserve">CDC website: </w:t>
      </w:r>
      <w:hyperlink r:id="rId11" w:history="1">
        <w:r w:rsidR="00772881" w:rsidRPr="00772881">
          <w:rPr>
            <w:rStyle w:val="Hyperlink"/>
            <w:szCs w:val="24"/>
          </w:rPr>
          <w:t>https://www.cdc.gov/coronavirus/2019-ncov/hcp/facility-planning-operations.html</w:t>
        </w:r>
      </w:hyperlink>
    </w:p>
    <w:p w14:paraId="155AF5C7" w14:textId="77777777" w:rsidR="00AC222C" w:rsidRPr="00AC222C" w:rsidRDefault="00AC222C" w:rsidP="00AC222C">
      <w:pPr>
        <w:numPr>
          <w:ilvl w:val="1"/>
          <w:numId w:val="2"/>
        </w:numPr>
        <w:autoSpaceDE w:val="0"/>
        <w:autoSpaceDN w:val="0"/>
        <w:adjustRightInd w:val="0"/>
        <w:rPr>
          <w:color w:val="000000"/>
          <w:szCs w:val="24"/>
        </w:rPr>
      </w:pPr>
      <w:r w:rsidRPr="00AC222C">
        <w:rPr>
          <w:color w:val="000000"/>
          <w:szCs w:val="24"/>
        </w:rPr>
        <w:t xml:space="preserve">For reference, the CDC healthcare personnel exposure guidance may be found here: </w:t>
      </w:r>
      <w:hyperlink r:id="rId12" w:history="1">
        <w:r w:rsidRPr="00AC222C">
          <w:rPr>
            <w:color w:val="0000FF"/>
            <w:szCs w:val="24"/>
            <w:u w:val="single"/>
          </w:rPr>
          <w:t>https://www.cdc.gov/coronavirus/2019-ncov/hcp/guidance-risk-assesment-hcp.html</w:t>
        </w:r>
      </w:hyperlink>
    </w:p>
    <w:p w14:paraId="5D93954E" w14:textId="77777777" w:rsidR="00AC222C" w:rsidRPr="00AC222C" w:rsidRDefault="00AC222C" w:rsidP="00AC222C">
      <w:pPr>
        <w:autoSpaceDE w:val="0"/>
        <w:autoSpaceDN w:val="0"/>
        <w:adjustRightInd w:val="0"/>
        <w:ind w:left="1440"/>
        <w:rPr>
          <w:szCs w:val="24"/>
        </w:rPr>
      </w:pPr>
    </w:p>
    <w:p w14:paraId="01D3AC27" w14:textId="77777777" w:rsidR="00AC222C" w:rsidRPr="00AC222C" w:rsidRDefault="00AC222C" w:rsidP="00AC222C">
      <w:pPr>
        <w:rPr>
          <w:color w:val="000000"/>
          <w:szCs w:val="24"/>
        </w:rPr>
      </w:pPr>
      <w:r w:rsidRPr="00AC222C">
        <w:rPr>
          <w:color w:val="000000"/>
          <w:szCs w:val="24"/>
        </w:rPr>
        <w:t xml:space="preserve">Additionally, please visit DPH’s website that provides up-to-date information on COVID-19 in </w:t>
      </w:r>
      <w:smartTag w:uri="urn:schemas-microsoft-com:office:smarttags" w:element="place">
        <w:smartTag w:uri="urn:schemas-microsoft-com:office:smarttags" w:element="State">
          <w:r w:rsidRPr="00AC222C">
            <w:rPr>
              <w:color w:val="000000"/>
              <w:szCs w:val="24"/>
            </w:rPr>
            <w:t>Massachusetts</w:t>
          </w:r>
        </w:smartTag>
      </w:smartTag>
      <w:r w:rsidRPr="00AC222C">
        <w:rPr>
          <w:color w:val="000000"/>
          <w:szCs w:val="24"/>
        </w:rPr>
        <w:t xml:space="preserve">:  </w:t>
      </w:r>
      <w:hyperlink r:id="rId13" w:history="1">
        <w:r w:rsidRPr="00AC222C">
          <w:rPr>
            <w:rFonts w:cs="Arial Unicode MS"/>
            <w:color w:val="0000FF"/>
            <w:szCs w:val="24"/>
            <w:u w:val="single"/>
          </w:rPr>
          <w:t>https://www.mass.gov/2019coronavirus</w:t>
        </w:r>
      </w:hyperlink>
      <w:r w:rsidRPr="00AC222C">
        <w:rPr>
          <w:color w:val="000000"/>
          <w:szCs w:val="24"/>
        </w:rPr>
        <w:t xml:space="preserve">. </w:t>
      </w:r>
    </w:p>
    <w:p w14:paraId="30800D57" w14:textId="77777777" w:rsidR="00AC222C" w:rsidRPr="00AC222C" w:rsidRDefault="00AC222C" w:rsidP="00AC222C">
      <w:pPr>
        <w:autoSpaceDE w:val="0"/>
        <w:autoSpaceDN w:val="0"/>
        <w:adjustRightInd w:val="0"/>
      </w:pPr>
    </w:p>
    <w:p w14:paraId="3B8C8CCA" w14:textId="77777777" w:rsidR="00BD6FF4" w:rsidRDefault="00BD6FF4" w:rsidP="0072610D"/>
    <w:p w14:paraId="1A01E51F" w14:textId="77777777" w:rsidR="00D526AC" w:rsidRDefault="00D526AC" w:rsidP="0072610D">
      <w:r w:rsidRPr="00D526AC">
        <w:rPr>
          <w:b/>
          <w:bCs/>
        </w:rPr>
        <w:t>Attachment</w:t>
      </w:r>
      <w:r>
        <w:t>: Appendix A</w:t>
      </w:r>
    </w:p>
    <w:sectPr w:rsidR="00D526AC" w:rsidSect="00CC536F">
      <w:pgSz w:w="12240" w:h="15840"/>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5D6B5" w14:textId="77777777" w:rsidR="00E610AF" w:rsidRDefault="00E610AF" w:rsidP="00991042">
      <w:r>
        <w:separator/>
      </w:r>
    </w:p>
  </w:endnote>
  <w:endnote w:type="continuationSeparator" w:id="0">
    <w:p w14:paraId="67F6095F" w14:textId="77777777" w:rsidR="00E610AF" w:rsidRDefault="00E610AF" w:rsidP="00991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894E6" w14:textId="77777777" w:rsidR="00E610AF" w:rsidRDefault="00E610AF" w:rsidP="00991042">
      <w:r>
        <w:separator/>
      </w:r>
    </w:p>
  </w:footnote>
  <w:footnote w:type="continuationSeparator" w:id="0">
    <w:p w14:paraId="6268A5F9" w14:textId="77777777" w:rsidR="00E610AF" w:rsidRDefault="00E610AF" w:rsidP="00991042">
      <w:r>
        <w:continuationSeparator/>
      </w:r>
    </w:p>
  </w:footnote>
  <w:footnote w:id="1">
    <w:p w14:paraId="76D4D307" w14:textId="77777777" w:rsidR="009B613B" w:rsidRDefault="009B613B">
      <w:pPr>
        <w:pStyle w:val="FootnoteText"/>
      </w:pPr>
      <w:r>
        <w:rPr>
          <w:rStyle w:val="FootnoteReference"/>
        </w:rPr>
        <w:footnoteRef/>
      </w:r>
      <w:r>
        <w:t xml:space="preserve"> </w:t>
      </w:r>
      <w:r w:rsidRPr="009B613B">
        <w:t>QSO-22-07 ALL Long-Term Care and Skilled Nursing Facility (cms.gov)</w:t>
      </w:r>
    </w:p>
  </w:footnote>
  <w:footnote w:id="2">
    <w:p w14:paraId="5DB0BB03" w14:textId="77777777" w:rsidR="00991042" w:rsidRDefault="00991042" w:rsidP="00991042">
      <w:pPr>
        <w:pStyle w:val="FootnoteText"/>
      </w:pPr>
      <w:r>
        <w:rPr>
          <w:rStyle w:val="FootnoteReference"/>
        </w:rPr>
        <w:footnoteRef/>
      </w:r>
      <w:r>
        <w:t xml:space="preserve"> If a </w:t>
      </w:r>
      <w:r w:rsidR="00B73F93">
        <w:t>Hospice Program</w:t>
      </w:r>
      <w:r>
        <w:t xml:space="preserve"> has reason to dispute the penalty, they may request Administrative Review.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61A0E"/>
    <w:multiLevelType w:val="hybridMultilevel"/>
    <w:tmpl w:val="80B4EE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0C02DA7"/>
    <w:multiLevelType w:val="hybridMultilevel"/>
    <w:tmpl w:val="3904BB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3B4F7C"/>
    <w:multiLevelType w:val="hybridMultilevel"/>
    <w:tmpl w:val="3480A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864179"/>
    <w:multiLevelType w:val="hybridMultilevel"/>
    <w:tmpl w:val="E6EC8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4D3ADA"/>
    <w:multiLevelType w:val="hybridMultilevel"/>
    <w:tmpl w:val="097C2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3A193E"/>
    <w:multiLevelType w:val="hybridMultilevel"/>
    <w:tmpl w:val="1BE8D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004B28"/>
    <w:multiLevelType w:val="hybridMultilevel"/>
    <w:tmpl w:val="50DC78BA"/>
    <w:lvl w:ilvl="0" w:tplc="26980CE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10491264">
    <w:abstractNumId w:val="5"/>
  </w:num>
  <w:num w:numId="2" w16cid:durableId="510031534">
    <w:abstractNumId w:val="1"/>
    <w:lvlOverride w:ilvl="0"/>
    <w:lvlOverride w:ilvl="1"/>
    <w:lvlOverride w:ilvl="2"/>
    <w:lvlOverride w:ilvl="3"/>
    <w:lvlOverride w:ilvl="4"/>
    <w:lvlOverride w:ilvl="5"/>
    <w:lvlOverride w:ilvl="6"/>
    <w:lvlOverride w:ilvl="7"/>
    <w:lvlOverride w:ilvl="8"/>
  </w:num>
  <w:num w:numId="3" w16cid:durableId="1064109967">
    <w:abstractNumId w:val="6"/>
  </w:num>
  <w:num w:numId="4" w16cid:durableId="780222351">
    <w:abstractNumId w:val="3"/>
  </w:num>
  <w:num w:numId="5" w16cid:durableId="440422237">
    <w:abstractNumId w:val="1"/>
  </w:num>
  <w:num w:numId="6" w16cid:durableId="1851990708">
    <w:abstractNumId w:val="2"/>
  </w:num>
  <w:num w:numId="7" w16cid:durableId="128014986">
    <w:abstractNumId w:val="0"/>
  </w:num>
  <w:num w:numId="8" w16cid:durableId="7205185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540"/>
    <w:rsid w:val="00033154"/>
    <w:rsid w:val="00042048"/>
    <w:rsid w:val="00043F36"/>
    <w:rsid w:val="000537DA"/>
    <w:rsid w:val="000545A8"/>
    <w:rsid w:val="00063F90"/>
    <w:rsid w:val="00085972"/>
    <w:rsid w:val="000F315B"/>
    <w:rsid w:val="00134659"/>
    <w:rsid w:val="0013678A"/>
    <w:rsid w:val="0015268B"/>
    <w:rsid w:val="00157564"/>
    <w:rsid w:val="0017047F"/>
    <w:rsid w:val="00177C77"/>
    <w:rsid w:val="00182503"/>
    <w:rsid w:val="001A5029"/>
    <w:rsid w:val="001E420A"/>
    <w:rsid w:val="001E78B9"/>
    <w:rsid w:val="00234DB4"/>
    <w:rsid w:val="00263560"/>
    <w:rsid w:val="00276957"/>
    <w:rsid w:val="00276DCC"/>
    <w:rsid w:val="0028351A"/>
    <w:rsid w:val="002A7C89"/>
    <w:rsid w:val="002B43CF"/>
    <w:rsid w:val="002C39F7"/>
    <w:rsid w:val="002C4B3A"/>
    <w:rsid w:val="002C730F"/>
    <w:rsid w:val="002F5400"/>
    <w:rsid w:val="00324459"/>
    <w:rsid w:val="00327AF8"/>
    <w:rsid w:val="0033653C"/>
    <w:rsid w:val="00341BCC"/>
    <w:rsid w:val="0035128A"/>
    <w:rsid w:val="00385812"/>
    <w:rsid w:val="00390CCC"/>
    <w:rsid w:val="00392D0B"/>
    <w:rsid w:val="003A5511"/>
    <w:rsid w:val="003A7AFC"/>
    <w:rsid w:val="003C21B4"/>
    <w:rsid w:val="003C44FA"/>
    <w:rsid w:val="003C60EF"/>
    <w:rsid w:val="003C76F1"/>
    <w:rsid w:val="003D3A32"/>
    <w:rsid w:val="003E1A42"/>
    <w:rsid w:val="00404735"/>
    <w:rsid w:val="0040637F"/>
    <w:rsid w:val="00415B6D"/>
    <w:rsid w:val="0043795B"/>
    <w:rsid w:val="00447246"/>
    <w:rsid w:val="00455E74"/>
    <w:rsid w:val="00471CC1"/>
    <w:rsid w:val="0048097B"/>
    <w:rsid w:val="004813AC"/>
    <w:rsid w:val="00487A40"/>
    <w:rsid w:val="004B1528"/>
    <w:rsid w:val="004B37A0"/>
    <w:rsid w:val="004B758D"/>
    <w:rsid w:val="004B763E"/>
    <w:rsid w:val="004D6B39"/>
    <w:rsid w:val="004E239F"/>
    <w:rsid w:val="005049DD"/>
    <w:rsid w:val="0051153F"/>
    <w:rsid w:val="005448AA"/>
    <w:rsid w:val="00544CDD"/>
    <w:rsid w:val="00585417"/>
    <w:rsid w:val="005A197B"/>
    <w:rsid w:val="005F3E75"/>
    <w:rsid w:val="006579CC"/>
    <w:rsid w:val="00661C0F"/>
    <w:rsid w:val="006B05FA"/>
    <w:rsid w:val="006B42CF"/>
    <w:rsid w:val="006D06D9"/>
    <w:rsid w:val="006D77A6"/>
    <w:rsid w:val="00702109"/>
    <w:rsid w:val="00712026"/>
    <w:rsid w:val="0072610D"/>
    <w:rsid w:val="00772881"/>
    <w:rsid w:val="00777EE4"/>
    <w:rsid w:val="007920FB"/>
    <w:rsid w:val="007A0F9C"/>
    <w:rsid w:val="007B0244"/>
    <w:rsid w:val="007B3F4B"/>
    <w:rsid w:val="007B7347"/>
    <w:rsid w:val="007C5101"/>
    <w:rsid w:val="007D10F3"/>
    <w:rsid w:val="007F4041"/>
    <w:rsid w:val="00823DEA"/>
    <w:rsid w:val="00862B5A"/>
    <w:rsid w:val="008678BE"/>
    <w:rsid w:val="00872070"/>
    <w:rsid w:val="00880839"/>
    <w:rsid w:val="00881B33"/>
    <w:rsid w:val="008974FA"/>
    <w:rsid w:val="008B45C3"/>
    <w:rsid w:val="008C26EF"/>
    <w:rsid w:val="008C6772"/>
    <w:rsid w:val="008D14FA"/>
    <w:rsid w:val="008F732D"/>
    <w:rsid w:val="00900ED4"/>
    <w:rsid w:val="00906B27"/>
    <w:rsid w:val="00907ACD"/>
    <w:rsid w:val="009108BA"/>
    <w:rsid w:val="00945A24"/>
    <w:rsid w:val="009741EE"/>
    <w:rsid w:val="00977718"/>
    <w:rsid w:val="009908FF"/>
    <w:rsid w:val="00991042"/>
    <w:rsid w:val="00995505"/>
    <w:rsid w:val="009B613B"/>
    <w:rsid w:val="009E753D"/>
    <w:rsid w:val="00A0306F"/>
    <w:rsid w:val="00A26158"/>
    <w:rsid w:val="00A371CC"/>
    <w:rsid w:val="00A40CD8"/>
    <w:rsid w:val="00A437F4"/>
    <w:rsid w:val="00A54983"/>
    <w:rsid w:val="00A65101"/>
    <w:rsid w:val="00A84965"/>
    <w:rsid w:val="00A96667"/>
    <w:rsid w:val="00AA2ABF"/>
    <w:rsid w:val="00AB0826"/>
    <w:rsid w:val="00AC222C"/>
    <w:rsid w:val="00AC3DAD"/>
    <w:rsid w:val="00AC61AC"/>
    <w:rsid w:val="00AE46E5"/>
    <w:rsid w:val="00B04119"/>
    <w:rsid w:val="00B403BF"/>
    <w:rsid w:val="00B4581C"/>
    <w:rsid w:val="00B535D4"/>
    <w:rsid w:val="00B55C6D"/>
    <w:rsid w:val="00B60546"/>
    <w:rsid w:val="00B608D9"/>
    <w:rsid w:val="00B66332"/>
    <w:rsid w:val="00B73F93"/>
    <w:rsid w:val="00BA1212"/>
    <w:rsid w:val="00BA1AD3"/>
    <w:rsid w:val="00BA4055"/>
    <w:rsid w:val="00BA7FB6"/>
    <w:rsid w:val="00BD2E17"/>
    <w:rsid w:val="00BD6FF4"/>
    <w:rsid w:val="00C055C6"/>
    <w:rsid w:val="00C20BFE"/>
    <w:rsid w:val="00C24EE2"/>
    <w:rsid w:val="00C54775"/>
    <w:rsid w:val="00C54C52"/>
    <w:rsid w:val="00C55F3A"/>
    <w:rsid w:val="00C574C7"/>
    <w:rsid w:val="00C80641"/>
    <w:rsid w:val="00C832EB"/>
    <w:rsid w:val="00C869F3"/>
    <w:rsid w:val="00CA33E5"/>
    <w:rsid w:val="00CA69D6"/>
    <w:rsid w:val="00CC05D1"/>
    <w:rsid w:val="00CC1778"/>
    <w:rsid w:val="00CC536F"/>
    <w:rsid w:val="00CE575B"/>
    <w:rsid w:val="00CF3DE8"/>
    <w:rsid w:val="00D0493F"/>
    <w:rsid w:val="00D065CB"/>
    <w:rsid w:val="00D07D7A"/>
    <w:rsid w:val="00D44BC8"/>
    <w:rsid w:val="00D526AC"/>
    <w:rsid w:val="00D56F91"/>
    <w:rsid w:val="00D642F2"/>
    <w:rsid w:val="00D8671C"/>
    <w:rsid w:val="00D87CED"/>
    <w:rsid w:val="00D93AA4"/>
    <w:rsid w:val="00DA18DF"/>
    <w:rsid w:val="00DA57C3"/>
    <w:rsid w:val="00DB483F"/>
    <w:rsid w:val="00DB4A8C"/>
    <w:rsid w:val="00DC3855"/>
    <w:rsid w:val="00DD222D"/>
    <w:rsid w:val="00E05C7D"/>
    <w:rsid w:val="00E1106A"/>
    <w:rsid w:val="00E242A8"/>
    <w:rsid w:val="00E274B8"/>
    <w:rsid w:val="00E309B4"/>
    <w:rsid w:val="00E4349F"/>
    <w:rsid w:val="00E57FBE"/>
    <w:rsid w:val="00E610AF"/>
    <w:rsid w:val="00E62B2D"/>
    <w:rsid w:val="00E72707"/>
    <w:rsid w:val="00E752FB"/>
    <w:rsid w:val="00EA26DD"/>
    <w:rsid w:val="00EF4CCF"/>
    <w:rsid w:val="00F0586E"/>
    <w:rsid w:val="00F16BE3"/>
    <w:rsid w:val="00F278FD"/>
    <w:rsid w:val="00F43932"/>
    <w:rsid w:val="00F53671"/>
    <w:rsid w:val="00F54402"/>
    <w:rsid w:val="00F55B6C"/>
    <w:rsid w:val="00F95D5E"/>
    <w:rsid w:val="00F9695D"/>
    <w:rsid w:val="00FA071B"/>
    <w:rsid w:val="00FA360B"/>
    <w:rsid w:val="00FA5FD5"/>
    <w:rsid w:val="00FC6B42"/>
    <w:rsid w:val="00FD74EB"/>
    <w:rsid w:val="00FF4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114DFA72"/>
  <w15:chartTrackingRefBased/>
  <w15:docId w15:val="{D49C500B-6613-4A0E-A73F-791C38B99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rmalWeb">
    <w:name w:val="Normal (Web)"/>
    <w:basedOn w:val="Normal"/>
    <w:uiPriority w:val="99"/>
    <w:unhideWhenUsed/>
    <w:rsid w:val="00B66332"/>
    <w:pPr>
      <w:spacing w:before="100" w:beforeAutospacing="1" w:after="100" w:afterAutospacing="1"/>
    </w:pPr>
    <w:rPr>
      <w:szCs w:val="24"/>
    </w:rPr>
  </w:style>
  <w:style w:type="character" w:styleId="Strong">
    <w:name w:val="Strong"/>
    <w:uiPriority w:val="22"/>
    <w:qFormat/>
    <w:rsid w:val="00B66332"/>
    <w:rPr>
      <w:b/>
      <w:bCs/>
    </w:rPr>
  </w:style>
  <w:style w:type="character" w:styleId="CommentReference">
    <w:name w:val="annotation reference"/>
    <w:uiPriority w:val="99"/>
    <w:rsid w:val="00002540"/>
    <w:rPr>
      <w:sz w:val="16"/>
      <w:szCs w:val="16"/>
    </w:rPr>
  </w:style>
  <w:style w:type="paragraph" w:styleId="CommentText">
    <w:name w:val="annotation text"/>
    <w:basedOn w:val="Normal"/>
    <w:link w:val="CommentTextChar"/>
    <w:uiPriority w:val="99"/>
    <w:rsid w:val="00002540"/>
    <w:rPr>
      <w:sz w:val="20"/>
    </w:rPr>
  </w:style>
  <w:style w:type="character" w:customStyle="1" w:styleId="CommentTextChar">
    <w:name w:val="Comment Text Char"/>
    <w:basedOn w:val="DefaultParagraphFont"/>
    <w:link w:val="CommentText"/>
    <w:uiPriority w:val="99"/>
    <w:rsid w:val="00002540"/>
  </w:style>
  <w:style w:type="paragraph" w:styleId="CommentSubject">
    <w:name w:val="annotation subject"/>
    <w:basedOn w:val="CommentText"/>
    <w:next w:val="CommentText"/>
    <w:link w:val="CommentSubjectChar"/>
    <w:rsid w:val="00002540"/>
    <w:rPr>
      <w:b/>
      <w:bCs/>
    </w:rPr>
  </w:style>
  <w:style w:type="character" w:customStyle="1" w:styleId="CommentSubjectChar">
    <w:name w:val="Comment Subject Char"/>
    <w:link w:val="CommentSubject"/>
    <w:rsid w:val="00002540"/>
    <w:rPr>
      <w:b/>
      <w:bCs/>
    </w:rPr>
  </w:style>
  <w:style w:type="character" w:styleId="FootnoteReference">
    <w:name w:val="footnote reference"/>
    <w:uiPriority w:val="99"/>
    <w:rsid w:val="00991042"/>
    <w:rPr>
      <w:rFonts w:cs="Times New Roman"/>
      <w:vertAlign w:val="superscript"/>
    </w:rPr>
  </w:style>
  <w:style w:type="paragraph" w:styleId="FootnoteText">
    <w:name w:val="footnote text"/>
    <w:basedOn w:val="Normal"/>
    <w:link w:val="FootnoteTextChar"/>
    <w:rsid w:val="00991042"/>
    <w:rPr>
      <w:sz w:val="20"/>
    </w:rPr>
  </w:style>
  <w:style w:type="character" w:customStyle="1" w:styleId="FootnoteTextChar">
    <w:name w:val="Footnote Text Char"/>
    <w:basedOn w:val="DefaultParagraphFont"/>
    <w:link w:val="FootnoteText"/>
    <w:rsid w:val="00991042"/>
  </w:style>
  <w:style w:type="paragraph" w:styleId="ListParagraph">
    <w:name w:val="List Paragraph"/>
    <w:basedOn w:val="Normal"/>
    <w:uiPriority w:val="34"/>
    <w:qFormat/>
    <w:rsid w:val="00991042"/>
    <w:pPr>
      <w:ind w:left="720"/>
      <w:contextualSpacing/>
    </w:pPr>
  </w:style>
  <w:style w:type="character" w:styleId="UnresolvedMention">
    <w:name w:val="Unresolved Mention"/>
    <w:uiPriority w:val="99"/>
    <w:semiHidden/>
    <w:unhideWhenUsed/>
    <w:rsid w:val="00772881"/>
    <w:rPr>
      <w:color w:val="808080"/>
      <w:shd w:val="clear" w:color="auto" w:fill="E6E6E6"/>
    </w:rPr>
  </w:style>
  <w:style w:type="paragraph" w:styleId="Revision">
    <w:name w:val="Revision"/>
    <w:hidden/>
    <w:uiPriority w:val="99"/>
    <w:semiHidden/>
    <w:rsid w:val="003C21B4"/>
    <w:rPr>
      <w:sz w:val="24"/>
    </w:rPr>
  </w:style>
  <w:style w:type="character" w:styleId="FollowedHyperlink">
    <w:name w:val="FollowedHyperlink"/>
    <w:rsid w:val="00CA69D6"/>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41097">
      <w:bodyDiv w:val="1"/>
      <w:marLeft w:val="0"/>
      <w:marRight w:val="0"/>
      <w:marTop w:val="0"/>
      <w:marBottom w:val="0"/>
      <w:divBdr>
        <w:top w:val="none" w:sz="0" w:space="0" w:color="auto"/>
        <w:left w:val="none" w:sz="0" w:space="0" w:color="auto"/>
        <w:bottom w:val="none" w:sz="0" w:space="0" w:color="auto"/>
        <w:right w:val="none" w:sz="0" w:space="0" w:color="auto"/>
      </w:divBdr>
    </w:div>
    <w:div w:id="456804252">
      <w:bodyDiv w:val="1"/>
      <w:marLeft w:val="0"/>
      <w:marRight w:val="0"/>
      <w:marTop w:val="0"/>
      <w:marBottom w:val="0"/>
      <w:divBdr>
        <w:top w:val="none" w:sz="0" w:space="0" w:color="auto"/>
        <w:left w:val="none" w:sz="0" w:space="0" w:color="auto"/>
        <w:bottom w:val="none" w:sz="0" w:space="0" w:color="auto"/>
        <w:right w:val="none" w:sz="0" w:space="0" w:color="auto"/>
      </w:divBdr>
      <w:divsChild>
        <w:div w:id="438449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8557347">
      <w:bodyDiv w:val="1"/>
      <w:marLeft w:val="0"/>
      <w:marRight w:val="0"/>
      <w:marTop w:val="0"/>
      <w:marBottom w:val="0"/>
      <w:divBdr>
        <w:top w:val="none" w:sz="0" w:space="0" w:color="auto"/>
        <w:left w:val="none" w:sz="0" w:space="0" w:color="auto"/>
        <w:bottom w:val="none" w:sz="0" w:space="0" w:color="auto"/>
        <w:right w:val="none" w:sz="0" w:space="0" w:color="auto"/>
      </w:divBdr>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ass.gov/2019coronavir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dc.gov/coronavirus/2019-ncov/hcp/guidance-risk-assesment-hcp.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coronavirus/2019-ncov/hcp/facility-planning-operations.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mass.gov/massachusetts-vaccination-records" TargetMode="External"/><Relationship Id="rId4" Type="http://schemas.openxmlformats.org/officeDocument/2006/relationships/settings" Target="settings.xml"/><Relationship Id="rId9" Type="http://schemas.openxmlformats.org/officeDocument/2006/relationships/hyperlink" Target="https://www.mass.gov/doc/105-cmr-141-licensure-of-hospice-programs/download"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7E3EA0-B1AD-4906-94EF-3AC282754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DPH Letterhead</Template>
  <TotalTime>3</TotalTime>
  <Pages>3</Pages>
  <Words>1137</Words>
  <Characters>6486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7608</CharactersWithSpaces>
  <SharedDoc>false</SharedDoc>
  <HLinks>
    <vt:vector size="30" baseType="variant">
      <vt:variant>
        <vt:i4>4194372</vt:i4>
      </vt:variant>
      <vt:variant>
        <vt:i4>12</vt:i4>
      </vt:variant>
      <vt:variant>
        <vt:i4>0</vt:i4>
      </vt:variant>
      <vt:variant>
        <vt:i4>5</vt:i4>
      </vt:variant>
      <vt:variant>
        <vt:lpwstr>https://www.mass.gov/2019coronavirus</vt:lpwstr>
      </vt:variant>
      <vt:variant>
        <vt:lpwstr/>
      </vt:variant>
      <vt:variant>
        <vt:i4>2097204</vt:i4>
      </vt:variant>
      <vt:variant>
        <vt:i4>9</vt:i4>
      </vt:variant>
      <vt:variant>
        <vt:i4>0</vt:i4>
      </vt:variant>
      <vt:variant>
        <vt:i4>5</vt:i4>
      </vt:variant>
      <vt:variant>
        <vt:lpwstr>https://www.cdc.gov/coronavirus/2019-ncov/hcp/guidance-risk-assesment-hcp.html</vt:lpwstr>
      </vt:variant>
      <vt:variant>
        <vt:lpwstr/>
      </vt:variant>
      <vt:variant>
        <vt:i4>3145840</vt:i4>
      </vt:variant>
      <vt:variant>
        <vt:i4>6</vt:i4>
      </vt:variant>
      <vt:variant>
        <vt:i4>0</vt:i4>
      </vt:variant>
      <vt:variant>
        <vt:i4>5</vt:i4>
      </vt:variant>
      <vt:variant>
        <vt:lpwstr>https://www.cdc.gov/coronavirus/2019-ncov/hcp/facility-planning-operations.html</vt:lpwstr>
      </vt:variant>
      <vt:variant>
        <vt:lpwstr/>
      </vt:variant>
      <vt:variant>
        <vt:i4>2228284</vt:i4>
      </vt:variant>
      <vt:variant>
        <vt:i4>3</vt:i4>
      </vt:variant>
      <vt:variant>
        <vt:i4>0</vt:i4>
      </vt:variant>
      <vt:variant>
        <vt:i4>5</vt:i4>
      </vt:variant>
      <vt:variant>
        <vt:lpwstr>https://www.mass.gov/massachusetts-vaccination-records</vt:lpwstr>
      </vt:variant>
      <vt:variant>
        <vt:lpwstr/>
      </vt:variant>
      <vt:variant>
        <vt:i4>2228260</vt:i4>
      </vt:variant>
      <vt:variant>
        <vt:i4>0</vt:i4>
      </vt:variant>
      <vt:variant>
        <vt:i4>0</vt:i4>
      </vt:variant>
      <vt:variant>
        <vt:i4>5</vt:i4>
      </vt:variant>
      <vt:variant>
        <vt:lpwstr>https://www.mass.gov/doc/105-cmr-141-licensure-of-hospice-programs/download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BHCSQ</dc:creator>
  <cp:keywords/>
  <cp:lastModifiedBy>Tejada, Adriana (DPH)</cp:lastModifiedBy>
  <cp:revision>5</cp:revision>
  <cp:lastPrinted>2020-08-12T21:19:00Z</cp:lastPrinted>
  <dcterms:created xsi:type="dcterms:W3CDTF">2022-11-21T14:42:00Z</dcterms:created>
  <dcterms:modified xsi:type="dcterms:W3CDTF">2022-11-21T14:45:00Z</dcterms:modified>
</cp:coreProperties>
</file>