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7D7493" w14:paraId="4875AA73" w14:textId="77777777" w:rsidTr="007E482B">
        <w:trPr>
          <w:trHeight w:val="1880"/>
        </w:trPr>
        <w:tc>
          <w:tcPr>
            <w:tcW w:w="1998" w:type="dxa"/>
            <w:vAlign w:val="center"/>
          </w:tcPr>
          <w:p w14:paraId="27959106" w14:textId="77777777" w:rsidR="007D7493" w:rsidRDefault="007D7493" w:rsidP="007D7493">
            <w:pPr>
              <w:jc w:val="center"/>
            </w:pPr>
            <w:r>
              <w:rPr>
                <w:noProof/>
              </w:rPr>
              <w:drawing>
                <wp:inline distT="0" distB="0" distL="0" distR="0" wp14:anchorId="3C2492A4" wp14:editId="621A8401">
                  <wp:extent cx="9715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2FE96215" w14:textId="77777777" w:rsidR="007D7493" w:rsidRDefault="007D7493" w:rsidP="007D7493">
            <w:pPr>
              <w:jc w:val="center"/>
              <w:rPr>
                <w:rFonts w:ascii="Arial" w:hAnsi="Arial"/>
                <w:sz w:val="36"/>
              </w:rPr>
            </w:pPr>
            <w:r>
              <w:rPr>
                <w:rFonts w:ascii="Arial" w:hAnsi="Arial"/>
                <w:sz w:val="36"/>
              </w:rPr>
              <w:t>The Commonwealth of Massachusetts</w:t>
            </w:r>
          </w:p>
          <w:p w14:paraId="27647D5F" w14:textId="77777777" w:rsidR="007D7493" w:rsidRDefault="007D7493" w:rsidP="007D7493">
            <w:pPr>
              <w:pStyle w:val="ExecOffice"/>
              <w:framePr w:w="0" w:hSpace="0" w:wrap="auto" w:vAnchor="margin" w:hAnchor="text" w:xAlign="left" w:yAlign="inline"/>
            </w:pPr>
            <w:r>
              <w:t>Executive Office of Health and Human Services</w:t>
            </w:r>
          </w:p>
          <w:p w14:paraId="552A72C3" w14:textId="77777777" w:rsidR="007D7493" w:rsidRDefault="007D7493" w:rsidP="007D7493">
            <w:pPr>
              <w:pStyle w:val="ExecOffice"/>
              <w:framePr w:w="0" w:hSpace="0" w:wrap="auto" w:vAnchor="margin" w:hAnchor="text" w:xAlign="left" w:yAlign="inline"/>
            </w:pPr>
            <w:r>
              <w:t>Department of Public Health</w:t>
            </w:r>
          </w:p>
          <w:p w14:paraId="58818718" w14:textId="77777777" w:rsidR="007D7493" w:rsidRDefault="005B27C7" w:rsidP="007D7493">
            <w:pPr>
              <w:pStyle w:val="ExecOffice"/>
              <w:framePr w:w="0" w:hSpace="0" w:wrap="auto" w:vAnchor="margin" w:hAnchor="text" w:xAlign="left" w:yAlign="inline"/>
            </w:pPr>
            <w:r>
              <w:t>Bureau of Infectious Disease and Laboratory Sciences</w:t>
            </w:r>
          </w:p>
          <w:p w14:paraId="7C287EE7" w14:textId="77777777" w:rsidR="007D7493" w:rsidRDefault="007D7493" w:rsidP="007D7493">
            <w:pPr>
              <w:pStyle w:val="ExecOffice"/>
              <w:framePr w:w="0" w:hSpace="0" w:wrap="auto" w:vAnchor="margin" w:hAnchor="text" w:xAlign="left" w:yAlign="inline"/>
            </w:pPr>
            <w:r>
              <w:t>305 South Street, Jamaica Plain, MA 02130</w:t>
            </w:r>
          </w:p>
          <w:p w14:paraId="3899664B" w14:textId="77777777" w:rsidR="0010239D" w:rsidRPr="0010239D" w:rsidRDefault="0010239D" w:rsidP="007D7493">
            <w:pPr>
              <w:pStyle w:val="ExecOffice"/>
              <w:framePr w:w="0" w:hSpace="0" w:wrap="auto" w:vAnchor="margin" w:hAnchor="text" w:xAlign="left" w:yAlign="inline"/>
              <w:rPr>
                <w:sz w:val="8"/>
              </w:rPr>
            </w:pPr>
          </w:p>
          <w:p w14:paraId="6FF6272E" w14:textId="77777777" w:rsidR="0010239D" w:rsidRPr="0010239D" w:rsidRDefault="0010239D" w:rsidP="0010239D">
            <w:pPr>
              <w:pStyle w:val="ExecOffice"/>
              <w:framePr w:w="0" w:hSpace="0" w:wrap="auto" w:vAnchor="margin" w:hAnchor="text" w:xAlign="left" w:yAlign="inline"/>
              <w:rPr>
                <w:sz w:val="24"/>
                <w:szCs w:val="22"/>
              </w:rPr>
            </w:pPr>
          </w:p>
          <w:p w14:paraId="514A0B0B" w14:textId="77777777" w:rsidR="007D7493" w:rsidRPr="0010239D" w:rsidRDefault="007D7493">
            <w:pPr>
              <w:rPr>
                <w:sz w:val="8"/>
              </w:rPr>
            </w:pPr>
          </w:p>
        </w:tc>
        <w:tc>
          <w:tcPr>
            <w:tcW w:w="1440" w:type="dxa"/>
          </w:tcPr>
          <w:p w14:paraId="20967E3D" w14:textId="77777777" w:rsidR="007D7493" w:rsidRDefault="007D7493"/>
        </w:tc>
      </w:tr>
      <w:tr w:rsidR="007D7493" w14:paraId="6AEFD18B" w14:textId="77777777" w:rsidTr="007E482B">
        <w:tc>
          <w:tcPr>
            <w:tcW w:w="1998" w:type="dxa"/>
            <w:vAlign w:val="center"/>
          </w:tcPr>
          <w:p w14:paraId="6518D1C5" w14:textId="77777777" w:rsidR="007D7493" w:rsidRDefault="007D7493" w:rsidP="007D7493">
            <w:pPr>
              <w:pStyle w:val="Governor"/>
              <w:framePr w:hSpace="0" w:wrap="auto" w:vAnchor="margin" w:hAnchor="text" w:xAlign="left" w:yAlign="inline"/>
              <w:spacing w:after="0"/>
              <w:rPr>
                <w:sz w:val="16"/>
              </w:rPr>
            </w:pPr>
            <w:r>
              <w:rPr>
                <w:sz w:val="16"/>
              </w:rPr>
              <w:t>CHARLES D. BAKER</w:t>
            </w:r>
          </w:p>
          <w:p w14:paraId="04346429" w14:textId="77777777" w:rsidR="007D7493" w:rsidRDefault="007D7493" w:rsidP="007D7493">
            <w:pPr>
              <w:pStyle w:val="Governor"/>
              <w:framePr w:hSpace="0" w:wrap="auto" w:vAnchor="margin" w:hAnchor="text" w:xAlign="left" w:yAlign="inline"/>
            </w:pPr>
            <w:r>
              <w:t>Governor</w:t>
            </w:r>
          </w:p>
          <w:p w14:paraId="68F33A74" w14:textId="77777777" w:rsidR="007D7493" w:rsidRDefault="007D7493" w:rsidP="007D7493">
            <w:pPr>
              <w:pStyle w:val="Governor"/>
              <w:framePr w:hSpace="0" w:wrap="auto" w:vAnchor="margin" w:hAnchor="text" w:xAlign="left" w:yAlign="inline"/>
              <w:spacing w:after="0"/>
              <w:rPr>
                <w:sz w:val="16"/>
              </w:rPr>
            </w:pPr>
            <w:r>
              <w:rPr>
                <w:sz w:val="16"/>
              </w:rPr>
              <w:t>KARYN E. POLITO</w:t>
            </w:r>
          </w:p>
          <w:p w14:paraId="561671DF" w14:textId="77777777" w:rsidR="007D7493" w:rsidRDefault="007D7493" w:rsidP="007D7493">
            <w:pPr>
              <w:pStyle w:val="Governor"/>
              <w:framePr w:hSpace="0" w:wrap="auto" w:vAnchor="margin" w:hAnchor="text" w:xAlign="left" w:yAlign="inline"/>
            </w:pPr>
            <w:r>
              <w:t>Lieutenant Governor</w:t>
            </w:r>
          </w:p>
          <w:p w14:paraId="361B49E9" w14:textId="77777777" w:rsidR="007D7493" w:rsidRPr="001A3F4A" w:rsidRDefault="007D7493" w:rsidP="007D7493">
            <w:pPr>
              <w:jc w:val="center"/>
              <w:rPr>
                <w:sz w:val="12"/>
                <w:szCs w:val="12"/>
              </w:rPr>
            </w:pPr>
          </w:p>
        </w:tc>
        <w:tc>
          <w:tcPr>
            <w:tcW w:w="6210" w:type="dxa"/>
          </w:tcPr>
          <w:p w14:paraId="4FEF3793" w14:textId="2F7876CD" w:rsidR="007D7493" w:rsidRPr="00C36976" w:rsidRDefault="007D7493" w:rsidP="007D7493">
            <w:pPr>
              <w:pStyle w:val="ExecOffice"/>
              <w:framePr w:w="0" w:hSpace="0" w:wrap="auto" w:vAnchor="margin" w:hAnchor="text" w:xAlign="left" w:yAlign="inline"/>
              <w:ind w:left="1440"/>
              <w:rPr>
                <w:sz w:val="22"/>
                <w:szCs w:val="22"/>
              </w:rPr>
            </w:pPr>
            <w:r w:rsidRPr="00C36976">
              <w:rPr>
                <w:sz w:val="22"/>
                <w:szCs w:val="22"/>
              </w:rPr>
              <w:t>Tel:</w:t>
            </w:r>
            <w:r w:rsidR="001F18B6">
              <w:rPr>
                <w:sz w:val="22"/>
                <w:szCs w:val="22"/>
              </w:rPr>
              <w:t xml:space="preserve"> </w:t>
            </w:r>
            <w:r w:rsidRPr="00C36976">
              <w:rPr>
                <w:sz w:val="22"/>
                <w:szCs w:val="22"/>
              </w:rPr>
              <w:t>(617) 983-6</w:t>
            </w:r>
            <w:r>
              <w:rPr>
                <w:sz w:val="22"/>
                <w:szCs w:val="22"/>
              </w:rPr>
              <w:t>55</w:t>
            </w:r>
            <w:r w:rsidRPr="00C36976">
              <w:rPr>
                <w:sz w:val="22"/>
                <w:szCs w:val="22"/>
              </w:rPr>
              <w:t xml:space="preserve">0 </w:t>
            </w:r>
          </w:p>
          <w:p w14:paraId="2733EAA1" w14:textId="77777777" w:rsidR="007D7493" w:rsidRPr="00C36976" w:rsidRDefault="007D7493" w:rsidP="007D7493">
            <w:pPr>
              <w:pStyle w:val="ExecOffice"/>
              <w:framePr w:w="0" w:hSpace="0" w:wrap="auto" w:vAnchor="margin" w:hAnchor="text" w:xAlign="left" w:yAlign="inline"/>
              <w:ind w:left="1440"/>
              <w:rPr>
                <w:sz w:val="22"/>
                <w:szCs w:val="22"/>
              </w:rPr>
            </w:pPr>
            <w:r w:rsidRPr="00C36976">
              <w:rPr>
                <w:sz w:val="22"/>
                <w:szCs w:val="22"/>
              </w:rPr>
              <w:t>Fax: (617) 983-6</w:t>
            </w:r>
            <w:r>
              <w:rPr>
                <w:sz w:val="22"/>
                <w:szCs w:val="22"/>
              </w:rPr>
              <w:t>925</w:t>
            </w:r>
            <w:r w:rsidRPr="00C36976">
              <w:rPr>
                <w:sz w:val="22"/>
                <w:szCs w:val="22"/>
              </w:rPr>
              <w:t xml:space="preserve"> </w:t>
            </w:r>
          </w:p>
          <w:p w14:paraId="0DBCEF5E" w14:textId="77777777" w:rsidR="007D7493" w:rsidRDefault="00DB1C84" w:rsidP="007D7493">
            <w:pPr>
              <w:pStyle w:val="ExecOffice"/>
              <w:framePr w:w="0" w:hSpace="0" w:wrap="auto" w:vAnchor="margin" w:hAnchor="text" w:xAlign="left" w:yAlign="inline"/>
              <w:ind w:left="1440"/>
              <w:rPr>
                <w:rStyle w:val="Strong"/>
                <w:sz w:val="22"/>
                <w:szCs w:val="22"/>
              </w:rPr>
            </w:pPr>
            <w:hyperlink r:id="rId10" w:history="1">
              <w:r w:rsidR="007D7493" w:rsidRPr="00F85AC1">
                <w:rPr>
                  <w:rStyle w:val="Hyperlink"/>
                  <w:sz w:val="22"/>
                  <w:szCs w:val="22"/>
                </w:rPr>
                <w:t>www.mass.gov/dph</w:t>
              </w:r>
            </w:hyperlink>
          </w:p>
          <w:p w14:paraId="2437AA90" w14:textId="77777777" w:rsidR="007D7493" w:rsidRDefault="007D7493"/>
        </w:tc>
        <w:tc>
          <w:tcPr>
            <w:tcW w:w="2970" w:type="dxa"/>
            <w:gridSpan w:val="2"/>
            <w:vAlign w:val="center"/>
          </w:tcPr>
          <w:p w14:paraId="06971FBF" w14:textId="77777777" w:rsidR="007D7493" w:rsidRPr="003A7AFC" w:rsidRDefault="007D7493" w:rsidP="007D7493">
            <w:pPr>
              <w:pStyle w:val="Weld"/>
              <w:framePr w:hSpace="0" w:wrap="auto" w:vAnchor="margin" w:hAnchor="text" w:xAlign="left" w:yAlign="inline"/>
            </w:pPr>
            <w:r>
              <w:t>MARYLOU SUDDERS</w:t>
            </w:r>
          </w:p>
          <w:p w14:paraId="6EA99629" w14:textId="77777777" w:rsidR="007D7493" w:rsidRDefault="007D7493" w:rsidP="007D7493">
            <w:pPr>
              <w:pStyle w:val="Governor"/>
              <w:framePr w:hSpace="0" w:wrap="auto" w:vAnchor="margin" w:hAnchor="text" w:xAlign="left" w:yAlign="inline"/>
            </w:pPr>
            <w:r>
              <w:t>Secretary</w:t>
            </w:r>
          </w:p>
          <w:p w14:paraId="7AF29070" w14:textId="77777777" w:rsidR="007D7493" w:rsidRPr="00FC6B42" w:rsidRDefault="007D7493" w:rsidP="007D7493">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69C081B" w14:textId="77777777" w:rsidR="007D7493" w:rsidRDefault="007D7493" w:rsidP="007D7493">
            <w:pPr>
              <w:jc w:val="center"/>
            </w:pPr>
          </w:p>
        </w:tc>
      </w:tr>
    </w:tbl>
    <w:p w14:paraId="0D46A441" w14:textId="77777777" w:rsidR="004705C8" w:rsidRPr="00801687" w:rsidRDefault="004705C8" w:rsidP="005E74A8">
      <w:pPr>
        <w:spacing w:after="120"/>
        <w:rPr>
          <w:rFonts w:asciiTheme="minorHAnsi" w:hAnsiTheme="minorHAnsi" w:cstheme="minorHAnsi"/>
          <w:sz w:val="22"/>
          <w:szCs w:val="22"/>
        </w:rPr>
      </w:pPr>
      <w:r w:rsidRPr="005E74A8">
        <w:rPr>
          <w:rFonts w:asciiTheme="minorHAnsi" w:hAnsiTheme="minorHAnsi" w:cstheme="minorHAnsi"/>
          <w:b/>
          <w:bCs/>
          <w:sz w:val="22"/>
          <w:szCs w:val="22"/>
        </w:rPr>
        <w:t>To:</w:t>
      </w:r>
      <w:r w:rsidRPr="00801687">
        <w:rPr>
          <w:rFonts w:asciiTheme="minorHAnsi" w:hAnsiTheme="minorHAnsi" w:cstheme="minorHAnsi"/>
          <w:sz w:val="22"/>
          <w:szCs w:val="22"/>
        </w:rPr>
        <w:t xml:space="preserve"> </w:t>
      </w:r>
      <w:r w:rsidR="00C108BA" w:rsidRPr="00801687">
        <w:rPr>
          <w:rFonts w:asciiTheme="minorHAnsi" w:hAnsiTheme="minorHAnsi" w:cstheme="minorHAnsi"/>
          <w:sz w:val="22"/>
          <w:szCs w:val="22"/>
        </w:rPr>
        <w:tab/>
      </w:r>
      <w:r w:rsidRPr="00801687">
        <w:rPr>
          <w:rFonts w:asciiTheme="minorHAnsi" w:hAnsiTheme="minorHAnsi" w:cstheme="minorHAnsi"/>
          <w:sz w:val="22"/>
          <w:szCs w:val="22"/>
        </w:rPr>
        <w:t>Healthcare Providers</w:t>
      </w:r>
      <w:r w:rsidR="00D6183A">
        <w:rPr>
          <w:rFonts w:asciiTheme="minorHAnsi" w:hAnsiTheme="minorHAnsi" w:cstheme="minorHAnsi"/>
          <w:sz w:val="22"/>
          <w:szCs w:val="22"/>
        </w:rPr>
        <w:t xml:space="preserve">, </w:t>
      </w:r>
      <w:r w:rsidR="00E12920">
        <w:rPr>
          <w:rFonts w:asciiTheme="minorHAnsi" w:hAnsiTheme="minorHAnsi" w:cstheme="minorHAnsi"/>
          <w:sz w:val="22"/>
          <w:szCs w:val="22"/>
        </w:rPr>
        <w:t xml:space="preserve">Clinical </w:t>
      </w:r>
      <w:r w:rsidR="00D6183A">
        <w:rPr>
          <w:rFonts w:asciiTheme="minorHAnsi" w:hAnsiTheme="minorHAnsi" w:cstheme="minorHAnsi"/>
          <w:sz w:val="22"/>
          <w:szCs w:val="22"/>
        </w:rPr>
        <w:t>Laboratories and Local Boards of Health</w:t>
      </w:r>
    </w:p>
    <w:p w14:paraId="6A1814AC" w14:textId="77777777" w:rsidR="004705C8" w:rsidRPr="00801687" w:rsidRDefault="004705C8" w:rsidP="005E74A8">
      <w:pPr>
        <w:rPr>
          <w:rFonts w:asciiTheme="minorHAnsi" w:hAnsiTheme="minorHAnsi" w:cstheme="minorHAnsi"/>
          <w:sz w:val="22"/>
          <w:szCs w:val="22"/>
        </w:rPr>
      </w:pPr>
      <w:r w:rsidRPr="005E74A8">
        <w:rPr>
          <w:rFonts w:asciiTheme="minorHAnsi" w:hAnsiTheme="minorHAnsi" w:cstheme="minorHAnsi"/>
          <w:b/>
          <w:bCs/>
          <w:sz w:val="22"/>
          <w:szCs w:val="22"/>
        </w:rPr>
        <w:t>From:</w:t>
      </w:r>
      <w:r w:rsidRPr="00801687">
        <w:rPr>
          <w:rFonts w:asciiTheme="minorHAnsi" w:hAnsiTheme="minorHAnsi" w:cstheme="minorHAnsi"/>
          <w:sz w:val="22"/>
          <w:szCs w:val="22"/>
        </w:rPr>
        <w:t xml:space="preserve"> </w:t>
      </w:r>
      <w:r w:rsidR="00C108BA" w:rsidRPr="00801687">
        <w:rPr>
          <w:rFonts w:asciiTheme="minorHAnsi" w:hAnsiTheme="minorHAnsi" w:cstheme="minorHAnsi"/>
          <w:sz w:val="22"/>
          <w:szCs w:val="22"/>
        </w:rPr>
        <w:tab/>
      </w:r>
      <w:r w:rsidRPr="00801687">
        <w:rPr>
          <w:rFonts w:asciiTheme="minorHAnsi" w:hAnsiTheme="minorHAnsi" w:cstheme="minorHAnsi"/>
          <w:sz w:val="22"/>
          <w:szCs w:val="22"/>
        </w:rPr>
        <w:t>Catherine M. Brown, DVM, MSc, MPH, State Epidemiologist</w:t>
      </w:r>
    </w:p>
    <w:p w14:paraId="38DDFA21" w14:textId="77777777" w:rsidR="004705C8" w:rsidRPr="00801687" w:rsidRDefault="004705C8" w:rsidP="005E74A8">
      <w:pPr>
        <w:rPr>
          <w:rFonts w:asciiTheme="minorHAnsi" w:hAnsiTheme="minorHAnsi" w:cstheme="minorHAnsi"/>
          <w:sz w:val="22"/>
          <w:szCs w:val="22"/>
        </w:rPr>
      </w:pPr>
      <w:r w:rsidRPr="00801687">
        <w:rPr>
          <w:rFonts w:asciiTheme="minorHAnsi" w:hAnsiTheme="minorHAnsi" w:cstheme="minorHAnsi"/>
          <w:sz w:val="22"/>
          <w:szCs w:val="22"/>
        </w:rPr>
        <w:t xml:space="preserve">           </w:t>
      </w:r>
      <w:r w:rsidR="00C108BA" w:rsidRPr="00801687">
        <w:rPr>
          <w:rFonts w:asciiTheme="minorHAnsi" w:hAnsiTheme="minorHAnsi" w:cstheme="minorHAnsi"/>
          <w:sz w:val="22"/>
          <w:szCs w:val="22"/>
        </w:rPr>
        <w:tab/>
      </w:r>
      <w:r w:rsidRPr="00801687">
        <w:rPr>
          <w:rFonts w:asciiTheme="minorHAnsi" w:hAnsiTheme="minorHAnsi" w:cstheme="minorHAnsi"/>
          <w:sz w:val="22"/>
          <w:szCs w:val="22"/>
        </w:rPr>
        <w:t>Larry Madoff, MD, Medical Director</w:t>
      </w:r>
      <w:r w:rsidR="005B27C7">
        <w:rPr>
          <w:rFonts w:asciiTheme="minorHAnsi" w:hAnsiTheme="minorHAnsi" w:cstheme="minorHAnsi"/>
          <w:sz w:val="22"/>
          <w:szCs w:val="22"/>
        </w:rPr>
        <w:t>, BIDLS</w:t>
      </w:r>
    </w:p>
    <w:p w14:paraId="36D19031" w14:textId="77777777" w:rsidR="004705C8" w:rsidRPr="00801687" w:rsidRDefault="001A3F4A" w:rsidP="005E74A8">
      <w:pPr>
        <w:spacing w:after="120"/>
        <w:rPr>
          <w:rFonts w:asciiTheme="minorHAnsi" w:hAnsiTheme="minorHAnsi" w:cstheme="minorHAnsi"/>
          <w:sz w:val="22"/>
          <w:szCs w:val="22"/>
        </w:rPr>
      </w:pPr>
      <w:r w:rsidRPr="00801687">
        <w:rPr>
          <w:rFonts w:asciiTheme="minorHAnsi" w:hAnsiTheme="minorHAnsi" w:cstheme="minorHAnsi"/>
          <w:sz w:val="22"/>
          <w:szCs w:val="22"/>
        </w:rPr>
        <w:t xml:space="preserve">            </w:t>
      </w:r>
      <w:r w:rsidR="00C108BA" w:rsidRPr="00801687">
        <w:rPr>
          <w:rFonts w:asciiTheme="minorHAnsi" w:hAnsiTheme="minorHAnsi" w:cstheme="minorHAnsi"/>
          <w:sz w:val="22"/>
          <w:szCs w:val="22"/>
        </w:rPr>
        <w:tab/>
      </w:r>
      <w:r w:rsidRPr="00801687">
        <w:rPr>
          <w:rFonts w:asciiTheme="minorHAnsi" w:hAnsiTheme="minorHAnsi" w:cstheme="minorHAnsi"/>
          <w:sz w:val="22"/>
          <w:szCs w:val="22"/>
        </w:rPr>
        <w:t>Sand</w:t>
      </w:r>
      <w:r w:rsidR="007F462E" w:rsidRPr="00801687">
        <w:rPr>
          <w:rFonts w:asciiTheme="minorHAnsi" w:hAnsiTheme="minorHAnsi" w:cstheme="minorHAnsi"/>
          <w:sz w:val="22"/>
          <w:szCs w:val="22"/>
        </w:rPr>
        <w:t>ra</w:t>
      </w:r>
      <w:r w:rsidRPr="00801687">
        <w:rPr>
          <w:rFonts w:asciiTheme="minorHAnsi" w:hAnsiTheme="minorHAnsi" w:cstheme="minorHAnsi"/>
          <w:sz w:val="22"/>
          <w:szCs w:val="22"/>
        </w:rPr>
        <w:t xml:space="preserve"> Smole, PhD, Director, State Public Health Laboratory</w:t>
      </w:r>
    </w:p>
    <w:p w14:paraId="2095773A" w14:textId="7E465FB7" w:rsidR="00D94C0A" w:rsidRPr="00801687" w:rsidRDefault="004705C8" w:rsidP="005E74A8">
      <w:pPr>
        <w:spacing w:after="120"/>
        <w:rPr>
          <w:rFonts w:asciiTheme="minorHAnsi" w:hAnsiTheme="minorHAnsi" w:cstheme="minorHAnsi"/>
          <w:sz w:val="22"/>
          <w:szCs w:val="22"/>
        </w:rPr>
      </w:pPr>
      <w:r w:rsidRPr="005E74A8">
        <w:rPr>
          <w:rFonts w:asciiTheme="minorHAnsi" w:hAnsiTheme="minorHAnsi" w:cstheme="minorHAnsi"/>
          <w:b/>
          <w:bCs/>
          <w:sz w:val="22"/>
          <w:szCs w:val="22"/>
        </w:rPr>
        <w:t>Date:</w:t>
      </w:r>
      <w:r w:rsidRPr="00801687">
        <w:rPr>
          <w:rFonts w:asciiTheme="minorHAnsi" w:hAnsiTheme="minorHAnsi" w:cstheme="minorHAnsi"/>
          <w:sz w:val="22"/>
          <w:szCs w:val="22"/>
        </w:rPr>
        <w:t xml:space="preserve"> </w:t>
      </w:r>
      <w:r w:rsidR="00C108BA" w:rsidRPr="00801687">
        <w:rPr>
          <w:rFonts w:asciiTheme="minorHAnsi" w:hAnsiTheme="minorHAnsi" w:cstheme="minorHAnsi"/>
          <w:sz w:val="22"/>
          <w:szCs w:val="22"/>
        </w:rPr>
        <w:tab/>
      </w:r>
      <w:r w:rsidR="00987B7D">
        <w:rPr>
          <w:rFonts w:asciiTheme="minorHAnsi" w:hAnsiTheme="minorHAnsi" w:cstheme="minorHAnsi"/>
          <w:sz w:val="22"/>
          <w:szCs w:val="22"/>
        </w:rPr>
        <w:t xml:space="preserve">June </w:t>
      </w:r>
      <w:r w:rsidR="00FC134B">
        <w:rPr>
          <w:rFonts w:asciiTheme="minorHAnsi" w:hAnsiTheme="minorHAnsi" w:cstheme="minorHAnsi"/>
          <w:sz w:val="22"/>
          <w:szCs w:val="22"/>
        </w:rPr>
        <w:t>14</w:t>
      </w:r>
      <w:r w:rsidR="00987B7D">
        <w:rPr>
          <w:rFonts w:asciiTheme="minorHAnsi" w:hAnsiTheme="minorHAnsi" w:cstheme="minorHAnsi"/>
          <w:sz w:val="22"/>
          <w:szCs w:val="22"/>
        </w:rPr>
        <w:t>, 2021</w:t>
      </w:r>
      <w:r w:rsidR="00961F9E" w:rsidRPr="00801687">
        <w:rPr>
          <w:rFonts w:asciiTheme="minorHAnsi" w:hAnsiTheme="minorHAnsi" w:cstheme="minorHAnsi"/>
          <w:sz w:val="22"/>
          <w:szCs w:val="22"/>
        </w:rPr>
        <w:t xml:space="preserve"> </w:t>
      </w:r>
    </w:p>
    <w:p w14:paraId="210BB43A" w14:textId="77777777" w:rsidR="004705C8" w:rsidRPr="00801687" w:rsidRDefault="004705C8" w:rsidP="005E74A8">
      <w:pPr>
        <w:spacing w:after="120"/>
        <w:rPr>
          <w:rFonts w:asciiTheme="minorHAnsi" w:hAnsiTheme="minorHAnsi" w:cstheme="minorHAnsi"/>
          <w:sz w:val="22"/>
          <w:szCs w:val="22"/>
        </w:rPr>
      </w:pPr>
      <w:r w:rsidRPr="005E74A8">
        <w:rPr>
          <w:rFonts w:asciiTheme="minorHAnsi" w:hAnsiTheme="minorHAnsi" w:cstheme="minorHAnsi"/>
          <w:b/>
          <w:bCs/>
          <w:sz w:val="22"/>
          <w:szCs w:val="22"/>
        </w:rPr>
        <w:t>RE:</w:t>
      </w:r>
      <w:r w:rsidR="00DF7567" w:rsidRPr="00801687">
        <w:rPr>
          <w:rFonts w:asciiTheme="minorHAnsi" w:hAnsiTheme="minorHAnsi" w:cstheme="minorHAnsi"/>
          <w:sz w:val="22"/>
          <w:szCs w:val="22"/>
        </w:rPr>
        <w:t xml:space="preserve"> </w:t>
      </w:r>
      <w:r w:rsidR="005B61E1" w:rsidRPr="00801687">
        <w:rPr>
          <w:rFonts w:asciiTheme="minorHAnsi" w:hAnsiTheme="minorHAnsi" w:cstheme="minorHAnsi"/>
          <w:sz w:val="22"/>
          <w:szCs w:val="22"/>
        </w:rPr>
        <w:t xml:space="preserve"> </w:t>
      </w:r>
      <w:r w:rsidR="005B61E1" w:rsidRPr="00801687">
        <w:rPr>
          <w:rFonts w:asciiTheme="minorHAnsi" w:hAnsiTheme="minorHAnsi" w:cstheme="minorHAnsi"/>
          <w:sz w:val="22"/>
          <w:szCs w:val="22"/>
        </w:rPr>
        <w:tab/>
      </w:r>
      <w:r w:rsidR="00DF7567" w:rsidRPr="00801687">
        <w:rPr>
          <w:rFonts w:asciiTheme="minorHAnsi" w:hAnsiTheme="minorHAnsi" w:cstheme="minorHAnsi"/>
          <w:sz w:val="22"/>
          <w:szCs w:val="22"/>
        </w:rPr>
        <w:t>Testing of Persons with Suspect COVID-19</w:t>
      </w:r>
    </w:p>
    <w:p w14:paraId="590DEBD6" w14:textId="77777777" w:rsidR="004921D9" w:rsidRDefault="004921D9" w:rsidP="004705C8">
      <w:pPr>
        <w:rPr>
          <w:rFonts w:asciiTheme="minorHAnsi" w:hAnsiTheme="minorHAnsi" w:cstheme="minorHAnsi"/>
          <w:sz w:val="22"/>
          <w:szCs w:val="22"/>
        </w:rPr>
      </w:pPr>
      <w:r w:rsidRPr="00801687">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2E46FFD1" wp14:editId="74D0CC84">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29DE9B" id="Straight Connector 1" o:spid="_x0000_s1026"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" strokecolor="black [3213]">
                <w10:wrap anchorx="margin"/>
              </v:line>
            </w:pict>
          </mc:Fallback>
        </mc:AlternateContent>
      </w:r>
    </w:p>
    <w:p w14:paraId="061D579F" w14:textId="63C82DC1" w:rsidR="00A3539B" w:rsidRDefault="003E4E8B" w:rsidP="00A3539B">
      <w:pPr>
        <w:rPr>
          <w:rFonts w:asciiTheme="minorHAnsi" w:hAnsiTheme="minorHAnsi" w:cstheme="minorHAnsi"/>
          <w:sz w:val="22"/>
          <w:szCs w:val="22"/>
        </w:rPr>
      </w:pPr>
      <w:r w:rsidRPr="00801687">
        <w:rPr>
          <w:rFonts w:asciiTheme="minorHAnsi" w:hAnsiTheme="minorHAnsi" w:cstheme="minorHAnsi"/>
          <w:sz w:val="22"/>
          <w:szCs w:val="22"/>
        </w:rPr>
        <w:t xml:space="preserve">This document includes guidance about </w:t>
      </w:r>
      <w:r w:rsidR="007262E0">
        <w:rPr>
          <w:rFonts w:asciiTheme="minorHAnsi" w:hAnsiTheme="minorHAnsi" w:cstheme="minorHAnsi"/>
          <w:sz w:val="22"/>
          <w:szCs w:val="22"/>
        </w:rPr>
        <w:t xml:space="preserve">appropriate use of </w:t>
      </w:r>
      <w:r w:rsidRPr="00801687">
        <w:rPr>
          <w:rFonts w:asciiTheme="minorHAnsi" w:hAnsiTheme="minorHAnsi" w:cstheme="minorHAnsi"/>
          <w:sz w:val="22"/>
          <w:szCs w:val="22"/>
        </w:rPr>
        <w:t xml:space="preserve">laboratory testing </w:t>
      </w:r>
      <w:r w:rsidR="007262E0">
        <w:rPr>
          <w:rFonts w:asciiTheme="minorHAnsi" w:hAnsiTheme="minorHAnsi" w:cstheme="minorHAnsi"/>
          <w:sz w:val="22"/>
          <w:szCs w:val="22"/>
        </w:rPr>
        <w:t>for COVID-19</w:t>
      </w:r>
      <w:r w:rsidR="00987B7D">
        <w:rPr>
          <w:rFonts w:asciiTheme="minorHAnsi" w:hAnsiTheme="minorHAnsi" w:cstheme="minorHAnsi"/>
          <w:sz w:val="22"/>
          <w:szCs w:val="22"/>
        </w:rPr>
        <w:t xml:space="preserve">. </w:t>
      </w:r>
      <w:r w:rsidR="00A3539B">
        <w:rPr>
          <w:rFonts w:asciiTheme="minorHAnsi" w:hAnsiTheme="minorHAnsi" w:cstheme="minorHAnsi"/>
          <w:sz w:val="22"/>
          <w:szCs w:val="22"/>
        </w:rPr>
        <w:t>This guidance is not intended to replace or supersede clinical judgment; clinicians concerned that their patient has</w:t>
      </w:r>
      <w:r w:rsidR="00C37559">
        <w:rPr>
          <w:rFonts w:asciiTheme="minorHAnsi" w:hAnsiTheme="minorHAnsi" w:cstheme="minorHAnsi"/>
          <w:sz w:val="22"/>
          <w:szCs w:val="22"/>
        </w:rPr>
        <w:t xml:space="preserve"> COVID-19</w:t>
      </w:r>
      <w:r w:rsidR="00A3539B">
        <w:rPr>
          <w:rFonts w:asciiTheme="minorHAnsi" w:hAnsiTheme="minorHAnsi" w:cstheme="minorHAnsi"/>
          <w:sz w:val="22"/>
          <w:szCs w:val="22"/>
        </w:rPr>
        <w:t xml:space="preserve"> or has been exposed to COVID-19 should utilize testing as they deem appropriate.</w:t>
      </w:r>
    </w:p>
    <w:p w14:paraId="2EB7314D" w14:textId="77777777" w:rsidR="00801687" w:rsidRDefault="00801687">
      <w:pPr>
        <w:rPr>
          <w:rFonts w:asciiTheme="minorHAnsi" w:hAnsiTheme="minorHAnsi" w:cstheme="minorHAnsi"/>
          <w:b/>
          <w:i/>
          <w:iCs/>
          <w:color w:val="202020"/>
          <w:sz w:val="22"/>
          <w:szCs w:val="22"/>
        </w:rPr>
      </w:pPr>
    </w:p>
    <w:p w14:paraId="44EB15D6" w14:textId="5AFFC7E3" w:rsidR="00AD5334" w:rsidRDefault="001D2399" w:rsidP="005E74A8">
      <w:pPr>
        <w:spacing w:after="150"/>
        <w:jc w:val="both"/>
        <w:rPr>
          <w:rFonts w:asciiTheme="minorHAnsi" w:hAnsiTheme="minorHAnsi" w:cstheme="minorHAnsi"/>
          <w:b/>
          <w:caps/>
          <w:color w:val="202020"/>
          <w:sz w:val="22"/>
          <w:szCs w:val="22"/>
          <w:u w:val="single"/>
        </w:rPr>
      </w:pPr>
      <w:r>
        <w:rPr>
          <w:rFonts w:asciiTheme="minorHAnsi" w:hAnsiTheme="minorHAnsi" w:cstheme="minorHAnsi"/>
          <w:b/>
          <w:caps/>
          <w:color w:val="202020"/>
          <w:sz w:val="22"/>
          <w:szCs w:val="22"/>
          <w:u w:val="single"/>
        </w:rPr>
        <w:t>RE</w:t>
      </w:r>
      <w:r w:rsidR="00021B91">
        <w:rPr>
          <w:rFonts w:asciiTheme="minorHAnsi" w:hAnsiTheme="minorHAnsi" w:cstheme="minorHAnsi"/>
          <w:b/>
          <w:caps/>
          <w:color w:val="202020"/>
          <w:sz w:val="22"/>
          <w:szCs w:val="22"/>
          <w:u w:val="single"/>
        </w:rPr>
        <w:t>COMMENDATIONS</w:t>
      </w:r>
      <w:r>
        <w:rPr>
          <w:rFonts w:asciiTheme="minorHAnsi" w:hAnsiTheme="minorHAnsi" w:cstheme="minorHAnsi"/>
          <w:b/>
          <w:caps/>
          <w:color w:val="202020"/>
          <w:sz w:val="22"/>
          <w:szCs w:val="22"/>
          <w:u w:val="single"/>
        </w:rPr>
        <w:t xml:space="preserve"> for </w:t>
      </w:r>
      <w:r w:rsidR="00B1013C">
        <w:rPr>
          <w:rFonts w:asciiTheme="minorHAnsi" w:hAnsiTheme="minorHAnsi" w:cstheme="minorHAnsi"/>
          <w:b/>
          <w:caps/>
          <w:color w:val="202020"/>
          <w:sz w:val="22"/>
          <w:szCs w:val="22"/>
          <w:u w:val="single"/>
        </w:rPr>
        <w:t xml:space="preserve">DIAGNOSTIC </w:t>
      </w:r>
      <w:r w:rsidR="00AD5334" w:rsidRPr="005E74A8">
        <w:rPr>
          <w:rFonts w:asciiTheme="minorHAnsi" w:hAnsiTheme="minorHAnsi" w:cstheme="minorHAnsi"/>
          <w:b/>
          <w:caps/>
          <w:color w:val="202020"/>
          <w:sz w:val="22"/>
          <w:szCs w:val="22"/>
          <w:u w:val="single"/>
        </w:rPr>
        <w:t>COVID-19 Testing</w:t>
      </w:r>
      <w:r w:rsidR="00EB6771">
        <w:rPr>
          <w:rFonts w:asciiTheme="minorHAnsi" w:hAnsiTheme="minorHAnsi" w:cstheme="minorHAnsi"/>
          <w:b/>
          <w:caps/>
          <w:color w:val="202020"/>
          <w:sz w:val="22"/>
          <w:szCs w:val="22"/>
          <w:u w:val="single"/>
        </w:rPr>
        <w:t xml:space="preserve">: </w:t>
      </w:r>
    </w:p>
    <w:p w14:paraId="0156F093" w14:textId="35FC262A" w:rsidR="00626D64" w:rsidRDefault="001D2399" w:rsidP="00B1013C">
      <w:pPr>
        <w:spacing w:after="150"/>
        <w:rPr>
          <w:rFonts w:asciiTheme="minorHAnsi" w:hAnsiTheme="minorHAnsi" w:cstheme="minorHAnsi"/>
          <w:bCs/>
          <w:color w:val="202020"/>
          <w:sz w:val="22"/>
          <w:szCs w:val="22"/>
        </w:rPr>
      </w:pPr>
      <w:r>
        <w:rPr>
          <w:rFonts w:asciiTheme="minorHAnsi" w:hAnsiTheme="minorHAnsi" w:cstheme="minorHAnsi"/>
          <w:bCs/>
          <w:color w:val="202020"/>
          <w:sz w:val="22"/>
          <w:szCs w:val="22"/>
        </w:rPr>
        <w:t>T</w:t>
      </w:r>
      <w:r w:rsidR="00184606">
        <w:rPr>
          <w:rFonts w:asciiTheme="minorHAnsi" w:hAnsiTheme="minorHAnsi" w:cstheme="minorHAnsi"/>
          <w:bCs/>
          <w:color w:val="202020"/>
          <w:sz w:val="22"/>
          <w:szCs w:val="22"/>
        </w:rPr>
        <w:t>o evaluate individuals for</w:t>
      </w:r>
      <w:r>
        <w:rPr>
          <w:rFonts w:asciiTheme="minorHAnsi" w:hAnsiTheme="minorHAnsi" w:cstheme="minorHAnsi"/>
          <w:bCs/>
          <w:color w:val="202020"/>
          <w:sz w:val="22"/>
          <w:szCs w:val="22"/>
        </w:rPr>
        <w:t xml:space="preserve"> current infection</w:t>
      </w:r>
      <w:r w:rsidR="00184606">
        <w:rPr>
          <w:rFonts w:asciiTheme="minorHAnsi" w:hAnsiTheme="minorHAnsi" w:cstheme="minorHAnsi"/>
          <w:bCs/>
          <w:color w:val="202020"/>
          <w:sz w:val="22"/>
          <w:szCs w:val="22"/>
        </w:rPr>
        <w:t xml:space="preserve">, </w:t>
      </w:r>
      <w:r w:rsidR="00B74A5B">
        <w:rPr>
          <w:rFonts w:asciiTheme="minorHAnsi" w:hAnsiTheme="minorHAnsi" w:cstheme="minorHAnsi"/>
          <w:bCs/>
          <w:color w:val="202020"/>
          <w:sz w:val="22"/>
          <w:szCs w:val="22"/>
        </w:rPr>
        <w:t>a molecular diagnostic test</w:t>
      </w:r>
      <w:r w:rsidR="00184606">
        <w:rPr>
          <w:rFonts w:asciiTheme="minorHAnsi" w:hAnsiTheme="minorHAnsi" w:cstheme="minorHAnsi"/>
          <w:bCs/>
          <w:color w:val="202020"/>
          <w:sz w:val="22"/>
          <w:szCs w:val="22"/>
        </w:rPr>
        <w:t xml:space="preserve"> to detect the presence of the </w:t>
      </w:r>
      <w:r w:rsidR="00B74A5B">
        <w:rPr>
          <w:rFonts w:asciiTheme="minorHAnsi" w:hAnsiTheme="minorHAnsi" w:cstheme="minorHAnsi"/>
          <w:bCs/>
          <w:color w:val="202020"/>
          <w:sz w:val="22"/>
          <w:szCs w:val="22"/>
        </w:rPr>
        <w:t>virus by</w:t>
      </w:r>
      <w:r w:rsidR="00184606">
        <w:rPr>
          <w:rFonts w:asciiTheme="minorHAnsi" w:hAnsiTheme="minorHAnsi" w:cstheme="minorHAnsi"/>
          <w:bCs/>
          <w:color w:val="202020"/>
          <w:sz w:val="22"/>
          <w:szCs w:val="22"/>
        </w:rPr>
        <w:t xml:space="preserve"> </w:t>
      </w:r>
      <w:r w:rsidR="00BA5921">
        <w:rPr>
          <w:rFonts w:asciiTheme="minorHAnsi" w:hAnsiTheme="minorHAnsi" w:cstheme="minorHAnsi"/>
          <w:bCs/>
          <w:color w:val="202020"/>
          <w:sz w:val="22"/>
          <w:szCs w:val="22"/>
        </w:rPr>
        <w:t>p</w:t>
      </w:r>
      <w:r w:rsidR="00D94C0A">
        <w:rPr>
          <w:rFonts w:asciiTheme="minorHAnsi" w:hAnsiTheme="minorHAnsi" w:cstheme="minorHAnsi"/>
          <w:bCs/>
          <w:color w:val="202020"/>
          <w:sz w:val="22"/>
          <w:szCs w:val="22"/>
        </w:rPr>
        <w:t xml:space="preserve">olymerase </w:t>
      </w:r>
      <w:r w:rsidR="00BA5921">
        <w:rPr>
          <w:rFonts w:asciiTheme="minorHAnsi" w:hAnsiTheme="minorHAnsi" w:cstheme="minorHAnsi"/>
          <w:bCs/>
          <w:color w:val="202020"/>
          <w:sz w:val="22"/>
          <w:szCs w:val="22"/>
        </w:rPr>
        <w:t>c</w:t>
      </w:r>
      <w:r w:rsidR="00D94C0A">
        <w:rPr>
          <w:rFonts w:asciiTheme="minorHAnsi" w:hAnsiTheme="minorHAnsi" w:cstheme="minorHAnsi"/>
          <w:bCs/>
          <w:color w:val="202020"/>
          <w:sz w:val="22"/>
          <w:szCs w:val="22"/>
        </w:rPr>
        <w:t xml:space="preserve">hain </w:t>
      </w:r>
      <w:r w:rsidR="00BA5921">
        <w:rPr>
          <w:rFonts w:asciiTheme="minorHAnsi" w:hAnsiTheme="minorHAnsi" w:cstheme="minorHAnsi"/>
          <w:bCs/>
          <w:color w:val="202020"/>
          <w:sz w:val="22"/>
          <w:szCs w:val="22"/>
        </w:rPr>
        <w:t>r</w:t>
      </w:r>
      <w:r w:rsidR="00D94C0A">
        <w:rPr>
          <w:rFonts w:asciiTheme="minorHAnsi" w:hAnsiTheme="minorHAnsi" w:cstheme="minorHAnsi"/>
          <w:bCs/>
          <w:color w:val="202020"/>
          <w:sz w:val="22"/>
          <w:szCs w:val="22"/>
        </w:rPr>
        <w:t xml:space="preserve">eaction (PCR) or other </w:t>
      </w:r>
      <w:r w:rsidR="001606E2">
        <w:rPr>
          <w:rFonts w:asciiTheme="minorHAnsi" w:hAnsiTheme="minorHAnsi" w:cstheme="minorHAnsi"/>
          <w:bCs/>
          <w:color w:val="202020"/>
          <w:sz w:val="22"/>
          <w:szCs w:val="22"/>
        </w:rPr>
        <w:t>nucleic acid amplification</w:t>
      </w:r>
      <w:r w:rsidR="00136A08">
        <w:rPr>
          <w:rFonts w:asciiTheme="minorHAnsi" w:hAnsiTheme="minorHAnsi" w:cstheme="minorHAnsi"/>
          <w:bCs/>
          <w:color w:val="202020"/>
          <w:sz w:val="22"/>
          <w:szCs w:val="22"/>
        </w:rPr>
        <w:t xml:space="preserve"> test (NAAT)</w:t>
      </w:r>
      <w:r w:rsidR="001606E2">
        <w:rPr>
          <w:rFonts w:asciiTheme="minorHAnsi" w:hAnsiTheme="minorHAnsi" w:cstheme="minorHAnsi"/>
          <w:bCs/>
          <w:color w:val="202020"/>
          <w:sz w:val="22"/>
          <w:szCs w:val="22"/>
        </w:rPr>
        <w:t xml:space="preserve"> methodology</w:t>
      </w:r>
      <w:r w:rsidR="00B74A5B">
        <w:rPr>
          <w:rFonts w:asciiTheme="minorHAnsi" w:hAnsiTheme="minorHAnsi" w:cstheme="minorHAnsi"/>
          <w:bCs/>
          <w:color w:val="202020"/>
          <w:sz w:val="22"/>
          <w:szCs w:val="22"/>
        </w:rPr>
        <w:t xml:space="preserve"> is </w:t>
      </w:r>
      <w:r w:rsidR="00626D64">
        <w:rPr>
          <w:rFonts w:asciiTheme="minorHAnsi" w:hAnsiTheme="minorHAnsi" w:cstheme="minorHAnsi"/>
          <w:bCs/>
          <w:color w:val="202020"/>
          <w:sz w:val="22"/>
          <w:szCs w:val="22"/>
        </w:rPr>
        <w:t>the gold standard</w:t>
      </w:r>
      <w:r w:rsidR="00504961">
        <w:rPr>
          <w:rFonts w:asciiTheme="minorHAnsi" w:hAnsiTheme="minorHAnsi" w:cstheme="minorHAnsi"/>
          <w:bCs/>
          <w:color w:val="202020"/>
          <w:sz w:val="22"/>
          <w:szCs w:val="22"/>
        </w:rPr>
        <w:t xml:space="preserve">. </w:t>
      </w:r>
      <w:r w:rsidR="00987B7D">
        <w:rPr>
          <w:rFonts w:asciiTheme="minorHAnsi" w:hAnsiTheme="minorHAnsi" w:cstheme="minorHAnsi"/>
          <w:bCs/>
          <w:color w:val="202020"/>
          <w:sz w:val="22"/>
          <w:szCs w:val="22"/>
        </w:rPr>
        <w:t>These assays</w:t>
      </w:r>
      <w:r w:rsidR="00504961">
        <w:rPr>
          <w:rFonts w:asciiTheme="minorHAnsi" w:hAnsiTheme="minorHAnsi" w:cstheme="minorHAnsi"/>
          <w:bCs/>
          <w:color w:val="202020"/>
          <w:sz w:val="22"/>
          <w:szCs w:val="22"/>
        </w:rPr>
        <w:t xml:space="preserve"> can detect </w:t>
      </w:r>
      <w:r w:rsidR="00987B7D">
        <w:rPr>
          <w:rFonts w:asciiTheme="minorHAnsi" w:hAnsiTheme="minorHAnsi" w:cstheme="minorHAnsi"/>
          <w:bCs/>
          <w:color w:val="202020"/>
          <w:sz w:val="22"/>
          <w:szCs w:val="22"/>
        </w:rPr>
        <w:t xml:space="preserve">even </w:t>
      </w:r>
      <w:r w:rsidR="00504961">
        <w:rPr>
          <w:rFonts w:asciiTheme="minorHAnsi" w:hAnsiTheme="minorHAnsi" w:cstheme="minorHAnsi"/>
          <w:bCs/>
          <w:color w:val="202020"/>
          <w:sz w:val="22"/>
          <w:szCs w:val="22"/>
        </w:rPr>
        <w:t xml:space="preserve">a small amount of viral </w:t>
      </w:r>
      <w:r w:rsidR="00987B7D">
        <w:rPr>
          <w:rFonts w:asciiTheme="minorHAnsi" w:hAnsiTheme="minorHAnsi" w:cstheme="minorHAnsi"/>
          <w:bCs/>
          <w:color w:val="202020"/>
          <w:sz w:val="22"/>
          <w:szCs w:val="22"/>
        </w:rPr>
        <w:t>genetic material</w:t>
      </w:r>
      <w:r w:rsidR="00504961">
        <w:rPr>
          <w:rFonts w:asciiTheme="minorHAnsi" w:hAnsiTheme="minorHAnsi" w:cstheme="minorHAnsi"/>
          <w:bCs/>
          <w:color w:val="202020"/>
          <w:sz w:val="22"/>
          <w:szCs w:val="22"/>
        </w:rPr>
        <w:t xml:space="preserve">, </w:t>
      </w:r>
      <w:r w:rsidR="00987B7D">
        <w:rPr>
          <w:rFonts w:asciiTheme="minorHAnsi" w:hAnsiTheme="minorHAnsi" w:cstheme="minorHAnsi"/>
          <w:bCs/>
          <w:color w:val="202020"/>
          <w:sz w:val="22"/>
          <w:szCs w:val="22"/>
        </w:rPr>
        <w:t>such as may be present during asymptomatic, pre-symptomatic or minimally symptomatic infection.</w:t>
      </w:r>
      <w:r w:rsidR="00504961">
        <w:rPr>
          <w:rFonts w:asciiTheme="minorHAnsi" w:hAnsiTheme="minorHAnsi" w:cstheme="minorHAnsi"/>
          <w:bCs/>
          <w:color w:val="202020"/>
          <w:sz w:val="22"/>
          <w:szCs w:val="22"/>
        </w:rPr>
        <w:t xml:space="preserve">  </w:t>
      </w:r>
      <w:r w:rsidR="00803B89">
        <w:rPr>
          <w:rFonts w:asciiTheme="minorHAnsi" w:hAnsiTheme="minorHAnsi" w:cstheme="minorHAnsi"/>
          <w:bCs/>
          <w:color w:val="202020"/>
          <w:sz w:val="22"/>
          <w:szCs w:val="22"/>
        </w:rPr>
        <w:t xml:space="preserve"> </w:t>
      </w:r>
    </w:p>
    <w:p w14:paraId="0D6C6971" w14:textId="316906BA" w:rsidR="00BA575C" w:rsidRDefault="00A4240A" w:rsidP="00BE43A0">
      <w:pPr>
        <w:spacing w:after="150"/>
        <w:rPr>
          <w:rFonts w:asciiTheme="minorHAnsi" w:hAnsiTheme="minorHAnsi" w:cstheme="minorHAnsi"/>
          <w:bCs/>
          <w:color w:val="202020"/>
          <w:sz w:val="22"/>
          <w:szCs w:val="22"/>
        </w:rPr>
      </w:pPr>
      <w:r>
        <w:rPr>
          <w:rFonts w:asciiTheme="minorHAnsi" w:hAnsiTheme="minorHAnsi" w:cstheme="minorHAnsi"/>
          <w:bCs/>
          <w:color w:val="202020"/>
          <w:sz w:val="22"/>
          <w:szCs w:val="22"/>
        </w:rPr>
        <w:t>Rapid antigen tests</w:t>
      </w:r>
      <w:r w:rsidR="005C16A1">
        <w:rPr>
          <w:rFonts w:asciiTheme="minorHAnsi" w:hAnsiTheme="minorHAnsi" w:cstheme="minorHAnsi"/>
          <w:bCs/>
          <w:color w:val="202020"/>
          <w:sz w:val="22"/>
          <w:szCs w:val="22"/>
        </w:rPr>
        <w:t xml:space="preserve"> are </w:t>
      </w:r>
      <w:r w:rsidR="00987B7D">
        <w:rPr>
          <w:rFonts w:asciiTheme="minorHAnsi" w:hAnsiTheme="minorHAnsi" w:cstheme="minorHAnsi"/>
          <w:bCs/>
          <w:color w:val="202020"/>
          <w:sz w:val="22"/>
          <w:szCs w:val="22"/>
        </w:rPr>
        <w:t xml:space="preserve">most </w:t>
      </w:r>
      <w:r>
        <w:rPr>
          <w:rFonts w:asciiTheme="minorHAnsi" w:hAnsiTheme="minorHAnsi" w:cstheme="minorHAnsi"/>
          <w:bCs/>
          <w:color w:val="202020"/>
          <w:sz w:val="22"/>
          <w:szCs w:val="22"/>
        </w:rPr>
        <w:t xml:space="preserve">useful in </w:t>
      </w:r>
      <w:r w:rsidR="005C16A1">
        <w:rPr>
          <w:rFonts w:asciiTheme="minorHAnsi" w:hAnsiTheme="minorHAnsi" w:cstheme="minorHAnsi"/>
          <w:bCs/>
          <w:color w:val="202020"/>
          <w:sz w:val="22"/>
          <w:szCs w:val="22"/>
        </w:rPr>
        <w:t>diagnosing</w:t>
      </w:r>
      <w:r>
        <w:rPr>
          <w:rFonts w:asciiTheme="minorHAnsi" w:hAnsiTheme="minorHAnsi" w:cstheme="minorHAnsi"/>
          <w:bCs/>
          <w:color w:val="202020"/>
          <w:sz w:val="22"/>
          <w:szCs w:val="22"/>
        </w:rPr>
        <w:t xml:space="preserve"> COVID-19</w:t>
      </w:r>
      <w:r w:rsidR="005C16A1">
        <w:rPr>
          <w:rFonts w:asciiTheme="minorHAnsi" w:hAnsiTheme="minorHAnsi" w:cstheme="minorHAnsi"/>
          <w:bCs/>
          <w:color w:val="202020"/>
          <w:sz w:val="22"/>
          <w:szCs w:val="22"/>
        </w:rPr>
        <w:t xml:space="preserve"> in </w:t>
      </w:r>
      <w:r w:rsidR="00987B7D">
        <w:rPr>
          <w:rFonts w:asciiTheme="minorHAnsi" w:hAnsiTheme="minorHAnsi" w:cstheme="minorHAnsi"/>
          <w:bCs/>
          <w:color w:val="202020"/>
          <w:sz w:val="22"/>
          <w:szCs w:val="22"/>
        </w:rPr>
        <w:t xml:space="preserve">symptomatic </w:t>
      </w:r>
      <w:r w:rsidR="005C16A1">
        <w:rPr>
          <w:rFonts w:asciiTheme="minorHAnsi" w:hAnsiTheme="minorHAnsi" w:cstheme="minorHAnsi"/>
          <w:bCs/>
          <w:color w:val="202020"/>
          <w:sz w:val="22"/>
          <w:szCs w:val="22"/>
        </w:rPr>
        <w:t xml:space="preserve">individuals </w:t>
      </w:r>
      <w:r w:rsidR="00BA575C">
        <w:rPr>
          <w:rFonts w:asciiTheme="minorHAnsi" w:hAnsiTheme="minorHAnsi" w:cstheme="minorHAnsi"/>
          <w:bCs/>
          <w:color w:val="202020"/>
          <w:sz w:val="22"/>
          <w:szCs w:val="22"/>
        </w:rPr>
        <w:t xml:space="preserve">within the first </w:t>
      </w:r>
      <w:r w:rsidR="00987B7D">
        <w:rPr>
          <w:rFonts w:asciiTheme="minorHAnsi" w:hAnsiTheme="minorHAnsi" w:cstheme="minorHAnsi"/>
          <w:bCs/>
          <w:color w:val="202020"/>
          <w:sz w:val="22"/>
          <w:szCs w:val="22"/>
        </w:rPr>
        <w:t>few</w:t>
      </w:r>
      <w:r w:rsidR="00BA575C">
        <w:rPr>
          <w:rFonts w:asciiTheme="minorHAnsi" w:hAnsiTheme="minorHAnsi" w:cstheme="minorHAnsi"/>
          <w:bCs/>
          <w:color w:val="202020"/>
          <w:sz w:val="22"/>
          <w:szCs w:val="22"/>
        </w:rPr>
        <w:t xml:space="preserve"> days of symptom </w:t>
      </w:r>
      <w:r w:rsidR="00941B06">
        <w:rPr>
          <w:rFonts w:asciiTheme="minorHAnsi" w:hAnsiTheme="minorHAnsi" w:cstheme="minorHAnsi"/>
          <w:bCs/>
          <w:color w:val="202020"/>
          <w:sz w:val="22"/>
          <w:szCs w:val="22"/>
        </w:rPr>
        <w:t>onset</w:t>
      </w:r>
      <w:r>
        <w:rPr>
          <w:rFonts w:asciiTheme="minorHAnsi" w:hAnsiTheme="minorHAnsi" w:cstheme="minorHAnsi"/>
          <w:bCs/>
          <w:color w:val="202020"/>
          <w:sz w:val="22"/>
          <w:szCs w:val="22"/>
        </w:rPr>
        <w:t xml:space="preserve">. These tests </w:t>
      </w:r>
      <w:r w:rsidR="00B74A5B">
        <w:rPr>
          <w:rFonts w:asciiTheme="minorHAnsi" w:hAnsiTheme="minorHAnsi" w:cstheme="minorHAnsi"/>
          <w:bCs/>
          <w:color w:val="202020"/>
          <w:sz w:val="22"/>
          <w:szCs w:val="22"/>
        </w:rPr>
        <w:t xml:space="preserve">detect </w:t>
      </w:r>
      <w:r w:rsidR="00803B89">
        <w:rPr>
          <w:rFonts w:asciiTheme="minorHAnsi" w:hAnsiTheme="minorHAnsi" w:cstheme="minorHAnsi"/>
          <w:bCs/>
          <w:color w:val="202020"/>
          <w:sz w:val="22"/>
          <w:szCs w:val="22"/>
        </w:rPr>
        <w:t>the presence of viral proteins</w:t>
      </w:r>
      <w:r w:rsidR="005C16A1">
        <w:rPr>
          <w:rFonts w:asciiTheme="minorHAnsi" w:hAnsiTheme="minorHAnsi" w:cstheme="minorHAnsi"/>
          <w:bCs/>
          <w:color w:val="202020"/>
          <w:sz w:val="22"/>
          <w:szCs w:val="22"/>
        </w:rPr>
        <w:t xml:space="preserve"> and are most </w:t>
      </w:r>
      <w:r w:rsidR="00987B7D">
        <w:rPr>
          <w:rFonts w:asciiTheme="minorHAnsi" w:hAnsiTheme="minorHAnsi" w:cstheme="minorHAnsi"/>
          <w:bCs/>
          <w:color w:val="202020"/>
          <w:sz w:val="22"/>
          <w:szCs w:val="22"/>
        </w:rPr>
        <w:t xml:space="preserve">likely to be positive when </w:t>
      </w:r>
      <w:r w:rsidR="005C16A1">
        <w:rPr>
          <w:rFonts w:asciiTheme="minorHAnsi" w:hAnsiTheme="minorHAnsi" w:cstheme="minorHAnsi"/>
          <w:bCs/>
          <w:color w:val="202020"/>
          <w:sz w:val="22"/>
          <w:szCs w:val="22"/>
        </w:rPr>
        <w:t xml:space="preserve">individuals </w:t>
      </w:r>
      <w:r w:rsidR="00987B7D">
        <w:rPr>
          <w:rFonts w:asciiTheme="minorHAnsi" w:hAnsiTheme="minorHAnsi" w:cstheme="minorHAnsi"/>
          <w:bCs/>
          <w:color w:val="202020"/>
          <w:sz w:val="22"/>
          <w:szCs w:val="22"/>
        </w:rPr>
        <w:t>have</w:t>
      </w:r>
      <w:r w:rsidR="005C16A1">
        <w:rPr>
          <w:rFonts w:asciiTheme="minorHAnsi" w:hAnsiTheme="minorHAnsi" w:cstheme="minorHAnsi"/>
          <w:bCs/>
          <w:color w:val="202020"/>
          <w:sz w:val="22"/>
          <w:szCs w:val="22"/>
        </w:rPr>
        <w:t xml:space="preserve"> a </w:t>
      </w:r>
      <w:r w:rsidR="005376FC">
        <w:rPr>
          <w:rFonts w:asciiTheme="minorHAnsi" w:hAnsiTheme="minorHAnsi" w:cstheme="minorHAnsi"/>
          <w:bCs/>
          <w:color w:val="202020"/>
          <w:sz w:val="22"/>
          <w:szCs w:val="22"/>
        </w:rPr>
        <w:t>high level of virus in respiratory secretions</w:t>
      </w:r>
      <w:r w:rsidR="005C16A1">
        <w:rPr>
          <w:rFonts w:asciiTheme="minorHAnsi" w:hAnsiTheme="minorHAnsi" w:cstheme="minorHAnsi"/>
          <w:bCs/>
          <w:color w:val="202020"/>
          <w:sz w:val="22"/>
          <w:szCs w:val="22"/>
        </w:rPr>
        <w:t xml:space="preserve">. </w:t>
      </w:r>
      <w:r>
        <w:rPr>
          <w:rFonts w:asciiTheme="minorHAnsi" w:hAnsiTheme="minorHAnsi" w:cstheme="minorHAnsi"/>
          <w:bCs/>
          <w:color w:val="202020"/>
          <w:sz w:val="22"/>
          <w:szCs w:val="22"/>
        </w:rPr>
        <w:t>They</w:t>
      </w:r>
      <w:r w:rsidR="005376FC">
        <w:rPr>
          <w:rFonts w:asciiTheme="minorHAnsi" w:hAnsiTheme="minorHAnsi" w:cstheme="minorHAnsi"/>
          <w:bCs/>
          <w:color w:val="202020"/>
          <w:sz w:val="22"/>
          <w:szCs w:val="22"/>
        </w:rPr>
        <w:t xml:space="preserve"> </w:t>
      </w:r>
      <w:r w:rsidR="008A25D9">
        <w:rPr>
          <w:rFonts w:asciiTheme="minorHAnsi" w:hAnsiTheme="minorHAnsi" w:cstheme="minorHAnsi"/>
          <w:bCs/>
          <w:color w:val="202020"/>
          <w:sz w:val="22"/>
          <w:szCs w:val="22"/>
        </w:rPr>
        <w:t xml:space="preserve">are faster to </w:t>
      </w:r>
      <w:r w:rsidR="00987B7D">
        <w:rPr>
          <w:rFonts w:asciiTheme="minorHAnsi" w:hAnsiTheme="minorHAnsi" w:cstheme="minorHAnsi"/>
          <w:bCs/>
          <w:color w:val="202020"/>
          <w:sz w:val="22"/>
          <w:szCs w:val="22"/>
        </w:rPr>
        <w:t xml:space="preserve">perform </w:t>
      </w:r>
      <w:r>
        <w:rPr>
          <w:rFonts w:asciiTheme="minorHAnsi" w:hAnsiTheme="minorHAnsi" w:cstheme="minorHAnsi"/>
          <w:bCs/>
          <w:color w:val="202020"/>
          <w:sz w:val="22"/>
          <w:szCs w:val="22"/>
        </w:rPr>
        <w:t>but</w:t>
      </w:r>
      <w:r w:rsidR="00B1013C">
        <w:rPr>
          <w:rFonts w:asciiTheme="minorHAnsi" w:hAnsiTheme="minorHAnsi" w:cstheme="minorHAnsi"/>
          <w:bCs/>
          <w:color w:val="202020"/>
          <w:sz w:val="22"/>
          <w:szCs w:val="22"/>
        </w:rPr>
        <w:t xml:space="preserve"> </w:t>
      </w:r>
      <w:r w:rsidR="00B1013C" w:rsidRPr="00FC134B">
        <w:rPr>
          <w:rFonts w:asciiTheme="minorHAnsi" w:hAnsiTheme="minorHAnsi" w:cstheme="minorHAnsi"/>
          <w:color w:val="202020"/>
          <w:sz w:val="22"/>
          <w:szCs w:val="22"/>
          <w:u w:val="single"/>
        </w:rPr>
        <w:t>less sensitive</w:t>
      </w:r>
      <w:r w:rsidR="00626D64" w:rsidRPr="00FC134B">
        <w:rPr>
          <w:rFonts w:asciiTheme="minorHAnsi" w:hAnsiTheme="minorHAnsi" w:cstheme="minorHAnsi"/>
          <w:color w:val="202020"/>
          <w:sz w:val="22"/>
          <w:szCs w:val="22"/>
          <w:u w:val="single"/>
        </w:rPr>
        <w:t xml:space="preserve"> and less specific</w:t>
      </w:r>
      <w:r w:rsidR="00841AAC">
        <w:rPr>
          <w:rFonts w:asciiTheme="minorHAnsi" w:hAnsiTheme="minorHAnsi" w:cstheme="minorHAnsi"/>
          <w:bCs/>
          <w:color w:val="202020"/>
          <w:sz w:val="22"/>
          <w:szCs w:val="22"/>
        </w:rPr>
        <w:t xml:space="preserve"> than </w:t>
      </w:r>
      <w:r w:rsidR="00987B7D">
        <w:rPr>
          <w:rFonts w:asciiTheme="minorHAnsi" w:hAnsiTheme="minorHAnsi" w:cstheme="minorHAnsi"/>
          <w:bCs/>
          <w:color w:val="202020"/>
          <w:sz w:val="22"/>
          <w:szCs w:val="22"/>
        </w:rPr>
        <w:t>NAATs</w:t>
      </w:r>
      <w:r w:rsidR="00841AAC">
        <w:rPr>
          <w:rFonts w:asciiTheme="minorHAnsi" w:hAnsiTheme="minorHAnsi" w:cstheme="minorHAnsi"/>
          <w:bCs/>
          <w:color w:val="202020"/>
          <w:sz w:val="22"/>
          <w:szCs w:val="22"/>
        </w:rPr>
        <w:t xml:space="preserve">. </w:t>
      </w:r>
      <w:r w:rsidR="00841AAC" w:rsidRPr="00841AAC">
        <w:rPr>
          <w:rFonts w:asciiTheme="minorHAnsi" w:hAnsiTheme="minorHAnsi" w:cstheme="minorHAnsi"/>
          <w:bCs/>
          <w:color w:val="202020"/>
          <w:sz w:val="22"/>
          <w:szCs w:val="22"/>
        </w:rPr>
        <w:t xml:space="preserve">When using an antigen test to diagnose whether an individual has COVID-19, results are considered presumptive and </w:t>
      </w:r>
      <w:r w:rsidR="00136A08">
        <w:rPr>
          <w:rFonts w:asciiTheme="minorHAnsi" w:hAnsiTheme="minorHAnsi" w:cstheme="minorHAnsi"/>
          <w:bCs/>
          <w:color w:val="202020"/>
          <w:sz w:val="22"/>
          <w:szCs w:val="22"/>
        </w:rPr>
        <w:t>may need to</w:t>
      </w:r>
      <w:r w:rsidR="005C16A1">
        <w:rPr>
          <w:rFonts w:asciiTheme="minorHAnsi" w:hAnsiTheme="minorHAnsi" w:cstheme="minorHAnsi"/>
          <w:bCs/>
          <w:color w:val="202020"/>
          <w:sz w:val="22"/>
          <w:szCs w:val="22"/>
        </w:rPr>
        <w:t xml:space="preserve"> </w:t>
      </w:r>
      <w:r w:rsidR="00841AAC" w:rsidRPr="00841AAC">
        <w:rPr>
          <w:rFonts w:asciiTheme="minorHAnsi" w:hAnsiTheme="minorHAnsi" w:cstheme="minorHAnsi"/>
          <w:bCs/>
          <w:color w:val="202020"/>
          <w:sz w:val="22"/>
          <w:szCs w:val="22"/>
        </w:rPr>
        <w:t xml:space="preserve">be confirmed by a </w:t>
      </w:r>
      <w:r w:rsidR="00987B7D">
        <w:rPr>
          <w:rFonts w:asciiTheme="minorHAnsi" w:hAnsiTheme="minorHAnsi" w:cstheme="minorHAnsi"/>
          <w:bCs/>
          <w:color w:val="202020"/>
          <w:sz w:val="22"/>
          <w:szCs w:val="22"/>
        </w:rPr>
        <w:t>NAAT</w:t>
      </w:r>
      <w:r w:rsidR="00841AAC" w:rsidRPr="00841AAC">
        <w:rPr>
          <w:rFonts w:asciiTheme="minorHAnsi" w:hAnsiTheme="minorHAnsi" w:cstheme="minorHAnsi"/>
          <w:bCs/>
          <w:color w:val="202020"/>
          <w:sz w:val="22"/>
          <w:szCs w:val="22"/>
        </w:rPr>
        <w:t xml:space="preserve">. </w:t>
      </w:r>
      <w:r w:rsidR="00136A08">
        <w:rPr>
          <w:rFonts w:asciiTheme="minorHAnsi" w:hAnsiTheme="minorHAnsi" w:cstheme="minorHAnsi"/>
          <w:bCs/>
          <w:color w:val="202020"/>
          <w:sz w:val="22"/>
          <w:szCs w:val="22"/>
        </w:rPr>
        <w:t xml:space="preserve"> </w:t>
      </w:r>
      <w:r>
        <w:rPr>
          <w:rFonts w:asciiTheme="minorHAnsi" w:hAnsiTheme="minorHAnsi" w:cstheme="minorHAnsi"/>
          <w:bCs/>
          <w:color w:val="202020"/>
          <w:sz w:val="22"/>
          <w:szCs w:val="22"/>
        </w:rPr>
        <w:t>S</w:t>
      </w:r>
      <w:r w:rsidR="00136A08">
        <w:rPr>
          <w:rFonts w:asciiTheme="minorHAnsi" w:hAnsiTheme="minorHAnsi" w:cstheme="minorHAnsi"/>
          <w:bCs/>
          <w:color w:val="202020"/>
          <w:sz w:val="22"/>
          <w:szCs w:val="22"/>
        </w:rPr>
        <w:t xml:space="preserve">ituations </w:t>
      </w:r>
      <w:r w:rsidR="00987B7D">
        <w:rPr>
          <w:rFonts w:asciiTheme="minorHAnsi" w:hAnsiTheme="minorHAnsi" w:cstheme="minorHAnsi"/>
          <w:bCs/>
          <w:color w:val="202020"/>
          <w:sz w:val="22"/>
          <w:szCs w:val="22"/>
        </w:rPr>
        <w:t>in which</w:t>
      </w:r>
      <w:r>
        <w:rPr>
          <w:rFonts w:asciiTheme="minorHAnsi" w:hAnsiTheme="minorHAnsi" w:cstheme="minorHAnsi"/>
          <w:bCs/>
          <w:color w:val="202020"/>
          <w:sz w:val="22"/>
          <w:szCs w:val="22"/>
        </w:rPr>
        <w:t xml:space="preserve"> a confirmatory NAAT </w:t>
      </w:r>
      <w:r w:rsidR="00987B7D">
        <w:rPr>
          <w:rFonts w:asciiTheme="minorHAnsi" w:hAnsiTheme="minorHAnsi" w:cstheme="minorHAnsi"/>
          <w:bCs/>
          <w:color w:val="202020"/>
          <w:sz w:val="22"/>
          <w:szCs w:val="22"/>
        </w:rPr>
        <w:t xml:space="preserve">should be considered </w:t>
      </w:r>
      <w:r w:rsidR="00136A08">
        <w:rPr>
          <w:rFonts w:asciiTheme="minorHAnsi" w:hAnsiTheme="minorHAnsi" w:cstheme="minorHAnsi"/>
          <w:bCs/>
          <w:color w:val="202020"/>
          <w:sz w:val="22"/>
          <w:szCs w:val="22"/>
        </w:rPr>
        <w:t xml:space="preserve">include a negative </w:t>
      </w:r>
      <w:r w:rsidR="005C16A1">
        <w:rPr>
          <w:rFonts w:asciiTheme="minorHAnsi" w:hAnsiTheme="minorHAnsi" w:cstheme="minorHAnsi"/>
          <w:bCs/>
          <w:color w:val="202020"/>
          <w:sz w:val="22"/>
          <w:szCs w:val="22"/>
        </w:rPr>
        <w:t xml:space="preserve">antigen </w:t>
      </w:r>
      <w:r w:rsidR="00136A08">
        <w:rPr>
          <w:rFonts w:asciiTheme="minorHAnsi" w:hAnsiTheme="minorHAnsi" w:cstheme="minorHAnsi"/>
          <w:bCs/>
          <w:color w:val="202020"/>
          <w:sz w:val="22"/>
          <w:szCs w:val="22"/>
        </w:rPr>
        <w:t xml:space="preserve">test in a symptomatic person or a positive </w:t>
      </w:r>
      <w:r w:rsidR="005C16A1">
        <w:rPr>
          <w:rFonts w:asciiTheme="minorHAnsi" w:hAnsiTheme="minorHAnsi" w:cstheme="minorHAnsi"/>
          <w:bCs/>
          <w:color w:val="202020"/>
          <w:sz w:val="22"/>
          <w:szCs w:val="22"/>
        </w:rPr>
        <w:t xml:space="preserve">antigen </w:t>
      </w:r>
      <w:r w:rsidR="00136A08">
        <w:rPr>
          <w:rFonts w:asciiTheme="minorHAnsi" w:hAnsiTheme="minorHAnsi" w:cstheme="minorHAnsi"/>
          <w:bCs/>
          <w:color w:val="202020"/>
          <w:sz w:val="22"/>
          <w:szCs w:val="22"/>
        </w:rPr>
        <w:t>test in an asymptomatic person</w:t>
      </w:r>
      <w:r w:rsidR="00504961">
        <w:rPr>
          <w:rFonts w:asciiTheme="minorHAnsi" w:hAnsiTheme="minorHAnsi" w:cstheme="minorHAnsi"/>
          <w:bCs/>
          <w:color w:val="202020"/>
          <w:sz w:val="22"/>
          <w:szCs w:val="22"/>
        </w:rPr>
        <w:t xml:space="preserve"> without a known exposure</w:t>
      </w:r>
      <w:r w:rsidR="00136A08">
        <w:rPr>
          <w:rFonts w:asciiTheme="minorHAnsi" w:hAnsiTheme="minorHAnsi" w:cstheme="minorHAnsi"/>
          <w:bCs/>
          <w:color w:val="202020"/>
          <w:sz w:val="22"/>
          <w:szCs w:val="22"/>
        </w:rPr>
        <w:t>. Individuals with a clinical syndrome consistent with COVID-19 and who test positive via the antigen assay do not require a confirmatory NAAT.</w:t>
      </w:r>
    </w:p>
    <w:p w14:paraId="63A40944" w14:textId="1F6121C8" w:rsidR="00841AAC" w:rsidRDefault="00941B06">
      <w:pPr>
        <w:spacing w:before="240" w:after="240"/>
        <w:rPr>
          <w:rFonts w:asciiTheme="minorHAnsi" w:hAnsiTheme="minorHAnsi" w:cstheme="minorHAnsi"/>
          <w:color w:val="202020"/>
          <w:sz w:val="22"/>
          <w:szCs w:val="22"/>
        </w:rPr>
      </w:pPr>
      <w:r>
        <w:rPr>
          <w:rFonts w:asciiTheme="minorHAnsi" w:hAnsiTheme="minorHAnsi" w:cstheme="minorHAnsi"/>
          <w:color w:val="202020"/>
          <w:sz w:val="22"/>
          <w:szCs w:val="22"/>
        </w:rPr>
        <w:t>Serologic</w:t>
      </w:r>
      <w:r w:rsidR="00BA575C" w:rsidRPr="007262E0">
        <w:rPr>
          <w:rFonts w:asciiTheme="minorHAnsi" w:hAnsiTheme="minorHAnsi" w:cstheme="minorHAnsi"/>
          <w:color w:val="202020"/>
          <w:sz w:val="22"/>
          <w:szCs w:val="22"/>
        </w:rPr>
        <w:t xml:space="preserve"> antibody tests check for SARS-CoV-2 antibodies</w:t>
      </w:r>
      <w:r>
        <w:rPr>
          <w:rFonts w:asciiTheme="minorHAnsi" w:hAnsiTheme="minorHAnsi" w:cstheme="minorHAnsi"/>
          <w:color w:val="202020"/>
          <w:sz w:val="22"/>
          <w:szCs w:val="22"/>
        </w:rPr>
        <w:t>. These tests are</w:t>
      </w:r>
      <w:r w:rsidR="00BA575C" w:rsidRPr="00A3539B">
        <w:rPr>
          <w:rFonts w:asciiTheme="minorHAnsi" w:hAnsiTheme="minorHAnsi" w:cstheme="minorHAnsi"/>
          <w:bCs/>
          <w:color w:val="202020"/>
          <w:sz w:val="22"/>
          <w:szCs w:val="22"/>
        </w:rPr>
        <w:t xml:space="preserve"> often part of </w:t>
      </w:r>
      <w:r>
        <w:rPr>
          <w:rFonts w:asciiTheme="minorHAnsi" w:hAnsiTheme="minorHAnsi" w:cstheme="minorHAnsi"/>
          <w:bCs/>
          <w:color w:val="202020"/>
          <w:sz w:val="22"/>
          <w:szCs w:val="22"/>
        </w:rPr>
        <w:t xml:space="preserve">a </w:t>
      </w:r>
      <w:r w:rsidR="00BA575C" w:rsidRPr="00A3539B">
        <w:rPr>
          <w:rFonts w:asciiTheme="minorHAnsi" w:hAnsiTheme="minorHAnsi" w:cstheme="minorHAnsi"/>
          <w:bCs/>
          <w:color w:val="202020"/>
          <w:sz w:val="22"/>
          <w:szCs w:val="22"/>
        </w:rPr>
        <w:t>diagnostic testing algorithm for suspect cases of multisystem inflammatory syndrome</w:t>
      </w:r>
      <w:r>
        <w:rPr>
          <w:rFonts w:asciiTheme="minorHAnsi" w:hAnsiTheme="minorHAnsi" w:cstheme="minorHAnsi"/>
          <w:bCs/>
          <w:color w:val="202020"/>
          <w:sz w:val="22"/>
          <w:szCs w:val="22"/>
        </w:rPr>
        <w:t xml:space="preserve"> but are </w:t>
      </w:r>
      <w:r w:rsidR="00504961">
        <w:rPr>
          <w:rFonts w:asciiTheme="minorHAnsi" w:hAnsiTheme="minorHAnsi" w:cstheme="minorHAnsi"/>
          <w:bCs/>
          <w:color w:val="202020"/>
          <w:sz w:val="22"/>
          <w:szCs w:val="22"/>
        </w:rPr>
        <w:t xml:space="preserve">otherwise </w:t>
      </w:r>
      <w:r>
        <w:rPr>
          <w:rFonts w:asciiTheme="minorHAnsi" w:hAnsiTheme="minorHAnsi" w:cstheme="minorHAnsi"/>
          <w:bCs/>
          <w:color w:val="202020"/>
          <w:sz w:val="22"/>
          <w:szCs w:val="22"/>
        </w:rPr>
        <w:t>rarely indicated</w:t>
      </w:r>
      <w:r w:rsidR="00504961">
        <w:rPr>
          <w:rFonts w:asciiTheme="minorHAnsi" w:hAnsiTheme="minorHAnsi" w:cstheme="minorHAnsi"/>
          <w:bCs/>
          <w:color w:val="202020"/>
          <w:sz w:val="22"/>
          <w:szCs w:val="22"/>
        </w:rPr>
        <w:t xml:space="preserve"> for diagnostic purposes</w:t>
      </w:r>
      <w:r w:rsidR="00BA575C">
        <w:rPr>
          <w:rFonts w:asciiTheme="minorHAnsi" w:hAnsiTheme="minorHAnsi" w:cstheme="minorHAnsi"/>
          <w:color w:val="202020"/>
          <w:sz w:val="22"/>
          <w:szCs w:val="22"/>
        </w:rPr>
        <w:t xml:space="preserve">. </w:t>
      </w:r>
      <w:r w:rsidR="00BA575C" w:rsidRPr="00FC134B">
        <w:rPr>
          <w:rFonts w:asciiTheme="minorHAnsi" w:hAnsiTheme="minorHAnsi" w:cstheme="minorHAnsi"/>
          <w:color w:val="202020"/>
          <w:sz w:val="22"/>
          <w:szCs w:val="22"/>
        </w:rPr>
        <w:t xml:space="preserve">If an antibody test is performed, it is recommended that healthcare providers order a </w:t>
      </w:r>
      <w:r w:rsidR="00504961">
        <w:rPr>
          <w:rFonts w:asciiTheme="minorHAnsi" w:hAnsiTheme="minorHAnsi" w:cstheme="minorHAnsi"/>
          <w:color w:val="202020"/>
          <w:sz w:val="22"/>
          <w:szCs w:val="22"/>
        </w:rPr>
        <w:t>NAAT</w:t>
      </w:r>
      <w:r w:rsidR="00BA575C" w:rsidRPr="00FC134B">
        <w:rPr>
          <w:rFonts w:asciiTheme="minorHAnsi" w:hAnsiTheme="minorHAnsi" w:cstheme="minorHAnsi"/>
          <w:color w:val="202020"/>
          <w:sz w:val="22"/>
          <w:szCs w:val="22"/>
        </w:rPr>
        <w:t xml:space="preserve"> at the same time. At this time, antibody testing should not be used to guide release from isolation or for </w:t>
      </w:r>
      <w:r w:rsidR="00BA575C" w:rsidRPr="00190931">
        <w:rPr>
          <w:rFonts w:asciiTheme="minorHAnsi" w:hAnsiTheme="minorHAnsi" w:cstheme="minorHAnsi"/>
          <w:color w:val="202020"/>
          <w:sz w:val="22"/>
          <w:szCs w:val="22"/>
        </w:rPr>
        <w:t>return-to-work</w:t>
      </w:r>
      <w:r w:rsidR="00BA575C" w:rsidRPr="00FC134B">
        <w:rPr>
          <w:rFonts w:asciiTheme="minorHAnsi" w:hAnsiTheme="minorHAnsi" w:cstheme="minorHAnsi"/>
          <w:color w:val="202020"/>
          <w:sz w:val="22"/>
          <w:szCs w:val="22"/>
        </w:rPr>
        <w:t xml:space="preserve"> purposes. </w:t>
      </w:r>
    </w:p>
    <w:p w14:paraId="6C59CB39" w14:textId="048080C2" w:rsidR="00987B7D" w:rsidRDefault="00987B7D">
      <w:pPr>
        <w:spacing w:before="240" w:after="240"/>
        <w:rPr>
          <w:rFonts w:asciiTheme="minorHAnsi" w:hAnsiTheme="minorHAnsi" w:cstheme="minorHAnsi"/>
          <w:color w:val="202020"/>
          <w:sz w:val="22"/>
          <w:szCs w:val="22"/>
        </w:rPr>
      </w:pPr>
      <w:r>
        <w:rPr>
          <w:rFonts w:asciiTheme="minorHAnsi" w:hAnsiTheme="minorHAnsi" w:cstheme="minorHAnsi"/>
          <w:color w:val="202020"/>
          <w:sz w:val="22"/>
          <w:szCs w:val="22"/>
        </w:rPr>
        <w:t xml:space="preserve">Performance characteristics for specific tests vary between manufacturers and real-world performance </w:t>
      </w:r>
      <w:r w:rsidR="008E5D54">
        <w:rPr>
          <w:rFonts w:asciiTheme="minorHAnsi" w:hAnsiTheme="minorHAnsi" w:cstheme="minorHAnsi"/>
          <w:color w:val="202020"/>
          <w:sz w:val="22"/>
          <w:szCs w:val="22"/>
        </w:rPr>
        <w:t xml:space="preserve">may or may not match data from controlled settings used to obtain an FDA </w:t>
      </w:r>
      <w:r w:rsidR="00BD1D6C">
        <w:rPr>
          <w:rFonts w:asciiTheme="minorHAnsi" w:hAnsiTheme="minorHAnsi" w:cstheme="minorHAnsi"/>
          <w:color w:val="202020"/>
          <w:sz w:val="22"/>
          <w:szCs w:val="22"/>
        </w:rPr>
        <w:t>Emergency Use Authorization (</w:t>
      </w:r>
      <w:r w:rsidR="008E5D54">
        <w:rPr>
          <w:rFonts w:asciiTheme="minorHAnsi" w:hAnsiTheme="minorHAnsi" w:cstheme="minorHAnsi"/>
          <w:color w:val="202020"/>
          <w:sz w:val="22"/>
          <w:szCs w:val="22"/>
        </w:rPr>
        <w:t>EUA</w:t>
      </w:r>
      <w:r w:rsidR="00BD1D6C">
        <w:rPr>
          <w:rFonts w:asciiTheme="minorHAnsi" w:hAnsiTheme="minorHAnsi" w:cstheme="minorHAnsi"/>
          <w:color w:val="202020"/>
          <w:sz w:val="22"/>
          <w:szCs w:val="22"/>
        </w:rPr>
        <w:t>)</w:t>
      </w:r>
      <w:r w:rsidR="008E5D54">
        <w:rPr>
          <w:rFonts w:asciiTheme="minorHAnsi" w:hAnsiTheme="minorHAnsi" w:cstheme="minorHAnsi"/>
          <w:color w:val="202020"/>
          <w:sz w:val="22"/>
          <w:szCs w:val="22"/>
        </w:rPr>
        <w:t>. Providers should assess available data when choosing a test.</w:t>
      </w:r>
    </w:p>
    <w:p w14:paraId="33F0F6ED" w14:textId="77777777" w:rsidR="008E5D54" w:rsidRPr="00093FA1" w:rsidRDefault="00DB1C84" w:rsidP="00FC134B">
      <w:pPr>
        <w:pStyle w:val="ListParagraph"/>
        <w:numPr>
          <w:ilvl w:val="0"/>
          <w:numId w:val="34"/>
        </w:numPr>
        <w:rPr>
          <w:rFonts w:asciiTheme="minorHAnsi" w:hAnsiTheme="minorHAnsi" w:cstheme="minorHAnsi"/>
          <w:bCs/>
          <w:color w:val="202020"/>
          <w:sz w:val="22"/>
          <w:szCs w:val="22"/>
        </w:rPr>
      </w:pPr>
      <w:hyperlink r:id="rId11" w:history="1">
        <w:r w:rsidR="008E5D54" w:rsidRPr="00093FA1">
          <w:rPr>
            <w:rStyle w:val="Hyperlink"/>
            <w:rFonts w:asciiTheme="minorHAnsi" w:hAnsiTheme="minorHAnsi" w:cstheme="minorHAnsi"/>
            <w:bCs/>
            <w:sz w:val="22"/>
            <w:szCs w:val="22"/>
          </w:rPr>
          <w:t>https://www.fda.gov/medical-devices/coronavirus-disease-2019-covid-19-emergency-use-authorizations-medical-devices/in-vitro-diagnostics-euas-molecular-diagnostic-tests-sars-cov-2</w:t>
        </w:r>
      </w:hyperlink>
    </w:p>
    <w:p w14:paraId="3E3DBB30" w14:textId="77777777" w:rsidR="008E5D54" w:rsidRDefault="008E5D54" w:rsidP="008E5D54">
      <w:pPr>
        <w:rPr>
          <w:rFonts w:asciiTheme="minorHAnsi" w:hAnsiTheme="minorHAnsi" w:cstheme="minorHAnsi"/>
          <w:bCs/>
          <w:color w:val="202020"/>
          <w:sz w:val="22"/>
          <w:szCs w:val="22"/>
        </w:rPr>
      </w:pPr>
    </w:p>
    <w:p w14:paraId="6142F927" w14:textId="77777777" w:rsidR="008E5D54" w:rsidRPr="00093FA1" w:rsidRDefault="00DB1C84" w:rsidP="00FC134B">
      <w:pPr>
        <w:pStyle w:val="ListParagraph"/>
        <w:numPr>
          <w:ilvl w:val="0"/>
          <w:numId w:val="34"/>
        </w:numPr>
        <w:rPr>
          <w:rFonts w:asciiTheme="minorHAnsi" w:hAnsiTheme="minorHAnsi" w:cstheme="minorHAnsi"/>
          <w:bCs/>
          <w:color w:val="202020"/>
          <w:sz w:val="22"/>
          <w:szCs w:val="22"/>
        </w:rPr>
      </w:pPr>
      <w:hyperlink r:id="rId12" w:history="1">
        <w:r w:rsidR="008E5D54" w:rsidRPr="00093FA1">
          <w:rPr>
            <w:rStyle w:val="Hyperlink"/>
            <w:rFonts w:asciiTheme="minorHAnsi" w:hAnsiTheme="minorHAnsi" w:cstheme="minorHAnsi"/>
            <w:bCs/>
            <w:sz w:val="22"/>
            <w:szCs w:val="22"/>
          </w:rPr>
          <w:t>https://www.fda.gov/medical-devices/coronavirus-disease-2019-covid-19-emergency-use-authorizations-medical-devices/in-vitro-diagnostics-euas-antigen-diagnostic-tests-sars-cov-2</w:t>
        </w:r>
      </w:hyperlink>
    </w:p>
    <w:p w14:paraId="615D2967" w14:textId="77777777" w:rsidR="008E5D54" w:rsidRDefault="008E5D54" w:rsidP="008E5D54">
      <w:pPr>
        <w:rPr>
          <w:rFonts w:asciiTheme="minorHAnsi" w:hAnsiTheme="minorHAnsi" w:cstheme="minorHAnsi"/>
          <w:bCs/>
          <w:color w:val="202020"/>
          <w:sz w:val="22"/>
          <w:szCs w:val="22"/>
        </w:rPr>
      </w:pPr>
    </w:p>
    <w:p w14:paraId="4E0A4542" w14:textId="77777777" w:rsidR="008E5D54" w:rsidRDefault="00DB1C84" w:rsidP="00FC134B">
      <w:pPr>
        <w:pStyle w:val="ListParagraph"/>
        <w:numPr>
          <w:ilvl w:val="0"/>
          <w:numId w:val="34"/>
        </w:numPr>
        <w:rPr>
          <w:rStyle w:val="Hyperlink"/>
        </w:rPr>
      </w:pPr>
      <w:hyperlink r:id="rId13" w:history="1">
        <w:r w:rsidR="008E5D54" w:rsidRPr="00093FA1">
          <w:rPr>
            <w:rStyle w:val="Hyperlink"/>
            <w:rFonts w:asciiTheme="minorHAnsi" w:hAnsiTheme="minorHAnsi" w:cstheme="minorHAnsi"/>
            <w:bCs/>
            <w:sz w:val="22"/>
            <w:szCs w:val="22"/>
          </w:rPr>
          <w:t>https://www.fda.gov/medical-devices/coronavirus-disease-2019-covid-19-emergency-use-authorizations-medical-devices/in-vitro-diagnostics-euas-serology-and-other-adaptive-immune-response-tests-sars-cov-2</w:t>
        </w:r>
      </w:hyperlink>
    </w:p>
    <w:p w14:paraId="7B0FE3F1" w14:textId="77777777" w:rsidR="008E5D54" w:rsidRDefault="008E5D54" w:rsidP="008E5D54">
      <w:pPr>
        <w:rPr>
          <w:rStyle w:val="Hyperlink"/>
          <w:rFonts w:asciiTheme="minorHAnsi" w:hAnsiTheme="minorHAnsi" w:cstheme="minorHAnsi"/>
          <w:bCs/>
          <w:sz w:val="22"/>
          <w:szCs w:val="22"/>
        </w:rPr>
      </w:pPr>
    </w:p>
    <w:p w14:paraId="4AC0B5F8" w14:textId="63459608" w:rsidR="008E5D54" w:rsidRPr="00FC134B" w:rsidRDefault="001D2DC9" w:rsidP="008E5D54">
      <w:pPr>
        <w:rPr>
          <w:rFonts w:asciiTheme="minorHAnsi" w:hAnsiTheme="minorHAnsi" w:cstheme="minorHAnsi"/>
          <w:color w:val="202020"/>
          <w:sz w:val="22"/>
          <w:szCs w:val="22"/>
        </w:rPr>
      </w:pPr>
      <w:r w:rsidRPr="00FC134B">
        <w:rPr>
          <w:rFonts w:asciiTheme="minorHAnsi" w:hAnsiTheme="minorHAnsi" w:cstheme="minorHAnsi"/>
          <w:color w:val="202020"/>
          <w:sz w:val="22"/>
          <w:szCs w:val="22"/>
        </w:rPr>
        <w:t xml:space="preserve">Additional data on </w:t>
      </w:r>
      <w:r w:rsidR="008E5D54" w:rsidRPr="00FC134B">
        <w:rPr>
          <w:rFonts w:asciiTheme="minorHAnsi" w:hAnsiTheme="minorHAnsi" w:cstheme="minorHAnsi"/>
          <w:color w:val="202020"/>
          <w:sz w:val="22"/>
          <w:szCs w:val="22"/>
        </w:rPr>
        <w:t>the performance of the Abbott BinaxNOW antigen test at a Massachusetts testing site</w:t>
      </w:r>
      <w:r w:rsidRPr="00FC134B">
        <w:rPr>
          <w:rFonts w:asciiTheme="minorHAnsi" w:hAnsiTheme="minorHAnsi" w:cstheme="minorHAnsi"/>
          <w:color w:val="202020"/>
          <w:sz w:val="22"/>
          <w:szCs w:val="22"/>
        </w:rPr>
        <w:t xml:space="preserve"> </w:t>
      </w:r>
      <w:r w:rsidR="008E5D54" w:rsidRPr="00FC134B">
        <w:rPr>
          <w:rFonts w:asciiTheme="minorHAnsi" w:hAnsiTheme="minorHAnsi" w:cstheme="minorHAnsi"/>
          <w:color w:val="202020"/>
          <w:sz w:val="22"/>
          <w:szCs w:val="22"/>
        </w:rPr>
        <w:t xml:space="preserve"> is available online at </w:t>
      </w:r>
      <w:hyperlink r:id="rId14" w:history="1">
        <w:r w:rsidR="00E45D7F" w:rsidRPr="00FC134B">
          <w:rPr>
            <w:rStyle w:val="Hyperlink"/>
            <w:rFonts w:asciiTheme="minorHAnsi" w:hAnsiTheme="minorHAnsi" w:cstheme="minorHAnsi"/>
            <w:sz w:val="22"/>
            <w:szCs w:val="22"/>
          </w:rPr>
          <w:t>https://journals.asm.org/doi/full/10.1128/JCM.00083-21</w:t>
        </w:r>
      </w:hyperlink>
      <w:r w:rsidR="00E45D7F" w:rsidRPr="00FC134B">
        <w:rPr>
          <w:rFonts w:asciiTheme="minorHAnsi" w:hAnsiTheme="minorHAnsi" w:cstheme="minorHAnsi"/>
          <w:color w:val="202020"/>
          <w:sz w:val="22"/>
          <w:szCs w:val="22"/>
        </w:rPr>
        <w:t>.</w:t>
      </w:r>
    </w:p>
    <w:p w14:paraId="786869DD" w14:textId="77777777" w:rsidR="008E5D54" w:rsidRPr="00FC134B" w:rsidRDefault="008E5D54" w:rsidP="00FC134B">
      <w:pPr>
        <w:rPr>
          <w:rFonts w:asciiTheme="minorHAnsi" w:hAnsiTheme="minorHAnsi" w:cstheme="minorHAnsi"/>
          <w:color w:val="202020"/>
          <w:sz w:val="22"/>
          <w:szCs w:val="22"/>
        </w:rPr>
      </w:pPr>
    </w:p>
    <w:p w14:paraId="58291759" w14:textId="7F99A5B7" w:rsidR="008E5D54" w:rsidRDefault="00D35786" w:rsidP="00841AAC">
      <w:pPr>
        <w:spacing w:after="150"/>
        <w:rPr>
          <w:rFonts w:asciiTheme="minorHAnsi" w:hAnsiTheme="minorHAnsi" w:cstheme="minorHAnsi"/>
          <w:color w:val="202020"/>
          <w:sz w:val="22"/>
          <w:szCs w:val="22"/>
        </w:rPr>
      </w:pPr>
      <w:r w:rsidRPr="00801687">
        <w:rPr>
          <w:rFonts w:asciiTheme="minorHAnsi" w:hAnsiTheme="minorHAnsi" w:cstheme="minorHAnsi"/>
          <w:b/>
          <w:i/>
          <w:iCs/>
          <w:color w:val="202020"/>
          <w:sz w:val="22"/>
          <w:szCs w:val="22"/>
        </w:rPr>
        <w:t xml:space="preserve">Symptomatic </w:t>
      </w:r>
      <w:r w:rsidR="008E5D54">
        <w:rPr>
          <w:rFonts w:asciiTheme="minorHAnsi" w:hAnsiTheme="minorHAnsi" w:cstheme="minorHAnsi"/>
          <w:b/>
          <w:i/>
          <w:iCs/>
          <w:color w:val="202020"/>
          <w:sz w:val="22"/>
          <w:szCs w:val="22"/>
        </w:rPr>
        <w:t>i</w:t>
      </w:r>
      <w:r w:rsidRPr="00801687">
        <w:rPr>
          <w:rFonts w:asciiTheme="minorHAnsi" w:hAnsiTheme="minorHAnsi" w:cstheme="minorHAnsi"/>
          <w:b/>
          <w:i/>
          <w:iCs/>
          <w:color w:val="202020"/>
          <w:sz w:val="22"/>
          <w:szCs w:val="22"/>
        </w:rPr>
        <w:t>ndividuals</w:t>
      </w:r>
      <w:r w:rsidR="00943DE6">
        <w:rPr>
          <w:rFonts w:asciiTheme="minorHAnsi" w:hAnsiTheme="minorHAnsi" w:cstheme="minorHAnsi"/>
          <w:color w:val="202020"/>
          <w:sz w:val="22"/>
          <w:szCs w:val="22"/>
        </w:rPr>
        <w:t xml:space="preserve">: </w:t>
      </w:r>
    </w:p>
    <w:p w14:paraId="7DB2878B" w14:textId="1EAC6EF3" w:rsidR="0073298A" w:rsidRPr="00801687" w:rsidRDefault="00BE2E18" w:rsidP="00841AAC">
      <w:pPr>
        <w:spacing w:after="150"/>
        <w:rPr>
          <w:rFonts w:asciiTheme="minorHAnsi" w:hAnsiTheme="minorHAnsi" w:cstheme="minorHAnsi"/>
          <w:color w:val="202020"/>
          <w:sz w:val="22"/>
          <w:szCs w:val="22"/>
        </w:rPr>
      </w:pPr>
      <w:r w:rsidRPr="00801687">
        <w:rPr>
          <w:rFonts w:asciiTheme="minorHAnsi" w:hAnsiTheme="minorHAnsi" w:cstheme="minorHAnsi"/>
          <w:color w:val="202020"/>
          <w:sz w:val="22"/>
          <w:szCs w:val="22"/>
        </w:rPr>
        <w:t xml:space="preserve">All </w:t>
      </w:r>
      <w:r w:rsidR="0073298A" w:rsidRPr="00801687">
        <w:rPr>
          <w:rFonts w:asciiTheme="minorHAnsi" w:hAnsiTheme="minorHAnsi" w:cstheme="minorHAnsi"/>
          <w:color w:val="202020"/>
          <w:sz w:val="22"/>
          <w:szCs w:val="22"/>
        </w:rPr>
        <w:t>symptomatic individuals in Massachusetts</w:t>
      </w:r>
      <w:r w:rsidR="009011C8">
        <w:rPr>
          <w:rFonts w:asciiTheme="minorHAnsi" w:hAnsiTheme="minorHAnsi" w:cstheme="minorHAnsi"/>
          <w:color w:val="202020"/>
          <w:sz w:val="22"/>
          <w:szCs w:val="22"/>
        </w:rPr>
        <w:t>, even</w:t>
      </w:r>
      <w:r w:rsidR="0044497A">
        <w:rPr>
          <w:rFonts w:asciiTheme="minorHAnsi" w:hAnsiTheme="minorHAnsi" w:cstheme="minorHAnsi"/>
          <w:color w:val="202020"/>
          <w:sz w:val="22"/>
          <w:szCs w:val="22"/>
        </w:rPr>
        <w:t xml:space="preserve"> those with</w:t>
      </w:r>
      <w:r w:rsidR="009011C8">
        <w:rPr>
          <w:rFonts w:asciiTheme="minorHAnsi" w:hAnsiTheme="minorHAnsi" w:cstheme="minorHAnsi"/>
          <w:color w:val="202020"/>
          <w:sz w:val="22"/>
          <w:szCs w:val="22"/>
        </w:rPr>
        <w:t xml:space="preserve"> mild symptoms,</w:t>
      </w:r>
      <w:r w:rsidRPr="00801687">
        <w:rPr>
          <w:rFonts w:asciiTheme="minorHAnsi" w:hAnsiTheme="minorHAnsi" w:cstheme="minorHAnsi"/>
          <w:color w:val="202020"/>
          <w:sz w:val="22"/>
          <w:szCs w:val="22"/>
        </w:rPr>
        <w:t xml:space="preserve"> </w:t>
      </w:r>
      <w:r w:rsidR="003C10B7">
        <w:rPr>
          <w:rFonts w:asciiTheme="minorHAnsi" w:hAnsiTheme="minorHAnsi" w:cstheme="minorHAnsi"/>
          <w:color w:val="202020"/>
          <w:sz w:val="22"/>
          <w:szCs w:val="22"/>
        </w:rPr>
        <w:t>should be</w:t>
      </w:r>
      <w:r w:rsidRPr="00801687">
        <w:rPr>
          <w:rFonts w:asciiTheme="minorHAnsi" w:hAnsiTheme="minorHAnsi" w:cstheme="minorHAnsi"/>
          <w:color w:val="202020"/>
          <w:sz w:val="22"/>
          <w:szCs w:val="22"/>
        </w:rPr>
        <w:t xml:space="preserve"> test</w:t>
      </w:r>
      <w:r w:rsidR="003C10B7">
        <w:rPr>
          <w:rFonts w:asciiTheme="minorHAnsi" w:hAnsiTheme="minorHAnsi" w:cstheme="minorHAnsi"/>
          <w:color w:val="202020"/>
          <w:sz w:val="22"/>
          <w:szCs w:val="22"/>
        </w:rPr>
        <w:t>ed</w:t>
      </w:r>
      <w:r w:rsidR="00941B06">
        <w:rPr>
          <w:rFonts w:asciiTheme="minorHAnsi" w:hAnsiTheme="minorHAnsi" w:cstheme="minorHAnsi"/>
          <w:color w:val="202020"/>
          <w:sz w:val="22"/>
          <w:szCs w:val="22"/>
        </w:rPr>
        <w:t xml:space="preserve"> with either NAAT or an antigen test</w:t>
      </w:r>
      <w:r w:rsidR="0073298A" w:rsidRPr="00801687">
        <w:rPr>
          <w:rFonts w:asciiTheme="minorHAnsi" w:hAnsiTheme="minorHAnsi" w:cstheme="minorHAnsi"/>
          <w:color w:val="202020"/>
          <w:sz w:val="22"/>
          <w:szCs w:val="22"/>
        </w:rPr>
        <w:t xml:space="preserve">. Symptoms </w:t>
      </w:r>
      <w:r w:rsidR="00565C87">
        <w:rPr>
          <w:rFonts w:asciiTheme="minorHAnsi" w:hAnsiTheme="minorHAnsi" w:cstheme="minorHAnsi"/>
          <w:color w:val="202020"/>
          <w:sz w:val="22"/>
          <w:szCs w:val="22"/>
        </w:rPr>
        <w:t>of</w:t>
      </w:r>
      <w:r w:rsidR="00565C87" w:rsidRPr="00801687">
        <w:rPr>
          <w:rFonts w:asciiTheme="minorHAnsi" w:hAnsiTheme="minorHAnsi" w:cstheme="minorHAnsi"/>
          <w:color w:val="202020"/>
          <w:sz w:val="22"/>
          <w:szCs w:val="22"/>
        </w:rPr>
        <w:t xml:space="preserve"> </w:t>
      </w:r>
      <w:r w:rsidR="0073298A" w:rsidRPr="00801687">
        <w:rPr>
          <w:rFonts w:asciiTheme="minorHAnsi" w:hAnsiTheme="minorHAnsi" w:cstheme="minorHAnsi"/>
          <w:color w:val="202020"/>
          <w:sz w:val="22"/>
          <w:szCs w:val="22"/>
        </w:rPr>
        <w:t>COVID-19 include:</w:t>
      </w:r>
    </w:p>
    <w:p w14:paraId="4506E6AB" w14:textId="77777777" w:rsidR="0073298A" w:rsidRPr="00801687" w:rsidRDefault="0073298A" w:rsidP="0073298A">
      <w:pPr>
        <w:pStyle w:val="ListParagraph"/>
        <w:numPr>
          <w:ilvl w:val="0"/>
          <w:numId w:val="22"/>
        </w:numPr>
        <w:rPr>
          <w:rFonts w:asciiTheme="minorHAnsi" w:hAnsiTheme="minorHAnsi" w:cstheme="minorHAnsi"/>
          <w:sz w:val="22"/>
          <w:szCs w:val="22"/>
        </w:rPr>
      </w:pPr>
      <w:r w:rsidRPr="00801687">
        <w:rPr>
          <w:rFonts w:asciiTheme="minorHAnsi" w:hAnsiTheme="minorHAnsi" w:cstheme="minorHAnsi"/>
          <w:sz w:val="22"/>
          <w:szCs w:val="22"/>
        </w:rPr>
        <w:t>Fever</w:t>
      </w:r>
      <w:r w:rsidR="008A6A0F">
        <w:rPr>
          <w:rFonts w:asciiTheme="minorHAnsi" w:hAnsiTheme="minorHAnsi" w:cstheme="minorHAnsi"/>
          <w:sz w:val="22"/>
          <w:szCs w:val="22"/>
        </w:rPr>
        <w:t xml:space="preserve"> or</w:t>
      </w:r>
      <w:r w:rsidRPr="00801687">
        <w:rPr>
          <w:rFonts w:asciiTheme="minorHAnsi" w:hAnsiTheme="minorHAnsi" w:cstheme="minorHAnsi"/>
          <w:sz w:val="22"/>
          <w:szCs w:val="22"/>
        </w:rPr>
        <w:t xml:space="preserve"> chills</w:t>
      </w:r>
      <w:r w:rsidR="001B23CF">
        <w:rPr>
          <w:rFonts w:asciiTheme="minorHAnsi" w:hAnsiTheme="minorHAnsi" w:cstheme="minorHAnsi"/>
          <w:sz w:val="22"/>
          <w:szCs w:val="22"/>
        </w:rPr>
        <w:t>;</w:t>
      </w:r>
    </w:p>
    <w:p w14:paraId="34CBFBAC" w14:textId="77777777" w:rsidR="0073298A" w:rsidRPr="00801687" w:rsidRDefault="0073298A" w:rsidP="0073298A">
      <w:pPr>
        <w:pStyle w:val="ListParagraph"/>
        <w:numPr>
          <w:ilvl w:val="0"/>
          <w:numId w:val="22"/>
        </w:numPr>
        <w:rPr>
          <w:rFonts w:asciiTheme="minorHAnsi" w:hAnsiTheme="minorHAnsi" w:cstheme="minorHAnsi"/>
          <w:sz w:val="22"/>
          <w:szCs w:val="22"/>
        </w:rPr>
      </w:pPr>
      <w:r w:rsidRPr="00801687">
        <w:rPr>
          <w:rFonts w:asciiTheme="minorHAnsi" w:hAnsiTheme="minorHAnsi" w:cstheme="minorHAnsi"/>
          <w:sz w:val="22"/>
          <w:szCs w:val="22"/>
        </w:rPr>
        <w:t xml:space="preserve">Signs of a lower respiratory illness (e.g., cough, shortness of breath, lowered </w:t>
      </w:r>
      <w:r w:rsidR="00BA5921">
        <w:rPr>
          <w:rFonts w:asciiTheme="minorHAnsi" w:hAnsiTheme="minorHAnsi" w:cstheme="minorHAnsi"/>
          <w:sz w:val="22"/>
          <w:szCs w:val="22"/>
        </w:rPr>
        <w:t>oxygen</w:t>
      </w:r>
      <w:r w:rsidRPr="00801687">
        <w:rPr>
          <w:rFonts w:asciiTheme="minorHAnsi" w:hAnsiTheme="minorHAnsi" w:cstheme="minorHAnsi"/>
          <w:sz w:val="22"/>
          <w:szCs w:val="22"/>
        </w:rPr>
        <w:t xml:space="preserve"> saturation)</w:t>
      </w:r>
      <w:r w:rsidR="001B23CF">
        <w:rPr>
          <w:rFonts w:asciiTheme="minorHAnsi" w:hAnsiTheme="minorHAnsi" w:cstheme="minorHAnsi"/>
          <w:sz w:val="22"/>
          <w:szCs w:val="22"/>
        </w:rPr>
        <w:t>;</w:t>
      </w:r>
    </w:p>
    <w:p w14:paraId="1082CF40" w14:textId="77777777" w:rsidR="0073298A" w:rsidRPr="00801687" w:rsidRDefault="009011C8" w:rsidP="0073298A">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Fatigue, s</w:t>
      </w:r>
      <w:r w:rsidR="004113E2">
        <w:rPr>
          <w:rFonts w:asciiTheme="minorHAnsi" w:hAnsiTheme="minorHAnsi" w:cstheme="minorHAnsi"/>
          <w:sz w:val="22"/>
          <w:szCs w:val="22"/>
        </w:rPr>
        <w:t xml:space="preserve">ore throat, </w:t>
      </w:r>
      <w:r w:rsidR="008A6A0F">
        <w:rPr>
          <w:rFonts w:asciiTheme="minorHAnsi" w:hAnsiTheme="minorHAnsi" w:cstheme="minorHAnsi"/>
          <w:sz w:val="22"/>
          <w:szCs w:val="22"/>
        </w:rPr>
        <w:t xml:space="preserve">runny nose or congestion, </w:t>
      </w:r>
      <w:r w:rsidR="004113E2">
        <w:rPr>
          <w:rFonts w:asciiTheme="minorHAnsi" w:hAnsiTheme="minorHAnsi" w:cstheme="minorHAnsi"/>
          <w:sz w:val="22"/>
          <w:szCs w:val="22"/>
        </w:rPr>
        <w:t>headache</w:t>
      </w:r>
      <w:r w:rsidR="00BA5921">
        <w:rPr>
          <w:rFonts w:asciiTheme="minorHAnsi" w:hAnsiTheme="minorHAnsi" w:cstheme="minorHAnsi"/>
          <w:sz w:val="22"/>
          <w:szCs w:val="22"/>
        </w:rPr>
        <w:t>,</w:t>
      </w:r>
      <w:r w:rsidR="0073298A" w:rsidRPr="00801687">
        <w:rPr>
          <w:rFonts w:asciiTheme="minorHAnsi" w:hAnsiTheme="minorHAnsi" w:cstheme="minorHAnsi"/>
          <w:sz w:val="22"/>
          <w:szCs w:val="22"/>
        </w:rPr>
        <w:t xml:space="preserve"> body aches</w:t>
      </w:r>
      <w:r w:rsidR="004113E2">
        <w:rPr>
          <w:rFonts w:asciiTheme="minorHAnsi" w:hAnsiTheme="minorHAnsi" w:cstheme="minorHAnsi"/>
          <w:sz w:val="22"/>
          <w:szCs w:val="22"/>
        </w:rPr>
        <w:t>/myalgia, or new loss of</w:t>
      </w:r>
      <w:r w:rsidR="00BA5921">
        <w:rPr>
          <w:rFonts w:asciiTheme="minorHAnsi" w:hAnsiTheme="minorHAnsi" w:cstheme="minorHAnsi"/>
          <w:sz w:val="22"/>
          <w:szCs w:val="22"/>
        </w:rPr>
        <w:t xml:space="preserve"> sense of</w:t>
      </w:r>
      <w:r w:rsidR="004113E2">
        <w:rPr>
          <w:rFonts w:asciiTheme="minorHAnsi" w:hAnsiTheme="minorHAnsi" w:cstheme="minorHAnsi"/>
          <w:sz w:val="22"/>
          <w:szCs w:val="22"/>
        </w:rPr>
        <w:t xml:space="preserve"> taste or smel</w:t>
      </w:r>
      <w:r w:rsidR="00BA5921">
        <w:rPr>
          <w:rFonts w:asciiTheme="minorHAnsi" w:hAnsiTheme="minorHAnsi" w:cstheme="minorHAnsi"/>
          <w:sz w:val="22"/>
          <w:szCs w:val="22"/>
        </w:rPr>
        <w:t>l</w:t>
      </w:r>
      <w:r w:rsidR="001B23CF">
        <w:rPr>
          <w:rFonts w:asciiTheme="minorHAnsi" w:hAnsiTheme="minorHAnsi" w:cstheme="minorHAnsi"/>
          <w:sz w:val="22"/>
          <w:szCs w:val="22"/>
        </w:rPr>
        <w:t>;</w:t>
      </w:r>
    </w:p>
    <w:p w14:paraId="055594F5" w14:textId="77777777" w:rsidR="0073298A" w:rsidRPr="00A3539B" w:rsidRDefault="0073298A" w:rsidP="0073298A">
      <w:pPr>
        <w:pStyle w:val="ListParagraph"/>
        <w:numPr>
          <w:ilvl w:val="0"/>
          <w:numId w:val="22"/>
        </w:numPr>
        <w:rPr>
          <w:rFonts w:asciiTheme="minorHAnsi" w:hAnsiTheme="minorHAnsi" w:cstheme="minorHAnsi"/>
          <w:sz w:val="22"/>
          <w:szCs w:val="22"/>
        </w:rPr>
      </w:pPr>
      <w:r w:rsidRPr="00801687">
        <w:rPr>
          <w:rFonts w:asciiTheme="minorHAnsi" w:hAnsiTheme="minorHAnsi" w:cstheme="minorHAnsi"/>
          <w:sz w:val="22"/>
          <w:szCs w:val="22"/>
        </w:rPr>
        <w:t xml:space="preserve">Other </w:t>
      </w:r>
      <w:r w:rsidR="009011C8">
        <w:rPr>
          <w:rFonts w:asciiTheme="minorHAnsi" w:hAnsiTheme="minorHAnsi" w:cstheme="minorHAnsi"/>
          <w:sz w:val="22"/>
          <w:szCs w:val="22"/>
        </w:rPr>
        <w:t xml:space="preserve">less common </w:t>
      </w:r>
      <w:r w:rsidRPr="00A3539B">
        <w:rPr>
          <w:rFonts w:asciiTheme="minorHAnsi" w:hAnsiTheme="minorHAnsi" w:cstheme="minorHAnsi"/>
          <w:sz w:val="22"/>
          <w:szCs w:val="22"/>
        </w:rPr>
        <w:t>symptoms</w:t>
      </w:r>
      <w:r w:rsidR="009011C8" w:rsidRPr="00A3539B">
        <w:rPr>
          <w:rFonts w:asciiTheme="minorHAnsi" w:hAnsiTheme="minorHAnsi" w:cstheme="minorHAnsi"/>
          <w:sz w:val="22"/>
          <w:szCs w:val="22"/>
        </w:rPr>
        <w:t xml:space="preserve"> can include gastrointestinal symptoms (e.g. nausea, vomiting, diarrhea),</w:t>
      </w:r>
      <w:r w:rsidR="003C10B7" w:rsidRPr="00A3539B">
        <w:rPr>
          <w:rFonts w:asciiTheme="minorHAnsi" w:hAnsiTheme="minorHAnsi" w:cstheme="minorHAnsi"/>
          <w:sz w:val="22"/>
          <w:szCs w:val="22"/>
        </w:rPr>
        <w:t xml:space="preserve"> </w:t>
      </w:r>
      <w:r w:rsidR="009011C8" w:rsidRPr="00A3539B">
        <w:rPr>
          <w:rFonts w:asciiTheme="minorHAnsi" w:hAnsiTheme="minorHAnsi" w:cstheme="minorHAnsi"/>
          <w:sz w:val="22"/>
          <w:szCs w:val="22"/>
        </w:rPr>
        <w:t>rash</w:t>
      </w:r>
      <w:r w:rsidR="00F91C5C" w:rsidRPr="00A3539B">
        <w:rPr>
          <w:rFonts w:asciiTheme="minorHAnsi" w:hAnsiTheme="minorHAnsi" w:cstheme="minorHAnsi"/>
          <w:sz w:val="22"/>
          <w:szCs w:val="22"/>
        </w:rPr>
        <w:t>, inflammatory conditions such as</w:t>
      </w:r>
      <w:r w:rsidR="009011C8" w:rsidRPr="00A3539B">
        <w:rPr>
          <w:rFonts w:asciiTheme="minorHAnsi" w:hAnsiTheme="minorHAnsi" w:cstheme="minorHAnsi"/>
          <w:sz w:val="22"/>
          <w:szCs w:val="22"/>
        </w:rPr>
        <w:t xml:space="preserve"> “COVID toes</w:t>
      </w:r>
      <w:r w:rsidR="005B27C7" w:rsidRPr="00A3539B">
        <w:rPr>
          <w:rFonts w:asciiTheme="minorHAnsi" w:hAnsiTheme="minorHAnsi" w:cstheme="minorHAnsi"/>
          <w:sz w:val="22"/>
          <w:szCs w:val="22"/>
        </w:rPr>
        <w:t>”</w:t>
      </w:r>
      <w:r w:rsidR="001B23CF" w:rsidRPr="00A3539B">
        <w:rPr>
          <w:rFonts w:asciiTheme="minorHAnsi" w:hAnsiTheme="minorHAnsi" w:cstheme="minorHAnsi"/>
          <w:sz w:val="22"/>
          <w:szCs w:val="22"/>
        </w:rPr>
        <w:t>, and thromboembolic events;</w:t>
      </w:r>
    </w:p>
    <w:p w14:paraId="3F403227" w14:textId="48B13234" w:rsidR="00D94C0A" w:rsidRPr="00A3539B" w:rsidRDefault="00136A08" w:rsidP="005E74A8">
      <w:pPr>
        <w:pStyle w:val="ListParagraph"/>
        <w:numPr>
          <w:ilvl w:val="0"/>
          <w:numId w:val="22"/>
        </w:numPr>
        <w:rPr>
          <w:rFonts w:asciiTheme="minorHAnsi" w:hAnsiTheme="minorHAnsi" w:cstheme="minorHAnsi"/>
          <w:b/>
          <w:i/>
          <w:color w:val="202020"/>
          <w:sz w:val="22"/>
          <w:szCs w:val="22"/>
        </w:rPr>
      </w:pPr>
      <w:r>
        <w:rPr>
          <w:rFonts w:asciiTheme="minorHAnsi" w:hAnsiTheme="minorHAnsi" w:cstheme="minorHAnsi"/>
          <w:sz w:val="22"/>
          <w:szCs w:val="22"/>
        </w:rPr>
        <w:t xml:space="preserve">Subtle signs or symptoms of COVID-19 such as alterations in mental status or blood glucose control in </w:t>
      </w:r>
      <w:r w:rsidR="00BA5921" w:rsidRPr="00A3539B">
        <w:rPr>
          <w:rFonts w:asciiTheme="minorHAnsi" w:hAnsiTheme="minorHAnsi" w:cstheme="minorHAnsi"/>
          <w:sz w:val="22"/>
          <w:szCs w:val="22"/>
        </w:rPr>
        <w:t>elderl</w:t>
      </w:r>
      <w:r w:rsidR="007079E6" w:rsidRPr="00A3539B">
        <w:rPr>
          <w:rFonts w:asciiTheme="minorHAnsi" w:hAnsiTheme="minorHAnsi" w:cstheme="minorHAnsi"/>
          <w:sz w:val="22"/>
          <w:szCs w:val="22"/>
        </w:rPr>
        <w:t>y, chronically ill, or</w:t>
      </w:r>
      <w:r w:rsidR="00BA5921" w:rsidRPr="00A3539B">
        <w:rPr>
          <w:rFonts w:asciiTheme="minorHAnsi" w:hAnsiTheme="minorHAnsi" w:cstheme="minorHAnsi"/>
          <w:sz w:val="22"/>
          <w:szCs w:val="22"/>
        </w:rPr>
        <w:t xml:space="preserve"> debilitated individuals </w:t>
      </w:r>
      <w:r w:rsidR="00A14425">
        <w:rPr>
          <w:rFonts w:asciiTheme="minorHAnsi" w:hAnsiTheme="minorHAnsi" w:cstheme="minorHAnsi"/>
          <w:sz w:val="22"/>
          <w:szCs w:val="22"/>
        </w:rPr>
        <w:t xml:space="preserve">(e.g., </w:t>
      </w:r>
      <w:r w:rsidR="00BA5921" w:rsidRPr="00A3539B">
        <w:rPr>
          <w:rFonts w:asciiTheme="minorHAnsi" w:hAnsiTheme="minorHAnsi" w:cstheme="minorHAnsi"/>
          <w:sz w:val="22"/>
          <w:szCs w:val="22"/>
        </w:rPr>
        <w:t>residents of</w:t>
      </w:r>
      <w:r w:rsidR="007079E6" w:rsidRPr="00A3539B">
        <w:rPr>
          <w:rFonts w:asciiTheme="minorHAnsi" w:hAnsiTheme="minorHAnsi" w:cstheme="minorHAnsi"/>
          <w:sz w:val="22"/>
          <w:szCs w:val="22"/>
        </w:rPr>
        <w:t xml:space="preserve"> a</w:t>
      </w:r>
      <w:r w:rsidR="00BA5921" w:rsidRPr="00A3539B">
        <w:rPr>
          <w:rFonts w:asciiTheme="minorHAnsi" w:hAnsiTheme="minorHAnsi" w:cstheme="minorHAnsi"/>
          <w:sz w:val="22"/>
          <w:szCs w:val="22"/>
        </w:rPr>
        <w:t xml:space="preserve"> long-term care facility</w:t>
      </w:r>
      <w:r w:rsidR="00A14425">
        <w:rPr>
          <w:rFonts w:asciiTheme="minorHAnsi" w:hAnsiTheme="minorHAnsi" w:cstheme="minorHAnsi"/>
          <w:sz w:val="22"/>
          <w:szCs w:val="22"/>
        </w:rPr>
        <w:t>)</w:t>
      </w:r>
      <w:r w:rsidR="00E45D7F">
        <w:rPr>
          <w:rFonts w:asciiTheme="minorHAnsi" w:hAnsiTheme="minorHAnsi" w:cstheme="minorHAnsi"/>
          <w:sz w:val="22"/>
          <w:szCs w:val="22"/>
        </w:rPr>
        <w:t>;</w:t>
      </w:r>
    </w:p>
    <w:p w14:paraId="1CD0D005" w14:textId="483BC3AE" w:rsidR="002A78A2" w:rsidRPr="00FC134B" w:rsidRDefault="002A78A2" w:rsidP="005E74A8">
      <w:pPr>
        <w:pStyle w:val="ListParagraph"/>
        <w:numPr>
          <w:ilvl w:val="0"/>
          <w:numId w:val="22"/>
        </w:numPr>
        <w:rPr>
          <w:rFonts w:asciiTheme="minorHAnsi" w:hAnsiTheme="minorHAnsi" w:cstheme="minorHAnsi"/>
          <w:b/>
          <w:i/>
          <w:color w:val="202020"/>
          <w:sz w:val="22"/>
          <w:szCs w:val="22"/>
        </w:rPr>
      </w:pPr>
      <w:r w:rsidRPr="00A3539B">
        <w:rPr>
          <w:rFonts w:asciiTheme="minorHAnsi" w:hAnsiTheme="minorHAnsi" w:cstheme="minorHAnsi"/>
          <w:sz w:val="22"/>
          <w:szCs w:val="22"/>
        </w:rPr>
        <w:t>Children with multisystem inflammatory syndrome</w:t>
      </w:r>
      <w:r w:rsidR="001B23CF" w:rsidRPr="00A3539B">
        <w:rPr>
          <w:rFonts w:asciiTheme="minorHAnsi" w:hAnsiTheme="minorHAnsi" w:cstheme="minorHAnsi"/>
          <w:sz w:val="22"/>
          <w:szCs w:val="22"/>
        </w:rPr>
        <w:t>.</w:t>
      </w:r>
    </w:p>
    <w:p w14:paraId="37CEBBA9" w14:textId="3C142B7D" w:rsidR="00B807CC" w:rsidRPr="00FC134B" w:rsidRDefault="00B807CC">
      <w:pPr>
        <w:rPr>
          <w:rFonts w:asciiTheme="minorHAnsi" w:hAnsiTheme="minorHAnsi" w:cstheme="minorHAnsi"/>
          <w:sz w:val="22"/>
          <w:szCs w:val="22"/>
        </w:rPr>
      </w:pPr>
    </w:p>
    <w:p w14:paraId="190ACAFB" w14:textId="51D4D887" w:rsidR="00B807CC" w:rsidRPr="00FC134B" w:rsidRDefault="00B807CC" w:rsidP="00FC134B">
      <w:pPr>
        <w:rPr>
          <w:rFonts w:asciiTheme="minorHAnsi" w:hAnsiTheme="minorHAnsi" w:cstheme="minorHAnsi"/>
          <w:sz w:val="22"/>
          <w:szCs w:val="22"/>
        </w:rPr>
      </w:pPr>
      <w:r w:rsidRPr="00FC134B">
        <w:rPr>
          <w:rFonts w:asciiTheme="minorHAnsi" w:hAnsiTheme="minorHAnsi" w:cstheme="minorHAnsi"/>
          <w:sz w:val="22"/>
          <w:szCs w:val="22"/>
        </w:rPr>
        <w:t xml:space="preserve">Note that </w:t>
      </w:r>
      <w:r>
        <w:rPr>
          <w:rFonts w:asciiTheme="minorHAnsi" w:hAnsiTheme="minorHAnsi" w:cstheme="minorHAnsi"/>
          <w:sz w:val="22"/>
          <w:szCs w:val="22"/>
        </w:rPr>
        <w:t>s</w:t>
      </w:r>
      <w:r w:rsidRPr="00FC134B">
        <w:rPr>
          <w:rFonts w:asciiTheme="minorHAnsi" w:hAnsiTheme="minorHAnsi" w:cstheme="minorHAnsi"/>
          <w:sz w:val="22"/>
          <w:szCs w:val="22"/>
        </w:rPr>
        <w:t>ymptoms of COVID-19 in children and adolescents</w:t>
      </w:r>
      <w:r>
        <w:rPr>
          <w:rFonts w:asciiTheme="minorHAnsi" w:hAnsiTheme="minorHAnsi" w:cstheme="minorHAnsi"/>
          <w:sz w:val="22"/>
          <w:szCs w:val="22"/>
        </w:rPr>
        <w:t xml:space="preserve"> are often mild and</w:t>
      </w:r>
      <w:r w:rsidRPr="00FC134B">
        <w:rPr>
          <w:rFonts w:asciiTheme="minorHAnsi" w:hAnsiTheme="minorHAnsi" w:cstheme="minorHAnsi"/>
          <w:sz w:val="22"/>
          <w:szCs w:val="22"/>
        </w:rPr>
        <w:t xml:space="preserve"> overlap with symptoms of other infections and noninfectious processes, making it impossible to distinguish COVID-19 infections without testing.</w:t>
      </w:r>
      <w:r>
        <w:rPr>
          <w:rFonts w:asciiTheme="minorHAnsi" w:hAnsiTheme="minorHAnsi" w:cstheme="minorHAnsi"/>
          <w:sz w:val="22"/>
          <w:szCs w:val="22"/>
        </w:rPr>
        <w:t xml:space="preserve"> </w:t>
      </w:r>
      <w:r w:rsidRPr="00403F6B">
        <w:rPr>
          <w:rFonts w:asciiTheme="minorHAnsi" w:eastAsia="Calibri" w:hAnsiTheme="minorHAnsi" w:cstheme="minorHAnsi"/>
          <w:sz w:val="22"/>
          <w:szCs w:val="22"/>
        </w:rPr>
        <w:t>In order to protect</w:t>
      </w:r>
      <w:r>
        <w:rPr>
          <w:rFonts w:asciiTheme="minorHAnsi" w:eastAsia="Calibri" w:hAnsiTheme="minorHAnsi" w:cstheme="minorHAnsi"/>
          <w:sz w:val="22"/>
          <w:szCs w:val="22"/>
        </w:rPr>
        <w:t xml:space="preserve"> </w:t>
      </w:r>
      <w:r w:rsidRPr="00403F6B">
        <w:rPr>
          <w:rFonts w:asciiTheme="minorHAnsi" w:eastAsia="Calibri" w:hAnsiTheme="minorHAnsi" w:cstheme="minorHAnsi"/>
          <w:sz w:val="22"/>
          <w:szCs w:val="22"/>
        </w:rPr>
        <w:t>children</w:t>
      </w:r>
      <w:r>
        <w:rPr>
          <w:rFonts w:asciiTheme="minorHAnsi" w:eastAsia="Calibri" w:hAnsiTheme="minorHAnsi" w:cstheme="minorHAnsi"/>
          <w:sz w:val="22"/>
          <w:szCs w:val="22"/>
        </w:rPr>
        <w:t xml:space="preserve"> and staff</w:t>
      </w:r>
      <w:r w:rsidRPr="00403F6B">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at </w:t>
      </w:r>
      <w:r w:rsidRPr="00403F6B">
        <w:rPr>
          <w:rFonts w:asciiTheme="minorHAnsi" w:eastAsia="Calibri" w:hAnsiTheme="minorHAnsi" w:cstheme="minorHAnsi"/>
          <w:sz w:val="22"/>
          <w:szCs w:val="22"/>
        </w:rPr>
        <w:t>school</w:t>
      </w:r>
      <w:r>
        <w:rPr>
          <w:rFonts w:asciiTheme="minorHAnsi" w:eastAsia="Calibri" w:hAnsiTheme="minorHAnsi" w:cstheme="minorHAnsi"/>
          <w:sz w:val="22"/>
          <w:szCs w:val="22"/>
        </w:rPr>
        <w:t xml:space="preserve"> and daycare</w:t>
      </w:r>
      <w:r w:rsidRPr="00403F6B">
        <w:rPr>
          <w:rFonts w:asciiTheme="minorHAnsi" w:eastAsia="Calibri" w:hAnsiTheme="minorHAnsi" w:cstheme="minorHAnsi"/>
          <w:sz w:val="22"/>
          <w:szCs w:val="22"/>
        </w:rPr>
        <w:t xml:space="preserve"> from COVID-19, testing of symptomatic individuals </w:t>
      </w:r>
      <w:r w:rsidR="00DC43B2">
        <w:rPr>
          <w:rFonts w:asciiTheme="minorHAnsi" w:eastAsia="Calibri" w:hAnsiTheme="minorHAnsi" w:cstheme="minorHAnsi"/>
          <w:sz w:val="22"/>
          <w:szCs w:val="22"/>
        </w:rPr>
        <w:t>should</w:t>
      </w:r>
      <w:r w:rsidRPr="00403F6B">
        <w:rPr>
          <w:rFonts w:asciiTheme="minorHAnsi" w:eastAsia="Calibri" w:hAnsiTheme="minorHAnsi" w:cstheme="minorHAnsi"/>
          <w:sz w:val="22"/>
          <w:szCs w:val="22"/>
        </w:rPr>
        <w:t xml:space="preserve"> be the default practice. </w:t>
      </w:r>
      <w:r w:rsidR="00DC43B2">
        <w:rPr>
          <w:rFonts w:asciiTheme="minorHAnsi" w:eastAsia="Calibri" w:hAnsiTheme="minorHAnsi" w:cstheme="minorHAnsi"/>
          <w:sz w:val="22"/>
          <w:szCs w:val="22"/>
        </w:rPr>
        <w:t>Unvaccinated c</w:t>
      </w:r>
      <w:r>
        <w:rPr>
          <w:rFonts w:asciiTheme="minorHAnsi" w:eastAsia="Calibri" w:hAnsiTheme="minorHAnsi" w:cstheme="minorHAnsi"/>
          <w:sz w:val="22"/>
          <w:szCs w:val="22"/>
        </w:rPr>
        <w:t>hildren</w:t>
      </w:r>
      <w:r w:rsidRPr="00403F6B">
        <w:rPr>
          <w:rFonts w:asciiTheme="minorHAnsi" w:eastAsia="Calibri" w:hAnsiTheme="minorHAnsi" w:cstheme="minorHAnsi"/>
          <w:sz w:val="22"/>
          <w:szCs w:val="22"/>
        </w:rPr>
        <w:t xml:space="preserve"> with acute onset of new symptoms (especially respiratory symptoms such as cough, shortness of breath, sore throat) or fever should almost always receive a negative</w:t>
      </w:r>
      <w:r>
        <w:rPr>
          <w:rFonts w:asciiTheme="minorHAnsi" w:eastAsia="Calibri" w:hAnsiTheme="minorHAnsi" w:cstheme="minorHAnsi"/>
          <w:sz w:val="22"/>
          <w:szCs w:val="22"/>
        </w:rPr>
        <w:t xml:space="preserve"> </w:t>
      </w:r>
      <w:r w:rsidR="00DC43B2">
        <w:rPr>
          <w:rFonts w:asciiTheme="minorHAnsi" w:eastAsia="Calibri" w:hAnsiTheme="minorHAnsi" w:cstheme="minorHAnsi"/>
          <w:sz w:val="22"/>
          <w:szCs w:val="22"/>
        </w:rPr>
        <w:t>NAAT</w:t>
      </w:r>
      <w:r w:rsidRPr="00403F6B">
        <w:rPr>
          <w:rFonts w:asciiTheme="minorHAnsi" w:eastAsia="Calibri" w:hAnsiTheme="minorHAnsi" w:cstheme="minorHAnsi"/>
          <w:sz w:val="22"/>
          <w:szCs w:val="22"/>
        </w:rPr>
        <w:t xml:space="preserve"> before returning to school. </w:t>
      </w:r>
    </w:p>
    <w:p w14:paraId="7016F732" w14:textId="77777777" w:rsidR="0016048D" w:rsidRPr="008A25D9" w:rsidRDefault="0016048D" w:rsidP="00943DE6">
      <w:pPr>
        <w:spacing w:afterLines="120" w:after="288"/>
        <w:contextualSpacing/>
        <w:rPr>
          <w:rFonts w:asciiTheme="minorHAnsi" w:hAnsiTheme="minorHAnsi" w:cstheme="minorHAnsi"/>
          <w:bCs/>
          <w:iCs/>
          <w:color w:val="202020"/>
          <w:sz w:val="22"/>
          <w:szCs w:val="22"/>
        </w:rPr>
      </w:pPr>
    </w:p>
    <w:p w14:paraId="76BBD377" w14:textId="4D9F48F5" w:rsidR="008E5D54" w:rsidRDefault="00D35786">
      <w:pPr>
        <w:spacing w:after="150"/>
        <w:rPr>
          <w:rFonts w:asciiTheme="minorHAnsi" w:hAnsiTheme="minorHAnsi" w:cstheme="minorHAnsi"/>
          <w:color w:val="202020"/>
          <w:sz w:val="22"/>
          <w:szCs w:val="22"/>
        </w:rPr>
      </w:pPr>
      <w:r w:rsidRPr="00801687">
        <w:rPr>
          <w:rFonts w:asciiTheme="minorHAnsi" w:hAnsiTheme="minorHAnsi" w:cstheme="minorHAnsi"/>
          <w:b/>
          <w:i/>
          <w:color w:val="202020"/>
          <w:sz w:val="22"/>
          <w:szCs w:val="22"/>
        </w:rPr>
        <w:t xml:space="preserve">Close </w:t>
      </w:r>
      <w:r w:rsidR="001C47DB">
        <w:rPr>
          <w:rFonts w:asciiTheme="minorHAnsi" w:hAnsiTheme="minorHAnsi" w:cstheme="minorHAnsi"/>
          <w:b/>
          <w:i/>
          <w:color w:val="202020"/>
          <w:sz w:val="22"/>
          <w:szCs w:val="22"/>
        </w:rPr>
        <w:t>c</w:t>
      </w:r>
      <w:r w:rsidRPr="00801687">
        <w:rPr>
          <w:rFonts w:asciiTheme="minorHAnsi" w:hAnsiTheme="minorHAnsi" w:cstheme="minorHAnsi"/>
          <w:b/>
          <w:i/>
          <w:color w:val="202020"/>
          <w:sz w:val="22"/>
          <w:szCs w:val="22"/>
        </w:rPr>
        <w:t>ontacts</w:t>
      </w:r>
      <w:r w:rsidR="009011C8">
        <w:rPr>
          <w:rFonts w:asciiTheme="minorHAnsi" w:hAnsiTheme="minorHAnsi" w:cstheme="minorHAnsi"/>
          <w:b/>
          <w:i/>
          <w:color w:val="202020"/>
          <w:sz w:val="22"/>
          <w:szCs w:val="22"/>
        </w:rPr>
        <w:t xml:space="preserve"> of</w:t>
      </w:r>
      <w:r w:rsidR="00D26CAC">
        <w:rPr>
          <w:rFonts w:asciiTheme="minorHAnsi" w:hAnsiTheme="minorHAnsi" w:cstheme="minorHAnsi"/>
          <w:b/>
          <w:i/>
          <w:color w:val="202020"/>
          <w:sz w:val="22"/>
          <w:szCs w:val="22"/>
        </w:rPr>
        <w:t xml:space="preserve"> confirmed or </w:t>
      </w:r>
      <w:r w:rsidR="00A55B1D">
        <w:rPr>
          <w:rFonts w:asciiTheme="minorHAnsi" w:hAnsiTheme="minorHAnsi" w:cstheme="minorHAnsi"/>
          <w:b/>
          <w:i/>
          <w:color w:val="202020"/>
          <w:sz w:val="22"/>
          <w:szCs w:val="22"/>
        </w:rPr>
        <w:t xml:space="preserve">clinically diagnosed </w:t>
      </w:r>
      <w:r w:rsidR="009011C8">
        <w:rPr>
          <w:rFonts w:asciiTheme="minorHAnsi" w:hAnsiTheme="minorHAnsi" w:cstheme="minorHAnsi"/>
          <w:b/>
          <w:i/>
          <w:color w:val="202020"/>
          <w:sz w:val="22"/>
          <w:szCs w:val="22"/>
        </w:rPr>
        <w:t>COVID</w:t>
      </w:r>
      <w:r w:rsidR="006C2B15">
        <w:rPr>
          <w:rFonts w:asciiTheme="minorHAnsi" w:hAnsiTheme="minorHAnsi" w:cstheme="minorHAnsi"/>
          <w:b/>
          <w:i/>
          <w:color w:val="202020"/>
          <w:sz w:val="22"/>
          <w:szCs w:val="22"/>
        </w:rPr>
        <w:t>-19</w:t>
      </w:r>
      <w:r w:rsidR="009011C8">
        <w:rPr>
          <w:rFonts w:asciiTheme="minorHAnsi" w:hAnsiTheme="minorHAnsi" w:cstheme="minorHAnsi"/>
          <w:b/>
          <w:i/>
          <w:color w:val="202020"/>
          <w:sz w:val="22"/>
          <w:szCs w:val="22"/>
        </w:rPr>
        <w:t xml:space="preserve"> </w:t>
      </w:r>
      <w:r w:rsidR="001C47DB">
        <w:rPr>
          <w:rFonts w:asciiTheme="minorHAnsi" w:hAnsiTheme="minorHAnsi" w:cstheme="minorHAnsi"/>
          <w:b/>
          <w:i/>
          <w:color w:val="202020"/>
          <w:sz w:val="22"/>
          <w:szCs w:val="22"/>
        </w:rPr>
        <w:t>c</w:t>
      </w:r>
      <w:r w:rsidR="009011C8">
        <w:rPr>
          <w:rFonts w:asciiTheme="minorHAnsi" w:hAnsiTheme="minorHAnsi" w:cstheme="minorHAnsi"/>
          <w:b/>
          <w:i/>
          <w:color w:val="202020"/>
          <w:sz w:val="22"/>
          <w:szCs w:val="22"/>
        </w:rPr>
        <w:t>ases</w:t>
      </w:r>
      <w:r w:rsidR="00F83AD7">
        <w:rPr>
          <w:rFonts w:asciiTheme="minorHAnsi" w:hAnsiTheme="minorHAnsi" w:cstheme="minorHAnsi"/>
          <w:color w:val="202020"/>
          <w:sz w:val="22"/>
          <w:szCs w:val="22"/>
        </w:rPr>
        <w:t xml:space="preserve">: </w:t>
      </w:r>
    </w:p>
    <w:p w14:paraId="3EE3EED5" w14:textId="59985451" w:rsidR="001F18B6" w:rsidRDefault="001C47DB" w:rsidP="00FC134B">
      <w:pPr>
        <w:spacing w:after="150"/>
        <w:rPr>
          <w:rFonts w:asciiTheme="minorHAnsi" w:hAnsiTheme="minorHAnsi" w:cstheme="minorHAnsi"/>
          <w:color w:val="202020"/>
          <w:sz w:val="22"/>
          <w:szCs w:val="22"/>
        </w:rPr>
      </w:pPr>
      <w:r>
        <w:rPr>
          <w:rFonts w:asciiTheme="minorHAnsi" w:hAnsiTheme="minorHAnsi" w:cstheme="minorHAnsi"/>
          <w:color w:val="202020"/>
          <w:sz w:val="22"/>
          <w:szCs w:val="22"/>
        </w:rPr>
        <w:t>Most i</w:t>
      </w:r>
      <w:r w:rsidR="0073298A" w:rsidRPr="00801687">
        <w:rPr>
          <w:rFonts w:asciiTheme="minorHAnsi" w:hAnsiTheme="minorHAnsi" w:cstheme="minorHAnsi"/>
          <w:color w:val="202020"/>
          <w:sz w:val="22"/>
          <w:szCs w:val="22"/>
        </w:rPr>
        <w:t xml:space="preserve">ndividuals in Massachusetts identified as a close contact </w:t>
      </w:r>
      <w:r w:rsidR="00C37559">
        <w:rPr>
          <w:rFonts w:asciiTheme="minorHAnsi" w:hAnsiTheme="minorHAnsi" w:cstheme="minorHAnsi"/>
          <w:color w:val="202020"/>
          <w:sz w:val="22"/>
          <w:szCs w:val="22"/>
        </w:rPr>
        <w:t>should be tested</w:t>
      </w:r>
      <w:r w:rsidR="00B1013C">
        <w:rPr>
          <w:rFonts w:asciiTheme="minorHAnsi" w:hAnsiTheme="minorHAnsi" w:cstheme="minorHAnsi"/>
          <w:color w:val="202020"/>
          <w:sz w:val="22"/>
          <w:szCs w:val="22"/>
        </w:rPr>
        <w:t xml:space="preserve"> with a diagnostic test</w:t>
      </w:r>
      <w:r w:rsidR="00BC7520">
        <w:rPr>
          <w:rFonts w:asciiTheme="minorHAnsi" w:hAnsiTheme="minorHAnsi" w:cstheme="minorHAnsi"/>
          <w:color w:val="202020"/>
          <w:sz w:val="22"/>
          <w:szCs w:val="22"/>
        </w:rPr>
        <w:t xml:space="preserve"> (NAAT or antigen)</w:t>
      </w:r>
      <w:r w:rsidR="00C37559">
        <w:rPr>
          <w:rFonts w:asciiTheme="minorHAnsi" w:hAnsiTheme="minorHAnsi" w:cstheme="minorHAnsi"/>
          <w:color w:val="202020"/>
          <w:sz w:val="22"/>
          <w:szCs w:val="22"/>
        </w:rPr>
        <w:t>. A</w:t>
      </w:r>
      <w:r w:rsidR="0073298A" w:rsidRPr="00801687">
        <w:rPr>
          <w:rFonts w:asciiTheme="minorHAnsi" w:hAnsiTheme="minorHAnsi" w:cstheme="minorHAnsi"/>
          <w:color w:val="202020"/>
          <w:sz w:val="22"/>
          <w:szCs w:val="22"/>
        </w:rPr>
        <w:t xml:space="preserve"> </w:t>
      </w:r>
      <w:r>
        <w:rPr>
          <w:rFonts w:asciiTheme="minorHAnsi" w:hAnsiTheme="minorHAnsi" w:cstheme="minorHAnsi"/>
          <w:color w:val="202020"/>
          <w:sz w:val="22"/>
          <w:szCs w:val="22"/>
        </w:rPr>
        <w:t>l</w:t>
      </w:r>
      <w:r w:rsidR="0073298A" w:rsidRPr="00801687">
        <w:rPr>
          <w:rFonts w:asciiTheme="minorHAnsi" w:hAnsiTheme="minorHAnsi" w:cstheme="minorHAnsi"/>
          <w:color w:val="202020"/>
          <w:sz w:val="22"/>
          <w:szCs w:val="22"/>
        </w:rPr>
        <w:t xml:space="preserve">ocal Board of Health, </w:t>
      </w:r>
      <w:r w:rsidR="00F91C5C">
        <w:rPr>
          <w:rFonts w:asciiTheme="minorHAnsi" w:hAnsiTheme="minorHAnsi" w:cstheme="minorHAnsi"/>
          <w:color w:val="202020"/>
          <w:sz w:val="22"/>
          <w:szCs w:val="22"/>
        </w:rPr>
        <w:t xml:space="preserve">the Massachusetts Department of Public Health, </w:t>
      </w:r>
      <w:r w:rsidR="0073298A" w:rsidRPr="00801687">
        <w:rPr>
          <w:rFonts w:asciiTheme="minorHAnsi" w:hAnsiTheme="minorHAnsi" w:cstheme="minorHAnsi"/>
          <w:color w:val="202020"/>
          <w:sz w:val="22"/>
          <w:szCs w:val="22"/>
        </w:rPr>
        <w:t xml:space="preserve">the Community Tracing Collaborative, or a healthcare provider </w:t>
      </w:r>
      <w:r w:rsidR="00C37559">
        <w:rPr>
          <w:rFonts w:asciiTheme="minorHAnsi" w:hAnsiTheme="minorHAnsi" w:cstheme="minorHAnsi"/>
          <w:color w:val="202020"/>
          <w:sz w:val="22"/>
          <w:szCs w:val="22"/>
        </w:rPr>
        <w:t xml:space="preserve">can recommend testing of a close contact. </w:t>
      </w:r>
      <w:r w:rsidR="0073298A" w:rsidRPr="00801687">
        <w:rPr>
          <w:rFonts w:asciiTheme="minorHAnsi" w:hAnsiTheme="minorHAnsi" w:cstheme="minorHAnsi"/>
          <w:color w:val="202020"/>
          <w:sz w:val="22"/>
          <w:szCs w:val="22"/>
        </w:rPr>
        <w:t xml:space="preserve"> </w:t>
      </w:r>
      <w:r w:rsidR="00943DE6">
        <w:rPr>
          <w:rFonts w:asciiTheme="minorHAnsi" w:hAnsiTheme="minorHAnsi" w:cstheme="minorHAnsi"/>
          <w:color w:val="202020"/>
          <w:sz w:val="22"/>
          <w:szCs w:val="22"/>
        </w:rPr>
        <w:t xml:space="preserve"> </w:t>
      </w:r>
    </w:p>
    <w:p w14:paraId="37BB49E7" w14:textId="26D7C66C" w:rsidR="00D35786" w:rsidRPr="00801687" w:rsidRDefault="0073298A" w:rsidP="005E74A8">
      <w:pPr>
        <w:spacing w:after="120"/>
        <w:contextualSpacing/>
        <w:rPr>
          <w:rFonts w:asciiTheme="minorHAnsi" w:hAnsiTheme="minorHAnsi" w:cstheme="minorHAnsi"/>
          <w:color w:val="202020"/>
          <w:sz w:val="22"/>
          <w:szCs w:val="22"/>
        </w:rPr>
      </w:pPr>
      <w:r w:rsidRPr="00801687">
        <w:rPr>
          <w:rFonts w:asciiTheme="minorHAnsi" w:hAnsiTheme="minorHAnsi" w:cstheme="minorHAnsi"/>
          <w:color w:val="202020"/>
          <w:sz w:val="22"/>
          <w:szCs w:val="22"/>
        </w:rPr>
        <w:t>C</w:t>
      </w:r>
      <w:r w:rsidR="00D35786" w:rsidRPr="00801687">
        <w:rPr>
          <w:rFonts w:asciiTheme="minorHAnsi" w:hAnsiTheme="minorHAnsi" w:cstheme="minorHAnsi"/>
          <w:sz w:val="22"/>
          <w:szCs w:val="22"/>
        </w:rPr>
        <w:t>lose contact is defined as:</w:t>
      </w:r>
    </w:p>
    <w:p w14:paraId="7FF8390B" w14:textId="2309DF03" w:rsidR="001F18B6" w:rsidRPr="001F18B6" w:rsidRDefault="00D35786" w:rsidP="00FC134B">
      <w:pPr>
        <w:pStyle w:val="ListParagraph"/>
        <w:numPr>
          <w:ilvl w:val="1"/>
          <w:numId w:val="27"/>
        </w:numPr>
        <w:ind w:left="720"/>
        <w:rPr>
          <w:sz w:val="16"/>
          <w:szCs w:val="16"/>
        </w:rPr>
      </w:pPr>
      <w:bookmarkStart w:id="0" w:name="_Hlk44321073"/>
      <w:r w:rsidRPr="00801687">
        <w:rPr>
          <w:rFonts w:asciiTheme="minorHAnsi" w:hAnsiTheme="minorHAnsi" w:cstheme="minorHAnsi"/>
          <w:sz w:val="22"/>
          <w:szCs w:val="22"/>
        </w:rPr>
        <w:t xml:space="preserve">Being </w:t>
      </w:r>
      <w:r w:rsidR="00F91C5C">
        <w:rPr>
          <w:rFonts w:asciiTheme="minorHAnsi" w:hAnsiTheme="minorHAnsi" w:cstheme="minorHAnsi"/>
          <w:sz w:val="22"/>
          <w:szCs w:val="22"/>
        </w:rPr>
        <w:t>less than</w:t>
      </w:r>
      <w:r w:rsidR="00F91C5C" w:rsidRPr="00801687">
        <w:rPr>
          <w:rFonts w:asciiTheme="minorHAnsi" w:hAnsiTheme="minorHAnsi" w:cstheme="minorHAnsi"/>
          <w:sz w:val="22"/>
          <w:szCs w:val="22"/>
        </w:rPr>
        <w:t xml:space="preserve"> </w:t>
      </w:r>
      <w:r w:rsidRPr="00801687">
        <w:rPr>
          <w:rFonts w:asciiTheme="minorHAnsi" w:hAnsiTheme="minorHAnsi" w:cstheme="minorHAnsi"/>
          <w:sz w:val="22"/>
          <w:szCs w:val="22"/>
        </w:rPr>
        <w:t xml:space="preserve">6 feet </w:t>
      </w:r>
      <w:r w:rsidR="00882A64">
        <w:rPr>
          <w:rFonts w:asciiTheme="minorHAnsi" w:hAnsiTheme="minorHAnsi" w:cstheme="minorHAnsi"/>
          <w:sz w:val="22"/>
          <w:szCs w:val="22"/>
        </w:rPr>
        <w:t>from</w:t>
      </w:r>
      <w:r w:rsidRPr="00801687">
        <w:rPr>
          <w:rFonts w:asciiTheme="minorHAnsi" w:hAnsiTheme="minorHAnsi" w:cstheme="minorHAnsi"/>
          <w:sz w:val="22"/>
          <w:szCs w:val="22"/>
        </w:rPr>
        <w:t xml:space="preserve"> a </w:t>
      </w:r>
      <w:r w:rsidR="008E5D54">
        <w:rPr>
          <w:rFonts w:asciiTheme="minorHAnsi" w:hAnsiTheme="minorHAnsi" w:cstheme="minorHAnsi"/>
          <w:sz w:val="22"/>
          <w:szCs w:val="22"/>
        </w:rPr>
        <w:t xml:space="preserve">person with </w:t>
      </w:r>
      <w:r w:rsidR="00882A64">
        <w:rPr>
          <w:rFonts w:asciiTheme="minorHAnsi" w:hAnsiTheme="minorHAnsi" w:cstheme="minorHAnsi"/>
          <w:sz w:val="22"/>
          <w:szCs w:val="22"/>
        </w:rPr>
        <w:t xml:space="preserve">confirmed or clinically diagnosed </w:t>
      </w:r>
      <w:r w:rsidRPr="00801687">
        <w:rPr>
          <w:rFonts w:asciiTheme="minorHAnsi" w:hAnsiTheme="minorHAnsi" w:cstheme="minorHAnsi"/>
          <w:sz w:val="22"/>
          <w:szCs w:val="22"/>
        </w:rPr>
        <w:t xml:space="preserve">COVID-19 for </w:t>
      </w:r>
      <w:r w:rsidR="0044497A">
        <w:rPr>
          <w:rFonts w:asciiTheme="minorHAnsi" w:hAnsiTheme="minorHAnsi" w:cstheme="minorHAnsi"/>
          <w:sz w:val="22"/>
          <w:szCs w:val="22"/>
        </w:rPr>
        <w:t>at least 15 minutes</w:t>
      </w:r>
      <w:r w:rsidR="008E5D54">
        <w:rPr>
          <w:rFonts w:asciiTheme="minorHAnsi" w:hAnsiTheme="minorHAnsi" w:cstheme="minorHAnsi"/>
          <w:sz w:val="22"/>
          <w:szCs w:val="22"/>
        </w:rPr>
        <w:t xml:space="preserve"> while indoors</w:t>
      </w:r>
      <w:r w:rsidR="00882A64">
        <w:rPr>
          <w:rFonts w:asciiTheme="minorHAnsi" w:hAnsiTheme="minorHAnsi" w:cstheme="minorHAnsi"/>
          <w:sz w:val="22"/>
          <w:szCs w:val="22"/>
        </w:rPr>
        <w:t xml:space="preserve">, </w:t>
      </w:r>
      <w:r w:rsidRPr="00801687">
        <w:rPr>
          <w:rFonts w:asciiTheme="minorHAnsi" w:hAnsiTheme="minorHAnsi" w:cstheme="minorHAnsi"/>
          <w:sz w:val="22"/>
          <w:szCs w:val="22"/>
        </w:rPr>
        <w:t xml:space="preserve">while the case was symptomatic or within the 48 hours before symptom onset. </w:t>
      </w:r>
      <w:r w:rsidR="008E5D54">
        <w:rPr>
          <w:rFonts w:asciiTheme="minorHAnsi" w:hAnsiTheme="minorHAnsi" w:cstheme="minorHAnsi"/>
          <w:sz w:val="22"/>
          <w:szCs w:val="22"/>
        </w:rPr>
        <w:t>Additionally, the definition of c</w:t>
      </w:r>
      <w:r w:rsidR="00882A64">
        <w:rPr>
          <w:rFonts w:asciiTheme="minorHAnsi" w:hAnsiTheme="minorHAnsi" w:cstheme="minorHAnsi"/>
          <w:sz w:val="22"/>
          <w:szCs w:val="22"/>
        </w:rPr>
        <w:t xml:space="preserve">lose contact </w:t>
      </w:r>
      <w:r w:rsidR="008E5D54">
        <w:rPr>
          <w:rFonts w:asciiTheme="minorHAnsi" w:hAnsiTheme="minorHAnsi" w:cstheme="minorHAnsi"/>
          <w:sz w:val="22"/>
          <w:szCs w:val="22"/>
        </w:rPr>
        <w:t xml:space="preserve">includes exposure to a person diagnosed with COVID-19 in the period 48 hours before their diagnosis through 10 days after diagnosis. </w:t>
      </w:r>
      <w:bookmarkEnd w:id="0"/>
    </w:p>
    <w:p w14:paraId="4AF5823B" w14:textId="77777777" w:rsidR="00A3539B" w:rsidRPr="004921D9" w:rsidRDefault="00D35786" w:rsidP="004921D9">
      <w:pPr>
        <w:pStyle w:val="ListParagraph"/>
        <w:numPr>
          <w:ilvl w:val="1"/>
          <w:numId w:val="27"/>
        </w:numPr>
        <w:ind w:left="720"/>
        <w:rPr>
          <w:rFonts w:asciiTheme="minorHAnsi" w:hAnsiTheme="minorHAnsi" w:cstheme="minorHAnsi"/>
          <w:sz w:val="22"/>
          <w:szCs w:val="22"/>
        </w:rPr>
      </w:pPr>
      <w:r w:rsidRPr="00801687">
        <w:rPr>
          <w:rFonts w:asciiTheme="minorHAnsi" w:hAnsiTheme="minorHAnsi" w:cstheme="minorHAnsi"/>
          <w:sz w:val="22"/>
          <w:szCs w:val="22"/>
        </w:rPr>
        <w:t xml:space="preserve">Having direct contact with infectious secretions of a </w:t>
      </w:r>
      <w:r w:rsidR="00D26CAC">
        <w:rPr>
          <w:rFonts w:asciiTheme="minorHAnsi" w:hAnsiTheme="minorHAnsi" w:cstheme="minorHAnsi"/>
          <w:sz w:val="22"/>
          <w:szCs w:val="22"/>
        </w:rPr>
        <w:t xml:space="preserve">confirmed or </w:t>
      </w:r>
      <w:r w:rsidR="00A55B1D">
        <w:rPr>
          <w:rFonts w:asciiTheme="minorHAnsi" w:hAnsiTheme="minorHAnsi" w:cstheme="minorHAnsi"/>
          <w:sz w:val="22"/>
          <w:szCs w:val="22"/>
        </w:rPr>
        <w:t>clinically diagnosed</w:t>
      </w:r>
      <w:r w:rsidR="00D26CAC">
        <w:rPr>
          <w:rFonts w:asciiTheme="minorHAnsi" w:hAnsiTheme="minorHAnsi" w:cstheme="minorHAnsi"/>
          <w:sz w:val="22"/>
          <w:szCs w:val="22"/>
        </w:rPr>
        <w:t xml:space="preserve"> </w:t>
      </w:r>
      <w:r w:rsidRPr="00801687">
        <w:rPr>
          <w:rFonts w:asciiTheme="minorHAnsi" w:hAnsiTheme="minorHAnsi" w:cstheme="minorHAnsi"/>
          <w:sz w:val="22"/>
          <w:szCs w:val="22"/>
        </w:rPr>
        <w:t xml:space="preserve">COVID-19 case (e.g., being coughed on) while not wearing recommended personal protective equipment or PPE (e.g., gown, gloves, </w:t>
      </w:r>
      <w:r w:rsidR="007079E6">
        <w:rPr>
          <w:rFonts w:asciiTheme="minorHAnsi" w:hAnsiTheme="minorHAnsi" w:cstheme="minorHAnsi"/>
          <w:sz w:val="22"/>
          <w:szCs w:val="22"/>
        </w:rPr>
        <w:t>facemask</w:t>
      </w:r>
      <w:r w:rsidRPr="00801687">
        <w:rPr>
          <w:rFonts w:asciiTheme="minorHAnsi" w:hAnsiTheme="minorHAnsi" w:cstheme="minorHAnsi"/>
          <w:sz w:val="22"/>
          <w:szCs w:val="22"/>
        </w:rPr>
        <w:t xml:space="preserve">, eye protection). </w:t>
      </w:r>
    </w:p>
    <w:p w14:paraId="4791FCF5" w14:textId="77777777" w:rsidR="004921D9" w:rsidRPr="008A25D9" w:rsidRDefault="004921D9" w:rsidP="008A25D9">
      <w:pPr>
        <w:ind w:left="360"/>
        <w:rPr>
          <w:rFonts w:asciiTheme="minorHAnsi" w:hAnsiTheme="minorHAnsi" w:cstheme="minorHAnsi"/>
          <w:sz w:val="22"/>
          <w:szCs w:val="22"/>
        </w:rPr>
      </w:pPr>
    </w:p>
    <w:p w14:paraId="46A22695" w14:textId="77777777" w:rsidR="00F91C5C" w:rsidRPr="005E74A8" w:rsidRDefault="00F91C5C" w:rsidP="00FC134B">
      <w:pPr>
        <w:spacing w:after="120"/>
        <w:rPr>
          <w:rFonts w:asciiTheme="minorHAnsi" w:hAnsiTheme="minorHAnsi" w:cstheme="minorHAnsi"/>
          <w:sz w:val="22"/>
          <w:szCs w:val="22"/>
        </w:rPr>
      </w:pPr>
      <w:r>
        <w:rPr>
          <w:rFonts w:asciiTheme="minorHAnsi" w:hAnsiTheme="minorHAnsi" w:cstheme="minorHAnsi"/>
          <w:sz w:val="22"/>
          <w:szCs w:val="22"/>
        </w:rPr>
        <w:t>Recommended timing of testing for close contacts:</w:t>
      </w:r>
    </w:p>
    <w:p w14:paraId="3619317B" w14:textId="1DE45CE1" w:rsidR="007F0A5F" w:rsidRPr="00FC134B" w:rsidRDefault="007F0A5F" w:rsidP="00FC134B">
      <w:pPr>
        <w:pStyle w:val="ListParagraph"/>
        <w:numPr>
          <w:ilvl w:val="0"/>
          <w:numId w:val="32"/>
        </w:numPr>
        <w:rPr>
          <w:rFonts w:asciiTheme="minorHAnsi" w:hAnsiTheme="minorHAnsi" w:cstheme="minorHAnsi"/>
          <w:b/>
          <w:i/>
          <w:color w:val="202020"/>
          <w:sz w:val="22"/>
          <w:szCs w:val="22"/>
        </w:rPr>
      </w:pPr>
      <w:r w:rsidRPr="005E74A8">
        <w:rPr>
          <w:rFonts w:asciiTheme="minorHAnsi" w:hAnsiTheme="minorHAnsi" w:cstheme="minorHAnsi"/>
          <w:sz w:val="22"/>
          <w:szCs w:val="22"/>
          <w:u w:val="single"/>
        </w:rPr>
        <w:t>Close contacts without symptoms</w:t>
      </w:r>
      <w:r w:rsidRPr="005E74A8">
        <w:rPr>
          <w:rFonts w:asciiTheme="minorHAnsi" w:hAnsiTheme="minorHAnsi" w:cstheme="minorHAnsi"/>
          <w:sz w:val="22"/>
          <w:szCs w:val="22"/>
        </w:rPr>
        <w:t xml:space="preserve"> should be tested after exposure to COVID-19. The contact is required to quarantine for </w:t>
      </w:r>
      <w:r w:rsidR="001C47DB">
        <w:rPr>
          <w:rFonts w:asciiTheme="minorHAnsi" w:hAnsiTheme="minorHAnsi" w:cstheme="minorHAnsi"/>
          <w:sz w:val="22"/>
          <w:szCs w:val="22"/>
        </w:rPr>
        <w:t>ten days. If the contact tests negative after day five from contact (NAAT or antigen test), quarantine can be discontinued a</w:t>
      </w:r>
      <w:r w:rsidR="008E5D54">
        <w:rPr>
          <w:rFonts w:asciiTheme="minorHAnsi" w:hAnsiTheme="minorHAnsi" w:cstheme="minorHAnsi"/>
          <w:sz w:val="22"/>
          <w:szCs w:val="22"/>
        </w:rPr>
        <w:t>fter seven days. Close contacts should continue to monitor themselves for symptoms for a full 14 days after their last exposure.</w:t>
      </w:r>
    </w:p>
    <w:p w14:paraId="7A5AFA64" w14:textId="7662B163" w:rsidR="006C2B15" w:rsidRPr="00FC134B" w:rsidRDefault="00F91C5C" w:rsidP="00FC134B">
      <w:pPr>
        <w:pStyle w:val="ListParagraph"/>
        <w:numPr>
          <w:ilvl w:val="0"/>
          <w:numId w:val="32"/>
        </w:numPr>
        <w:rPr>
          <w:rFonts w:asciiTheme="minorHAnsi" w:hAnsiTheme="minorHAnsi" w:cstheme="minorHAnsi"/>
          <w:sz w:val="22"/>
          <w:szCs w:val="22"/>
        </w:rPr>
      </w:pPr>
      <w:r w:rsidRPr="005E74A8">
        <w:rPr>
          <w:rFonts w:asciiTheme="minorHAnsi" w:hAnsiTheme="minorHAnsi" w:cstheme="minorHAnsi"/>
          <w:sz w:val="22"/>
          <w:szCs w:val="22"/>
          <w:u w:val="single"/>
        </w:rPr>
        <w:t xml:space="preserve">Close </w:t>
      </w:r>
      <w:r w:rsidRPr="007F0A5F">
        <w:rPr>
          <w:rFonts w:asciiTheme="minorHAnsi" w:hAnsiTheme="minorHAnsi" w:cstheme="minorHAnsi"/>
          <w:sz w:val="22"/>
          <w:szCs w:val="22"/>
          <w:u w:val="single"/>
        </w:rPr>
        <w:t xml:space="preserve">contacts </w:t>
      </w:r>
      <w:r w:rsidR="007F0A5F" w:rsidRPr="007F0A5F">
        <w:rPr>
          <w:rFonts w:asciiTheme="minorHAnsi" w:hAnsiTheme="minorHAnsi" w:cstheme="minorHAnsi"/>
          <w:sz w:val="22"/>
          <w:szCs w:val="22"/>
          <w:u w:val="single"/>
        </w:rPr>
        <w:t>that develop any sy</w:t>
      </w:r>
      <w:r w:rsidR="007F0A5F" w:rsidRPr="004C301B">
        <w:rPr>
          <w:rFonts w:asciiTheme="minorHAnsi" w:hAnsiTheme="minorHAnsi" w:cstheme="minorHAnsi"/>
          <w:sz w:val="22"/>
          <w:szCs w:val="22"/>
          <w:u w:val="single"/>
        </w:rPr>
        <w:t>mptom</w:t>
      </w:r>
      <w:r w:rsidR="007F0A5F">
        <w:rPr>
          <w:rFonts w:asciiTheme="minorHAnsi" w:hAnsiTheme="minorHAnsi" w:cstheme="minorHAnsi"/>
          <w:sz w:val="22"/>
          <w:szCs w:val="22"/>
          <w:u w:val="single"/>
        </w:rPr>
        <w:t xml:space="preserve"> at any time </w:t>
      </w:r>
      <w:r w:rsidR="008E5D54">
        <w:rPr>
          <w:rFonts w:asciiTheme="minorHAnsi" w:hAnsiTheme="minorHAnsi" w:cstheme="minorHAnsi"/>
          <w:sz w:val="22"/>
          <w:szCs w:val="22"/>
          <w:u w:val="single"/>
        </w:rPr>
        <w:t>in the 14 days following their last exposure</w:t>
      </w:r>
      <w:r w:rsidR="007F0A5F">
        <w:rPr>
          <w:rFonts w:asciiTheme="minorHAnsi" w:hAnsiTheme="minorHAnsi" w:cstheme="minorHAnsi"/>
          <w:sz w:val="22"/>
          <w:szCs w:val="22"/>
          <w:u w:val="single"/>
        </w:rPr>
        <w:t xml:space="preserve"> </w:t>
      </w:r>
      <w:r w:rsidRPr="005E74A8">
        <w:rPr>
          <w:rFonts w:asciiTheme="minorHAnsi" w:hAnsiTheme="minorHAnsi" w:cstheme="minorHAnsi"/>
          <w:sz w:val="22"/>
          <w:szCs w:val="22"/>
        </w:rPr>
        <w:t>should be tested promptly</w:t>
      </w:r>
      <w:r w:rsidR="00941B06">
        <w:rPr>
          <w:rFonts w:asciiTheme="minorHAnsi" w:hAnsiTheme="minorHAnsi" w:cstheme="minorHAnsi"/>
          <w:sz w:val="22"/>
          <w:szCs w:val="22"/>
        </w:rPr>
        <w:t xml:space="preserve"> (NAAT or antigen)</w:t>
      </w:r>
      <w:r w:rsidR="001B23CF">
        <w:rPr>
          <w:rFonts w:asciiTheme="minorHAnsi" w:hAnsiTheme="minorHAnsi" w:cstheme="minorHAnsi"/>
          <w:sz w:val="22"/>
          <w:szCs w:val="22"/>
        </w:rPr>
        <w:t>.</w:t>
      </w:r>
      <w:r>
        <w:rPr>
          <w:rFonts w:asciiTheme="minorHAnsi" w:hAnsiTheme="minorHAnsi" w:cstheme="minorHAnsi"/>
          <w:sz w:val="22"/>
          <w:szCs w:val="22"/>
        </w:rPr>
        <w:t xml:space="preserve"> </w:t>
      </w:r>
      <w:r w:rsidR="001B23CF">
        <w:rPr>
          <w:rFonts w:asciiTheme="minorHAnsi" w:hAnsiTheme="minorHAnsi" w:cstheme="minorHAnsi"/>
          <w:sz w:val="22"/>
          <w:szCs w:val="22"/>
        </w:rPr>
        <w:t xml:space="preserve">Testing </w:t>
      </w:r>
      <w:r w:rsidRPr="005E74A8">
        <w:rPr>
          <w:rFonts w:asciiTheme="minorHAnsi" w:hAnsiTheme="minorHAnsi" w:cstheme="minorHAnsi"/>
          <w:sz w:val="22"/>
          <w:szCs w:val="22"/>
        </w:rPr>
        <w:t>should occur even if the person</w:t>
      </w:r>
      <w:r w:rsidR="007F0A5F">
        <w:rPr>
          <w:rFonts w:asciiTheme="minorHAnsi" w:hAnsiTheme="minorHAnsi" w:cstheme="minorHAnsi"/>
          <w:sz w:val="22"/>
          <w:szCs w:val="22"/>
        </w:rPr>
        <w:t xml:space="preserve"> </w:t>
      </w:r>
      <w:r w:rsidRPr="005E74A8">
        <w:rPr>
          <w:rFonts w:asciiTheme="minorHAnsi" w:hAnsiTheme="minorHAnsi" w:cstheme="minorHAnsi"/>
          <w:sz w:val="22"/>
          <w:szCs w:val="22"/>
        </w:rPr>
        <w:t xml:space="preserve">previously had a negative test result </w:t>
      </w:r>
      <w:r w:rsidR="007F0A5F">
        <w:rPr>
          <w:rFonts w:asciiTheme="minorHAnsi" w:hAnsiTheme="minorHAnsi" w:cstheme="minorHAnsi"/>
          <w:sz w:val="22"/>
          <w:szCs w:val="22"/>
        </w:rPr>
        <w:t xml:space="preserve">during their </w:t>
      </w:r>
      <w:r w:rsidR="00E1129B">
        <w:rPr>
          <w:rFonts w:asciiTheme="minorHAnsi" w:hAnsiTheme="minorHAnsi" w:cstheme="minorHAnsi"/>
          <w:sz w:val="22"/>
          <w:szCs w:val="22"/>
        </w:rPr>
        <w:t>quarantine</w:t>
      </w:r>
      <w:r w:rsidR="007F0A5F">
        <w:rPr>
          <w:rFonts w:asciiTheme="minorHAnsi" w:hAnsiTheme="minorHAnsi" w:cstheme="minorHAnsi"/>
          <w:sz w:val="22"/>
          <w:szCs w:val="22"/>
        </w:rPr>
        <w:t xml:space="preserve"> period</w:t>
      </w:r>
      <w:r w:rsidR="001C47DB">
        <w:rPr>
          <w:rFonts w:asciiTheme="minorHAnsi" w:hAnsiTheme="minorHAnsi" w:cstheme="minorHAnsi"/>
          <w:sz w:val="22"/>
          <w:szCs w:val="22"/>
        </w:rPr>
        <w:t>.</w:t>
      </w:r>
    </w:p>
    <w:p w14:paraId="6AFE7D81" w14:textId="433C0F3D" w:rsidR="006B466B" w:rsidRPr="00FC134B" w:rsidRDefault="001C47DB" w:rsidP="00FC134B">
      <w:pPr>
        <w:pStyle w:val="ListParagraph"/>
        <w:numPr>
          <w:ilvl w:val="0"/>
          <w:numId w:val="32"/>
        </w:numPr>
      </w:pPr>
      <w:r w:rsidRPr="00FC134B">
        <w:rPr>
          <w:rFonts w:asciiTheme="minorHAnsi" w:hAnsiTheme="minorHAnsi" w:cstheme="minorHAnsi"/>
          <w:bCs/>
          <w:iCs/>
          <w:color w:val="202020"/>
          <w:sz w:val="22"/>
          <w:szCs w:val="22"/>
          <w:u w:val="single"/>
        </w:rPr>
        <w:lastRenderedPageBreak/>
        <w:t>Close contacts that are fully vaccinated</w:t>
      </w:r>
      <w:r w:rsidRPr="00FC134B">
        <w:rPr>
          <w:rFonts w:asciiTheme="minorHAnsi" w:hAnsiTheme="minorHAnsi" w:cstheme="minorHAnsi"/>
          <w:bCs/>
          <w:iCs/>
          <w:color w:val="202020"/>
          <w:sz w:val="22"/>
          <w:szCs w:val="22"/>
        </w:rPr>
        <w:t xml:space="preserve"> do not need to be tested following exposure</w:t>
      </w:r>
      <w:r w:rsidR="00F0531F" w:rsidRPr="00FC134B">
        <w:rPr>
          <w:rFonts w:asciiTheme="minorHAnsi" w:hAnsiTheme="minorHAnsi" w:cstheme="minorHAnsi"/>
          <w:bCs/>
          <w:iCs/>
          <w:color w:val="202020"/>
          <w:sz w:val="22"/>
          <w:szCs w:val="22"/>
        </w:rPr>
        <w:t xml:space="preserve"> </w:t>
      </w:r>
      <w:r w:rsidR="008E5D54" w:rsidRPr="00FC134B">
        <w:rPr>
          <w:rFonts w:asciiTheme="minorHAnsi" w:hAnsiTheme="minorHAnsi" w:cstheme="minorHAnsi"/>
          <w:bCs/>
          <w:iCs/>
          <w:color w:val="202020"/>
          <w:sz w:val="22"/>
          <w:szCs w:val="22"/>
        </w:rPr>
        <w:t xml:space="preserve">and are not required to quarantine </w:t>
      </w:r>
      <w:r w:rsidR="00F0531F" w:rsidRPr="00FC134B">
        <w:rPr>
          <w:rFonts w:asciiTheme="minorHAnsi" w:hAnsiTheme="minorHAnsi" w:cstheme="minorHAnsi"/>
          <w:bCs/>
          <w:iCs/>
          <w:color w:val="202020"/>
          <w:sz w:val="22"/>
          <w:szCs w:val="22"/>
        </w:rPr>
        <w:t>unless they develop symptoms</w:t>
      </w:r>
      <w:r w:rsidRPr="00FC134B">
        <w:rPr>
          <w:rFonts w:asciiTheme="minorHAnsi" w:hAnsiTheme="minorHAnsi" w:cstheme="minorHAnsi"/>
          <w:bCs/>
          <w:iCs/>
          <w:color w:val="202020"/>
          <w:sz w:val="22"/>
          <w:szCs w:val="22"/>
        </w:rPr>
        <w:t>.</w:t>
      </w:r>
      <w:r w:rsidR="00F0531F" w:rsidRPr="00FC134B">
        <w:rPr>
          <w:rFonts w:asciiTheme="minorHAnsi" w:hAnsiTheme="minorHAnsi" w:cstheme="minorHAnsi"/>
          <w:bCs/>
          <w:iCs/>
          <w:color w:val="202020"/>
          <w:sz w:val="22"/>
          <w:szCs w:val="22"/>
        </w:rPr>
        <w:t xml:space="preserve"> Testing of </w:t>
      </w:r>
      <w:r w:rsidR="008E5D54" w:rsidRPr="00FC134B">
        <w:rPr>
          <w:rFonts w:asciiTheme="minorHAnsi" w:hAnsiTheme="minorHAnsi" w:cstheme="minorHAnsi"/>
          <w:bCs/>
          <w:iCs/>
          <w:color w:val="202020"/>
          <w:sz w:val="22"/>
          <w:szCs w:val="22"/>
        </w:rPr>
        <w:t xml:space="preserve">close contacts who are </w:t>
      </w:r>
      <w:r w:rsidR="00F0531F" w:rsidRPr="00FC134B">
        <w:rPr>
          <w:rFonts w:asciiTheme="minorHAnsi" w:hAnsiTheme="minorHAnsi" w:cstheme="minorHAnsi"/>
          <w:bCs/>
          <w:iCs/>
          <w:color w:val="202020"/>
          <w:sz w:val="22"/>
          <w:szCs w:val="22"/>
        </w:rPr>
        <w:t>fully vaccinated</w:t>
      </w:r>
      <w:r w:rsidR="008E5D54" w:rsidRPr="00FC134B">
        <w:rPr>
          <w:rFonts w:asciiTheme="minorHAnsi" w:hAnsiTheme="minorHAnsi" w:cstheme="minorHAnsi"/>
          <w:bCs/>
          <w:iCs/>
          <w:color w:val="202020"/>
          <w:sz w:val="22"/>
          <w:szCs w:val="22"/>
        </w:rPr>
        <w:t xml:space="preserve"> but immunocompromised</w:t>
      </w:r>
      <w:r w:rsidR="00F0531F" w:rsidRPr="00FC134B">
        <w:rPr>
          <w:rFonts w:asciiTheme="minorHAnsi" w:hAnsiTheme="minorHAnsi" w:cstheme="minorHAnsi"/>
          <w:bCs/>
          <w:iCs/>
          <w:color w:val="202020"/>
          <w:sz w:val="22"/>
          <w:szCs w:val="22"/>
        </w:rPr>
        <w:t xml:space="preserve"> should be considered given the potential for incomplete </w:t>
      </w:r>
      <w:r w:rsidR="008E5D54" w:rsidRPr="00FC134B">
        <w:rPr>
          <w:rFonts w:asciiTheme="minorHAnsi" w:hAnsiTheme="minorHAnsi" w:cstheme="minorHAnsi"/>
          <w:bCs/>
          <w:iCs/>
          <w:color w:val="202020"/>
          <w:sz w:val="22"/>
          <w:szCs w:val="22"/>
        </w:rPr>
        <w:t>immunity</w:t>
      </w:r>
      <w:r w:rsidR="00F0531F" w:rsidRPr="00FC134B">
        <w:rPr>
          <w:rFonts w:asciiTheme="minorHAnsi" w:hAnsiTheme="minorHAnsi" w:cstheme="minorHAnsi"/>
          <w:bCs/>
          <w:iCs/>
          <w:color w:val="202020"/>
          <w:sz w:val="22"/>
          <w:szCs w:val="22"/>
        </w:rPr>
        <w:t xml:space="preserve">. </w:t>
      </w:r>
    </w:p>
    <w:p w14:paraId="00F3914E" w14:textId="77777777" w:rsidR="001C47DB" w:rsidRPr="00FC134B" w:rsidRDefault="001C47DB" w:rsidP="00FC134B">
      <w:pPr>
        <w:rPr>
          <w:rFonts w:asciiTheme="minorHAnsi" w:hAnsiTheme="minorHAnsi" w:cstheme="minorHAnsi"/>
          <w:b/>
          <w:i/>
          <w:color w:val="202020"/>
          <w:sz w:val="22"/>
          <w:szCs w:val="22"/>
        </w:rPr>
      </w:pPr>
    </w:p>
    <w:p w14:paraId="0072181C" w14:textId="6287707F" w:rsidR="00C37559" w:rsidRDefault="009566C6" w:rsidP="00F91C5C">
      <w:pPr>
        <w:spacing w:after="120"/>
        <w:rPr>
          <w:rFonts w:asciiTheme="minorHAnsi" w:hAnsiTheme="minorHAnsi" w:cstheme="minorHAnsi"/>
          <w:b/>
          <w:i/>
          <w:color w:val="202020"/>
          <w:sz w:val="22"/>
          <w:szCs w:val="22"/>
        </w:rPr>
      </w:pPr>
      <w:r>
        <w:rPr>
          <w:rFonts w:asciiTheme="minorHAnsi" w:hAnsiTheme="minorHAnsi" w:cstheme="minorHAnsi"/>
          <w:b/>
          <w:i/>
          <w:color w:val="202020"/>
          <w:sz w:val="22"/>
          <w:szCs w:val="22"/>
        </w:rPr>
        <w:t xml:space="preserve">Admission to a healthcare facility: </w:t>
      </w:r>
    </w:p>
    <w:p w14:paraId="2488B828" w14:textId="599FD9DA" w:rsidR="008E5D54" w:rsidRDefault="00EE13C0" w:rsidP="001F18B6">
      <w:pPr>
        <w:rPr>
          <w:rFonts w:asciiTheme="minorHAnsi" w:hAnsiTheme="minorHAnsi" w:cstheme="minorHAnsi"/>
          <w:color w:val="202020"/>
          <w:sz w:val="22"/>
          <w:szCs w:val="22"/>
        </w:rPr>
      </w:pPr>
      <w:r>
        <w:rPr>
          <w:rFonts w:asciiTheme="minorHAnsi" w:hAnsiTheme="minorHAnsi" w:cstheme="minorHAnsi"/>
          <w:color w:val="202020"/>
          <w:sz w:val="22"/>
          <w:szCs w:val="22"/>
        </w:rPr>
        <w:t>Unvaccinated i</w:t>
      </w:r>
      <w:r w:rsidR="009566C6">
        <w:rPr>
          <w:rFonts w:asciiTheme="minorHAnsi" w:hAnsiTheme="minorHAnsi" w:cstheme="minorHAnsi"/>
          <w:color w:val="202020"/>
          <w:sz w:val="22"/>
          <w:szCs w:val="22"/>
        </w:rPr>
        <w:t xml:space="preserve">ndividuals should be tested </w:t>
      </w:r>
      <w:r w:rsidR="00941B06">
        <w:rPr>
          <w:rFonts w:asciiTheme="minorHAnsi" w:hAnsiTheme="minorHAnsi" w:cstheme="minorHAnsi"/>
          <w:color w:val="202020"/>
          <w:sz w:val="22"/>
          <w:szCs w:val="22"/>
        </w:rPr>
        <w:t xml:space="preserve">(NAAT or antigen) </w:t>
      </w:r>
      <w:r w:rsidR="009566C6">
        <w:rPr>
          <w:rFonts w:asciiTheme="minorHAnsi" w:hAnsiTheme="minorHAnsi" w:cstheme="minorHAnsi"/>
          <w:color w:val="202020"/>
          <w:sz w:val="22"/>
          <w:szCs w:val="22"/>
        </w:rPr>
        <w:t xml:space="preserve">upon </w:t>
      </w:r>
      <w:r w:rsidR="007F0A5F">
        <w:rPr>
          <w:rFonts w:asciiTheme="minorHAnsi" w:hAnsiTheme="minorHAnsi" w:cstheme="minorHAnsi"/>
          <w:color w:val="202020"/>
          <w:sz w:val="22"/>
          <w:szCs w:val="22"/>
        </w:rPr>
        <w:t xml:space="preserve">inpatient </w:t>
      </w:r>
      <w:r w:rsidR="009566C6">
        <w:rPr>
          <w:rFonts w:asciiTheme="minorHAnsi" w:hAnsiTheme="minorHAnsi" w:cstheme="minorHAnsi"/>
          <w:color w:val="202020"/>
          <w:sz w:val="22"/>
          <w:szCs w:val="22"/>
        </w:rPr>
        <w:t>admission to a healthcare facility</w:t>
      </w:r>
      <w:r w:rsidR="009566C6" w:rsidRPr="009566C6">
        <w:rPr>
          <w:rFonts w:asciiTheme="minorHAnsi" w:hAnsiTheme="minorHAnsi" w:cstheme="minorHAnsi"/>
          <w:color w:val="202020"/>
          <w:sz w:val="22"/>
          <w:szCs w:val="22"/>
        </w:rPr>
        <w:t xml:space="preserve">, including </w:t>
      </w:r>
      <w:r w:rsidR="008B73CC" w:rsidRPr="008B73CC">
        <w:rPr>
          <w:rFonts w:asciiTheme="minorHAnsi" w:hAnsiTheme="minorHAnsi" w:cstheme="minorHAnsi"/>
          <w:color w:val="202020"/>
          <w:sz w:val="22"/>
          <w:szCs w:val="22"/>
        </w:rPr>
        <w:t>but not limited to hospital</w:t>
      </w:r>
      <w:r w:rsidR="008E5D54">
        <w:rPr>
          <w:rFonts w:asciiTheme="minorHAnsi" w:hAnsiTheme="minorHAnsi" w:cstheme="minorHAnsi"/>
          <w:color w:val="202020"/>
          <w:sz w:val="22"/>
          <w:szCs w:val="22"/>
        </w:rPr>
        <w:t>s</w:t>
      </w:r>
      <w:r w:rsidR="008B73CC" w:rsidRPr="008B73CC">
        <w:rPr>
          <w:rFonts w:asciiTheme="minorHAnsi" w:hAnsiTheme="minorHAnsi" w:cstheme="minorHAnsi"/>
          <w:color w:val="202020"/>
          <w:sz w:val="22"/>
          <w:szCs w:val="22"/>
        </w:rPr>
        <w:t xml:space="preserve"> operated or licensed by the Department of Public Health or Mental Health, </w:t>
      </w:r>
      <w:r w:rsidR="009566C6" w:rsidRPr="009566C6">
        <w:rPr>
          <w:rFonts w:asciiTheme="minorHAnsi" w:hAnsiTheme="minorHAnsi" w:cstheme="minorHAnsi"/>
          <w:color w:val="202020"/>
          <w:sz w:val="22"/>
          <w:szCs w:val="22"/>
        </w:rPr>
        <w:t>long-term acute care hospital</w:t>
      </w:r>
      <w:r w:rsidR="008E5D54">
        <w:rPr>
          <w:rFonts w:asciiTheme="minorHAnsi" w:hAnsiTheme="minorHAnsi" w:cstheme="minorHAnsi"/>
          <w:color w:val="202020"/>
          <w:sz w:val="22"/>
          <w:szCs w:val="22"/>
        </w:rPr>
        <w:t>s</w:t>
      </w:r>
      <w:r w:rsidR="009566C6" w:rsidRPr="009566C6">
        <w:rPr>
          <w:rFonts w:asciiTheme="minorHAnsi" w:hAnsiTheme="minorHAnsi" w:cstheme="minorHAnsi"/>
          <w:color w:val="202020"/>
          <w:sz w:val="22"/>
          <w:szCs w:val="22"/>
        </w:rPr>
        <w:t>, or skilled nursing facilit</w:t>
      </w:r>
      <w:r w:rsidR="008E5D54">
        <w:rPr>
          <w:rFonts w:asciiTheme="minorHAnsi" w:hAnsiTheme="minorHAnsi" w:cstheme="minorHAnsi"/>
          <w:color w:val="202020"/>
          <w:sz w:val="22"/>
          <w:szCs w:val="22"/>
        </w:rPr>
        <w:t>ies</w:t>
      </w:r>
      <w:r w:rsidR="009566C6">
        <w:rPr>
          <w:rFonts w:asciiTheme="minorHAnsi" w:hAnsiTheme="minorHAnsi" w:cstheme="minorHAnsi"/>
          <w:color w:val="202020"/>
          <w:sz w:val="22"/>
          <w:szCs w:val="22"/>
        </w:rPr>
        <w:t>.</w:t>
      </w:r>
      <w:r>
        <w:rPr>
          <w:rFonts w:asciiTheme="minorHAnsi" w:hAnsiTheme="minorHAnsi" w:cstheme="minorHAnsi"/>
          <w:color w:val="202020"/>
          <w:sz w:val="22"/>
          <w:szCs w:val="22"/>
        </w:rPr>
        <w:t xml:space="preserve"> </w:t>
      </w:r>
      <w:r w:rsidR="008E5D54">
        <w:rPr>
          <w:rFonts w:asciiTheme="minorHAnsi" w:hAnsiTheme="minorHAnsi" w:cstheme="minorHAnsi"/>
          <w:color w:val="202020"/>
          <w:sz w:val="22"/>
          <w:szCs w:val="22"/>
        </w:rPr>
        <w:t xml:space="preserve">Additionally, unvaccinated individuals undergoing aerosol generating procedures (AGP) in the ambulatory setting should be tested prior to the procedure. </w:t>
      </w:r>
    </w:p>
    <w:p w14:paraId="2356A825" w14:textId="77777777" w:rsidR="008E5D54" w:rsidRDefault="008E5D54" w:rsidP="001F18B6">
      <w:pPr>
        <w:rPr>
          <w:rFonts w:asciiTheme="minorHAnsi" w:hAnsiTheme="minorHAnsi" w:cstheme="minorHAnsi"/>
          <w:color w:val="202020"/>
          <w:sz w:val="22"/>
          <w:szCs w:val="22"/>
        </w:rPr>
      </w:pPr>
    </w:p>
    <w:p w14:paraId="7335AB3B" w14:textId="3EE78CCC" w:rsidR="00F0531F" w:rsidRDefault="00EE13C0" w:rsidP="001F18B6">
      <w:pPr>
        <w:rPr>
          <w:rFonts w:asciiTheme="minorHAnsi" w:hAnsiTheme="minorHAnsi" w:cstheme="minorHAnsi"/>
          <w:color w:val="202020"/>
          <w:sz w:val="22"/>
          <w:szCs w:val="22"/>
        </w:rPr>
      </w:pPr>
      <w:r>
        <w:rPr>
          <w:rFonts w:asciiTheme="minorHAnsi" w:hAnsiTheme="minorHAnsi" w:cstheme="minorHAnsi"/>
          <w:color w:val="202020"/>
          <w:sz w:val="22"/>
          <w:szCs w:val="22"/>
        </w:rPr>
        <w:t>Vaccinated individuals</w:t>
      </w:r>
      <w:r w:rsidR="0014201C">
        <w:rPr>
          <w:rFonts w:asciiTheme="minorHAnsi" w:hAnsiTheme="minorHAnsi" w:cstheme="minorHAnsi"/>
          <w:color w:val="202020"/>
          <w:sz w:val="22"/>
          <w:szCs w:val="22"/>
        </w:rPr>
        <w:t>, who do not have symptoms of COVID-19 AND have not had a known expo</w:t>
      </w:r>
      <w:r w:rsidR="007C6E85">
        <w:rPr>
          <w:rFonts w:asciiTheme="minorHAnsi" w:hAnsiTheme="minorHAnsi" w:cstheme="minorHAnsi"/>
          <w:color w:val="202020"/>
          <w:sz w:val="22"/>
          <w:szCs w:val="22"/>
        </w:rPr>
        <w:t>s</w:t>
      </w:r>
      <w:r w:rsidR="0014201C">
        <w:rPr>
          <w:rFonts w:asciiTheme="minorHAnsi" w:hAnsiTheme="minorHAnsi" w:cstheme="minorHAnsi"/>
          <w:color w:val="202020"/>
          <w:sz w:val="22"/>
          <w:szCs w:val="22"/>
        </w:rPr>
        <w:t>ure to COVID-19 in the last 14 days,</w:t>
      </w:r>
      <w:r>
        <w:rPr>
          <w:rFonts w:asciiTheme="minorHAnsi" w:hAnsiTheme="minorHAnsi" w:cstheme="minorHAnsi"/>
          <w:color w:val="202020"/>
          <w:sz w:val="22"/>
          <w:szCs w:val="22"/>
        </w:rPr>
        <w:t xml:space="preserve"> do not require testing upon inpatient admission</w:t>
      </w:r>
      <w:r w:rsidR="00BE43A0">
        <w:rPr>
          <w:rFonts w:asciiTheme="minorHAnsi" w:hAnsiTheme="minorHAnsi" w:cstheme="minorHAnsi"/>
          <w:color w:val="202020"/>
          <w:sz w:val="22"/>
          <w:szCs w:val="22"/>
        </w:rPr>
        <w:t xml:space="preserve"> or prior to ambulatory AGPs</w:t>
      </w:r>
      <w:r>
        <w:rPr>
          <w:rFonts w:asciiTheme="minorHAnsi" w:hAnsiTheme="minorHAnsi" w:cstheme="minorHAnsi"/>
          <w:color w:val="202020"/>
          <w:sz w:val="22"/>
          <w:szCs w:val="22"/>
        </w:rPr>
        <w:t>.</w:t>
      </w:r>
    </w:p>
    <w:p w14:paraId="7552CF2E" w14:textId="77777777" w:rsidR="009566C6" w:rsidRDefault="009566C6" w:rsidP="001F18B6">
      <w:pPr>
        <w:rPr>
          <w:rFonts w:asciiTheme="minorHAnsi" w:hAnsiTheme="minorHAnsi" w:cstheme="minorHAnsi"/>
          <w:b/>
          <w:i/>
          <w:color w:val="202020"/>
          <w:sz w:val="22"/>
          <w:szCs w:val="22"/>
        </w:rPr>
      </w:pPr>
    </w:p>
    <w:p w14:paraId="70A9462D" w14:textId="64756A11" w:rsidR="00E53B80" w:rsidRDefault="00F91C5C" w:rsidP="00F91C5C">
      <w:pPr>
        <w:spacing w:after="120"/>
        <w:rPr>
          <w:rFonts w:asciiTheme="minorHAnsi" w:hAnsiTheme="minorHAnsi" w:cstheme="minorHAnsi"/>
          <w:color w:val="202020"/>
          <w:sz w:val="22"/>
          <w:szCs w:val="22"/>
        </w:rPr>
      </w:pPr>
      <w:r w:rsidRPr="00801687">
        <w:rPr>
          <w:rFonts w:asciiTheme="minorHAnsi" w:hAnsiTheme="minorHAnsi" w:cstheme="minorHAnsi"/>
          <w:b/>
          <w:i/>
          <w:color w:val="202020"/>
          <w:sz w:val="22"/>
          <w:szCs w:val="22"/>
        </w:rPr>
        <w:t xml:space="preserve">Asymptomatic </w:t>
      </w:r>
      <w:r w:rsidR="00BE43A0">
        <w:rPr>
          <w:rFonts w:asciiTheme="minorHAnsi" w:hAnsiTheme="minorHAnsi" w:cstheme="minorHAnsi"/>
          <w:b/>
          <w:i/>
          <w:color w:val="202020"/>
          <w:sz w:val="22"/>
          <w:szCs w:val="22"/>
        </w:rPr>
        <w:t>i</w:t>
      </w:r>
      <w:r w:rsidRPr="00801687">
        <w:rPr>
          <w:rFonts w:asciiTheme="minorHAnsi" w:hAnsiTheme="minorHAnsi" w:cstheme="minorHAnsi"/>
          <w:b/>
          <w:i/>
          <w:color w:val="202020"/>
          <w:sz w:val="22"/>
          <w:szCs w:val="22"/>
        </w:rPr>
        <w:t>ndividuals</w:t>
      </w:r>
      <w:r>
        <w:rPr>
          <w:rFonts w:asciiTheme="minorHAnsi" w:hAnsiTheme="minorHAnsi" w:cstheme="minorHAnsi"/>
          <w:color w:val="202020"/>
          <w:sz w:val="22"/>
          <w:szCs w:val="22"/>
        </w:rPr>
        <w:t xml:space="preserve">: </w:t>
      </w:r>
    </w:p>
    <w:p w14:paraId="561FF6C6" w14:textId="6204678A" w:rsidR="008F3A5E" w:rsidRDefault="00F91C5C" w:rsidP="001F18B6">
      <w:pPr>
        <w:rPr>
          <w:rFonts w:asciiTheme="minorHAnsi" w:hAnsiTheme="minorHAnsi" w:cstheme="minorHAnsi"/>
          <w:b/>
          <w:bCs/>
          <w:color w:val="202020"/>
          <w:sz w:val="22"/>
          <w:szCs w:val="22"/>
        </w:rPr>
      </w:pPr>
      <w:r>
        <w:rPr>
          <w:rFonts w:asciiTheme="minorHAnsi" w:hAnsiTheme="minorHAnsi" w:cstheme="minorHAnsi"/>
          <w:color w:val="202020"/>
          <w:sz w:val="22"/>
          <w:szCs w:val="22"/>
        </w:rPr>
        <w:t>Asymptomatic individuals</w:t>
      </w:r>
      <w:r w:rsidR="009D5166">
        <w:rPr>
          <w:rFonts w:asciiTheme="minorHAnsi" w:hAnsiTheme="minorHAnsi" w:cstheme="minorHAnsi"/>
          <w:color w:val="202020"/>
          <w:sz w:val="22"/>
          <w:szCs w:val="22"/>
        </w:rPr>
        <w:t xml:space="preserve"> not identified as close contacts</w:t>
      </w:r>
      <w:r>
        <w:rPr>
          <w:rFonts w:asciiTheme="minorHAnsi" w:hAnsiTheme="minorHAnsi" w:cstheme="minorHAnsi"/>
          <w:color w:val="202020"/>
          <w:sz w:val="22"/>
          <w:szCs w:val="22"/>
        </w:rPr>
        <w:t xml:space="preserve"> can be recommended for diagnostic testing</w:t>
      </w:r>
      <w:r w:rsidR="00941B06">
        <w:rPr>
          <w:rFonts w:asciiTheme="minorHAnsi" w:hAnsiTheme="minorHAnsi" w:cstheme="minorHAnsi"/>
          <w:color w:val="202020"/>
          <w:sz w:val="22"/>
          <w:szCs w:val="22"/>
        </w:rPr>
        <w:t xml:space="preserve"> (NAAT or antigen)</w:t>
      </w:r>
      <w:r>
        <w:rPr>
          <w:rFonts w:asciiTheme="minorHAnsi" w:hAnsiTheme="minorHAnsi" w:cstheme="minorHAnsi"/>
          <w:color w:val="202020"/>
          <w:sz w:val="22"/>
          <w:szCs w:val="22"/>
        </w:rPr>
        <w:t xml:space="preserve"> at the </w:t>
      </w:r>
      <w:r w:rsidR="00C37559">
        <w:rPr>
          <w:rFonts w:asciiTheme="minorHAnsi" w:hAnsiTheme="minorHAnsi" w:cstheme="minorHAnsi"/>
          <w:color w:val="202020"/>
          <w:sz w:val="22"/>
          <w:szCs w:val="22"/>
        </w:rPr>
        <w:t xml:space="preserve">direction </w:t>
      </w:r>
      <w:r>
        <w:rPr>
          <w:rFonts w:asciiTheme="minorHAnsi" w:hAnsiTheme="minorHAnsi" w:cstheme="minorHAnsi"/>
          <w:color w:val="202020"/>
          <w:sz w:val="22"/>
          <w:szCs w:val="22"/>
        </w:rPr>
        <w:t>of their healthcare provider</w:t>
      </w:r>
      <w:r w:rsidR="00687ACF">
        <w:rPr>
          <w:rFonts w:asciiTheme="minorHAnsi" w:hAnsiTheme="minorHAnsi" w:cstheme="minorHAnsi"/>
          <w:color w:val="202020"/>
          <w:sz w:val="22"/>
          <w:szCs w:val="22"/>
        </w:rPr>
        <w:t xml:space="preserve">, </w:t>
      </w:r>
      <w:r w:rsidR="00A16160">
        <w:rPr>
          <w:rFonts w:asciiTheme="minorHAnsi" w:hAnsiTheme="minorHAnsi" w:cstheme="minorHAnsi"/>
          <w:color w:val="202020"/>
          <w:sz w:val="22"/>
          <w:szCs w:val="22"/>
        </w:rPr>
        <w:t>the Department of Public Health</w:t>
      </w:r>
      <w:r w:rsidR="00687ACF">
        <w:rPr>
          <w:rFonts w:asciiTheme="minorHAnsi" w:hAnsiTheme="minorHAnsi" w:cstheme="minorHAnsi"/>
          <w:color w:val="202020"/>
          <w:sz w:val="22"/>
          <w:szCs w:val="22"/>
        </w:rPr>
        <w:t>,</w:t>
      </w:r>
      <w:r>
        <w:rPr>
          <w:rFonts w:asciiTheme="minorHAnsi" w:hAnsiTheme="minorHAnsi" w:cstheme="minorHAnsi"/>
          <w:color w:val="202020"/>
          <w:sz w:val="22"/>
          <w:szCs w:val="22"/>
        </w:rPr>
        <w:t xml:space="preserve"> </w:t>
      </w:r>
      <w:r w:rsidR="008A6A0F">
        <w:rPr>
          <w:rFonts w:asciiTheme="minorHAnsi" w:hAnsiTheme="minorHAnsi" w:cstheme="minorHAnsi"/>
          <w:color w:val="202020"/>
          <w:sz w:val="22"/>
          <w:szCs w:val="22"/>
        </w:rPr>
        <w:t xml:space="preserve">or </w:t>
      </w:r>
      <w:r w:rsidR="009D5166">
        <w:rPr>
          <w:rFonts w:asciiTheme="minorHAnsi" w:hAnsiTheme="minorHAnsi" w:cstheme="minorHAnsi"/>
          <w:color w:val="202020"/>
          <w:sz w:val="22"/>
          <w:szCs w:val="22"/>
        </w:rPr>
        <w:t>a local Board of Health</w:t>
      </w:r>
      <w:r w:rsidR="009566C6">
        <w:rPr>
          <w:rFonts w:asciiTheme="minorHAnsi" w:hAnsiTheme="minorHAnsi" w:cstheme="minorHAnsi"/>
          <w:color w:val="202020"/>
          <w:sz w:val="22"/>
          <w:szCs w:val="22"/>
        </w:rPr>
        <w:t xml:space="preserve">. </w:t>
      </w:r>
      <w:r w:rsidR="00737A36">
        <w:rPr>
          <w:rFonts w:asciiTheme="minorHAnsi" w:hAnsiTheme="minorHAnsi" w:cstheme="minorHAnsi"/>
          <w:color w:val="202020"/>
          <w:sz w:val="22"/>
          <w:szCs w:val="22"/>
        </w:rPr>
        <w:t xml:space="preserve">Testing generally requires a clinician’s order and </w:t>
      </w:r>
      <w:r w:rsidR="00737A36" w:rsidRPr="00FC134B">
        <w:rPr>
          <w:rFonts w:asciiTheme="minorHAnsi" w:hAnsiTheme="minorHAnsi" w:cstheme="minorHAnsi"/>
          <w:bCs/>
          <w:color w:val="202020"/>
          <w:sz w:val="22"/>
          <w:szCs w:val="22"/>
        </w:rPr>
        <w:t>a</w:t>
      </w:r>
      <w:r w:rsidR="009566C6" w:rsidRPr="00FC134B">
        <w:rPr>
          <w:rFonts w:asciiTheme="minorHAnsi" w:hAnsiTheme="minorHAnsi" w:cstheme="minorHAnsi"/>
          <w:bCs/>
          <w:color w:val="202020"/>
          <w:sz w:val="22"/>
          <w:szCs w:val="22"/>
        </w:rPr>
        <w:t>symptomatic individuals are s</w:t>
      </w:r>
      <w:r w:rsidR="00D26CAC" w:rsidRPr="00FC134B">
        <w:rPr>
          <w:rFonts w:asciiTheme="minorHAnsi" w:hAnsiTheme="minorHAnsi" w:cstheme="minorHAnsi"/>
          <w:bCs/>
          <w:color w:val="202020"/>
          <w:sz w:val="22"/>
          <w:szCs w:val="22"/>
        </w:rPr>
        <w:t xml:space="preserve">trongly </w:t>
      </w:r>
      <w:r w:rsidR="00831A95" w:rsidRPr="00FC134B">
        <w:rPr>
          <w:rFonts w:asciiTheme="minorHAnsi" w:hAnsiTheme="minorHAnsi" w:cstheme="minorHAnsi"/>
          <w:bCs/>
          <w:color w:val="202020"/>
          <w:sz w:val="22"/>
          <w:szCs w:val="22"/>
        </w:rPr>
        <w:t xml:space="preserve">encouraged </w:t>
      </w:r>
      <w:r w:rsidR="00D26CAC" w:rsidRPr="00FC134B">
        <w:rPr>
          <w:rFonts w:asciiTheme="minorHAnsi" w:hAnsiTheme="minorHAnsi" w:cstheme="minorHAnsi"/>
          <w:bCs/>
          <w:color w:val="202020"/>
          <w:sz w:val="22"/>
          <w:szCs w:val="22"/>
        </w:rPr>
        <w:t xml:space="preserve">to </w:t>
      </w:r>
      <w:r w:rsidR="008A25D9" w:rsidRPr="00FC134B">
        <w:rPr>
          <w:rFonts w:asciiTheme="minorHAnsi" w:hAnsiTheme="minorHAnsi" w:cstheme="minorHAnsi"/>
          <w:bCs/>
          <w:color w:val="202020"/>
          <w:sz w:val="22"/>
          <w:szCs w:val="22"/>
        </w:rPr>
        <w:t>contact the</w:t>
      </w:r>
      <w:r w:rsidR="009566C6" w:rsidRPr="00FC134B">
        <w:rPr>
          <w:rFonts w:asciiTheme="minorHAnsi" w:hAnsiTheme="minorHAnsi" w:cstheme="minorHAnsi"/>
          <w:bCs/>
          <w:color w:val="202020"/>
          <w:sz w:val="22"/>
          <w:szCs w:val="22"/>
        </w:rPr>
        <w:t>ir</w:t>
      </w:r>
      <w:r w:rsidR="008A25D9" w:rsidRPr="00FC134B">
        <w:rPr>
          <w:rFonts w:asciiTheme="minorHAnsi" w:hAnsiTheme="minorHAnsi" w:cstheme="minorHAnsi"/>
          <w:bCs/>
          <w:color w:val="202020"/>
          <w:sz w:val="22"/>
          <w:szCs w:val="22"/>
        </w:rPr>
        <w:t xml:space="preserve"> insurer to confirm coverage</w:t>
      </w:r>
      <w:r w:rsidR="009566C6" w:rsidRPr="00FC134B">
        <w:rPr>
          <w:rFonts w:asciiTheme="minorHAnsi" w:hAnsiTheme="minorHAnsi" w:cstheme="minorHAnsi"/>
          <w:bCs/>
          <w:color w:val="202020"/>
          <w:sz w:val="22"/>
          <w:szCs w:val="22"/>
        </w:rPr>
        <w:t>.</w:t>
      </w:r>
    </w:p>
    <w:p w14:paraId="7679A952" w14:textId="487A42A6" w:rsidR="001F18B6" w:rsidRDefault="001F18B6" w:rsidP="001F18B6">
      <w:pPr>
        <w:rPr>
          <w:rFonts w:asciiTheme="minorHAnsi" w:hAnsiTheme="minorHAnsi" w:cstheme="minorHAnsi"/>
          <w:color w:val="202020"/>
          <w:sz w:val="22"/>
          <w:szCs w:val="22"/>
        </w:rPr>
      </w:pPr>
    </w:p>
    <w:p w14:paraId="0872945D" w14:textId="5B0F14A2" w:rsidR="001E71AE" w:rsidRDefault="001E71AE" w:rsidP="009D5166">
      <w:pPr>
        <w:spacing w:after="120"/>
        <w:rPr>
          <w:rFonts w:asciiTheme="minorHAnsi" w:hAnsiTheme="minorHAnsi" w:cstheme="minorHAnsi"/>
          <w:b/>
          <w:i/>
          <w:color w:val="202020"/>
          <w:sz w:val="22"/>
          <w:szCs w:val="22"/>
        </w:rPr>
      </w:pPr>
      <w:r>
        <w:rPr>
          <w:rFonts w:asciiTheme="minorHAnsi" w:hAnsiTheme="minorHAnsi" w:cstheme="minorHAnsi"/>
          <w:b/>
          <w:i/>
          <w:color w:val="202020"/>
          <w:sz w:val="22"/>
          <w:szCs w:val="22"/>
        </w:rPr>
        <w:t>Screening</w:t>
      </w:r>
      <w:r w:rsidR="00BE43A0">
        <w:rPr>
          <w:rFonts w:asciiTheme="minorHAnsi" w:hAnsiTheme="minorHAnsi" w:cstheme="minorHAnsi"/>
          <w:b/>
          <w:i/>
          <w:color w:val="202020"/>
          <w:sz w:val="22"/>
          <w:szCs w:val="22"/>
        </w:rPr>
        <w:t>:</w:t>
      </w:r>
    </w:p>
    <w:p w14:paraId="39DEEC2E" w14:textId="619914D1" w:rsidR="006B466B" w:rsidRDefault="00BE43A0" w:rsidP="00BE43A0">
      <w:pPr>
        <w:rPr>
          <w:rFonts w:asciiTheme="minorHAnsi" w:hAnsiTheme="minorHAnsi" w:cstheme="minorHAnsi"/>
          <w:b/>
          <w:i/>
          <w:color w:val="202020"/>
          <w:sz w:val="22"/>
          <w:szCs w:val="22"/>
        </w:rPr>
      </w:pPr>
      <w:r>
        <w:rPr>
          <w:rFonts w:asciiTheme="minorHAnsi" w:hAnsiTheme="minorHAnsi" w:cstheme="minorHAnsi"/>
          <w:bCs/>
          <w:iCs/>
          <w:color w:val="202020"/>
          <w:sz w:val="22"/>
          <w:szCs w:val="22"/>
        </w:rPr>
        <w:t xml:space="preserve">In certain situations, screening testing may be helpful in identifying people with COVID-19. Examples include testing of asymptomatic individuals not identified as close contacts in the workplace, schools and universities, and prior to travel. Symptom-based screening has a low sensitivity and low specificity for detecting individuals with COVID-19. Pooled sample testing increases the number of individuals that can be tested but has a greater likelihood of false negative results. Clinicians should use discretion when selecting or recommending home-based rapid antigen tests for screening testing as the performance characteristics may vary between tests. While any positive results from a home-based rapid antigen test should be considered evidence of infection, only medically attended home-based tests will be used for epidemiologic reporting purposes.  </w:t>
      </w:r>
    </w:p>
    <w:p w14:paraId="7B1EEAB8" w14:textId="77777777" w:rsidR="001E71AE" w:rsidRDefault="001E71AE" w:rsidP="00FC134B">
      <w:pPr>
        <w:rPr>
          <w:rFonts w:asciiTheme="minorHAnsi" w:hAnsiTheme="minorHAnsi" w:cstheme="minorHAnsi"/>
          <w:b/>
          <w:i/>
          <w:color w:val="202020"/>
          <w:sz w:val="22"/>
          <w:szCs w:val="22"/>
        </w:rPr>
      </w:pPr>
    </w:p>
    <w:p w14:paraId="33E62A31" w14:textId="54B3B048" w:rsidR="009D5166" w:rsidRDefault="00B5473D" w:rsidP="009D5166">
      <w:pPr>
        <w:spacing w:after="120"/>
        <w:rPr>
          <w:rFonts w:asciiTheme="minorHAnsi" w:hAnsiTheme="minorHAnsi" w:cstheme="minorHAnsi"/>
          <w:b/>
          <w:i/>
          <w:color w:val="202020"/>
          <w:sz w:val="22"/>
          <w:szCs w:val="22"/>
        </w:rPr>
      </w:pPr>
      <w:r>
        <w:rPr>
          <w:rFonts w:asciiTheme="minorHAnsi" w:hAnsiTheme="minorHAnsi" w:cstheme="minorHAnsi"/>
          <w:b/>
          <w:i/>
          <w:color w:val="202020"/>
          <w:sz w:val="22"/>
          <w:szCs w:val="22"/>
        </w:rPr>
        <w:t xml:space="preserve">Previously </w:t>
      </w:r>
      <w:r w:rsidR="00BA575C">
        <w:rPr>
          <w:rFonts w:asciiTheme="minorHAnsi" w:hAnsiTheme="minorHAnsi" w:cstheme="minorHAnsi"/>
          <w:b/>
          <w:i/>
          <w:color w:val="202020"/>
          <w:sz w:val="22"/>
          <w:szCs w:val="22"/>
        </w:rPr>
        <w:t>p</w:t>
      </w:r>
      <w:r>
        <w:rPr>
          <w:rFonts w:asciiTheme="minorHAnsi" w:hAnsiTheme="minorHAnsi" w:cstheme="minorHAnsi"/>
          <w:b/>
          <w:i/>
          <w:color w:val="202020"/>
          <w:sz w:val="22"/>
          <w:szCs w:val="22"/>
        </w:rPr>
        <w:t xml:space="preserve">ositive </w:t>
      </w:r>
      <w:r w:rsidR="00BA575C">
        <w:rPr>
          <w:rFonts w:asciiTheme="minorHAnsi" w:hAnsiTheme="minorHAnsi" w:cstheme="minorHAnsi"/>
          <w:b/>
          <w:i/>
          <w:color w:val="202020"/>
          <w:sz w:val="22"/>
          <w:szCs w:val="22"/>
        </w:rPr>
        <w:t>i</w:t>
      </w:r>
      <w:r>
        <w:rPr>
          <w:rFonts w:asciiTheme="minorHAnsi" w:hAnsiTheme="minorHAnsi" w:cstheme="minorHAnsi"/>
          <w:b/>
          <w:i/>
          <w:color w:val="202020"/>
          <w:sz w:val="22"/>
          <w:szCs w:val="22"/>
        </w:rPr>
        <w:t>ndividual</w:t>
      </w:r>
      <w:r w:rsidR="00BA575C">
        <w:rPr>
          <w:rFonts w:asciiTheme="minorHAnsi" w:hAnsiTheme="minorHAnsi" w:cstheme="minorHAnsi"/>
          <w:b/>
          <w:i/>
          <w:color w:val="202020"/>
          <w:sz w:val="22"/>
          <w:szCs w:val="22"/>
        </w:rPr>
        <w:t>s</w:t>
      </w:r>
      <w:r>
        <w:rPr>
          <w:rFonts w:asciiTheme="minorHAnsi" w:hAnsiTheme="minorHAnsi" w:cstheme="minorHAnsi"/>
          <w:b/>
          <w:i/>
          <w:color w:val="202020"/>
          <w:sz w:val="22"/>
          <w:szCs w:val="22"/>
        </w:rPr>
        <w:t xml:space="preserve"> </w:t>
      </w:r>
      <w:r w:rsidR="00BA575C">
        <w:rPr>
          <w:rFonts w:asciiTheme="minorHAnsi" w:hAnsiTheme="minorHAnsi" w:cstheme="minorHAnsi"/>
          <w:b/>
          <w:i/>
          <w:color w:val="202020"/>
          <w:sz w:val="22"/>
          <w:szCs w:val="22"/>
        </w:rPr>
        <w:t>c</w:t>
      </w:r>
      <w:r>
        <w:rPr>
          <w:rFonts w:asciiTheme="minorHAnsi" w:hAnsiTheme="minorHAnsi" w:cstheme="minorHAnsi"/>
          <w:b/>
          <w:i/>
          <w:color w:val="202020"/>
          <w:sz w:val="22"/>
          <w:szCs w:val="22"/>
        </w:rPr>
        <w:t xml:space="preserve">leared from </w:t>
      </w:r>
      <w:r w:rsidR="00BA575C">
        <w:rPr>
          <w:rFonts w:asciiTheme="minorHAnsi" w:hAnsiTheme="minorHAnsi" w:cstheme="minorHAnsi"/>
          <w:b/>
          <w:i/>
          <w:color w:val="202020"/>
          <w:sz w:val="22"/>
          <w:szCs w:val="22"/>
        </w:rPr>
        <w:t>i</w:t>
      </w:r>
      <w:r>
        <w:rPr>
          <w:rFonts w:asciiTheme="minorHAnsi" w:hAnsiTheme="minorHAnsi" w:cstheme="minorHAnsi"/>
          <w:b/>
          <w:i/>
          <w:color w:val="202020"/>
          <w:sz w:val="22"/>
          <w:szCs w:val="22"/>
        </w:rPr>
        <w:t>solation</w:t>
      </w:r>
      <w:r w:rsidR="009D5166">
        <w:rPr>
          <w:rFonts w:asciiTheme="minorHAnsi" w:hAnsiTheme="minorHAnsi" w:cstheme="minorHAnsi"/>
          <w:b/>
          <w:i/>
          <w:color w:val="202020"/>
          <w:sz w:val="22"/>
          <w:szCs w:val="22"/>
        </w:rPr>
        <w:t>:</w:t>
      </w:r>
    </w:p>
    <w:p w14:paraId="1FED5752" w14:textId="615F0816" w:rsidR="00A3539B" w:rsidRDefault="00B5473D" w:rsidP="00F91C5C">
      <w:pPr>
        <w:spacing w:after="120"/>
        <w:rPr>
          <w:rFonts w:asciiTheme="minorHAnsi" w:hAnsiTheme="minorHAnsi" w:cstheme="minorHAnsi"/>
          <w:bCs/>
          <w:iCs/>
          <w:color w:val="202020"/>
          <w:sz w:val="22"/>
          <w:szCs w:val="22"/>
        </w:rPr>
      </w:pPr>
      <w:r>
        <w:rPr>
          <w:rFonts w:asciiTheme="minorHAnsi" w:hAnsiTheme="minorHAnsi" w:cstheme="minorHAnsi"/>
          <w:bCs/>
          <w:iCs/>
          <w:color w:val="202020"/>
          <w:sz w:val="22"/>
          <w:szCs w:val="22"/>
        </w:rPr>
        <w:t>Individuals previously diagnosed with COVID-19 infection confirmed by molecular diagnostic testing</w:t>
      </w:r>
      <w:r w:rsidR="00453535">
        <w:rPr>
          <w:rFonts w:asciiTheme="minorHAnsi" w:hAnsiTheme="minorHAnsi" w:cstheme="minorHAnsi"/>
          <w:bCs/>
          <w:iCs/>
          <w:color w:val="202020"/>
          <w:sz w:val="22"/>
          <w:szCs w:val="22"/>
        </w:rPr>
        <w:t xml:space="preserve"> may continue to have PCR detection of viral RNA for</w:t>
      </w:r>
      <w:r w:rsidR="00F10977">
        <w:rPr>
          <w:rFonts w:asciiTheme="minorHAnsi" w:hAnsiTheme="minorHAnsi" w:cstheme="minorHAnsi"/>
          <w:bCs/>
          <w:iCs/>
          <w:color w:val="202020"/>
          <w:sz w:val="22"/>
          <w:szCs w:val="22"/>
        </w:rPr>
        <w:t xml:space="preserve"> several</w:t>
      </w:r>
      <w:r w:rsidR="00453535">
        <w:rPr>
          <w:rFonts w:asciiTheme="minorHAnsi" w:hAnsiTheme="minorHAnsi" w:cstheme="minorHAnsi"/>
          <w:bCs/>
          <w:iCs/>
          <w:color w:val="202020"/>
          <w:sz w:val="22"/>
          <w:szCs w:val="22"/>
        </w:rPr>
        <w:t xml:space="preserve"> weeks.  This</w:t>
      </w:r>
      <w:r w:rsidR="00EE13C0">
        <w:rPr>
          <w:rFonts w:asciiTheme="minorHAnsi" w:hAnsiTheme="minorHAnsi" w:cstheme="minorHAnsi"/>
          <w:bCs/>
          <w:iCs/>
          <w:color w:val="202020"/>
          <w:sz w:val="22"/>
          <w:szCs w:val="22"/>
        </w:rPr>
        <w:t xml:space="preserve"> persistence of viral RNA</w:t>
      </w:r>
      <w:r w:rsidR="00453535">
        <w:rPr>
          <w:rFonts w:asciiTheme="minorHAnsi" w:hAnsiTheme="minorHAnsi" w:cstheme="minorHAnsi"/>
          <w:bCs/>
          <w:iCs/>
          <w:color w:val="202020"/>
          <w:sz w:val="22"/>
          <w:szCs w:val="22"/>
        </w:rPr>
        <w:t xml:space="preserve"> does not correlate with</w:t>
      </w:r>
      <w:r w:rsidR="00F10977">
        <w:rPr>
          <w:rFonts w:asciiTheme="minorHAnsi" w:hAnsiTheme="minorHAnsi" w:cstheme="minorHAnsi"/>
          <w:bCs/>
          <w:iCs/>
          <w:color w:val="202020"/>
          <w:sz w:val="22"/>
          <w:szCs w:val="22"/>
        </w:rPr>
        <w:t xml:space="preserve"> the</w:t>
      </w:r>
      <w:r w:rsidR="00453535">
        <w:rPr>
          <w:rFonts w:asciiTheme="minorHAnsi" w:hAnsiTheme="minorHAnsi" w:cstheme="minorHAnsi"/>
          <w:bCs/>
          <w:iCs/>
          <w:color w:val="202020"/>
          <w:sz w:val="22"/>
          <w:szCs w:val="22"/>
        </w:rPr>
        <w:t xml:space="preserve"> </w:t>
      </w:r>
      <w:r w:rsidR="00F10977">
        <w:rPr>
          <w:rFonts w:asciiTheme="minorHAnsi" w:hAnsiTheme="minorHAnsi" w:cstheme="minorHAnsi"/>
          <w:bCs/>
          <w:iCs/>
          <w:color w:val="202020"/>
          <w:sz w:val="22"/>
          <w:szCs w:val="22"/>
        </w:rPr>
        <w:t>presence</w:t>
      </w:r>
      <w:r w:rsidR="00453535">
        <w:rPr>
          <w:rFonts w:asciiTheme="minorHAnsi" w:hAnsiTheme="minorHAnsi" w:cstheme="minorHAnsi"/>
          <w:bCs/>
          <w:iCs/>
          <w:color w:val="202020"/>
          <w:sz w:val="22"/>
          <w:szCs w:val="22"/>
        </w:rPr>
        <w:t xml:space="preserve"> </w:t>
      </w:r>
      <w:r w:rsidR="00F10977">
        <w:rPr>
          <w:rFonts w:asciiTheme="minorHAnsi" w:hAnsiTheme="minorHAnsi" w:cstheme="minorHAnsi"/>
          <w:bCs/>
          <w:iCs/>
          <w:color w:val="202020"/>
          <w:sz w:val="22"/>
          <w:szCs w:val="22"/>
        </w:rPr>
        <w:t xml:space="preserve">or transmissibility </w:t>
      </w:r>
      <w:r w:rsidR="00453535">
        <w:rPr>
          <w:rFonts w:asciiTheme="minorHAnsi" w:hAnsiTheme="minorHAnsi" w:cstheme="minorHAnsi"/>
          <w:bCs/>
          <w:iCs/>
          <w:color w:val="202020"/>
          <w:sz w:val="22"/>
          <w:szCs w:val="22"/>
        </w:rPr>
        <w:t>of live virus</w:t>
      </w:r>
      <w:r w:rsidR="00EE13C0">
        <w:rPr>
          <w:rFonts w:asciiTheme="minorHAnsi" w:hAnsiTheme="minorHAnsi" w:cstheme="minorHAnsi"/>
          <w:bCs/>
          <w:iCs/>
          <w:color w:val="202020"/>
          <w:sz w:val="22"/>
          <w:szCs w:val="22"/>
        </w:rPr>
        <w:t>.</w:t>
      </w:r>
      <w:r w:rsidR="00453535">
        <w:rPr>
          <w:rFonts w:asciiTheme="minorHAnsi" w:hAnsiTheme="minorHAnsi" w:cstheme="minorHAnsi"/>
          <w:bCs/>
          <w:iCs/>
          <w:color w:val="202020"/>
          <w:sz w:val="22"/>
          <w:szCs w:val="22"/>
        </w:rPr>
        <w:t xml:space="preserve"> </w:t>
      </w:r>
      <w:r w:rsidR="00EE13C0">
        <w:rPr>
          <w:rFonts w:asciiTheme="minorHAnsi" w:hAnsiTheme="minorHAnsi" w:cstheme="minorHAnsi"/>
          <w:bCs/>
          <w:iCs/>
          <w:color w:val="202020"/>
          <w:sz w:val="22"/>
          <w:szCs w:val="22"/>
        </w:rPr>
        <w:t>T</w:t>
      </w:r>
      <w:r w:rsidR="00453535">
        <w:rPr>
          <w:rFonts w:asciiTheme="minorHAnsi" w:hAnsiTheme="minorHAnsi" w:cstheme="minorHAnsi"/>
          <w:bCs/>
          <w:iCs/>
          <w:color w:val="202020"/>
          <w:sz w:val="22"/>
          <w:szCs w:val="22"/>
        </w:rPr>
        <w:t>hose</w:t>
      </w:r>
      <w:r>
        <w:rPr>
          <w:rFonts w:asciiTheme="minorHAnsi" w:hAnsiTheme="minorHAnsi" w:cstheme="minorHAnsi"/>
          <w:bCs/>
          <w:iCs/>
          <w:color w:val="202020"/>
          <w:sz w:val="22"/>
          <w:szCs w:val="22"/>
        </w:rPr>
        <w:t xml:space="preserve"> who have been cleared from isolation are not recommended for re-testing within </w:t>
      </w:r>
      <w:r w:rsidR="00174FA4">
        <w:rPr>
          <w:rFonts w:asciiTheme="minorHAnsi" w:hAnsiTheme="minorHAnsi" w:cstheme="minorHAnsi"/>
          <w:bCs/>
          <w:iCs/>
          <w:color w:val="202020"/>
          <w:sz w:val="22"/>
          <w:szCs w:val="22"/>
        </w:rPr>
        <w:t>90 days</w:t>
      </w:r>
      <w:r w:rsidR="00BE43A0">
        <w:rPr>
          <w:rFonts w:asciiTheme="minorHAnsi" w:hAnsiTheme="minorHAnsi" w:cstheme="minorHAnsi"/>
          <w:bCs/>
          <w:iCs/>
          <w:color w:val="202020"/>
          <w:sz w:val="22"/>
          <w:szCs w:val="22"/>
        </w:rPr>
        <w:t xml:space="preserve"> </w:t>
      </w:r>
      <w:r>
        <w:rPr>
          <w:rFonts w:asciiTheme="minorHAnsi" w:hAnsiTheme="minorHAnsi" w:cstheme="minorHAnsi"/>
          <w:bCs/>
          <w:iCs/>
          <w:color w:val="202020"/>
          <w:sz w:val="22"/>
          <w:szCs w:val="22"/>
        </w:rPr>
        <w:t xml:space="preserve">of their original </w:t>
      </w:r>
      <w:r w:rsidR="00174FA4">
        <w:rPr>
          <w:rFonts w:asciiTheme="minorHAnsi" w:hAnsiTheme="minorHAnsi" w:cstheme="minorHAnsi"/>
          <w:bCs/>
          <w:iCs/>
          <w:color w:val="202020"/>
          <w:sz w:val="22"/>
          <w:szCs w:val="22"/>
        </w:rPr>
        <w:t>positive test</w:t>
      </w:r>
      <w:r>
        <w:rPr>
          <w:rFonts w:asciiTheme="minorHAnsi" w:hAnsiTheme="minorHAnsi" w:cstheme="minorHAnsi"/>
          <w:bCs/>
          <w:iCs/>
          <w:color w:val="202020"/>
          <w:sz w:val="22"/>
          <w:szCs w:val="22"/>
        </w:rPr>
        <w:t>. These individuals are also not subject to quarantine</w:t>
      </w:r>
      <w:r w:rsidR="00C51CAF">
        <w:rPr>
          <w:rFonts w:asciiTheme="minorHAnsi" w:hAnsiTheme="minorHAnsi" w:cstheme="minorHAnsi"/>
          <w:bCs/>
          <w:iCs/>
          <w:color w:val="202020"/>
          <w:sz w:val="22"/>
          <w:szCs w:val="22"/>
        </w:rPr>
        <w:t xml:space="preserve"> during this period.</w:t>
      </w:r>
      <w:r w:rsidR="00453535">
        <w:rPr>
          <w:rFonts w:asciiTheme="minorHAnsi" w:hAnsiTheme="minorHAnsi" w:cstheme="minorHAnsi"/>
          <w:bCs/>
          <w:iCs/>
          <w:color w:val="202020"/>
          <w:sz w:val="22"/>
          <w:szCs w:val="22"/>
        </w:rPr>
        <w:t xml:space="preserve"> </w:t>
      </w:r>
      <w:r>
        <w:rPr>
          <w:rFonts w:asciiTheme="minorHAnsi" w:hAnsiTheme="minorHAnsi" w:cstheme="minorHAnsi"/>
          <w:bCs/>
          <w:iCs/>
          <w:color w:val="202020"/>
          <w:sz w:val="22"/>
          <w:szCs w:val="22"/>
        </w:rPr>
        <w:t xml:space="preserve"> </w:t>
      </w:r>
    </w:p>
    <w:p w14:paraId="07979549" w14:textId="6D54F627" w:rsidR="00764647" w:rsidRDefault="00093FA1" w:rsidP="00FC134B">
      <w:pPr>
        <w:spacing w:after="240"/>
        <w:rPr>
          <w:rFonts w:asciiTheme="minorHAnsi" w:hAnsiTheme="minorHAnsi" w:cstheme="minorHAnsi"/>
          <w:bCs/>
          <w:iCs/>
          <w:color w:val="202020"/>
          <w:sz w:val="22"/>
          <w:szCs w:val="22"/>
        </w:rPr>
      </w:pPr>
      <w:bookmarkStart w:id="1" w:name="_Hlk42871468"/>
      <w:r>
        <w:rPr>
          <w:rFonts w:asciiTheme="minorHAnsi" w:hAnsiTheme="minorHAnsi" w:cstheme="minorHAnsi"/>
          <w:bCs/>
          <w:iCs/>
          <w:color w:val="202020"/>
          <w:sz w:val="22"/>
          <w:szCs w:val="22"/>
        </w:rPr>
        <w:t>I</w:t>
      </w:r>
      <w:r w:rsidR="00764647" w:rsidRPr="008A25D9">
        <w:rPr>
          <w:rFonts w:asciiTheme="minorHAnsi" w:hAnsiTheme="minorHAnsi" w:cstheme="minorHAnsi"/>
          <w:bCs/>
          <w:iCs/>
          <w:color w:val="202020"/>
          <w:sz w:val="22"/>
          <w:szCs w:val="22"/>
        </w:rPr>
        <w:t xml:space="preserve">ndividuals </w:t>
      </w:r>
      <w:r w:rsidR="00BA575C">
        <w:rPr>
          <w:rFonts w:asciiTheme="minorHAnsi" w:hAnsiTheme="minorHAnsi" w:cstheme="minorHAnsi"/>
          <w:bCs/>
          <w:iCs/>
          <w:color w:val="202020"/>
          <w:sz w:val="22"/>
          <w:szCs w:val="22"/>
        </w:rPr>
        <w:t>previously</w:t>
      </w:r>
      <w:r w:rsidR="00764647" w:rsidRPr="008A25D9">
        <w:rPr>
          <w:rFonts w:asciiTheme="minorHAnsi" w:hAnsiTheme="minorHAnsi" w:cstheme="minorHAnsi"/>
          <w:bCs/>
          <w:iCs/>
          <w:color w:val="202020"/>
          <w:sz w:val="22"/>
          <w:szCs w:val="22"/>
        </w:rPr>
        <w:t xml:space="preserve"> diagnosed with COVID-19</w:t>
      </w:r>
      <w:r w:rsidR="00764647">
        <w:rPr>
          <w:rFonts w:asciiTheme="minorHAnsi" w:hAnsiTheme="minorHAnsi" w:cstheme="minorHAnsi"/>
          <w:bCs/>
          <w:iCs/>
          <w:color w:val="202020"/>
          <w:sz w:val="22"/>
          <w:szCs w:val="22"/>
        </w:rPr>
        <w:t xml:space="preserve"> </w:t>
      </w:r>
      <w:r w:rsidR="00D118AA" w:rsidRPr="00FC134B">
        <w:rPr>
          <w:rFonts w:asciiTheme="minorHAnsi" w:hAnsiTheme="minorHAnsi" w:cstheme="minorHAnsi"/>
          <w:sz w:val="22"/>
          <w:szCs w:val="22"/>
        </w:rPr>
        <w:t>who develop new symptoms</w:t>
      </w:r>
      <w:r w:rsidR="00BA065A">
        <w:rPr>
          <w:rFonts w:asciiTheme="minorHAnsi" w:hAnsiTheme="minorHAnsi" w:cstheme="minorHAnsi"/>
          <w:sz w:val="22"/>
          <w:szCs w:val="22"/>
        </w:rPr>
        <w:t xml:space="preserve"> or findings</w:t>
      </w:r>
      <w:r w:rsidR="00D118AA" w:rsidRPr="00FC134B">
        <w:rPr>
          <w:rFonts w:asciiTheme="minorHAnsi" w:hAnsiTheme="minorHAnsi" w:cstheme="minorHAnsi"/>
          <w:sz w:val="22"/>
          <w:szCs w:val="22"/>
        </w:rPr>
        <w:t xml:space="preserve"> consistent with COVID-19 during the </w:t>
      </w:r>
      <w:r w:rsidR="00C61E88">
        <w:rPr>
          <w:rFonts w:asciiTheme="minorHAnsi" w:hAnsiTheme="minorHAnsi" w:cstheme="minorHAnsi"/>
          <w:sz w:val="22"/>
          <w:szCs w:val="22"/>
        </w:rPr>
        <w:t>90 days</w:t>
      </w:r>
      <w:r w:rsidR="00D118AA" w:rsidRPr="00FC134B">
        <w:rPr>
          <w:rFonts w:asciiTheme="minorHAnsi" w:hAnsiTheme="minorHAnsi" w:cstheme="minorHAnsi"/>
          <w:sz w:val="22"/>
          <w:szCs w:val="22"/>
        </w:rPr>
        <w:t xml:space="preserve"> after the date of initial symptom onset</w:t>
      </w:r>
      <w:r w:rsidR="00764647">
        <w:rPr>
          <w:rFonts w:asciiTheme="minorHAnsi" w:hAnsiTheme="minorHAnsi" w:cstheme="minorHAnsi"/>
          <w:sz w:val="22"/>
          <w:szCs w:val="22"/>
        </w:rPr>
        <w:t xml:space="preserve"> or original positive test</w:t>
      </w:r>
      <w:r w:rsidR="00D118AA" w:rsidRPr="00FC134B">
        <w:rPr>
          <w:rFonts w:asciiTheme="minorHAnsi" w:hAnsiTheme="minorHAnsi" w:cstheme="minorHAnsi"/>
          <w:sz w:val="22"/>
          <w:szCs w:val="22"/>
        </w:rPr>
        <w:t xml:space="preserve"> </w:t>
      </w:r>
      <w:r w:rsidR="00BA065A">
        <w:rPr>
          <w:rFonts w:asciiTheme="minorHAnsi" w:hAnsiTheme="minorHAnsi" w:cstheme="minorHAnsi"/>
          <w:sz w:val="22"/>
          <w:szCs w:val="22"/>
        </w:rPr>
        <w:t>should</w:t>
      </w:r>
      <w:r w:rsidR="00BE43A0">
        <w:rPr>
          <w:rFonts w:asciiTheme="minorHAnsi" w:hAnsiTheme="minorHAnsi" w:cstheme="minorHAnsi"/>
          <w:sz w:val="22"/>
          <w:szCs w:val="22"/>
        </w:rPr>
        <w:t xml:space="preserve"> undergo evaluation for alternative etiologies. </w:t>
      </w:r>
      <w:r w:rsidR="00BE43A0" w:rsidRPr="00FC134B">
        <w:rPr>
          <w:rFonts w:asciiTheme="minorHAnsi" w:hAnsiTheme="minorHAnsi" w:cstheme="minorHAnsi"/>
          <w:sz w:val="22"/>
          <w:szCs w:val="22"/>
        </w:rPr>
        <w:t>I</w:t>
      </w:r>
      <w:r w:rsidR="00D118AA" w:rsidRPr="00FC134B">
        <w:rPr>
          <w:rFonts w:asciiTheme="minorHAnsi" w:hAnsiTheme="minorHAnsi" w:cstheme="minorHAnsi"/>
          <w:sz w:val="22"/>
          <w:szCs w:val="22"/>
        </w:rPr>
        <w:t xml:space="preserve">f an alternative etiology cannot be identified by a provider, then the person </w:t>
      </w:r>
      <w:r w:rsidR="00D118AA" w:rsidRPr="00FC134B">
        <w:rPr>
          <w:rFonts w:asciiTheme="minorHAnsi" w:hAnsiTheme="minorHAnsi" w:cstheme="minorHAnsi"/>
          <w:b/>
          <w:i/>
          <w:sz w:val="22"/>
          <w:szCs w:val="22"/>
        </w:rPr>
        <w:t>may</w:t>
      </w:r>
      <w:r w:rsidR="00D118AA" w:rsidRPr="00FC134B">
        <w:rPr>
          <w:rFonts w:asciiTheme="minorHAnsi" w:hAnsiTheme="minorHAnsi" w:cstheme="minorHAnsi"/>
          <w:sz w:val="22"/>
          <w:szCs w:val="22"/>
        </w:rPr>
        <w:t xml:space="preserve"> warrant retesting</w:t>
      </w:r>
      <w:r w:rsidR="00BE43A0">
        <w:rPr>
          <w:rFonts w:asciiTheme="minorHAnsi" w:hAnsiTheme="minorHAnsi" w:cstheme="minorHAnsi"/>
          <w:sz w:val="22"/>
          <w:szCs w:val="22"/>
        </w:rPr>
        <w:t xml:space="preserve"> for COVID-19.</w:t>
      </w:r>
      <w:r w:rsidR="00D118AA" w:rsidRPr="00FC134B">
        <w:rPr>
          <w:rFonts w:asciiTheme="minorHAnsi" w:hAnsiTheme="minorHAnsi" w:cstheme="minorHAnsi"/>
          <w:sz w:val="22"/>
          <w:szCs w:val="22"/>
        </w:rPr>
        <w:t xml:space="preserve"> </w:t>
      </w:r>
      <w:r w:rsidR="00BA065A">
        <w:rPr>
          <w:rFonts w:asciiTheme="minorHAnsi" w:hAnsiTheme="minorHAnsi" w:cstheme="minorHAnsi"/>
          <w:sz w:val="22"/>
          <w:szCs w:val="22"/>
        </w:rPr>
        <w:t>C</w:t>
      </w:r>
      <w:r w:rsidR="00D118AA" w:rsidRPr="00FC134B">
        <w:rPr>
          <w:rFonts w:asciiTheme="minorHAnsi" w:hAnsiTheme="minorHAnsi" w:cstheme="minorHAnsi"/>
          <w:sz w:val="22"/>
          <w:szCs w:val="22"/>
        </w:rPr>
        <w:t>onsultation with infectious disease or infection control experts is recommended</w:t>
      </w:r>
      <w:r w:rsidR="00FC2F6E">
        <w:rPr>
          <w:rFonts w:asciiTheme="minorHAnsi" w:hAnsiTheme="minorHAnsi" w:cstheme="minorHAnsi"/>
          <w:sz w:val="22"/>
          <w:szCs w:val="22"/>
        </w:rPr>
        <w:t xml:space="preserve"> since positive tests in this setting </w:t>
      </w:r>
      <w:r w:rsidR="00764647">
        <w:rPr>
          <w:rFonts w:asciiTheme="minorHAnsi" w:hAnsiTheme="minorHAnsi" w:cstheme="minorHAnsi"/>
          <w:sz w:val="22"/>
          <w:szCs w:val="22"/>
        </w:rPr>
        <w:t>may</w:t>
      </w:r>
      <w:r w:rsidR="00FC2F6E">
        <w:rPr>
          <w:rFonts w:asciiTheme="minorHAnsi" w:hAnsiTheme="minorHAnsi" w:cstheme="minorHAnsi"/>
          <w:sz w:val="22"/>
          <w:szCs w:val="22"/>
        </w:rPr>
        <w:t xml:space="preserve"> not represent active viral infection</w:t>
      </w:r>
      <w:r w:rsidR="00D118AA" w:rsidRPr="00FC134B">
        <w:rPr>
          <w:rFonts w:asciiTheme="minorHAnsi" w:hAnsiTheme="minorHAnsi" w:cstheme="minorHAnsi"/>
          <w:sz w:val="22"/>
          <w:szCs w:val="22"/>
        </w:rPr>
        <w:t xml:space="preserve">. Isolation </w:t>
      </w:r>
      <w:r w:rsidR="00D118AA" w:rsidRPr="00FC134B">
        <w:rPr>
          <w:rFonts w:asciiTheme="minorHAnsi" w:hAnsiTheme="minorHAnsi" w:cstheme="minorHAnsi"/>
          <w:bCs/>
          <w:iCs/>
          <w:sz w:val="22"/>
          <w:szCs w:val="22"/>
        </w:rPr>
        <w:t>may</w:t>
      </w:r>
      <w:r w:rsidR="00D118AA" w:rsidRPr="00FC134B">
        <w:rPr>
          <w:rFonts w:asciiTheme="minorHAnsi" w:hAnsiTheme="minorHAnsi" w:cstheme="minorHAnsi"/>
          <w:b/>
          <w:i/>
          <w:sz w:val="22"/>
          <w:szCs w:val="22"/>
        </w:rPr>
        <w:t xml:space="preserve"> </w:t>
      </w:r>
      <w:r w:rsidR="00D118AA" w:rsidRPr="00FC134B">
        <w:rPr>
          <w:rFonts w:asciiTheme="minorHAnsi" w:hAnsiTheme="minorHAnsi" w:cstheme="minorHAnsi"/>
          <w:sz w:val="22"/>
          <w:szCs w:val="22"/>
        </w:rPr>
        <w:t>be considered during this evaluation, especially in the event</w:t>
      </w:r>
      <w:r w:rsidR="00BA065A">
        <w:rPr>
          <w:rFonts w:asciiTheme="minorHAnsi" w:hAnsiTheme="minorHAnsi" w:cstheme="minorHAnsi"/>
          <w:sz w:val="22"/>
          <w:szCs w:val="22"/>
        </w:rPr>
        <w:t xml:space="preserve"> that no </w:t>
      </w:r>
      <w:r w:rsidR="00764647">
        <w:rPr>
          <w:rFonts w:asciiTheme="minorHAnsi" w:hAnsiTheme="minorHAnsi" w:cstheme="minorHAnsi"/>
          <w:sz w:val="22"/>
          <w:szCs w:val="22"/>
        </w:rPr>
        <w:t xml:space="preserve">more likely </w:t>
      </w:r>
      <w:r w:rsidR="00BA065A">
        <w:rPr>
          <w:rFonts w:asciiTheme="minorHAnsi" w:hAnsiTheme="minorHAnsi" w:cstheme="minorHAnsi"/>
          <w:sz w:val="22"/>
          <w:szCs w:val="22"/>
        </w:rPr>
        <w:t xml:space="preserve">alternative diagnosis is </w:t>
      </w:r>
      <w:proofErr w:type="gramStart"/>
      <w:r w:rsidR="00764647">
        <w:rPr>
          <w:rFonts w:asciiTheme="minorHAnsi" w:hAnsiTheme="minorHAnsi" w:cstheme="minorHAnsi"/>
          <w:sz w:val="22"/>
          <w:szCs w:val="22"/>
        </w:rPr>
        <w:t>identified</w:t>
      </w:r>
      <w:proofErr w:type="gramEnd"/>
      <w:r w:rsidR="00BA065A">
        <w:rPr>
          <w:rFonts w:asciiTheme="minorHAnsi" w:hAnsiTheme="minorHAnsi" w:cstheme="minorHAnsi"/>
          <w:sz w:val="22"/>
          <w:szCs w:val="22"/>
        </w:rPr>
        <w:t xml:space="preserve"> or</w:t>
      </w:r>
      <w:r w:rsidR="00D118AA" w:rsidRPr="00FC134B">
        <w:rPr>
          <w:rFonts w:asciiTheme="minorHAnsi" w:hAnsiTheme="minorHAnsi" w:cstheme="minorHAnsi"/>
          <w:sz w:val="22"/>
          <w:szCs w:val="22"/>
        </w:rPr>
        <w:t xml:space="preserve"> symptoms develop</w:t>
      </w:r>
      <w:r w:rsidR="00764647">
        <w:rPr>
          <w:rFonts w:asciiTheme="minorHAnsi" w:hAnsiTheme="minorHAnsi" w:cstheme="minorHAnsi"/>
          <w:sz w:val="22"/>
          <w:szCs w:val="22"/>
        </w:rPr>
        <w:t>ed</w:t>
      </w:r>
      <w:r w:rsidR="00D118AA" w:rsidRPr="00FC134B">
        <w:rPr>
          <w:rFonts w:asciiTheme="minorHAnsi" w:hAnsiTheme="minorHAnsi" w:cstheme="minorHAnsi"/>
          <w:sz w:val="22"/>
          <w:szCs w:val="22"/>
        </w:rPr>
        <w:t xml:space="preserve"> within 14 days after close contact with an infected person.</w:t>
      </w:r>
      <w:bookmarkEnd w:id="1"/>
      <w:r w:rsidR="00A3539B" w:rsidRPr="008A25D9">
        <w:rPr>
          <w:rFonts w:asciiTheme="minorHAnsi" w:hAnsiTheme="minorHAnsi" w:cstheme="minorHAnsi"/>
          <w:bCs/>
          <w:iCs/>
          <w:color w:val="202020"/>
          <w:sz w:val="22"/>
          <w:szCs w:val="22"/>
        </w:rPr>
        <w:t xml:space="preserve"> </w:t>
      </w:r>
    </w:p>
    <w:p w14:paraId="6F3B9D22" w14:textId="1A137C7A" w:rsidR="009D5166" w:rsidRDefault="00EE13C0" w:rsidP="00FC134B">
      <w:pPr>
        <w:spacing w:after="240"/>
        <w:rPr>
          <w:rFonts w:asciiTheme="minorHAnsi" w:hAnsiTheme="minorHAnsi" w:cstheme="minorHAnsi"/>
          <w:bCs/>
          <w:iCs/>
          <w:color w:val="202020"/>
          <w:sz w:val="22"/>
          <w:szCs w:val="22"/>
        </w:rPr>
      </w:pPr>
      <w:r>
        <w:rPr>
          <w:rFonts w:asciiTheme="minorHAnsi" w:hAnsiTheme="minorHAnsi" w:cstheme="minorHAnsi"/>
          <w:bCs/>
          <w:iCs/>
          <w:color w:val="202020"/>
          <w:sz w:val="22"/>
          <w:szCs w:val="22"/>
        </w:rPr>
        <w:t>I</w:t>
      </w:r>
      <w:r w:rsidR="00A3539B" w:rsidRPr="008A25D9">
        <w:rPr>
          <w:rFonts w:asciiTheme="minorHAnsi" w:hAnsiTheme="minorHAnsi" w:cstheme="minorHAnsi"/>
          <w:bCs/>
          <w:iCs/>
          <w:color w:val="202020"/>
          <w:sz w:val="22"/>
          <w:szCs w:val="22"/>
        </w:rPr>
        <w:t xml:space="preserve">ndividuals who were previously diagnosed with COVID-19 and are more than </w:t>
      </w:r>
      <w:r w:rsidR="00174FA4">
        <w:rPr>
          <w:rFonts w:asciiTheme="minorHAnsi" w:hAnsiTheme="minorHAnsi" w:cstheme="minorHAnsi"/>
          <w:bCs/>
          <w:iCs/>
          <w:color w:val="202020"/>
          <w:sz w:val="22"/>
          <w:szCs w:val="22"/>
        </w:rPr>
        <w:t xml:space="preserve">90 days from </w:t>
      </w:r>
      <w:r w:rsidR="00764647" w:rsidRPr="00931C20">
        <w:rPr>
          <w:rFonts w:asciiTheme="minorHAnsi" w:hAnsiTheme="minorHAnsi" w:cstheme="minorHAnsi"/>
          <w:sz w:val="22"/>
          <w:szCs w:val="22"/>
        </w:rPr>
        <w:t>the date of initial symptom onset</w:t>
      </w:r>
      <w:r w:rsidR="00764647">
        <w:rPr>
          <w:rFonts w:asciiTheme="minorHAnsi" w:hAnsiTheme="minorHAnsi" w:cstheme="minorHAnsi"/>
          <w:sz w:val="22"/>
          <w:szCs w:val="22"/>
        </w:rPr>
        <w:t xml:space="preserve"> or original positive test</w:t>
      </w:r>
      <w:r w:rsidR="00764647" w:rsidDel="00764647">
        <w:rPr>
          <w:rFonts w:asciiTheme="minorHAnsi" w:hAnsiTheme="minorHAnsi" w:cstheme="minorHAnsi"/>
          <w:bCs/>
          <w:iCs/>
          <w:color w:val="202020"/>
          <w:sz w:val="22"/>
          <w:szCs w:val="22"/>
        </w:rPr>
        <w:t xml:space="preserve"> </w:t>
      </w:r>
      <w:r w:rsidR="00764647" w:rsidRPr="00FC134B">
        <w:rPr>
          <w:rFonts w:asciiTheme="minorHAnsi" w:hAnsiTheme="minorHAnsi" w:cstheme="minorHAnsi"/>
          <w:b/>
          <w:bCs/>
          <w:iCs/>
          <w:color w:val="202020"/>
          <w:sz w:val="22"/>
          <w:szCs w:val="22"/>
          <w:u w:val="single"/>
        </w:rPr>
        <w:t xml:space="preserve">are </w:t>
      </w:r>
      <w:r w:rsidR="00764647">
        <w:rPr>
          <w:rFonts w:asciiTheme="minorHAnsi" w:hAnsiTheme="minorHAnsi" w:cstheme="minorHAnsi"/>
          <w:bCs/>
          <w:iCs/>
          <w:color w:val="202020"/>
          <w:sz w:val="22"/>
          <w:szCs w:val="22"/>
        </w:rPr>
        <w:t>subject to isolation in the event they test positive again and are subject to quarantine if they</w:t>
      </w:r>
      <w:r w:rsidR="00A3539B" w:rsidRPr="008A25D9">
        <w:rPr>
          <w:rFonts w:asciiTheme="minorHAnsi" w:hAnsiTheme="minorHAnsi" w:cstheme="minorHAnsi"/>
          <w:bCs/>
          <w:iCs/>
          <w:color w:val="202020"/>
          <w:sz w:val="22"/>
          <w:szCs w:val="22"/>
        </w:rPr>
        <w:t xml:space="preserve"> are identified as a close contact of a confirmed case.</w:t>
      </w:r>
    </w:p>
    <w:p w14:paraId="6D92D063" w14:textId="276DDCDC" w:rsidR="00BA575C" w:rsidRDefault="00BA575C" w:rsidP="00BA575C">
      <w:pPr>
        <w:spacing w:after="240"/>
        <w:rPr>
          <w:rFonts w:asciiTheme="minorHAnsi" w:hAnsiTheme="minorHAnsi" w:cstheme="minorHAnsi"/>
          <w:b/>
          <w:i/>
          <w:color w:val="202020"/>
          <w:sz w:val="22"/>
          <w:szCs w:val="22"/>
        </w:rPr>
      </w:pPr>
      <w:r>
        <w:rPr>
          <w:rFonts w:asciiTheme="minorHAnsi" w:hAnsiTheme="minorHAnsi" w:cstheme="minorHAnsi"/>
          <w:b/>
          <w:i/>
          <w:color w:val="202020"/>
          <w:sz w:val="22"/>
          <w:szCs w:val="22"/>
        </w:rPr>
        <w:t>Vaccinated individuals:</w:t>
      </w:r>
    </w:p>
    <w:p w14:paraId="66520C9C" w14:textId="00F4A013" w:rsidR="00BC7520" w:rsidRDefault="00BA575C" w:rsidP="00BE43A0">
      <w:pPr>
        <w:spacing w:before="240" w:after="240"/>
        <w:rPr>
          <w:rFonts w:asciiTheme="minorHAnsi" w:hAnsiTheme="minorHAnsi" w:cstheme="minorHAnsi"/>
          <w:bCs/>
          <w:iCs/>
          <w:color w:val="202020"/>
          <w:sz w:val="22"/>
          <w:szCs w:val="22"/>
        </w:rPr>
      </w:pPr>
      <w:r w:rsidRPr="00FC134B">
        <w:rPr>
          <w:rFonts w:asciiTheme="minorHAnsi" w:hAnsiTheme="minorHAnsi" w:cstheme="minorHAnsi"/>
          <w:bCs/>
          <w:iCs/>
          <w:color w:val="202020"/>
          <w:sz w:val="22"/>
          <w:szCs w:val="22"/>
        </w:rPr>
        <w:t xml:space="preserve">Individuals who have </w:t>
      </w:r>
      <w:r>
        <w:rPr>
          <w:rFonts w:asciiTheme="minorHAnsi" w:hAnsiTheme="minorHAnsi" w:cstheme="minorHAnsi"/>
          <w:bCs/>
          <w:iCs/>
          <w:color w:val="202020"/>
          <w:sz w:val="22"/>
          <w:szCs w:val="22"/>
        </w:rPr>
        <w:t>been fully vaccinated for COVID-19</w:t>
      </w:r>
      <w:r w:rsidRPr="00FC134B">
        <w:rPr>
          <w:rFonts w:asciiTheme="minorHAnsi" w:hAnsiTheme="minorHAnsi" w:cstheme="minorHAnsi"/>
          <w:bCs/>
          <w:iCs/>
          <w:color w:val="202020"/>
          <w:sz w:val="22"/>
          <w:szCs w:val="22"/>
        </w:rPr>
        <w:t xml:space="preserve"> should underg</w:t>
      </w:r>
      <w:r w:rsidR="00C61E88">
        <w:rPr>
          <w:rFonts w:asciiTheme="minorHAnsi" w:hAnsiTheme="minorHAnsi" w:cstheme="minorHAnsi"/>
          <w:bCs/>
          <w:iCs/>
          <w:color w:val="202020"/>
          <w:sz w:val="22"/>
          <w:szCs w:val="22"/>
        </w:rPr>
        <w:t>o testing</w:t>
      </w:r>
      <w:r w:rsidRPr="00FC134B">
        <w:rPr>
          <w:rFonts w:asciiTheme="minorHAnsi" w:hAnsiTheme="minorHAnsi" w:cstheme="minorHAnsi"/>
          <w:bCs/>
          <w:iCs/>
          <w:color w:val="202020"/>
          <w:sz w:val="22"/>
          <w:szCs w:val="22"/>
        </w:rPr>
        <w:t xml:space="preserve"> for COVID-19 if they develop a compatible clinical syndrome. Prior immunization will not affect the results of a viral test for SARS CoV-2 (NAAT or antigen</w:t>
      </w:r>
      <w:r>
        <w:rPr>
          <w:rFonts w:asciiTheme="minorHAnsi" w:hAnsiTheme="minorHAnsi" w:cstheme="minorHAnsi"/>
          <w:bCs/>
          <w:iCs/>
          <w:color w:val="202020"/>
          <w:sz w:val="22"/>
          <w:szCs w:val="22"/>
        </w:rPr>
        <w:t>)</w:t>
      </w:r>
      <w:r w:rsidRPr="00FC134B">
        <w:rPr>
          <w:rFonts w:asciiTheme="minorHAnsi" w:hAnsiTheme="minorHAnsi" w:cstheme="minorHAnsi"/>
          <w:bCs/>
          <w:iCs/>
          <w:color w:val="202020"/>
          <w:sz w:val="22"/>
          <w:szCs w:val="22"/>
        </w:rPr>
        <w:t xml:space="preserve"> </w:t>
      </w:r>
      <w:r w:rsidR="00BE43A0">
        <w:rPr>
          <w:rFonts w:asciiTheme="minorHAnsi" w:hAnsiTheme="minorHAnsi" w:cstheme="minorHAnsi"/>
          <w:bCs/>
          <w:iCs/>
          <w:color w:val="202020"/>
          <w:sz w:val="22"/>
          <w:szCs w:val="22"/>
        </w:rPr>
        <w:t xml:space="preserve">but some serologic tests (those that measure antibodies to the SARS-CoV-2 spike protein) don’t differentiate </w:t>
      </w:r>
      <w:r w:rsidR="00BE43A0">
        <w:rPr>
          <w:rFonts w:asciiTheme="minorHAnsi" w:hAnsiTheme="minorHAnsi" w:cstheme="minorHAnsi"/>
          <w:bCs/>
          <w:iCs/>
          <w:color w:val="202020"/>
          <w:sz w:val="22"/>
          <w:szCs w:val="22"/>
        </w:rPr>
        <w:lastRenderedPageBreak/>
        <w:t>between antibodies from natural infection or immunization. Testing is also available for nucleocapsid antibodies, which will not detect antibodies elicited by currently available SARS-CoV-2 vaccines. The presence of detectable antibody may not necessarily indicate immunity.</w:t>
      </w:r>
    </w:p>
    <w:p w14:paraId="2D7994D4" w14:textId="7797D50E" w:rsidR="00BC7520" w:rsidRDefault="00BC7520" w:rsidP="00BC7520">
      <w:pPr>
        <w:spacing w:after="150"/>
        <w:jc w:val="both"/>
        <w:rPr>
          <w:rFonts w:asciiTheme="minorHAnsi" w:hAnsiTheme="minorHAnsi" w:cstheme="minorHAnsi"/>
          <w:b/>
          <w:caps/>
          <w:color w:val="202020"/>
          <w:sz w:val="22"/>
          <w:szCs w:val="22"/>
          <w:u w:val="single"/>
        </w:rPr>
      </w:pPr>
      <w:r>
        <w:rPr>
          <w:rFonts w:asciiTheme="minorHAnsi" w:hAnsiTheme="minorHAnsi" w:cstheme="minorHAnsi"/>
          <w:b/>
          <w:caps/>
          <w:color w:val="202020"/>
          <w:sz w:val="22"/>
          <w:szCs w:val="22"/>
          <w:u w:val="single"/>
        </w:rPr>
        <w:t xml:space="preserve">RECOMMENDATIONS for </w:t>
      </w:r>
      <w:r w:rsidRPr="005E74A8">
        <w:rPr>
          <w:rFonts w:asciiTheme="minorHAnsi" w:hAnsiTheme="minorHAnsi" w:cstheme="minorHAnsi"/>
          <w:b/>
          <w:caps/>
          <w:color w:val="202020"/>
          <w:sz w:val="22"/>
          <w:szCs w:val="22"/>
          <w:u w:val="single"/>
        </w:rPr>
        <w:t>COVID-19 Test</w:t>
      </w:r>
      <w:r>
        <w:rPr>
          <w:rFonts w:asciiTheme="minorHAnsi" w:hAnsiTheme="minorHAnsi" w:cstheme="minorHAnsi"/>
          <w:b/>
          <w:caps/>
          <w:color w:val="202020"/>
          <w:sz w:val="22"/>
          <w:szCs w:val="22"/>
          <w:u w:val="single"/>
        </w:rPr>
        <w:t xml:space="preserve"> resulting: </w:t>
      </w:r>
    </w:p>
    <w:p w14:paraId="78E30B1B" w14:textId="77777777" w:rsidR="00BC7520" w:rsidRDefault="00BC7520" w:rsidP="00BE43A0">
      <w:pPr>
        <w:spacing w:before="240" w:after="240"/>
        <w:rPr>
          <w:rFonts w:asciiTheme="minorHAnsi" w:hAnsiTheme="minorHAnsi" w:cstheme="minorHAnsi"/>
          <w:sz w:val="22"/>
          <w:szCs w:val="22"/>
        </w:rPr>
      </w:pPr>
      <w:r w:rsidRPr="00FC134B">
        <w:rPr>
          <w:rFonts w:asciiTheme="minorHAnsi" w:hAnsiTheme="minorHAnsi" w:cstheme="minorHAnsi"/>
          <w:sz w:val="22"/>
          <w:szCs w:val="22"/>
        </w:rPr>
        <w:t xml:space="preserve">COVID-19 testing providers should always follow their clinical judgement regarding the most appropriate way to contact and relay test results to their patients. Quickly communicating results of COVID-19 laboratory tests is a critical part of reducing the spread of the disease and is a required part of providing testing services. It is not appropriate to direct patients to contact the state or local health department for their results. The following recommendation outline best practices for communicating test results with patients. </w:t>
      </w:r>
    </w:p>
    <w:p w14:paraId="1D903124" w14:textId="77777777" w:rsidR="00BC7520" w:rsidRPr="00FC134B" w:rsidRDefault="00BC7520" w:rsidP="00BE43A0">
      <w:pPr>
        <w:spacing w:before="240" w:after="240"/>
        <w:rPr>
          <w:rFonts w:asciiTheme="minorHAnsi" w:hAnsiTheme="minorHAnsi" w:cstheme="minorHAnsi"/>
          <w:i/>
          <w:iCs/>
          <w:sz w:val="22"/>
          <w:szCs w:val="22"/>
        </w:rPr>
      </w:pPr>
      <w:r w:rsidRPr="00FC134B">
        <w:rPr>
          <w:rFonts w:asciiTheme="minorHAnsi" w:hAnsiTheme="minorHAnsi" w:cstheme="minorHAnsi"/>
          <w:b/>
          <w:bCs/>
          <w:i/>
          <w:iCs/>
          <w:sz w:val="22"/>
          <w:szCs w:val="22"/>
        </w:rPr>
        <w:t>Positive test results:</w:t>
      </w:r>
      <w:r w:rsidRPr="00FC134B">
        <w:rPr>
          <w:rFonts w:asciiTheme="minorHAnsi" w:hAnsiTheme="minorHAnsi" w:cstheme="minorHAnsi"/>
          <w:i/>
          <w:iCs/>
          <w:sz w:val="22"/>
          <w:szCs w:val="22"/>
        </w:rPr>
        <w:t xml:space="preserve"> </w:t>
      </w:r>
    </w:p>
    <w:p w14:paraId="7A345D71" w14:textId="5324E78D" w:rsidR="00BC7520" w:rsidRDefault="00BC7520" w:rsidP="00BE43A0">
      <w:pPr>
        <w:spacing w:before="240" w:after="240"/>
        <w:rPr>
          <w:rFonts w:asciiTheme="minorHAnsi" w:hAnsiTheme="minorHAnsi" w:cstheme="minorHAnsi"/>
          <w:sz w:val="22"/>
          <w:szCs w:val="22"/>
        </w:rPr>
      </w:pPr>
      <w:r w:rsidRPr="00FC134B">
        <w:rPr>
          <w:rFonts w:asciiTheme="minorHAnsi" w:hAnsiTheme="minorHAnsi" w:cstheme="minorHAnsi"/>
          <w:sz w:val="22"/>
          <w:szCs w:val="22"/>
        </w:rPr>
        <w:t xml:space="preserve">All individuals whose COVID-19 test results are positive must be contacted by a clinician and provided with clear instructions to self-isolate. Patients should also be informed that they will be contacted by </w:t>
      </w:r>
      <w:r>
        <w:rPr>
          <w:rFonts w:asciiTheme="minorHAnsi" w:hAnsiTheme="minorHAnsi" w:cstheme="minorHAnsi"/>
          <w:sz w:val="22"/>
          <w:szCs w:val="22"/>
        </w:rPr>
        <w:t>the Department of Public Health</w:t>
      </w:r>
      <w:r w:rsidRPr="00FC134B">
        <w:rPr>
          <w:rFonts w:asciiTheme="minorHAnsi" w:hAnsiTheme="minorHAnsi" w:cstheme="minorHAnsi"/>
          <w:sz w:val="22"/>
          <w:szCs w:val="22"/>
        </w:rPr>
        <w:t xml:space="preserve"> and be urged to answer the phone.</w:t>
      </w:r>
    </w:p>
    <w:p w14:paraId="1884B679" w14:textId="77777777" w:rsidR="00BC7520" w:rsidRDefault="00BC7520" w:rsidP="00BE43A0">
      <w:pPr>
        <w:spacing w:before="240" w:after="240"/>
        <w:rPr>
          <w:rFonts w:asciiTheme="minorHAnsi" w:hAnsiTheme="minorHAnsi" w:cstheme="minorHAnsi"/>
          <w:sz w:val="22"/>
          <w:szCs w:val="22"/>
        </w:rPr>
      </w:pPr>
      <w:r w:rsidRPr="00FC134B">
        <w:rPr>
          <w:rFonts w:asciiTheme="minorHAnsi" w:hAnsiTheme="minorHAnsi" w:cstheme="minorHAnsi"/>
          <w:b/>
          <w:bCs/>
          <w:i/>
          <w:iCs/>
          <w:sz w:val="22"/>
          <w:szCs w:val="22"/>
        </w:rPr>
        <w:t>Negative test results:</w:t>
      </w:r>
      <w:r w:rsidRPr="00FC134B">
        <w:rPr>
          <w:rFonts w:asciiTheme="minorHAnsi" w:hAnsiTheme="minorHAnsi" w:cstheme="minorHAnsi"/>
          <w:sz w:val="22"/>
          <w:szCs w:val="22"/>
        </w:rPr>
        <w:t xml:space="preserve"> </w:t>
      </w:r>
    </w:p>
    <w:p w14:paraId="3E99D1BF" w14:textId="43931AAB" w:rsidR="00BC7520" w:rsidRDefault="00BC7520" w:rsidP="00BE43A0">
      <w:pPr>
        <w:spacing w:before="240" w:after="240"/>
        <w:rPr>
          <w:rFonts w:asciiTheme="minorHAnsi" w:hAnsiTheme="minorHAnsi" w:cstheme="minorHAnsi"/>
          <w:sz w:val="22"/>
          <w:szCs w:val="22"/>
        </w:rPr>
      </w:pPr>
      <w:r w:rsidRPr="00FC134B">
        <w:rPr>
          <w:rFonts w:asciiTheme="minorHAnsi" w:hAnsiTheme="minorHAnsi" w:cstheme="minorHAnsi"/>
          <w:sz w:val="22"/>
          <w:szCs w:val="22"/>
        </w:rPr>
        <w:t xml:space="preserve">All individuals whose COVID-19 test results are negative must be informed promptly of their results, but do not need to be contacted by a clinician. </w:t>
      </w:r>
      <w:r w:rsidRPr="00916593">
        <w:rPr>
          <w:rFonts w:asciiTheme="minorHAnsi" w:hAnsiTheme="minorHAnsi" w:cstheme="minorHAnsi"/>
          <w:sz w:val="22"/>
          <w:szCs w:val="22"/>
        </w:rPr>
        <w:t>Phone calls are not required for every patient, testing site providers may utilize HIPAA compliant messages (e.g., online portals, secure emails) to inform patients of negative test results. In the case that testing site providers decide to utilize HIPAA compliant electronic communications to inform patients of negative COVID-19 test results, patients must be clearly informed of this policy prior to receiving a COVID-19 test and should be provided contact information if they do not receive their result.</w:t>
      </w:r>
    </w:p>
    <w:p w14:paraId="72A196D6" w14:textId="1256CAA7" w:rsidR="00F91C5C" w:rsidRDefault="00F91C5C" w:rsidP="00BE43A0">
      <w:pPr>
        <w:spacing w:before="240" w:after="240"/>
      </w:pPr>
      <w:r w:rsidRPr="005E74A8">
        <w:rPr>
          <w:rFonts w:asciiTheme="minorHAnsi" w:hAnsiTheme="minorHAnsi" w:cstheme="minorHAnsi"/>
          <w:b/>
          <w:bCs/>
          <w:color w:val="202020"/>
          <w:sz w:val="22"/>
          <w:szCs w:val="22"/>
        </w:rPr>
        <w:t xml:space="preserve">This </w:t>
      </w:r>
      <w:r w:rsidRPr="005E74A8">
        <w:rPr>
          <w:rFonts w:asciiTheme="minorHAnsi" w:hAnsiTheme="minorHAnsi" w:cstheme="minorHAnsi"/>
          <w:b/>
          <w:bCs/>
          <w:sz w:val="22"/>
          <w:szCs w:val="22"/>
        </w:rPr>
        <w:t>guidance is not intended to cover every possible situation. To discuss specific scenarios, please call the Massachusetts Department of Public Health</w:t>
      </w:r>
      <w:r w:rsidR="00207FFD">
        <w:rPr>
          <w:rFonts w:asciiTheme="minorHAnsi" w:hAnsiTheme="minorHAnsi" w:cstheme="minorHAnsi"/>
          <w:b/>
          <w:bCs/>
          <w:sz w:val="22"/>
          <w:szCs w:val="22"/>
        </w:rPr>
        <w:t xml:space="preserve"> Epidemiology line</w:t>
      </w:r>
      <w:r w:rsidRPr="005E74A8">
        <w:rPr>
          <w:rFonts w:asciiTheme="minorHAnsi" w:hAnsiTheme="minorHAnsi" w:cstheme="minorHAnsi"/>
          <w:b/>
          <w:bCs/>
          <w:sz w:val="22"/>
          <w:szCs w:val="22"/>
        </w:rPr>
        <w:t xml:space="preserve"> at 617-983-6800 available 24/7.</w:t>
      </w:r>
    </w:p>
    <w:sectPr w:rsidR="00F91C5C" w:rsidSect="004705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00"/>
    <w:multiLevelType w:val="hybridMultilevel"/>
    <w:tmpl w:val="DE784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E0774"/>
    <w:multiLevelType w:val="hybridMultilevel"/>
    <w:tmpl w:val="5B9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41B5C"/>
    <w:multiLevelType w:val="hybridMultilevel"/>
    <w:tmpl w:val="B8D8D4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ECB01ED"/>
    <w:multiLevelType w:val="hybridMultilevel"/>
    <w:tmpl w:val="29E2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CF77AF"/>
    <w:multiLevelType w:val="multilevel"/>
    <w:tmpl w:val="86E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236D"/>
    <w:multiLevelType w:val="hybridMultilevel"/>
    <w:tmpl w:val="277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E6AC4"/>
    <w:multiLevelType w:val="hybridMultilevel"/>
    <w:tmpl w:val="51E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469E"/>
    <w:multiLevelType w:val="hybridMultilevel"/>
    <w:tmpl w:val="A618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0084D"/>
    <w:multiLevelType w:val="hybridMultilevel"/>
    <w:tmpl w:val="3DA8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B237A"/>
    <w:multiLevelType w:val="hybridMultilevel"/>
    <w:tmpl w:val="F8624A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9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72A11"/>
    <w:multiLevelType w:val="hybridMultilevel"/>
    <w:tmpl w:val="265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E5119"/>
    <w:multiLevelType w:val="multilevel"/>
    <w:tmpl w:val="D04A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37123"/>
    <w:multiLevelType w:val="hybridMultilevel"/>
    <w:tmpl w:val="5C4C4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21444F"/>
    <w:multiLevelType w:val="multilevel"/>
    <w:tmpl w:val="BF92E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5355D"/>
    <w:multiLevelType w:val="hybridMultilevel"/>
    <w:tmpl w:val="D878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16CF"/>
    <w:multiLevelType w:val="hybridMultilevel"/>
    <w:tmpl w:val="D6109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43808"/>
    <w:multiLevelType w:val="hybridMultilevel"/>
    <w:tmpl w:val="9E84AB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BD20A7F"/>
    <w:multiLevelType w:val="hybridMultilevel"/>
    <w:tmpl w:val="B3D806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47E33"/>
    <w:multiLevelType w:val="hybridMultilevel"/>
    <w:tmpl w:val="5E0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D7A3E"/>
    <w:multiLevelType w:val="hybridMultilevel"/>
    <w:tmpl w:val="C71AC2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9752226"/>
    <w:multiLevelType w:val="hybridMultilevel"/>
    <w:tmpl w:val="73A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41AA2"/>
    <w:multiLevelType w:val="hybridMultilevel"/>
    <w:tmpl w:val="8B8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00410"/>
    <w:multiLevelType w:val="hybridMultilevel"/>
    <w:tmpl w:val="30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965E4"/>
    <w:multiLevelType w:val="hybridMultilevel"/>
    <w:tmpl w:val="60FE8D5E"/>
    <w:lvl w:ilvl="0" w:tplc="BCE638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62B0D"/>
    <w:multiLevelType w:val="hybridMultilevel"/>
    <w:tmpl w:val="9600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1982"/>
    <w:multiLevelType w:val="multilevel"/>
    <w:tmpl w:val="920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75029"/>
    <w:multiLevelType w:val="multilevel"/>
    <w:tmpl w:val="D556D0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F9585C"/>
    <w:multiLevelType w:val="hybridMultilevel"/>
    <w:tmpl w:val="B6160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3B5BD3"/>
    <w:multiLevelType w:val="multilevel"/>
    <w:tmpl w:val="018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42CF3"/>
    <w:multiLevelType w:val="hybridMultilevel"/>
    <w:tmpl w:val="490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44A45"/>
    <w:multiLevelType w:val="multilevel"/>
    <w:tmpl w:val="F12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03EDF"/>
    <w:multiLevelType w:val="hybridMultilevel"/>
    <w:tmpl w:val="B99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65445"/>
    <w:multiLevelType w:val="hybridMultilevel"/>
    <w:tmpl w:val="25DCF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2"/>
  </w:num>
  <w:num w:numId="3">
    <w:abstractNumId w:val="1"/>
  </w:num>
  <w:num w:numId="4">
    <w:abstractNumId w:val="22"/>
  </w:num>
  <w:num w:numId="5">
    <w:abstractNumId w:val="11"/>
  </w:num>
  <w:num w:numId="6">
    <w:abstractNumId w:val="30"/>
  </w:num>
  <w:num w:numId="7">
    <w:abstractNumId w:val="15"/>
  </w:num>
  <w:num w:numId="8">
    <w:abstractNumId w:val="5"/>
  </w:num>
  <w:num w:numId="9">
    <w:abstractNumId w:val="6"/>
  </w:num>
  <w:num w:numId="10">
    <w:abstractNumId w:val="29"/>
  </w:num>
  <w:num w:numId="11">
    <w:abstractNumId w:val="31"/>
  </w:num>
  <w:num w:numId="12">
    <w:abstractNumId w:val="20"/>
  </w:num>
  <w:num w:numId="13">
    <w:abstractNumId w:val="18"/>
  </w:num>
  <w:num w:numId="14">
    <w:abstractNumId w:val="17"/>
  </w:num>
  <w:num w:numId="15">
    <w:abstractNumId w:val="13"/>
  </w:num>
  <w:num w:numId="16">
    <w:abstractNumId w:val="2"/>
  </w:num>
  <w:num w:numId="17">
    <w:abstractNumId w:val="19"/>
  </w:num>
  <w:num w:numId="18">
    <w:abstractNumId w:val="8"/>
  </w:num>
  <w:num w:numId="19">
    <w:abstractNumId w:val="0"/>
  </w:num>
  <w:num w:numId="20">
    <w:abstractNumId w:val="28"/>
  </w:num>
  <w:num w:numId="21">
    <w:abstractNumId w:val="3"/>
  </w:num>
  <w:num w:numId="22">
    <w:abstractNumId w:val="12"/>
  </w:num>
  <w:num w:numId="23">
    <w:abstractNumId w:val="14"/>
  </w:num>
  <w:num w:numId="24">
    <w:abstractNumId w:val="26"/>
  </w:num>
  <w:num w:numId="25">
    <w:abstractNumId w:val="27"/>
  </w:num>
  <w:num w:numId="26">
    <w:abstractNumId w:val="4"/>
  </w:num>
  <w:num w:numId="27">
    <w:abstractNumId w:val="10"/>
  </w:num>
  <w:num w:numId="28">
    <w:abstractNumId w:val="33"/>
  </w:num>
  <w:num w:numId="29">
    <w:abstractNumId w:val="16"/>
  </w:num>
  <w:num w:numId="30">
    <w:abstractNumId w:val="23"/>
  </w:num>
  <w:num w:numId="31">
    <w:abstractNumId w:val="21"/>
  </w:num>
  <w:num w:numId="32">
    <w:abstractNumId w:val="25"/>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93"/>
    <w:rsid w:val="00001EDA"/>
    <w:rsid w:val="00021B91"/>
    <w:rsid w:val="00044D85"/>
    <w:rsid w:val="00093FA1"/>
    <w:rsid w:val="00094CF3"/>
    <w:rsid w:val="00096D92"/>
    <w:rsid w:val="000A73FE"/>
    <w:rsid w:val="000C5BDE"/>
    <w:rsid w:val="0010239D"/>
    <w:rsid w:val="00124011"/>
    <w:rsid w:val="00132294"/>
    <w:rsid w:val="00136A08"/>
    <w:rsid w:val="0014201C"/>
    <w:rsid w:val="0016048D"/>
    <w:rsid w:val="001606E2"/>
    <w:rsid w:val="001622C2"/>
    <w:rsid w:val="00174FA4"/>
    <w:rsid w:val="001777B4"/>
    <w:rsid w:val="00184606"/>
    <w:rsid w:val="00187E28"/>
    <w:rsid w:val="00190931"/>
    <w:rsid w:val="001A28FC"/>
    <w:rsid w:val="001A3F4A"/>
    <w:rsid w:val="001B1416"/>
    <w:rsid w:val="001B23CF"/>
    <w:rsid w:val="001C47DB"/>
    <w:rsid w:val="001D2399"/>
    <w:rsid w:val="001D2DC9"/>
    <w:rsid w:val="001D33A9"/>
    <w:rsid w:val="001E4F9A"/>
    <w:rsid w:val="001E71AE"/>
    <w:rsid w:val="001F18B6"/>
    <w:rsid w:val="002023C8"/>
    <w:rsid w:val="00207FFD"/>
    <w:rsid w:val="002A78A2"/>
    <w:rsid w:val="002A7D9A"/>
    <w:rsid w:val="002C79F4"/>
    <w:rsid w:val="002D1653"/>
    <w:rsid w:val="002D4EA6"/>
    <w:rsid w:val="002F130C"/>
    <w:rsid w:val="00301910"/>
    <w:rsid w:val="00316BA7"/>
    <w:rsid w:val="00320EBC"/>
    <w:rsid w:val="00336989"/>
    <w:rsid w:val="00365269"/>
    <w:rsid w:val="003869D8"/>
    <w:rsid w:val="003A29E1"/>
    <w:rsid w:val="003C10B7"/>
    <w:rsid w:val="003D2C88"/>
    <w:rsid w:val="003D2E3D"/>
    <w:rsid w:val="003E4E8B"/>
    <w:rsid w:val="003F0685"/>
    <w:rsid w:val="003F7D76"/>
    <w:rsid w:val="0040446B"/>
    <w:rsid w:val="004113E2"/>
    <w:rsid w:val="0041293B"/>
    <w:rsid w:val="0044497A"/>
    <w:rsid w:val="00453535"/>
    <w:rsid w:val="004705C8"/>
    <w:rsid w:val="004804DC"/>
    <w:rsid w:val="0048408E"/>
    <w:rsid w:val="004921D9"/>
    <w:rsid w:val="004B6F6D"/>
    <w:rsid w:val="004C301B"/>
    <w:rsid w:val="004C7B27"/>
    <w:rsid w:val="004F4E88"/>
    <w:rsid w:val="00504779"/>
    <w:rsid w:val="00504961"/>
    <w:rsid w:val="005071B8"/>
    <w:rsid w:val="005126F9"/>
    <w:rsid w:val="005235DC"/>
    <w:rsid w:val="005376FC"/>
    <w:rsid w:val="00552D24"/>
    <w:rsid w:val="00565C87"/>
    <w:rsid w:val="005B27C7"/>
    <w:rsid w:val="005B61E1"/>
    <w:rsid w:val="005C16A1"/>
    <w:rsid w:val="005C3455"/>
    <w:rsid w:val="005D18CD"/>
    <w:rsid w:val="005D6791"/>
    <w:rsid w:val="005E74A8"/>
    <w:rsid w:val="00602CF5"/>
    <w:rsid w:val="00615CFC"/>
    <w:rsid w:val="00626D64"/>
    <w:rsid w:val="00650B5B"/>
    <w:rsid w:val="006547B0"/>
    <w:rsid w:val="00687ACF"/>
    <w:rsid w:val="006B466B"/>
    <w:rsid w:val="006C2B15"/>
    <w:rsid w:val="006E0B32"/>
    <w:rsid w:val="006F6E2C"/>
    <w:rsid w:val="007079E6"/>
    <w:rsid w:val="007262E0"/>
    <w:rsid w:val="0073298A"/>
    <w:rsid w:val="00737A36"/>
    <w:rsid w:val="00764647"/>
    <w:rsid w:val="007B49FF"/>
    <w:rsid w:val="007C6E85"/>
    <w:rsid w:val="007D7493"/>
    <w:rsid w:val="007E482B"/>
    <w:rsid w:val="007F0A5F"/>
    <w:rsid w:val="007F2B4B"/>
    <w:rsid w:val="007F3DC9"/>
    <w:rsid w:val="007F462E"/>
    <w:rsid w:val="007F7DF8"/>
    <w:rsid w:val="00801687"/>
    <w:rsid w:val="00803B89"/>
    <w:rsid w:val="00806717"/>
    <w:rsid w:val="008150E4"/>
    <w:rsid w:val="00831A95"/>
    <w:rsid w:val="00841AAC"/>
    <w:rsid w:val="00876DA3"/>
    <w:rsid w:val="0088213F"/>
    <w:rsid w:val="00882A64"/>
    <w:rsid w:val="00887253"/>
    <w:rsid w:val="008946AA"/>
    <w:rsid w:val="008966FD"/>
    <w:rsid w:val="008A25D9"/>
    <w:rsid w:val="008A6A0F"/>
    <w:rsid w:val="008B06E6"/>
    <w:rsid w:val="008B1B9F"/>
    <w:rsid w:val="008B4A27"/>
    <w:rsid w:val="008B73CC"/>
    <w:rsid w:val="008C5EC6"/>
    <w:rsid w:val="008E5D54"/>
    <w:rsid w:val="008F3A5E"/>
    <w:rsid w:val="008F6A98"/>
    <w:rsid w:val="008F787E"/>
    <w:rsid w:val="009011C8"/>
    <w:rsid w:val="0091328D"/>
    <w:rsid w:val="009171A5"/>
    <w:rsid w:val="0093637D"/>
    <w:rsid w:val="009413AB"/>
    <w:rsid w:val="00941B06"/>
    <w:rsid w:val="00943DE6"/>
    <w:rsid w:val="009566C6"/>
    <w:rsid w:val="00961EFF"/>
    <w:rsid w:val="00961F9E"/>
    <w:rsid w:val="00987B7D"/>
    <w:rsid w:val="00992B4E"/>
    <w:rsid w:val="009A31FA"/>
    <w:rsid w:val="009B274A"/>
    <w:rsid w:val="009C5BFF"/>
    <w:rsid w:val="009D5166"/>
    <w:rsid w:val="009D7DDA"/>
    <w:rsid w:val="00A14299"/>
    <w:rsid w:val="00A14425"/>
    <w:rsid w:val="00A16160"/>
    <w:rsid w:val="00A31483"/>
    <w:rsid w:val="00A3539B"/>
    <w:rsid w:val="00A4240A"/>
    <w:rsid w:val="00A55B1D"/>
    <w:rsid w:val="00A86260"/>
    <w:rsid w:val="00A877E3"/>
    <w:rsid w:val="00AD25A3"/>
    <w:rsid w:val="00AD5334"/>
    <w:rsid w:val="00AE65EB"/>
    <w:rsid w:val="00B1013C"/>
    <w:rsid w:val="00B16E50"/>
    <w:rsid w:val="00B17450"/>
    <w:rsid w:val="00B41245"/>
    <w:rsid w:val="00B50F7E"/>
    <w:rsid w:val="00B5473D"/>
    <w:rsid w:val="00B72B5E"/>
    <w:rsid w:val="00B74A5B"/>
    <w:rsid w:val="00B77B60"/>
    <w:rsid w:val="00B807CC"/>
    <w:rsid w:val="00B87D6E"/>
    <w:rsid w:val="00B92997"/>
    <w:rsid w:val="00B949EF"/>
    <w:rsid w:val="00BA065A"/>
    <w:rsid w:val="00BA575C"/>
    <w:rsid w:val="00BA5921"/>
    <w:rsid w:val="00BC0794"/>
    <w:rsid w:val="00BC7520"/>
    <w:rsid w:val="00BD1D6C"/>
    <w:rsid w:val="00BE2E18"/>
    <w:rsid w:val="00BE43A0"/>
    <w:rsid w:val="00BE6BFA"/>
    <w:rsid w:val="00BF0E75"/>
    <w:rsid w:val="00BF6612"/>
    <w:rsid w:val="00C0619D"/>
    <w:rsid w:val="00C108BA"/>
    <w:rsid w:val="00C10D41"/>
    <w:rsid w:val="00C158E7"/>
    <w:rsid w:val="00C22D6B"/>
    <w:rsid w:val="00C2605A"/>
    <w:rsid w:val="00C30F71"/>
    <w:rsid w:val="00C37559"/>
    <w:rsid w:val="00C50E72"/>
    <w:rsid w:val="00C51CAF"/>
    <w:rsid w:val="00C61E88"/>
    <w:rsid w:val="00C840C8"/>
    <w:rsid w:val="00CE35D7"/>
    <w:rsid w:val="00D118AA"/>
    <w:rsid w:val="00D26CAC"/>
    <w:rsid w:val="00D32058"/>
    <w:rsid w:val="00D35786"/>
    <w:rsid w:val="00D56430"/>
    <w:rsid w:val="00D6183A"/>
    <w:rsid w:val="00D62ED2"/>
    <w:rsid w:val="00D70DF5"/>
    <w:rsid w:val="00D77940"/>
    <w:rsid w:val="00D94C0A"/>
    <w:rsid w:val="00DA3E99"/>
    <w:rsid w:val="00DA409A"/>
    <w:rsid w:val="00DB1C84"/>
    <w:rsid w:val="00DC3E00"/>
    <w:rsid w:val="00DC43B2"/>
    <w:rsid w:val="00DE5582"/>
    <w:rsid w:val="00DE724C"/>
    <w:rsid w:val="00DF2726"/>
    <w:rsid w:val="00DF625B"/>
    <w:rsid w:val="00DF7567"/>
    <w:rsid w:val="00E00A6F"/>
    <w:rsid w:val="00E01920"/>
    <w:rsid w:val="00E1129B"/>
    <w:rsid w:val="00E12920"/>
    <w:rsid w:val="00E15262"/>
    <w:rsid w:val="00E22447"/>
    <w:rsid w:val="00E25BE4"/>
    <w:rsid w:val="00E41C61"/>
    <w:rsid w:val="00E45D7F"/>
    <w:rsid w:val="00E53B80"/>
    <w:rsid w:val="00E73C93"/>
    <w:rsid w:val="00E815BA"/>
    <w:rsid w:val="00EB0AFA"/>
    <w:rsid w:val="00EB6771"/>
    <w:rsid w:val="00EB7F26"/>
    <w:rsid w:val="00ED454A"/>
    <w:rsid w:val="00EE13C0"/>
    <w:rsid w:val="00EE1D67"/>
    <w:rsid w:val="00F0531F"/>
    <w:rsid w:val="00F10977"/>
    <w:rsid w:val="00F22C9B"/>
    <w:rsid w:val="00F409EF"/>
    <w:rsid w:val="00F41BF1"/>
    <w:rsid w:val="00F51C86"/>
    <w:rsid w:val="00F65727"/>
    <w:rsid w:val="00F83AD7"/>
    <w:rsid w:val="00F91C5C"/>
    <w:rsid w:val="00F94F7C"/>
    <w:rsid w:val="00FC134B"/>
    <w:rsid w:val="00FC2F6E"/>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3A62"/>
  <w15:docId w15:val="{4F159021-A52F-42C8-B230-6F22DC5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786"/>
    <w:rPr>
      <w:rFonts w:ascii="Tahoma" w:eastAsia="Times New Roman"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7493"/>
    <w:rPr>
      <w:rFonts w:cs="Tahoma"/>
      <w:sz w:val="16"/>
      <w:szCs w:val="16"/>
    </w:rPr>
  </w:style>
  <w:style w:type="character" w:customStyle="1" w:styleId="BalloonTextChar">
    <w:name w:val="Balloon Text Char"/>
    <w:basedOn w:val="DefaultParagraphFont"/>
    <w:link w:val="BalloonText"/>
    <w:rsid w:val="007D7493"/>
    <w:rPr>
      <w:rFonts w:ascii="Tahoma" w:eastAsia="Times New Roman" w:hAnsi="Tahoma" w:cs="Tahoma"/>
      <w:sz w:val="16"/>
      <w:szCs w:val="16"/>
    </w:rPr>
  </w:style>
  <w:style w:type="table" w:styleId="TableGrid">
    <w:name w:val="Table Grid"/>
    <w:basedOn w:val="TableNormal"/>
    <w:rsid w:val="007D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Office">
    <w:name w:val="Exec Office"/>
    <w:basedOn w:val="Normal"/>
    <w:rsid w:val="007D7493"/>
    <w:pPr>
      <w:framePr w:w="6927" w:hSpace="187" w:wrap="notBeside" w:vAnchor="text" w:hAnchor="page" w:x="3594" w:y="1"/>
      <w:jc w:val="center"/>
    </w:pPr>
    <w:rPr>
      <w:rFonts w:ascii="Arial" w:hAnsi="Arial"/>
      <w:sz w:val="28"/>
      <w:szCs w:val="20"/>
    </w:rPr>
  </w:style>
  <w:style w:type="character" w:styleId="Strong">
    <w:name w:val="Strong"/>
    <w:qFormat/>
    <w:rsid w:val="007D7493"/>
    <w:rPr>
      <w:b/>
      <w:bCs/>
    </w:rPr>
  </w:style>
  <w:style w:type="character" w:styleId="Hyperlink">
    <w:name w:val="Hyperlink"/>
    <w:rsid w:val="007D7493"/>
    <w:rPr>
      <w:color w:val="0000FF"/>
      <w:u w:val="single"/>
    </w:rPr>
  </w:style>
  <w:style w:type="paragraph" w:customStyle="1" w:styleId="Governor">
    <w:name w:val="Governor"/>
    <w:basedOn w:val="Normal"/>
    <w:rsid w:val="007D7493"/>
    <w:pPr>
      <w:framePr w:hSpace="187" w:wrap="notBeside" w:vAnchor="text" w:hAnchor="page" w:x="546" w:y="141"/>
      <w:spacing w:after="120"/>
      <w:jc w:val="center"/>
    </w:pPr>
    <w:rPr>
      <w:rFonts w:ascii="Arial Rounded MT Bold" w:hAnsi="Arial Rounded MT Bold"/>
      <w:sz w:val="14"/>
      <w:szCs w:val="20"/>
    </w:rPr>
  </w:style>
  <w:style w:type="paragraph" w:customStyle="1" w:styleId="Weld">
    <w:name w:val="Weld"/>
    <w:basedOn w:val="Normal"/>
    <w:rsid w:val="007D7493"/>
    <w:pPr>
      <w:framePr w:hSpace="187" w:wrap="notBeside" w:vAnchor="text" w:hAnchor="page" w:x="546" w:y="141"/>
      <w:jc w:val="center"/>
    </w:pPr>
    <w:rPr>
      <w:rFonts w:ascii="Arial Rounded MT Bold" w:hAnsi="Arial Rounded MT Bold"/>
      <w:sz w:val="16"/>
      <w:szCs w:val="20"/>
    </w:rPr>
  </w:style>
  <w:style w:type="table" w:customStyle="1" w:styleId="TableGrid1">
    <w:name w:val="Table Grid1"/>
    <w:basedOn w:val="TableNormal"/>
    <w:next w:val="TableGrid"/>
    <w:uiPriority w:val="59"/>
    <w:rsid w:val="004705C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E3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B4E"/>
    <w:pPr>
      <w:ind w:left="720"/>
      <w:contextualSpacing/>
    </w:pPr>
  </w:style>
  <w:style w:type="character" w:styleId="FollowedHyperlink">
    <w:name w:val="FollowedHyperlink"/>
    <w:basedOn w:val="DefaultParagraphFont"/>
    <w:rsid w:val="00CE35D7"/>
    <w:rPr>
      <w:color w:val="800080" w:themeColor="followedHyperlink"/>
      <w:u w:val="single"/>
    </w:rPr>
  </w:style>
  <w:style w:type="character" w:styleId="CommentReference">
    <w:name w:val="annotation reference"/>
    <w:basedOn w:val="DefaultParagraphFont"/>
    <w:semiHidden/>
    <w:unhideWhenUsed/>
    <w:rsid w:val="00187E28"/>
    <w:rPr>
      <w:sz w:val="16"/>
      <w:szCs w:val="16"/>
    </w:rPr>
  </w:style>
  <w:style w:type="paragraph" w:styleId="CommentText">
    <w:name w:val="annotation text"/>
    <w:basedOn w:val="Normal"/>
    <w:link w:val="CommentTextChar"/>
    <w:semiHidden/>
    <w:unhideWhenUsed/>
    <w:rsid w:val="00187E28"/>
    <w:rPr>
      <w:sz w:val="20"/>
      <w:szCs w:val="20"/>
    </w:rPr>
  </w:style>
  <w:style w:type="character" w:customStyle="1" w:styleId="CommentTextChar">
    <w:name w:val="Comment Text Char"/>
    <w:basedOn w:val="DefaultParagraphFont"/>
    <w:link w:val="CommentText"/>
    <w:semiHidden/>
    <w:rsid w:val="00187E28"/>
    <w:rPr>
      <w:rFonts w:ascii="Tahoma" w:eastAsia="Times New Roman" w:hAnsi="Tahoma"/>
    </w:rPr>
  </w:style>
  <w:style w:type="paragraph" w:styleId="CommentSubject">
    <w:name w:val="annotation subject"/>
    <w:basedOn w:val="CommentText"/>
    <w:next w:val="CommentText"/>
    <w:link w:val="CommentSubjectChar"/>
    <w:semiHidden/>
    <w:unhideWhenUsed/>
    <w:rsid w:val="00187E28"/>
    <w:rPr>
      <w:b/>
      <w:bCs/>
    </w:rPr>
  </w:style>
  <w:style w:type="character" w:customStyle="1" w:styleId="CommentSubjectChar">
    <w:name w:val="Comment Subject Char"/>
    <w:basedOn w:val="CommentTextChar"/>
    <w:link w:val="CommentSubject"/>
    <w:semiHidden/>
    <w:rsid w:val="00187E28"/>
    <w:rPr>
      <w:rFonts w:ascii="Tahoma" w:eastAsia="Times New Roman" w:hAnsi="Tahoma"/>
      <w:b/>
      <w:bCs/>
    </w:rPr>
  </w:style>
  <w:style w:type="character" w:customStyle="1" w:styleId="UnresolvedMention1">
    <w:name w:val="Unresolved Mention1"/>
    <w:basedOn w:val="DefaultParagraphFont"/>
    <w:uiPriority w:val="99"/>
    <w:semiHidden/>
    <w:unhideWhenUsed/>
    <w:rsid w:val="00124011"/>
    <w:rPr>
      <w:color w:val="605E5C"/>
      <w:shd w:val="clear" w:color="auto" w:fill="E1DFDD"/>
    </w:rPr>
  </w:style>
  <w:style w:type="character" w:customStyle="1" w:styleId="UnresolvedMention2">
    <w:name w:val="Unresolved Mention2"/>
    <w:basedOn w:val="DefaultParagraphFont"/>
    <w:uiPriority w:val="99"/>
    <w:semiHidden/>
    <w:unhideWhenUsed/>
    <w:rsid w:val="005D6791"/>
    <w:rPr>
      <w:color w:val="605E5C"/>
      <w:shd w:val="clear" w:color="auto" w:fill="E1DFDD"/>
    </w:rPr>
  </w:style>
  <w:style w:type="paragraph" w:styleId="NormalWeb">
    <w:name w:val="Normal (Web)"/>
    <w:basedOn w:val="Normal"/>
    <w:uiPriority w:val="99"/>
    <w:semiHidden/>
    <w:unhideWhenUsed/>
    <w:rsid w:val="00D35786"/>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D35786"/>
    <w:rPr>
      <w:i/>
      <w:iCs/>
    </w:rPr>
  </w:style>
  <w:style w:type="paragraph" w:styleId="Revision">
    <w:name w:val="Revision"/>
    <w:hidden/>
    <w:uiPriority w:val="99"/>
    <w:semiHidden/>
    <w:rsid w:val="00552D24"/>
    <w:rPr>
      <w:rFonts w:ascii="Tahoma" w:eastAsia="Times New Roman" w:hAnsi="Tahoma"/>
      <w:sz w:val="24"/>
      <w:szCs w:val="24"/>
    </w:rPr>
  </w:style>
  <w:style w:type="character" w:customStyle="1" w:styleId="ListParagraphChar">
    <w:name w:val="List Paragraph Char"/>
    <w:link w:val="ListParagraph"/>
    <w:uiPriority w:val="34"/>
    <w:rsid w:val="00B807CC"/>
    <w:rPr>
      <w:rFonts w:ascii="Tahoma" w:eastAsia="Times New Roman" w:hAnsi="Tahoma"/>
      <w:sz w:val="24"/>
      <w:szCs w:val="24"/>
    </w:rPr>
  </w:style>
  <w:style w:type="character" w:styleId="UnresolvedMention">
    <w:name w:val="Unresolved Mention"/>
    <w:basedOn w:val="DefaultParagraphFont"/>
    <w:uiPriority w:val="99"/>
    <w:semiHidden/>
    <w:unhideWhenUsed/>
    <w:rsid w:val="00E4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364">
      <w:bodyDiv w:val="1"/>
      <w:marLeft w:val="0"/>
      <w:marRight w:val="0"/>
      <w:marTop w:val="0"/>
      <w:marBottom w:val="0"/>
      <w:divBdr>
        <w:top w:val="none" w:sz="0" w:space="0" w:color="auto"/>
        <w:left w:val="none" w:sz="0" w:space="0" w:color="auto"/>
        <w:bottom w:val="none" w:sz="0" w:space="0" w:color="auto"/>
        <w:right w:val="none" w:sz="0" w:space="0" w:color="auto"/>
      </w:divBdr>
    </w:div>
    <w:div w:id="72050700">
      <w:bodyDiv w:val="1"/>
      <w:marLeft w:val="0"/>
      <w:marRight w:val="0"/>
      <w:marTop w:val="0"/>
      <w:marBottom w:val="0"/>
      <w:divBdr>
        <w:top w:val="none" w:sz="0" w:space="0" w:color="auto"/>
        <w:left w:val="none" w:sz="0" w:space="0" w:color="auto"/>
        <w:bottom w:val="none" w:sz="0" w:space="0" w:color="auto"/>
        <w:right w:val="none" w:sz="0" w:space="0" w:color="auto"/>
      </w:divBdr>
    </w:div>
    <w:div w:id="545334788">
      <w:bodyDiv w:val="1"/>
      <w:marLeft w:val="0"/>
      <w:marRight w:val="0"/>
      <w:marTop w:val="0"/>
      <w:marBottom w:val="0"/>
      <w:divBdr>
        <w:top w:val="none" w:sz="0" w:space="0" w:color="auto"/>
        <w:left w:val="none" w:sz="0" w:space="0" w:color="auto"/>
        <w:bottom w:val="none" w:sz="0" w:space="0" w:color="auto"/>
        <w:right w:val="none" w:sz="0" w:space="0" w:color="auto"/>
      </w:divBdr>
    </w:div>
    <w:div w:id="681322859">
      <w:bodyDiv w:val="1"/>
      <w:marLeft w:val="0"/>
      <w:marRight w:val="0"/>
      <w:marTop w:val="0"/>
      <w:marBottom w:val="0"/>
      <w:divBdr>
        <w:top w:val="none" w:sz="0" w:space="0" w:color="auto"/>
        <w:left w:val="none" w:sz="0" w:space="0" w:color="auto"/>
        <w:bottom w:val="none" w:sz="0" w:space="0" w:color="auto"/>
        <w:right w:val="none" w:sz="0" w:space="0" w:color="auto"/>
      </w:divBdr>
    </w:div>
    <w:div w:id="1086272303">
      <w:bodyDiv w:val="1"/>
      <w:marLeft w:val="0"/>
      <w:marRight w:val="0"/>
      <w:marTop w:val="0"/>
      <w:marBottom w:val="0"/>
      <w:divBdr>
        <w:top w:val="none" w:sz="0" w:space="0" w:color="auto"/>
        <w:left w:val="none" w:sz="0" w:space="0" w:color="auto"/>
        <w:bottom w:val="none" w:sz="0" w:space="0" w:color="auto"/>
        <w:right w:val="none" w:sz="0" w:space="0" w:color="auto"/>
      </w:divBdr>
    </w:div>
    <w:div w:id="1140457682">
      <w:bodyDiv w:val="1"/>
      <w:marLeft w:val="0"/>
      <w:marRight w:val="0"/>
      <w:marTop w:val="0"/>
      <w:marBottom w:val="0"/>
      <w:divBdr>
        <w:top w:val="none" w:sz="0" w:space="0" w:color="auto"/>
        <w:left w:val="none" w:sz="0" w:space="0" w:color="auto"/>
        <w:bottom w:val="none" w:sz="0" w:space="0" w:color="auto"/>
        <w:right w:val="none" w:sz="0" w:space="0" w:color="auto"/>
      </w:divBdr>
    </w:div>
    <w:div w:id="1327128623">
      <w:bodyDiv w:val="1"/>
      <w:marLeft w:val="0"/>
      <w:marRight w:val="0"/>
      <w:marTop w:val="0"/>
      <w:marBottom w:val="0"/>
      <w:divBdr>
        <w:top w:val="none" w:sz="0" w:space="0" w:color="auto"/>
        <w:left w:val="none" w:sz="0" w:space="0" w:color="auto"/>
        <w:bottom w:val="none" w:sz="0" w:space="0" w:color="auto"/>
        <w:right w:val="none" w:sz="0" w:space="0" w:color="auto"/>
      </w:divBdr>
    </w:div>
    <w:div w:id="1402171967">
      <w:bodyDiv w:val="1"/>
      <w:marLeft w:val="0"/>
      <w:marRight w:val="0"/>
      <w:marTop w:val="0"/>
      <w:marBottom w:val="0"/>
      <w:divBdr>
        <w:top w:val="none" w:sz="0" w:space="0" w:color="auto"/>
        <w:left w:val="none" w:sz="0" w:space="0" w:color="auto"/>
        <w:bottom w:val="none" w:sz="0" w:space="0" w:color="auto"/>
        <w:right w:val="none" w:sz="0" w:space="0" w:color="auto"/>
      </w:divBdr>
    </w:div>
    <w:div w:id="1604460343">
      <w:bodyDiv w:val="1"/>
      <w:marLeft w:val="0"/>
      <w:marRight w:val="0"/>
      <w:marTop w:val="0"/>
      <w:marBottom w:val="0"/>
      <w:divBdr>
        <w:top w:val="none" w:sz="0" w:space="0" w:color="auto"/>
        <w:left w:val="none" w:sz="0" w:space="0" w:color="auto"/>
        <w:bottom w:val="none" w:sz="0" w:space="0" w:color="auto"/>
        <w:right w:val="none" w:sz="0" w:space="0" w:color="auto"/>
      </w:divBdr>
    </w:div>
    <w:div w:id="20114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cal-devices/coronavirus-disease-2019-covid-19-emergency-use-authorizations-medical-devices/in-vitro-diagnostics-euas-serology-and-other-adaptive-immune-response-tests-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cal-devices/coronavirus-disease-2019-covid-19-emergency-use-authorizations-medical-devices/in-vitro-diagnostics-euas-antigen-diagnostic-tests-sars-cov-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cal-devices/coronavirus-disease-2019-covid-19-emergency-use-authorizations-medical-devices/in-vitro-diagnostics-euas-molecular-diagnostic-tests-sars-cov-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mass.gov/dp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journals.asm.org/doi/full/10.1128/JCM.000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d522c7ccdec5e61d9ed5b0caa0ede60d">
  <xsd:schema xmlns:xsd="http://www.w3.org/2001/XMLSchema" xmlns:xs="http://www.w3.org/2001/XMLSchema" xmlns:p="http://schemas.microsoft.com/office/2006/metadata/properties" xmlns:ns3="08dbe0c4-748a-4e17-baf4-445a2db175ae" targetNamespace="http://schemas.microsoft.com/office/2006/metadata/properties" ma:root="true" ma:fieldsID="ae042fa778961d017f1b102741e039a2"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24021-0AE8-42B5-A602-FAE2BA58D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EDDDA-AB25-4F71-B9CC-9E1C455C02D7}">
  <ds:schemaRefs>
    <ds:schemaRef ds:uri="http://schemas.openxmlformats.org/officeDocument/2006/bibliography"/>
  </ds:schemaRefs>
</ds:datastoreItem>
</file>

<file path=customXml/itemProps3.xml><?xml version="1.0" encoding="utf-8"?>
<ds:datastoreItem xmlns:ds="http://schemas.openxmlformats.org/officeDocument/2006/customXml" ds:itemID="{BC8FA386-5EBB-41CF-A134-DCC43A1F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6A759-A5FD-4C38-AAB3-76E758225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ADeMaria</dc:creator>
  <cp:lastModifiedBy>Jacob, John (DPH)</cp:lastModifiedBy>
  <cp:revision>2</cp:revision>
  <cp:lastPrinted>2020-07-02T19:19:00Z</cp:lastPrinted>
  <dcterms:created xsi:type="dcterms:W3CDTF">2021-06-15T11:51:00Z</dcterms:created>
  <dcterms:modified xsi:type="dcterms:W3CDTF">2021-06-15T11:51:00Z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