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35A7F" w14:textId="6E46562F" w:rsidR="00E3294A" w:rsidRPr="00FB5F17" w:rsidRDefault="00E3294A" w:rsidP="00186E52">
      <w:pPr>
        <w:rPr>
          <w:rFonts w:ascii="Rockwell" w:hAnsi="Rockwell"/>
          <w:b/>
          <w:bCs/>
          <w:color w:val="0D576C"/>
          <w:sz w:val="28"/>
          <w:szCs w:val="28"/>
        </w:rPr>
      </w:pPr>
      <w:bookmarkStart w:id="0" w:name="_Toc49950772"/>
      <w:bookmarkStart w:id="1" w:name="_GoBack"/>
      <w:bookmarkEnd w:id="1"/>
      <w:r w:rsidRPr="00FB5F17">
        <w:rPr>
          <w:rFonts w:ascii="Rockwell" w:hAnsi="Rockwell"/>
          <w:b/>
          <w:bCs/>
          <w:color w:val="0D576C"/>
          <w:sz w:val="28"/>
          <w:szCs w:val="28"/>
        </w:rPr>
        <w:t>Executive Summary</w:t>
      </w:r>
    </w:p>
    <w:bookmarkEnd w:id="0"/>
    <w:p w14:paraId="51A39506" w14:textId="656136AF" w:rsidR="00E3294A" w:rsidRPr="00FB5F17" w:rsidRDefault="002272EF" w:rsidP="00186E52">
      <w:pPr>
        <w:rPr>
          <w:rFonts w:ascii="Rockwell" w:hAnsi="Rockwell"/>
          <w:b/>
          <w:bCs/>
          <w:color w:val="0D576C"/>
        </w:rPr>
      </w:pPr>
      <w:r>
        <w:rPr>
          <w:rFonts w:ascii="Rockwell" w:hAnsi="Rockwell"/>
          <w:b/>
          <w:bCs/>
          <w:color w:val="0D576C"/>
        </w:rPr>
        <w:t xml:space="preserve">October </w:t>
      </w:r>
      <w:r w:rsidR="00F5251F">
        <w:rPr>
          <w:rFonts w:ascii="Rockwell" w:hAnsi="Rockwell"/>
          <w:b/>
          <w:bCs/>
          <w:color w:val="0D576C"/>
        </w:rPr>
        <w:t xml:space="preserve">26, </w:t>
      </w:r>
      <w:r>
        <w:rPr>
          <w:rFonts w:ascii="Rockwell" w:hAnsi="Rockwell"/>
          <w:b/>
          <w:bCs/>
          <w:color w:val="0D576C"/>
        </w:rPr>
        <w:t>2020</w:t>
      </w:r>
    </w:p>
    <w:p w14:paraId="1734D253" w14:textId="77777777" w:rsidR="00E3294A" w:rsidRPr="00FB5F17" w:rsidRDefault="00E3294A" w:rsidP="00186E52">
      <w:pPr>
        <w:spacing w:after="120" w:line="240" w:lineRule="auto"/>
        <w:rPr>
          <w:rFonts w:ascii="Rockwell" w:hAnsi="Rockwell"/>
          <w:b/>
          <w:bCs/>
          <w:color w:val="0D576C"/>
        </w:rPr>
      </w:pPr>
      <w:r w:rsidRPr="00FB5F17">
        <w:rPr>
          <w:rFonts w:ascii="Rockwell" w:hAnsi="Rockwell"/>
          <w:b/>
          <w:bCs/>
          <w:color w:val="0D576C"/>
        </w:rPr>
        <w:t xml:space="preserve">Introduction </w:t>
      </w:r>
    </w:p>
    <w:p w14:paraId="4A268B25" w14:textId="671CABF5" w:rsidR="00721FF1" w:rsidRPr="00D30102" w:rsidRDefault="00721FF1" w:rsidP="00D30102">
      <w:pPr>
        <w:spacing w:before="120" w:after="120" w:line="240" w:lineRule="auto"/>
        <w:jc w:val="both"/>
        <w:rPr>
          <w:rFonts w:eastAsia="Times New Roman" w:cstheme="minorHAnsi"/>
          <w:color w:val="141414"/>
        </w:rPr>
      </w:pPr>
      <w:r w:rsidRPr="001F1BDA">
        <w:rPr>
          <w:rFonts w:ascii="Calibri" w:cstheme="minorHAnsi"/>
          <w:color w:val="000000"/>
        </w:rPr>
        <w:t xml:space="preserve">The Massachusetts Department of Public Health </w:t>
      </w:r>
      <w:r>
        <w:rPr>
          <w:rFonts w:ascii="Calibri" w:cstheme="minorHAnsi"/>
          <w:color w:val="000000"/>
        </w:rPr>
        <w:t>(</w:t>
      </w:r>
      <w:r w:rsidRPr="001F1BDA">
        <w:rPr>
          <w:rFonts w:ascii="Calibri" w:cstheme="minorHAnsi"/>
          <w:color w:val="000000"/>
        </w:rPr>
        <w:t>MDPH</w:t>
      </w:r>
      <w:r>
        <w:rPr>
          <w:rFonts w:ascii="Calibri" w:cstheme="minorHAnsi"/>
          <w:color w:val="000000"/>
        </w:rPr>
        <w:t xml:space="preserve">) </w:t>
      </w:r>
      <w:r w:rsidR="00CF7D8E">
        <w:rPr>
          <w:rFonts w:ascii="Calibri" w:cstheme="minorHAnsi"/>
          <w:color w:val="000000" w:themeColor="text1"/>
        </w:rPr>
        <w:t xml:space="preserve">leads the </w:t>
      </w:r>
      <w:r w:rsidRPr="00D7339A">
        <w:rPr>
          <w:rFonts w:ascii="Calibri" w:cstheme="minorHAnsi"/>
          <w:color w:val="000000" w:themeColor="text1"/>
        </w:rPr>
        <w:t xml:space="preserve">planning, distribution, and implementation efforts </w:t>
      </w:r>
      <w:r w:rsidR="00CF7D8E">
        <w:rPr>
          <w:rFonts w:ascii="Calibri" w:cstheme="minorHAnsi"/>
          <w:color w:val="000000" w:themeColor="text1"/>
        </w:rPr>
        <w:t>of the</w:t>
      </w:r>
      <w:r w:rsidRPr="00D7339A">
        <w:rPr>
          <w:rFonts w:ascii="Calibri" w:cstheme="minorHAnsi"/>
          <w:color w:val="000000" w:themeColor="text1"/>
        </w:rPr>
        <w:t xml:space="preserve"> Massachusetts COVID-19 Vaccination Program (MCVP)</w:t>
      </w:r>
      <w:r>
        <w:rPr>
          <w:rFonts w:ascii="Calibri" w:cstheme="minorHAnsi"/>
          <w:color w:val="000000" w:themeColor="text1"/>
        </w:rPr>
        <w:t xml:space="preserve">. </w:t>
      </w:r>
      <w:r w:rsidR="000C7048">
        <w:rPr>
          <w:rFonts w:eastAsia="Times New Roman" w:cstheme="minorHAnsi"/>
          <w:color w:val="141414"/>
        </w:rPr>
        <w:t xml:space="preserve">The MCVP will build on the </w:t>
      </w:r>
      <w:r w:rsidR="00F35BE5">
        <w:rPr>
          <w:rFonts w:eastAsia="Times New Roman" w:cstheme="minorHAnsi"/>
          <w:color w:val="141414"/>
        </w:rPr>
        <w:t xml:space="preserve">Department’s experience and </w:t>
      </w:r>
      <w:r w:rsidR="000C7048">
        <w:rPr>
          <w:rFonts w:eastAsia="Times New Roman" w:cstheme="minorHAnsi"/>
          <w:color w:val="141414"/>
        </w:rPr>
        <w:t>strong existing foundation</w:t>
      </w:r>
      <w:r w:rsidR="00967B18">
        <w:rPr>
          <w:rFonts w:eastAsia="Times New Roman" w:cstheme="minorHAnsi"/>
          <w:color w:val="141414"/>
        </w:rPr>
        <w:t xml:space="preserve">, which </w:t>
      </w:r>
      <w:r w:rsidR="000C7048">
        <w:rPr>
          <w:rFonts w:eastAsia="Times New Roman" w:cstheme="minorHAnsi"/>
          <w:color w:val="141414"/>
        </w:rPr>
        <w:t xml:space="preserve">currently supports the distribution of over 3 million doses of vaccine annually to </w:t>
      </w:r>
      <w:r w:rsidR="00F35BE5">
        <w:rPr>
          <w:rFonts w:eastAsia="Times New Roman" w:cstheme="minorHAnsi"/>
          <w:color w:val="141414"/>
        </w:rPr>
        <w:t xml:space="preserve">more than </w:t>
      </w:r>
      <w:r w:rsidR="000C7048">
        <w:rPr>
          <w:rFonts w:eastAsia="Times New Roman" w:cstheme="minorHAnsi"/>
          <w:color w:val="141414"/>
        </w:rPr>
        <w:t xml:space="preserve">1,000 health care provider sites. </w:t>
      </w:r>
      <w:r w:rsidRPr="004C70F5">
        <w:rPr>
          <w:rFonts w:ascii="Calibri" w:cstheme="minorHAnsi"/>
        </w:rPr>
        <w:t>MDPH</w:t>
      </w:r>
      <w:r>
        <w:rPr>
          <w:rFonts w:ascii="Calibri" w:cstheme="minorHAnsi"/>
        </w:rPr>
        <w:t xml:space="preserve"> </w:t>
      </w:r>
      <w:r w:rsidRPr="004C70F5">
        <w:rPr>
          <w:rFonts w:ascii="Calibri" w:cstheme="minorHAnsi"/>
        </w:rPr>
        <w:t xml:space="preserve">launched its internal COVID-19 Vaccine Planning Structure </w:t>
      </w:r>
      <w:r w:rsidRPr="004528A8">
        <w:rPr>
          <w:rFonts w:ascii="Calibri" w:cstheme="minorHAnsi"/>
          <w:color w:val="000000" w:themeColor="text1"/>
        </w:rPr>
        <w:t xml:space="preserve">on August </w:t>
      </w:r>
      <w:r>
        <w:rPr>
          <w:rFonts w:ascii="Calibri" w:cstheme="minorHAnsi"/>
          <w:color w:val="000000" w:themeColor="text1"/>
        </w:rPr>
        <w:t xml:space="preserve">13, </w:t>
      </w:r>
      <w:r w:rsidRPr="004C70F5">
        <w:rPr>
          <w:rFonts w:ascii="Calibri" w:cstheme="minorHAnsi"/>
        </w:rPr>
        <w:t>2020</w:t>
      </w:r>
      <w:r>
        <w:rPr>
          <w:rFonts w:ascii="Calibri" w:cstheme="minorHAnsi"/>
        </w:rPr>
        <w:t>,</w:t>
      </w:r>
      <w:r w:rsidRPr="004C70F5">
        <w:rPr>
          <w:rFonts w:ascii="Calibri" w:cstheme="minorHAnsi"/>
        </w:rPr>
        <w:t xml:space="preserve"> engage</w:t>
      </w:r>
      <w:r w:rsidR="00967B18">
        <w:rPr>
          <w:rFonts w:ascii="Calibri" w:cstheme="minorHAnsi"/>
        </w:rPr>
        <w:t>d</w:t>
      </w:r>
      <w:r w:rsidRPr="004C70F5">
        <w:rPr>
          <w:rFonts w:ascii="Calibri" w:cstheme="minorHAnsi"/>
        </w:rPr>
        <w:t xml:space="preserve"> critical partners across </w:t>
      </w:r>
      <w:r>
        <w:rPr>
          <w:rFonts w:ascii="Calibri" w:cstheme="minorHAnsi"/>
        </w:rPr>
        <w:t>MDPH</w:t>
      </w:r>
      <w:r w:rsidR="00967B18">
        <w:rPr>
          <w:rFonts w:ascii="Calibri" w:cstheme="minorHAnsi"/>
        </w:rPr>
        <w:t>,</w:t>
      </w:r>
      <w:r>
        <w:rPr>
          <w:rFonts w:ascii="Calibri" w:cstheme="minorHAnsi"/>
        </w:rPr>
        <w:t xml:space="preserve"> and identified external partners</w:t>
      </w:r>
      <w:r w:rsidR="004D7918">
        <w:rPr>
          <w:rFonts w:ascii="Calibri" w:cstheme="minorHAnsi"/>
        </w:rPr>
        <w:t xml:space="preserve"> </w:t>
      </w:r>
      <w:r w:rsidR="00CF7D8E">
        <w:rPr>
          <w:rFonts w:ascii="Calibri" w:cstheme="minorHAnsi"/>
        </w:rPr>
        <w:t>to guide this effort to ensure all M</w:t>
      </w:r>
      <w:r w:rsidR="00296CCF">
        <w:rPr>
          <w:rFonts w:ascii="Calibri" w:cstheme="minorHAnsi"/>
        </w:rPr>
        <w:t>assachusetts</w:t>
      </w:r>
      <w:r w:rsidR="00CF7D8E">
        <w:rPr>
          <w:rFonts w:ascii="Calibri" w:cstheme="minorHAnsi"/>
        </w:rPr>
        <w:t xml:space="preserve"> citizens have access to COVID</w:t>
      </w:r>
      <w:r w:rsidR="00B05C3E">
        <w:rPr>
          <w:rFonts w:ascii="Calibri" w:cstheme="minorHAnsi"/>
        </w:rPr>
        <w:t>-</w:t>
      </w:r>
      <w:r w:rsidR="00CF7D8E">
        <w:rPr>
          <w:rFonts w:ascii="Calibri" w:cstheme="minorHAnsi"/>
        </w:rPr>
        <w:t xml:space="preserve">19 vaccine in a safe and timely manner. </w:t>
      </w:r>
      <w:r w:rsidR="002F5E26">
        <w:rPr>
          <w:rFonts w:ascii="Calibri" w:cstheme="minorHAnsi"/>
        </w:rPr>
        <w:t>On October 7, 2020, t</w:t>
      </w:r>
      <w:r w:rsidR="002F5E26" w:rsidRPr="00CE4502">
        <w:rPr>
          <w:rFonts w:eastAsia="Times New Roman" w:cstheme="minorHAnsi"/>
          <w:color w:val="141414"/>
        </w:rPr>
        <w:t xml:space="preserve">he Baker-Polito Administration announced </w:t>
      </w:r>
      <w:r w:rsidR="002F5E26">
        <w:rPr>
          <w:rFonts w:eastAsia="Times New Roman" w:cstheme="minorHAnsi"/>
          <w:color w:val="141414"/>
        </w:rPr>
        <w:t>a</w:t>
      </w:r>
      <w:r w:rsidR="002F5E26" w:rsidRPr="00CE4502">
        <w:rPr>
          <w:rFonts w:eastAsia="Times New Roman" w:cstheme="minorHAnsi"/>
          <w:color w:val="141414"/>
        </w:rPr>
        <w:t xml:space="preserve"> </w:t>
      </w:r>
      <w:hyperlink r:id="rId11" w:history="1">
        <w:r w:rsidR="002F5E26" w:rsidRPr="00A312CA">
          <w:rPr>
            <w:rStyle w:val="Hyperlink"/>
            <w:rFonts w:eastAsia="Times New Roman" w:cstheme="minorHAnsi"/>
          </w:rPr>
          <w:t>COVID-19 Vaccine Advisory Group</w:t>
        </w:r>
      </w:hyperlink>
      <w:r w:rsidR="002F5E26" w:rsidRPr="00CE4502">
        <w:rPr>
          <w:rFonts w:eastAsia="Times New Roman" w:cstheme="minorHAnsi"/>
          <w:color w:val="141414"/>
        </w:rPr>
        <w:t xml:space="preserve"> to </w:t>
      </w:r>
      <w:r w:rsidR="00967B18">
        <w:rPr>
          <w:rFonts w:eastAsia="Times New Roman" w:cstheme="minorHAnsi"/>
          <w:color w:val="141414"/>
        </w:rPr>
        <w:t xml:space="preserve">inform </w:t>
      </w:r>
      <w:r w:rsidR="002F5E26">
        <w:rPr>
          <w:rFonts w:eastAsia="Times New Roman" w:cstheme="minorHAnsi"/>
          <w:color w:val="141414"/>
        </w:rPr>
        <w:t>MDPH’s planning to</w:t>
      </w:r>
      <w:r w:rsidR="002F5E26" w:rsidRPr="00CE4502">
        <w:rPr>
          <w:rFonts w:eastAsia="Times New Roman" w:cstheme="minorHAnsi"/>
          <w:color w:val="141414"/>
        </w:rPr>
        <w:t xml:space="preserve"> distribute a safe and effective COVID-19 vaccine.</w:t>
      </w:r>
      <w:r w:rsidR="002F5E26">
        <w:rPr>
          <w:rFonts w:eastAsia="Times New Roman" w:cstheme="minorHAnsi"/>
          <w:color w:val="141414"/>
        </w:rPr>
        <w:t xml:space="preserve">  </w:t>
      </w:r>
      <w:r w:rsidR="004D7918">
        <w:rPr>
          <w:rFonts w:eastAsia="Times New Roman" w:cstheme="minorHAnsi"/>
          <w:color w:val="141414"/>
        </w:rPr>
        <w:t>This work will be conducted w</w:t>
      </w:r>
      <w:r w:rsidR="004D7918">
        <w:rPr>
          <w:rFonts w:cstheme="minorHAnsi"/>
        </w:rPr>
        <w:t>ith a</w:t>
      </w:r>
      <w:r w:rsidR="002F5E26">
        <w:rPr>
          <w:rFonts w:cstheme="minorHAnsi"/>
        </w:rPr>
        <w:t xml:space="preserve">n </w:t>
      </w:r>
      <w:r w:rsidR="004D7918">
        <w:rPr>
          <w:rFonts w:cstheme="minorHAnsi"/>
        </w:rPr>
        <w:t>equity lens</w:t>
      </w:r>
      <w:r w:rsidR="004D7918" w:rsidRPr="00E37DB9">
        <w:rPr>
          <w:rFonts w:cstheme="minorHAnsi"/>
        </w:rPr>
        <w:t xml:space="preserve"> to ensure </w:t>
      </w:r>
      <w:r w:rsidR="00B05C3E">
        <w:rPr>
          <w:rFonts w:cstheme="minorHAnsi"/>
        </w:rPr>
        <w:t xml:space="preserve">distribution to </w:t>
      </w:r>
      <w:r w:rsidR="004D7918" w:rsidRPr="00E37DB9">
        <w:rPr>
          <w:rFonts w:cstheme="minorHAnsi"/>
        </w:rPr>
        <w:t xml:space="preserve">the critical populations </w:t>
      </w:r>
      <w:r w:rsidR="004D7918">
        <w:rPr>
          <w:rFonts w:cstheme="minorHAnsi"/>
        </w:rPr>
        <w:t>consider</w:t>
      </w:r>
      <w:r w:rsidR="00B05C3E">
        <w:rPr>
          <w:rFonts w:cstheme="minorHAnsi"/>
        </w:rPr>
        <w:t>ed</w:t>
      </w:r>
      <w:r w:rsidR="004D7918">
        <w:rPr>
          <w:rFonts w:cstheme="minorHAnsi"/>
        </w:rPr>
        <w:t xml:space="preserve"> </w:t>
      </w:r>
      <w:r w:rsidR="004D7918" w:rsidRPr="00E37DB9">
        <w:rPr>
          <w:rFonts w:cstheme="minorHAnsi"/>
        </w:rPr>
        <w:t>most vulnerable.</w:t>
      </w:r>
      <w:r w:rsidR="004D7918">
        <w:rPr>
          <w:rFonts w:cstheme="minorHAnsi"/>
        </w:rPr>
        <w:t xml:space="preserve"> </w:t>
      </w:r>
      <w:r w:rsidR="0099316A">
        <w:rPr>
          <w:rFonts w:ascii="Calibri" w:cstheme="minorHAnsi"/>
        </w:rPr>
        <w:t xml:space="preserve"> Planning will include coordination with the federally-recognized Tribal Nations</w:t>
      </w:r>
      <w:r w:rsidR="004D7918">
        <w:rPr>
          <w:rFonts w:ascii="Calibri" w:cstheme="minorHAnsi"/>
        </w:rPr>
        <w:t xml:space="preserve">. </w:t>
      </w:r>
    </w:p>
    <w:p w14:paraId="15FB3425" w14:textId="77777777" w:rsidR="00E3294A" w:rsidRPr="00FB5F17" w:rsidRDefault="00E3294A" w:rsidP="00186E52">
      <w:pPr>
        <w:spacing w:after="120" w:line="240" w:lineRule="auto"/>
        <w:rPr>
          <w:rFonts w:ascii="Rockwell" w:hAnsi="Rockwell"/>
          <w:b/>
          <w:bCs/>
          <w:color w:val="0D576C"/>
        </w:rPr>
      </w:pPr>
      <w:r w:rsidRPr="00FB5F17">
        <w:rPr>
          <w:rFonts w:ascii="Rockwell" w:hAnsi="Rockwell"/>
          <w:b/>
          <w:bCs/>
          <w:color w:val="0D576C"/>
        </w:rPr>
        <w:t>COVID-19 Vaccination Planning Sections:</w:t>
      </w:r>
    </w:p>
    <w:p w14:paraId="610C1DD2" w14:textId="11B4D2F8" w:rsidR="00E3294A" w:rsidRDefault="00E3294A" w:rsidP="00721FF1">
      <w:pPr>
        <w:spacing w:after="120" w:line="240" w:lineRule="auto"/>
        <w:rPr>
          <w:rFonts w:ascii="Rockwell" w:hAnsi="Rockwell"/>
          <w:color w:val="0D576C"/>
        </w:rPr>
      </w:pPr>
      <w:r w:rsidRPr="001A7F26">
        <w:rPr>
          <w:rFonts w:ascii="Rockwell" w:hAnsi="Rockwell"/>
          <w:color w:val="0D576C"/>
        </w:rPr>
        <w:t>Section 3: Phase</w:t>
      </w:r>
      <w:r>
        <w:rPr>
          <w:rFonts w:ascii="Rockwell" w:hAnsi="Rockwell"/>
          <w:color w:val="0D576C"/>
        </w:rPr>
        <w:t>d</w:t>
      </w:r>
      <w:r w:rsidRPr="001A7F26">
        <w:rPr>
          <w:rFonts w:ascii="Rockwell" w:hAnsi="Rockwell"/>
          <w:color w:val="0D576C"/>
        </w:rPr>
        <w:t xml:space="preserve"> Approach to COVID-19 Vaccination</w:t>
      </w:r>
    </w:p>
    <w:p w14:paraId="610E392D" w14:textId="1D2194AE" w:rsidR="00721FF1" w:rsidRPr="001A7F26" w:rsidRDefault="00B05C3E" w:rsidP="00721FF1">
      <w:pPr>
        <w:spacing w:after="120" w:line="240" w:lineRule="auto"/>
        <w:jc w:val="both"/>
        <w:rPr>
          <w:rFonts w:ascii="Rockwell" w:hAnsi="Rockwell"/>
          <w:color w:val="0D576C"/>
        </w:rPr>
      </w:pPr>
      <w:r>
        <w:rPr>
          <w:rFonts w:cstheme="minorHAnsi"/>
          <w:color w:val="000000" w:themeColor="text1"/>
        </w:rPr>
        <w:t xml:space="preserve">Our program </w:t>
      </w:r>
      <w:r w:rsidR="00721FF1" w:rsidRPr="00854B3B">
        <w:rPr>
          <w:rFonts w:cstheme="minorHAnsi"/>
          <w:color w:val="000000" w:themeColor="text1"/>
        </w:rPr>
        <w:t>is aligned with the three phases of vaccine availability</w:t>
      </w:r>
      <w:r w:rsidR="00785E03">
        <w:rPr>
          <w:rFonts w:cstheme="minorHAnsi"/>
          <w:color w:val="000000" w:themeColor="text1"/>
        </w:rPr>
        <w:t xml:space="preserve"> and</w:t>
      </w:r>
      <w:r w:rsidR="00721FF1" w:rsidRPr="00854B3B">
        <w:rPr>
          <w:rFonts w:cstheme="minorHAnsi"/>
          <w:color w:val="000000" w:themeColor="text1"/>
        </w:rPr>
        <w:t xml:space="preserve"> scenarios, as described in the </w:t>
      </w:r>
      <w:r w:rsidR="00B94550">
        <w:rPr>
          <w:rFonts w:cstheme="minorHAnsi"/>
          <w:color w:val="000000" w:themeColor="text1"/>
        </w:rPr>
        <w:t>Centers for Disease Control and Prevention (</w:t>
      </w:r>
      <w:r w:rsidR="00721FF1" w:rsidRPr="00854B3B">
        <w:rPr>
          <w:rFonts w:cstheme="minorHAnsi"/>
          <w:color w:val="000000" w:themeColor="text1"/>
        </w:rPr>
        <w:t>CDC</w:t>
      </w:r>
      <w:r w:rsidR="00B94550">
        <w:rPr>
          <w:rFonts w:cstheme="minorHAnsi"/>
          <w:color w:val="000000" w:themeColor="text1"/>
        </w:rPr>
        <w:t>)</w:t>
      </w:r>
      <w:r w:rsidR="00721FF1" w:rsidRPr="00854B3B">
        <w:rPr>
          <w:rFonts w:cstheme="minorHAnsi"/>
          <w:color w:val="000000" w:themeColor="text1"/>
        </w:rPr>
        <w:t xml:space="preserve"> </w:t>
      </w:r>
      <w:r w:rsidR="00721FF1">
        <w:rPr>
          <w:rFonts w:cstheme="minorHAnsi"/>
          <w:color w:val="000000" w:themeColor="text1"/>
        </w:rPr>
        <w:t>Interim Playbook</w:t>
      </w:r>
      <w:r w:rsidR="00721FF1" w:rsidRPr="00854B3B">
        <w:rPr>
          <w:rFonts w:cstheme="minorHAnsi"/>
          <w:color w:val="000000" w:themeColor="text1"/>
        </w:rPr>
        <w:t>. The goal is to maximize vaccine acceptance and public health protection, while minimizing waste and inefficiency.</w:t>
      </w:r>
      <w:r w:rsidR="00721FF1">
        <w:rPr>
          <w:rFonts w:cstheme="minorHAnsi"/>
          <w:color w:val="000000" w:themeColor="text1"/>
        </w:rPr>
        <w:t xml:space="preserve"> </w:t>
      </w:r>
      <w:r w:rsidR="00721FF1" w:rsidRPr="00854B3B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 xml:space="preserve">program </w:t>
      </w:r>
      <w:r w:rsidR="00721FF1" w:rsidRPr="00854B3B">
        <w:rPr>
          <w:rFonts w:cstheme="minorHAnsi"/>
          <w:color w:val="000000" w:themeColor="text1"/>
        </w:rPr>
        <w:t>will monitor vaccine inventory, distribution, and any repositioning of the vaccine to ensure end-to-end visibility of vaccine doses throughout all phases.</w:t>
      </w:r>
      <w:r w:rsidR="00721FF1">
        <w:rPr>
          <w:rFonts w:cstheme="minorHAnsi"/>
          <w:color w:val="000000" w:themeColor="text1"/>
        </w:rPr>
        <w:t xml:space="preserve">  The </w:t>
      </w:r>
      <w:r w:rsidR="00296CCF">
        <w:rPr>
          <w:rFonts w:cstheme="minorHAnsi"/>
          <w:color w:val="000000" w:themeColor="text1"/>
        </w:rPr>
        <w:t>MDPH</w:t>
      </w:r>
      <w:r w:rsidR="00721FF1">
        <w:rPr>
          <w:rFonts w:cstheme="minorHAnsi"/>
          <w:color w:val="000000" w:themeColor="text1"/>
        </w:rPr>
        <w:t xml:space="preserve"> Immunization Division will </w:t>
      </w:r>
      <w:r w:rsidR="00186E52">
        <w:rPr>
          <w:rFonts w:cstheme="minorHAnsi"/>
          <w:color w:val="000000" w:themeColor="text1"/>
        </w:rPr>
        <w:t>actively</w:t>
      </w:r>
      <w:r w:rsidR="00721FF1">
        <w:rPr>
          <w:rFonts w:cstheme="minorHAnsi"/>
          <w:color w:val="000000" w:themeColor="text1"/>
        </w:rPr>
        <w:t xml:space="preserve"> </w:t>
      </w:r>
      <w:r w:rsidR="00186E52">
        <w:rPr>
          <w:rFonts w:cstheme="minorHAnsi"/>
          <w:color w:val="000000" w:themeColor="text1"/>
        </w:rPr>
        <w:t>recruit and enroll additional</w:t>
      </w:r>
      <w:r w:rsidR="00721FF1">
        <w:rPr>
          <w:rFonts w:cstheme="minorHAnsi"/>
          <w:color w:val="000000" w:themeColor="text1"/>
        </w:rPr>
        <w:t xml:space="preserve"> </w:t>
      </w:r>
      <w:r w:rsidR="00186E52">
        <w:rPr>
          <w:rFonts w:cstheme="minorHAnsi"/>
          <w:color w:val="000000" w:themeColor="text1"/>
        </w:rPr>
        <w:t xml:space="preserve">vaccine </w:t>
      </w:r>
      <w:r w:rsidR="00721FF1">
        <w:rPr>
          <w:rFonts w:cstheme="minorHAnsi"/>
          <w:color w:val="000000" w:themeColor="text1"/>
        </w:rPr>
        <w:t xml:space="preserve">provider sites to </w:t>
      </w:r>
      <w:r w:rsidR="00536A51">
        <w:rPr>
          <w:rFonts w:cstheme="minorHAnsi"/>
          <w:color w:val="000000" w:themeColor="text1"/>
        </w:rPr>
        <w:t xml:space="preserve">supplement the </w:t>
      </w:r>
      <w:r w:rsidR="003C0DE9">
        <w:rPr>
          <w:rFonts w:cstheme="minorHAnsi"/>
          <w:color w:val="000000" w:themeColor="text1"/>
        </w:rPr>
        <w:t xml:space="preserve">nearly </w:t>
      </w:r>
      <w:r w:rsidR="00536A51">
        <w:rPr>
          <w:rFonts w:cstheme="minorHAnsi"/>
          <w:color w:val="000000" w:themeColor="text1"/>
        </w:rPr>
        <w:t xml:space="preserve">3,000 provider sites already registered </w:t>
      </w:r>
      <w:r w:rsidR="008B361B">
        <w:rPr>
          <w:rFonts w:cstheme="minorHAnsi"/>
          <w:color w:val="000000" w:themeColor="text1"/>
        </w:rPr>
        <w:t xml:space="preserve">and reporting immunization data to </w:t>
      </w:r>
      <w:r w:rsidR="00536A51">
        <w:rPr>
          <w:rFonts w:cstheme="minorHAnsi"/>
          <w:color w:val="000000" w:themeColor="text1"/>
        </w:rPr>
        <w:t xml:space="preserve">the Massachusetts Immunization Information System (MIIS) in order to </w:t>
      </w:r>
      <w:r w:rsidR="00721FF1">
        <w:rPr>
          <w:rFonts w:cstheme="minorHAnsi"/>
          <w:color w:val="000000" w:themeColor="text1"/>
        </w:rPr>
        <w:t>fully support all three phases of the COVID-19 vaccination effort</w:t>
      </w:r>
      <w:r w:rsidR="00186E52">
        <w:rPr>
          <w:rFonts w:cstheme="minorHAnsi"/>
          <w:color w:val="000000" w:themeColor="text1"/>
        </w:rPr>
        <w:t xml:space="preserve">.  MDPH will ensure equitable distribution of </w:t>
      </w:r>
      <w:r w:rsidR="008077F1">
        <w:rPr>
          <w:rFonts w:cstheme="minorHAnsi"/>
          <w:color w:val="000000" w:themeColor="text1"/>
        </w:rPr>
        <w:t xml:space="preserve">the </w:t>
      </w:r>
      <w:r w:rsidR="00186E52">
        <w:rPr>
          <w:rFonts w:cstheme="minorHAnsi"/>
          <w:color w:val="000000" w:themeColor="text1"/>
        </w:rPr>
        <w:t xml:space="preserve">vaccine </w:t>
      </w:r>
      <w:r w:rsidR="00536A51">
        <w:rPr>
          <w:rFonts w:cstheme="minorHAnsi"/>
          <w:color w:val="000000" w:themeColor="text1"/>
        </w:rPr>
        <w:t>throughout</w:t>
      </w:r>
      <w:r w:rsidR="00CE2C17">
        <w:rPr>
          <w:rFonts w:cstheme="minorHAnsi"/>
          <w:color w:val="000000" w:themeColor="text1"/>
        </w:rPr>
        <w:t xml:space="preserve"> all three phases.</w:t>
      </w:r>
      <w:r w:rsidR="006B1665">
        <w:rPr>
          <w:rFonts w:cstheme="minorHAnsi"/>
          <w:color w:val="000000" w:themeColor="text1"/>
        </w:rPr>
        <w:t xml:space="preserve"> </w:t>
      </w:r>
    </w:p>
    <w:p w14:paraId="28E0EBD7" w14:textId="4985716E" w:rsidR="00E3294A" w:rsidRDefault="00E3294A" w:rsidP="00721FF1">
      <w:pPr>
        <w:spacing w:after="120" w:line="240" w:lineRule="auto"/>
        <w:rPr>
          <w:rFonts w:ascii="Rockwell" w:hAnsi="Rockwell"/>
          <w:color w:val="0D576C"/>
        </w:rPr>
      </w:pPr>
      <w:r w:rsidRPr="001A7F26">
        <w:rPr>
          <w:rFonts w:ascii="Rockwell" w:hAnsi="Rockwell"/>
          <w:color w:val="0D576C"/>
        </w:rPr>
        <w:t>Section 4: Critical Populations</w:t>
      </w:r>
    </w:p>
    <w:p w14:paraId="1F5D559D" w14:textId="51FDC20D" w:rsidR="008F1103" w:rsidRPr="001A7F26" w:rsidRDefault="008F1103" w:rsidP="008F1103">
      <w:pPr>
        <w:spacing w:after="120" w:line="240" w:lineRule="auto"/>
        <w:jc w:val="both"/>
        <w:rPr>
          <w:rFonts w:ascii="Rockwell" w:hAnsi="Rockwell"/>
          <w:color w:val="0D576C"/>
        </w:rPr>
      </w:pPr>
      <w:r>
        <w:rPr>
          <w:rFonts w:cstheme="minorHAnsi"/>
        </w:rPr>
        <w:t xml:space="preserve">Using </w:t>
      </w:r>
      <w:r w:rsidR="00D8011C">
        <w:rPr>
          <w:rFonts w:cstheme="minorHAnsi"/>
        </w:rPr>
        <w:t>a variety of existing data sets</w:t>
      </w:r>
      <w:r w:rsidR="00BA7B4F">
        <w:rPr>
          <w:rFonts w:cstheme="minorHAnsi"/>
        </w:rPr>
        <w:t>,</w:t>
      </w:r>
      <w:r w:rsidR="00D8011C">
        <w:rPr>
          <w:rFonts w:cstheme="minorHAnsi"/>
        </w:rPr>
        <w:t xml:space="preserve"> </w:t>
      </w:r>
      <w:r>
        <w:rPr>
          <w:rFonts w:cstheme="minorHAnsi"/>
        </w:rPr>
        <w:t>along with</w:t>
      </w:r>
      <w:r w:rsidR="006E3895">
        <w:rPr>
          <w:rFonts w:cstheme="minorHAnsi"/>
        </w:rPr>
        <w:t xml:space="preserve"> CDC</w:t>
      </w:r>
      <w:r w:rsidR="00BA7B4F">
        <w:rPr>
          <w:rFonts w:cstheme="minorHAnsi"/>
        </w:rPr>
        <w:t xml:space="preserve"> </w:t>
      </w:r>
      <w:r w:rsidRPr="00E37DB9">
        <w:rPr>
          <w:rFonts w:cstheme="minorHAnsi"/>
        </w:rPr>
        <w:t>COVID</w:t>
      </w:r>
      <w:r>
        <w:rPr>
          <w:rFonts w:cstheme="minorHAnsi"/>
        </w:rPr>
        <w:t xml:space="preserve">-19 guidance on the </w:t>
      </w:r>
      <w:r w:rsidRPr="00470830">
        <w:rPr>
          <w:rFonts w:cstheme="minorHAnsi"/>
        </w:rPr>
        <w:t>three phases of vaccine availability</w:t>
      </w:r>
      <w:r>
        <w:rPr>
          <w:rFonts w:cstheme="minorHAnsi"/>
        </w:rPr>
        <w:t xml:space="preserve">, </w:t>
      </w:r>
      <w:r w:rsidR="006E3895">
        <w:rPr>
          <w:rFonts w:cstheme="minorHAnsi"/>
        </w:rPr>
        <w:t xml:space="preserve">recommendations from the </w:t>
      </w:r>
      <w:r w:rsidR="006E3895" w:rsidRPr="00E37DB9">
        <w:rPr>
          <w:rFonts w:cstheme="minorHAnsi"/>
        </w:rPr>
        <w:t>National Academies of Sciences, Engineering, and Medicine</w:t>
      </w:r>
      <w:r w:rsidR="00967B18">
        <w:rPr>
          <w:rFonts w:cstheme="minorHAnsi"/>
        </w:rPr>
        <w:t>,</w:t>
      </w:r>
      <w:r w:rsidR="006E3895">
        <w:rPr>
          <w:rFonts w:cstheme="minorHAnsi"/>
        </w:rPr>
        <w:t xml:space="preserve"> and the final prioritization of the </w:t>
      </w:r>
      <w:r w:rsidR="006E3895" w:rsidRPr="00E37DB9">
        <w:rPr>
          <w:rFonts w:cstheme="minorHAnsi"/>
        </w:rPr>
        <w:t>Advisory Committee on Immunization Practices</w:t>
      </w:r>
      <w:r w:rsidR="006E3895">
        <w:rPr>
          <w:rFonts w:cstheme="minorHAnsi"/>
        </w:rPr>
        <w:t xml:space="preserve">, </w:t>
      </w:r>
      <w:r>
        <w:rPr>
          <w:rFonts w:cstheme="minorHAnsi"/>
        </w:rPr>
        <w:t>MDPH will identify and prioritize critical populations</w:t>
      </w:r>
      <w:r w:rsidR="00536A51">
        <w:rPr>
          <w:rFonts w:cstheme="minorHAnsi"/>
        </w:rPr>
        <w:t xml:space="preserve"> for vaccination</w:t>
      </w:r>
      <w:r w:rsidR="00B524B6">
        <w:rPr>
          <w:rFonts w:cstheme="minorHAnsi"/>
        </w:rPr>
        <w:t xml:space="preserve"> following federal guidance</w:t>
      </w:r>
      <w:r w:rsidR="00536A51">
        <w:rPr>
          <w:rFonts w:cstheme="minorHAnsi"/>
        </w:rPr>
        <w:t>.</w:t>
      </w:r>
      <w:r>
        <w:rPr>
          <w:rFonts w:cstheme="minorHAnsi"/>
        </w:rPr>
        <w:t xml:space="preserve">  </w:t>
      </w:r>
      <w:r w:rsidR="00CC5BC4">
        <w:rPr>
          <w:rFonts w:cstheme="minorHAnsi"/>
        </w:rPr>
        <w:t xml:space="preserve">In addition, </w:t>
      </w:r>
      <w:r>
        <w:rPr>
          <w:rFonts w:cstheme="minorHAnsi"/>
        </w:rPr>
        <w:t xml:space="preserve">MDPH will refer to emerging evidence of historic and COVID-19-specific vaccine hesitancy and under-immunization risk. Once critical populations are </w:t>
      </w:r>
      <w:r w:rsidR="00B524B6">
        <w:rPr>
          <w:rFonts w:cstheme="minorHAnsi"/>
        </w:rPr>
        <w:t>enumerated and mapped</w:t>
      </w:r>
      <w:r>
        <w:rPr>
          <w:rFonts w:cstheme="minorHAnsi"/>
        </w:rPr>
        <w:t xml:space="preserve">, MDPH will </w:t>
      </w:r>
      <w:r w:rsidR="001043FF">
        <w:rPr>
          <w:rFonts w:cstheme="minorHAnsi"/>
        </w:rPr>
        <w:t xml:space="preserve">determine </w:t>
      </w:r>
      <w:r w:rsidRPr="00E37DB9">
        <w:rPr>
          <w:rFonts w:cstheme="minorHAnsi"/>
        </w:rPr>
        <w:t>parameters and data sets to inform the prioritization model</w:t>
      </w:r>
      <w:r w:rsidR="006E3895">
        <w:rPr>
          <w:rFonts w:cstheme="minorHAnsi"/>
        </w:rPr>
        <w:t xml:space="preserve"> including</w:t>
      </w:r>
      <w:r w:rsidR="00D8011C">
        <w:rPr>
          <w:rFonts w:cstheme="minorHAnsi"/>
        </w:rPr>
        <w:t xml:space="preserve"> </w:t>
      </w:r>
      <w:r w:rsidR="006E3895" w:rsidRPr="00E37DB9">
        <w:rPr>
          <w:rFonts w:cstheme="minorHAnsi"/>
        </w:rPr>
        <w:t>projections</w:t>
      </w:r>
      <w:r w:rsidR="006E3895">
        <w:rPr>
          <w:rFonts w:cstheme="minorHAnsi"/>
        </w:rPr>
        <w:t>,</w:t>
      </w:r>
      <w:r w:rsidR="006E3895" w:rsidRPr="00E37DB9">
        <w:rPr>
          <w:rFonts w:cstheme="minorHAnsi"/>
        </w:rPr>
        <w:t xml:space="preserve"> and requisite mapping</w:t>
      </w:r>
      <w:r w:rsidR="006E3895">
        <w:rPr>
          <w:rFonts w:cstheme="minorHAnsi"/>
        </w:rPr>
        <w:t>,</w:t>
      </w:r>
      <w:r w:rsidR="006E3895" w:rsidRPr="00E37DB9">
        <w:rPr>
          <w:rFonts w:cstheme="minorHAnsi"/>
        </w:rPr>
        <w:t xml:space="preserve"> </w:t>
      </w:r>
      <w:r w:rsidRPr="00E37DB9">
        <w:rPr>
          <w:rFonts w:cstheme="minorHAnsi"/>
        </w:rPr>
        <w:t>for the distribution of the vaccine by phase (</w:t>
      </w:r>
      <w:r>
        <w:rPr>
          <w:rFonts w:cstheme="minorHAnsi"/>
        </w:rPr>
        <w:t xml:space="preserve">and </w:t>
      </w:r>
      <w:r w:rsidRPr="00E37DB9">
        <w:rPr>
          <w:rFonts w:cstheme="minorHAnsi"/>
        </w:rPr>
        <w:t xml:space="preserve">subsets </w:t>
      </w:r>
      <w:r>
        <w:rPr>
          <w:rFonts w:cstheme="minorHAnsi"/>
        </w:rPr>
        <w:t xml:space="preserve">of populations </w:t>
      </w:r>
      <w:r w:rsidRPr="00E37DB9">
        <w:rPr>
          <w:rFonts w:cstheme="minorHAnsi"/>
        </w:rPr>
        <w:t xml:space="preserve">within in each phase), </w:t>
      </w:r>
      <w:r>
        <w:rPr>
          <w:rFonts w:cstheme="minorHAnsi"/>
        </w:rPr>
        <w:t xml:space="preserve">and by </w:t>
      </w:r>
      <w:r w:rsidRPr="00E37DB9">
        <w:rPr>
          <w:rFonts w:cstheme="minorHAnsi"/>
        </w:rPr>
        <w:t>priority group and location</w:t>
      </w:r>
      <w:r>
        <w:rPr>
          <w:rFonts w:cstheme="minorHAnsi"/>
        </w:rPr>
        <w:t xml:space="preserve">. </w:t>
      </w:r>
      <w:r w:rsidRPr="00E37DB9">
        <w:rPr>
          <w:rFonts w:cstheme="minorHAnsi"/>
        </w:rPr>
        <w:t xml:space="preserve"> </w:t>
      </w:r>
    </w:p>
    <w:p w14:paraId="57C455D2" w14:textId="2A0DD85F" w:rsidR="00E3294A" w:rsidRDefault="00E3294A" w:rsidP="00721FF1">
      <w:pPr>
        <w:spacing w:after="120" w:line="240" w:lineRule="auto"/>
        <w:rPr>
          <w:rFonts w:ascii="Rockwell" w:hAnsi="Rockwell"/>
          <w:color w:val="0D576C"/>
        </w:rPr>
      </w:pPr>
      <w:r w:rsidRPr="001A7F26">
        <w:rPr>
          <w:rFonts w:ascii="Rockwell" w:hAnsi="Rockwell"/>
          <w:color w:val="0D576C"/>
        </w:rPr>
        <w:t>Section 5: COVID-19 Vaccination Provider Recruitment and Enrollment</w:t>
      </w:r>
    </w:p>
    <w:p w14:paraId="70327D7D" w14:textId="0F0A43B8" w:rsidR="00C61428" w:rsidRPr="001A7F26" w:rsidRDefault="00C61428" w:rsidP="002F5E26">
      <w:pPr>
        <w:tabs>
          <w:tab w:val="left" w:pos="5310"/>
        </w:tabs>
        <w:spacing w:before="120" w:after="120" w:line="240" w:lineRule="auto"/>
        <w:jc w:val="both"/>
        <w:rPr>
          <w:rFonts w:ascii="Rockwell" w:hAnsi="Rockwell"/>
          <w:color w:val="0D576C"/>
        </w:rPr>
      </w:pPr>
      <w:r w:rsidRPr="006A76A6">
        <w:rPr>
          <w:rFonts w:cstheme="minorHAnsi"/>
        </w:rPr>
        <w:t xml:space="preserve">There are currently close to 3,000 health care provider sites </w:t>
      </w:r>
      <w:r w:rsidR="00565075">
        <w:rPr>
          <w:rFonts w:cstheme="minorHAnsi"/>
        </w:rPr>
        <w:t xml:space="preserve">reporting data </w:t>
      </w:r>
      <w:r w:rsidR="006E3895">
        <w:rPr>
          <w:rFonts w:cstheme="minorHAnsi"/>
        </w:rPr>
        <w:t>in</w:t>
      </w:r>
      <w:r w:rsidR="00565075">
        <w:rPr>
          <w:rFonts w:cstheme="minorHAnsi"/>
        </w:rPr>
        <w:t xml:space="preserve">to </w:t>
      </w:r>
      <w:r w:rsidRPr="006A76A6">
        <w:rPr>
          <w:rFonts w:cstheme="minorHAnsi"/>
        </w:rPr>
        <w:t>the MIIS</w:t>
      </w:r>
      <w:r w:rsidR="00D8011C">
        <w:rPr>
          <w:rFonts w:cstheme="minorHAnsi"/>
        </w:rPr>
        <w:t xml:space="preserve"> primarily through real-time data exchange with electronic health records (EHRs)</w:t>
      </w:r>
      <w:r w:rsidRPr="006A76A6">
        <w:rPr>
          <w:rFonts w:cstheme="minorHAnsi"/>
        </w:rPr>
        <w:t>.  Th</w:t>
      </w:r>
      <w:r w:rsidR="003C0DE9">
        <w:rPr>
          <w:rFonts w:cstheme="minorHAnsi"/>
        </w:rPr>
        <w:t xml:space="preserve">ese </w:t>
      </w:r>
      <w:r w:rsidRPr="006A76A6">
        <w:rPr>
          <w:rFonts w:cstheme="minorHAnsi"/>
        </w:rPr>
        <w:t xml:space="preserve">include all pediatric provider sites, major hospital systems, community health centers, local health departments, and </w:t>
      </w:r>
      <w:r>
        <w:rPr>
          <w:rFonts w:cstheme="minorHAnsi"/>
        </w:rPr>
        <w:t>approximately</w:t>
      </w:r>
      <w:r w:rsidRPr="006A76A6">
        <w:rPr>
          <w:rFonts w:cstheme="minorHAnsi"/>
        </w:rPr>
        <w:t xml:space="preserve"> 1,000 pharmacy locations. </w:t>
      </w:r>
      <w:r w:rsidR="00D8011C">
        <w:rPr>
          <w:rFonts w:cstheme="minorHAnsi"/>
        </w:rPr>
        <w:t>Ongoing p</w:t>
      </w:r>
      <w:r w:rsidR="00A63DB1">
        <w:rPr>
          <w:rFonts w:cstheme="minorHAnsi"/>
        </w:rPr>
        <w:t>rovider enrollment is focused</w:t>
      </w:r>
      <w:r>
        <w:rPr>
          <w:rFonts w:cstheme="minorHAnsi"/>
        </w:rPr>
        <w:t xml:space="preserve"> </w:t>
      </w:r>
      <w:r w:rsidR="00D8011C">
        <w:rPr>
          <w:rFonts w:cstheme="minorHAnsi"/>
        </w:rPr>
        <w:t xml:space="preserve">on </w:t>
      </w:r>
      <w:r>
        <w:rPr>
          <w:rFonts w:cstheme="minorHAnsi"/>
        </w:rPr>
        <w:t>providers</w:t>
      </w:r>
      <w:r w:rsidR="00D8011C">
        <w:rPr>
          <w:rFonts w:cstheme="minorHAnsi"/>
        </w:rPr>
        <w:t xml:space="preserve"> of those at highest risk including long term care facilities and other immunizing providers currently not reporting data to the MIIS. </w:t>
      </w:r>
      <w:r>
        <w:rPr>
          <w:rFonts w:cstheme="minorHAnsi"/>
        </w:rPr>
        <w:t xml:space="preserve"> </w:t>
      </w:r>
      <w:r>
        <w:t>The first available doses of COVID-19 vaccine will be made available to providers who</w:t>
      </w:r>
      <w:r w:rsidR="00A63DB1">
        <w:t>,</w:t>
      </w:r>
      <w:r>
        <w:t xml:space="preserve"> based on their practice profiles</w:t>
      </w:r>
      <w:r w:rsidR="00A63DB1">
        <w:t>,</w:t>
      </w:r>
      <w:r>
        <w:t xml:space="preserve"> serve the </w:t>
      </w:r>
      <w:r w:rsidR="00565075">
        <w:t xml:space="preserve">pre-identified </w:t>
      </w:r>
      <w:r>
        <w:t xml:space="preserve">critical populations. </w:t>
      </w:r>
      <w:r w:rsidRPr="00810F96">
        <w:t>MDPH continu</w:t>
      </w:r>
      <w:r>
        <w:t>es</w:t>
      </w:r>
      <w:r w:rsidRPr="00810F96">
        <w:t xml:space="preserve"> to leverage </w:t>
      </w:r>
      <w:r w:rsidR="003C0DE9">
        <w:t xml:space="preserve">its extensive </w:t>
      </w:r>
      <w:r w:rsidRPr="00810F96">
        <w:t xml:space="preserve">community partnerships to recruit </w:t>
      </w:r>
      <w:r w:rsidRPr="00810F96">
        <w:lastRenderedPageBreak/>
        <w:t>additional COVID-19 vaccination provider</w:t>
      </w:r>
      <w:r w:rsidR="008E620E">
        <w:t xml:space="preserve"> </w:t>
      </w:r>
      <w:r w:rsidRPr="00810F96">
        <w:t>s</w:t>
      </w:r>
      <w:r w:rsidR="008E620E">
        <w:t>ites</w:t>
      </w:r>
      <w:r w:rsidRPr="00810F96">
        <w:t xml:space="preserve"> </w:t>
      </w:r>
      <w:r>
        <w:t>and</w:t>
      </w:r>
      <w:r w:rsidRPr="00810F96">
        <w:t xml:space="preserve"> expand equitable access to COVID-19 vaccination </w:t>
      </w:r>
      <w:r w:rsidR="00967B18">
        <w:t>as</w:t>
      </w:r>
      <w:r w:rsidR="00967B18" w:rsidRPr="00810F96">
        <w:t xml:space="preserve"> </w:t>
      </w:r>
      <w:r w:rsidRPr="00810F96">
        <w:t xml:space="preserve">vaccine supply increases.  </w:t>
      </w:r>
    </w:p>
    <w:p w14:paraId="221D3467" w14:textId="44C9357F" w:rsidR="00E3294A" w:rsidRDefault="00E3294A" w:rsidP="00CC5BC4">
      <w:pPr>
        <w:rPr>
          <w:rFonts w:ascii="Rockwell" w:hAnsi="Rockwell"/>
          <w:color w:val="0D576C"/>
        </w:rPr>
      </w:pPr>
      <w:r w:rsidRPr="001A7F26">
        <w:rPr>
          <w:rFonts w:ascii="Rockwell" w:hAnsi="Rockwell"/>
          <w:color w:val="0D576C"/>
        </w:rPr>
        <w:t>Section 8: COVID-19 Vaccine Storage and Handling</w:t>
      </w:r>
    </w:p>
    <w:p w14:paraId="20BF10B3" w14:textId="64B0FB5F" w:rsidR="00C61428" w:rsidRPr="00C61428" w:rsidRDefault="00C61428" w:rsidP="00C61428">
      <w:pPr>
        <w:spacing w:before="120" w:after="120" w:line="240" w:lineRule="auto"/>
        <w:jc w:val="both"/>
        <w:rPr>
          <w:bCs/>
          <w:color w:val="000000" w:themeColor="text1"/>
        </w:rPr>
      </w:pPr>
      <w:r w:rsidRPr="00A64162">
        <w:rPr>
          <w:bCs/>
          <w:color w:val="000000" w:themeColor="text1"/>
        </w:rPr>
        <w:t>MDPH</w:t>
      </w:r>
      <w:r>
        <w:rPr>
          <w:bCs/>
          <w:color w:val="000000" w:themeColor="text1"/>
        </w:rPr>
        <w:t xml:space="preserve"> </w:t>
      </w:r>
      <w:r w:rsidRPr="00A64162">
        <w:rPr>
          <w:bCs/>
          <w:color w:val="000000" w:themeColor="text1"/>
        </w:rPr>
        <w:t xml:space="preserve">will require storage and handling training for </w:t>
      </w:r>
      <w:r>
        <w:rPr>
          <w:bCs/>
          <w:color w:val="000000" w:themeColor="text1"/>
        </w:rPr>
        <w:t>p</w:t>
      </w:r>
      <w:r w:rsidRPr="00A64162">
        <w:rPr>
          <w:bCs/>
          <w:color w:val="000000" w:themeColor="text1"/>
        </w:rPr>
        <w:t xml:space="preserve">rimary and </w:t>
      </w:r>
      <w:r>
        <w:rPr>
          <w:bCs/>
          <w:color w:val="000000" w:themeColor="text1"/>
        </w:rPr>
        <w:t>b</w:t>
      </w:r>
      <w:r w:rsidRPr="00A64162">
        <w:rPr>
          <w:bCs/>
          <w:color w:val="000000" w:themeColor="text1"/>
        </w:rPr>
        <w:t>ack-up COVID</w:t>
      </w:r>
      <w:r>
        <w:rPr>
          <w:bCs/>
          <w:color w:val="000000" w:themeColor="text1"/>
        </w:rPr>
        <w:t>-19</w:t>
      </w:r>
      <w:r w:rsidRPr="00A64162">
        <w:rPr>
          <w:bCs/>
          <w:color w:val="000000" w:themeColor="text1"/>
        </w:rPr>
        <w:t xml:space="preserve"> vaccine coordinators. MDPH will recommend that provider sites have written </w:t>
      </w:r>
      <w:r>
        <w:rPr>
          <w:bCs/>
          <w:color w:val="000000" w:themeColor="text1"/>
        </w:rPr>
        <w:t>S</w:t>
      </w:r>
      <w:r w:rsidRPr="00A64162">
        <w:rPr>
          <w:bCs/>
          <w:color w:val="000000" w:themeColor="text1"/>
        </w:rPr>
        <w:t xml:space="preserve">tandard </w:t>
      </w:r>
      <w:r>
        <w:rPr>
          <w:bCs/>
          <w:color w:val="000000" w:themeColor="text1"/>
        </w:rPr>
        <w:t>O</w:t>
      </w:r>
      <w:r w:rsidRPr="00A64162">
        <w:rPr>
          <w:bCs/>
          <w:color w:val="000000" w:themeColor="text1"/>
        </w:rPr>
        <w:t xml:space="preserve">perating </w:t>
      </w:r>
      <w:r>
        <w:rPr>
          <w:bCs/>
          <w:color w:val="000000" w:themeColor="text1"/>
        </w:rPr>
        <w:t>P</w:t>
      </w:r>
      <w:r w:rsidRPr="00A64162">
        <w:rPr>
          <w:bCs/>
          <w:color w:val="000000" w:themeColor="text1"/>
        </w:rPr>
        <w:t>rocedures (SOP</w:t>
      </w:r>
      <w:r>
        <w:rPr>
          <w:bCs/>
          <w:color w:val="000000" w:themeColor="text1"/>
        </w:rPr>
        <w:t>s</w:t>
      </w:r>
      <w:r w:rsidRPr="00A64162">
        <w:rPr>
          <w:bCs/>
          <w:color w:val="000000" w:themeColor="text1"/>
        </w:rPr>
        <w:t>)</w:t>
      </w:r>
      <w:r>
        <w:rPr>
          <w:bCs/>
          <w:color w:val="000000" w:themeColor="text1"/>
        </w:rPr>
        <w:t xml:space="preserve"> and will provide template SOPs that can be adapted for each </w:t>
      </w:r>
      <w:r w:rsidR="00C029FB">
        <w:rPr>
          <w:bCs/>
          <w:color w:val="000000" w:themeColor="text1"/>
        </w:rPr>
        <w:t>provider site</w:t>
      </w:r>
      <w:r w:rsidRPr="00A64162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r w:rsidRPr="00A64162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MDPH</w:t>
      </w:r>
      <w:r w:rsidR="00C029FB">
        <w:rPr>
          <w:bCs/>
          <w:color w:val="000000" w:themeColor="text1"/>
        </w:rPr>
        <w:t xml:space="preserve"> will require</w:t>
      </w:r>
      <w:r>
        <w:rPr>
          <w:bCs/>
          <w:color w:val="000000" w:themeColor="text1"/>
        </w:rPr>
        <w:t xml:space="preserve"> that </w:t>
      </w:r>
      <w:r w:rsidR="00C029FB">
        <w:rPr>
          <w:bCs/>
          <w:color w:val="000000" w:themeColor="text1"/>
        </w:rPr>
        <w:t xml:space="preserve">all </w:t>
      </w:r>
      <w:r>
        <w:rPr>
          <w:bCs/>
          <w:color w:val="000000" w:themeColor="text1"/>
        </w:rPr>
        <w:t xml:space="preserve">provider sites </w:t>
      </w:r>
      <w:r w:rsidRPr="00A64162">
        <w:rPr>
          <w:bCs/>
          <w:color w:val="000000" w:themeColor="text1"/>
        </w:rPr>
        <w:t>use purpose-built/pharmaceutical</w:t>
      </w:r>
      <w:r>
        <w:rPr>
          <w:bCs/>
          <w:color w:val="000000" w:themeColor="text1"/>
        </w:rPr>
        <w:t>-</w:t>
      </w:r>
      <w:r w:rsidRPr="00A64162">
        <w:rPr>
          <w:bCs/>
          <w:color w:val="000000" w:themeColor="text1"/>
        </w:rPr>
        <w:t xml:space="preserve">grade units for </w:t>
      </w:r>
      <w:r w:rsidR="00B412E8" w:rsidRPr="00A64162">
        <w:rPr>
          <w:bCs/>
          <w:color w:val="000000" w:themeColor="text1"/>
        </w:rPr>
        <w:t>refrigerat</w:t>
      </w:r>
      <w:r w:rsidR="00B412E8">
        <w:rPr>
          <w:bCs/>
          <w:color w:val="000000" w:themeColor="text1"/>
        </w:rPr>
        <w:t>i</w:t>
      </w:r>
      <w:r w:rsidR="00B412E8" w:rsidRPr="00A64162">
        <w:rPr>
          <w:bCs/>
          <w:color w:val="000000" w:themeColor="text1"/>
        </w:rPr>
        <w:t>o</w:t>
      </w:r>
      <w:r w:rsidR="00B412E8">
        <w:rPr>
          <w:bCs/>
          <w:color w:val="000000" w:themeColor="text1"/>
        </w:rPr>
        <w:t>n</w:t>
      </w:r>
      <w:r w:rsidRPr="00A64162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r w:rsidRPr="001F4F36">
        <w:rPr>
          <w:rFonts w:ascii="Calibri" w:hAnsi="Calibri" w:cs="Calibri"/>
          <w:bCs/>
          <w:color w:val="000000" w:themeColor="text1"/>
        </w:rPr>
        <w:t xml:space="preserve">The MDPH </w:t>
      </w:r>
      <w:r w:rsidR="00AA4B48">
        <w:rPr>
          <w:rFonts w:ascii="Calibri" w:hAnsi="Calibri" w:cs="Calibri"/>
          <w:bCs/>
          <w:color w:val="000000" w:themeColor="text1"/>
        </w:rPr>
        <w:t xml:space="preserve">Immunization Division </w:t>
      </w:r>
      <w:r w:rsidRPr="001F4F36">
        <w:rPr>
          <w:rFonts w:ascii="Calibri" w:hAnsi="Calibri" w:cs="Calibri"/>
          <w:bCs/>
          <w:color w:val="000000" w:themeColor="text1"/>
        </w:rPr>
        <w:t>Vaccine Unit is currently surveying providers enrolled in the Vaccine Program to evaluate ultra-cold storage capacity</w:t>
      </w:r>
      <w:r w:rsidR="00B524B6">
        <w:rPr>
          <w:rFonts w:ascii="Calibri" w:hAnsi="Calibri" w:cs="Calibri"/>
          <w:bCs/>
          <w:color w:val="000000" w:themeColor="text1"/>
        </w:rPr>
        <w:t xml:space="preserve"> given that two of the candidate vaccines in development require ultra-cold storage</w:t>
      </w:r>
      <w:r w:rsidR="00C029FB">
        <w:rPr>
          <w:rFonts w:ascii="Calibri" w:hAnsi="Calibri" w:cs="Calibri"/>
          <w:bCs/>
          <w:color w:val="000000" w:themeColor="text1"/>
        </w:rPr>
        <w:t>.</w:t>
      </w:r>
    </w:p>
    <w:p w14:paraId="55702876" w14:textId="1E661A4D" w:rsidR="00E3294A" w:rsidRDefault="00E3294A" w:rsidP="00721FF1">
      <w:pPr>
        <w:spacing w:after="120" w:line="240" w:lineRule="auto"/>
        <w:rPr>
          <w:rFonts w:ascii="Rockwell" w:hAnsi="Rockwell"/>
          <w:color w:val="0D576C"/>
        </w:rPr>
      </w:pPr>
      <w:r w:rsidRPr="001A7F26">
        <w:rPr>
          <w:rFonts w:ascii="Rockwell" w:hAnsi="Rockwell"/>
          <w:color w:val="0D576C"/>
        </w:rPr>
        <w:t>Section 10: COVID-19 Vaccination Second-Dose Reminders</w:t>
      </w:r>
    </w:p>
    <w:p w14:paraId="4E0BCBD8" w14:textId="603F567A" w:rsidR="00C61428" w:rsidRPr="001A7F26" w:rsidRDefault="00C61428" w:rsidP="00C61428">
      <w:pPr>
        <w:spacing w:after="120" w:line="240" w:lineRule="auto"/>
        <w:jc w:val="both"/>
        <w:rPr>
          <w:rFonts w:ascii="Rockwell" w:hAnsi="Rockwell"/>
          <w:color w:val="0D576C"/>
        </w:rPr>
      </w:pPr>
      <w:r w:rsidRPr="006F6CF9">
        <w:rPr>
          <w:rFonts w:cstheme="minorHAnsi"/>
          <w:color w:val="000000"/>
        </w:rPr>
        <w:t xml:space="preserve">MIIS has robust </w:t>
      </w:r>
      <w:r w:rsidR="00A63DB1">
        <w:rPr>
          <w:rFonts w:cstheme="minorHAnsi"/>
          <w:color w:val="000000"/>
        </w:rPr>
        <w:t>r</w:t>
      </w:r>
      <w:r w:rsidR="00A63DB1" w:rsidRPr="006F6CF9">
        <w:rPr>
          <w:rFonts w:cstheme="minorHAnsi"/>
          <w:color w:val="000000"/>
        </w:rPr>
        <w:t>eminder</w:t>
      </w:r>
      <w:r w:rsidR="00A63DB1">
        <w:rPr>
          <w:rFonts w:cstheme="minorHAnsi"/>
          <w:color w:val="000000"/>
        </w:rPr>
        <w:t>/r</w:t>
      </w:r>
      <w:r w:rsidRPr="006F6CF9">
        <w:rPr>
          <w:rFonts w:cstheme="minorHAnsi"/>
          <w:color w:val="000000"/>
        </w:rPr>
        <w:t xml:space="preserve">ecall functionality available for all </w:t>
      </w:r>
      <w:r>
        <w:rPr>
          <w:rFonts w:cstheme="minorHAnsi"/>
          <w:color w:val="000000"/>
        </w:rPr>
        <w:t xml:space="preserve">registered </w:t>
      </w:r>
      <w:r w:rsidRPr="006F6CF9">
        <w:rPr>
          <w:rFonts w:cstheme="minorHAnsi"/>
          <w:color w:val="000000"/>
        </w:rPr>
        <w:t xml:space="preserve">providers to utilize. </w:t>
      </w:r>
      <w:r>
        <w:rPr>
          <w:rFonts w:cstheme="minorHAnsi"/>
          <w:color w:val="000000"/>
        </w:rPr>
        <w:t xml:space="preserve"> </w:t>
      </w:r>
      <w:r w:rsidR="00AA4B48">
        <w:rPr>
          <w:rFonts w:cstheme="minorHAnsi"/>
          <w:color w:val="000000"/>
        </w:rPr>
        <w:t xml:space="preserve">MDPH </w:t>
      </w:r>
      <w:r w:rsidRPr="006F6CF9">
        <w:rPr>
          <w:rFonts w:cstheme="minorHAnsi"/>
          <w:color w:val="000000"/>
        </w:rPr>
        <w:t xml:space="preserve">is </w:t>
      </w:r>
      <w:r>
        <w:rPr>
          <w:rFonts w:cstheme="minorHAnsi"/>
          <w:color w:val="000000"/>
        </w:rPr>
        <w:t>add</w:t>
      </w:r>
      <w:r w:rsidR="009A4ADF">
        <w:rPr>
          <w:rFonts w:cstheme="minorHAnsi"/>
          <w:color w:val="000000"/>
        </w:rPr>
        <w:t>ing</w:t>
      </w:r>
      <w:r w:rsidRPr="006F6CF9">
        <w:rPr>
          <w:rFonts w:cstheme="minorHAnsi"/>
          <w:color w:val="000000"/>
        </w:rPr>
        <w:t xml:space="preserve"> text message reminders</w:t>
      </w:r>
      <w:r w:rsidR="002F5E2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by February 2021</w:t>
      </w:r>
      <w:r w:rsidRPr="006F6CF9">
        <w:rPr>
          <w:rFonts w:cstheme="minorHAnsi"/>
          <w:color w:val="000000"/>
        </w:rPr>
        <w:t>.</w:t>
      </w:r>
      <w:r w:rsidR="00083DCF">
        <w:rPr>
          <w:rFonts w:cstheme="minorHAnsi"/>
          <w:color w:val="000000"/>
        </w:rPr>
        <w:t xml:space="preserve">  The importance of the </w:t>
      </w:r>
      <w:r w:rsidR="00C029FB">
        <w:rPr>
          <w:rFonts w:cstheme="minorHAnsi"/>
          <w:color w:val="000000"/>
        </w:rPr>
        <w:t>s</w:t>
      </w:r>
      <w:r w:rsidR="00083DCF">
        <w:rPr>
          <w:rFonts w:cstheme="minorHAnsi"/>
          <w:color w:val="000000"/>
        </w:rPr>
        <w:t>econd</w:t>
      </w:r>
      <w:r w:rsidR="009A4ADF">
        <w:rPr>
          <w:rFonts w:cstheme="minorHAnsi"/>
          <w:color w:val="000000"/>
        </w:rPr>
        <w:t xml:space="preserve"> </w:t>
      </w:r>
      <w:r w:rsidR="00C029FB">
        <w:rPr>
          <w:rFonts w:cstheme="minorHAnsi"/>
          <w:color w:val="000000"/>
        </w:rPr>
        <w:t>d</w:t>
      </w:r>
      <w:r w:rsidR="00083DCF">
        <w:rPr>
          <w:rFonts w:cstheme="minorHAnsi"/>
          <w:color w:val="000000"/>
        </w:rPr>
        <w:t xml:space="preserve">ose will also be a main messaging component of MDPH’s planned public awareness campaign.  </w:t>
      </w:r>
    </w:p>
    <w:p w14:paraId="4ACD16ED" w14:textId="41F1D238" w:rsidR="00E3294A" w:rsidRDefault="00E3294A" w:rsidP="00721FF1">
      <w:pPr>
        <w:spacing w:after="120" w:line="240" w:lineRule="auto"/>
        <w:rPr>
          <w:rFonts w:ascii="Rockwell" w:hAnsi="Rockwell"/>
          <w:color w:val="0D576C"/>
        </w:rPr>
      </w:pPr>
      <w:r w:rsidRPr="001A7F26">
        <w:rPr>
          <w:rFonts w:ascii="Rockwell" w:hAnsi="Rockwell"/>
          <w:color w:val="0D576C"/>
        </w:rPr>
        <w:t>Section 12: COVID-19 Vaccination Program Communication</w:t>
      </w:r>
    </w:p>
    <w:p w14:paraId="60574E60" w14:textId="5197EEFF" w:rsidR="00083DCF" w:rsidRDefault="00B412E8" w:rsidP="00083DCF">
      <w:pPr>
        <w:suppressAutoHyphens/>
        <w:spacing w:before="120" w:after="120" w:line="240" w:lineRule="auto"/>
        <w:jc w:val="both"/>
      </w:pPr>
      <w:r>
        <w:t xml:space="preserve">The </w:t>
      </w:r>
      <w:r w:rsidR="008F1103" w:rsidRPr="008F1103">
        <w:t>MDPH statewide communications goal</w:t>
      </w:r>
      <w:r>
        <w:t xml:space="preserve"> is to</w:t>
      </w:r>
      <w:r w:rsidR="008F1103" w:rsidRPr="008F1103">
        <w:t xml:space="preserve"> </w:t>
      </w:r>
      <w:r>
        <w:t>p</w:t>
      </w:r>
      <w:r w:rsidR="008F1103" w:rsidRPr="008F1103">
        <w:t xml:space="preserve">rovide clear, accurate, consistent, and timely information about the </w:t>
      </w:r>
      <w:r w:rsidR="00AA4B48">
        <w:t>MCVP</w:t>
      </w:r>
      <w:r w:rsidR="00967B18">
        <w:t>,</w:t>
      </w:r>
      <w:r w:rsidR="008F1103" w:rsidRPr="008F1103">
        <w:t xml:space="preserve"> with an emphasis on building vaccine confidence broadly among groups anticipated to receive early vaccination and to dispel</w:t>
      </w:r>
      <w:r w:rsidR="00967B18">
        <w:t xml:space="preserve"> </w:t>
      </w:r>
      <w:r w:rsidR="008F1103" w:rsidRPr="008F1103">
        <w:t>misinformation to ensure vaccine uptake.</w:t>
      </w:r>
      <w:r w:rsidR="008F1103">
        <w:t xml:space="preserve"> </w:t>
      </w:r>
      <w:r w:rsidR="008F1103" w:rsidRPr="00083DCF">
        <w:rPr>
          <w:rFonts w:cstheme="minorHAnsi"/>
          <w:bCs/>
        </w:rPr>
        <w:t xml:space="preserve">MDPH is developing a detailed communications plan </w:t>
      </w:r>
      <w:r w:rsidR="00AA4B48" w:rsidRPr="00083DCF">
        <w:rPr>
          <w:rFonts w:cstheme="minorHAnsi"/>
          <w:bCs/>
        </w:rPr>
        <w:t xml:space="preserve">with </w:t>
      </w:r>
      <w:r w:rsidR="008F1103" w:rsidRPr="00083DCF">
        <w:rPr>
          <w:rFonts w:cstheme="minorHAnsi"/>
          <w:bCs/>
        </w:rPr>
        <w:t xml:space="preserve">three key components </w:t>
      </w:r>
      <w:r w:rsidR="003C0DE9">
        <w:rPr>
          <w:rFonts w:cstheme="minorHAnsi"/>
          <w:bCs/>
        </w:rPr>
        <w:t>–</w:t>
      </w:r>
      <w:r w:rsidR="00AA4B48" w:rsidRPr="00083DCF">
        <w:rPr>
          <w:rFonts w:cstheme="minorHAnsi"/>
          <w:bCs/>
        </w:rPr>
        <w:t xml:space="preserve"> </w:t>
      </w:r>
      <w:r w:rsidR="003C0DE9">
        <w:rPr>
          <w:rFonts w:cstheme="minorHAnsi"/>
          <w:bCs/>
        </w:rPr>
        <w:t xml:space="preserve">a </w:t>
      </w:r>
      <w:r w:rsidR="008F1103" w:rsidRPr="00083DCF">
        <w:rPr>
          <w:rFonts w:cstheme="minorHAnsi"/>
          <w:bCs/>
        </w:rPr>
        <w:t>statewide public awareness campaign; earned and paid media</w:t>
      </w:r>
      <w:r w:rsidR="003C0DE9">
        <w:rPr>
          <w:rFonts w:cstheme="minorHAnsi"/>
          <w:bCs/>
        </w:rPr>
        <w:t xml:space="preserve"> placements</w:t>
      </w:r>
      <w:r w:rsidR="008F1103" w:rsidRPr="00083DCF">
        <w:rPr>
          <w:rFonts w:cstheme="minorHAnsi"/>
          <w:bCs/>
        </w:rPr>
        <w:t xml:space="preserve">; and </w:t>
      </w:r>
      <w:r w:rsidR="003C0DE9">
        <w:rPr>
          <w:rFonts w:cstheme="minorHAnsi"/>
          <w:bCs/>
        </w:rPr>
        <w:t>active</w:t>
      </w:r>
      <w:r w:rsidR="00083DCF" w:rsidRPr="00083DCF">
        <w:rPr>
          <w:rFonts w:cstheme="minorHAnsi"/>
          <w:bCs/>
        </w:rPr>
        <w:t xml:space="preserve"> </w:t>
      </w:r>
      <w:r w:rsidR="008F1103" w:rsidRPr="00083DCF">
        <w:rPr>
          <w:rFonts w:cstheme="minorHAnsi"/>
          <w:bCs/>
        </w:rPr>
        <w:t xml:space="preserve">community engagement. </w:t>
      </w:r>
      <w:r w:rsidR="00083DCF" w:rsidRPr="00B800C2">
        <w:t xml:space="preserve">The data demonstrate that people of color—specifically </w:t>
      </w:r>
      <w:r w:rsidR="009A4ADF">
        <w:t>African American/black</w:t>
      </w:r>
      <w:r w:rsidR="00083DCF" w:rsidRPr="00B800C2">
        <w:t>, Hispanic</w:t>
      </w:r>
      <w:r w:rsidR="009A4ADF">
        <w:t>/</w:t>
      </w:r>
      <w:r w:rsidR="00083DCF" w:rsidRPr="00B800C2">
        <w:t>Latinx, and American Indian and Alaska</w:t>
      </w:r>
      <w:r w:rsidR="009A4ADF">
        <w:t>n</w:t>
      </w:r>
      <w:r w:rsidR="00083DCF" w:rsidRPr="00B800C2">
        <w:t xml:space="preserve"> Native—have been disproportionately impacted by COVID-19 with higher rates of morbidity, mortality, and transmission</w:t>
      </w:r>
      <w:r w:rsidR="00083DCF">
        <w:t xml:space="preserve"> and </w:t>
      </w:r>
      <w:r w:rsidR="00967B18">
        <w:t xml:space="preserve">these </w:t>
      </w:r>
      <w:r w:rsidR="003C0DE9">
        <w:t xml:space="preserve">data </w:t>
      </w:r>
      <w:r w:rsidR="00083DCF">
        <w:t xml:space="preserve">will inform MDPH’s communications strategy and </w:t>
      </w:r>
      <w:r w:rsidR="003C0DE9">
        <w:t xml:space="preserve">broad-scale and segmented </w:t>
      </w:r>
      <w:r w:rsidR="00083DCF">
        <w:t>messagin</w:t>
      </w:r>
      <w:r w:rsidR="00C029FB">
        <w:t>g</w:t>
      </w:r>
      <w:r w:rsidR="00083DCF">
        <w:t xml:space="preserve">. Massachusetts will leverage the CDC’s </w:t>
      </w:r>
      <w:r w:rsidR="00083DCF" w:rsidRPr="002F5E26">
        <w:rPr>
          <w:i/>
        </w:rPr>
        <w:t>Vaccinate with Confidence</w:t>
      </w:r>
      <w:r w:rsidR="00083DCF">
        <w:t xml:space="preserve"> framework to support development of MCVP messaging</w:t>
      </w:r>
      <w:r w:rsidR="00C029FB">
        <w:t>.</w:t>
      </w:r>
    </w:p>
    <w:p w14:paraId="38F556B1" w14:textId="6A1E2E38" w:rsidR="00E3294A" w:rsidRDefault="00E3294A" w:rsidP="00721FF1">
      <w:pPr>
        <w:spacing w:after="120" w:line="240" w:lineRule="auto"/>
        <w:rPr>
          <w:rFonts w:ascii="Rockwell" w:hAnsi="Rockwell"/>
          <w:color w:val="0D576C"/>
        </w:rPr>
      </w:pPr>
      <w:r w:rsidRPr="001A7F26">
        <w:rPr>
          <w:rFonts w:ascii="Rockwell" w:hAnsi="Rockwell"/>
          <w:color w:val="0D576C"/>
        </w:rPr>
        <w:t>Section 14: COVID-19 Vaccine Safety Monitoring</w:t>
      </w:r>
    </w:p>
    <w:p w14:paraId="22DFFDB3" w14:textId="283BE23E" w:rsidR="008F1103" w:rsidRPr="008F1103" w:rsidRDefault="00C029FB" w:rsidP="008F1103">
      <w:pPr>
        <w:pStyle w:val="ListParagraph"/>
        <w:spacing w:before="120" w:after="120" w:line="240" w:lineRule="auto"/>
        <w:ind w:left="0"/>
        <w:contextualSpacing w:val="0"/>
        <w:jc w:val="both"/>
        <w:rPr>
          <w:rFonts w:eastAsia="Times New Roman" w:cstheme="minorHAnsi"/>
          <w:iCs/>
          <w:color w:val="000000"/>
        </w:rPr>
      </w:pPr>
      <w:r>
        <w:rPr>
          <w:rFonts w:eastAsia="Times New Roman" w:cstheme="minorHAnsi"/>
          <w:iCs/>
          <w:color w:val="000000"/>
        </w:rPr>
        <w:t>Vaccine Safety Monitoring</w:t>
      </w:r>
      <w:r w:rsidR="00967B18">
        <w:rPr>
          <w:rFonts w:eastAsia="Times New Roman" w:cstheme="minorHAnsi"/>
          <w:iCs/>
          <w:color w:val="000000"/>
        </w:rPr>
        <w:t>,</w:t>
      </w:r>
      <w:r>
        <w:rPr>
          <w:rFonts w:eastAsia="Times New Roman" w:cstheme="minorHAnsi"/>
          <w:iCs/>
          <w:color w:val="000000"/>
        </w:rPr>
        <w:t xml:space="preserve"> including reporting to the federal </w:t>
      </w:r>
      <w:r w:rsidR="00B412E8">
        <w:rPr>
          <w:rFonts w:eastAsia="Times New Roman" w:cstheme="minorHAnsi"/>
          <w:iCs/>
          <w:color w:val="000000"/>
        </w:rPr>
        <w:t>Vaccine Ad</w:t>
      </w:r>
      <w:r w:rsidR="00524C3D">
        <w:rPr>
          <w:rFonts w:eastAsia="Times New Roman" w:cstheme="minorHAnsi"/>
          <w:iCs/>
          <w:color w:val="000000"/>
        </w:rPr>
        <w:t>v</w:t>
      </w:r>
      <w:r w:rsidR="00B412E8">
        <w:rPr>
          <w:rFonts w:eastAsia="Times New Roman" w:cstheme="minorHAnsi"/>
          <w:iCs/>
          <w:color w:val="000000"/>
        </w:rPr>
        <w:t>erse Event Reporting System</w:t>
      </w:r>
      <w:r w:rsidR="00B412E8" w:rsidRPr="00A77383">
        <w:rPr>
          <w:rFonts w:eastAsia="Times New Roman" w:cstheme="minorHAnsi"/>
          <w:iCs/>
          <w:color w:val="000000"/>
        </w:rPr>
        <w:t xml:space="preserve"> </w:t>
      </w:r>
      <w:r w:rsidR="00B412E8">
        <w:rPr>
          <w:rFonts w:eastAsia="Times New Roman" w:cstheme="minorHAnsi"/>
          <w:iCs/>
          <w:color w:val="000000"/>
        </w:rPr>
        <w:t>(VAERS)</w:t>
      </w:r>
      <w:r w:rsidR="00967B18">
        <w:rPr>
          <w:rFonts w:eastAsia="Times New Roman" w:cstheme="minorHAnsi"/>
          <w:iCs/>
          <w:color w:val="000000"/>
        </w:rPr>
        <w:t>,</w:t>
      </w:r>
      <w:r w:rsidR="00B412E8">
        <w:rPr>
          <w:rFonts w:eastAsia="Times New Roman" w:cstheme="minorHAnsi"/>
          <w:iCs/>
          <w:color w:val="000000"/>
        </w:rPr>
        <w:t xml:space="preserve"> </w:t>
      </w:r>
      <w:r>
        <w:rPr>
          <w:rFonts w:eastAsia="Times New Roman" w:cstheme="minorHAnsi"/>
          <w:iCs/>
          <w:color w:val="000000"/>
        </w:rPr>
        <w:t xml:space="preserve">will be a critical component of the overall training program that at least two individuals at all provider sites will be required to pass before receipt of vaccine.  Staff </w:t>
      </w:r>
      <w:r w:rsidR="00967B18">
        <w:rPr>
          <w:rFonts w:eastAsia="Times New Roman" w:cstheme="minorHAnsi"/>
          <w:iCs/>
          <w:color w:val="000000"/>
        </w:rPr>
        <w:t>who respond</w:t>
      </w:r>
      <w:r>
        <w:rPr>
          <w:rFonts w:eastAsia="Times New Roman" w:cstheme="minorHAnsi"/>
          <w:iCs/>
          <w:color w:val="000000"/>
        </w:rPr>
        <w:t xml:space="preserve"> to calls from providers and the public will also receive up-to-date training on the latest </w:t>
      </w:r>
      <w:r w:rsidR="00967B18">
        <w:rPr>
          <w:rFonts w:eastAsia="Times New Roman" w:cstheme="minorHAnsi"/>
          <w:iCs/>
          <w:color w:val="000000"/>
        </w:rPr>
        <w:t xml:space="preserve">COVID-19 vaccine </w:t>
      </w:r>
      <w:r>
        <w:rPr>
          <w:rFonts w:eastAsia="Times New Roman" w:cstheme="minorHAnsi"/>
          <w:iCs/>
          <w:color w:val="000000"/>
        </w:rPr>
        <w:t>guidance from CDC</w:t>
      </w:r>
      <w:r w:rsidR="00967B18">
        <w:rPr>
          <w:rFonts w:eastAsia="Times New Roman" w:cstheme="minorHAnsi"/>
          <w:iCs/>
          <w:color w:val="000000"/>
        </w:rPr>
        <w:t xml:space="preserve">. </w:t>
      </w:r>
    </w:p>
    <w:p w14:paraId="370BA0EA" w14:textId="36AB4480" w:rsidR="00E3294A" w:rsidRDefault="00E3294A" w:rsidP="008F1103">
      <w:pPr>
        <w:tabs>
          <w:tab w:val="left" w:pos="5980"/>
        </w:tabs>
        <w:spacing w:after="120" w:line="240" w:lineRule="auto"/>
        <w:rPr>
          <w:rFonts w:ascii="Rockwell" w:hAnsi="Rockwell"/>
          <w:color w:val="0D576C"/>
        </w:rPr>
      </w:pPr>
      <w:r w:rsidRPr="001A7F26">
        <w:rPr>
          <w:rFonts w:ascii="Rockwell" w:hAnsi="Rockwell"/>
          <w:color w:val="0D576C"/>
        </w:rPr>
        <w:t>Section 15: COVID-19 Vaccination Program Monitoring</w:t>
      </w:r>
      <w:r w:rsidR="008F1103">
        <w:rPr>
          <w:rFonts w:ascii="Rockwell" w:hAnsi="Rockwell"/>
          <w:color w:val="0D576C"/>
        </w:rPr>
        <w:tab/>
      </w:r>
    </w:p>
    <w:p w14:paraId="5428F7F7" w14:textId="4B57B52B" w:rsidR="00E3294A" w:rsidRPr="00D30102" w:rsidRDefault="00467F89" w:rsidP="00D30102">
      <w:pPr>
        <w:pStyle w:val="ListParagraph"/>
        <w:spacing w:before="120" w:after="120" w:line="240" w:lineRule="auto"/>
        <w:ind w:left="0"/>
        <w:contextualSpacing w:val="0"/>
        <w:jc w:val="both"/>
        <w:rPr>
          <w:rFonts w:cstheme="minorHAnsi"/>
        </w:rPr>
      </w:pPr>
      <w:r>
        <w:rPr>
          <w:rFonts w:eastAsia="Times New Roman" w:cstheme="minorHAnsi"/>
          <w:iCs/>
          <w:color w:val="000000"/>
        </w:rPr>
        <w:t>Vaccination program m</w:t>
      </w:r>
      <w:r w:rsidR="008F1103" w:rsidRPr="007E657A">
        <w:rPr>
          <w:rFonts w:eastAsia="Times New Roman" w:cstheme="minorHAnsi"/>
          <w:iCs/>
          <w:color w:val="000000"/>
        </w:rPr>
        <w:t xml:space="preserve">onitoring will be ongoing throughout the </w:t>
      </w:r>
      <w:r>
        <w:rPr>
          <w:rFonts w:eastAsia="Times New Roman" w:cstheme="minorHAnsi"/>
          <w:iCs/>
          <w:color w:val="000000"/>
        </w:rPr>
        <w:t>three phases</w:t>
      </w:r>
      <w:r w:rsidR="008F1103" w:rsidRPr="007E657A">
        <w:rPr>
          <w:rFonts w:eastAsia="Times New Roman" w:cstheme="minorHAnsi"/>
          <w:iCs/>
          <w:color w:val="000000"/>
        </w:rPr>
        <w:t>.</w:t>
      </w:r>
      <w:r w:rsidR="008F1103">
        <w:rPr>
          <w:rFonts w:eastAsia="Times New Roman" w:cstheme="minorHAnsi"/>
          <w:iCs/>
          <w:color w:val="000000"/>
        </w:rPr>
        <w:t xml:space="preserve"> </w:t>
      </w:r>
      <w:r w:rsidR="008F1103" w:rsidRPr="007E657A">
        <w:rPr>
          <w:rFonts w:eastAsia="Times New Roman" w:cstheme="minorHAnsi"/>
          <w:iCs/>
          <w:color w:val="000000"/>
        </w:rPr>
        <w:t xml:space="preserve">The number of </w:t>
      </w:r>
      <w:r w:rsidR="003C0DE9">
        <w:rPr>
          <w:rFonts w:eastAsia="Times New Roman" w:cstheme="minorHAnsi"/>
          <w:iCs/>
          <w:color w:val="000000"/>
        </w:rPr>
        <w:t xml:space="preserve">enrolled </w:t>
      </w:r>
      <w:r w:rsidR="008F1103" w:rsidRPr="007E657A">
        <w:rPr>
          <w:rFonts w:eastAsia="Times New Roman" w:cstheme="minorHAnsi"/>
          <w:iCs/>
          <w:color w:val="000000"/>
        </w:rPr>
        <w:t>provider</w:t>
      </w:r>
      <w:r>
        <w:rPr>
          <w:rFonts w:eastAsia="Times New Roman" w:cstheme="minorHAnsi"/>
          <w:iCs/>
          <w:color w:val="000000"/>
        </w:rPr>
        <w:t xml:space="preserve"> </w:t>
      </w:r>
      <w:r w:rsidR="008F1103" w:rsidRPr="007E657A">
        <w:rPr>
          <w:rFonts w:eastAsia="Times New Roman" w:cstheme="minorHAnsi"/>
          <w:iCs/>
          <w:color w:val="000000"/>
        </w:rPr>
        <w:t>s</w:t>
      </w:r>
      <w:r>
        <w:rPr>
          <w:rFonts w:eastAsia="Times New Roman" w:cstheme="minorHAnsi"/>
          <w:iCs/>
          <w:color w:val="000000"/>
        </w:rPr>
        <w:t>ites</w:t>
      </w:r>
      <w:r w:rsidR="00967B18">
        <w:rPr>
          <w:rFonts w:eastAsia="Times New Roman" w:cstheme="minorHAnsi"/>
          <w:iCs/>
          <w:color w:val="000000"/>
        </w:rPr>
        <w:t xml:space="preserve"> </w:t>
      </w:r>
      <w:r w:rsidR="003C0DE9">
        <w:rPr>
          <w:rFonts w:eastAsia="Times New Roman" w:cstheme="minorHAnsi"/>
          <w:iCs/>
          <w:color w:val="000000"/>
        </w:rPr>
        <w:t>and</w:t>
      </w:r>
      <w:r w:rsidR="00967B18">
        <w:rPr>
          <w:rFonts w:eastAsia="Times New Roman" w:cstheme="minorHAnsi"/>
          <w:iCs/>
          <w:color w:val="000000"/>
        </w:rPr>
        <w:t xml:space="preserve"> </w:t>
      </w:r>
      <w:r w:rsidR="008F1103" w:rsidRPr="007E657A">
        <w:rPr>
          <w:rFonts w:eastAsia="Times New Roman" w:cstheme="minorHAnsi"/>
          <w:iCs/>
          <w:color w:val="000000"/>
        </w:rPr>
        <w:t xml:space="preserve">their provider profiles </w:t>
      </w:r>
      <w:r w:rsidR="00967B18">
        <w:rPr>
          <w:rFonts w:eastAsia="Times New Roman" w:cstheme="minorHAnsi"/>
          <w:iCs/>
          <w:color w:val="000000"/>
        </w:rPr>
        <w:t>are</w:t>
      </w:r>
      <w:r w:rsidR="00F35BE5">
        <w:rPr>
          <w:rFonts w:eastAsia="Times New Roman" w:cstheme="minorHAnsi"/>
          <w:iCs/>
          <w:color w:val="000000"/>
        </w:rPr>
        <w:t xml:space="preserve"> </w:t>
      </w:r>
      <w:r w:rsidR="008F1103" w:rsidRPr="007E657A">
        <w:rPr>
          <w:rFonts w:eastAsia="Times New Roman" w:cstheme="minorHAnsi"/>
          <w:iCs/>
          <w:color w:val="000000"/>
        </w:rPr>
        <w:t xml:space="preserve">reviewed at regular meetings. </w:t>
      </w:r>
      <w:r w:rsidR="009E4C4B">
        <w:rPr>
          <w:rFonts w:eastAsia="Times New Roman" w:cstheme="minorHAnsi"/>
          <w:iCs/>
          <w:color w:val="000000"/>
        </w:rPr>
        <w:t xml:space="preserve"> </w:t>
      </w:r>
      <w:r w:rsidR="00BD6865">
        <w:rPr>
          <w:rFonts w:eastAsia="Times New Roman" w:cstheme="minorHAnsi"/>
          <w:iCs/>
          <w:color w:val="000000"/>
        </w:rPr>
        <w:t xml:space="preserve">MDPH </w:t>
      </w:r>
      <w:r w:rsidR="008F1103" w:rsidRPr="007E657A">
        <w:rPr>
          <w:rFonts w:eastAsia="Times New Roman" w:cstheme="minorHAnsi"/>
          <w:iCs/>
          <w:color w:val="000000"/>
        </w:rPr>
        <w:t xml:space="preserve">will monitor the number of doses distributed by </w:t>
      </w:r>
      <w:r w:rsidR="008F1103">
        <w:rPr>
          <w:rFonts w:eastAsia="Times New Roman" w:cstheme="minorHAnsi"/>
          <w:iCs/>
          <w:color w:val="000000"/>
        </w:rPr>
        <w:t>municipality</w:t>
      </w:r>
      <w:r w:rsidR="008F1103" w:rsidRPr="007E657A">
        <w:rPr>
          <w:rFonts w:eastAsia="Times New Roman" w:cstheme="minorHAnsi"/>
          <w:iCs/>
          <w:color w:val="000000"/>
        </w:rPr>
        <w:t xml:space="preserve"> to ensure that providers in each region of the </w:t>
      </w:r>
      <w:r>
        <w:rPr>
          <w:rFonts w:eastAsia="Times New Roman" w:cstheme="minorHAnsi"/>
          <w:iCs/>
          <w:color w:val="000000"/>
        </w:rPr>
        <w:t>Commonwealth</w:t>
      </w:r>
      <w:r w:rsidRPr="007E657A">
        <w:rPr>
          <w:rFonts w:eastAsia="Times New Roman" w:cstheme="minorHAnsi"/>
          <w:iCs/>
          <w:color w:val="000000"/>
        </w:rPr>
        <w:t xml:space="preserve"> </w:t>
      </w:r>
      <w:r w:rsidR="008F1103" w:rsidRPr="007E657A">
        <w:rPr>
          <w:rFonts w:eastAsia="Times New Roman" w:cstheme="minorHAnsi"/>
          <w:iCs/>
          <w:color w:val="000000"/>
        </w:rPr>
        <w:t xml:space="preserve">receive vaccine commensurate to </w:t>
      </w:r>
      <w:r w:rsidR="00F35BE5">
        <w:rPr>
          <w:rFonts w:eastAsia="Times New Roman" w:cstheme="minorHAnsi"/>
          <w:iCs/>
          <w:color w:val="000000"/>
        </w:rPr>
        <w:t xml:space="preserve">their </w:t>
      </w:r>
      <w:r w:rsidR="008F1103" w:rsidRPr="007E657A">
        <w:rPr>
          <w:rFonts w:eastAsia="Times New Roman" w:cstheme="minorHAnsi"/>
          <w:iCs/>
          <w:color w:val="000000"/>
        </w:rPr>
        <w:t xml:space="preserve">relative proportion of the state’s population. </w:t>
      </w:r>
      <w:r w:rsidR="008F1103">
        <w:rPr>
          <w:rFonts w:eastAsia="Times New Roman" w:cstheme="minorHAnsi"/>
          <w:iCs/>
          <w:color w:val="000000"/>
        </w:rPr>
        <w:t xml:space="preserve"> </w:t>
      </w:r>
      <w:r w:rsidR="008F1103" w:rsidRPr="007E657A">
        <w:rPr>
          <w:rFonts w:eastAsia="Times New Roman" w:cstheme="minorHAnsi"/>
          <w:iCs/>
          <w:color w:val="000000"/>
        </w:rPr>
        <w:t xml:space="preserve">MDPH will use the MIIS to </w:t>
      </w:r>
      <w:r w:rsidR="008908F5">
        <w:rPr>
          <w:rFonts w:eastAsia="Times New Roman" w:cstheme="minorHAnsi"/>
          <w:iCs/>
          <w:color w:val="000000"/>
        </w:rPr>
        <w:t xml:space="preserve">not only process all COVID-19 vaccine orders but to also monitor vaccine inventories and administration at the individual provider site level.  </w:t>
      </w:r>
      <w:r w:rsidR="008F1103" w:rsidRPr="007E657A">
        <w:rPr>
          <w:rFonts w:cstheme="minorHAnsi"/>
        </w:rPr>
        <w:t xml:space="preserve">Frequent situational reports from local public health officials and community partners will allow MDPH and its partners to identify gaps in planning and implementation at the local level and </w:t>
      </w:r>
      <w:r w:rsidR="00F35BE5">
        <w:rPr>
          <w:rFonts w:cstheme="minorHAnsi"/>
        </w:rPr>
        <w:t xml:space="preserve">address these </w:t>
      </w:r>
      <w:r w:rsidR="008F1103" w:rsidRPr="007E657A">
        <w:rPr>
          <w:rFonts w:cstheme="minorHAnsi"/>
        </w:rPr>
        <w:t xml:space="preserve">as necessary. </w:t>
      </w:r>
      <w:r w:rsidR="00060BD6">
        <w:rPr>
          <w:rFonts w:cstheme="minorHAnsi"/>
        </w:rPr>
        <w:t xml:space="preserve"> </w:t>
      </w:r>
    </w:p>
    <w:sectPr w:rsidR="00E3294A" w:rsidRPr="00D30102" w:rsidSect="00C42AA4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080" w:right="1080" w:bottom="1080" w:left="1080" w:header="720" w:footer="720" w:gutter="0"/>
      <w:pgBorders w:offsetFrom="page">
        <w:top w:val="single" w:sz="4" w:space="24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494E1" w14:textId="77777777" w:rsidR="00603CD7" w:rsidRDefault="00603CD7" w:rsidP="00D1713F">
      <w:pPr>
        <w:spacing w:after="0" w:line="240" w:lineRule="auto"/>
      </w:pPr>
      <w:r>
        <w:separator/>
      </w:r>
    </w:p>
  </w:endnote>
  <w:endnote w:type="continuationSeparator" w:id="0">
    <w:p w14:paraId="2699F530" w14:textId="77777777" w:rsidR="00603CD7" w:rsidRDefault="00603CD7" w:rsidP="00D1713F">
      <w:pPr>
        <w:spacing w:after="0" w:line="240" w:lineRule="auto"/>
      </w:pPr>
      <w:r>
        <w:continuationSeparator/>
      </w:r>
    </w:p>
  </w:endnote>
  <w:endnote w:type="continuationNotice" w:id="1">
    <w:p w14:paraId="2CB5C922" w14:textId="77777777" w:rsidR="00603CD7" w:rsidRDefault="00603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6181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1FA852" w14:textId="7FF3651D" w:rsidR="00967B18" w:rsidRDefault="00967B18" w:rsidP="00186E52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Executive Summary</w:t>
        </w:r>
        <w:r w:rsidR="00F5251F">
          <w:rPr>
            <w:color w:val="7F7F7F" w:themeColor="background1" w:themeShade="7F"/>
            <w:spacing w:val="60"/>
          </w:rPr>
          <w:tab/>
        </w:r>
        <w:r w:rsidR="00F5251F">
          <w:rPr>
            <w:color w:val="7F7F7F" w:themeColor="background1" w:themeShade="7F"/>
            <w:spacing w:val="60"/>
          </w:rPr>
          <w:tab/>
        </w:r>
      </w:p>
    </w:sdtContent>
  </w:sdt>
  <w:p w14:paraId="15894DA6" w14:textId="77777777" w:rsidR="00967B18" w:rsidRDefault="00967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2532" w14:textId="77777777" w:rsidR="00603CD7" w:rsidRDefault="00603CD7" w:rsidP="00D1713F">
      <w:pPr>
        <w:spacing w:after="0" w:line="240" w:lineRule="auto"/>
      </w:pPr>
      <w:r>
        <w:separator/>
      </w:r>
    </w:p>
  </w:footnote>
  <w:footnote w:type="continuationSeparator" w:id="0">
    <w:p w14:paraId="17B5BFF1" w14:textId="77777777" w:rsidR="00603CD7" w:rsidRDefault="00603CD7" w:rsidP="00D1713F">
      <w:pPr>
        <w:spacing w:after="0" w:line="240" w:lineRule="auto"/>
      </w:pPr>
      <w:r>
        <w:continuationSeparator/>
      </w:r>
    </w:p>
  </w:footnote>
  <w:footnote w:type="continuationNotice" w:id="1">
    <w:p w14:paraId="067A6E3F" w14:textId="77777777" w:rsidR="00603CD7" w:rsidRDefault="00603C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B24F" w14:textId="55B9E0D7" w:rsidR="00967B18" w:rsidRDefault="00603CD7">
    <w:pPr>
      <w:pStyle w:val="Header"/>
    </w:pPr>
    <w:r>
      <w:rPr>
        <w:noProof/>
      </w:rPr>
      <w:pict w14:anchorId="56F368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4525040" o:spid="_x0000_s2051" type="#_x0000_t136" alt="" style="position:absolute;margin-left:0;margin-top:0;width:609.1pt;height:101.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INTERIM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9AED7"/>
      <w:tblLook w:val="04A0" w:firstRow="1" w:lastRow="0" w:firstColumn="1" w:lastColumn="0" w:noHBand="0" w:noVBand="1"/>
    </w:tblPr>
    <w:tblGrid>
      <w:gridCol w:w="637"/>
      <w:gridCol w:w="7774"/>
      <w:gridCol w:w="2167"/>
      <w:gridCol w:w="502"/>
    </w:tblGrid>
    <w:tr w:rsidR="00967B18" w:rsidRPr="006A357C" w14:paraId="71F0853E" w14:textId="77777777" w:rsidTr="00186E52">
      <w:trPr>
        <w:trHeight w:val="1080"/>
        <w:jc w:val="center"/>
      </w:trPr>
      <w:tc>
        <w:tcPr>
          <w:tcW w:w="637" w:type="dxa"/>
          <w:shd w:val="clear" w:color="auto" w:fill="19AED7"/>
          <w:vAlign w:val="center"/>
        </w:tcPr>
        <w:p w14:paraId="6A8D4DA0" w14:textId="77777777" w:rsidR="00967B18" w:rsidRPr="006A357C" w:rsidRDefault="00967B18" w:rsidP="00186E52">
          <w:pPr>
            <w:rPr>
              <w:color w:val="FFFFFF" w:themeColor="background1"/>
              <w:sz w:val="40"/>
              <w:szCs w:val="40"/>
            </w:rPr>
          </w:pPr>
        </w:p>
      </w:tc>
      <w:tc>
        <w:tcPr>
          <w:tcW w:w="7774" w:type="dxa"/>
          <w:shd w:val="clear" w:color="auto" w:fill="19AED7"/>
          <w:vAlign w:val="center"/>
        </w:tcPr>
        <w:p w14:paraId="49E7D13C" w14:textId="77777777" w:rsidR="00967B18" w:rsidRPr="00D64608" w:rsidRDefault="00967B18" w:rsidP="00186E52">
          <w:pPr>
            <w:pStyle w:val="NoSpacing"/>
            <w:jc w:val="center"/>
            <w:rPr>
              <w:rFonts w:ascii="Rockwell" w:hAnsi="Rockwell"/>
              <w:b/>
              <w:bCs/>
              <w:color w:val="FFFFFF" w:themeColor="background1"/>
            </w:rPr>
          </w:pPr>
        </w:p>
        <w:p w14:paraId="5D52CA07" w14:textId="589EAF1C" w:rsidR="00967B18" w:rsidRDefault="00967B18" w:rsidP="00186E52">
          <w:pPr>
            <w:pStyle w:val="NoSpacing"/>
            <w:jc w:val="center"/>
            <w:rPr>
              <w:rFonts w:ascii="Rockwell" w:hAnsi="Rockwell"/>
              <w:b/>
              <w:bCs/>
              <w:color w:val="FFFFFF" w:themeColor="background1"/>
              <w:sz w:val="28"/>
              <w:szCs w:val="28"/>
            </w:rPr>
          </w:pPr>
          <w:r>
            <w:rPr>
              <w:rFonts w:ascii="Rockwell" w:hAnsi="Rockwell"/>
              <w:b/>
              <w:bCs/>
              <w:color w:val="FFFFFF" w:themeColor="background1"/>
              <w:sz w:val="28"/>
              <w:szCs w:val="28"/>
            </w:rPr>
            <w:t xml:space="preserve">MASSACHUSETTS </w:t>
          </w:r>
        </w:p>
        <w:p w14:paraId="4C1D6993" w14:textId="77777777" w:rsidR="00967B18" w:rsidRDefault="00967B18" w:rsidP="00186E52">
          <w:pPr>
            <w:pStyle w:val="NoSpacing"/>
            <w:jc w:val="center"/>
            <w:rPr>
              <w:rFonts w:ascii="Rockwell" w:hAnsi="Rockwell"/>
              <w:b/>
              <w:bCs/>
              <w:color w:val="FFFFFF" w:themeColor="background1"/>
              <w:sz w:val="28"/>
              <w:szCs w:val="28"/>
            </w:rPr>
          </w:pPr>
          <w:r>
            <w:rPr>
              <w:rFonts w:ascii="Rockwell" w:hAnsi="Rockwell"/>
              <w:b/>
              <w:bCs/>
              <w:color w:val="FFFFFF" w:themeColor="background1"/>
              <w:sz w:val="28"/>
              <w:szCs w:val="28"/>
            </w:rPr>
            <w:t xml:space="preserve">INTERIM </w:t>
          </w:r>
          <w:r w:rsidRPr="00D64608">
            <w:rPr>
              <w:rFonts w:ascii="Rockwell" w:hAnsi="Rockwell"/>
              <w:b/>
              <w:bCs/>
              <w:color w:val="FFFFFF" w:themeColor="background1"/>
              <w:sz w:val="28"/>
              <w:szCs w:val="28"/>
            </w:rPr>
            <w:t xml:space="preserve">COVID-19 </w:t>
          </w:r>
          <w:r>
            <w:rPr>
              <w:rFonts w:ascii="Rockwell" w:hAnsi="Rockwell"/>
              <w:b/>
              <w:bCs/>
              <w:color w:val="FFFFFF" w:themeColor="background1"/>
              <w:sz w:val="28"/>
              <w:szCs w:val="28"/>
            </w:rPr>
            <w:t>VACCINATION PLAN</w:t>
          </w:r>
        </w:p>
        <w:p w14:paraId="1F680FFC" w14:textId="77777777" w:rsidR="00967B18" w:rsidRPr="006A357C" w:rsidRDefault="00967B18" w:rsidP="00186E52">
          <w:pPr>
            <w:pStyle w:val="NoSpacing"/>
            <w:jc w:val="center"/>
            <w:rPr>
              <w:color w:val="FFFFFF" w:themeColor="background1"/>
              <w:sz w:val="38"/>
              <w:szCs w:val="38"/>
            </w:rPr>
          </w:pPr>
        </w:p>
      </w:tc>
      <w:tc>
        <w:tcPr>
          <w:tcW w:w="2167" w:type="dxa"/>
          <w:shd w:val="clear" w:color="auto" w:fill="19AED7"/>
          <w:vAlign w:val="center"/>
        </w:tcPr>
        <w:p w14:paraId="7639F961" w14:textId="77777777" w:rsidR="00967B18" w:rsidRPr="006A357C" w:rsidRDefault="00967B18" w:rsidP="00186E52">
          <w:pPr>
            <w:tabs>
              <w:tab w:val="left" w:pos="2145"/>
            </w:tabs>
            <w:ind w:left="75" w:right="120"/>
            <w:jc w:val="center"/>
            <w:rPr>
              <w:color w:val="FFFFFF" w:themeColor="background1"/>
              <w:sz w:val="40"/>
              <w:szCs w:val="40"/>
            </w:rPr>
          </w:pPr>
          <w:r w:rsidRPr="006A357C">
            <w:rPr>
              <w:noProof/>
              <w:color w:val="FFFFFF" w:themeColor="background1"/>
              <w:sz w:val="40"/>
              <w:szCs w:val="40"/>
            </w:rPr>
            <w:drawing>
              <wp:anchor distT="0" distB="0" distL="114300" distR="114300" simplePos="0" relativeHeight="251657216" behindDoc="1" locked="0" layoutInCell="1" allowOverlap="1" wp14:anchorId="46BF5584" wp14:editId="354083B1">
                <wp:simplePos x="0" y="0"/>
                <wp:positionH relativeFrom="column">
                  <wp:posOffset>505460</wp:posOffset>
                </wp:positionH>
                <wp:positionV relativeFrom="paragraph">
                  <wp:posOffset>-6350</wp:posOffset>
                </wp:positionV>
                <wp:extent cx="936625" cy="772795"/>
                <wp:effectExtent l="0" t="0" r="0" b="8255"/>
                <wp:wrapSquare wrapText="bothSides"/>
                <wp:docPr id="3" name="Picture 3" descr="A picture containing cake, close, fruit, flow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vid imag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96" r="14657"/>
                        <a:stretch/>
                      </pic:blipFill>
                      <pic:spPr bwMode="auto">
                        <a:xfrm>
                          <a:off x="0" y="0"/>
                          <a:ext cx="936625" cy="772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2" w:type="dxa"/>
          <w:shd w:val="clear" w:color="auto" w:fill="19AED7"/>
          <w:vAlign w:val="center"/>
        </w:tcPr>
        <w:p w14:paraId="2920FF57" w14:textId="77777777" w:rsidR="00967B18" w:rsidRPr="006A357C" w:rsidRDefault="00967B18" w:rsidP="00186E52">
          <w:pPr>
            <w:jc w:val="center"/>
            <w:rPr>
              <w:color w:val="FFFFFF" w:themeColor="background1"/>
              <w:sz w:val="40"/>
              <w:szCs w:val="40"/>
            </w:rPr>
          </w:pPr>
        </w:p>
      </w:tc>
    </w:tr>
  </w:tbl>
  <w:p w14:paraId="33349728" w14:textId="52A4117B" w:rsidR="00967B18" w:rsidRDefault="00603CD7">
    <w:pPr>
      <w:pStyle w:val="Header"/>
    </w:pPr>
    <w:r>
      <w:rPr>
        <w:noProof/>
      </w:rPr>
      <w:pict w14:anchorId="7B3F87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4525041" o:spid="_x0000_s2050" type="#_x0000_t136" alt="" style="position:absolute;margin-left:0;margin-top:0;width:609.1pt;height:101.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INTERIM 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D5BA8" w14:textId="0E7B05E9" w:rsidR="00967B18" w:rsidRDefault="00603CD7">
    <w:pPr>
      <w:pStyle w:val="Header"/>
    </w:pPr>
    <w:r>
      <w:rPr>
        <w:noProof/>
      </w:rPr>
      <w:pict w14:anchorId="209E63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4525039" o:spid="_x0000_s2049" type="#_x0000_t136" alt="" style="position:absolute;margin-left:0;margin-top:0;width:609.1pt;height:101.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INTERIM 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42FB"/>
    <w:multiLevelType w:val="hybridMultilevel"/>
    <w:tmpl w:val="E9285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53A9"/>
    <w:multiLevelType w:val="hybridMultilevel"/>
    <w:tmpl w:val="6C10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16B62"/>
    <w:multiLevelType w:val="hybridMultilevel"/>
    <w:tmpl w:val="D8167C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3FD8"/>
    <w:multiLevelType w:val="hybridMultilevel"/>
    <w:tmpl w:val="0A40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44B0"/>
    <w:multiLevelType w:val="hybridMultilevel"/>
    <w:tmpl w:val="DDDE4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6B09"/>
    <w:multiLevelType w:val="hybridMultilevel"/>
    <w:tmpl w:val="216E0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D472C"/>
    <w:multiLevelType w:val="hybridMultilevel"/>
    <w:tmpl w:val="6B98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C04FB"/>
    <w:multiLevelType w:val="hybridMultilevel"/>
    <w:tmpl w:val="2B6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A124D"/>
    <w:multiLevelType w:val="hybridMultilevel"/>
    <w:tmpl w:val="D996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307"/>
    <w:rsid w:val="00000809"/>
    <w:rsid w:val="000259C0"/>
    <w:rsid w:val="00034B5B"/>
    <w:rsid w:val="00060BD6"/>
    <w:rsid w:val="000610B5"/>
    <w:rsid w:val="00072569"/>
    <w:rsid w:val="00072D61"/>
    <w:rsid w:val="00074635"/>
    <w:rsid w:val="000833C3"/>
    <w:rsid w:val="00083DCF"/>
    <w:rsid w:val="00094AF1"/>
    <w:rsid w:val="000B16D5"/>
    <w:rsid w:val="000B5D84"/>
    <w:rsid w:val="000C5AA7"/>
    <w:rsid w:val="000C7048"/>
    <w:rsid w:val="000C7BF8"/>
    <w:rsid w:val="000F19EC"/>
    <w:rsid w:val="001016C1"/>
    <w:rsid w:val="00101F09"/>
    <w:rsid w:val="001026EE"/>
    <w:rsid w:val="0010311D"/>
    <w:rsid w:val="001043FF"/>
    <w:rsid w:val="00105099"/>
    <w:rsid w:val="00117BF6"/>
    <w:rsid w:val="00123A9A"/>
    <w:rsid w:val="00152C31"/>
    <w:rsid w:val="00186E52"/>
    <w:rsid w:val="00187A34"/>
    <w:rsid w:val="00196ADA"/>
    <w:rsid w:val="001B1D7F"/>
    <w:rsid w:val="001B6191"/>
    <w:rsid w:val="001C1759"/>
    <w:rsid w:val="001F7FF2"/>
    <w:rsid w:val="00202074"/>
    <w:rsid w:val="00206E09"/>
    <w:rsid w:val="00215A49"/>
    <w:rsid w:val="002272EF"/>
    <w:rsid w:val="0023712F"/>
    <w:rsid w:val="00253F9C"/>
    <w:rsid w:val="00257BEC"/>
    <w:rsid w:val="00260BE1"/>
    <w:rsid w:val="00274523"/>
    <w:rsid w:val="00284FC7"/>
    <w:rsid w:val="00296CCF"/>
    <w:rsid w:val="002A23AD"/>
    <w:rsid w:val="002A2E4F"/>
    <w:rsid w:val="002A77E6"/>
    <w:rsid w:val="002B109A"/>
    <w:rsid w:val="002D55E5"/>
    <w:rsid w:val="002D5D92"/>
    <w:rsid w:val="002F434A"/>
    <w:rsid w:val="002F5E26"/>
    <w:rsid w:val="003018C8"/>
    <w:rsid w:val="00314207"/>
    <w:rsid w:val="003331AE"/>
    <w:rsid w:val="00341A32"/>
    <w:rsid w:val="00351412"/>
    <w:rsid w:val="0036297A"/>
    <w:rsid w:val="003654B6"/>
    <w:rsid w:val="00372CA6"/>
    <w:rsid w:val="00375452"/>
    <w:rsid w:val="00377A78"/>
    <w:rsid w:val="00385623"/>
    <w:rsid w:val="003A149E"/>
    <w:rsid w:val="003C0DE9"/>
    <w:rsid w:val="003D645A"/>
    <w:rsid w:val="003F62D4"/>
    <w:rsid w:val="004435C6"/>
    <w:rsid w:val="00445E5B"/>
    <w:rsid w:val="00447C0F"/>
    <w:rsid w:val="004635A2"/>
    <w:rsid w:val="00467F89"/>
    <w:rsid w:val="00472CE3"/>
    <w:rsid w:val="0047523E"/>
    <w:rsid w:val="00475FC0"/>
    <w:rsid w:val="00483BCC"/>
    <w:rsid w:val="00491E0E"/>
    <w:rsid w:val="004C685B"/>
    <w:rsid w:val="004D3C3B"/>
    <w:rsid w:val="004D4125"/>
    <w:rsid w:val="004D78A0"/>
    <w:rsid w:val="004D7918"/>
    <w:rsid w:val="004F048E"/>
    <w:rsid w:val="0050314F"/>
    <w:rsid w:val="00524C3D"/>
    <w:rsid w:val="0053024A"/>
    <w:rsid w:val="00536A51"/>
    <w:rsid w:val="00545CC0"/>
    <w:rsid w:val="00554E21"/>
    <w:rsid w:val="00565075"/>
    <w:rsid w:val="0057319D"/>
    <w:rsid w:val="00585F66"/>
    <w:rsid w:val="00596457"/>
    <w:rsid w:val="005C6349"/>
    <w:rsid w:val="005C6A66"/>
    <w:rsid w:val="005D79EE"/>
    <w:rsid w:val="00603CD7"/>
    <w:rsid w:val="0062405A"/>
    <w:rsid w:val="00634A7B"/>
    <w:rsid w:val="006434EC"/>
    <w:rsid w:val="006544B4"/>
    <w:rsid w:val="006554AC"/>
    <w:rsid w:val="00672886"/>
    <w:rsid w:val="006954B0"/>
    <w:rsid w:val="006B1665"/>
    <w:rsid w:val="006B7D83"/>
    <w:rsid w:val="006C49AA"/>
    <w:rsid w:val="006E3895"/>
    <w:rsid w:val="00701752"/>
    <w:rsid w:val="00701FBD"/>
    <w:rsid w:val="0070617D"/>
    <w:rsid w:val="00716318"/>
    <w:rsid w:val="00721FF1"/>
    <w:rsid w:val="00732043"/>
    <w:rsid w:val="00735623"/>
    <w:rsid w:val="00737822"/>
    <w:rsid w:val="00741307"/>
    <w:rsid w:val="00747652"/>
    <w:rsid w:val="00747ECE"/>
    <w:rsid w:val="00755F6F"/>
    <w:rsid w:val="00764142"/>
    <w:rsid w:val="007720A7"/>
    <w:rsid w:val="00773CFB"/>
    <w:rsid w:val="007835C5"/>
    <w:rsid w:val="00785E03"/>
    <w:rsid w:val="00793DF3"/>
    <w:rsid w:val="007A10D5"/>
    <w:rsid w:val="007D0953"/>
    <w:rsid w:val="007D1675"/>
    <w:rsid w:val="007D6964"/>
    <w:rsid w:val="007D736E"/>
    <w:rsid w:val="00805207"/>
    <w:rsid w:val="008077F1"/>
    <w:rsid w:val="00822F48"/>
    <w:rsid w:val="008246FD"/>
    <w:rsid w:val="00837A4D"/>
    <w:rsid w:val="00837A65"/>
    <w:rsid w:val="00861F31"/>
    <w:rsid w:val="008702F2"/>
    <w:rsid w:val="0088033C"/>
    <w:rsid w:val="00881834"/>
    <w:rsid w:val="00886283"/>
    <w:rsid w:val="008908F5"/>
    <w:rsid w:val="008A5273"/>
    <w:rsid w:val="008B361B"/>
    <w:rsid w:val="008B46C6"/>
    <w:rsid w:val="008C139F"/>
    <w:rsid w:val="008D77FA"/>
    <w:rsid w:val="008E620E"/>
    <w:rsid w:val="008F1103"/>
    <w:rsid w:val="008F2B72"/>
    <w:rsid w:val="00906805"/>
    <w:rsid w:val="009113F9"/>
    <w:rsid w:val="00920A02"/>
    <w:rsid w:val="0092678D"/>
    <w:rsid w:val="00933849"/>
    <w:rsid w:val="00933FCA"/>
    <w:rsid w:val="00963D07"/>
    <w:rsid w:val="00967B18"/>
    <w:rsid w:val="00984FA0"/>
    <w:rsid w:val="0099316A"/>
    <w:rsid w:val="009A189B"/>
    <w:rsid w:val="009A3DA8"/>
    <w:rsid w:val="009A4ADF"/>
    <w:rsid w:val="009C3048"/>
    <w:rsid w:val="009C53A7"/>
    <w:rsid w:val="009D51D5"/>
    <w:rsid w:val="009D6B19"/>
    <w:rsid w:val="009E4C4B"/>
    <w:rsid w:val="009E594C"/>
    <w:rsid w:val="00A05CB5"/>
    <w:rsid w:val="00A128BB"/>
    <w:rsid w:val="00A16DEF"/>
    <w:rsid w:val="00A312CA"/>
    <w:rsid w:val="00A4028A"/>
    <w:rsid w:val="00A42A3A"/>
    <w:rsid w:val="00A60223"/>
    <w:rsid w:val="00A6166B"/>
    <w:rsid w:val="00A63DB1"/>
    <w:rsid w:val="00A91D3A"/>
    <w:rsid w:val="00AA4B48"/>
    <w:rsid w:val="00AB2771"/>
    <w:rsid w:val="00B05C3E"/>
    <w:rsid w:val="00B07316"/>
    <w:rsid w:val="00B365B6"/>
    <w:rsid w:val="00B412E8"/>
    <w:rsid w:val="00B41474"/>
    <w:rsid w:val="00B433C0"/>
    <w:rsid w:val="00B524B6"/>
    <w:rsid w:val="00B82E5C"/>
    <w:rsid w:val="00B94550"/>
    <w:rsid w:val="00BA70F3"/>
    <w:rsid w:val="00BA7B4F"/>
    <w:rsid w:val="00BB7517"/>
    <w:rsid w:val="00BD45F2"/>
    <w:rsid w:val="00BD6865"/>
    <w:rsid w:val="00BF1E4F"/>
    <w:rsid w:val="00C029FB"/>
    <w:rsid w:val="00C1642F"/>
    <w:rsid w:val="00C3667F"/>
    <w:rsid w:val="00C42AA4"/>
    <w:rsid w:val="00C50853"/>
    <w:rsid w:val="00C575AD"/>
    <w:rsid w:val="00C612F2"/>
    <w:rsid w:val="00C61428"/>
    <w:rsid w:val="00C860C0"/>
    <w:rsid w:val="00C915EC"/>
    <w:rsid w:val="00CA38B3"/>
    <w:rsid w:val="00CA6EC2"/>
    <w:rsid w:val="00CB1464"/>
    <w:rsid w:val="00CB77D5"/>
    <w:rsid w:val="00CC2A99"/>
    <w:rsid w:val="00CC5BC4"/>
    <w:rsid w:val="00CD66C5"/>
    <w:rsid w:val="00CE2C17"/>
    <w:rsid w:val="00CE7B4E"/>
    <w:rsid w:val="00CF7654"/>
    <w:rsid w:val="00CF7D8E"/>
    <w:rsid w:val="00D01ECA"/>
    <w:rsid w:val="00D1713F"/>
    <w:rsid w:val="00D26908"/>
    <w:rsid w:val="00D30102"/>
    <w:rsid w:val="00D44F81"/>
    <w:rsid w:val="00D461E4"/>
    <w:rsid w:val="00D6026D"/>
    <w:rsid w:val="00D65F07"/>
    <w:rsid w:val="00D66483"/>
    <w:rsid w:val="00D8011C"/>
    <w:rsid w:val="00DA62ED"/>
    <w:rsid w:val="00DC077E"/>
    <w:rsid w:val="00DD1047"/>
    <w:rsid w:val="00DD67D3"/>
    <w:rsid w:val="00E12A2B"/>
    <w:rsid w:val="00E1320D"/>
    <w:rsid w:val="00E24C82"/>
    <w:rsid w:val="00E3294A"/>
    <w:rsid w:val="00E94BA9"/>
    <w:rsid w:val="00EA1379"/>
    <w:rsid w:val="00EA50AB"/>
    <w:rsid w:val="00EA5FAD"/>
    <w:rsid w:val="00EA63A2"/>
    <w:rsid w:val="00ED65C9"/>
    <w:rsid w:val="00EE6B49"/>
    <w:rsid w:val="00EE7D7C"/>
    <w:rsid w:val="00F046BA"/>
    <w:rsid w:val="00F04E28"/>
    <w:rsid w:val="00F1098B"/>
    <w:rsid w:val="00F35BE5"/>
    <w:rsid w:val="00F471B9"/>
    <w:rsid w:val="00F47D5E"/>
    <w:rsid w:val="00F5251F"/>
    <w:rsid w:val="00F8510F"/>
    <w:rsid w:val="00F91777"/>
    <w:rsid w:val="00FA5167"/>
    <w:rsid w:val="00FB1885"/>
    <w:rsid w:val="00FC70C6"/>
    <w:rsid w:val="00FE00A2"/>
    <w:rsid w:val="00FE4450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C2864C1"/>
  <w15:docId w15:val="{F6116F27-2B56-4170-8A2E-5216A19C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Proposal Bullet List,Paragraph,3,POCG Table Text,Issue Action POC,Dot pt,F5 List Paragraph,List Paragraph Char Char Char,Indicator Text,Colorful List - Accent 11,Numbered Para 1,Bullet 1"/>
    <w:basedOn w:val="Normal"/>
    <w:link w:val="ListParagraphChar"/>
    <w:uiPriority w:val="34"/>
    <w:qFormat/>
    <w:rsid w:val="00741307"/>
    <w:pPr>
      <w:ind w:left="720"/>
      <w:contextualSpacing/>
    </w:pPr>
  </w:style>
  <w:style w:type="table" w:styleId="TableGrid">
    <w:name w:val="Table Grid"/>
    <w:basedOn w:val="TableNormal"/>
    <w:uiPriority w:val="39"/>
    <w:rsid w:val="0012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2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3F"/>
  </w:style>
  <w:style w:type="paragraph" w:styleId="Footer">
    <w:name w:val="footer"/>
    <w:basedOn w:val="Normal"/>
    <w:link w:val="FooterChar"/>
    <w:uiPriority w:val="99"/>
    <w:unhideWhenUsed/>
    <w:rsid w:val="00D1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3F"/>
  </w:style>
  <w:style w:type="character" w:styleId="Hyperlink">
    <w:name w:val="Hyperlink"/>
    <w:basedOn w:val="DefaultParagraphFont"/>
    <w:uiPriority w:val="99"/>
    <w:unhideWhenUsed/>
    <w:rsid w:val="005D79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4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4B4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3294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3294A"/>
    <w:rPr>
      <w:rFonts w:eastAsiaTheme="minorEastAsia"/>
    </w:rPr>
  </w:style>
  <w:style w:type="character" w:customStyle="1" w:styleId="ListParagraphChar">
    <w:name w:val="List Paragraph Char"/>
    <w:aliases w:val="Bullet List Char,FooterText Char,List Paragraph1 Char,Proposal Bullet List Char,Paragraph Char,3 Char,POCG Table Text Char,Issue Action POC Char,Dot pt Char,F5 List Paragraph Char,List Paragraph Char Char Char Char,Bullet 1 Char"/>
    <w:basedOn w:val="DefaultParagraphFont"/>
    <w:link w:val="ListParagraph"/>
    <w:uiPriority w:val="34"/>
    <w:qFormat/>
    <w:locked/>
    <w:rsid w:val="008F1103"/>
  </w:style>
  <w:style w:type="paragraph" w:styleId="NormalWeb">
    <w:name w:val="Normal (Web)"/>
    <w:basedOn w:val="Normal"/>
    <w:uiPriority w:val="99"/>
    <w:semiHidden/>
    <w:unhideWhenUsed/>
    <w:rsid w:val="003A14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1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news/baker-polito-administration-announces-covid-19-vaccine-advisory-gro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48891E7B90D45A6CA2E01203F2295" ma:contentTypeVersion="15" ma:contentTypeDescription="Create a new document." ma:contentTypeScope="" ma:versionID="a389b1f6bc513eeb7702365616414c3d">
  <xsd:schema xmlns:xsd="http://www.w3.org/2001/XMLSchema" xmlns:xs="http://www.w3.org/2001/XMLSchema" xmlns:p="http://schemas.microsoft.com/office/2006/metadata/properties" xmlns:ns1="http://schemas.microsoft.com/sharepoint/v3" xmlns:ns3="af68c486-4bca-4ffa-9149-95e4479ab26f" xmlns:ns4="cfea98c8-b831-451c-9715-a60f69f25121" targetNamespace="http://schemas.microsoft.com/office/2006/metadata/properties" ma:root="true" ma:fieldsID="87234243b98abc852884af7ad4f38ce6" ns1:_="" ns3:_="" ns4:_="">
    <xsd:import namespace="http://schemas.microsoft.com/sharepoint/v3"/>
    <xsd:import namespace="af68c486-4bca-4ffa-9149-95e4479ab26f"/>
    <xsd:import namespace="cfea98c8-b831-451c-9715-a60f69f25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c486-4bca-4ffa-9149-95e4479ab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98c8-b831-451c-9715-a60f69f25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0B11-9927-4315-BCF4-CEE4F2965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68c486-4bca-4ffa-9149-95e4479ab26f"/>
    <ds:schemaRef ds:uri="cfea98c8-b831-451c-9715-a60f69f25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5535D-3510-4548-B8C2-FCFC87FAE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6F6BD-185C-4590-92C4-7A2F1A301E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878E04D-3D9A-4B05-AE9E-678595D3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Dunbar, Erica (CDC/DDID/NCHHSTP/DHPIRS)</dc:creator>
  <cp:lastModifiedBy>Talebian, Pejman (DPH)</cp:lastModifiedBy>
  <cp:revision>2</cp:revision>
  <cp:lastPrinted>2020-01-10T19:00:00Z</cp:lastPrinted>
  <dcterms:created xsi:type="dcterms:W3CDTF">2020-10-26T13:49:00Z</dcterms:created>
  <dcterms:modified xsi:type="dcterms:W3CDTF">2020-10-26T13:49:00Z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0x01010033148891E7B90D45A6CA2E01203F2295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iteId">
    <vt:lpwstr>9ce70869-60db-44fd-abe8-d2767077fc8f</vt:lpwstr>
  </property>
  <property fmtid="{D5CDD505-2E9C-101B-9397-08002B2CF9AE}" pid="5" name="MSIP_Label_7b94a7b8-f06c-4dfe-bdcc-9b548fd58c31_Owner">
    <vt:lpwstr>hwp9@cdc.gov</vt:lpwstr>
  </property>
  <property fmtid="{D5CDD505-2E9C-101B-9397-08002B2CF9AE}" pid="6" name="MSIP_Label_7b94a7b8-f06c-4dfe-bdcc-9b548fd58c31_SetDate">
    <vt:lpwstr>2020-10-09T15:56:06.2708817Z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Application">
    <vt:lpwstr>Microsoft Azure Information Protection</vt:lpwstr>
  </property>
  <property fmtid="{D5CDD505-2E9C-101B-9397-08002B2CF9AE}" pid="9" name="MSIP_Label_7b94a7b8-f06c-4dfe-bdcc-9b548fd58c31_ActionId">
    <vt:lpwstr>a87b9d8e-2493-4738-9df3-40be1d86af1a</vt:lpwstr>
  </property>
  <property fmtid="{D5CDD505-2E9C-101B-9397-08002B2CF9AE}" pid="10" name="MSIP_Label_7b94a7b8-f06c-4dfe-bdcc-9b548fd58c31_Extended_MSFT_Method">
    <vt:lpwstr>Manual</vt:lpwstr>
  </property>
  <property fmtid="{D5CDD505-2E9C-101B-9397-08002B2CF9AE}" pid="11" name="Sensitivity">
    <vt:lpwstr>General</vt:lpwstr>
  </property>
</Properties>
</file>