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auto"/>
        </w:rPr>
        <w:id w:val="-1998492312"/>
        <w:docPartObj>
          <w:docPartGallery w:val="Cover Pages"/>
          <w:docPartUnique/>
        </w:docPartObj>
      </w:sdtPr>
      <w:sdtEndPr/>
      <w:sdtContent>
        <w:p w14:paraId="753376BD" w14:textId="77777777" w:rsidR="00A95B48" w:rsidRDefault="00A95B48" w:rsidP="00A95B48">
          <w:pPr>
            <w:spacing w:before="100" w:beforeAutospacing="1" w:after="480"/>
            <w:ind w:left="-1584"/>
          </w:pPr>
          <w:r>
            <w:rPr>
              <w:noProof/>
            </w:rPr>
            <w:drawing>
              <wp:anchor distT="0" distB="0" distL="114300" distR="114300" simplePos="0" relativeHeight="251659264" behindDoc="1" locked="0" layoutInCell="1" allowOverlap="1" wp14:anchorId="2CB5D4A3" wp14:editId="7E6D0098">
                <wp:simplePos x="0" y="0"/>
                <wp:positionH relativeFrom="column">
                  <wp:posOffset>-887730</wp:posOffset>
                </wp:positionH>
                <wp:positionV relativeFrom="paragraph">
                  <wp:posOffset>-897890</wp:posOffset>
                </wp:positionV>
                <wp:extent cx="7739270" cy="10015525"/>
                <wp:effectExtent l="514350" t="438150" r="795655" b="8051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39270" cy="10015525"/>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14:paraId="525F2CF7" w14:textId="77777777" w:rsidR="00A95B48" w:rsidRDefault="00A95B48" w:rsidP="00A95B48">
          <w:pPr>
            <w:spacing w:before="100" w:beforeAutospacing="1" w:after="480"/>
            <w:ind w:left="-1584"/>
          </w:pPr>
        </w:p>
        <w:p w14:paraId="284CE6C2" w14:textId="4B8C60E8" w:rsidR="00A95B48" w:rsidRDefault="00A95B48" w:rsidP="00A95B48">
          <w:pPr>
            <w:spacing w:before="100" w:beforeAutospacing="1" w:after="480"/>
            <w:ind w:left="-1584"/>
          </w:pPr>
          <w:r>
            <w:rPr>
              <w:noProof/>
            </w:rPr>
            <mc:AlternateContent>
              <mc:Choice Requires="wps">
                <w:drawing>
                  <wp:anchor distT="0" distB="0" distL="114300" distR="114300" simplePos="0" relativeHeight="251660288" behindDoc="0" locked="0" layoutInCell="1" allowOverlap="1" wp14:anchorId="04FAE34C" wp14:editId="0BED4809">
                    <wp:simplePos x="0" y="0"/>
                    <wp:positionH relativeFrom="column">
                      <wp:posOffset>-666750</wp:posOffset>
                    </wp:positionH>
                    <wp:positionV relativeFrom="paragraph">
                      <wp:posOffset>397510</wp:posOffset>
                    </wp:positionV>
                    <wp:extent cx="7248525" cy="59055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5905500"/>
                            </a:xfrm>
                            <a:prstGeom prst="rect">
                              <a:avLst/>
                            </a:prstGeom>
                            <a:solidFill>
                              <a:srgbClr val="FFFFFF"/>
                            </a:solidFill>
                            <a:ln w="9525">
                              <a:noFill/>
                              <a:miter lim="800000"/>
                              <a:headEnd/>
                              <a:tailEnd/>
                            </a:ln>
                          </wps:spPr>
                          <wps:txbx>
                            <w:txbxContent>
                              <w:p w14:paraId="1B44E50A"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3D13613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2B843CE4"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B20B12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037D83E"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796F7E2A" w14:textId="6BA410B9"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COVID-19 Vaccine Equity Plan</w:t>
                                </w:r>
                              </w:p>
                              <w:p w14:paraId="102268BE" w14:textId="5619E909" w:rsidR="007514DA" w:rsidRPr="00AD5DF0" w:rsidRDefault="007514DA"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60-Day Report</w:t>
                                </w:r>
                              </w:p>
                              <w:p w14:paraId="45480194" w14:textId="63B7DE09" w:rsidR="00A95B48" w:rsidRPr="009224D8" w:rsidRDefault="007514DA" w:rsidP="00A95B48">
                                <w:pPr>
                                  <w:spacing w:after="0" w:line="800" w:lineRule="exact"/>
                                  <w:jc w:val="center"/>
                                  <w:rPr>
                                    <w:sz w:val="24"/>
                                    <w:szCs w:val="24"/>
                                  </w:rPr>
                                </w:pPr>
                                <w:r>
                                  <w:rPr>
                                    <w:rFonts w:ascii="Adobe Garamond Pro Bold" w:hAnsi="Adobe Garamond Pro Bold" w:cs="Times New Roman"/>
                                    <w:b/>
                                    <w:color w:val="043064"/>
                                    <w:sz w:val="72"/>
                                    <w:szCs w:val="72"/>
                                  </w:rPr>
                                  <w:t>May 13</w:t>
                                </w:r>
                                <w:r w:rsidR="00A95B48" w:rsidRPr="00AD5DF0">
                                  <w:rPr>
                                    <w:rFonts w:ascii="Adobe Garamond Pro Bold" w:hAnsi="Adobe Garamond Pro Bold" w:cs="Times New Roman"/>
                                    <w:b/>
                                    <w:color w:val="043064"/>
                                    <w:sz w:val="72"/>
                                    <w:szCs w:val="72"/>
                                  </w:rPr>
                                  <w:t>,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AE34C" id="_x0000_t202" coordsize="21600,21600" o:spt="202" path="m,l,21600r21600,l21600,xe">
                    <v:stroke joinstyle="miter"/>
                    <v:path gradientshapeok="t" o:connecttype="rect"/>
                  </v:shapetype>
                  <v:shape id="Text Box 2" o:spid="_x0000_s1026" type="#_x0000_t202" style="position:absolute;left:0;text-align:left;margin-left:-52.5pt;margin-top:31.3pt;width:570.7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" stroked="f">
                    <v:textbox>
                      <w:txbxContent>
                        <w:p w14:paraId="1B44E50A"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3D13613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2B843CE4"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B20B12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037D83E"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796F7E2A" w14:textId="6BA410B9"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COVID-19 Vaccine Equity Plan</w:t>
                          </w:r>
                        </w:p>
                        <w:p w14:paraId="102268BE" w14:textId="5619E909" w:rsidR="007514DA" w:rsidRPr="00AD5DF0" w:rsidRDefault="007514DA"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60-Day Report</w:t>
                          </w:r>
                        </w:p>
                        <w:p w14:paraId="45480194" w14:textId="63B7DE09" w:rsidR="00A95B48" w:rsidRPr="009224D8" w:rsidRDefault="007514DA" w:rsidP="00A95B48">
                          <w:pPr>
                            <w:spacing w:after="0" w:line="800" w:lineRule="exact"/>
                            <w:jc w:val="center"/>
                            <w:rPr>
                              <w:sz w:val="24"/>
                              <w:szCs w:val="24"/>
                            </w:rPr>
                          </w:pPr>
                          <w:r>
                            <w:rPr>
                              <w:rFonts w:ascii="Adobe Garamond Pro Bold" w:hAnsi="Adobe Garamond Pro Bold" w:cs="Times New Roman"/>
                              <w:b/>
                              <w:color w:val="043064"/>
                              <w:sz w:val="72"/>
                              <w:szCs w:val="72"/>
                            </w:rPr>
                            <w:t>May 13</w:t>
                          </w:r>
                          <w:r w:rsidR="00A95B48" w:rsidRPr="00AD5DF0">
                            <w:rPr>
                              <w:rFonts w:ascii="Adobe Garamond Pro Bold" w:hAnsi="Adobe Garamond Pro Bold" w:cs="Times New Roman"/>
                              <w:b/>
                              <w:color w:val="043064"/>
                              <w:sz w:val="72"/>
                              <w:szCs w:val="72"/>
                            </w:rPr>
                            <w:t>, 2022</w:t>
                          </w:r>
                        </w:p>
                      </w:txbxContent>
                    </v:textbox>
                  </v:shape>
                </w:pict>
              </mc:Fallback>
            </mc:AlternateContent>
          </w:r>
        </w:p>
        <w:p w14:paraId="293D70F4" w14:textId="214768CE" w:rsidR="00A95B48" w:rsidRDefault="00A95B48" w:rsidP="00A95B48">
          <w:pPr>
            <w:spacing w:before="100" w:beforeAutospacing="1" w:after="480"/>
            <w:ind w:left="-1584"/>
          </w:pPr>
        </w:p>
        <w:p w14:paraId="3522F744" w14:textId="77777777" w:rsidR="00A95B48" w:rsidRDefault="00A95B48" w:rsidP="00A95B48">
          <w:pPr>
            <w:tabs>
              <w:tab w:val="left" w:pos="2913"/>
            </w:tabs>
            <w:spacing w:before="100" w:beforeAutospacing="1" w:after="480"/>
            <w:ind w:left="-1584"/>
          </w:pPr>
          <w:r>
            <w:tab/>
          </w:r>
        </w:p>
        <w:p w14:paraId="1974AF24" w14:textId="77777777" w:rsidR="00A95B48" w:rsidRDefault="00A95B48" w:rsidP="00A95B48">
          <w:pPr>
            <w:spacing w:before="100" w:beforeAutospacing="1" w:after="480"/>
            <w:ind w:left="-1584"/>
          </w:pPr>
        </w:p>
        <w:p w14:paraId="2C6FBDD6" w14:textId="77777777" w:rsidR="00A95B48" w:rsidRDefault="00A95B48" w:rsidP="00A95B48">
          <w:pPr>
            <w:spacing w:before="100" w:beforeAutospacing="1" w:after="480"/>
            <w:ind w:left="-1584"/>
          </w:pPr>
        </w:p>
        <w:p w14:paraId="55D298B4" w14:textId="77777777" w:rsidR="00A95B48" w:rsidRDefault="00A95B48" w:rsidP="00A95B48">
          <w:pPr>
            <w:tabs>
              <w:tab w:val="left" w:pos="3433"/>
            </w:tabs>
            <w:spacing w:before="100" w:beforeAutospacing="1" w:after="480"/>
            <w:ind w:left="-1584"/>
          </w:pPr>
        </w:p>
        <w:p w14:paraId="0B3902B1" w14:textId="77777777" w:rsidR="00A95B48" w:rsidRDefault="00A95B48" w:rsidP="00A95B48">
          <w:pPr>
            <w:spacing w:before="100" w:beforeAutospacing="1" w:after="480"/>
            <w:ind w:left="-1584"/>
          </w:pPr>
        </w:p>
        <w:p w14:paraId="2528F6DA" w14:textId="77777777" w:rsidR="00A95B48" w:rsidRDefault="00A95B48" w:rsidP="00A95B48">
          <w:pPr>
            <w:spacing w:before="100" w:beforeAutospacing="1" w:after="480"/>
            <w:ind w:left="-1584"/>
          </w:pPr>
        </w:p>
        <w:p w14:paraId="2F92C5AA" w14:textId="77777777" w:rsidR="00A95B48" w:rsidRPr="00E02475" w:rsidRDefault="00A95B48" w:rsidP="00A95B48"/>
        <w:p w14:paraId="5507B6F0" w14:textId="43A590F4" w:rsidR="00987B15" w:rsidRPr="00890363" w:rsidRDefault="00987B15" w:rsidP="00A95B48">
          <w:pPr>
            <w:rPr>
              <w:rFonts w:ascii="Cambria" w:eastAsia="Cambria" w:hAnsi="Cambria" w:cs="Cambria"/>
              <w:color w:val="auto"/>
            </w:rPr>
          </w:pPr>
        </w:p>
        <w:p w14:paraId="569FEB24" w14:textId="77777777" w:rsidR="00A95B48" w:rsidRDefault="00A95B48" w:rsidP="00712491">
          <w:pPr>
            <w:pStyle w:val="Heading1"/>
            <w:jc w:val="center"/>
            <w:rPr>
              <w:rFonts w:ascii="Cambria" w:eastAsia="Cambria" w:hAnsi="Cambria" w:cs="Cambria"/>
              <w:color w:val="auto"/>
            </w:rPr>
          </w:pPr>
        </w:p>
        <w:p w14:paraId="0FAE4B10" w14:textId="77777777" w:rsidR="00A95B48" w:rsidRDefault="00A95B48" w:rsidP="00712491">
          <w:pPr>
            <w:pStyle w:val="Heading1"/>
            <w:jc w:val="center"/>
            <w:rPr>
              <w:rFonts w:ascii="Cambria" w:eastAsia="Cambria" w:hAnsi="Cambria" w:cs="Cambria"/>
              <w:color w:val="auto"/>
            </w:rPr>
          </w:pPr>
        </w:p>
        <w:p w14:paraId="3D832089" w14:textId="77777777" w:rsidR="00A95B48" w:rsidRDefault="00A95B48" w:rsidP="00712491">
          <w:pPr>
            <w:pStyle w:val="Heading1"/>
            <w:jc w:val="center"/>
            <w:rPr>
              <w:rFonts w:ascii="Cambria" w:eastAsia="Cambria" w:hAnsi="Cambria" w:cs="Cambria"/>
              <w:color w:val="auto"/>
            </w:rPr>
          </w:pPr>
        </w:p>
        <w:p w14:paraId="64E1C28F" w14:textId="02D4EC8A" w:rsidR="00824AD3" w:rsidRPr="00890363" w:rsidRDefault="00712491" w:rsidP="00712491">
          <w:pPr>
            <w:pStyle w:val="Heading1"/>
            <w:jc w:val="center"/>
            <w:rPr>
              <w:rFonts w:ascii="Cambria" w:eastAsia="Cambria" w:hAnsi="Cambria" w:cs="Cambria"/>
              <w:color w:val="auto"/>
              <w:sz w:val="20"/>
              <w:szCs w:val="20"/>
            </w:rPr>
          </w:pPr>
          <w:r>
            <w:rPr>
              <w:rFonts w:ascii="Cambria" w:eastAsia="Cambria" w:hAnsi="Cambria" w:cs="Cambria"/>
              <w:color w:val="auto"/>
            </w:rPr>
            <w:lastRenderedPageBreak/>
            <w:t>Statutory requirment</w:t>
          </w:r>
          <w:r>
            <w:rPr>
              <w:rFonts w:ascii="Cambria" w:eastAsia="Cambria" w:hAnsi="Cambria" w:cs="Cambria"/>
              <w:color w:val="auto"/>
            </w:rPr>
            <w:br/>
            <w:t>chapter 22 of the Acts of 2022</w:t>
          </w:r>
          <w:r>
            <w:rPr>
              <w:rFonts w:ascii="Cambria" w:eastAsia="Cambria" w:hAnsi="Cambria" w:cs="Cambria"/>
              <w:color w:val="auto"/>
            </w:rPr>
            <w:br/>
          </w:r>
          <w:hyperlink r:id="rId12" w:history="1">
            <w:r w:rsidRPr="00890363">
              <w:rPr>
                <w:rStyle w:val="Hyperlink"/>
                <w:sz w:val="20"/>
                <w:szCs w:val="20"/>
              </w:rPr>
              <w:t>https://malegislature.gov/Laws/SessionLaws/Acts/2022/Chapter22</w:t>
            </w:r>
          </w:hyperlink>
        </w:p>
        <w:p w14:paraId="2A97E589" w14:textId="77777777" w:rsidR="00887258" w:rsidRPr="00890363" w:rsidRDefault="00824AD3" w:rsidP="33D14B13">
          <w:pPr>
            <w:rPr>
              <w:rFonts w:eastAsiaTheme="minorEastAsia"/>
              <w:color w:val="auto"/>
              <w:sz w:val="20"/>
              <w:szCs w:val="20"/>
            </w:rPr>
          </w:pPr>
          <w:r w:rsidRPr="00890363">
            <w:rPr>
              <w:rFonts w:eastAsiaTheme="minorEastAsia"/>
              <w:color w:val="auto"/>
              <w:sz w:val="20"/>
              <w:szCs w:val="20"/>
            </w:rPr>
            <w:t xml:space="preserve">SECTION 30. Notwithstanding any general or special law to the contrary, the secretary of health and human services shall prepare and implement a detailed comprehensive COVID-19 vaccination equity plan, including interim goals, benchmarks and timelines, to significantly increase the proportion of adults and children who are fully vaccinated for COVID-19, including booster vaccinations, among communities in the commonwealth that have disproportionately low vaccination rates, which may include, but shall not be limited to, minority, immigrant and low-income communities. The goal of the plan shall be to eliminate disparities in the rates of vaccination. </w:t>
          </w:r>
          <w:r w:rsidR="00B801ED" w:rsidRPr="00890363">
            <w:rPr>
              <w:rFonts w:eastAsiaTheme="minorEastAsia"/>
              <w:color w:val="auto"/>
              <w:sz w:val="20"/>
              <w:szCs w:val="20"/>
            </w:rPr>
            <w:t>The plan shall include: (i) mechanisms necessary to directly deliver medically and scientifically accurate, culturally competent and linguistically diverse information about the safety and efficacy of vaccination, including particularly the COVID-19 vaccine, and the pathways to receiving a COVID-19 vaccine; (ii) a complete list of existing or new community-based partnerships for implementation of the plan, including an explanation of the role of local public health departments or boards of health, community-rooted faith-based organizations and locally-based health care providers in implementing the plan; and (iii) a budget for implementation with funding sources identified. The secretary shall provide the plan in writing to the house and senate committees on ways and means, the joint committee on COVID-19 and emergency preparedness and management and the joint committee on public health and make the plan publicly available on the website of the department of public health not later than 30 days after the effective date of this section. The secretary shall report progress towards achieving the equity plan goals by region, by municipality and statewide not less than every 60 days following the completion of the plan.</w:t>
          </w:r>
        </w:p>
        <w:p w14:paraId="0C81BA81" w14:textId="70F84FA3" w:rsidR="00824AD3" w:rsidRPr="00890363" w:rsidRDefault="00887258" w:rsidP="00887258">
          <w:pPr>
            <w:rPr>
              <w:rFonts w:eastAsiaTheme="minorEastAsia"/>
              <w:color w:val="auto"/>
              <w:sz w:val="20"/>
              <w:szCs w:val="20"/>
            </w:rPr>
          </w:pPr>
          <w:r w:rsidRPr="00890363">
            <w:rPr>
              <w:rFonts w:eastAsiaTheme="minorEastAsia"/>
              <w:color w:val="auto"/>
              <w:sz w:val="20"/>
              <w:szCs w:val="20"/>
            </w:rPr>
            <w:br w:type="page"/>
          </w:r>
        </w:p>
      </w:sdtContent>
    </w:sdt>
    <w:p w14:paraId="076BD316" w14:textId="3C4DF0FB" w:rsidR="33D14B13" w:rsidRPr="00890363" w:rsidRDefault="33D14B13" w:rsidP="33D14B13">
      <w:pPr>
        <w:pStyle w:val="Title"/>
        <w:rPr>
          <w:color w:val="auto"/>
        </w:rPr>
      </w:pPr>
    </w:p>
    <w:p w14:paraId="40E26E4D" w14:textId="79B394FB" w:rsidR="33D14B13" w:rsidRPr="00890363" w:rsidRDefault="33D14B13" w:rsidP="33D14B13">
      <w:pPr>
        <w:pStyle w:val="Title"/>
        <w:rPr>
          <w:color w:val="auto"/>
        </w:rPr>
      </w:pPr>
    </w:p>
    <w:p w14:paraId="6BAC2BB8" w14:textId="3803D9B2" w:rsidR="007514DA" w:rsidRDefault="000860B0" w:rsidP="33D14B13">
      <w:pPr>
        <w:pStyle w:val="Title"/>
        <w:rPr>
          <w:color w:val="auto"/>
        </w:rPr>
      </w:pPr>
      <w:r w:rsidRPr="00890363">
        <w:rPr>
          <w:color w:val="auto"/>
        </w:rPr>
        <w:t xml:space="preserve">COVID-19 Vaccine Equity </w:t>
      </w:r>
      <w:r w:rsidR="007514DA">
        <w:rPr>
          <w:color w:val="auto"/>
        </w:rPr>
        <w:t>60-Day Report</w:t>
      </w:r>
    </w:p>
    <w:p w14:paraId="22F1E536" w14:textId="77777777" w:rsidR="0065428E" w:rsidRPr="0065428E" w:rsidRDefault="0065428E" w:rsidP="0065428E">
      <w:pPr>
        <w:spacing w:before="600" w:after="60"/>
        <w:outlineLvl w:val="0"/>
        <w:rPr>
          <w:rFonts w:ascii="Cambria" w:eastAsia="Cambria" w:hAnsi="Cambria" w:cs="Times New Roman"/>
          <w:b/>
          <w:bCs/>
          <w:caps/>
          <w:color w:val="auto"/>
          <w:spacing w:val="14"/>
        </w:rPr>
      </w:pPr>
      <w:r w:rsidRPr="0065428E">
        <w:rPr>
          <w:rFonts w:ascii="Cambria" w:eastAsia="Cambria" w:hAnsi="Cambria" w:cs="Times New Roman"/>
          <w:b/>
          <w:bCs/>
          <w:caps/>
          <w:color w:val="auto"/>
          <w:spacing w:val="14"/>
        </w:rPr>
        <w:t>OVERVIEW</w:t>
      </w:r>
    </w:p>
    <w:p w14:paraId="34F3157F" w14:textId="77777777" w:rsidR="0065428E" w:rsidRPr="0065428E" w:rsidRDefault="0065428E" w:rsidP="0065428E">
      <w:pPr>
        <w:rPr>
          <w:rFonts w:ascii="Cambria" w:hAnsi="Cambria"/>
          <w:color w:val="auto"/>
        </w:rPr>
      </w:pPr>
      <w:r w:rsidRPr="0065428E">
        <w:rPr>
          <w:rFonts w:ascii="Cambria" w:hAnsi="Cambria"/>
          <w:color w:val="auto"/>
        </w:rPr>
        <w:t>The Massachusetts Department of Public Health submitted its</w:t>
      </w:r>
      <w:r w:rsidRPr="436CD84A">
        <w:rPr>
          <w:rFonts w:ascii="Cambria" w:hAnsi="Cambria"/>
        </w:rPr>
        <w:t xml:space="preserve"> </w:t>
      </w:r>
      <w:hyperlink r:id="rId13">
        <w:r w:rsidRPr="436CD84A">
          <w:rPr>
            <w:rStyle w:val="Hyperlink"/>
            <w:rFonts w:ascii="Cambria" w:hAnsi="Cambria"/>
          </w:rPr>
          <w:t>Vaccine Equity Plan</w:t>
        </w:r>
      </w:hyperlink>
      <w:r w:rsidRPr="436CD84A">
        <w:rPr>
          <w:rFonts w:ascii="Cambria" w:hAnsi="Cambria"/>
        </w:rPr>
        <w:t xml:space="preserve"> </w:t>
      </w:r>
      <w:r w:rsidRPr="0065428E">
        <w:rPr>
          <w:rFonts w:ascii="Cambria" w:hAnsi="Cambria"/>
          <w:color w:val="auto"/>
        </w:rPr>
        <w:t>to the Legislature on March 15, 2022.  This report represents an update to that plan. In the 60 days since the plan submission:</w:t>
      </w:r>
    </w:p>
    <w:p w14:paraId="6C8C6A8C" w14:textId="77777777" w:rsidR="0065428E" w:rsidRPr="0065428E" w:rsidRDefault="0065428E" w:rsidP="0065428E">
      <w:pPr>
        <w:pStyle w:val="ListParagraph"/>
        <w:numPr>
          <w:ilvl w:val="0"/>
          <w:numId w:val="38"/>
        </w:numPr>
        <w:rPr>
          <w:rFonts w:ascii="Cambria" w:hAnsi="Cambria"/>
        </w:rPr>
      </w:pPr>
      <w:r w:rsidRPr="0065428E">
        <w:rPr>
          <w:rFonts w:ascii="Cambria" w:hAnsi="Cambria"/>
        </w:rPr>
        <w:t>All VEI communities have met or exceeded the statewide average in percent change in new fully vaccinated individuals over the past 60 days.</w:t>
      </w:r>
    </w:p>
    <w:p w14:paraId="61E06CA7" w14:textId="77777777" w:rsidR="0065428E" w:rsidRPr="0065428E" w:rsidRDefault="0065428E" w:rsidP="0065428E">
      <w:pPr>
        <w:pStyle w:val="ListParagraph"/>
        <w:numPr>
          <w:ilvl w:val="0"/>
          <w:numId w:val="38"/>
        </w:numPr>
        <w:rPr>
          <w:rFonts w:ascii="Cambria" w:hAnsi="Cambria"/>
        </w:rPr>
      </w:pPr>
      <w:r w:rsidRPr="0065428E">
        <w:rPr>
          <w:rFonts w:ascii="Cambria" w:hAnsi="Cambria"/>
        </w:rPr>
        <w:t xml:space="preserve">First dose and fully vaccinated rates in the 20 equity municipalities increased by one percentage point and current rates are 87% and 74% respectively.  </w:t>
      </w:r>
    </w:p>
    <w:p w14:paraId="79B51CCE" w14:textId="77777777" w:rsidR="0065428E" w:rsidRPr="0065428E" w:rsidRDefault="0065428E" w:rsidP="0065428E">
      <w:pPr>
        <w:pStyle w:val="ListParagraph"/>
        <w:numPr>
          <w:ilvl w:val="0"/>
          <w:numId w:val="38"/>
        </w:numPr>
        <w:rPr>
          <w:rFonts w:ascii="Cambria" w:hAnsi="Cambria"/>
        </w:rPr>
      </w:pPr>
      <w:r w:rsidRPr="0065428E">
        <w:rPr>
          <w:rFonts w:ascii="Cambria" w:hAnsi="Cambria"/>
        </w:rPr>
        <w:t>First dose pediatric (ages 5-11) vaccinations increased by two percentage points to 44%.</w:t>
      </w:r>
    </w:p>
    <w:p w14:paraId="341EF862" w14:textId="77777777" w:rsidR="0065428E" w:rsidRPr="0065428E" w:rsidRDefault="0065428E" w:rsidP="0065428E">
      <w:pPr>
        <w:pStyle w:val="ListParagraph"/>
        <w:numPr>
          <w:ilvl w:val="0"/>
          <w:numId w:val="38"/>
        </w:numPr>
        <w:rPr>
          <w:rFonts w:ascii="Cambria" w:hAnsi="Cambria"/>
        </w:rPr>
      </w:pPr>
      <w:r w:rsidRPr="0065428E">
        <w:rPr>
          <w:rFonts w:ascii="Cambria" w:hAnsi="Cambria"/>
        </w:rPr>
        <w:t xml:space="preserve">Fully vaccinated pediatric rates increased three percentage points to 35%. </w:t>
      </w:r>
    </w:p>
    <w:p w14:paraId="232B90A9" w14:textId="77777777" w:rsidR="0065428E" w:rsidRPr="0065428E" w:rsidRDefault="0065428E" w:rsidP="0065428E">
      <w:pPr>
        <w:rPr>
          <w:rFonts w:ascii="Cambria" w:hAnsi="Cambria"/>
          <w:color w:val="auto"/>
        </w:rPr>
      </w:pPr>
      <w:r w:rsidRPr="0065428E">
        <w:rPr>
          <w:rFonts w:ascii="Cambria" w:hAnsi="Cambria"/>
          <w:color w:val="auto"/>
        </w:rPr>
        <w:t>As has been the case from the early days of the vaccine rollout, we know that every dose counts. While Massachusetts leads the nation in vaccination rates of Black and Hispanic residents, our continued efforts to close the gap in our equity communities serves as a reminder that we must continue to lean in to reduce barriers, increase access, and promote awareness regarding COVID-19 vaccines and boosters.</w:t>
      </w:r>
    </w:p>
    <w:p w14:paraId="59595AB1" w14:textId="77777777" w:rsidR="0065428E" w:rsidRPr="00A57B94" w:rsidRDefault="0065428E" w:rsidP="0065428E">
      <w:pPr>
        <w:rPr>
          <w:rFonts w:ascii="Cambria" w:hAnsi="Cambria"/>
        </w:rPr>
      </w:pPr>
    </w:p>
    <w:p w14:paraId="53F91416" w14:textId="77777777" w:rsidR="0065428E" w:rsidRPr="0065428E" w:rsidRDefault="0065428E" w:rsidP="0065428E">
      <w:pPr>
        <w:rPr>
          <w:rFonts w:ascii="Cambria" w:hAnsi="Cambria"/>
          <w:b/>
          <w:bCs/>
          <w:color w:val="auto"/>
        </w:rPr>
      </w:pPr>
      <w:r w:rsidRPr="0065428E">
        <w:rPr>
          <w:rFonts w:ascii="Cambria" w:hAnsi="Cambria"/>
          <w:b/>
          <w:bCs/>
          <w:color w:val="auto"/>
        </w:rPr>
        <w:t>PROGRAMMATIC SPOTLIGHT: APRIL SCHOOL VACATION WEEK CLINICS</w:t>
      </w:r>
    </w:p>
    <w:p w14:paraId="15847D64" w14:textId="77777777" w:rsidR="0065428E" w:rsidRPr="0065428E" w:rsidRDefault="0065428E" w:rsidP="0065428E">
      <w:pPr>
        <w:rPr>
          <w:rFonts w:ascii="Cambria" w:hAnsi="Cambria"/>
          <w:color w:val="auto"/>
        </w:rPr>
      </w:pPr>
      <w:r w:rsidRPr="0065428E">
        <w:rPr>
          <w:rFonts w:ascii="Cambria" w:hAnsi="Cambria"/>
          <w:color w:val="auto"/>
        </w:rPr>
        <w:t>VEI partnered with local businesses and organizations to host 43 free COVID-19 vaccination clinics across 11 VEI communities during April 18-24, School Vacation Week. ​</w:t>
      </w:r>
      <w:r w:rsidRPr="0065428E">
        <w:rPr>
          <w:rFonts w:ascii="Cambria" w:hAnsi="Cambria" w:cs="Calibri"/>
          <w:color w:val="auto"/>
        </w:rPr>
        <w:t xml:space="preserve"> </w:t>
      </w:r>
      <w:r w:rsidRPr="0065428E">
        <w:rPr>
          <w:rFonts w:ascii="Cambria" w:hAnsi="Cambria"/>
          <w:color w:val="auto"/>
        </w:rPr>
        <w:t>The clinics were held at family-friendly venues such as trampoline parks, skating rinks, zoos, bowling alleys, and Six Flags amusement park. Individuals vaccinated or boosted received a giveaway such as free admission tickets, free bowling, bounce time, or supermarket gift card.  The clinics were free to everyone 5 and older and no ID or proof of health insurance were required.</w:t>
      </w:r>
    </w:p>
    <w:p w14:paraId="16CB204D" w14:textId="77777777" w:rsidR="0065428E" w:rsidRPr="0065428E" w:rsidRDefault="0065428E" w:rsidP="0065428E">
      <w:pPr>
        <w:rPr>
          <w:rFonts w:ascii="Cambria" w:hAnsi="Cambria"/>
          <w:color w:val="auto"/>
        </w:rPr>
      </w:pPr>
      <w:r w:rsidRPr="0065428E">
        <w:rPr>
          <w:rFonts w:ascii="Cambria" w:hAnsi="Cambria"/>
          <w:color w:val="auto"/>
        </w:rPr>
        <w:t xml:space="preserve">In total, 1,068 individuals, parents, and children were vaccinated that week in the VEI communities.  The clinics reached individuals of all ages for primary and secondary doses and boosters.​ The majority of people who attended the clinics were people of color, and the age of participants covered the lifespan, from pediatrics to over 75.  Exit surveys confirmed that the </w:t>
      </w:r>
      <w:r w:rsidRPr="0065428E">
        <w:rPr>
          <w:rFonts w:ascii="Cambria" w:hAnsi="Cambria"/>
          <w:color w:val="auto"/>
        </w:rPr>
        <w:lastRenderedPageBreak/>
        <w:t xml:space="preserve">clinics offered a convenient, enjoyable way for families to get up to date on </w:t>
      </w:r>
      <w:r w:rsidRPr="0065428E">
        <w:rPr>
          <w:rFonts w:ascii="Cambria" w:hAnsi="Cambria"/>
          <w:noProof/>
          <w:color w:val="auto"/>
        </w:rPr>
        <mc:AlternateContent>
          <mc:Choice Requires="wps">
            <w:drawing>
              <wp:anchor distT="45720" distB="45720" distL="114300" distR="114300" simplePos="0" relativeHeight="251665408" behindDoc="0" locked="0" layoutInCell="1" allowOverlap="1" wp14:anchorId="5484AC16" wp14:editId="00CAA428">
                <wp:simplePos x="0" y="0"/>
                <wp:positionH relativeFrom="column">
                  <wp:posOffset>3819525</wp:posOffset>
                </wp:positionH>
                <wp:positionV relativeFrom="paragraph">
                  <wp:posOffset>809625</wp:posOffset>
                </wp:positionV>
                <wp:extent cx="2066925" cy="1404620"/>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404620"/>
                        </a:xfrm>
                        <a:prstGeom prst="rect">
                          <a:avLst/>
                        </a:prstGeom>
                        <a:solidFill>
                          <a:srgbClr val="FFFFFF"/>
                        </a:solidFill>
                        <a:ln w="9525">
                          <a:solidFill>
                            <a:srgbClr val="000000"/>
                          </a:solidFill>
                          <a:miter lim="800000"/>
                          <a:headEnd/>
                          <a:tailEnd/>
                        </a:ln>
                      </wps:spPr>
                      <wps:txbx>
                        <w:txbxContent>
                          <w:p w14:paraId="78E02566" w14:textId="77777777" w:rsidR="0065428E" w:rsidRPr="007E39FA" w:rsidRDefault="0065428E" w:rsidP="0065428E">
                            <w:pPr>
                              <w:rPr>
                                <w:i/>
                                <w:iCs/>
                                <w:sz w:val="18"/>
                                <w:szCs w:val="18"/>
                              </w:rPr>
                            </w:pPr>
                            <w:r w:rsidRPr="007E39FA">
                              <w:rPr>
                                <w:b/>
                                <w:bCs/>
                                <w:i/>
                                <w:iCs/>
                                <w:sz w:val="18"/>
                                <w:szCs w:val="18"/>
                              </w:rPr>
                              <w:t xml:space="preserve">Figure 1: April School Vacation </w:t>
                            </w:r>
                            <w:r>
                              <w:rPr>
                                <w:b/>
                                <w:bCs/>
                                <w:i/>
                                <w:iCs/>
                                <w:sz w:val="18"/>
                                <w:szCs w:val="18"/>
                              </w:rPr>
                              <w:t>W</w:t>
                            </w:r>
                            <w:r w:rsidRPr="007E39FA">
                              <w:rPr>
                                <w:b/>
                                <w:bCs/>
                                <w:i/>
                                <w:iCs/>
                                <w:sz w:val="18"/>
                                <w:szCs w:val="18"/>
                              </w:rPr>
                              <w:t xml:space="preserve">eek vaccinations. </w:t>
                            </w:r>
                            <w:r>
                              <w:rPr>
                                <w:i/>
                                <w:iCs/>
                                <w:sz w:val="18"/>
                                <w:szCs w:val="18"/>
                              </w:rPr>
                              <w:t xml:space="preserve">Vaccinations and % of vaccinations by age group (left) and dose (right) during April School Vacation week.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84AC16" id="_x0000_s1027" type="#_x0000_t202" style="position:absolute;left:0;text-align:left;margin-left:300.75pt;margin-top:63.75pt;width:162.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">
                <v:textbox style="mso-fit-shape-to-text:t">
                  <w:txbxContent>
                    <w:p w14:paraId="78E02566" w14:textId="77777777" w:rsidR="0065428E" w:rsidRPr="007E39FA" w:rsidRDefault="0065428E" w:rsidP="0065428E">
                      <w:pPr>
                        <w:rPr>
                          <w:i/>
                          <w:iCs/>
                          <w:sz w:val="18"/>
                          <w:szCs w:val="18"/>
                        </w:rPr>
                      </w:pPr>
                      <w:r w:rsidRPr="007E39FA">
                        <w:rPr>
                          <w:b/>
                          <w:bCs/>
                          <w:i/>
                          <w:iCs/>
                          <w:sz w:val="18"/>
                          <w:szCs w:val="18"/>
                        </w:rPr>
                        <w:t xml:space="preserve">Figure 1: April School Vacation </w:t>
                      </w:r>
                      <w:r>
                        <w:rPr>
                          <w:b/>
                          <w:bCs/>
                          <w:i/>
                          <w:iCs/>
                          <w:sz w:val="18"/>
                          <w:szCs w:val="18"/>
                        </w:rPr>
                        <w:t>W</w:t>
                      </w:r>
                      <w:r w:rsidRPr="007E39FA">
                        <w:rPr>
                          <w:b/>
                          <w:bCs/>
                          <w:i/>
                          <w:iCs/>
                          <w:sz w:val="18"/>
                          <w:szCs w:val="18"/>
                        </w:rPr>
                        <w:t xml:space="preserve">eek vaccinations. </w:t>
                      </w:r>
                      <w:r>
                        <w:rPr>
                          <w:i/>
                          <w:iCs/>
                          <w:sz w:val="18"/>
                          <w:szCs w:val="18"/>
                        </w:rPr>
                        <w:t xml:space="preserve">Vaccinations and % of vaccinations by age group (left) and dose (right) during April School Vacation week. </w:t>
                      </w:r>
                    </w:p>
                  </w:txbxContent>
                </v:textbox>
                <w10:wrap type="square"/>
              </v:shape>
            </w:pict>
          </mc:Fallback>
        </mc:AlternateContent>
      </w:r>
      <w:r w:rsidRPr="0065428E">
        <w:rPr>
          <w:noProof/>
          <w:color w:val="auto"/>
        </w:rPr>
        <w:drawing>
          <wp:anchor distT="0" distB="0" distL="114300" distR="114300" simplePos="0" relativeHeight="251664384" behindDoc="0" locked="0" layoutInCell="1" allowOverlap="1" wp14:anchorId="7908560A" wp14:editId="4FD9B0B9">
            <wp:simplePos x="0" y="0"/>
            <wp:positionH relativeFrom="column">
              <wp:posOffset>0</wp:posOffset>
            </wp:positionH>
            <wp:positionV relativeFrom="paragraph">
              <wp:posOffset>561975</wp:posOffset>
            </wp:positionV>
            <wp:extent cx="3728720" cy="2486025"/>
            <wp:effectExtent l="0" t="0" r="5080" b="9525"/>
            <wp:wrapTopAndBottom/>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728720" cy="2486025"/>
                    </a:xfrm>
                    <a:prstGeom prst="rect">
                      <a:avLst/>
                    </a:prstGeom>
                  </pic:spPr>
                </pic:pic>
              </a:graphicData>
            </a:graphic>
            <wp14:sizeRelH relativeFrom="margin">
              <wp14:pctWidth>0</wp14:pctWidth>
            </wp14:sizeRelH>
            <wp14:sizeRelV relativeFrom="margin">
              <wp14:pctHeight>0</wp14:pctHeight>
            </wp14:sizeRelV>
          </wp:anchor>
        </w:drawing>
      </w:r>
      <w:r w:rsidRPr="0065428E">
        <w:rPr>
          <w:rFonts w:ascii="Cambria" w:hAnsi="Cambria"/>
          <w:color w:val="auto"/>
        </w:rPr>
        <w:t xml:space="preserve">their COVID-19 vaccinations.   </w:t>
      </w:r>
    </w:p>
    <w:p w14:paraId="09A2DB94" w14:textId="77777777" w:rsidR="0065428E" w:rsidRPr="0065428E" w:rsidRDefault="0065428E" w:rsidP="0065428E">
      <w:pPr>
        <w:rPr>
          <w:rFonts w:ascii="Cambria" w:hAnsi="Cambria"/>
          <w:color w:val="auto"/>
        </w:rPr>
      </w:pPr>
    </w:p>
    <w:p w14:paraId="47CE79AF" w14:textId="77777777" w:rsidR="0065428E" w:rsidRPr="0065428E" w:rsidRDefault="0065428E" w:rsidP="0065428E">
      <w:pPr>
        <w:rPr>
          <w:rFonts w:ascii="Cambria" w:hAnsi="Cambria"/>
          <w:color w:val="auto"/>
        </w:rPr>
      </w:pPr>
      <w:r w:rsidRPr="0065428E" w:rsidDel="441190D0">
        <w:rPr>
          <w:rFonts w:ascii="Cambria" w:hAnsi="Cambria"/>
          <w:color w:val="auto"/>
        </w:rPr>
        <w:t xml:space="preserve">The </w:t>
      </w:r>
      <w:r w:rsidRPr="0065428E">
        <w:rPr>
          <w:rFonts w:ascii="Cambria" w:hAnsi="Cambria"/>
          <w:color w:val="auto"/>
        </w:rPr>
        <w:t>April School Vacation Week clinics were a collaborative and strategic effort that resulted in</w:t>
      </w:r>
      <w:r w:rsidRPr="0065428E" w:rsidDel="00714D5C">
        <w:rPr>
          <w:rFonts w:ascii="Cambria" w:hAnsi="Cambria"/>
          <w:color w:val="auto"/>
        </w:rPr>
        <w:t xml:space="preserve"> </w:t>
      </w:r>
      <w:r w:rsidRPr="0065428E">
        <w:rPr>
          <w:rFonts w:ascii="Cambria" w:hAnsi="Cambria"/>
          <w:color w:val="auto"/>
        </w:rPr>
        <w:t xml:space="preserve">vaccinations that may not otherwise have occurred.​ Positive media messages were a secondary effect of the clinics, and were more effective because they came from local, trusted sources amplified by English and Spanish media. </w:t>
      </w:r>
    </w:p>
    <w:p w14:paraId="571EFBE6" w14:textId="77777777" w:rsidR="0065428E" w:rsidRPr="0065428E" w:rsidRDefault="0065428E" w:rsidP="0065428E">
      <w:pPr>
        <w:rPr>
          <w:rFonts w:ascii="Cambria" w:hAnsi="Cambria"/>
          <w:color w:val="auto"/>
        </w:rPr>
      </w:pPr>
      <w:r w:rsidRPr="0065428E">
        <w:rPr>
          <w:rStyle w:val="normaltextrun"/>
          <w:rFonts w:ascii="Cambria" w:hAnsi="Cambria" w:cs="Calibri"/>
          <w:color w:val="auto"/>
        </w:rPr>
        <w:t>VEI will continue to employ models of community engagement to collaborate with vaccination providers, community-based organizations, and trusted sources to plan and host COVID-19 vaccination clinics in culturally relevant settings during the late spring and summer months.</w:t>
      </w:r>
    </w:p>
    <w:p w14:paraId="5AB291C7" w14:textId="77777777" w:rsidR="0065428E" w:rsidRPr="0065428E" w:rsidRDefault="0065428E" w:rsidP="0065428E">
      <w:pPr>
        <w:rPr>
          <w:rFonts w:ascii="Cambria" w:hAnsi="Cambria"/>
          <w:color w:val="auto"/>
        </w:rPr>
      </w:pPr>
    </w:p>
    <w:p w14:paraId="0F8F565D" w14:textId="77777777" w:rsidR="0065428E" w:rsidRPr="0065428E" w:rsidRDefault="0065428E" w:rsidP="0065428E">
      <w:pPr>
        <w:rPr>
          <w:rFonts w:ascii="Cambria" w:hAnsi="Cambria"/>
          <w:b/>
          <w:bCs/>
          <w:color w:val="auto"/>
        </w:rPr>
      </w:pPr>
      <w:r w:rsidRPr="0065428E">
        <w:rPr>
          <w:rFonts w:ascii="Cambria" w:hAnsi="Cambria"/>
          <w:b/>
          <w:bCs/>
          <w:color w:val="auto"/>
        </w:rPr>
        <w:t>NEWLY FUNDED ORGANIZATIONS</w:t>
      </w:r>
    </w:p>
    <w:p w14:paraId="08F0E3D0" w14:textId="77777777" w:rsidR="0065428E" w:rsidRPr="0065428E" w:rsidRDefault="0065428E" w:rsidP="0065428E">
      <w:pPr>
        <w:rPr>
          <w:rFonts w:ascii="Cambria" w:hAnsi="Cambria"/>
          <w:color w:val="auto"/>
        </w:rPr>
      </w:pPr>
      <w:r w:rsidRPr="0065428E">
        <w:rPr>
          <w:rFonts w:ascii="Cambria" w:hAnsi="Cambria"/>
          <w:color w:val="auto"/>
        </w:rPr>
        <w:t xml:space="preserve">On April 8, the Baker-Polito Administration </w:t>
      </w:r>
      <w:hyperlink r:id="rId15" w:history="1">
        <w:r w:rsidRPr="00156FED">
          <w:rPr>
            <w:rStyle w:val="Hyperlink"/>
            <w:rFonts w:ascii="Cambria" w:hAnsi="Cambria"/>
          </w:rPr>
          <w:t>announced another $4.5 million in grants</w:t>
        </w:r>
      </w:hyperlink>
      <w:r>
        <w:rPr>
          <w:rFonts w:ascii="Cambria" w:hAnsi="Cambria"/>
        </w:rPr>
        <w:t xml:space="preserve"> </w:t>
      </w:r>
      <w:r w:rsidRPr="0065428E">
        <w:rPr>
          <w:rFonts w:ascii="Cambria" w:hAnsi="Cambria"/>
          <w:color w:val="auto"/>
        </w:rPr>
        <w:t xml:space="preserve">to support community organizations and community health centers as they continue the work to reduce barriers to vaccine access and promote vaccines and boosters for communities and populations most disproportionately impacted by COVID-19.  </w:t>
      </w:r>
    </w:p>
    <w:p w14:paraId="1C60549E" w14:textId="77777777" w:rsidR="0065428E" w:rsidRPr="0065428E" w:rsidRDefault="0065428E" w:rsidP="0065428E">
      <w:pPr>
        <w:pStyle w:val="ListParagraph"/>
        <w:numPr>
          <w:ilvl w:val="0"/>
          <w:numId w:val="39"/>
        </w:numPr>
        <w:rPr>
          <w:rFonts w:ascii="Cambria" w:hAnsi="Cambria"/>
        </w:rPr>
      </w:pPr>
      <w:r w:rsidRPr="0065428E">
        <w:rPr>
          <w:rFonts w:ascii="Cambria" w:hAnsi="Cambria"/>
        </w:rPr>
        <w:t>To date, a total of 196 community organizations have been awarded over $51.1 million through the Vaccine Equity Initiative; this includes community- and faith-based organizations, Tribal and Indigenous People Serving Organizations, Community Health Centers, and other community-based healthcare organizations.</w:t>
      </w:r>
    </w:p>
    <w:p w14:paraId="369AF1C3" w14:textId="77777777" w:rsidR="0065428E" w:rsidRPr="0065428E" w:rsidRDefault="0065428E" w:rsidP="0065428E">
      <w:pPr>
        <w:pStyle w:val="ListParagraph"/>
        <w:numPr>
          <w:ilvl w:val="0"/>
          <w:numId w:val="39"/>
        </w:numPr>
        <w:rPr>
          <w:rFonts w:ascii="Cambria" w:hAnsi="Cambria"/>
        </w:rPr>
      </w:pPr>
      <w:r w:rsidRPr="0065428E">
        <w:rPr>
          <w:rFonts w:ascii="Cambria" w:hAnsi="Cambria"/>
        </w:rPr>
        <w:t>The grants are the result of a major funding award from the US Centers for Disease Control and Prevention (CDC) to the Commonwealth, building on the state’s investment to increase vaccine awareness and acceptance. These funds support community organizations and community health centers to continue the work of reducing barriers to vaccine access and promoting vaccines and boosters for communities and populations most disproportionately impacted by COVID-19.</w:t>
      </w:r>
    </w:p>
    <w:p w14:paraId="7139A0CD" w14:textId="77777777" w:rsidR="0065428E" w:rsidRPr="0065428E" w:rsidRDefault="0065428E" w:rsidP="0065428E">
      <w:pPr>
        <w:pStyle w:val="ListParagraph"/>
        <w:numPr>
          <w:ilvl w:val="0"/>
          <w:numId w:val="39"/>
        </w:numPr>
        <w:rPr>
          <w:rFonts w:ascii="Cambria" w:hAnsi="Cambria"/>
        </w:rPr>
      </w:pPr>
      <w:r w:rsidRPr="0065428E">
        <w:rPr>
          <w:rFonts w:ascii="Cambria" w:hAnsi="Cambria"/>
        </w:rPr>
        <w:lastRenderedPageBreak/>
        <w:t>This additional $4.5 million includes three components: Community Outreach and Education, Community Health Centers, and the Rural Vaccine Program.</w:t>
      </w:r>
    </w:p>
    <w:p w14:paraId="4ADAC5F1" w14:textId="77777777" w:rsidR="0065428E" w:rsidRPr="0065428E" w:rsidRDefault="0065428E" w:rsidP="0065428E">
      <w:pPr>
        <w:pStyle w:val="ListParagraph"/>
        <w:rPr>
          <w:rFonts w:ascii="Cambria" w:hAnsi="Cambria"/>
        </w:rPr>
      </w:pPr>
    </w:p>
    <w:p w14:paraId="45E896ED" w14:textId="77777777" w:rsidR="0065428E" w:rsidRPr="0065428E" w:rsidRDefault="0065428E" w:rsidP="0065428E">
      <w:pPr>
        <w:rPr>
          <w:rFonts w:ascii="Cambria" w:hAnsi="Cambria"/>
          <w:b/>
          <w:bCs/>
          <w:i/>
          <w:iCs/>
          <w:color w:val="auto"/>
        </w:rPr>
      </w:pPr>
      <w:r w:rsidRPr="0065428E">
        <w:rPr>
          <w:rFonts w:ascii="Cambria" w:hAnsi="Cambria"/>
          <w:b/>
          <w:bCs/>
          <w:i/>
          <w:iCs/>
          <w:color w:val="auto"/>
        </w:rPr>
        <w:t>Grant awardees include:</w:t>
      </w:r>
    </w:p>
    <w:p w14:paraId="06F2DCEA" w14:textId="77777777" w:rsidR="0065428E" w:rsidRPr="0065428E" w:rsidRDefault="0065428E" w:rsidP="0065428E">
      <w:pPr>
        <w:spacing w:after="0"/>
        <w:rPr>
          <w:rFonts w:ascii="Cambria" w:hAnsi="Cambria"/>
          <w:color w:val="auto"/>
        </w:rPr>
      </w:pPr>
      <w:r w:rsidRPr="0065428E">
        <w:rPr>
          <w:rFonts w:ascii="Cambria" w:hAnsi="Cambria"/>
          <w:b/>
          <w:bCs/>
          <w:color w:val="auto"/>
        </w:rPr>
        <w:t>Community Outreach and Education</w:t>
      </w:r>
    </w:p>
    <w:p w14:paraId="2E11B62E" w14:textId="77777777" w:rsidR="0065428E" w:rsidRPr="0065428E" w:rsidRDefault="0065428E" w:rsidP="0065428E">
      <w:pPr>
        <w:rPr>
          <w:rFonts w:ascii="Cambria" w:hAnsi="Cambria"/>
          <w:color w:val="auto"/>
        </w:rPr>
      </w:pPr>
      <w:r w:rsidRPr="0065428E">
        <w:rPr>
          <w:rFonts w:ascii="Cambria" w:hAnsi="Cambria"/>
          <w:color w:val="auto"/>
        </w:rPr>
        <w:t>$1.1 million in new grants was awarded to 26 community- and faith-based organizations, including Tribal and Indigenous People-serving organizations, in partnership with Health Resources in Action (</w:t>
      </w:r>
      <w:proofErr w:type="spellStart"/>
      <w:r w:rsidRPr="0065428E">
        <w:rPr>
          <w:rFonts w:ascii="Cambria" w:hAnsi="Cambria"/>
          <w:color w:val="auto"/>
        </w:rPr>
        <w:t>HRiA</w:t>
      </w:r>
      <w:proofErr w:type="spellEnd"/>
      <w:r w:rsidRPr="0065428E">
        <w:rPr>
          <w:rFonts w:ascii="Cambria" w:hAnsi="Cambria"/>
          <w:color w:val="auto"/>
        </w:rPr>
        <w:t>). In addition to 50 other community organizations currently funded, these organizations will provide culturally appropriate COVID-19 outreach and education and host and promote vaccine clinics for priority populations. Funded organizations will engage families and children for pediatric vaccinations and boosters. Funding levels range from $15,000 to $50,000 per organization.</w:t>
      </w:r>
    </w:p>
    <w:p w14:paraId="7886CCE3"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African Cultural Services, Inc.  </w:t>
      </w:r>
    </w:p>
    <w:p w14:paraId="666F19EC"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BRIDGE (Berkshire Resources for the Integration of Diverse Groups through Education)</w:t>
      </w:r>
    </w:p>
    <w:p w14:paraId="4F425D82"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 xml:space="preserve">Centro de </w:t>
      </w:r>
      <w:proofErr w:type="spellStart"/>
      <w:r w:rsidRPr="0065428E">
        <w:rPr>
          <w:rFonts w:ascii="Cambria" w:hAnsi="Cambria"/>
          <w:color w:val="auto"/>
        </w:rPr>
        <w:t>Apoyo</w:t>
      </w:r>
      <w:proofErr w:type="spellEnd"/>
      <w:r w:rsidRPr="0065428E">
        <w:rPr>
          <w:rFonts w:ascii="Cambria" w:hAnsi="Cambria"/>
          <w:color w:val="auto"/>
        </w:rPr>
        <w:t xml:space="preserve"> Familiar (CAF) </w:t>
      </w:r>
    </w:p>
    <w:p w14:paraId="400A17D9"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Chappaquiddick Tribe of the Wampanoag Indian Nation Corporation</w:t>
      </w:r>
    </w:p>
    <w:p w14:paraId="5E41AE95"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Chinese Culture Connection, Inc. </w:t>
      </w:r>
    </w:p>
    <w:p w14:paraId="18D3604D"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Coalition for a Better Acre </w:t>
      </w:r>
    </w:p>
    <w:p w14:paraId="0022191B"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DEAF, Inc. </w:t>
      </w:r>
    </w:p>
    <w:p w14:paraId="3729DDF3"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Dwelling House of Hope, Inc. </w:t>
      </w:r>
    </w:p>
    <w:p w14:paraId="5C349582"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Extreme Kid, Inc. </w:t>
      </w:r>
    </w:p>
    <w:p w14:paraId="68588978"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Haitian Community Partners </w:t>
      </w:r>
    </w:p>
    <w:p w14:paraId="279EBA5B"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Haitian Health Institute </w:t>
      </w:r>
    </w:p>
    <w:p w14:paraId="0F5FEEE8"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Leaving the Streets Ministries, Inc </w:t>
      </w:r>
    </w:p>
    <w:p w14:paraId="6E5CF672"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Love Your Menses </w:t>
      </w:r>
    </w:p>
    <w:p w14:paraId="7F676E25"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Massachusetts Coalition for Occupational Safety &amp; Health (</w:t>
      </w:r>
      <w:proofErr w:type="spellStart"/>
      <w:r w:rsidRPr="0065428E">
        <w:rPr>
          <w:rFonts w:ascii="Cambria" w:hAnsi="Cambria"/>
          <w:color w:val="auto"/>
        </w:rPr>
        <w:t>MassCOSH</w:t>
      </w:r>
      <w:proofErr w:type="spellEnd"/>
      <w:r w:rsidRPr="0065428E">
        <w:rPr>
          <w:rFonts w:ascii="Cambria" w:hAnsi="Cambria"/>
          <w:color w:val="auto"/>
        </w:rPr>
        <w:t>) </w:t>
      </w:r>
    </w:p>
    <w:p w14:paraId="3DF96FA9" w14:textId="77777777" w:rsidR="0065428E" w:rsidRPr="0065428E" w:rsidRDefault="0065428E" w:rsidP="0065428E">
      <w:pPr>
        <w:numPr>
          <w:ilvl w:val="0"/>
          <w:numId w:val="35"/>
        </w:numPr>
        <w:spacing w:after="0" w:line="259" w:lineRule="auto"/>
        <w:rPr>
          <w:rFonts w:ascii="Cambria" w:hAnsi="Cambria"/>
          <w:color w:val="auto"/>
        </w:rPr>
      </w:pPr>
      <w:proofErr w:type="spellStart"/>
      <w:r w:rsidRPr="0065428E">
        <w:rPr>
          <w:rFonts w:ascii="Cambria" w:hAnsi="Cambria"/>
          <w:color w:val="auto"/>
        </w:rPr>
        <w:t>Metrowest</w:t>
      </w:r>
      <w:proofErr w:type="spellEnd"/>
      <w:r w:rsidRPr="0065428E">
        <w:rPr>
          <w:rFonts w:ascii="Cambria" w:hAnsi="Cambria"/>
          <w:color w:val="auto"/>
        </w:rPr>
        <w:t xml:space="preserve"> Worker Center (Casa do </w:t>
      </w:r>
      <w:proofErr w:type="spellStart"/>
      <w:r w:rsidRPr="0065428E">
        <w:rPr>
          <w:rFonts w:ascii="Cambria" w:hAnsi="Cambria"/>
          <w:color w:val="auto"/>
        </w:rPr>
        <w:t>Trabalhador</w:t>
      </w:r>
      <w:proofErr w:type="spellEnd"/>
      <w:r w:rsidRPr="0065428E">
        <w:rPr>
          <w:rFonts w:ascii="Cambria" w:hAnsi="Cambria"/>
          <w:color w:val="auto"/>
        </w:rPr>
        <w:t xml:space="preserve">/Casa del </w:t>
      </w:r>
      <w:proofErr w:type="spellStart"/>
      <w:r w:rsidRPr="0065428E">
        <w:rPr>
          <w:rFonts w:ascii="Cambria" w:hAnsi="Cambria"/>
          <w:color w:val="auto"/>
        </w:rPr>
        <w:t>Trabajador</w:t>
      </w:r>
      <w:proofErr w:type="spellEnd"/>
      <w:r w:rsidRPr="0065428E">
        <w:rPr>
          <w:rFonts w:ascii="Cambria" w:hAnsi="Cambria"/>
          <w:color w:val="auto"/>
        </w:rPr>
        <w:t>) </w:t>
      </w:r>
    </w:p>
    <w:p w14:paraId="253D87BA"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MOCHA </w:t>
      </w:r>
    </w:p>
    <w:p w14:paraId="448CC289"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Next Leadership Development Corporation</w:t>
      </w:r>
    </w:p>
    <w:p w14:paraId="670FE50C"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Nigerian American Multi-Service Association (NAMSA)</w:t>
      </w:r>
    </w:p>
    <w:p w14:paraId="67D2F10C"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People Affecting Community Change (PACC Global)  </w:t>
      </w:r>
    </w:p>
    <w:p w14:paraId="22764495"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Pioneer Valley Workers Center </w:t>
      </w:r>
    </w:p>
    <w:p w14:paraId="2E31DF32"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South Asian Workers' Center </w:t>
      </w:r>
    </w:p>
    <w:p w14:paraId="4A4C5D8D"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Springfield Boys and Girls Club </w:t>
      </w:r>
    </w:p>
    <w:p w14:paraId="6EADC2A3"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The Black Literacy and Arts Collaborative Project, Inc. </w:t>
      </w:r>
    </w:p>
    <w:p w14:paraId="1B10CDF2"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UHAI for Health Inc.  </w:t>
      </w:r>
    </w:p>
    <w:p w14:paraId="6EB97196"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Women Encouraging Empowerment Inc. </w:t>
      </w:r>
    </w:p>
    <w:p w14:paraId="5B477BEE" w14:textId="77777777" w:rsidR="0065428E" w:rsidRPr="0065428E" w:rsidRDefault="0065428E" w:rsidP="0065428E">
      <w:pPr>
        <w:numPr>
          <w:ilvl w:val="0"/>
          <w:numId w:val="35"/>
        </w:numPr>
        <w:spacing w:after="0" w:line="259" w:lineRule="auto"/>
        <w:rPr>
          <w:rFonts w:ascii="Cambria" w:hAnsi="Cambria"/>
          <w:color w:val="auto"/>
        </w:rPr>
      </w:pPr>
      <w:r w:rsidRPr="0065428E">
        <w:rPr>
          <w:rFonts w:ascii="Cambria" w:hAnsi="Cambria"/>
          <w:color w:val="auto"/>
        </w:rPr>
        <w:t>YMCA of Greater Boston </w:t>
      </w:r>
    </w:p>
    <w:p w14:paraId="606A3DCA" w14:textId="77777777" w:rsidR="0065428E" w:rsidRPr="0065428E" w:rsidRDefault="0065428E" w:rsidP="0065428E">
      <w:pPr>
        <w:spacing w:after="0"/>
        <w:rPr>
          <w:rFonts w:ascii="Cambria" w:hAnsi="Cambria"/>
          <w:b/>
          <w:bCs/>
          <w:color w:val="auto"/>
        </w:rPr>
      </w:pPr>
    </w:p>
    <w:p w14:paraId="66D15089" w14:textId="77777777" w:rsidR="0065428E" w:rsidRPr="0065428E" w:rsidRDefault="0065428E" w:rsidP="0065428E">
      <w:pPr>
        <w:spacing w:after="0"/>
        <w:rPr>
          <w:rFonts w:ascii="Cambria" w:hAnsi="Cambria"/>
          <w:b/>
          <w:bCs/>
          <w:color w:val="auto"/>
        </w:rPr>
      </w:pPr>
      <w:r w:rsidRPr="0065428E">
        <w:rPr>
          <w:rFonts w:ascii="Cambria" w:hAnsi="Cambria"/>
          <w:b/>
          <w:bCs/>
          <w:color w:val="auto"/>
        </w:rPr>
        <w:t>Community Health Centers</w:t>
      </w:r>
    </w:p>
    <w:p w14:paraId="070B9607" w14:textId="77777777" w:rsidR="0065428E" w:rsidRPr="0065428E" w:rsidRDefault="0065428E" w:rsidP="0065428E">
      <w:pPr>
        <w:rPr>
          <w:rFonts w:ascii="Cambria" w:hAnsi="Cambria"/>
          <w:color w:val="auto"/>
        </w:rPr>
      </w:pPr>
      <w:r w:rsidRPr="0065428E">
        <w:rPr>
          <w:rFonts w:ascii="Cambria" w:hAnsi="Cambria"/>
          <w:color w:val="auto"/>
        </w:rPr>
        <w:t xml:space="preserve">$3.1 million for the Massachusetts League of Community Health Centers supports 42 community health centers for critical workforce and equipment needs and outreach, education, </w:t>
      </w:r>
      <w:r w:rsidRPr="0065428E">
        <w:rPr>
          <w:rFonts w:ascii="Cambria" w:hAnsi="Cambria"/>
          <w:color w:val="auto"/>
        </w:rPr>
        <w:lastRenderedPageBreak/>
        <w:t>and navigation support towards COVID-19 vaccination. This funding is in addition to $5 million being distributed to community health centers for walk-in vaccination services.</w:t>
      </w:r>
    </w:p>
    <w:p w14:paraId="6287407D"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Boston Health Care for the Homeless Program</w:t>
      </w:r>
    </w:p>
    <w:p w14:paraId="79C1F338"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Bowdoin Street Health Center</w:t>
      </w:r>
    </w:p>
    <w:p w14:paraId="209C9632"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Brockton Neighborhood Health Center</w:t>
      </w:r>
    </w:p>
    <w:p w14:paraId="323AB08A"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Brookside Community Health Center</w:t>
      </w:r>
    </w:p>
    <w:p w14:paraId="109376B4"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Cambridge Health Alliance</w:t>
      </w:r>
    </w:p>
    <w:p w14:paraId="043D7F55"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Caring Health Center, Inc.</w:t>
      </w:r>
    </w:p>
    <w:p w14:paraId="464A8C3D"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Charles River Community Health Center</w:t>
      </w:r>
    </w:p>
    <w:p w14:paraId="34F2C804"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Codman Square Health Center</w:t>
      </w:r>
    </w:p>
    <w:p w14:paraId="60F022B5"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Community Health Center of Cape Cod</w:t>
      </w:r>
    </w:p>
    <w:p w14:paraId="7770711D"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Community Health Center of Franklin County</w:t>
      </w:r>
    </w:p>
    <w:p w14:paraId="2FB04CF0"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Community Health Connections Family Health Center </w:t>
      </w:r>
    </w:p>
    <w:p w14:paraId="19846024"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Community Health Programs</w:t>
      </w:r>
    </w:p>
    <w:p w14:paraId="06690D76"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The Dimock Center</w:t>
      </w:r>
    </w:p>
    <w:p w14:paraId="07362D2E" w14:textId="77777777" w:rsidR="0065428E" w:rsidRPr="0065428E" w:rsidRDefault="0065428E" w:rsidP="0065428E">
      <w:pPr>
        <w:numPr>
          <w:ilvl w:val="0"/>
          <w:numId w:val="36"/>
        </w:numPr>
        <w:spacing w:after="0" w:line="259" w:lineRule="auto"/>
        <w:rPr>
          <w:rFonts w:ascii="Cambria" w:hAnsi="Cambria"/>
          <w:color w:val="auto"/>
        </w:rPr>
      </w:pPr>
      <w:proofErr w:type="spellStart"/>
      <w:r w:rsidRPr="0065428E">
        <w:rPr>
          <w:rFonts w:ascii="Cambria" w:hAnsi="Cambria"/>
          <w:color w:val="auto"/>
        </w:rPr>
        <w:t>DotHouse</w:t>
      </w:r>
      <w:proofErr w:type="spellEnd"/>
      <w:r w:rsidRPr="0065428E">
        <w:rPr>
          <w:rFonts w:ascii="Cambria" w:hAnsi="Cambria"/>
          <w:color w:val="auto"/>
        </w:rPr>
        <w:t xml:space="preserve"> Health</w:t>
      </w:r>
    </w:p>
    <w:p w14:paraId="446FF1DC"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Duffy Health Center</w:t>
      </w:r>
    </w:p>
    <w:p w14:paraId="159E6EF3"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East Boston Neighborhood Health Center</w:t>
      </w:r>
    </w:p>
    <w:p w14:paraId="7A131493"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Edward M. Kennedy Community Health Center (Framingham)</w:t>
      </w:r>
    </w:p>
    <w:p w14:paraId="4909435D"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Family Health Center of Worcester</w:t>
      </w:r>
    </w:p>
    <w:p w14:paraId="036A1949"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Fenway Community Health Center</w:t>
      </w:r>
    </w:p>
    <w:p w14:paraId="1858B879"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Greater Lawrence Family Health Center</w:t>
      </w:r>
    </w:p>
    <w:p w14:paraId="1EA9C137"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Greater New Bedford Community Health Center</w:t>
      </w:r>
    </w:p>
    <w:p w14:paraId="71662ADA"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Greater Roslindale Medical and Dental Center</w:t>
      </w:r>
    </w:p>
    <w:p w14:paraId="7786DF28"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Harbor Health Services Incorporated</w:t>
      </w:r>
    </w:p>
    <w:p w14:paraId="0C2C0C60"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Harvard Street Neighborhood Health Center</w:t>
      </w:r>
    </w:p>
    <w:p w14:paraId="10E388AF" w14:textId="77777777" w:rsidR="0065428E" w:rsidRPr="0065428E" w:rsidRDefault="0065428E" w:rsidP="0065428E">
      <w:pPr>
        <w:numPr>
          <w:ilvl w:val="0"/>
          <w:numId w:val="36"/>
        </w:numPr>
        <w:spacing w:after="0" w:line="259" w:lineRule="auto"/>
        <w:rPr>
          <w:rFonts w:ascii="Cambria" w:hAnsi="Cambria"/>
          <w:color w:val="auto"/>
        </w:rPr>
      </w:pPr>
      <w:proofErr w:type="spellStart"/>
      <w:r w:rsidRPr="0065428E">
        <w:rPr>
          <w:rFonts w:ascii="Cambria" w:hAnsi="Cambria"/>
          <w:color w:val="auto"/>
        </w:rPr>
        <w:t>HealthFirst</w:t>
      </w:r>
      <w:proofErr w:type="spellEnd"/>
      <w:r w:rsidRPr="0065428E">
        <w:rPr>
          <w:rFonts w:ascii="Cambria" w:hAnsi="Cambria"/>
          <w:color w:val="auto"/>
        </w:rPr>
        <w:t xml:space="preserve"> Family Care Center</w:t>
      </w:r>
    </w:p>
    <w:p w14:paraId="03FF51D5"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Hilltown Community Health Center</w:t>
      </w:r>
    </w:p>
    <w:p w14:paraId="74F30AF4"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Holyoke Health Center, Inc.  </w:t>
      </w:r>
    </w:p>
    <w:p w14:paraId="2AF823C9"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Island Health Care</w:t>
      </w:r>
    </w:p>
    <w:p w14:paraId="0C81944A"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Lowell Community Health Center</w:t>
      </w:r>
    </w:p>
    <w:p w14:paraId="62228C2F"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Lynn Community Health Center</w:t>
      </w:r>
    </w:p>
    <w:p w14:paraId="6268D4D8"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Manet Community Health Center</w:t>
      </w:r>
    </w:p>
    <w:p w14:paraId="6ABA4047"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Mattapan Community Health Center</w:t>
      </w:r>
    </w:p>
    <w:p w14:paraId="0640CD85"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North End Waterfront Health</w:t>
      </w:r>
    </w:p>
    <w:p w14:paraId="7F19261A"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North Shore Community Health Center</w:t>
      </w:r>
    </w:p>
    <w:p w14:paraId="02D7BBE5"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Outer Cape Health Services</w:t>
      </w:r>
    </w:p>
    <w:p w14:paraId="294FEAD4"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South Boston Community Health Center</w:t>
      </w:r>
    </w:p>
    <w:p w14:paraId="79F0880D"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South Cove Community Health Center</w:t>
      </w:r>
    </w:p>
    <w:p w14:paraId="1BA0650B"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Southern Jamaica Plain Health Center</w:t>
      </w:r>
    </w:p>
    <w:p w14:paraId="73511675"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Springfield Health Services for the Homeless</w:t>
      </w:r>
    </w:p>
    <w:p w14:paraId="08D780F1"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SSTAR Family Healthcare Center</w:t>
      </w:r>
    </w:p>
    <w:p w14:paraId="4E7A4988"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Upham’s Corner Health Center</w:t>
      </w:r>
    </w:p>
    <w:p w14:paraId="4463D826" w14:textId="77777777" w:rsidR="0065428E" w:rsidRPr="0065428E" w:rsidRDefault="0065428E" w:rsidP="0065428E">
      <w:pPr>
        <w:numPr>
          <w:ilvl w:val="0"/>
          <w:numId w:val="36"/>
        </w:numPr>
        <w:spacing w:after="0" w:line="259" w:lineRule="auto"/>
        <w:rPr>
          <w:rFonts w:ascii="Cambria" w:hAnsi="Cambria"/>
          <w:color w:val="auto"/>
        </w:rPr>
      </w:pPr>
      <w:r w:rsidRPr="0065428E">
        <w:rPr>
          <w:rFonts w:ascii="Cambria" w:hAnsi="Cambria"/>
          <w:color w:val="auto"/>
        </w:rPr>
        <w:t>Whittier Street Health Center</w:t>
      </w:r>
    </w:p>
    <w:p w14:paraId="4567F94E" w14:textId="77777777" w:rsidR="0065428E" w:rsidRDefault="0065428E" w:rsidP="0065428E">
      <w:pPr>
        <w:spacing w:after="0"/>
        <w:rPr>
          <w:rFonts w:ascii="Cambria" w:hAnsi="Cambria"/>
          <w:b/>
          <w:bCs/>
        </w:rPr>
      </w:pPr>
    </w:p>
    <w:p w14:paraId="40D3F476" w14:textId="77777777" w:rsidR="0065428E" w:rsidRPr="0065428E" w:rsidRDefault="0065428E" w:rsidP="0065428E">
      <w:pPr>
        <w:spacing w:after="0"/>
        <w:rPr>
          <w:rFonts w:ascii="Cambria" w:hAnsi="Cambria"/>
          <w:b/>
          <w:bCs/>
          <w:color w:val="auto"/>
        </w:rPr>
      </w:pPr>
      <w:r w:rsidRPr="0065428E">
        <w:rPr>
          <w:rFonts w:ascii="Cambria" w:hAnsi="Cambria"/>
          <w:b/>
          <w:bCs/>
          <w:color w:val="auto"/>
        </w:rPr>
        <w:lastRenderedPageBreak/>
        <w:t>Rural Vaccine Program</w:t>
      </w:r>
    </w:p>
    <w:p w14:paraId="1E562584" w14:textId="77777777" w:rsidR="0065428E" w:rsidRPr="0065428E" w:rsidRDefault="0065428E" w:rsidP="0065428E">
      <w:pPr>
        <w:rPr>
          <w:rFonts w:ascii="Cambria" w:hAnsi="Cambria"/>
          <w:color w:val="auto"/>
        </w:rPr>
      </w:pPr>
      <w:r w:rsidRPr="0065428E">
        <w:rPr>
          <w:rFonts w:ascii="Cambria" w:hAnsi="Cambria"/>
          <w:color w:val="auto"/>
        </w:rPr>
        <w:t>Three community organizations received grants to expand the COVID-19 vaccine equity work in rural communities, in partnership with the New England Rural Health Association, funded with a total of $300,000. With the addition of these grants, the program now funds vaccine equity work serving 143 rural towns.</w:t>
      </w:r>
    </w:p>
    <w:p w14:paraId="69E9F9D7" w14:textId="77777777" w:rsidR="0065428E" w:rsidRPr="0065428E" w:rsidRDefault="0065428E" w:rsidP="0065428E">
      <w:pPr>
        <w:numPr>
          <w:ilvl w:val="0"/>
          <w:numId w:val="37"/>
        </w:numPr>
        <w:spacing w:after="0" w:line="259" w:lineRule="auto"/>
        <w:rPr>
          <w:rFonts w:ascii="Cambria" w:hAnsi="Cambria"/>
          <w:color w:val="auto"/>
        </w:rPr>
      </w:pPr>
      <w:r w:rsidRPr="0065428E">
        <w:rPr>
          <w:rFonts w:ascii="Cambria" w:hAnsi="Cambria"/>
          <w:color w:val="auto"/>
        </w:rPr>
        <w:t>Hilltown CDC</w:t>
      </w:r>
    </w:p>
    <w:p w14:paraId="5022927C" w14:textId="77777777" w:rsidR="0065428E" w:rsidRPr="0065428E" w:rsidRDefault="0065428E" w:rsidP="0065428E">
      <w:pPr>
        <w:numPr>
          <w:ilvl w:val="0"/>
          <w:numId w:val="37"/>
        </w:numPr>
        <w:spacing w:after="0" w:line="259" w:lineRule="auto"/>
        <w:rPr>
          <w:rFonts w:ascii="Cambria" w:hAnsi="Cambria"/>
          <w:color w:val="auto"/>
        </w:rPr>
      </w:pPr>
      <w:r w:rsidRPr="0065428E">
        <w:rPr>
          <w:rFonts w:ascii="Cambria" w:hAnsi="Cambria"/>
          <w:color w:val="auto"/>
        </w:rPr>
        <w:t>Franklin Regional Council of Governments</w:t>
      </w:r>
    </w:p>
    <w:p w14:paraId="595A6FAB" w14:textId="77777777" w:rsidR="0065428E" w:rsidRPr="0065428E" w:rsidRDefault="0065428E" w:rsidP="0065428E">
      <w:pPr>
        <w:numPr>
          <w:ilvl w:val="0"/>
          <w:numId w:val="37"/>
        </w:numPr>
        <w:spacing w:after="0" w:line="259" w:lineRule="auto"/>
        <w:rPr>
          <w:rFonts w:ascii="Cambria" w:hAnsi="Cambria"/>
          <w:color w:val="auto"/>
        </w:rPr>
      </w:pPr>
      <w:r w:rsidRPr="0065428E">
        <w:rPr>
          <w:rFonts w:ascii="Cambria" w:hAnsi="Cambria"/>
          <w:color w:val="auto"/>
        </w:rPr>
        <w:t>Nantucket Board of Health/ Health Imperatives/ Community Foundation for Nantucket</w:t>
      </w:r>
    </w:p>
    <w:p w14:paraId="7D7ADE0A" w14:textId="77777777" w:rsidR="0065428E" w:rsidRPr="0065428E" w:rsidRDefault="0065428E" w:rsidP="0065428E">
      <w:pPr>
        <w:spacing w:after="0"/>
        <w:rPr>
          <w:rFonts w:ascii="Cambria" w:hAnsi="Cambria"/>
          <w:color w:val="auto"/>
        </w:rPr>
      </w:pPr>
    </w:p>
    <w:p w14:paraId="6DA52D8D" w14:textId="77777777" w:rsidR="0065428E" w:rsidRPr="0065428E" w:rsidRDefault="0065428E" w:rsidP="0065428E">
      <w:pPr>
        <w:spacing w:after="0"/>
        <w:rPr>
          <w:rFonts w:ascii="Cambria" w:hAnsi="Cambria"/>
          <w:color w:val="auto"/>
        </w:rPr>
      </w:pPr>
      <w:r w:rsidRPr="0065428E">
        <w:rPr>
          <w:rFonts w:ascii="Cambria" w:hAnsi="Cambria"/>
          <w:color w:val="auto"/>
        </w:rPr>
        <w:t>To date, $975,000 has been awarded to community-based organizations for this work.</w:t>
      </w:r>
    </w:p>
    <w:p w14:paraId="74D1673E" w14:textId="77777777" w:rsidR="0065428E" w:rsidRPr="0065428E" w:rsidRDefault="0065428E" w:rsidP="0065428E">
      <w:pPr>
        <w:spacing w:after="0"/>
        <w:rPr>
          <w:rFonts w:ascii="Cambria" w:hAnsi="Cambria"/>
          <w:color w:val="auto"/>
        </w:rPr>
      </w:pPr>
    </w:p>
    <w:p w14:paraId="20729A74" w14:textId="77777777" w:rsidR="0065428E" w:rsidRPr="0065428E" w:rsidRDefault="0065428E" w:rsidP="0065428E">
      <w:pPr>
        <w:rPr>
          <w:rFonts w:ascii="Cambria" w:hAnsi="Cambria"/>
          <w:b/>
          <w:bCs/>
          <w:color w:val="auto"/>
        </w:rPr>
      </w:pPr>
      <w:r w:rsidRPr="0065428E">
        <w:rPr>
          <w:rFonts w:ascii="Cambria" w:hAnsi="Cambria"/>
          <w:b/>
          <w:bCs/>
          <w:color w:val="auto"/>
        </w:rPr>
        <w:t xml:space="preserve">VEI MUNICIPALITY VACCINATION DATA </w:t>
      </w:r>
    </w:p>
    <w:p w14:paraId="679C2164" w14:textId="77777777" w:rsidR="0065428E" w:rsidRPr="00A57B94" w:rsidRDefault="0065428E" w:rsidP="0065428E">
      <w:pPr>
        <w:spacing w:after="0"/>
        <w:rPr>
          <w:rFonts w:ascii="Cambria" w:hAnsi="Cambria"/>
          <w:highlight w:val="yellow"/>
        </w:rPr>
      </w:pPr>
      <w:r w:rsidRPr="0065428E">
        <w:rPr>
          <w:rFonts w:ascii="Cambria" w:hAnsi="Cambria"/>
          <w:color w:val="auto"/>
        </w:rPr>
        <w:t xml:space="preserve">The VEI publishes the latest vaccination data weekly on an interactive dashboard, available at the following link </w:t>
      </w:r>
      <w:hyperlink r:id="rId16" w:anchor="covid-19-vaccine-equity-initiative-data-dashboard-" w:history="1">
        <w:r w:rsidRPr="436CD84A">
          <w:rPr>
            <w:rStyle w:val="Hyperlink"/>
            <w:rFonts w:ascii="Cambria" w:hAnsi="Cambria"/>
          </w:rPr>
          <w:t>https://www.mass.gov/info-details/covid-19-vaccine-equity-initiative-community-specific-vaccination-data#covid-19-vaccine-equity-initiative-data-dashboard-</w:t>
        </w:r>
      </w:hyperlink>
      <w:r w:rsidRPr="436CD84A">
        <w:rPr>
          <w:rFonts w:ascii="Cambria" w:hAnsi="Cambria"/>
        </w:rPr>
        <w:t xml:space="preserve">. </w:t>
      </w:r>
      <w:r w:rsidRPr="0065428E">
        <w:rPr>
          <w:rFonts w:ascii="Cambria" w:hAnsi="Cambria"/>
          <w:color w:val="auto"/>
        </w:rPr>
        <w:t>The data are publicly available and stratify vaccination rates across sex, age, and race/ethnicity for each of the 20 VEI municipalities, as well as statewide. A snapshot of the VEI Summary Page of the dashboard is shown in Figure2 below with vaccination data as of 5/10/2022.</w:t>
      </w:r>
    </w:p>
    <w:p w14:paraId="6BB9DD94" w14:textId="77777777" w:rsidR="0065428E" w:rsidRDefault="0065428E" w:rsidP="0065428E">
      <w:pPr>
        <w:spacing w:after="0"/>
        <w:rPr>
          <w:rFonts w:ascii="Cambria" w:hAnsi="Cambria"/>
          <w:highlight w:val="yellow"/>
        </w:rPr>
      </w:pPr>
    </w:p>
    <w:p w14:paraId="54767851" w14:textId="77777777" w:rsidR="0065428E" w:rsidRDefault="0065428E" w:rsidP="0065428E">
      <w:pPr>
        <w:spacing w:after="0"/>
        <w:rPr>
          <w:rFonts w:ascii="Cambria" w:hAnsi="Cambria"/>
        </w:rPr>
      </w:pPr>
    </w:p>
    <w:p w14:paraId="5FF29783" w14:textId="77777777" w:rsidR="0065428E" w:rsidRDefault="0065428E" w:rsidP="0065428E">
      <w:pPr>
        <w:spacing w:after="0"/>
        <w:rPr>
          <w:rFonts w:ascii="Cambria" w:hAnsi="Cambria"/>
        </w:rPr>
      </w:pPr>
    </w:p>
    <w:p w14:paraId="78AB5F7E" w14:textId="77777777" w:rsidR="0065428E" w:rsidRDefault="0065428E" w:rsidP="0065428E">
      <w:pPr>
        <w:spacing w:after="0"/>
        <w:rPr>
          <w:rFonts w:ascii="Cambria" w:hAnsi="Cambria"/>
        </w:rPr>
        <w:sectPr w:rsidR="0065428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pPr>
    </w:p>
    <w:p w14:paraId="617B5BFC" w14:textId="54588D62" w:rsidR="0065428E" w:rsidRPr="00A57B94" w:rsidRDefault="0065428E" w:rsidP="0065428E">
      <w:pPr>
        <w:spacing w:after="0"/>
        <w:rPr>
          <w:rFonts w:ascii="Cambria" w:hAnsi="Cambria"/>
        </w:rPr>
      </w:pPr>
      <w:r>
        <w:rPr>
          <w:noProof/>
          <w:color w:val="2B579A"/>
          <w:shd w:val="clear" w:color="auto" w:fill="E6E6E6"/>
        </w:rPr>
        <w:lastRenderedPageBreak/>
        <mc:AlternateContent>
          <mc:Choice Requires="wps">
            <w:drawing>
              <wp:anchor distT="0" distB="0" distL="114300" distR="114300" simplePos="0" relativeHeight="251663360" behindDoc="0" locked="0" layoutInCell="1" allowOverlap="1" wp14:anchorId="16500076" wp14:editId="244DAA12">
                <wp:simplePos x="0" y="0"/>
                <wp:positionH relativeFrom="column">
                  <wp:posOffset>-914400</wp:posOffset>
                </wp:positionH>
                <wp:positionV relativeFrom="paragraph">
                  <wp:posOffset>4072255</wp:posOffset>
                </wp:positionV>
                <wp:extent cx="8229600" cy="635"/>
                <wp:effectExtent l="0" t="0" r="0" b="2540"/>
                <wp:wrapSquare wrapText="bothSides"/>
                <wp:docPr id="4" name="Text Box 4"/>
                <wp:cNvGraphicFramePr/>
                <a:graphic xmlns:a="http://schemas.openxmlformats.org/drawingml/2006/main">
                  <a:graphicData uri="http://schemas.microsoft.com/office/word/2010/wordprocessingShape">
                    <wps:wsp>
                      <wps:cNvSpPr txBox="1"/>
                      <wps:spPr>
                        <a:xfrm>
                          <a:off x="0" y="0"/>
                          <a:ext cx="8229600" cy="635"/>
                        </a:xfrm>
                        <a:prstGeom prst="rect">
                          <a:avLst/>
                        </a:prstGeom>
                        <a:solidFill>
                          <a:prstClr val="white"/>
                        </a:solidFill>
                        <a:ln>
                          <a:noFill/>
                        </a:ln>
                      </wps:spPr>
                      <wps:txbx>
                        <w:txbxContent>
                          <w:p w14:paraId="4A07A92C" w14:textId="77777777" w:rsidR="0065428E" w:rsidRPr="007A2648" w:rsidRDefault="0065428E" w:rsidP="0065428E">
                            <w:pPr>
                              <w:pStyle w:val="Caption"/>
                              <w:rPr>
                                <w:rFonts w:ascii="Cambria" w:hAnsi="Cambria"/>
                                <w:b/>
                                <w:bCs/>
                                <w:color w:val="auto"/>
                              </w:rPr>
                            </w:pPr>
                            <w:r w:rsidRPr="00917689">
                              <w:rPr>
                                <w:b/>
                                <w:bCs/>
                                <w:color w:val="auto"/>
                              </w:rPr>
                              <w:t xml:space="preserve">Figure </w:t>
                            </w:r>
                            <w:r w:rsidRPr="00917689">
                              <w:rPr>
                                <w:b/>
                                <w:bCs/>
                                <w:color w:val="auto"/>
                                <w:shd w:val="clear" w:color="auto" w:fill="E6E6E6"/>
                              </w:rPr>
                              <w:t>2</w:t>
                            </w:r>
                            <w:r w:rsidRPr="007A2648">
                              <w:rPr>
                                <w:b/>
                                <w:bCs/>
                                <w:color w:val="auto"/>
                              </w:rPr>
                              <w:t>: COVID-19 Vaccination rates for the 20 VE</w:t>
                            </w:r>
                            <w:r>
                              <w:rPr>
                                <w:b/>
                                <w:bCs/>
                                <w:color w:val="auto"/>
                              </w:rPr>
                              <w:t>I</w:t>
                            </w:r>
                            <w:r w:rsidRPr="007A2648">
                              <w:rPr>
                                <w:b/>
                                <w:bCs/>
                                <w:color w:val="auto"/>
                              </w:rPr>
                              <w:t xml:space="preserve"> Municipalities compared with MA statewide rates. Data current as of </w:t>
                            </w:r>
                            <w:r>
                              <w:rPr>
                                <w:b/>
                                <w:bCs/>
                                <w:color w:val="auto"/>
                              </w:rPr>
                              <w:t>5</w:t>
                            </w:r>
                            <w:r w:rsidRPr="007A2648">
                              <w:rPr>
                                <w:b/>
                                <w:bCs/>
                                <w:color w:val="auto"/>
                              </w:rPr>
                              <w:t>/</w:t>
                            </w:r>
                            <w:r>
                              <w:rPr>
                                <w:b/>
                                <w:bCs/>
                                <w:color w:val="auto"/>
                              </w:rPr>
                              <w:t>10</w:t>
                            </w:r>
                            <w:r w:rsidRPr="007A2648">
                              <w:rPr>
                                <w:b/>
                                <w:bCs/>
                                <w:color w:val="auto"/>
                              </w:rPr>
                              <w:t>/2022.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6500076" id="Text Box 4" o:spid="_x0000_s1028" type="#_x0000_t202" style="position:absolute;left:0;text-align:left;margin-left:-1in;margin-top:320.65pt;width:9in;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" stroked="f">
                <v:textbox style="mso-fit-shape-to-text:t" inset="0,0,0,0">
                  <w:txbxContent>
                    <w:p w14:paraId="4A07A92C" w14:textId="77777777" w:rsidR="0065428E" w:rsidRPr="007A2648" w:rsidRDefault="0065428E" w:rsidP="0065428E">
                      <w:pPr>
                        <w:pStyle w:val="Caption"/>
                        <w:rPr>
                          <w:rFonts w:ascii="Cambria" w:hAnsi="Cambria"/>
                          <w:b/>
                          <w:bCs/>
                          <w:color w:val="auto"/>
                        </w:rPr>
                      </w:pPr>
                      <w:r w:rsidRPr="00917689">
                        <w:rPr>
                          <w:b/>
                          <w:bCs/>
                          <w:color w:val="auto"/>
                        </w:rPr>
                        <w:t xml:space="preserve">Figure </w:t>
                      </w:r>
                      <w:r w:rsidRPr="00917689">
                        <w:rPr>
                          <w:b/>
                          <w:bCs/>
                          <w:color w:val="auto"/>
                          <w:shd w:val="clear" w:color="auto" w:fill="E6E6E6"/>
                        </w:rPr>
                        <w:t>2</w:t>
                      </w:r>
                      <w:r w:rsidRPr="007A2648">
                        <w:rPr>
                          <w:b/>
                          <w:bCs/>
                          <w:color w:val="auto"/>
                        </w:rPr>
                        <w:t>: COVID-19 Vaccination rates for the 20 VE</w:t>
                      </w:r>
                      <w:r>
                        <w:rPr>
                          <w:b/>
                          <w:bCs/>
                          <w:color w:val="auto"/>
                        </w:rPr>
                        <w:t>I</w:t>
                      </w:r>
                      <w:r w:rsidRPr="007A2648">
                        <w:rPr>
                          <w:b/>
                          <w:bCs/>
                          <w:color w:val="auto"/>
                        </w:rPr>
                        <w:t xml:space="preserve"> Municipalities compared with MA statewide rates. Data current as of </w:t>
                      </w:r>
                      <w:r>
                        <w:rPr>
                          <w:b/>
                          <w:bCs/>
                          <w:color w:val="auto"/>
                        </w:rPr>
                        <w:t>5</w:t>
                      </w:r>
                      <w:r w:rsidRPr="007A2648">
                        <w:rPr>
                          <w:b/>
                          <w:bCs/>
                          <w:color w:val="auto"/>
                        </w:rPr>
                        <w:t>/</w:t>
                      </w:r>
                      <w:r>
                        <w:rPr>
                          <w:b/>
                          <w:bCs/>
                          <w:color w:val="auto"/>
                        </w:rPr>
                        <w:t>10</w:t>
                      </w:r>
                      <w:r w:rsidRPr="007A2648">
                        <w:rPr>
                          <w:b/>
                          <w:bCs/>
                          <w:color w:val="auto"/>
                        </w:rPr>
                        <w:t>/2022.</w:t>
                      </w:r>
                    </w:p>
                  </w:txbxContent>
                </v:textbox>
                <w10:wrap type="square"/>
              </v:shape>
            </w:pict>
          </mc:Fallback>
        </mc:AlternateContent>
      </w:r>
      <w:r w:rsidRPr="008668EA">
        <w:rPr>
          <w:rFonts w:ascii="Cambria" w:hAnsi="Cambria"/>
          <w:noProof/>
          <w:color w:val="2B579A"/>
          <w:shd w:val="clear" w:color="auto" w:fill="E6E6E6"/>
        </w:rPr>
        <w:drawing>
          <wp:anchor distT="0" distB="0" distL="114300" distR="114300" simplePos="0" relativeHeight="251662336" behindDoc="0" locked="0" layoutInCell="1" allowOverlap="1" wp14:anchorId="6D5D8E95" wp14:editId="0179B702">
            <wp:simplePos x="0" y="0"/>
            <wp:positionH relativeFrom="page">
              <wp:posOffset>142875</wp:posOffset>
            </wp:positionH>
            <wp:positionV relativeFrom="paragraph">
              <wp:posOffset>38100</wp:posOffset>
            </wp:positionV>
            <wp:extent cx="7489825" cy="3908320"/>
            <wp:effectExtent l="38100" t="38100" r="34925" b="35560"/>
            <wp:wrapSquare wrapText="bothSides"/>
            <wp:docPr id="1" name="Picture 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pic:nvPicPr>
                  <pic:blipFill>
                    <a:blip r:embed="rId23">
                      <a:extLst>
                        <a:ext uri="{28A0092B-C50C-407E-A947-70E740481C1C}">
                          <a14:useLocalDpi xmlns:a14="http://schemas.microsoft.com/office/drawing/2010/main" val="0"/>
                        </a:ext>
                      </a:extLst>
                    </a:blip>
                    <a:stretch>
                      <a:fillRect/>
                    </a:stretch>
                  </pic:blipFill>
                  <pic:spPr>
                    <a:xfrm>
                      <a:off x="0" y="0"/>
                      <a:ext cx="7489825" cy="3908320"/>
                    </a:xfrm>
                    <a:prstGeom prst="rect">
                      <a:avLst/>
                    </a:prstGeom>
                    <a:ln w="28575">
                      <a:solidFill>
                        <a:schemeClr val="bg1">
                          <a:lumMod val="50000"/>
                        </a:schemeClr>
                      </a:solidFill>
                    </a:ln>
                  </pic:spPr>
                </pic:pic>
              </a:graphicData>
            </a:graphic>
            <wp14:sizeRelH relativeFrom="margin">
              <wp14:pctWidth>0</wp14:pctWidth>
            </wp14:sizeRelH>
            <wp14:sizeRelV relativeFrom="margin">
              <wp14:pctHeight>0</wp14:pctHeight>
            </wp14:sizeRelV>
          </wp:anchor>
        </w:drawing>
      </w:r>
    </w:p>
    <w:p w14:paraId="389490C5" w14:textId="631FC1BE" w:rsidR="007514DA" w:rsidRPr="007514DA" w:rsidRDefault="007514DA" w:rsidP="007514DA"/>
    <w:sectPr w:rsidR="007514DA" w:rsidRPr="007514DA" w:rsidSect="007514DA">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C6256" w14:textId="77777777" w:rsidR="00AA7249" w:rsidRDefault="00AA7249">
      <w:pPr>
        <w:spacing w:after="0" w:line="240" w:lineRule="auto"/>
      </w:pPr>
      <w:r>
        <w:separator/>
      </w:r>
    </w:p>
    <w:p w14:paraId="2E652A47" w14:textId="77777777" w:rsidR="00AA7249" w:rsidRDefault="00AA7249"/>
  </w:endnote>
  <w:endnote w:type="continuationSeparator" w:id="0">
    <w:p w14:paraId="5DE012BE" w14:textId="77777777" w:rsidR="00AA7249" w:rsidRDefault="00AA7249">
      <w:pPr>
        <w:spacing w:after="0" w:line="240" w:lineRule="auto"/>
      </w:pPr>
      <w:r>
        <w:continuationSeparator/>
      </w:r>
    </w:p>
    <w:p w14:paraId="783BFDD4" w14:textId="77777777" w:rsidR="00AA7249" w:rsidRDefault="00AA7249"/>
  </w:endnote>
  <w:endnote w:type="continuationNotice" w:id="1">
    <w:p w14:paraId="11CD1F70" w14:textId="77777777" w:rsidR="00AA7249" w:rsidRDefault="00AA7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dobe Garamond Pro Bold">
    <w:altName w:val="Garamon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6BB5" w14:textId="77777777" w:rsidR="0065428E" w:rsidRDefault="00654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49E7" w14:textId="77777777" w:rsidR="0065428E" w:rsidRDefault="00654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A090" w14:textId="77777777" w:rsidR="0065428E" w:rsidRDefault="006542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5A32" w14:textId="77777777" w:rsidR="00696D06" w:rsidRDefault="00696D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874639"/>
      <w:docPartObj>
        <w:docPartGallery w:val="Page Numbers (Bottom of Page)"/>
        <w:docPartUnique/>
      </w:docPartObj>
    </w:sdtPr>
    <w:sdtEndPr>
      <w:rPr>
        <w:noProof/>
      </w:rPr>
    </w:sdtEndPr>
    <w:sdtContent>
      <w:p w14:paraId="652BC01E" w14:textId="7FF61873"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A82B1B" w14:textId="2B5E5882" w:rsidR="00B979D8" w:rsidRPr="007243EA" w:rsidRDefault="00B979D8" w:rsidP="007243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946580"/>
      <w:docPartObj>
        <w:docPartGallery w:val="Page Numbers (Bottom of Page)"/>
        <w:docPartUnique/>
      </w:docPartObj>
    </w:sdtPr>
    <w:sdtEndPr>
      <w:rPr>
        <w:noProof/>
      </w:rPr>
    </w:sdtEndPr>
    <w:sdtContent>
      <w:p w14:paraId="0EF710D5" w14:textId="31912E7F"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F8745B" w14:textId="77777777" w:rsidR="00696D06" w:rsidRDefault="0069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CCF99" w14:textId="77777777" w:rsidR="00AA7249" w:rsidRDefault="00AA7249">
      <w:pPr>
        <w:spacing w:after="0" w:line="240" w:lineRule="auto"/>
      </w:pPr>
      <w:r>
        <w:separator/>
      </w:r>
    </w:p>
    <w:p w14:paraId="3C04F254" w14:textId="77777777" w:rsidR="00AA7249" w:rsidRDefault="00AA7249"/>
  </w:footnote>
  <w:footnote w:type="continuationSeparator" w:id="0">
    <w:p w14:paraId="0F7E3B7B" w14:textId="77777777" w:rsidR="00AA7249" w:rsidRDefault="00AA7249">
      <w:pPr>
        <w:spacing w:after="0" w:line="240" w:lineRule="auto"/>
      </w:pPr>
      <w:r>
        <w:continuationSeparator/>
      </w:r>
    </w:p>
    <w:p w14:paraId="78BCA9CF" w14:textId="77777777" w:rsidR="00AA7249" w:rsidRDefault="00AA7249"/>
  </w:footnote>
  <w:footnote w:type="continuationNotice" w:id="1">
    <w:p w14:paraId="2C22E12B" w14:textId="77777777" w:rsidR="00AA7249" w:rsidRDefault="00AA72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AE53" w14:textId="77777777" w:rsidR="0065428E" w:rsidRDefault="00654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2C35" w14:textId="77777777" w:rsidR="0065428E" w:rsidRDefault="00654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2198" w14:textId="77777777" w:rsidR="0065428E" w:rsidRDefault="006542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3A36" w14:textId="77777777" w:rsidR="00696D06" w:rsidRDefault="00696D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5961" w14:textId="77777777" w:rsidR="00696D06" w:rsidRDefault="00696D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DADA" w14:textId="77777777" w:rsidR="00696D06" w:rsidRDefault="00696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B2B8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D0BE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F4F2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F413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661F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9E70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24A6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AE6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AC74D8"/>
    <w:lvl w:ilvl="0">
      <w:start w:val="1"/>
      <w:numFmt w:val="decimal"/>
      <w:lvlText w:val="%1."/>
      <w:lvlJc w:val="left"/>
      <w:pPr>
        <w:tabs>
          <w:tab w:val="num" w:pos="360"/>
        </w:tabs>
        <w:ind w:left="360" w:hanging="360"/>
      </w:pPr>
    </w:lvl>
  </w:abstractNum>
  <w:abstractNum w:abstractNumId="9" w15:restartNumberingAfterBreak="0">
    <w:nsid w:val="044E473F"/>
    <w:multiLevelType w:val="multilevel"/>
    <w:tmpl w:val="F77E59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06BD3972"/>
    <w:multiLevelType w:val="hybridMultilevel"/>
    <w:tmpl w:val="1524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C11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E47AA3"/>
    <w:multiLevelType w:val="hybridMultilevel"/>
    <w:tmpl w:val="068C9E88"/>
    <w:lvl w:ilvl="0" w:tplc="61F8BE1A">
      <w:start w:val="1"/>
      <w:numFmt w:val="bullet"/>
      <w:lvlText w:val=""/>
      <w:lvlJc w:val="left"/>
      <w:pPr>
        <w:tabs>
          <w:tab w:val="num" w:pos="720"/>
        </w:tabs>
        <w:ind w:left="720" w:hanging="360"/>
      </w:pPr>
      <w:rPr>
        <w:rFonts w:ascii="Wingdings" w:hAnsi="Wingdings" w:hint="default"/>
      </w:rPr>
    </w:lvl>
    <w:lvl w:ilvl="1" w:tplc="95AA1C4E">
      <w:start w:val="1"/>
      <w:numFmt w:val="bullet"/>
      <w:lvlText w:val=""/>
      <w:lvlJc w:val="left"/>
      <w:pPr>
        <w:tabs>
          <w:tab w:val="num" w:pos="1440"/>
        </w:tabs>
        <w:ind w:left="1440" w:hanging="360"/>
      </w:pPr>
      <w:rPr>
        <w:rFonts w:ascii="Wingdings" w:hAnsi="Wingdings" w:hint="default"/>
      </w:rPr>
    </w:lvl>
    <w:lvl w:ilvl="2" w:tplc="34C00872" w:tentative="1">
      <w:start w:val="1"/>
      <w:numFmt w:val="bullet"/>
      <w:lvlText w:val=""/>
      <w:lvlJc w:val="left"/>
      <w:pPr>
        <w:tabs>
          <w:tab w:val="num" w:pos="2160"/>
        </w:tabs>
        <w:ind w:left="2160" w:hanging="360"/>
      </w:pPr>
      <w:rPr>
        <w:rFonts w:ascii="Wingdings" w:hAnsi="Wingdings" w:hint="default"/>
      </w:rPr>
    </w:lvl>
    <w:lvl w:ilvl="3" w:tplc="76E24E50" w:tentative="1">
      <w:start w:val="1"/>
      <w:numFmt w:val="bullet"/>
      <w:lvlText w:val=""/>
      <w:lvlJc w:val="left"/>
      <w:pPr>
        <w:tabs>
          <w:tab w:val="num" w:pos="2880"/>
        </w:tabs>
        <w:ind w:left="2880" w:hanging="360"/>
      </w:pPr>
      <w:rPr>
        <w:rFonts w:ascii="Wingdings" w:hAnsi="Wingdings" w:hint="default"/>
      </w:rPr>
    </w:lvl>
    <w:lvl w:ilvl="4" w:tplc="C53E56CA" w:tentative="1">
      <w:start w:val="1"/>
      <w:numFmt w:val="bullet"/>
      <w:lvlText w:val=""/>
      <w:lvlJc w:val="left"/>
      <w:pPr>
        <w:tabs>
          <w:tab w:val="num" w:pos="3600"/>
        </w:tabs>
        <w:ind w:left="3600" w:hanging="360"/>
      </w:pPr>
      <w:rPr>
        <w:rFonts w:ascii="Wingdings" w:hAnsi="Wingdings" w:hint="default"/>
      </w:rPr>
    </w:lvl>
    <w:lvl w:ilvl="5" w:tplc="D86421CC" w:tentative="1">
      <w:start w:val="1"/>
      <w:numFmt w:val="bullet"/>
      <w:lvlText w:val=""/>
      <w:lvlJc w:val="left"/>
      <w:pPr>
        <w:tabs>
          <w:tab w:val="num" w:pos="4320"/>
        </w:tabs>
        <w:ind w:left="4320" w:hanging="360"/>
      </w:pPr>
      <w:rPr>
        <w:rFonts w:ascii="Wingdings" w:hAnsi="Wingdings" w:hint="default"/>
      </w:rPr>
    </w:lvl>
    <w:lvl w:ilvl="6" w:tplc="0980BA76" w:tentative="1">
      <w:start w:val="1"/>
      <w:numFmt w:val="bullet"/>
      <w:lvlText w:val=""/>
      <w:lvlJc w:val="left"/>
      <w:pPr>
        <w:tabs>
          <w:tab w:val="num" w:pos="5040"/>
        </w:tabs>
        <w:ind w:left="5040" w:hanging="360"/>
      </w:pPr>
      <w:rPr>
        <w:rFonts w:ascii="Wingdings" w:hAnsi="Wingdings" w:hint="default"/>
      </w:rPr>
    </w:lvl>
    <w:lvl w:ilvl="7" w:tplc="B4FCDBD4" w:tentative="1">
      <w:start w:val="1"/>
      <w:numFmt w:val="bullet"/>
      <w:lvlText w:val=""/>
      <w:lvlJc w:val="left"/>
      <w:pPr>
        <w:tabs>
          <w:tab w:val="num" w:pos="5760"/>
        </w:tabs>
        <w:ind w:left="5760" w:hanging="360"/>
      </w:pPr>
      <w:rPr>
        <w:rFonts w:ascii="Wingdings" w:hAnsi="Wingdings" w:hint="default"/>
      </w:rPr>
    </w:lvl>
    <w:lvl w:ilvl="8" w:tplc="DC7870E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A42D8"/>
    <w:multiLevelType w:val="multilevel"/>
    <w:tmpl w:val="3D7E6C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571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753A97"/>
    <w:multiLevelType w:val="multilevel"/>
    <w:tmpl w:val="DE285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9D65E7"/>
    <w:multiLevelType w:val="hybridMultilevel"/>
    <w:tmpl w:val="560ED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D14AC6"/>
    <w:multiLevelType w:val="hybridMultilevel"/>
    <w:tmpl w:val="911A3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DA81F50"/>
    <w:multiLevelType w:val="hybridMultilevel"/>
    <w:tmpl w:val="9B92A9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BD6F16"/>
    <w:multiLevelType w:val="hybridMultilevel"/>
    <w:tmpl w:val="CDB2D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2" w15:restartNumberingAfterBreak="0">
    <w:nsid w:val="4E04401C"/>
    <w:multiLevelType w:val="hybridMultilevel"/>
    <w:tmpl w:val="7382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84656"/>
    <w:multiLevelType w:val="hybridMultilevel"/>
    <w:tmpl w:val="438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4452E"/>
    <w:multiLevelType w:val="hybridMultilevel"/>
    <w:tmpl w:val="51D4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87A52"/>
    <w:multiLevelType w:val="hybridMultilevel"/>
    <w:tmpl w:val="DAC0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2313B"/>
    <w:multiLevelType w:val="hybridMultilevel"/>
    <w:tmpl w:val="B65E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C39FA"/>
    <w:multiLevelType w:val="hybridMultilevel"/>
    <w:tmpl w:val="B48C0BE2"/>
    <w:lvl w:ilvl="0" w:tplc="3CEEC560">
      <w:start w:val="1"/>
      <w:numFmt w:val="bullet"/>
      <w:lvlText w:val="•"/>
      <w:lvlJc w:val="left"/>
      <w:pPr>
        <w:tabs>
          <w:tab w:val="num" w:pos="720"/>
        </w:tabs>
        <w:ind w:left="720" w:hanging="360"/>
      </w:pPr>
      <w:rPr>
        <w:rFonts w:ascii="Arial" w:hAnsi="Arial" w:hint="default"/>
      </w:rPr>
    </w:lvl>
    <w:lvl w:ilvl="1" w:tplc="6E261CAC" w:tentative="1">
      <w:start w:val="1"/>
      <w:numFmt w:val="bullet"/>
      <w:lvlText w:val="•"/>
      <w:lvlJc w:val="left"/>
      <w:pPr>
        <w:tabs>
          <w:tab w:val="num" w:pos="1440"/>
        </w:tabs>
        <w:ind w:left="1440" w:hanging="360"/>
      </w:pPr>
      <w:rPr>
        <w:rFonts w:ascii="Arial" w:hAnsi="Arial" w:hint="default"/>
      </w:rPr>
    </w:lvl>
    <w:lvl w:ilvl="2" w:tplc="3EE41DC2" w:tentative="1">
      <w:start w:val="1"/>
      <w:numFmt w:val="bullet"/>
      <w:lvlText w:val="•"/>
      <w:lvlJc w:val="left"/>
      <w:pPr>
        <w:tabs>
          <w:tab w:val="num" w:pos="2160"/>
        </w:tabs>
        <w:ind w:left="2160" w:hanging="360"/>
      </w:pPr>
      <w:rPr>
        <w:rFonts w:ascii="Arial" w:hAnsi="Arial" w:hint="default"/>
      </w:rPr>
    </w:lvl>
    <w:lvl w:ilvl="3" w:tplc="FAD44BAC" w:tentative="1">
      <w:start w:val="1"/>
      <w:numFmt w:val="bullet"/>
      <w:lvlText w:val="•"/>
      <w:lvlJc w:val="left"/>
      <w:pPr>
        <w:tabs>
          <w:tab w:val="num" w:pos="2880"/>
        </w:tabs>
        <w:ind w:left="2880" w:hanging="360"/>
      </w:pPr>
      <w:rPr>
        <w:rFonts w:ascii="Arial" w:hAnsi="Arial" w:hint="default"/>
      </w:rPr>
    </w:lvl>
    <w:lvl w:ilvl="4" w:tplc="92B4869C" w:tentative="1">
      <w:start w:val="1"/>
      <w:numFmt w:val="bullet"/>
      <w:lvlText w:val="•"/>
      <w:lvlJc w:val="left"/>
      <w:pPr>
        <w:tabs>
          <w:tab w:val="num" w:pos="3600"/>
        </w:tabs>
        <w:ind w:left="3600" w:hanging="360"/>
      </w:pPr>
      <w:rPr>
        <w:rFonts w:ascii="Arial" w:hAnsi="Arial" w:hint="default"/>
      </w:rPr>
    </w:lvl>
    <w:lvl w:ilvl="5" w:tplc="6F4AFE76" w:tentative="1">
      <w:start w:val="1"/>
      <w:numFmt w:val="bullet"/>
      <w:lvlText w:val="•"/>
      <w:lvlJc w:val="left"/>
      <w:pPr>
        <w:tabs>
          <w:tab w:val="num" w:pos="4320"/>
        </w:tabs>
        <w:ind w:left="4320" w:hanging="360"/>
      </w:pPr>
      <w:rPr>
        <w:rFonts w:ascii="Arial" w:hAnsi="Arial" w:hint="default"/>
      </w:rPr>
    </w:lvl>
    <w:lvl w:ilvl="6" w:tplc="A7527600" w:tentative="1">
      <w:start w:val="1"/>
      <w:numFmt w:val="bullet"/>
      <w:lvlText w:val="•"/>
      <w:lvlJc w:val="left"/>
      <w:pPr>
        <w:tabs>
          <w:tab w:val="num" w:pos="5040"/>
        </w:tabs>
        <w:ind w:left="5040" w:hanging="360"/>
      </w:pPr>
      <w:rPr>
        <w:rFonts w:ascii="Arial" w:hAnsi="Arial" w:hint="default"/>
      </w:rPr>
    </w:lvl>
    <w:lvl w:ilvl="7" w:tplc="61485C88" w:tentative="1">
      <w:start w:val="1"/>
      <w:numFmt w:val="bullet"/>
      <w:lvlText w:val="•"/>
      <w:lvlJc w:val="left"/>
      <w:pPr>
        <w:tabs>
          <w:tab w:val="num" w:pos="5760"/>
        </w:tabs>
        <w:ind w:left="5760" w:hanging="360"/>
      </w:pPr>
      <w:rPr>
        <w:rFonts w:ascii="Arial" w:hAnsi="Arial" w:hint="default"/>
      </w:rPr>
    </w:lvl>
    <w:lvl w:ilvl="8" w:tplc="376A298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E2B3F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44377E2"/>
    <w:multiLevelType w:val="multilevel"/>
    <w:tmpl w:val="B726C6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E338CB"/>
    <w:multiLevelType w:val="hybridMultilevel"/>
    <w:tmpl w:val="E0B669B2"/>
    <w:lvl w:ilvl="0" w:tplc="345C1828">
      <w:start w:val="1"/>
      <w:numFmt w:val="bullet"/>
      <w:lvlText w:val="•"/>
      <w:lvlJc w:val="left"/>
      <w:pPr>
        <w:tabs>
          <w:tab w:val="num" w:pos="720"/>
        </w:tabs>
        <w:ind w:left="720" w:hanging="360"/>
      </w:pPr>
      <w:rPr>
        <w:rFonts w:ascii="Arial" w:hAnsi="Arial" w:hint="default"/>
      </w:rPr>
    </w:lvl>
    <w:lvl w:ilvl="1" w:tplc="0EF89790">
      <w:start w:val="1"/>
      <w:numFmt w:val="bullet"/>
      <w:lvlText w:val="•"/>
      <w:lvlJc w:val="left"/>
      <w:pPr>
        <w:tabs>
          <w:tab w:val="num" w:pos="1440"/>
        </w:tabs>
        <w:ind w:left="1440" w:hanging="360"/>
      </w:pPr>
      <w:rPr>
        <w:rFonts w:ascii="Arial" w:hAnsi="Arial" w:hint="default"/>
      </w:rPr>
    </w:lvl>
    <w:lvl w:ilvl="2" w:tplc="E7987056" w:tentative="1">
      <w:start w:val="1"/>
      <w:numFmt w:val="bullet"/>
      <w:lvlText w:val="•"/>
      <w:lvlJc w:val="left"/>
      <w:pPr>
        <w:tabs>
          <w:tab w:val="num" w:pos="2160"/>
        </w:tabs>
        <w:ind w:left="2160" w:hanging="360"/>
      </w:pPr>
      <w:rPr>
        <w:rFonts w:ascii="Arial" w:hAnsi="Arial" w:hint="default"/>
      </w:rPr>
    </w:lvl>
    <w:lvl w:ilvl="3" w:tplc="21528AC4" w:tentative="1">
      <w:start w:val="1"/>
      <w:numFmt w:val="bullet"/>
      <w:lvlText w:val="•"/>
      <w:lvlJc w:val="left"/>
      <w:pPr>
        <w:tabs>
          <w:tab w:val="num" w:pos="2880"/>
        </w:tabs>
        <w:ind w:left="2880" w:hanging="360"/>
      </w:pPr>
      <w:rPr>
        <w:rFonts w:ascii="Arial" w:hAnsi="Arial" w:hint="default"/>
      </w:rPr>
    </w:lvl>
    <w:lvl w:ilvl="4" w:tplc="F9D872EC" w:tentative="1">
      <w:start w:val="1"/>
      <w:numFmt w:val="bullet"/>
      <w:lvlText w:val="•"/>
      <w:lvlJc w:val="left"/>
      <w:pPr>
        <w:tabs>
          <w:tab w:val="num" w:pos="3600"/>
        </w:tabs>
        <w:ind w:left="3600" w:hanging="360"/>
      </w:pPr>
      <w:rPr>
        <w:rFonts w:ascii="Arial" w:hAnsi="Arial" w:hint="default"/>
      </w:rPr>
    </w:lvl>
    <w:lvl w:ilvl="5" w:tplc="32D45E92" w:tentative="1">
      <w:start w:val="1"/>
      <w:numFmt w:val="bullet"/>
      <w:lvlText w:val="•"/>
      <w:lvlJc w:val="left"/>
      <w:pPr>
        <w:tabs>
          <w:tab w:val="num" w:pos="4320"/>
        </w:tabs>
        <w:ind w:left="4320" w:hanging="360"/>
      </w:pPr>
      <w:rPr>
        <w:rFonts w:ascii="Arial" w:hAnsi="Arial" w:hint="default"/>
      </w:rPr>
    </w:lvl>
    <w:lvl w:ilvl="6" w:tplc="5B60FB72" w:tentative="1">
      <w:start w:val="1"/>
      <w:numFmt w:val="bullet"/>
      <w:lvlText w:val="•"/>
      <w:lvlJc w:val="left"/>
      <w:pPr>
        <w:tabs>
          <w:tab w:val="num" w:pos="5040"/>
        </w:tabs>
        <w:ind w:left="5040" w:hanging="360"/>
      </w:pPr>
      <w:rPr>
        <w:rFonts w:ascii="Arial" w:hAnsi="Arial" w:hint="default"/>
      </w:rPr>
    </w:lvl>
    <w:lvl w:ilvl="7" w:tplc="E4A07C6C" w:tentative="1">
      <w:start w:val="1"/>
      <w:numFmt w:val="bullet"/>
      <w:lvlText w:val="•"/>
      <w:lvlJc w:val="left"/>
      <w:pPr>
        <w:tabs>
          <w:tab w:val="num" w:pos="5760"/>
        </w:tabs>
        <w:ind w:left="5760" w:hanging="360"/>
      </w:pPr>
      <w:rPr>
        <w:rFonts w:ascii="Arial" w:hAnsi="Arial" w:hint="default"/>
      </w:rPr>
    </w:lvl>
    <w:lvl w:ilvl="8" w:tplc="DFDED8F0"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0"/>
  </w:num>
  <w:num w:numId="3">
    <w:abstractNumId w:val="1"/>
  </w:num>
  <w:num w:numId="4">
    <w:abstractNumId w:val="2"/>
  </w:num>
  <w:num w:numId="5">
    <w:abstractNumId w:val="3"/>
  </w:num>
  <w:num w:numId="6">
    <w:abstractNumId w:val="28"/>
  </w:num>
  <w:num w:numId="7">
    <w:abstractNumId w:val="4"/>
  </w:num>
  <w:num w:numId="8">
    <w:abstractNumId w:val="5"/>
  </w:num>
  <w:num w:numId="9">
    <w:abstractNumId w:val="6"/>
  </w:num>
  <w:num w:numId="10">
    <w:abstractNumId w:val="7"/>
  </w:num>
  <w:num w:numId="11">
    <w:abstractNumId w:val="10"/>
  </w:num>
  <w:num w:numId="12">
    <w:abstractNumId w:val="29"/>
  </w:num>
  <w:num w:numId="13">
    <w:abstractNumId w:val="12"/>
  </w:num>
  <w:num w:numId="14">
    <w:abstractNumId w:val="1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2"/>
  </w:num>
  <w:num w:numId="23">
    <w:abstractNumId w:val="13"/>
  </w:num>
  <w:num w:numId="24">
    <w:abstractNumId w:val="26"/>
  </w:num>
  <w:num w:numId="25">
    <w:abstractNumId w:val="28"/>
  </w:num>
  <w:num w:numId="26">
    <w:abstractNumId w:val="25"/>
  </w:num>
  <w:num w:numId="27">
    <w:abstractNumId w:val="16"/>
  </w:num>
  <w:num w:numId="28">
    <w:abstractNumId w:val="23"/>
  </w:num>
  <w:num w:numId="29">
    <w:abstractNumId w:val="19"/>
  </w:num>
  <w:num w:numId="30">
    <w:abstractNumId w:val="31"/>
  </w:num>
  <w:num w:numId="31">
    <w:abstractNumId w:val="27"/>
  </w:num>
  <w:num w:numId="32">
    <w:abstractNumId w:val="18"/>
  </w:num>
  <w:num w:numId="33">
    <w:abstractNumId w:val="20"/>
  </w:num>
  <w:num w:numId="34">
    <w:abstractNumId w:val="17"/>
  </w:num>
  <w:num w:numId="35">
    <w:abstractNumId w:val="9"/>
  </w:num>
  <w:num w:numId="36">
    <w:abstractNumId w:val="14"/>
  </w:num>
  <w:num w:numId="37">
    <w:abstractNumId w:val="30"/>
  </w:num>
  <w:num w:numId="38">
    <w:abstractNumId w:val="1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B0"/>
    <w:rsid w:val="000342FF"/>
    <w:rsid w:val="000410CD"/>
    <w:rsid w:val="00044BDF"/>
    <w:rsid w:val="00051678"/>
    <w:rsid w:val="000518F5"/>
    <w:rsid w:val="0005521F"/>
    <w:rsid w:val="000621AC"/>
    <w:rsid w:val="00080C63"/>
    <w:rsid w:val="0008309B"/>
    <w:rsid w:val="000860B0"/>
    <w:rsid w:val="000943B0"/>
    <w:rsid w:val="000954A7"/>
    <w:rsid w:val="000A22DD"/>
    <w:rsid w:val="000A3543"/>
    <w:rsid w:val="000B208B"/>
    <w:rsid w:val="000B71B7"/>
    <w:rsid w:val="000C47C7"/>
    <w:rsid w:val="000D1F66"/>
    <w:rsid w:val="000D3390"/>
    <w:rsid w:val="000D6E16"/>
    <w:rsid w:val="000E4F51"/>
    <w:rsid w:val="001076EB"/>
    <w:rsid w:val="00116A35"/>
    <w:rsid w:val="001334AC"/>
    <w:rsid w:val="001431BE"/>
    <w:rsid w:val="00162229"/>
    <w:rsid w:val="00164BBD"/>
    <w:rsid w:val="00167A04"/>
    <w:rsid w:val="001800F8"/>
    <w:rsid w:val="00193014"/>
    <w:rsid w:val="00194545"/>
    <w:rsid w:val="00195052"/>
    <w:rsid w:val="00196C02"/>
    <w:rsid w:val="001B485C"/>
    <w:rsid w:val="001B657C"/>
    <w:rsid w:val="00201F3C"/>
    <w:rsid w:val="0020325F"/>
    <w:rsid w:val="00214106"/>
    <w:rsid w:val="002225BE"/>
    <w:rsid w:val="00222974"/>
    <w:rsid w:val="002300C7"/>
    <w:rsid w:val="00242F21"/>
    <w:rsid w:val="002505BB"/>
    <w:rsid w:val="00250D15"/>
    <w:rsid w:val="00254BA0"/>
    <w:rsid w:val="00255F48"/>
    <w:rsid w:val="00266A47"/>
    <w:rsid w:val="0028345A"/>
    <w:rsid w:val="0028456B"/>
    <w:rsid w:val="00294C3F"/>
    <w:rsid w:val="002A0CCA"/>
    <w:rsid w:val="002A646D"/>
    <w:rsid w:val="002C1552"/>
    <w:rsid w:val="002E56A6"/>
    <w:rsid w:val="00303660"/>
    <w:rsid w:val="003036A5"/>
    <w:rsid w:val="00313951"/>
    <w:rsid w:val="00315943"/>
    <w:rsid w:val="00315E05"/>
    <w:rsid w:val="00324D69"/>
    <w:rsid w:val="0033370F"/>
    <w:rsid w:val="00333A0A"/>
    <w:rsid w:val="00345824"/>
    <w:rsid w:val="0034617C"/>
    <w:rsid w:val="00354471"/>
    <w:rsid w:val="00355671"/>
    <w:rsid w:val="00356102"/>
    <w:rsid w:val="00356130"/>
    <w:rsid w:val="00365D2C"/>
    <w:rsid w:val="00372FF5"/>
    <w:rsid w:val="00377541"/>
    <w:rsid w:val="00385C5B"/>
    <w:rsid w:val="00390CA0"/>
    <w:rsid w:val="00392CDD"/>
    <w:rsid w:val="003A02E7"/>
    <w:rsid w:val="003A2C40"/>
    <w:rsid w:val="003A4826"/>
    <w:rsid w:val="003A6A4F"/>
    <w:rsid w:val="003B0C99"/>
    <w:rsid w:val="003D34A8"/>
    <w:rsid w:val="003F03FE"/>
    <w:rsid w:val="003F2336"/>
    <w:rsid w:val="003F397A"/>
    <w:rsid w:val="003F3D12"/>
    <w:rsid w:val="003F5B41"/>
    <w:rsid w:val="0040265D"/>
    <w:rsid w:val="00412EFD"/>
    <w:rsid w:val="0042161B"/>
    <w:rsid w:val="004343C1"/>
    <w:rsid w:val="0044184C"/>
    <w:rsid w:val="00481C91"/>
    <w:rsid w:val="00493BB9"/>
    <w:rsid w:val="004A1C57"/>
    <w:rsid w:val="004C0D7C"/>
    <w:rsid w:val="004C1BC6"/>
    <w:rsid w:val="004C2C7A"/>
    <w:rsid w:val="004C5C3E"/>
    <w:rsid w:val="004D1DBF"/>
    <w:rsid w:val="004D71E1"/>
    <w:rsid w:val="004E45A6"/>
    <w:rsid w:val="004F6492"/>
    <w:rsid w:val="00503F4E"/>
    <w:rsid w:val="00521179"/>
    <w:rsid w:val="005271B7"/>
    <w:rsid w:val="00533497"/>
    <w:rsid w:val="005353F4"/>
    <w:rsid w:val="00543D58"/>
    <w:rsid w:val="005469A8"/>
    <w:rsid w:val="0055429E"/>
    <w:rsid w:val="00555410"/>
    <w:rsid w:val="00557710"/>
    <w:rsid w:val="00565F65"/>
    <w:rsid w:val="005678C8"/>
    <w:rsid w:val="00567C7E"/>
    <w:rsid w:val="00570634"/>
    <w:rsid w:val="00584811"/>
    <w:rsid w:val="00587168"/>
    <w:rsid w:val="00594550"/>
    <w:rsid w:val="005A616C"/>
    <w:rsid w:val="005A71F7"/>
    <w:rsid w:val="005B7AF3"/>
    <w:rsid w:val="005C13EC"/>
    <w:rsid w:val="005C1775"/>
    <w:rsid w:val="005C7BF4"/>
    <w:rsid w:val="005D4893"/>
    <w:rsid w:val="005E5750"/>
    <w:rsid w:val="005F0267"/>
    <w:rsid w:val="005F7F0E"/>
    <w:rsid w:val="00602EF6"/>
    <w:rsid w:val="00617798"/>
    <w:rsid w:val="0062370B"/>
    <w:rsid w:val="00623816"/>
    <w:rsid w:val="0062427B"/>
    <w:rsid w:val="006262E9"/>
    <w:rsid w:val="00631EDD"/>
    <w:rsid w:val="00641BF7"/>
    <w:rsid w:val="00645432"/>
    <w:rsid w:val="0065428E"/>
    <w:rsid w:val="00661ECA"/>
    <w:rsid w:val="006743E5"/>
    <w:rsid w:val="006763A7"/>
    <w:rsid w:val="00696D06"/>
    <w:rsid w:val="006A73F5"/>
    <w:rsid w:val="006B0861"/>
    <w:rsid w:val="006B38ED"/>
    <w:rsid w:val="006B6735"/>
    <w:rsid w:val="006B6AF4"/>
    <w:rsid w:val="006B7C8E"/>
    <w:rsid w:val="006D4210"/>
    <w:rsid w:val="006E28AC"/>
    <w:rsid w:val="006E294B"/>
    <w:rsid w:val="006E3714"/>
    <w:rsid w:val="006F3B18"/>
    <w:rsid w:val="006F64FF"/>
    <w:rsid w:val="007002A7"/>
    <w:rsid w:val="00701034"/>
    <w:rsid w:val="00706C59"/>
    <w:rsid w:val="00712491"/>
    <w:rsid w:val="00721951"/>
    <w:rsid w:val="00721AE6"/>
    <w:rsid w:val="00723AF4"/>
    <w:rsid w:val="007243EA"/>
    <w:rsid w:val="00725B51"/>
    <w:rsid w:val="00727612"/>
    <w:rsid w:val="00727BF9"/>
    <w:rsid w:val="00740829"/>
    <w:rsid w:val="007423C1"/>
    <w:rsid w:val="007514DA"/>
    <w:rsid w:val="007702C8"/>
    <w:rsid w:val="00775E93"/>
    <w:rsid w:val="00777CF5"/>
    <w:rsid w:val="00784F1C"/>
    <w:rsid w:val="0078789A"/>
    <w:rsid w:val="00793758"/>
    <w:rsid w:val="007A06AE"/>
    <w:rsid w:val="007A30F8"/>
    <w:rsid w:val="007A5046"/>
    <w:rsid w:val="007B0D06"/>
    <w:rsid w:val="007C6DC4"/>
    <w:rsid w:val="007D2544"/>
    <w:rsid w:val="007D685B"/>
    <w:rsid w:val="007E20B1"/>
    <w:rsid w:val="007F33A1"/>
    <w:rsid w:val="00801FEA"/>
    <w:rsid w:val="00803090"/>
    <w:rsid w:val="00807F4F"/>
    <w:rsid w:val="00814746"/>
    <w:rsid w:val="00816F0C"/>
    <w:rsid w:val="00824AD3"/>
    <w:rsid w:val="008271B8"/>
    <w:rsid w:val="00851BEE"/>
    <w:rsid w:val="0086383F"/>
    <w:rsid w:val="00873933"/>
    <w:rsid w:val="008855CF"/>
    <w:rsid w:val="00885BBA"/>
    <w:rsid w:val="00887258"/>
    <w:rsid w:val="00890363"/>
    <w:rsid w:val="00890F29"/>
    <w:rsid w:val="008B09BC"/>
    <w:rsid w:val="008C13B8"/>
    <w:rsid w:val="008C405C"/>
    <w:rsid w:val="008D26F0"/>
    <w:rsid w:val="008D6379"/>
    <w:rsid w:val="008D647C"/>
    <w:rsid w:val="008E3D06"/>
    <w:rsid w:val="0091137D"/>
    <w:rsid w:val="00912F88"/>
    <w:rsid w:val="00917394"/>
    <w:rsid w:val="00917E87"/>
    <w:rsid w:val="009233DD"/>
    <w:rsid w:val="00940479"/>
    <w:rsid w:val="00940D02"/>
    <w:rsid w:val="00954A94"/>
    <w:rsid w:val="00954F3F"/>
    <w:rsid w:val="00956965"/>
    <w:rsid w:val="00960A81"/>
    <w:rsid w:val="009749FF"/>
    <w:rsid w:val="009866E2"/>
    <w:rsid w:val="00987B15"/>
    <w:rsid w:val="00990381"/>
    <w:rsid w:val="00992B64"/>
    <w:rsid w:val="00995A54"/>
    <w:rsid w:val="009A0A96"/>
    <w:rsid w:val="009A7A9B"/>
    <w:rsid w:val="009A7BF0"/>
    <w:rsid w:val="009B6728"/>
    <w:rsid w:val="009D594E"/>
    <w:rsid w:val="009F6025"/>
    <w:rsid w:val="00A11879"/>
    <w:rsid w:val="00A253FF"/>
    <w:rsid w:val="00A40744"/>
    <w:rsid w:val="00A43EF6"/>
    <w:rsid w:val="00A53CDE"/>
    <w:rsid w:val="00A65967"/>
    <w:rsid w:val="00A84ED0"/>
    <w:rsid w:val="00A95B48"/>
    <w:rsid w:val="00AA1698"/>
    <w:rsid w:val="00AA7249"/>
    <w:rsid w:val="00AD3500"/>
    <w:rsid w:val="00AD3B02"/>
    <w:rsid w:val="00AD5BB1"/>
    <w:rsid w:val="00AD7F17"/>
    <w:rsid w:val="00AE12AD"/>
    <w:rsid w:val="00AE3359"/>
    <w:rsid w:val="00AF089D"/>
    <w:rsid w:val="00AF1C31"/>
    <w:rsid w:val="00AF3C1E"/>
    <w:rsid w:val="00AF6D49"/>
    <w:rsid w:val="00B02CB7"/>
    <w:rsid w:val="00B10F4B"/>
    <w:rsid w:val="00B11621"/>
    <w:rsid w:val="00B16D5E"/>
    <w:rsid w:val="00B33EE4"/>
    <w:rsid w:val="00B34A1C"/>
    <w:rsid w:val="00B425F4"/>
    <w:rsid w:val="00B46F3B"/>
    <w:rsid w:val="00B51EB3"/>
    <w:rsid w:val="00B520C8"/>
    <w:rsid w:val="00B52DDF"/>
    <w:rsid w:val="00B801ED"/>
    <w:rsid w:val="00B84AEE"/>
    <w:rsid w:val="00B919CB"/>
    <w:rsid w:val="00B979D8"/>
    <w:rsid w:val="00BA3B38"/>
    <w:rsid w:val="00BB1F80"/>
    <w:rsid w:val="00BB7054"/>
    <w:rsid w:val="00BC4D97"/>
    <w:rsid w:val="00BC6EDD"/>
    <w:rsid w:val="00BD6292"/>
    <w:rsid w:val="00BF5125"/>
    <w:rsid w:val="00BF7EFF"/>
    <w:rsid w:val="00C04001"/>
    <w:rsid w:val="00C06A0B"/>
    <w:rsid w:val="00C11863"/>
    <w:rsid w:val="00C11B7B"/>
    <w:rsid w:val="00C3010C"/>
    <w:rsid w:val="00C337CF"/>
    <w:rsid w:val="00C870E5"/>
    <w:rsid w:val="00C97725"/>
    <w:rsid w:val="00CB4F2C"/>
    <w:rsid w:val="00CB5DB9"/>
    <w:rsid w:val="00CC6B4E"/>
    <w:rsid w:val="00CD1688"/>
    <w:rsid w:val="00CD3B2A"/>
    <w:rsid w:val="00CE5DE5"/>
    <w:rsid w:val="00CE6078"/>
    <w:rsid w:val="00CF4331"/>
    <w:rsid w:val="00CF7C37"/>
    <w:rsid w:val="00CF7F3E"/>
    <w:rsid w:val="00D01F8A"/>
    <w:rsid w:val="00D0530C"/>
    <w:rsid w:val="00D05321"/>
    <w:rsid w:val="00D144BA"/>
    <w:rsid w:val="00D178EB"/>
    <w:rsid w:val="00D23922"/>
    <w:rsid w:val="00D30E4D"/>
    <w:rsid w:val="00D43A4E"/>
    <w:rsid w:val="00D52909"/>
    <w:rsid w:val="00D61FA3"/>
    <w:rsid w:val="00D624DA"/>
    <w:rsid w:val="00D64309"/>
    <w:rsid w:val="00D9405C"/>
    <w:rsid w:val="00D95B27"/>
    <w:rsid w:val="00DA48B0"/>
    <w:rsid w:val="00DB049F"/>
    <w:rsid w:val="00DB445C"/>
    <w:rsid w:val="00DB66DB"/>
    <w:rsid w:val="00DC21EC"/>
    <w:rsid w:val="00DC2870"/>
    <w:rsid w:val="00DF203E"/>
    <w:rsid w:val="00DF6AAC"/>
    <w:rsid w:val="00E05FB5"/>
    <w:rsid w:val="00E129F9"/>
    <w:rsid w:val="00E2629A"/>
    <w:rsid w:val="00E3308E"/>
    <w:rsid w:val="00E43A8E"/>
    <w:rsid w:val="00E50BA6"/>
    <w:rsid w:val="00E51641"/>
    <w:rsid w:val="00E5219A"/>
    <w:rsid w:val="00E60B30"/>
    <w:rsid w:val="00E60CF9"/>
    <w:rsid w:val="00E706A3"/>
    <w:rsid w:val="00E730D6"/>
    <w:rsid w:val="00E82678"/>
    <w:rsid w:val="00E86CCC"/>
    <w:rsid w:val="00EB05EF"/>
    <w:rsid w:val="00EB7315"/>
    <w:rsid w:val="00EC21E2"/>
    <w:rsid w:val="00F04D58"/>
    <w:rsid w:val="00F0576F"/>
    <w:rsid w:val="00F23608"/>
    <w:rsid w:val="00F313BC"/>
    <w:rsid w:val="00F31DB1"/>
    <w:rsid w:val="00F328E4"/>
    <w:rsid w:val="00F3365C"/>
    <w:rsid w:val="00F33896"/>
    <w:rsid w:val="00F438FF"/>
    <w:rsid w:val="00F46140"/>
    <w:rsid w:val="00F612A6"/>
    <w:rsid w:val="00F93F3E"/>
    <w:rsid w:val="00FB1001"/>
    <w:rsid w:val="00FB286E"/>
    <w:rsid w:val="00FB3FEC"/>
    <w:rsid w:val="00FC1105"/>
    <w:rsid w:val="00FD3BEC"/>
    <w:rsid w:val="00FE1293"/>
    <w:rsid w:val="00FE4263"/>
    <w:rsid w:val="00FF6115"/>
    <w:rsid w:val="00FF7938"/>
    <w:rsid w:val="01283471"/>
    <w:rsid w:val="0181EBEA"/>
    <w:rsid w:val="01B130C8"/>
    <w:rsid w:val="0203667F"/>
    <w:rsid w:val="037113A0"/>
    <w:rsid w:val="03CECCE0"/>
    <w:rsid w:val="03F428FC"/>
    <w:rsid w:val="0431C31F"/>
    <w:rsid w:val="04B45AEF"/>
    <w:rsid w:val="04C91C02"/>
    <w:rsid w:val="04CF12B0"/>
    <w:rsid w:val="04E19514"/>
    <w:rsid w:val="054A30A1"/>
    <w:rsid w:val="05A785A4"/>
    <w:rsid w:val="05A8B55A"/>
    <w:rsid w:val="05F2F68D"/>
    <w:rsid w:val="061AD175"/>
    <w:rsid w:val="07B7CC27"/>
    <w:rsid w:val="07F6D961"/>
    <w:rsid w:val="082FC3B0"/>
    <w:rsid w:val="08360B0E"/>
    <w:rsid w:val="0974EB13"/>
    <w:rsid w:val="09E19540"/>
    <w:rsid w:val="09FBC7AB"/>
    <w:rsid w:val="0AC06BD6"/>
    <w:rsid w:val="0B10BB74"/>
    <w:rsid w:val="0BB320B5"/>
    <w:rsid w:val="0BD9DEC5"/>
    <w:rsid w:val="0BE11A56"/>
    <w:rsid w:val="0C175F66"/>
    <w:rsid w:val="0C5C3C37"/>
    <w:rsid w:val="0D64A33B"/>
    <w:rsid w:val="0D74C7F4"/>
    <w:rsid w:val="0D7A3430"/>
    <w:rsid w:val="0D9C86EF"/>
    <w:rsid w:val="0DC7F0DA"/>
    <w:rsid w:val="0E25DBF0"/>
    <w:rsid w:val="0E62927D"/>
    <w:rsid w:val="0E63198F"/>
    <w:rsid w:val="0EFD68A7"/>
    <w:rsid w:val="0F73687B"/>
    <w:rsid w:val="0FA9B5AF"/>
    <w:rsid w:val="0FFFF308"/>
    <w:rsid w:val="110876F2"/>
    <w:rsid w:val="11E7BCE6"/>
    <w:rsid w:val="120ADF25"/>
    <w:rsid w:val="129507A4"/>
    <w:rsid w:val="13AC6C4B"/>
    <w:rsid w:val="142D4EFB"/>
    <w:rsid w:val="147BF517"/>
    <w:rsid w:val="1593808F"/>
    <w:rsid w:val="16A6EFEB"/>
    <w:rsid w:val="17D18759"/>
    <w:rsid w:val="183F8A53"/>
    <w:rsid w:val="1962CA31"/>
    <w:rsid w:val="197A84CD"/>
    <w:rsid w:val="1A86F12C"/>
    <w:rsid w:val="1AAAB9B1"/>
    <w:rsid w:val="1B9E55D3"/>
    <w:rsid w:val="1D184B52"/>
    <w:rsid w:val="1F013EF7"/>
    <w:rsid w:val="20547F9B"/>
    <w:rsid w:val="22807529"/>
    <w:rsid w:val="22A5AA26"/>
    <w:rsid w:val="22EBCCA9"/>
    <w:rsid w:val="2339DEA9"/>
    <w:rsid w:val="23992900"/>
    <w:rsid w:val="25B0FA67"/>
    <w:rsid w:val="25D7EBB2"/>
    <w:rsid w:val="2658570E"/>
    <w:rsid w:val="26C5013B"/>
    <w:rsid w:val="26CDA294"/>
    <w:rsid w:val="26E376A7"/>
    <w:rsid w:val="2710D58F"/>
    <w:rsid w:val="28A29C27"/>
    <w:rsid w:val="2A762510"/>
    <w:rsid w:val="2A7B69FB"/>
    <w:rsid w:val="2A96C4E0"/>
    <w:rsid w:val="2ADEC7CE"/>
    <w:rsid w:val="2C231ABF"/>
    <w:rsid w:val="2C5AE508"/>
    <w:rsid w:val="2C7F6850"/>
    <w:rsid w:val="2C908A7A"/>
    <w:rsid w:val="2CF26433"/>
    <w:rsid w:val="2D19DA46"/>
    <w:rsid w:val="2E606271"/>
    <w:rsid w:val="306DFD64"/>
    <w:rsid w:val="30B46212"/>
    <w:rsid w:val="30E56694"/>
    <w:rsid w:val="30E7BEB2"/>
    <w:rsid w:val="310B3D72"/>
    <w:rsid w:val="3268C358"/>
    <w:rsid w:val="32FB3173"/>
    <w:rsid w:val="333131E9"/>
    <w:rsid w:val="33D14B13"/>
    <w:rsid w:val="3403DEF9"/>
    <w:rsid w:val="35634969"/>
    <w:rsid w:val="35EE0F7C"/>
    <w:rsid w:val="3668D2AB"/>
    <w:rsid w:val="366F241B"/>
    <w:rsid w:val="36700FD4"/>
    <w:rsid w:val="369E7DFA"/>
    <w:rsid w:val="36FF19CA"/>
    <w:rsid w:val="37CEA296"/>
    <w:rsid w:val="38D7501C"/>
    <w:rsid w:val="3A59BEC6"/>
    <w:rsid w:val="3AE19033"/>
    <w:rsid w:val="3C90D5F8"/>
    <w:rsid w:val="3D29A407"/>
    <w:rsid w:val="3D59F949"/>
    <w:rsid w:val="3E394A01"/>
    <w:rsid w:val="401F3FF8"/>
    <w:rsid w:val="406C0FEE"/>
    <w:rsid w:val="415D8CD4"/>
    <w:rsid w:val="430CBB24"/>
    <w:rsid w:val="4341690E"/>
    <w:rsid w:val="436F216A"/>
    <w:rsid w:val="441A02C3"/>
    <w:rsid w:val="449BE7DD"/>
    <w:rsid w:val="4542FD7B"/>
    <w:rsid w:val="4604E2A8"/>
    <w:rsid w:val="4751A385"/>
    <w:rsid w:val="4818EAE5"/>
    <w:rsid w:val="49D31FC9"/>
    <w:rsid w:val="49DAF47D"/>
    <w:rsid w:val="4AB2A06B"/>
    <w:rsid w:val="4BEB76F0"/>
    <w:rsid w:val="4D50CD98"/>
    <w:rsid w:val="4DCF23FF"/>
    <w:rsid w:val="4FBFE6D0"/>
    <w:rsid w:val="50836A2C"/>
    <w:rsid w:val="5085B022"/>
    <w:rsid w:val="5107B07A"/>
    <w:rsid w:val="512D3744"/>
    <w:rsid w:val="51599D4E"/>
    <w:rsid w:val="51C7028A"/>
    <w:rsid w:val="51CE75EB"/>
    <w:rsid w:val="51DC65A0"/>
    <w:rsid w:val="53A568A3"/>
    <w:rsid w:val="53B63008"/>
    <w:rsid w:val="53BB25D5"/>
    <w:rsid w:val="5402139D"/>
    <w:rsid w:val="54381413"/>
    <w:rsid w:val="54F24D86"/>
    <w:rsid w:val="55FE4ED9"/>
    <w:rsid w:val="564CE438"/>
    <w:rsid w:val="56510336"/>
    <w:rsid w:val="5678FD85"/>
    <w:rsid w:val="56F962C2"/>
    <w:rsid w:val="573B03CF"/>
    <w:rsid w:val="579C78C8"/>
    <w:rsid w:val="57E25A40"/>
    <w:rsid w:val="580EC0B4"/>
    <w:rsid w:val="587799AA"/>
    <w:rsid w:val="593B4C70"/>
    <w:rsid w:val="5970BBD3"/>
    <w:rsid w:val="5976681F"/>
    <w:rsid w:val="59EDBE48"/>
    <w:rsid w:val="5A20B6C7"/>
    <w:rsid w:val="5C451345"/>
    <w:rsid w:val="5C7EEAE8"/>
    <w:rsid w:val="5F18CE07"/>
    <w:rsid w:val="5F20AC21"/>
    <w:rsid w:val="5F4DE585"/>
    <w:rsid w:val="60888289"/>
    <w:rsid w:val="60EBA86F"/>
    <w:rsid w:val="615A5F1A"/>
    <w:rsid w:val="618D50E9"/>
    <w:rsid w:val="62371E01"/>
    <w:rsid w:val="62A8CB21"/>
    <w:rsid w:val="6339F77A"/>
    <w:rsid w:val="63C05983"/>
    <w:rsid w:val="63FA74F1"/>
    <w:rsid w:val="66A4DF58"/>
    <w:rsid w:val="66F09CB3"/>
    <w:rsid w:val="672EEE45"/>
    <w:rsid w:val="67BA8A18"/>
    <w:rsid w:val="67E90A05"/>
    <w:rsid w:val="694C48A2"/>
    <w:rsid w:val="69627CA2"/>
    <w:rsid w:val="6AF22ADA"/>
    <w:rsid w:val="6B385990"/>
    <w:rsid w:val="6C2F8A06"/>
    <w:rsid w:val="6C3CC4FA"/>
    <w:rsid w:val="6DE1768B"/>
    <w:rsid w:val="6F642704"/>
    <w:rsid w:val="70E484DE"/>
    <w:rsid w:val="714832D5"/>
    <w:rsid w:val="723A474A"/>
    <w:rsid w:val="729BC7C6"/>
    <w:rsid w:val="72BE2E0A"/>
    <w:rsid w:val="738C006E"/>
    <w:rsid w:val="73D20348"/>
    <w:rsid w:val="74A80E1D"/>
    <w:rsid w:val="7571E80C"/>
    <w:rsid w:val="75943D96"/>
    <w:rsid w:val="77B604AC"/>
    <w:rsid w:val="77EF0043"/>
    <w:rsid w:val="7818A300"/>
    <w:rsid w:val="78F1E0ED"/>
    <w:rsid w:val="79021FA5"/>
    <w:rsid w:val="79EBA46C"/>
    <w:rsid w:val="7A0F7303"/>
    <w:rsid w:val="7ACC5912"/>
    <w:rsid w:val="7B5EE0DE"/>
    <w:rsid w:val="7D3970C3"/>
    <w:rsid w:val="7EEC4AF9"/>
    <w:rsid w:val="7F0F34A7"/>
    <w:rsid w:val="7F55572A"/>
    <w:rsid w:val="7F96D5B8"/>
    <w:rsid w:val="7FE0E9CB"/>
    <w:rsid w:val="7FF7D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37C7"/>
  <w15:chartTrackingRefBased/>
  <w15:docId w15:val="{7EE55B96-535E-498B-9F36-C053919A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336"/>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eastAsiaTheme="majorEastAsia" w:hAnsiTheme="majorHAnsi" w:cstheme="majorBidi"/>
      <w:color w:val="535353" w:themeColor="accent1" w:themeShade="BF"/>
      <w:sz w:val="26"/>
      <w:szCs w:val="26"/>
    </w:rPr>
  </w:style>
  <w:style w:type="paragraph" w:styleId="Heading5">
    <w:name w:val="heading 5"/>
    <w:basedOn w:val="Normal"/>
    <w:link w:val="Heading5Char"/>
    <w:uiPriority w:val="9"/>
    <w:semiHidden/>
    <w:unhideWhenUsed/>
    <w:qFormat/>
    <w:rsid w:val="00740829"/>
    <w:pPr>
      <w:spacing w:before="40" w:after="0"/>
      <w:ind w:left="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after="0"/>
      <w:ind w:left="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after="0"/>
      <w:ind w:left="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sid w:val="003F2336"/>
    <w:rPr>
      <w:rFonts w:asciiTheme="majorHAnsi" w:eastAsiaTheme="majorEastAsia" w:hAnsiTheme="majorHAnsi" w:cstheme="majorBidi"/>
      <w:color w:val="535353" w:themeColor="accent1" w:themeShade="BF"/>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rsid w:val="00BB1F80"/>
    <w:pPr>
      <w:spacing w:after="200" w:line="240" w:lineRule="auto"/>
    </w:pPr>
    <w:rPr>
      <w:i/>
      <w:iCs/>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customStyle="1" w:styleId="BodyText3Char">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unhideWhenUsed/>
    <w:rsid w:val="00BB1F80"/>
    <w:pPr>
      <w:spacing w:line="240" w:lineRule="auto"/>
    </w:pPr>
    <w:rPr>
      <w:szCs w:val="20"/>
    </w:rPr>
  </w:style>
  <w:style w:type="character" w:customStyle="1" w:styleId="CommentTextChar">
    <w:name w:val="Comment Text Char"/>
    <w:basedOn w:val="DefaultParagraphFont"/>
    <w:link w:val="CommentText"/>
    <w:uiPriority w:val="99"/>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6"/>
      </w:numPr>
      <w:ind w:left="1080"/>
      <w:contextualSpacing/>
    </w:pPr>
  </w:style>
  <w:style w:type="paragraph" w:styleId="ListBullet">
    <w:name w:val="List Bullet"/>
    <w:basedOn w:val="Normal"/>
    <w:uiPriority w:val="10"/>
    <w:rsid w:val="003F2336"/>
    <w:pPr>
      <w:numPr>
        <w:numId w:val="11"/>
      </w:numPr>
      <w:ind w:left="1080"/>
      <w:contextualSpacing/>
    </w:pPr>
  </w:style>
  <w:style w:type="character" w:styleId="Hyperlink">
    <w:name w:val="Hyperlink"/>
    <w:basedOn w:val="DefaultParagraphFont"/>
    <w:uiPriority w:val="99"/>
    <w:unhideWhenUsed/>
    <w:rsid w:val="000860B0"/>
    <w:rPr>
      <w:color w:val="407F83" w:themeColor="hyperlink"/>
      <w:u w:val="single"/>
    </w:rPr>
  </w:style>
  <w:style w:type="character" w:styleId="UnresolvedMention">
    <w:name w:val="Unresolved Mention"/>
    <w:basedOn w:val="DefaultParagraphFont"/>
    <w:uiPriority w:val="99"/>
    <w:semiHidden/>
    <w:unhideWhenUsed/>
    <w:rsid w:val="000860B0"/>
    <w:rPr>
      <w:color w:val="605E5C"/>
      <w:shd w:val="clear" w:color="auto" w:fill="E1DFDD"/>
    </w:rPr>
  </w:style>
  <w:style w:type="paragraph" w:styleId="ListParagraph">
    <w:name w:val="List Paragraph"/>
    <w:basedOn w:val="Normal"/>
    <w:uiPriority w:val="34"/>
    <w:qFormat/>
    <w:rsid w:val="007A5046"/>
    <w:pPr>
      <w:spacing w:after="160" w:line="259" w:lineRule="auto"/>
      <w:ind w:left="720"/>
      <w:contextualSpacing/>
    </w:pPr>
    <w:rPr>
      <w:color w:val="auto"/>
      <w:lang w:eastAsia="en-US"/>
    </w:rPr>
  </w:style>
  <w:style w:type="table" w:styleId="TableGrid">
    <w:name w:val="Table Grid"/>
    <w:basedOn w:val="TableNormal"/>
    <w:uiPriority w:val="39"/>
    <w:rsid w:val="00631EDD"/>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06A3"/>
    <w:pPr>
      <w:spacing w:after="0" w:line="240" w:lineRule="auto"/>
      <w:ind w:left="0"/>
    </w:pPr>
  </w:style>
  <w:style w:type="character" w:styleId="Emphasis">
    <w:name w:val="Emphasis"/>
    <w:basedOn w:val="DefaultParagraphFont"/>
    <w:uiPriority w:val="20"/>
    <w:qFormat/>
    <w:rsid w:val="00194545"/>
    <w:rPr>
      <w:i/>
      <w:iCs/>
    </w:rPr>
  </w:style>
  <w:style w:type="character" w:styleId="FollowedHyperlink">
    <w:name w:val="FollowedHyperlink"/>
    <w:basedOn w:val="DefaultParagraphFont"/>
    <w:uiPriority w:val="99"/>
    <w:semiHidden/>
    <w:unhideWhenUsed/>
    <w:rsid w:val="005A616C"/>
    <w:rPr>
      <w:color w:val="2B8073"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rsid w:val="00824AD3"/>
    <w:pPr>
      <w:spacing w:after="0" w:line="240" w:lineRule="auto"/>
      <w:ind w:left="0"/>
    </w:pPr>
    <w:rPr>
      <w:rFonts w:eastAsiaTheme="minorEastAsia"/>
      <w:color w:val="auto"/>
      <w:lang w:eastAsia="en-US"/>
    </w:rPr>
  </w:style>
  <w:style w:type="character" w:customStyle="1" w:styleId="NoSpacingChar">
    <w:name w:val="No Spacing Char"/>
    <w:basedOn w:val="DefaultParagraphFont"/>
    <w:link w:val="NoSpacing"/>
    <w:uiPriority w:val="1"/>
    <w:rsid w:val="00824AD3"/>
    <w:rPr>
      <w:rFonts w:eastAsiaTheme="minorEastAsia"/>
      <w:color w:val="auto"/>
      <w:lang w:eastAsia="en-US"/>
    </w:rPr>
  </w:style>
  <w:style w:type="character" w:customStyle="1" w:styleId="normaltextrun">
    <w:name w:val="normaltextrun"/>
    <w:basedOn w:val="DefaultParagraphFont"/>
    <w:rsid w:val="00CD1688"/>
  </w:style>
  <w:style w:type="paragraph" w:customStyle="1" w:styleId="xparagraph">
    <w:name w:val="x_paragraph"/>
    <w:basedOn w:val="Normal"/>
    <w:rsid w:val="006743E5"/>
    <w:pPr>
      <w:spacing w:before="100" w:beforeAutospacing="1" w:after="100" w:afterAutospacing="1" w:line="240" w:lineRule="auto"/>
      <w:ind w:left="0"/>
    </w:pPr>
    <w:rPr>
      <w:rFonts w:ascii="Calibri" w:hAnsi="Calibri" w:cs="Calibri"/>
      <w:color w:val="auto"/>
      <w:lang w:eastAsia="en-US"/>
    </w:rPr>
  </w:style>
  <w:style w:type="character" w:customStyle="1" w:styleId="xnormaltextrun">
    <w:name w:val="x_normaltextrun"/>
    <w:basedOn w:val="DefaultParagraphFont"/>
    <w:rsid w:val="006743E5"/>
  </w:style>
  <w:style w:type="character" w:customStyle="1" w:styleId="xeop">
    <w:name w:val="x_eop"/>
    <w:basedOn w:val="DefaultParagraphFont"/>
    <w:rsid w:val="006743E5"/>
  </w:style>
  <w:style w:type="paragraph" w:styleId="NormalWeb">
    <w:name w:val="Normal (Web)"/>
    <w:basedOn w:val="Normal"/>
    <w:uiPriority w:val="99"/>
    <w:semiHidden/>
    <w:unhideWhenUsed/>
    <w:rsid w:val="0091137D"/>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numbering" w:customStyle="1" w:styleId="NoList1">
    <w:name w:val="No List1"/>
    <w:next w:val="NoList"/>
    <w:uiPriority w:val="99"/>
    <w:semiHidden/>
    <w:unhideWhenUsed/>
    <w:rsid w:val="00602EF6"/>
  </w:style>
  <w:style w:type="table" w:customStyle="1" w:styleId="TableGrid1">
    <w:name w:val="Table Grid1"/>
    <w:basedOn w:val="TableNormal"/>
    <w:next w:val="TableGrid"/>
    <w:uiPriority w:val="39"/>
    <w:rsid w:val="00602EF6"/>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8137">
      <w:bodyDiv w:val="1"/>
      <w:marLeft w:val="0"/>
      <w:marRight w:val="0"/>
      <w:marTop w:val="0"/>
      <w:marBottom w:val="0"/>
      <w:divBdr>
        <w:top w:val="none" w:sz="0" w:space="0" w:color="auto"/>
        <w:left w:val="none" w:sz="0" w:space="0" w:color="auto"/>
        <w:bottom w:val="none" w:sz="0" w:space="0" w:color="auto"/>
        <w:right w:val="none" w:sz="0" w:space="0" w:color="auto"/>
      </w:divBdr>
      <w:divsChild>
        <w:div w:id="968246233">
          <w:marLeft w:val="0"/>
          <w:marRight w:val="0"/>
          <w:marTop w:val="0"/>
          <w:marBottom w:val="0"/>
          <w:divBdr>
            <w:top w:val="none" w:sz="0" w:space="0" w:color="auto"/>
            <w:left w:val="none" w:sz="0" w:space="0" w:color="auto"/>
            <w:bottom w:val="none" w:sz="0" w:space="0" w:color="auto"/>
            <w:right w:val="none" w:sz="0" w:space="0" w:color="auto"/>
          </w:divBdr>
          <w:divsChild>
            <w:div w:id="229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8908">
      <w:bodyDiv w:val="1"/>
      <w:marLeft w:val="0"/>
      <w:marRight w:val="0"/>
      <w:marTop w:val="0"/>
      <w:marBottom w:val="0"/>
      <w:divBdr>
        <w:top w:val="none" w:sz="0" w:space="0" w:color="auto"/>
        <w:left w:val="none" w:sz="0" w:space="0" w:color="auto"/>
        <w:bottom w:val="none" w:sz="0" w:space="0" w:color="auto"/>
        <w:right w:val="none" w:sz="0" w:space="0" w:color="auto"/>
      </w:divBdr>
    </w:div>
    <w:div w:id="209342811">
      <w:bodyDiv w:val="1"/>
      <w:marLeft w:val="0"/>
      <w:marRight w:val="0"/>
      <w:marTop w:val="0"/>
      <w:marBottom w:val="0"/>
      <w:divBdr>
        <w:top w:val="none" w:sz="0" w:space="0" w:color="auto"/>
        <w:left w:val="none" w:sz="0" w:space="0" w:color="auto"/>
        <w:bottom w:val="none" w:sz="0" w:space="0" w:color="auto"/>
        <w:right w:val="none" w:sz="0" w:space="0" w:color="auto"/>
      </w:divBdr>
    </w:div>
    <w:div w:id="745223082">
      <w:bodyDiv w:val="1"/>
      <w:marLeft w:val="0"/>
      <w:marRight w:val="0"/>
      <w:marTop w:val="0"/>
      <w:marBottom w:val="0"/>
      <w:divBdr>
        <w:top w:val="none" w:sz="0" w:space="0" w:color="auto"/>
        <w:left w:val="none" w:sz="0" w:space="0" w:color="auto"/>
        <w:bottom w:val="none" w:sz="0" w:space="0" w:color="auto"/>
        <w:right w:val="none" w:sz="0" w:space="0" w:color="auto"/>
      </w:divBdr>
    </w:div>
    <w:div w:id="1076245962">
      <w:bodyDiv w:val="1"/>
      <w:marLeft w:val="0"/>
      <w:marRight w:val="0"/>
      <w:marTop w:val="0"/>
      <w:marBottom w:val="0"/>
      <w:divBdr>
        <w:top w:val="none" w:sz="0" w:space="0" w:color="auto"/>
        <w:left w:val="none" w:sz="0" w:space="0" w:color="auto"/>
        <w:bottom w:val="none" w:sz="0" w:space="0" w:color="auto"/>
        <w:right w:val="none" w:sz="0" w:space="0" w:color="auto"/>
      </w:divBdr>
      <w:divsChild>
        <w:div w:id="1685131400">
          <w:marLeft w:val="0"/>
          <w:marRight w:val="0"/>
          <w:marTop w:val="0"/>
          <w:marBottom w:val="0"/>
          <w:divBdr>
            <w:top w:val="none" w:sz="0" w:space="0" w:color="auto"/>
            <w:left w:val="none" w:sz="0" w:space="0" w:color="auto"/>
            <w:bottom w:val="none" w:sz="0" w:space="0" w:color="auto"/>
            <w:right w:val="none" w:sz="0" w:space="0" w:color="auto"/>
          </w:divBdr>
          <w:divsChild>
            <w:div w:id="6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067">
      <w:bodyDiv w:val="1"/>
      <w:marLeft w:val="0"/>
      <w:marRight w:val="0"/>
      <w:marTop w:val="0"/>
      <w:marBottom w:val="0"/>
      <w:divBdr>
        <w:top w:val="none" w:sz="0" w:space="0" w:color="auto"/>
        <w:left w:val="none" w:sz="0" w:space="0" w:color="auto"/>
        <w:bottom w:val="none" w:sz="0" w:space="0" w:color="auto"/>
        <w:right w:val="none" w:sz="0" w:space="0" w:color="auto"/>
      </w:divBdr>
      <w:divsChild>
        <w:div w:id="1025326707">
          <w:marLeft w:val="360"/>
          <w:marRight w:val="0"/>
          <w:marTop w:val="120"/>
          <w:marBottom w:val="120"/>
          <w:divBdr>
            <w:top w:val="none" w:sz="0" w:space="0" w:color="auto"/>
            <w:left w:val="none" w:sz="0" w:space="0" w:color="auto"/>
            <w:bottom w:val="none" w:sz="0" w:space="0" w:color="auto"/>
            <w:right w:val="none" w:sz="0" w:space="0" w:color="auto"/>
          </w:divBdr>
        </w:div>
        <w:div w:id="1048456166">
          <w:marLeft w:val="360"/>
          <w:marRight w:val="0"/>
          <w:marTop w:val="120"/>
          <w:marBottom w:val="120"/>
          <w:divBdr>
            <w:top w:val="none" w:sz="0" w:space="0" w:color="auto"/>
            <w:left w:val="none" w:sz="0" w:space="0" w:color="auto"/>
            <w:bottom w:val="none" w:sz="0" w:space="0" w:color="auto"/>
            <w:right w:val="none" w:sz="0" w:space="0" w:color="auto"/>
          </w:divBdr>
        </w:div>
      </w:divsChild>
    </w:div>
    <w:div w:id="1748115943">
      <w:bodyDiv w:val="1"/>
      <w:marLeft w:val="0"/>
      <w:marRight w:val="0"/>
      <w:marTop w:val="0"/>
      <w:marBottom w:val="0"/>
      <w:divBdr>
        <w:top w:val="none" w:sz="0" w:space="0" w:color="auto"/>
        <w:left w:val="none" w:sz="0" w:space="0" w:color="auto"/>
        <w:bottom w:val="none" w:sz="0" w:space="0" w:color="auto"/>
        <w:right w:val="none" w:sz="0" w:space="0" w:color="auto"/>
      </w:divBdr>
      <w:divsChild>
        <w:div w:id="2093622537">
          <w:marLeft w:val="331"/>
          <w:marRight w:val="0"/>
          <w:marTop w:val="0"/>
          <w:marBottom w:val="90"/>
          <w:divBdr>
            <w:top w:val="none" w:sz="0" w:space="0" w:color="auto"/>
            <w:left w:val="none" w:sz="0" w:space="0" w:color="auto"/>
            <w:bottom w:val="none" w:sz="0" w:space="0" w:color="auto"/>
            <w:right w:val="none" w:sz="0" w:space="0" w:color="auto"/>
          </w:divBdr>
        </w:div>
      </w:divsChild>
    </w:div>
    <w:div w:id="201256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covid-19-vaccine-equity-plan/download"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malegislature.gov/Laws/SessionLaws/Acts/2022/Chapter22"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mass.gov/info-details/covid-19-vaccine-equity-initiative-community-specific-vaccination-data"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mass.gov/news/baker-polito-administration-awards-additional-45-million-for-covid-19-vaccine-equity-efforts" TargetMode="External"/><Relationship Id="rId23" Type="http://schemas.openxmlformats.org/officeDocument/2006/relationships/image" Target="media/image3.pn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illy1\AppData\Roaming\Microsoft\Templates\Create%20an%20Outline.dotx" TargetMode="External"/></Relationship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9" ma:contentTypeDescription="Create a new document." ma:contentTypeScope="" ma:versionID="fe7d65e697d7d198dee0ffe778345796">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6a721148e870492ccc23e9d5ca091087"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23189-40BD-42EE-9D05-8D898B456B23}">
  <ds:schemaRefs>
    <ds:schemaRef ds:uri="http://schemas.microsoft.com/sharepoint/v3/contenttype/forms"/>
  </ds:schemaRefs>
</ds:datastoreItem>
</file>

<file path=customXml/itemProps2.xml><?xml version="1.0" encoding="utf-8"?>
<ds:datastoreItem xmlns:ds="http://schemas.openxmlformats.org/officeDocument/2006/customXml" ds:itemID="{4ECB5676-DB63-4399-9082-BF4C628023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22C954-DD56-451F-B245-0786CC21A87C}">
  <ds:schemaRefs>
    <ds:schemaRef ds:uri="http://schemas.openxmlformats.org/officeDocument/2006/bibliography"/>
  </ds:schemaRefs>
</ds:datastoreItem>
</file>

<file path=customXml/itemProps4.xml><?xml version="1.0" encoding="utf-8"?>
<ds:datastoreItem xmlns:ds="http://schemas.openxmlformats.org/officeDocument/2006/customXml" ds:itemID="{FE7D46A5-C653-4907-BE14-527AD443A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Create an Outline</Template>
  <TotalTime>2</TotalTime>
  <Pages>8</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Links>
    <vt:vector size="60" baseType="variant">
      <vt:variant>
        <vt:i4>1114137</vt:i4>
      </vt:variant>
      <vt:variant>
        <vt:i4>27</vt:i4>
      </vt:variant>
      <vt:variant>
        <vt:i4>0</vt:i4>
      </vt:variant>
      <vt:variant>
        <vt:i4>5</vt:i4>
      </vt:variant>
      <vt:variant>
        <vt:lpwstr>https://www.mass.gov/info-details/covid-19-vaccine-equity-initiative-community-specific-vaccination-data</vt:lpwstr>
      </vt:variant>
      <vt:variant>
        <vt:lpwstr/>
      </vt:variant>
      <vt:variant>
        <vt:i4>1441810</vt:i4>
      </vt:variant>
      <vt:variant>
        <vt:i4>24</vt:i4>
      </vt:variant>
      <vt:variant>
        <vt:i4>0</vt:i4>
      </vt:variant>
      <vt:variant>
        <vt:i4>5</vt:i4>
      </vt:variant>
      <vt:variant>
        <vt:lpwstr>https://www.mass.gov/doc/creative-materials-toolkit-trust-the-facts-get-the-vax/download</vt:lpwstr>
      </vt:variant>
      <vt:variant>
        <vt:lpwstr/>
      </vt:variant>
      <vt:variant>
        <vt:i4>1441810</vt:i4>
      </vt:variant>
      <vt:variant>
        <vt:i4>21</vt:i4>
      </vt:variant>
      <vt:variant>
        <vt:i4>0</vt:i4>
      </vt:variant>
      <vt:variant>
        <vt:i4>5</vt:i4>
      </vt:variant>
      <vt:variant>
        <vt:lpwstr>https://www.mass.gov/doc/creative-materials-toolkit-trust-the-facts-get-the-vax/download</vt:lpwstr>
      </vt:variant>
      <vt:variant>
        <vt:lpwstr/>
      </vt:variant>
      <vt:variant>
        <vt:i4>1114137</vt:i4>
      </vt:variant>
      <vt:variant>
        <vt:i4>18</vt:i4>
      </vt:variant>
      <vt:variant>
        <vt:i4>0</vt:i4>
      </vt:variant>
      <vt:variant>
        <vt:i4>5</vt:i4>
      </vt:variant>
      <vt:variant>
        <vt:lpwstr>https://www.mass.gov/info-details/covid-19-vaccine-equity-initiative-community-specific-vaccination-data</vt:lpwstr>
      </vt:variant>
      <vt:variant>
        <vt:lpwstr/>
      </vt:variant>
      <vt:variant>
        <vt:i4>2097250</vt:i4>
      </vt:variant>
      <vt:variant>
        <vt:i4>15</vt:i4>
      </vt:variant>
      <vt:variant>
        <vt:i4>0</vt:i4>
      </vt:variant>
      <vt:variant>
        <vt:i4>5</vt:i4>
      </vt:variant>
      <vt:variant>
        <vt:lpwstr>https://www.mass.gov/info-details/covid-19-vaccine-equity-initiative-community-specific-vaccination-data</vt:lpwstr>
      </vt:variant>
      <vt:variant>
        <vt:lpwstr>covid-19-vaccine-equity-initiative-data-dashboard-</vt:lpwstr>
      </vt:variant>
      <vt:variant>
        <vt:i4>5898328</vt:i4>
      </vt:variant>
      <vt:variant>
        <vt:i4>12</vt:i4>
      </vt:variant>
      <vt:variant>
        <vt:i4>0</vt:i4>
      </vt:variant>
      <vt:variant>
        <vt:i4>5</vt:i4>
      </vt:variant>
      <vt:variant>
        <vt:lpwstr>https://www.mass.gov/doc/april-8-2020-covid-19-reporting-data</vt:lpwstr>
      </vt:variant>
      <vt:variant>
        <vt:lpwstr/>
      </vt:variant>
      <vt:variant>
        <vt:i4>7864379</vt:i4>
      </vt:variant>
      <vt:variant>
        <vt:i4>9</vt:i4>
      </vt:variant>
      <vt:variant>
        <vt:i4>0</vt:i4>
      </vt:variant>
      <vt:variant>
        <vt:i4>5</vt:i4>
      </vt:variant>
      <vt:variant>
        <vt:lpwstr>https://www.mass.gov/news/baker-polito-administration-announces-covid-19-vaccine-advisory-group</vt:lpwstr>
      </vt:variant>
      <vt:variant>
        <vt:lpwstr/>
      </vt:variant>
      <vt:variant>
        <vt:i4>7536743</vt:i4>
      </vt:variant>
      <vt:variant>
        <vt:i4>6</vt:i4>
      </vt:variant>
      <vt:variant>
        <vt:i4>0</vt:i4>
      </vt:variant>
      <vt:variant>
        <vt:i4>5</vt:i4>
      </vt:variant>
      <vt:variant>
        <vt:lpwstr>https://www.mass.gov/orgs/covid-19-health-equity-advisory-group</vt:lpwstr>
      </vt:variant>
      <vt:variant>
        <vt:lpwstr/>
      </vt:variant>
      <vt:variant>
        <vt:i4>2228258</vt:i4>
      </vt:variant>
      <vt:variant>
        <vt:i4>3</vt:i4>
      </vt:variant>
      <vt:variant>
        <vt:i4>0</vt:i4>
      </vt:variant>
      <vt:variant>
        <vt:i4>5</vt:i4>
      </vt:variant>
      <vt:variant>
        <vt:lpwstr>https://www.mass.gov/doc/ma-covid-19-vaccine-presentation-1292020/download</vt:lpwstr>
      </vt:variant>
      <vt:variant>
        <vt:lpwstr/>
      </vt:variant>
      <vt:variant>
        <vt:i4>7864379</vt:i4>
      </vt:variant>
      <vt:variant>
        <vt:i4>0</vt:i4>
      </vt:variant>
      <vt:variant>
        <vt:i4>0</vt:i4>
      </vt:variant>
      <vt:variant>
        <vt:i4>5</vt:i4>
      </vt:variant>
      <vt:variant>
        <vt:lpwstr>https://www.mass.gov/news/baker-polito-administration-announces-covid-19-vaccine-advisory-group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Katelyn (EHS)</dc:creator>
  <cp:keywords/>
  <dc:description/>
  <cp:lastModifiedBy>Reilly, Katelyn (EHS)</cp:lastModifiedBy>
  <cp:revision>2</cp:revision>
  <dcterms:created xsi:type="dcterms:W3CDTF">2022-05-13T15:20:00Z</dcterms:created>
  <dcterms:modified xsi:type="dcterms:W3CDTF">2022-05-13T15:20:00Z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