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auto"/>
        </w:rPr>
        <w:id w:val="-1998492312"/>
        <w:docPartObj>
          <w:docPartGallery w:val="Cover Pages"/>
          <w:docPartUnique/>
        </w:docPartObj>
      </w:sdtPr>
      <w:sdtEndPr/>
      <w:sdtContent>
        <w:p w14:paraId="5AF79075" w14:textId="5FCCFE87" w:rsidR="00824AD3" w:rsidRPr="00890363" w:rsidRDefault="00824AD3">
          <w:pPr>
            <w:rPr>
              <w:color w:val="auto"/>
            </w:rPr>
          </w:pPr>
        </w:p>
        <w:p w14:paraId="17855ABC" w14:textId="665C6853" w:rsidR="00824AD3" w:rsidRPr="00890363" w:rsidRDefault="00824AD3">
          <w:pPr>
            <w:rPr>
              <w:color w:val="auto"/>
            </w:rPr>
          </w:pPr>
        </w:p>
        <w:p w14:paraId="1745EAE3" w14:textId="77777777" w:rsidR="00824AD3" w:rsidRPr="00890363" w:rsidRDefault="00824AD3">
          <w:pPr>
            <w:rPr>
              <w:color w:val="auto"/>
            </w:rPr>
          </w:pPr>
        </w:p>
        <w:p w14:paraId="1D0B0A3A" w14:textId="77777777" w:rsidR="33D14B13" w:rsidRPr="00890363" w:rsidRDefault="33D14B13" w:rsidP="33D14B13">
          <w:pPr>
            <w:jc w:val="center"/>
            <w:rPr>
              <w:color w:val="auto"/>
              <w:sz w:val="52"/>
              <w:szCs w:val="52"/>
            </w:rPr>
          </w:pPr>
        </w:p>
        <w:p w14:paraId="3DC9F0C8" w14:textId="77777777" w:rsidR="33D14B13" w:rsidRPr="00890363" w:rsidRDefault="33D14B13" w:rsidP="33D14B13">
          <w:pPr>
            <w:jc w:val="center"/>
            <w:rPr>
              <w:color w:val="auto"/>
              <w:sz w:val="52"/>
              <w:szCs w:val="52"/>
            </w:rPr>
          </w:pPr>
        </w:p>
        <w:p w14:paraId="196451CB" w14:textId="0D45B17F" w:rsidR="00824AD3" w:rsidRPr="00890363" w:rsidRDefault="00824AD3" w:rsidP="33D14B13">
          <w:pPr>
            <w:jc w:val="center"/>
            <w:rPr>
              <w:color w:val="auto"/>
              <w:sz w:val="52"/>
              <w:szCs w:val="52"/>
            </w:rPr>
          </w:pPr>
          <w:r w:rsidRPr="00890363">
            <w:rPr>
              <w:color w:val="auto"/>
              <w:sz w:val="52"/>
              <w:szCs w:val="52"/>
            </w:rPr>
            <w:t>COVID-19 Vaccine Equity Plan</w:t>
          </w:r>
        </w:p>
        <w:p w14:paraId="45B710B4" w14:textId="1257EE48" w:rsidR="00B801ED" w:rsidRPr="00890363" w:rsidRDefault="00B801ED" w:rsidP="00824AD3">
          <w:pPr>
            <w:jc w:val="center"/>
            <w:rPr>
              <w:color w:val="auto"/>
              <w:sz w:val="32"/>
              <w:szCs w:val="32"/>
            </w:rPr>
          </w:pPr>
          <w:r w:rsidRPr="00890363">
            <w:rPr>
              <w:color w:val="auto"/>
              <w:sz w:val="32"/>
              <w:szCs w:val="32"/>
            </w:rPr>
            <w:t>March 1</w:t>
          </w:r>
          <w:r w:rsidR="00250D15" w:rsidRPr="00890363">
            <w:rPr>
              <w:color w:val="auto"/>
              <w:sz w:val="32"/>
              <w:szCs w:val="32"/>
            </w:rPr>
            <w:t>5</w:t>
          </w:r>
          <w:r w:rsidRPr="00890363">
            <w:rPr>
              <w:color w:val="auto"/>
              <w:sz w:val="32"/>
              <w:szCs w:val="32"/>
            </w:rPr>
            <w:t>, 2022</w:t>
          </w:r>
        </w:p>
        <w:p w14:paraId="2D81261D" w14:textId="4BDB0D4F" w:rsidR="00824AD3" w:rsidRPr="00890363" w:rsidRDefault="00824AD3" w:rsidP="33D14B13">
          <w:pPr>
            <w:jc w:val="center"/>
            <w:rPr>
              <w:color w:val="auto"/>
              <w:sz w:val="32"/>
              <w:szCs w:val="32"/>
            </w:rPr>
          </w:pPr>
        </w:p>
        <w:p w14:paraId="4CC596ED" w14:textId="4BDB0D4F" w:rsidR="00824AD3" w:rsidRPr="00890363" w:rsidRDefault="00824AD3" w:rsidP="33D14B13">
          <w:pPr>
            <w:jc w:val="center"/>
            <w:rPr>
              <w:color w:val="auto"/>
              <w:sz w:val="32"/>
              <w:szCs w:val="32"/>
            </w:rPr>
          </w:pPr>
        </w:p>
        <w:p w14:paraId="0D1B07E7" w14:textId="4BDB0D4F" w:rsidR="00824AD3" w:rsidRPr="00890363" w:rsidRDefault="00824AD3" w:rsidP="33D14B13">
          <w:pPr>
            <w:jc w:val="center"/>
            <w:rPr>
              <w:color w:val="auto"/>
              <w:sz w:val="32"/>
              <w:szCs w:val="32"/>
            </w:rPr>
          </w:pPr>
        </w:p>
        <w:p w14:paraId="4AEE4F81" w14:textId="4BDB0D4F" w:rsidR="00824AD3" w:rsidRPr="00890363" w:rsidRDefault="00824AD3" w:rsidP="33D14B13">
          <w:pPr>
            <w:jc w:val="center"/>
            <w:rPr>
              <w:color w:val="auto"/>
              <w:sz w:val="32"/>
              <w:szCs w:val="32"/>
            </w:rPr>
          </w:pPr>
        </w:p>
        <w:p w14:paraId="03310C80" w14:textId="4BDB0D4F" w:rsidR="00824AD3" w:rsidRPr="00890363" w:rsidRDefault="00824AD3" w:rsidP="33D14B13">
          <w:pPr>
            <w:jc w:val="center"/>
            <w:rPr>
              <w:color w:val="auto"/>
              <w:sz w:val="32"/>
              <w:szCs w:val="32"/>
            </w:rPr>
          </w:pPr>
        </w:p>
        <w:p w14:paraId="3B982B0C" w14:textId="4BDB0D4F" w:rsidR="00824AD3" w:rsidRPr="00890363" w:rsidRDefault="00824AD3" w:rsidP="33D14B13">
          <w:pPr>
            <w:jc w:val="center"/>
            <w:rPr>
              <w:color w:val="auto"/>
              <w:sz w:val="32"/>
              <w:szCs w:val="32"/>
            </w:rPr>
          </w:pPr>
        </w:p>
        <w:p w14:paraId="12473080" w14:textId="4BDB0D4F" w:rsidR="00824AD3" w:rsidRPr="00890363" w:rsidRDefault="00824AD3" w:rsidP="33D14B13">
          <w:pPr>
            <w:jc w:val="center"/>
            <w:rPr>
              <w:color w:val="auto"/>
              <w:sz w:val="32"/>
              <w:szCs w:val="32"/>
            </w:rPr>
          </w:pPr>
        </w:p>
        <w:p w14:paraId="27455AB6" w14:textId="4BDB0D4F" w:rsidR="00824AD3" w:rsidRPr="00890363" w:rsidRDefault="00824AD3" w:rsidP="33D14B13">
          <w:pPr>
            <w:jc w:val="center"/>
            <w:rPr>
              <w:color w:val="auto"/>
              <w:sz w:val="32"/>
              <w:szCs w:val="32"/>
            </w:rPr>
          </w:pPr>
        </w:p>
        <w:p w14:paraId="0083DD9F" w14:textId="4BDB0D4F" w:rsidR="00824AD3" w:rsidRPr="00890363" w:rsidRDefault="00824AD3" w:rsidP="33D14B13">
          <w:pPr>
            <w:jc w:val="center"/>
            <w:rPr>
              <w:color w:val="auto"/>
              <w:sz w:val="32"/>
              <w:szCs w:val="32"/>
            </w:rPr>
          </w:pPr>
        </w:p>
        <w:p w14:paraId="2B8D3DE0" w14:textId="4BDB0D4F" w:rsidR="00824AD3" w:rsidRPr="00890363" w:rsidRDefault="00824AD3" w:rsidP="33D14B13">
          <w:pPr>
            <w:jc w:val="center"/>
            <w:rPr>
              <w:color w:val="auto"/>
              <w:sz w:val="32"/>
              <w:szCs w:val="32"/>
            </w:rPr>
          </w:pPr>
        </w:p>
        <w:p w14:paraId="0296339B" w14:textId="4BDB0D4F" w:rsidR="00824AD3" w:rsidRPr="00890363" w:rsidRDefault="00824AD3" w:rsidP="33D14B13">
          <w:pPr>
            <w:pStyle w:val="Heading1"/>
            <w:jc w:val="center"/>
            <w:rPr>
              <w:rFonts w:ascii="Cambria" w:eastAsia="Cambria" w:hAnsi="Cambria"/>
              <w:color w:val="auto"/>
            </w:rPr>
          </w:pPr>
        </w:p>
        <w:p w14:paraId="5517D983" w14:textId="77777777" w:rsidR="00987B15" w:rsidRPr="00890363" w:rsidRDefault="00987B15" w:rsidP="33D14B13">
          <w:pPr>
            <w:pStyle w:val="Heading1"/>
            <w:jc w:val="center"/>
            <w:rPr>
              <w:rFonts w:ascii="Cambria" w:eastAsia="Cambria" w:hAnsi="Cambria" w:cs="Cambria"/>
              <w:color w:val="auto"/>
            </w:rPr>
          </w:pPr>
        </w:p>
        <w:p w14:paraId="5507B6F0" w14:textId="77777777" w:rsidR="00987B15" w:rsidRPr="00890363" w:rsidRDefault="00987B15" w:rsidP="33D14B13">
          <w:pPr>
            <w:pStyle w:val="Heading1"/>
            <w:jc w:val="center"/>
            <w:rPr>
              <w:rFonts w:ascii="Cambria" w:eastAsia="Cambria" w:hAnsi="Cambria" w:cs="Cambria"/>
              <w:color w:val="auto"/>
            </w:rPr>
          </w:pPr>
        </w:p>
        <w:p w14:paraId="64E1C28F" w14:textId="67D3E365" w:rsidR="00824AD3" w:rsidRPr="00890363" w:rsidRDefault="00712491" w:rsidP="00712491">
          <w:pPr>
            <w:pStyle w:val="Heading1"/>
            <w:jc w:val="center"/>
            <w:rPr>
              <w:rFonts w:ascii="Cambria" w:eastAsia="Cambria" w:hAnsi="Cambria" w:cs="Cambria"/>
              <w:color w:val="auto"/>
              <w:sz w:val="20"/>
              <w:szCs w:val="20"/>
            </w:rPr>
          </w:pPr>
          <w:r>
            <w:rPr>
              <w:rFonts w:ascii="Cambria" w:eastAsia="Cambria" w:hAnsi="Cambria" w:cs="Cambria"/>
              <w:color w:val="auto"/>
            </w:rPr>
            <w:lastRenderedPageBreak/>
            <w:t>Statutory requirment</w:t>
          </w:r>
          <w:r>
            <w:rPr>
              <w:rFonts w:ascii="Cambria" w:eastAsia="Cambria" w:hAnsi="Cambria" w:cs="Cambria"/>
              <w:color w:val="auto"/>
            </w:rPr>
            <w:br/>
            <w:t>chapter 22 of the Acts of 2022</w:t>
          </w:r>
          <w:r>
            <w:rPr>
              <w:rFonts w:ascii="Cambria" w:eastAsia="Cambria" w:hAnsi="Cambria" w:cs="Cambria"/>
              <w:color w:val="auto"/>
            </w:rPr>
            <w:br/>
          </w:r>
          <w:hyperlink r:id="rId11" w:history="1">
            <w:r w:rsidRPr="00890363">
              <w:rPr>
                <w:rStyle w:val="Hyperlink"/>
                <w:sz w:val="20"/>
                <w:szCs w:val="20"/>
              </w:rPr>
              <w:t>https://malegislature.gov/Laws/SessionLaws/Acts/2022/Chapter22</w:t>
            </w:r>
          </w:hyperlink>
        </w:p>
        <w:p w14:paraId="2A97E589" w14:textId="77777777" w:rsidR="00887258" w:rsidRPr="00890363" w:rsidRDefault="00824AD3" w:rsidP="33D14B13">
          <w:pPr>
            <w:rPr>
              <w:rFonts w:eastAsiaTheme="minorEastAsia"/>
              <w:color w:val="auto"/>
              <w:sz w:val="20"/>
              <w:szCs w:val="20"/>
            </w:rPr>
          </w:pPr>
          <w:r w:rsidRPr="00890363">
            <w:rPr>
              <w:rFonts w:eastAsiaTheme="minorEastAsia"/>
              <w:color w:val="auto"/>
              <w:sz w:val="20"/>
              <w:szCs w:val="20"/>
            </w:rPr>
            <w:t xml:space="preserve">SECTION 30. Notwithstanding any general or special law to the contrary, the secretary of health and human services shall prepare and implement a detailed comprehensive COVID-19 vaccination equity plan, including interim goals, benchmarks and timelines, to significantly increase the proportion of adults and children who are fully vaccinated for COVID-19, including booster vaccinations, among communities in the commonwealth that have disproportionately low vaccination rates, which may include, but shall not be limited to, minority, immigrant and low-income communities. The goal of the plan shall be to eliminate disparities in the rates of vaccination. </w:t>
          </w:r>
          <w:r w:rsidR="00B801ED" w:rsidRPr="00890363">
            <w:rPr>
              <w:rFonts w:eastAsiaTheme="minorEastAsia"/>
              <w:color w:val="auto"/>
              <w:sz w:val="20"/>
              <w:szCs w:val="20"/>
            </w:rPr>
            <w:t>The plan shall include: (i) mechanisms necessary to directly deliver medically and scientifically accurate, culturally competent and linguistically diverse information about the safety and efficacy of vaccination, including particularly the COVID-19 vaccine, and the pathways to receiving a COVID-19 vaccine; (ii) a complete list of existing or new community-based partnerships for implementation of the plan, including an explanation of the role of local public health departments or boards of health, community-rooted faith-based organizations and locally-based health care providers in implementing the plan; and (iii) a budget for implementation with funding sources identified. The secretary shall provide the plan in writing to the house and senate committees on ways and means, the joint committee on COVID-19 and emergency preparedness and management and the joint committee on public health and make the plan publicly available on the website of the department of public health not later than 30 days after the effective date of this section. The secretary shall report progress towards achieving the equity plan goals by region, by municipality and statewide not less than every 60 days following the completion of the plan.</w:t>
          </w:r>
        </w:p>
        <w:p w14:paraId="0C81BA81" w14:textId="70F84FA3" w:rsidR="00824AD3" w:rsidRPr="00890363" w:rsidRDefault="00887258" w:rsidP="00887258">
          <w:pPr>
            <w:rPr>
              <w:rFonts w:eastAsiaTheme="minorEastAsia"/>
              <w:color w:val="auto"/>
              <w:sz w:val="20"/>
              <w:szCs w:val="20"/>
            </w:rPr>
          </w:pPr>
          <w:r w:rsidRPr="00890363">
            <w:rPr>
              <w:rFonts w:eastAsiaTheme="minorEastAsia"/>
              <w:color w:val="auto"/>
              <w:sz w:val="20"/>
              <w:szCs w:val="20"/>
            </w:rPr>
            <w:br w:type="page"/>
          </w:r>
        </w:p>
      </w:sdtContent>
    </w:sdt>
    <w:p w14:paraId="076BD316" w14:textId="3C4DF0FB" w:rsidR="33D14B13" w:rsidRPr="00890363" w:rsidRDefault="33D14B13" w:rsidP="33D14B13">
      <w:pPr>
        <w:pStyle w:val="Title"/>
        <w:rPr>
          <w:color w:val="auto"/>
        </w:rPr>
      </w:pPr>
    </w:p>
    <w:p w14:paraId="40E26E4D" w14:textId="79B394FB" w:rsidR="33D14B13" w:rsidRPr="00890363" w:rsidRDefault="33D14B13" w:rsidP="33D14B13">
      <w:pPr>
        <w:pStyle w:val="Title"/>
        <w:rPr>
          <w:color w:val="auto"/>
        </w:rPr>
      </w:pPr>
    </w:p>
    <w:p w14:paraId="0BBBA71F" w14:textId="34473C54" w:rsidR="0040265D" w:rsidRPr="00890363" w:rsidRDefault="000860B0" w:rsidP="33D14B13">
      <w:pPr>
        <w:pStyle w:val="Title"/>
        <w:rPr>
          <w:color w:val="auto"/>
        </w:rPr>
      </w:pPr>
      <w:r w:rsidRPr="00890363">
        <w:rPr>
          <w:color w:val="auto"/>
        </w:rPr>
        <w:t xml:space="preserve">COVID-19 Vaccine Equity </w:t>
      </w:r>
    </w:p>
    <w:p w14:paraId="6053E634" w14:textId="3577A7E4" w:rsidR="00B979D8" w:rsidRPr="00890363" w:rsidRDefault="000860B0">
      <w:pPr>
        <w:pStyle w:val="Heading1"/>
        <w:rPr>
          <w:color w:val="auto"/>
        </w:rPr>
      </w:pPr>
      <w:r w:rsidRPr="00890363">
        <w:rPr>
          <w:color w:val="auto"/>
        </w:rPr>
        <w:t>Exec</w:t>
      </w:r>
      <w:r w:rsidR="00B801ED" w:rsidRPr="00890363">
        <w:rPr>
          <w:color w:val="auto"/>
        </w:rPr>
        <w:t>u</w:t>
      </w:r>
      <w:r w:rsidRPr="00890363">
        <w:rPr>
          <w:color w:val="auto"/>
        </w:rPr>
        <w:t>tive Summary</w:t>
      </w:r>
    </w:p>
    <w:p w14:paraId="44758074" w14:textId="7249E759" w:rsidR="00392CDD" w:rsidRPr="00890363" w:rsidRDefault="001B485C" w:rsidP="00392CDD">
      <w:pPr>
        <w:ind w:left="0"/>
        <w:rPr>
          <w:color w:val="auto"/>
        </w:rPr>
      </w:pPr>
      <w:r w:rsidRPr="00890363">
        <w:rPr>
          <w:color w:val="auto"/>
        </w:rPr>
        <w:t xml:space="preserve">Massachusetts is a </w:t>
      </w:r>
      <w:r w:rsidR="00E05FB5" w:rsidRPr="00890363">
        <w:rPr>
          <w:color w:val="auto"/>
        </w:rPr>
        <w:t xml:space="preserve">national </w:t>
      </w:r>
      <w:r w:rsidRPr="00890363">
        <w:rPr>
          <w:color w:val="auto"/>
        </w:rPr>
        <w:t xml:space="preserve">leader for vaccination of </w:t>
      </w:r>
      <w:proofErr w:type="gramStart"/>
      <w:r w:rsidR="00250D15" w:rsidRPr="00890363">
        <w:rPr>
          <w:color w:val="auto"/>
        </w:rPr>
        <w:t>all of</w:t>
      </w:r>
      <w:proofErr w:type="gramEnd"/>
      <w:r w:rsidR="00250D15" w:rsidRPr="00890363">
        <w:rPr>
          <w:color w:val="auto"/>
        </w:rPr>
        <w:t xml:space="preserve"> its residents, including individuals </w:t>
      </w:r>
      <w:r w:rsidR="008271B8" w:rsidRPr="00890363">
        <w:rPr>
          <w:color w:val="auto"/>
        </w:rPr>
        <w:t xml:space="preserve">from communities that have been </w:t>
      </w:r>
      <w:r w:rsidR="00250D15" w:rsidRPr="00890363">
        <w:rPr>
          <w:color w:val="auto"/>
        </w:rPr>
        <w:t xml:space="preserve">disproportionately impacted by the pandemic.  </w:t>
      </w:r>
      <w:r w:rsidR="00392CDD" w:rsidRPr="00890363">
        <w:rPr>
          <w:color w:val="auto"/>
        </w:rPr>
        <w:t xml:space="preserve">The </w:t>
      </w:r>
      <w:r w:rsidR="00E05FB5" w:rsidRPr="00890363">
        <w:rPr>
          <w:color w:val="auto"/>
        </w:rPr>
        <w:t>Baker-</w:t>
      </w:r>
      <w:proofErr w:type="spellStart"/>
      <w:r w:rsidR="00E05FB5" w:rsidRPr="00890363">
        <w:rPr>
          <w:color w:val="auto"/>
        </w:rPr>
        <w:t>Polito</w:t>
      </w:r>
      <w:proofErr w:type="spellEnd"/>
      <w:r w:rsidR="00E05FB5" w:rsidRPr="00890363">
        <w:rPr>
          <w:color w:val="auto"/>
        </w:rPr>
        <w:t xml:space="preserve"> </w:t>
      </w:r>
      <w:r w:rsidR="00392CDD" w:rsidRPr="00890363">
        <w:rPr>
          <w:color w:val="auto"/>
        </w:rPr>
        <w:t>Administration has focused on equity throughout its COVID-19 response, including in vaccination efforts and data reporting.</w:t>
      </w:r>
    </w:p>
    <w:p w14:paraId="71432907" w14:textId="6ACDBF33" w:rsidR="0044184C" w:rsidRPr="00890363" w:rsidRDefault="00250D15" w:rsidP="00493BB9">
      <w:pPr>
        <w:ind w:left="0"/>
        <w:rPr>
          <w:color w:val="auto"/>
        </w:rPr>
      </w:pPr>
      <w:r w:rsidRPr="00890363">
        <w:rPr>
          <w:color w:val="auto"/>
        </w:rPr>
        <w:t xml:space="preserve">As of </w:t>
      </w:r>
      <w:r w:rsidR="00CC6B4E" w:rsidRPr="00890363">
        <w:rPr>
          <w:color w:val="auto"/>
        </w:rPr>
        <w:t>the week of March 7</w:t>
      </w:r>
      <w:r w:rsidR="00CC6B4E" w:rsidRPr="00890363">
        <w:rPr>
          <w:color w:val="auto"/>
          <w:vertAlign w:val="superscript"/>
        </w:rPr>
        <w:t>th</w:t>
      </w:r>
      <w:r w:rsidR="00CC6B4E" w:rsidRPr="00890363">
        <w:rPr>
          <w:color w:val="auto"/>
        </w:rPr>
        <w:t>, according to the Center</w:t>
      </w:r>
      <w:r w:rsidR="00D43A4E" w:rsidRPr="00890363">
        <w:rPr>
          <w:color w:val="auto"/>
        </w:rPr>
        <w:t>s</w:t>
      </w:r>
      <w:r w:rsidR="00CC6B4E" w:rsidRPr="00890363">
        <w:rPr>
          <w:color w:val="auto"/>
        </w:rPr>
        <w:t xml:space="preserve"> for Disease Control </w:t>
      </w:r>
      <w:r w:rsidR="00D43A4E" w:rsidRPr="00890363">
        <w:rPr>
          <w:color w:val="auto"/>
        </w:rPr>
        <w:t xml:space="preserve">and Prevention </w:t>
      </w:r>
      <w:r w:rsidR="00CC6B4E" w:rsidRPr="00890363">
        <w:rPr>
          <w:color w:val="auto"/>
        </w:rPr>
        <w:t>(CDC), over 6.6 million eligible (5 and older) Massachusetts residents, or 95%, had received at least one dose and 5.3 million of eligible residents, or 82% are fully vaccinated</w:t>
      </w:r>
      <w:r w:rsidR="0044184C" w:rsidRPr="00890363">
        <w:rPr>
          <w:color w:val="auto"/>
        </w:rPr>
        <w:t xml:space="preserve"> as compared nationally to 81% and 70% respectively</w:t>
      </w:r>
      <w:r w:rsidR="00CC6B4E" w:rsidRPr="00890363">
        <w:rPr>
          <w:color w:val="auto"/>
        </w:rPr>
        <w:t xml:space="preserve">.  </w:t>
      </w:r>
    </w:p>
    <w:p w14:paraId="3F79AD83" w14:textId="3A8CE135" w:rsidR="008271B8" w:rsidRPr="00890363" w:rsidRDefault="00CC6B4E" w:rsidP="00493BB9">
      <w:pPr>
        <w:ind w:left="0"/>
        <w:rPr>
          <w:color w:val="auto"/>
        </w:rPr>
      </w:pPr>
      <w:r w:rsidRPr="00890363">
        <w:rPr>
          <w:color w:val="auto"/>
        </w:rPr>
        <w:t xml:space="preserve">Data from </w:t>
      </w:r>
      <w:r w:rsidR="001B485C" w:rsidRPr="00890363">
        <w:rPr>
          <w:color w:val="auto"/>
        </w:rPr>
        <w:t>the Kaiser Family Foundation</w:t>
      </w:r>
      <w:r w:rsidRPr="00890363">
        <w:rPr>
          <w:color w:val="auto"/>
        </w:rPr>
        <w:t xml:space="preserve"> reports </w:t>
      </w:r>
      <w:r w:rsidR="00E730D6" w:rsidRPr="00890363">
        <w:rPr>
          <w:color w:val="auto"/>
        </w:rPr>
        <w:t>that</w:t>
      </w:r>
      <w:r w:rsidR="001B485C" w:rsidRPr="00890363">
        <w:rPr>
          <w:color w:val="auto"/>
        </w:rPr>
        <w:t xml:space="preserve"> 98% of </w:t>
      </w:r>
      <w:r w:rsidR="00D43A4E" w:rsidRPr="00890363">
        <w:rPr>
          <w:color w:val="auto"/>
        </w:rPr>
        <w:t xml:space="preserve">our </w:t>
      </w:r>
      <w:r w:rsidR="001B485C" w:rsidRPr="00890363">
        <w:rPr>
          <w:color w:val="auto"/>
        </w:rPr>
        <w:t xml:space="preserve">Asian residents, 86% of </w:t>
      </w:r>
      <w:r w:rsidR="00D43A4E" w:rsidRPr="00890363">
        <w:rPr>
          <w:color w:val="auto"/>
        </w:rPr>
        <w:t xml:space="preserve">our </w:t>
      </w:r>
      <w:r w:rsidR="001B485C" w:rsidRPr="00890363">
        <w:rPr>
          <w:color w:val="auto"/>
        </w:rPr>
        <w:t xml:space="preserve">White residents, 80% of </w:t>
      </w:r>
      <w:r w:rsidR="00D43A4E" w:rsidRPr="00890363">
        <w:rPr>
          <w:color w:val="auto"/>
        </w:rPr>
        <w:t xml:space="preserve">our </w:t>
      </w:r>
      <w:r w:rsidR="001B485C" w:rsidRPr="00890363">
        <w:rPr>
          <w:color w:val="auto"/>
        </w:rPr>
        <w:t xml:space="preserve">Black residents and 76% of </w:t>
      </w:r>
      <w:r w:rsidR="00D43A4E" w:rsidRPr="00890363">
        <w:rPr>
          <w:color w:val="auto"/>
        </w:rPr>
        <w:t xml:space="preserve">our </w:t>
      </w:r>
      <w:r w:rsidR="001B485C" w:rsidRPr="00890363">
        <w:rPr>
          <w:color w:val="auto"/>
        </w:rPr>
        <w:t>Hispanic residents have received at least one dose. This compares nationally to 83% of Asian residents, 6</w:t>
      </w:r>
      <w:r w:rsidR="00D0530C" w:rsidRPr="00890363">
        <w:rPr>
          <w:color w:val="auto"/>
        </w:rPr>
        <w:t>1</w:t>
      </w:r>
      <w:r w:rsidR="001B485C" w:rsidRPr="00890363">
        <w:rPr>
          <w:color w:val="auto"/>
        </w:rPr>
        <w:t xml:space="preserve">% of White residents, 55% of Black residents and 62% of Hispanic residents. </w:t>
      </w:r>
    </w:p>
    <w:p w14:paraId="622EEA3E" w14:textId="20421723" w:rsidR="008271B8" w:rsidRPr="00890363" w:rsidRDefault="00CC6B4E" w:rsidP="00E730D6">
      <w:pPr>
        <w:ind w:left="0"/>
        <w:rPr>
          <w:color w:val="auto"/>
        </w:rPr>
      </w:pPr>
      <w:r w:rsidRPr="00890363">
        <w:rPr>
          <w:color w:val="auto"/>
        </w:rPr>
        <w:t>In February 2021, the Baker-</w:t>
      </w:r>
      <w:proofErr w:type="spellStart"/>
      <w:r w:rsidRPr="00890363">
        <w:rPr>
          <w:color w:val="auto"/>
        </w:rPr>
        <w:t>Polito</w:t>
      </w:r>
      <w:proofErr w:type="spellEnd"/>
      <w:r w:rsidRPr="00890363">
        <w:rPr>
          <w:color w:val="auto"/>
        </w:rPr>
        <w:t xml:space="preserve"> Administration launched the Vaccine Equity Initiative (VEI) to address vaccine hesitancy and improve vaccine administration rates in the twenty most disproportionately impacted communities.  </w:t>
      </w:r>
    </w:p>
    <w:p w14:paraId="01CCCEF0" w14:textId="4293E3AA" w:rsidR="00CC6B4E" w:rsidRPr="00890363" w:rsidRDefault="000342FF" w:rsidP="00641BF7">
      <w:pPr>
        <w:ind w:left="0"/>
        <w:rPr>
          <w:color w:val="auto"/>
        </w:rPr>
      </w:pPr>
      <w:r w:rsidRPr="00890363">
        <w:rPr>
          <w:color w:val="auto"/>
        </w:rPr>
        <w:t xml:space="preserve">To date, the progress of state/local </w:t>
      </w:r>
      <w:r w:rsidR="0044184C" w:rsidRPr="00890363">
        <w:rPr>
          <w:color w:val="auto"/>
        </w:rPr>
        <w:t xml:space="preserve">and public/private </w:t>
      </w:r>
      <w:r w:rsidRPr="00890363">
        <w:rPr>
          <w:color w:val="auto"/>
        </w:rPr>
        <w:t>collaboration has yielded:</w:t>
      </w:r>
    </w:p>
    <w:p w14:paraId="41AB49C7" w14:textId="205CB1DA" w:rsidR="00392CDD" w:rsidRPr="00890363" w:rsidRDefault="001B485C" w:rsidP="001B485C">
      <w:pPr>
        <w:numPr>
          <w:ilvl w:val="0"/>
          <w:numId w:val="29"/>
        </w:numPr>
        <w:rPr>
          <w:color w:val="auto"/>
        </w:rPr>
      </w:pPr>
      <w:r w:rsidRPr="00890363">
        <w:rPr>
          <w:color w:val="auto"/>
        </w:rPr>
        <w:t xml:space="preserve">More than 70% of the eligible population (age 5+) in thirteen of the twenty </w:t>
      </w:r>
      <w:r w:rsidR="0028345A" w:rsidRPr="00890363">
        <w:rPr>
          <w:color w:val="auto"/>
        </w:rPr>
        <w:t>VEI communities</w:t>
      </w:r>
      <w:r w:rsidRPr="00890363">
        <w:rPr>
          <w:color w:val="auto"/>
        </w:rPr>
        <w:t xml:space="preserve"> are fully vaccinated as of </w:t>
      </w:r>
      <w:r w:rsidR="005C13EC" w:rsidRPr="00890363">
        <w:rPr>
          <w:color w:val="auto"/>
        </w:rPr>
        <w:t>March 8</w:t>
      </w:r>
      <w:r w:rsidRPr="00890363">
        <w:rPr>
          <w:color w:val="auto"/>
        </w:rPr>
        <w:t>, 2022</w:t>
      </w:r>
      <w:r w:rsidR="0044184C" w:rsidRPr="00890363">
        <w:rPr>
          <w:color w:val="auto"/>
        </w:rPr>
        <w:t>.  F</w:t>
      </w:r>
      <w:r w:rsidRPr="00890363">
        <w:rPr>
          <w:color w:val="auto"/>
        </w:rPr>
        <w:t>our of the</w:t>
      </w:r>
      <w:r w:rsidR="00CC6B4E" w:rsidRPr="00890363">
        <w:rPr>
          <w:color w:val="auto"/>
        </w:rPr>
        <w:t>se</w:t>
      </w:r>
      <w:r w:rsidRPr="00890363">
        <w:rPr>
          <w:color w:val="auto"/>
        </w:rPr>
        <w:t xml:space="preserve"> communities are over 80% fully vaccinated. </w:t>
      </w:r>
    </w:p>
    <w:p w14:paraId="7F4BA444" w14:textId="16C9400F" w:rsidR="00CC6B4E" w:rsidRPr="00890363" w:rsidRDefault="001B485C" w:rsidP="001B485C">
      <w:pPr>
        <w:numPr>
          <w:ilvl w:val="0"/>
          <w:numId w:val="29"/>
        </w:numPr>
        <w:rPr>
          <w:color w:val="auto"/>
        </w:rPr>
      </w:pPr>
      <w:r w:rsidRPr="00890363">
        <w:rPr>
          <w:color w:val="auto"/>
        </w:rPr>
        <w:t xml:space="preserve">In Chelsea, a community that was described by the media early on as an “epicenter” of the </w:t>
      </w:r>
      <w:r w:rsidR="00CC6B4E" w:rsidRPr="00890363">
        <w:rPr>
          <w:color w:val="auto"/>
        </w:rPr>
        <w:t>pandemic, over 91% of the eligible population is fully vaccinated.</w:t>
      </w:r>
    </w:p>
    <w:p w14:paraId="3FEF8FC7" w14:textId="1F1FAA79" w:rsidR="001B485C" w:rsidRPr="00890363" w:rsidRDefault="001B485C" w:rsidP="001B485C">
      <w:pPr>
        <w:numPr>
          <w:ilvl w:val="0"/>
          <w:numId w:val="29"/>
        </w:numPr>
        <w:rPr>
          <w:color w:val="auto"/>
        </w:rPr>
      </w:pPr>
      <w:r w:rsidRPr="00890363">
        <w:rPr>
          <w:color w:val="auto"/>
        </w:rPr>
        <w:t>1</w:t>
      </w:r>
      <w:r w:rsidR="005C13EC" w:rsidRPr="00890363">
        <w:rPr>
          <w:color w:val="auto"/>
        </w:rPr>
        <w:t>3</w:t>
      </w:r>
      <w:r w:rsidRPr="00890363">
        <w:rPr>
          <w:color w:val="auto"/>
        </w:rPr>
        <w:t xml:space="preserve"> of the 20 communities are now </w:t>
      </w:r>
      <w:r w:rsidR="005C13EC" w:rsidRPr="00890363">
        <w:rPr>
          <w:color w:val="auto"/>
        </w:rPr>
        <w:t xml:space="preserve">at or </w:t>
      </w:r>
      <w:r w:rsidRPr="00890363">
        <w:rPr>
          <w:color w:val="auto"/>
        </w:rPr>
        <w:t>above the national average rate of eligible residents with at least one dose</w:t>
      </w:r>
      <w:r w:rsidR="00164BBD" w:rsidRPr="00890363">
        <w:rPr>
          <w:color w:val="auto"/>
        </w:rPr>
        <w:t>, which is over 81%</w:t>
      </w:r>
      <w:r w:rsidRPr="00890363">
        <w:rPr>
          <w:color w:val="auto"/>
        </w:rPr>
        <w:t xml:space="preserve">. </w:t>
      </w:r>
    </w:p>
    <w:p w14:paraId="646B9A56" w14:textId="3E91B8D7" w:rsidR="001B485C" w:rsidRPr="00712491" w:rsidRDefault="001B485C" w:rsidP="001B485C">
      <w:pPr>
        <w:pStyle w:val="ListParagraph"/>
        <w:numPr>
          <w:ilvl w:val="0"/>
          <w:numId w:val="29"/>
        </w:numPr>
      </w:pPr>
      <w:r w:rsidRPr="00890363">
        <w:t xml:space="preserve">By the end of February 2022, booster rates were increasing in </w:t>
      </w:r>
      <w:r w:rsidR="0044184C" w:rsidRPr="00890363">
        <w:t xml:space="preserve">the twenty equity </w:t>
      </w:r>
      <w:r w:rsidRPr="00890363">
        <w:t>communities at a faster pace than non-</w:t>
      </w:r>
      <w:r w:rsidR="0028345A" w:rsidRPr="00890363">
        <w:t>VEI communities</w:t>
      </w:r>
      <w:r w:rsidRPr="00890363">
        <w:t xml:space="preserve">.  Over half of eligible residents in </w:t>
      </w:r>
      <w:r w:rsidR="00D624DA" w:rsidRPr="00890363">
        <w:t xml:space="preserve">VEI </w:t>
      </w:r>
      <w:r w:rsidRPr="00890363">
        <w:t>communities have had their booster (52.5%).</w:t>
      </w:r>
    </w:p>
    <w:p w14:paraId="2EBBE01C" w14:textId="77777777" w:rsidR="00D0530C" w:rsidRPr="00712491" w:rsidRDefault="00D0530C" w:rsidP="00D0530C">
      <w:pPr>
        <w:pStyle w:val="ListParagraph"/>
        <w:ind w:left="1080"/>
      </w:pPr>
    </w:p>
    <w:p w14:paraId="057F9F80" w14:textId="77777777" w:rsidR="008271B8" w:rsidRPr="00890363" w:rsidRDefault="008271B8" w:rsidP="00A253FF">
      <w:pPr>
        <w:ind w:left="0"/>
        <w:rPr>
          <w:color w:val="auto"/>
        </w:rPr>
      </w:pPr>
    </w:p>
    <w:p w14:paraId="797C94D0" w14:textId="72E13544" w:rsidR="008271B8" w:rsidRPr="00890363" w:rsidRDefault="008271B8" w:rsidP="00A253FF">
      <w:pPr>
        <w:ind w:left="0"/>
        <w:rPr>
          <w:color w:val="auto"/>
        </w:rPr>
      </w:pPr>
      <w:r w:rsidRPr="00890363">
        <w:rPr>
          <w:color w:val="auto"/>
        </w:rPr>
        <w:t xml:space="preserve">While Massachusetts is a leader in vaccine </w:t>
      </w:r>
      <w:r w:rsidR="00392CDD" w:rsidRPr="00890363">
        <w:rPr>
          <w:color w:val="auto"/>
        </w:rPr>
        <w:t xml:space="preserve">administration and </w:t>
      </w:r>
      <w:r w:rsidRPr="00890363">
        <w:rPr>
          <w:color w:val="auto"/>
        </w:rPr>
        <w:t xml:space="preserve">equity, the Administration recognizes there is more work to do, which is why the VEI efforts </w:t>
      </w:r>
      <w:r w:rsidR="00392CDD" w:rsidRPr="00890363">
        <w:rPr>
          <w:color w:val="auto"/>
        </w:rPr>
        <w:t>continue.</w:t>
      </w:r>
    </w:p>
    <w:p w14:paraId="53EAD2AD" w14:textId="1C493776" w:rsidR="001B485C" w:rsidRPr="00890363" w:rsidRDefault="001B485C" w:rsidP="00A253FF">
      <w:pPr>
        <w:ind w:left="0"/>
        <w:rPr>
          <w:color w:val="auto"/>
        </w:rPr>
      </w:pPr>
      <w:r w:rsidRPr="00890363">
        <w:rPr>
          <w:color w:val="auto"/>
        </w:rPr>
        <w:t xml:space="preserve">Building on the lessons of the past two years, the strength of public collaboration at the state and local level, and leveraging community partnerships, the Commonwealth will continue to </w:t>
      </w:r>
      <w:r w:rsidR="00BA3B38" w:rsidRPr="00890363">
        <w:rPr>
          <w:color w:val="auto"/>
        </w:rPr>
        <w:t>address vaccine hesitancy in a culturally appropriate and sensitive manner</w:t>
      </w:r>
      <w:r w:rsidR="00392CDD" w:rsidRPr="00890363">
        <w:rPr>
          <w:color w:val="auto"/>
        </w:rPr>
        <w:t>.</w:t>
      </w:r>
      <w:r w:rsidR="00BA3B38" w:rsidRPr="00890363">
        <w:rPr>
          <w:color w:val="auto"/>
        </w:rPr>
        <w:t xml:space="preserve"> The</w:t>
      </w:r>
      <w:r w:rsidR="00392CDD" w:rsidRPr="00890363">
        <w:rPr>
          <w:color w:val="auto"/>
        </w:rPr>
        <w:t xml:space="preserve"> overarching</w:t>
      </w:r>
      <w:r w:rsidR="00BA3B38" w:rsidRPr="00890363">
        <w:rPr>
          <w:color w:val="auto"/>
        </w:rPr>
        <w:t xml:space="preserve"> goal is to provide safe and effective vaccines</w:t>
      </w:r>
      <w:r w:rsidR="00CF7C37" w:rsidRPr="00890363">
        <w:rPr>
          <w:color w:val="auto"/>
        </w:rPr>
        <w:t xml:space="preserve"> </w:t>
      </w:r>
      <w:r w:rsidR="00BA3B38" w:rsidRPr="00890363">
        <w:rPr>
          <w:color w:val="auto"/>
        </w:rPr>
        <w:t xml:space="preserve">to as many residents as possible who will </w:t>
      </w:r>
      <w:r w:rsidR="000342FF" w:rsidRPr="00890363">
        <w:rPr>
          <w:color w:val="auto"/>
        </w:rPr>
        <w:t xml:space="preserve">voluntarily </w:t>
      </w:r>
      <w:r w:rsidR="006B6735" w:rsidRPr="00890363">
        <w:rPr>
          <w:color w:val="auto"/>
        </w:rPr>
        <w:t>receive them</w:t>
      </w:r>
      <w:r w:rsidR="00BA3B38" w:rsidRPr="00890363">
        <w:rPr>
          <w:color w:val="auto"/>
        </w:rPr>
        <w:t xml:space="preserve">.  </w:t>
      </w:r>
    </w:p>
    <w:p w14:paraId="3924AC54" w14:textId="2CC79A6F" w:rsidR="001B485C" w:rsidRPr="00890363" w:rsidRDefault="001B485C" w:rsidP="00701034">
      <w:pPr>
        <w:rPr>
          <w:color w:val="auto"/>
        </w:rPr>
      </w:pPr>
    </w:p>
    <w:p w14:paraId="5769EC55" w14:textId="77777777" w:rsidR="00493BB9" w:rsidRPr="00890363" w:rsidRDefault="00701034" w:rsidP="00493BB9">
      <w:pPr>
        <w:ind w:left="0"/>
        <w:rPr>
          <w:b/>
          <w:bCs/>
          <w:i/>
          <w:iCs/>
          <w:color w:val="auto"/>
        </w:rPr>
      </w:pPr>
      <w:r w:rsidRPr="00890363">
        <w:rPr>
          <w:b/>
          <w:bCs/>
          <w:i/>
          <w:iCs/>
          <w:color w:val="auto"/>
        </w:rPr>
        <w:t>COVID-19 Vaccine Rollout</w:t>
      </w:r>
    </w:p>
    <w:p w14:paraId="184AE4E6" w14:textId="08DE68DF" w:rsidR="00701034" w:rsidRPr="00890363" w:rsidRDefault="00701034" w:rsidP="00493BB9">
      <w:pPr>
        <w:ind w:left="0"/>
        <w:rPr>
          <w:color w:val="auto"/>
        </w:rPr>
      </w:pPr>
      <w:r w:rsidRPr="00890363">
        <w:rPr>
          <w:color w:val="auto"/>
        </w:rPr>
        <w:t xml:space="preserve">In the earliest days of the COVID-19 pandemic, when the federally allocated vaccine supply was severely constrained, the Administration </w:t>
      </w:r>
      <w:r w:rsidR="00C04001" w:rsidRPr="00890363">
        <w:rPr>
          <w:color w:val="auto"/>
        </w:rPr>
        <w:t>made an equitable rollout strategy a priority</w:t>
      </w:r>
      <w:r w:rsidRPr="00890363">
        <w:rPr>
          <w:color w:val="auto"/>
        </w:rPr>
        <w:t xml:space="preserve">.  In </w:t>
      </w:r>
      <w:r w:rsidR="00AD3B02" w:rsidRPr="00890363">
        <w:rPr>
          <w:color w:val="auto"/>
        </w:rPr>
        <w:t>October 2020</w:t>
      </w:r>
      <w:r w:rsidR="008E3D06" w:rsidRPr="00890363">
        <w:rPr>
          <w:color w:val="auto"/>
        </w:rPr>
        <w:t>,</w:t>
      </w:r>
      <w:r w:rsidR="00AD3B02" w:rsidRPr="00890363">
        <w:rPr>
          <w:color w:val="auto"/>
        </w:rPr>
        <w:t xml:space="preserve"> </w:t>
      </w:r>
      <w:r w:rsidRPr="00890363">
        <w:rPr>
          <w:color w:val="auto"/>
        </w:rPr>
        <w:t xml:space="preserve">the Administration convened a </w:t>
      </w:r>
      <w:hyperlink r:id="rId12" w:history="1">
        <w:r w:rsidRPr="00890363">
          <w:rPr>
            <w:rStyle w:val="Hyperlink"/>
            <w:color w:val="auto"/>
          </w:rPr>
          <w:t>COVID-19 Vaccine Advisory Board</w:t>
        </w:r>
      </w:hyperlink>
      <w:r w:rsidRPr="00890363">
        <w:rPr>
          <w:color w:val="auto"/>
        </w:rPr>
        <w:t xml:space="preserve"> composed of </w:t>
      </w:r>
      <w:r w:rsidR="00AD3B02" w:rsidRPr="00890363">
        <w:rPr>
          <w:color w:val="auto"/>
        </w:rPr>
        <w:t>medical professionals, public health experts, elected officials, community leaders and infectious disease specialists</w:t>
      </w:r>
      <w:r w:rsidR="000342FF" w:rsidRPr="00890363">
        <w:rPr>
          <w:color w:val="auto"/>
        </w:rPr>
        <w:t xml:space="preserve">. </w:t>
      </w:r>
      <w:r w:rsidRPr="00890363">
        <w:rPr>
          <w:color w:val="auto"/>
        </w:rPr>
        <w:t xml:space="preserve"> This advisory board developed three co-equal principles for vaccine prioritization:  </w:t>
      </w:r>
      <w:r w:rsidR="00AD3B02" w:rsidRPr="00890363">
        <w:rPr>
          <w:color w:val="auto"/>
        </w:rPr>
        <w:t>reducing severe illness and death</w:t>
      </w:r>
      <w:r w:rsidR="000342FF" w:rsidRPr="00890363">
        <w:rPr>
          <w:color w:val="auto"/>
        </w:rPr>
        <w:t>;</w:t>
      </w:r>
      <w:r w:rsidR="00AD3B02" w:rsidRPr="00890363">
        <w:rPr>
          <w:color w:val="auto"/>
        </w:rPr>
        <w:t xml:space="preserve"> preserving the healthcare system</w:t>
      </w:r>
      <w:r w:rsidR="000342FF" w:rsidRPr="00890363">
        <w:rPr>
          <w:color w:val="auto"/>
        </w:rPr>
        <w:t>;</w:t>
      </w:r>
      <w:r w:rsidR="00AD3B02" w:rsidRPr="00890363">
        <w:rPr>
          <w:color w:val="auto"/>
        </w:rPr>
        <w:t xml:space="preserve"> and promoting equity.</w:t>
      </w:r>
      <w:r w:rsidRPr="00890363">
        <w:rPr>
          <w:color w:val="auto"/>
        </w:rPr>
        <w:t xml:space="preserve"> </w:t>
      </w:r>
    </w:p>
    <w:p w14:paraId="0C3C1B0F" w14:textId="5A85F3C0" w:rsidR="00701034" w:rsidRPr="00890363" w:rsidRDefault="00701034" w:rsidP="00493BB9">
      <w:pPr>
        <w:ind w:left="0"/>
        <w:rPr>
          <w:color w:val="auto"/>
        </w:rPr>
      </w:pPr>
      <w:r w:rsidRPr="00890363">
        <w:rPr>
          <w:color w:val="auto"/>
        </w:rPr>
        <w:t xml:space="preserve">Consideration of the geographic, racial, ethnic, and </w:t>
      </w:r>
      <w:r w:rsidR="00493BB9" w:rsidRPr="00890363">
        <w:rPr>
          <w:color w:val="auto"/>
        </w:rPr>
        <w:t>employment-based</w:t>
      </w:r>
      <w:r w:rsidRPr="00890363">
        <w:rPr>
          <w:color w:val="auto"/>
        </w:rPr>
        <w:t xml:space="preserve"> disparities in COVID-19 infection led the Advisory Board to </w:t>
      </w:r>
      <w:r w:rsidR="00F33896" w:rsidRPr="00890363">
        <w:rPr>
          <w:color w:val="auto"/>
        </w:rPr>
        <w:t xml:space="preserve">recommend the prioritization of </w:t>
      </w:r>
      <w:r w:rsidRPr="00890363">
        <w:rPr>
          <w:color w:val="auto"/>
        </w:rPr>
        <w:t xml:space="preserve">workers in healthcare settings as well as first responders, home health workers, and a range of professions (such as home health workers, environmental services and food workers, food processing workers) more likely to draw employees from groups experiencing higher rates of COVID-19 infection.  Utilizing this framework, the Administration deviated from the CDC’s guidance on occasion to ensure that equity was the </w:t>
      </w:r>
      <w:hyperlink r:id="rId13">
        <w:r w:rsidRPr="00890363">
          <w:rPr>
            <w:rStyle w:val="Hyperlink"/>
            <w:color w:val="auto"/>
          </w:rPr>
          <w:t>framework</w:t>
        </w:r>
      </w:hyperlink>
      <w:r w:rsidRPr="00890363">
        <w:rPr>
          <w:color w:val="auto"/>
        </w:rPr>
        <w:t xml:space="preserve"> for vaccine administration.</w:t>
      </w:r>
      <w:r w:rsidR="00B11621" w:rsidRPr="00890363">
        <w:rPr>
          <w:color w:val="auto"/>
        </w:rPr>
        <w:t xml:space="preserve"> </w:t>
      </w:r>
    </w:p>
    <w:p w14:paraId="276E6B30" w14:textId="77777777" w:rsidR="00A53CDE" w:rsidRPr="00890363" w:rsidRDefault="00A53CDE">
      <w:pPr>
        <w:rPr>
          <w:color w:val="auto"/>
        </w:rPr>
      </w:pPr>
    </w:p>
    <w:p w14:paraId="3582C57E" w14:textId="77777777" w:rsidR="00A53CDE" w:rsidRPr="00890363" w:rsidRDefault="00A53CDE" w:rsidP="00A53CDE">
      <w:pPr>
        <w:jc w:val="center"/>
        <w:rPr>
          <w:color w:val="auto"/>
        </w:rPr>
      </w:pPr>
      <w:r w:rsidRPr="00890363">
        <w:rPr>
          <w:noProof/>
          <w:color w:val="auto"/>
        </w:rPr>
        <w:lastRenderedPageBreak/>
        <w:drawing>
          <wp:inline distT="0" distB="0" distL="0" distR="0" wp14:anchorId="5E070072" wp14:editId="3E5187BB">
            <wp:extent cx="4334510" cy="3249295"/>
            <wp:effectExtent l="0" t="0" r="889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4510" cy="3249295"/>
                    </a:xfrm>
                    <a:prstGeom prst="rect">
                      <a:avLst/>
                    </a:prstGeom>
                    <a:noFill/>
                  </pic:spPr>
                </pic:pic>
              </a:graphicData>
            </a:graphic>
          </wp:inline>
        </w:drawing>
      </w:r>
    </w:p>
    <w:p w14:paraId="535BB08C" w14:textId="77777777" w:rsidR="00AD7F17" w:rsidRPr="00890363" w:rsidRDefault="00AD7F17" w:rsidP="00A53CDE">
      <w:pPr>
        <w:rPr>
          <w:color w:val="auto"/>
        </w:rPr>
      </w:pPr>
    </w:p>
    <w:p w14:paraId="18CF6D59" w14:textId="77777777" w:rsidR="00AD7F17" w:rsidRPr="00890363" w:rsidRDefault="00AD7F17" w:rsidP="00A53CDE">
      <w:pPr>
        <w:rPr>
          <w:color w:val="auto"/>
        </w:rPr>
      </w:pPr>
    </w:p>
    <w:p w14:paraId="0DB34757" w14:textId="1BC75FFA" w:rsidR="00B979D8" w:rsidRPr="00890363" w:rsidRDefault="00B11621" w:rsidP="00A53CDE">
      <w:pPr>
        <w:rPr>
          <w:color w:val="auto"/>
        </w:rPr>
      </w:pPr>
      <w:r w:rsidRPr="00890363">
        <w:rPr>
          <w:color w:val="auto"/>
        </w:rPr>
        <w:t xml:space="preserve">In response to the disproportionate impact of COVID-19 on communities of color, </w:t>
      </w:r>
      <w:r w:rsidR="00B425F4" w:rsidRPr="00890363">
        <w:rPr>
          <w:color w:val="auto"/>
        </w:rPr>
        <w:t>t</w:t>
      </w:r>
      <w:r w:rsidR="000860B0" w:rsidRPr="00890363">
        <w:rPr>
          <w:color w:val="auto"/>
        </w:rPr>
        <w:t>he Baker-</w:t>
      </w:r>
      <w:proofErr w:type="spellStart"/>
      <w:r w:rsidR="000860B0" w:rsidRPr="00890363">
        <w:rPr>
          <w:color w:val="auto"/>
        </w:rPr>
        <w:t>Polito</w:t>
      </w:r>
      <w:proofErr w:type="spellEnd"/>
      <w:r w:rsidR="000860B0" w:rsidRPr="00890363">
        <w:rPr>
          <w:color w:val="auto"/>
        </w:rPr>
        <w:t xml:space="preserve"> Administration launched the Vaccine Equity Initiative (VEI) in February 2021 to work with the communities hardest hit by COVID-19 to increase awareness and acceptance of the vaccine, access to vaccination locations, and </w:t>
      </w:r>
      <w:r w:rsidR="00543D58" w:rsidRPr="00890363">
        <w:rPr>
          <w:color w:val="auto"/>
        </w:rPr>
        <w:t xml:space="preserve">improve </w:t>
      </w:r>
      <w:r w:rsidR="000860B0" w:rsidRPr="00890363">
        <w:rPr>
          <w:color w:val="auto"/>
        </w:rPr>
        <w:t xml:space="preserve">vaccine administration rates. This approach </w:t>
      </w:r>
      <w:r w:rsidR="008E3D06" w:rsidRPr="00890363">
        <w:rPr>
          <w:color w:val="auto"/>
        </w:rPr>
        <w:t xml:space="preserve">has been </w:t>
      </w:r>
      <w:r w:rsidR="000860B0" w:rsidRPr="00890363">
        <w:rPr>
          <w:color w:val="auto"/>
        </w:rPr>
        <w:t>driven by community needs informed by the state’s </w:t>
      </w:r>
      <w:hyperlink r:id="rId15">
        <w:r w:rsidR="000860B0" w:rsidRPr="00890363">
          <w:rPr>
            <w:rStyle w:val="Hyperlink"/>
            <w:color w:val="auto"/>
          </w:rPr>
          <w:t>COVID-19 Health Equity Advisory Group</w:t>
        </w:r>
      </w:hyperlink>
      <w:r w:rsidR="000860B0" w:rsidRPr="00890363">
        <w:rPr>
          <w:color w:val="auto"/>
        </w:rPr>
        <w:t> and the </w:t>
      </w:r>
      <w:hyperlink r:id="rId16">
        <w:r w:rsidR="000860B0" w:rsidRPr="00890363">
          <w:rPr>
            <w:rStyle w:val="Hyperlink"/>
            <w:color w:val="auto"/>
          </w:rPr>
          <w:t>COVID-19 Vaccine Advisory Group</w:t>
        </w:r>
      </w:hyperlink>
      <w:r w:rsidR="000860B0" w:rsidRPr="00890363">
        <w:rPr>
          <w:color w:val="auto"/>
        </w:rPr>
        <w:t xml:space="preserve">. </w:t>
      </w:r>
    </w:p>
    <w:p w14:paraId="739C2F9F" w14:textId="1E24EEA6" w:rsidR="000860B0" w:rsidRPr="00890363" w:rsidRDefault="000860B0" w:rsidP="00954A94">
      <w:pPr>
        <w:rPr>
          <w:color w:val="auto"/>
        </w:rPr>
      </w:pPr>
      <w:r w:rsidRPr="00890363">
        <w:rPr>
          <w:color w:val="auto"/>
        </w:rPr>
        <w:t xml:space="preserve">The 20 most disproportionately impacted cities and towns </w:t>
      </w:r>
      <w:r w:rsidR="008E3D06" w:rsidRPr="00890363">
        <w:rPr>
          <w:color w:val="auto"/>
        </w:rPr>
        <w:t>were</w:t>
      </w:r>
      <w:r w:rsidRPr="00890363">
        <w:rPr>
          <w:color w:val="auto"/>
        </w:rPr>
        <w:t xml:space="preserve"> prioritized based on COVID-19 case rates, social determinants of health, and the disproportionate impact of COVID-19 on Black, Indigenous, People of Color, and Latinx individuals.</w:t>
      </w:r>
      <w:r w:rsidR="00954A94" w:rsidRPr="00890363">
        <w:rPr>
          <w:color w:val="auto"/>
        </w:rPr>
        <w:t xml:space="preserve"> </w:t>
      </w:r>
      <w:r w:rsidRPr="00890363">
        <w:rPr>
          <w:color w:val="auto"/>
        </w:rPr>
        <w:t xml:space="preserve">These cities and towns were </w:t>
      </w:r>
      <w:r w:rsidR="000342FF" w:rsidRPr="00890363">
        <w:rPr>
          <w:color w:val="auto"/>
        </w:rPr>
        <w:t xml:space="preserve">identified </w:t>
      </w:r>
      <w:r w:rsidRPr="00890363">
        <w:rPr>
          <w:color w:val="auto"/>
        </w:rPr>
        <w:t xml:space="preserve">using the CDC’s Social Vulnerability Index (SVI) and COVID-19 case rates since the start of the pandemic. </w:t>
      </w:r>
    </w:p>
    <w:p w14:paraId="1140F384" w14:textId="0887EF1F" w:rsidR="002A646D" w:rsidRPr="00890363" w:rsidRDefault="00954A94" w:rsidP="00A53CDE">
      <w:pPr>
        <w:rPr>
          <w:color w:val="auto"/>
        </w:rPr>
      </w:pPr>
      <w:r w:rsidRPr="00890363">
        <w:rPr>
          <w:color w:val="auto"/>
        </w:rPr>
        <w:t xml:space="preserve">The </w:t>
      </w:r>
      <w:r w:rsidR="0028345A" w:rsidRPr="00890363">
        <w:rPr>
          <w:color w:val="auto"/>
        </w:rPr>
        <w:t>20 VEI communities</w:t>
      </w:r>
      <w:r w:rsidRPr="00890363">
        <w:rPr>
          <w:color w:val="auto"/>
        </w:rPr>
        <w:t xml:space="preserve"> are: Boston, Brockton, Chelsea, Everett, Fall River, Fitchburg, Framingham, Haverhill, Holyoke, Lawrence, Leominster, Lowell, Malden, Methuen, New Bedford, Randolph, Revere, Springfield</w:t>
      </w:r>
      <w:r w:rsidR="00FC1105" w:rsidRPr="00890363">
        <w:rPr>
          <w:color w:val="auto"/>
        </w:rPr>
        <w:t>,</w:t>
      </w:r>
      <w:r w:rsidRPr="00890363">
        <w:rPr>
          <w:color w:val="auto"/>
        </w:rPr>
        <w:t xml:space="preserve"> and Worcester.</w:t>
      </w:r>
    </w:p>
    <w:p w14:paraId="022E5540" w14:textId="77777777" w:rsidR="002505BB" w:rsidRPr="00890363" w:rsidRDefault="002505BB" w:rsidP="49D31FC9">
      <w:pPr>
        <w:rPr>
          <w:i/>
          <w:iCs/>
          <w:color w:val="auto"/>
        </w:rPr>
      </w:pPr>
    </w:p>
    <w:p w14:paraId="18DFB5CE" w14:textId="63605874" w:rsidR="00D05321" w:rsidRPr="00890363" w:rsidRDefault="00D05321" w:rsidP="49D31FC9">
      <w:pPr>
        <w:rPr>
          <w:b/>
          <w:bCs/>
          <w:i/>
          <w:iCs/>
          <w:color w:val="auto"/>
        </w:rPr>
      </w:pPr>
      <w:r w:rsidRPr="00890363">
        <w:rPr>
          <w:b/>
          <w:bCs/>
          <w:i/>
          <w:iCs/>
          <w:color w:val="auto"/>
        </w:rPr>
        <w:t>COVID-19 Data Reporting</w:t>
      </w:r>
    </w:p>
    <w:p w14:paraId="594E6452" w14:textId="40606E78" w:rsidR="00D05321" w:rsidRPr="00890363" w:rsidRDefault="00D05321" w:rsidP="00D05321">
      <w:pPr>
        <w:rPr>
          <w:color w:val="auto"/>
        </w:rPr>
      </w:pPr>
      <w:r w:rsidRPr="00890363">
        <w:rPr>
          <w:color w:val="auto"/>
        </w:rPr>
        <w:t>The Commonwealth has been committed to robust, transparent data reporting</w:t>
      </w:r>
      <w:r w:rsidR="00F33896" w:rsidRPr="00890363">
        <w:rPr>
          <w:color w:val="auto"/>
        </w:rPr>
        <w:t>.</w:t>
      </w:r>
      <w:r w:rsidR="00D61FA3" w:rsidRPr="00890363">
        <w:rPr>
          <w:color w:val="auto"/>
        </w:rPr>
        <w:t xml:space="preserve"> </w:t>
      </w:r>
      <w:r w:rsidRPr="00890363">
        <w:rPr>
          <w:color w:val="auto"/>
        </w:rPr>
        <w:t xml:space="preserve">  </w:t>
      </w:r>
      <w:r w:rsidR="00A53CDE" w:rsidRPr="00890363">
        <w:rPr>
          <w:color w:val="auto"/>
        </w:rPr>
        <w:t>I</w:t>
      </w:r>
      <w:r w:rsidRPr="00890363">
        <w:rPr>
          <w:color w:val="auto"/>
        </w:rPr>
        <w:t>n March 2020, the Department of Public Health</w:t>
      </w:r>
      <w:r w:rsidR="000342FF" w:rsidRPr="00890363">
        <w:rPr>
          <w:color w:val="auto"/>
        </w:rPr>
        <w:t xml:space="preserve"> (DPH)</w:t>
      </w:r>
      <w:r w:rsidRPr="00890363">
        <w:rPr>
          <w:color w:val="auto"/>
        </w:rPr>
        <w:t xml:space="preserve"> started producing</w:t>
      </w:r>
      <w:r w:rsidR="008E3D06" w:rsidRPr="00890363">
        <w:rPr>
          <w:color w:val="auto"/>
        </w:rPr>
        <w:t xml:space="preserve">, updating, </w:t>
      </w:r>
      <w:proofErr w:type="gramStart"/>
      <w:r w:rsidR="008E3D06" w:rsidRPr="00890363">
        <w:rPr>
          <w:color w:val="auto"/>
        </w:rPr>
        <w:t>revising</w:t>
      </w:r>
      <w:proofErr w:type="gramEnd"/>
      <w:r w:rsidR="008E3D06" w:rsidRPr="00890363">
        <w:rPr>
          <w:color w:val="auto"/>
        </w:rPr>
        <w:t xml:space="preserve"> and publicly posting </w:t>
      </w:r>
      <w:r w:rsidRPr="00890363">
        <w:rPr>
          <w:color w:val="auto"/>
        </w:rPr>
        <w:t xml:space="preserve">what </w:t>
      </w:r>
      <w:r w:rsidR="00B801ED" w:rsidRPr="00890363">
        <w:rPr>
          <w:color w:val="auto"/>
        </w:rPr>
        <w:t>w</w:t>
      </w:r>
      <w:r w:rsidRPr="00890363">
        <w:rPr>
          <w:color w:val="auto"/>
        </w:rPr>
        <w:t xml:space="preserve">as cited nationally </w:t>
      </w:r>
      <w:r w:rsidR="00B801ED" w:rsidRPr="00890363">
        <w:rPr>
          <w:color w:val="auto"/>
        </w:rPr>
        <w:t>by The Atlantic’s highly regarded COVID</w:t>
      </w:r>
      <w:r w:rsidR="00377541" w:rsidRPr="00890363">
        <w:rPr>
          <w:color w:val="auto"/>
        </w:rPr>
        <w:t>-19</w:t>
      </w:r>
      <w:r w:rsidR="00B801ED" w:rsidRPr="00890363">
        <w:rPr>
          <w:color w:val="auto"/>
        </w:rPr>
        <w:t xml:space="preserve"> Tracking Project </w:t>
      </w:r>
      <w:r w:rsidRPr="00890363">
        <w:rPr>
          <w:color w:val="auto"/>
        </w:rPr>
        <w:t xml:space="preserve">as one of the most comprehensive data reports on COVID-19 in the country.  In the early days of </w:t>
      </w:r>
      <w:r w:rsidRPr="00890363">
        <w:rPr>
          <w:color w:val="auto"/>
        </w:rPr>
        <w:lastRenderedPageBreak/>
        <w:t xml:space="preserve">this report, it detailed municipal-level, testing, hospitalization, death, cluster, </w:t>
      </w:r>
      <w:proofErr w:type="gramStart"/>
      <w:r w:rsidRPr="00890363">
        <w:rPr>
          <w:color w:val="auto"/>
        </w:rPr>
        <w:t>college</w:t>
      </w:r>
      <w:proofErr w:type="gramEnd"/>
      <w:r w:rsidRPr="00890363">
        <w:rPr>
          <w:color w:val="auto"/>
        </w:rPr>
        <w:t xml:space="preserve"> and university, contact tracing and long-term care facility data. </w:t>
      </w:r>
    </w:p>
    <w:p w14:paraId="2F6B7861" w14:textId="3DA726DB" w:rsidR="00D05321" w:rsidRPr="00890363" w:rsidRDefault="00D05321" w:rsidP="00D05321">
      <w:pPr>
        <w:rPr>
          <w:color w:val="auto"/>
        </w:rPr>
      </w:pPr>
      <w:r w:rsidRPr="00890363">
        <w:rPr>
          <w:color w:val="auto"/>
        </w:rPr>
        <w:t xml:space="preserve">In response to the dearth of demographic data being reported, in April 2020, DPH issued a </w:t>
      </w:r>
      <w:hyperlink r:id="rId17">
        <w:r w:rsidRPr="00890363">
          <w:rPr>
            <w:rStyle w:val="Hyperlink"/>
            <w:color w:val="auto"/>
          </w:rPr>
          <w:t>public health order</w:t>
        </w:r>
      </w:hyperlink>
      <w:r w:rsidRPr="00890363">
        <w:rPr>
          <w:color w:val="auto"/>
        </w:rPr>
        <w:t xml:space="preserve"> to </w:t>
      </w:r>
      <w:r w:rsidR="00F33896" w:rsidRPr="00890363">
        <w:rPr>
          <w:color w:val="auto"/>
        </w:rPr>
        <w:t xml:space="preserve">require </w:t>
      </w:r>
      <w:r w:rsidRPr="00890363">
        <w:rPr>
          <w:color w:val="auto"/>
        </w:rPr>
        <w:t>COVID-19 demographic reporting data, including race and ethnicity</w:t>
      </w:r>
      <w:r w:rsidR="00F33896" w:rsidRPr="00890363">
        <w:rPr>
          <w:color w:val="auto"/>
        </w:rPr>
        <w:t>.</w:t>
      </w:r>
      <w:r w:rsidR="00D61FA3" w:rsidRPr="00890363">
        <w:rPr>
          <w:color w:val="auto"/>
        </w:rPr>
        <w:t xml:space="preserve"> </w:t>
      </w:r>
    </w:p>
    <w:p w14:paraId="452081B7" w14:textId="43786347" w:rsidR="00B425F4" w:rsidRPr="00890363" w:rsidRDefault="00B425F4" w:rsidP="00D05321">
      <w:pPr>
        <w:rPr>
          <w:color w:val="auto"/>
        </w:rPr>
      </w:pPr>
      <w:r w:rsidRPr="00890363">
        <w:rPr>
          <w:color w:val="auto"/>
        </w:rPr>
        <w:t xml:space="preserve">Since </w:t>
      </w:r>
      <w:r w:rsidR="0042161B" w:rsidRPr="00890363">
        <w:rPr>
          <w:color w:val="auto"/>
        </w:rPr>
        <w:t>August 2020</w:t>
      </w:r>
      <w:r w:rsidRPr="00890363">
        <w:rPr>
          <w:color w:val="auto"/>
        </w:rPr>
        <w:t xml:space="preserve">, DPH has reported weekly on </w:t>
      </w:r>
      <w:r w:rsidR="00164BBD" w:rsidRPr="00890363">
        <w:rPr>
          <w:color w:val="auto"/>
        </w:rPr>
        <w:t>town-by-town</w:t>
      </w:r>
      <w:r w:rsidRPr="00890363">
        <w:rPr>
          <w:color w:val="auto"/>
        </w:rPr>
        <w:t xml:space="preserve"> data</w:t>
      </w:r>
      <w:r w:rsidR="00D61FA3" w:rsidRPr="00890363">
        <w:rPr>
          <w:color w:val="auto"/>
        </w:rPr>
        <w:t>, helping DPH identify which communities were being impacted the hardest by COVID</w:t>
      </w:r>
      <w:r w:rsidRPr="00890363">
        <w:rPr>
          <w:color w:val="auto"/>
        </w:rPr>
        <w:t xml:space="preserve">. </w:t>
      </w:r>
    </w:p>
    <w:p w14:paraId="5F3F3A60" w14:textId="77777777" w:rsidR="00CF7C37" w:rsidRPr="00890363" w:rsidRDefault="00CF7C37" w:rsidP="00493BB9">
      <w:pPr>
        <w:ind w:left="0"/>
        <w:rPr>
          <w:b/>
          <w:bCs/>
          <w:i/>
          <w:iCs/>
          <w:color w:val="auto"/>
        </w:rPr>
      </w:pPr>
    </w:p>
    <w:p w14:paraId="5C78BC76" w14:textId="40FA5943" w:rsidR="00D05321" w:rsidRPr="00890363" w:rsidRDefault="00D05321" w:rsidP="00D05321">
      <w:pPr>
        <w:rPr>
          <w:b/>
          <w:bCs/>
          <w:color w:val="auto"/>
        </w:rPr>
      </w:pPr>
      <w:r w:rsidRPr="00890363">
        <w:rPr>
          <w:b/>
          <w:bCs/>
          <w:i/>
          <w:iCs/>
          <w:color w:val="auto"/>
        </w:rPr>
        <w:t>Vaccination Data Reporting</w:t>
      </w:r>
    </w:p>
    <w:p w14:paraId="1543B303" w14:textId="35486C4D" w:rsidR="002A646D" w:rsidRPr="00890363" w:rsidRDefault="00D05321" w:rsidP="00A53CDE">
      <w:pPr>
        <w:rPr>
          <w:color w:val="auto"/>
        </w:rPr>
        <w:sectPr w:rsidR="002A646D" w:rsidRPr="00890363" w:rsidSect="00824AD3">
          <w:footerReference w:type="default" r:id="rId18"/>
          <w:pgSz w:w="12240" w:h="15840"/>
          <w:pgMar w:top="1440" w:right="1440" w:bottom="1440" w:left="1440" w:header="720" w:footer="720" w:gutter="0"/>
          <w:pgNumType w:start="0"/>
          <w:cols w:space="720"/>
          <w:titlePg/>
          <w:docGrid w:linePitch="360"/>
        </w:sectPr>
      </w:pPr>
      <w:r w:rsidRPr="00890363">
        <w:rPr>
          <w:color w:val="auto"/>
        </w:rPr>
        <w:t>In December 2020, once COVID-19 vaccine</w:t>
      </w:r>
      <w:r w:rsidR="000342FF" w:rsidRPr="00890363">
        <w:rPr>
          <w:color w:val="auto"/>
        </w:rPr>
        <w:t>s</w:t>
      </w:r>
      <w:r w:rsidRPr="00890363">
        <w:rPr>
          <w:color w:val="auto"/>
        </w:rPr>
        <w:t xml:space="preserve"> </w:t>
      </w:r>
      <w:r w:rsidR="00954F3F" w:rsidRPr="00890363">
        <w:rPr>
          <w:color w:val="auto"/>
        </w:rPr>
        <w:t>started to become available,</w:t>
      </w:r>
      <w:r w:rsidRPr="00890363">
        <w:rPr>
          <w:color w:val="auto"/>
        </w:rPr>
        <w:t xml:space="preserve"> DPH launched a COVID-19 vaccine dashboard to update the public on vaccine distribution and progress on a daily and weekly basis. The dashboard details key metrics including number of doses of vaccine shipped and administered, number of people vaccinated, vaccine distribution numbers by county, </w:t>
      </w:r>
      <w:r w:rsidR="00164BBD" w:rsidRPr="00890363">
        <w:rPr>
          <w:color w:val="auto"/>
        </w:rPr>
        <w:t>age,</w:t>
      </w:r>
      <w:r w:rsidRPr="00890363">
        <w:rPr>
          <w:color w:val="auto"/>
        </w:rPr>
        <w:t xml:space="preserve"> and race/ethnicity breakdowns of those receiving vaccines and vaccines administered by provider type. This report </w:t>
      </w:r>
      <w:r w:rsidR="00954F3F" w:rsidRPr="00890363">
        <w:rPr>
          <w:color w:val="auto"/>
        </w:rPr>
        <w:t>has been updated</w:t>
      </w:r>
      <w:r w:rsidR="009A7BF0" w:rsidRPr="00890363">
        <w:rPr>
          <w:color w:val="auto"/>
        </w:rPr>
        <w:t xml:space="preserve"> </w:t>
      </w:r>
      <w:r w:rsidRPr="00890363">
        <w:rPr>
          <w:color w:val="auto"/>
        </w:rPr>
        <w:t>over time to include first dose, fully vaccinated, boosted and most recently, fourth dose data.</w:t>
      </w:r>
      <w:r w:rsidR="000342FF" w:rsidRPr="00890363">
        <w:rPr>
          <w:color w:val="auto"/>
        </w:rPr>
        <w:t xml:space="preserve"> </w:t>
      </w:r>
      <w:r w:rsidR="00CD1688" w:rsidRPr="00890363">
        <w:rPr>
          <w:rStyle w:val="normaltextrun"/>
          <w:rFonts w:ascii="Cambria" w:hAnsi="Cambria"/>
          <w:color w:val="auto"/>
        </w:rPr>
        <w:t>This dashboard provides weekly updates at the municipality level for first dose, fully vaccinated, and booster doses stratified across age groups, race/ethnicity, and sex across the 20 VEI communities.</w:t>
      </w:r>
      <w:r w:rsidR="00493BB9" w:rsidRPr="00890363">
        <w:rPr>
          <w:rStyle w:val="normaltextrun"/>
          <w:rFonts w:ascii="Cambria" w:hAnsi="Cambria"/>
          <w:color w:val="auto"/>
        </w:rPr>
        <w:t xml:space="preserve"> </w:t>
      </w:r>
      <w:r w:rsidRPr="00890363">
        <w:rPr>
          <w:color w:val="auto"/>
        </w:rPr>
        <w:t>Access the data dashboard here:</w:t>
      </w:r>
      <w:r w:rsidRPr="00890363">
        <w:rPr>
          <w:b/>
          <w:bCs/>
          <w:color w:val="auto"/>
        </w:rPr>
        <w:t xml:space="preserve"> </w:t>
      </w:r>
      <w:hyperlink r:id="rId19" w:history="1">
        <w:r w:rsidRPr="00890363">
          <w:rPr>
            <w:rStyle w:val="Hyperlink"/>
            <w:b/>
            <w:bCs/>
            <w:color w:val="auto"/>
          </w:rPr>
          <w:t>COVID-19 Vaccine Equity Initiative Data Dashboard</w:t>
        </w:r>
      </w:hyperlink>
    </w:p>
    <w:p w14:paraId="31C47E0B" w14:textId="66C2375C" w:rsidR="00B979D8" w:rsidRPr="00890363" w:rsidRDefault="002A646D" w:rsidP="00377541">
      <w:pPr>
        <w:pStyle w:val="Heading2"/>
        <w:ind w:left="0"/>
        <w:rPr>
          <w:rStyle w:val="Heading2Char"/>
          <w:color w:val="auto"/>
          <w:sz w:val="28"/>
          <w:szCs w:val="28"/>
        </w:rPr>
      </w:pPr>
      <w:r w:rsidRPr="00890363">
        <w:rPr>
          <w:color w:val="auto"/>
          <w:sz w:val="28"/>
          <w:szCs w:val="28"/>
        </w:rPr>
        <w:lastRenderedPageBreak/>
        <w:t>Goals of the Vaccine Equity Initiative</w:t>
      </w:r>
      <w:r w:rsidR="00CF7C37" w:rsidRPr="00890363">
        <w:rPr>
          <w:color w:val="auto"/>
          <w:sz w:val="28"/>
          <w:szCs w:val="28"/>
        </w:rPr>
        <w:t xml:space="preserve"> Plan</w:t>
      </w:r>
    </w:p>
    <w:p w14:paraId="04A327F7" w14:textId="15BABF77" w:rsidR="002A646D" w:rsidRPr="00890363" w:rsidRDefault="002A646D" w:rsidP="002A646D">
      <w:pPr>
        <w:pStyle w:val="ListNumber"/>
        <w:rPr>
          <w:color w:val="auto"/>
        </w:rPr>
      </w:pPr>
      <w:r w:rsidRPr="00890363">
        <w:rPr>
          <w:color w:val="auto"/>
        </w:rPr>
        <w:t>Increase trust in the vaccine’s safety and efficacy, acknowledging that in many communities of color, mistrust and hesitancy can stem from a history of medical mistreatment.</w:t>
      </w:r>
    </w:p>
    <w:p w14:paraId="0240E475" w14:textId="0FAA4E01" w:rsidR="002A646D" w:rsidRPr="00890363" w:rsidRDefault="002A646D" w:rsidP="002A646D">
      <w:pPr>
        <w:pStyle w:val="ListNumber"/>
        <w:rPr>
          <w:color w:val="auto"/>
        </w:rPr>
      </w:pPr>
      <w:r w:rsidRPr="00890363">
        <w:rPr>
          <w:color w:val="auto"/>
        </w:rPr>
        <w:t>Identify and reduce barriers for accessing the vaccine</w:t>
      </w:r>
      <w:r w:rsidR="000518F5" w:rsidRPr="00890363">
        <w:rPr>
          <w:color w:val="auto"/>
        </w:rPr>
        <w:t>.</w:t>
      </w:r>
    </w:p>
    <w:p w14:paraId="396A7904" w14:textId="337D2603" w:rsidR="00B979D8" w:rsidRPr="00890363" w:rsidRDefault="002A646D" w:rsidP="000410CD">
      <w:pPr>
        <w:pStyle w:val="ListNumber"/>
        <w:rPr>
          <w:color w:val="auto"/>
        </w:rPr>
      </w:pPr>
      <w:r w:rsidRPr="00890363">
        <w:rPr>
          <w:color w:val="auto"/>
        </w:rPr>
        <w:t>Increase vaccine access for priority populations</w:t>
      </w:r>
      <w:r w:rsidR="00617798" w:rsidRPr="00890363">
        <w:rPr>
          <w:color w:val="auto"/>
        </w:rPr>
        <w:t>.</w:t>
      </w:r>
    </w:p>
    <w:p w14:paraId="53D7C570" w14:textId="5A178823" w:rsidR="00164BBD" w:rsidRPr="00890363" w:rsidRDefault="00164BBD" w:rsidP="00164BBD">
      <w:pPr>
        <w:pStyle w:val="ListNumber"/>
        <w:numPr>
          <w:ilvl w:val="0"/>
          <w:numId w:val="0"/>
        </w:numPr>
        <w:rPr>
          <w:color w:val="auto"/>
        </w:rPr>
      </w:pPr>
    </w:p>
    <w:p w14:paraId="53CE7C5B" w14:textId="44617D3B" w:rsidR="00164BBD" w:rsidRPr="00890363" w:rsidRDefault="00164BBD" w:rsidP="00164BBD">
      <w:pPr>
        <w:pStyle w:val="ListNumber"/>
        <w:numPr>
          <w:ilvl w:val="0"/>
          <w:numId w:val="0"/>
        </w:numPr>
        <w:jc w:val="both"/>
        <w:rPr>
          <w:color w:val="auto"/>
        </w:rPr>
      </w:pPr>
      <w:r w:rsidRPr="00890363">
        <w:rPr>
          <w:color w:val="auto"/>
        </w:rPr>
        <w:t>The Administration has been implementing this plan for over a year. Details of these efforts and how these goals will continue to be met in the future are below.</w:t>
      </w:r>
    </w:p>
    <w:p w14:paraId="44B150D7" w14:textId="7DE0178D" w:rsidR="00B979D8" w:rsidRPr="00890363" w:rsidRDefault="000518F5">
      <w:pPr>
        <w:pStyle w:val="Heading1"/>
        <w:rPr>
          <w:color w:val="auto"/>
        </w:rPr>
      </w:pPr>
      <w:r w:rsidRPr="00890363">
        <w:rPr>
          <w:color w:val="auto"/>
        </w:rPr>
        <w:t>Implementation</w:t>
      </w:r>
      <w:r w:rsidR="00CF7C37" w:rsidRPr="00890363">
        <w:rPr>
          <w:color w:val="auto"/>
        </w:rPr>
        <w:t xml:space="preserve"> Plan</w:t>
      </w:r>
    </w:p>
    <w:p w14:paraId="418E6EA1" w14:textId="40819C4D" w:rsidR="00FF7938" w:rsidRPr="00890363" w:rsidRDefault="00FF7938" w:rsidP="00FF7938">
      <w:pPr>
        <w:pStyle w:val="ListNumber"/>
        <w:numPr>
          <w:ilvl w:val="0"/>
          <w:numId w:val="20"/>
        </w:numPr>
        <w:rPr>
          <w:b/>
          <w:bCs/>
          <w:color w:val="auto"/>
        </w:rPr>
      </w:pPr>
      <w:r w:rsidRPr="00890363">
        <w:rPr>
          <w:b/>
          <w:bCs/>
          <w:color w:val="auto"/>
        </w:rPr>
        <w:t>Increase trust in the vaccine’s safety and efficacy, acknowledging that in many communities of color, mistrust and hesitancy can stem from a history of medical mistreatment</w:t>
      </w:r>
    </w:p>
    <w:p w14:paraId="1643B23F" w14:textId="70A19CEB" w:rsidR="00D23922" w:rsidRPr="00890363" w:rsidRDefault="00FF7938" w:rsidP="001431BE">
      <w:pPr>
        <w:rPr>
          <w:color w:val="auto"/>
        </w:rPr>
      </w:pPr>
      <w:r w:rsidRPr="00890363">
        <w:rPr>
          <w:color w:val="auto"/>
        </w:rPr>
        <w:t>The</w:t>
      </w:r>
      <w:r w:rsidR="000943B0" w:rsidRPr="00890363">
        <w:rPr>
          <w:color w:val="auto"/>
        </w:rPr>
        <w:t xml:space="preserve"> Administration, </w:t>
      </w:r>
      <w:r w:rsidR="006F64FF" w:rsidRPr="00890363">
        <w:rPr>
          <w:color w:val="auto"/>
        </w:rPr>
        <w:t>through</w:t>
      </w:r>
      <w:r w:rsidR="00954F3F" w:rsidRPr="00890363">
        <w:rPr>
          <w:color w:val="auto"/>
        </w:rPr>
        <w:t xml:space="preserve"> </w:t>
      </w:r>
      <w:r w:rsidR="000943B0" w:rsidRPr="00890363">
        <w:rPr>
          <w:color w:val="auto"/>
        </w:rPr>
        <w:t>the Department of Public Health</w:t>
      </w:r>
      <w:r w:rsidR="00A65967" w:rsidRPr="00890363">
        <w:rPr>
          <w:color w:val="auto"/>
        </w:rPr>
        <w:t xml:space="preserve"> (DPH)</w:t>
      </w:r>
      <w:r w:rsidR="000943B0" w:rsidRPr="00890363">
        <w:rPr>
          <w:color w:val="auto"/>
        </w:rPr>
        <w:t xml:space="preserve">, </w:t>
      </w:r>
      <w:r w:rsidR="00954F3F" w:rsidRPr="00890363">
        <w:rPr>
          <w:color w:val="auto"/>
        </w:rPr>
        <w:t xml:space="preserve">has </w:t>
      </w:r>
      <w:r w:rsidR="000943B0" w:rsidRPr="00890363">
        <w:rPr>
          <w:color w:val="auto"/>
        </w:rPr>
        <w:t xml:space="preserve">worked to increase trust in the vaccine’s safety and efficacy through </w:t>
      </w:r>
      <w:r w:rsidR="00D23922" w:rsidRPr="00890363">
        <w:rPr>
          <w:color w:val="auto"/>
        </w:rPr>
        <w:t>a multipronged strategy.</w:t>
      </w:r>
    </w:p>
    <w:p w14:paraId="27D87DE4" w14:textId="22F72EEE" w:rsidR="001431BE" w:rsidRPr="00890363" w:rsidRDefault="00D23922" w:rsidP="001431BE">
      <w:pPr>
        <w:rPr>
          <w:color w:val="auto"/>
        </w:rPr>
      </w:pPr>
      <w:r w:rsidRPr="00890363">
        <w:rPr>
          <w:color w:val="auto"/>
        </w:rPr>
        <w:t xml:space="preserve">The Administration launched </w:t>
      </w:r>
      <w:r w:rsidR="000943B0" w:rsidRPr="00890363">
        <w:rPr>
          <w:color w:val="auto"/>
        </w:rPr>
        <w:t>a $7 million public awareness campaign</w:t>
      </w:r>
      <w:r w:rsidRPr="00890363">
        <w:rPr>
          <w:color w:val="auto"/>
        </w:rPr>
        <w:t>,</w:t>
      </w:r>
      <w:r w:rsidR="00CB5DB9" w:rsidRPr="00890363">
        <w:rPr>
          <w:color w:val="auto"/>
        </w:rPr>
        <w:t xml:space="preserve"> </w:t>
      </w:r>
      <w:r w:rsidR="000943B0" w:rsidRPr="00890363">
        <w:rPr>
          <w:i/>
          <w:iCs/>
          <w:color w:val="auto"/>
        </w:rPr>
        <w:t>Trust the Facts, Get the Vax</w:t>
      </w:r>
      <w:r w:rsidR="000943B0" w:rsidRPr="00890363">
        <w:rPr>
          <w:color w:val="auto"/>
        </w:rPr>
        <w:t xml:space="preserve"> campaign in February 2021</w:t>
      </w:r>
      <w:r w:rsidRPr="00890363">
        <w:rPr>
          <w:color w:val="auto"/>
        </w:rPr>
        <w:t>. The campaign</w:t>
      </w:r>
      <w:r w:rsidR="00FF7938" w:rsidRPr="00890363">
        <w:rPr>
          <w:color w:val="auto"/>
        </w:rPr>
        <w:t xml:space="preserve"> </w:t>
      </w:r>
      <w:r w:rsidR="000943B0" w:rsidRPr="00890363">
        <w:rPr>
          <w:color w:val="auto"/>
        </w:rPr>
        <w:t xml:space="preserve">includes TV, radio, social and digital platforms, and </w:t>
      </w:r>
      <w:r w:rsidRPr="00890363">
        <w:rPr>
          <w:color w:val="auto"/>
        </w:rPr>
        <w:t>physical advertising in locations including</w:t>
      </w:r>
      <w:r w:rsidR="000943B0" w:rsidRPr="00890363">
        <w:rPr>
          <w:color w:val="auto"/>
        </w:rPr>
        <w:t xml:space="preserve"> </w:t>
      </w:r>
      <w:r w:rsidRPr="00890363">
        <w:rPr>
          <w:color w:val="auto"/>
        </w:rPr>
        <w:t xml:space="preserve">pharmacies and </w:t>
      </w:r>
      <w:r w:rsidR="000943B0" w:rsidRPr="00890363">
        <w:rPr>
          <w:color w:val="auto"/>
        </w:rPr>
        <w:t>convenience stores, MBTA stations and DOT billboards.</w:t>
      </w:r>
      <w:r w:rsidR="001431BE" w:rsidRPr="00890363">
        <w:rPr>
          <w:color w:val="auto"/>
        </w:rPr>
        <w:t xml:space="preserve"> </w:t>
      </w:r>
      <w:r w:rsidRPr="00890363">
        <w:rPr>
          <w:color w:val="auto"/>
        </w:rPr>
        <w:t xml:space="preserve">As of </w:t>
      </w:r>
      <w:r w:rsidR="001431BE" w:rsidRPr="00890363">
        <w:rPr>
          <w:color w:val="auto"/>
        </w:rPr>
        <w:t>February 2022, the campaign had logged 124.5 million impressions, 137.6 million Public Service announcement (PSA) views and over 927,000 clicks on the</w:t>
      </w:r>
      <w:r w:rsidR="001431BE" w:rsidRPr="00890363">
        <w:rPr>
          <w:i/>
          <w:iCs/>
          <w:color w:val="auto"/>
        </w:rPr>
        <w:t xml:space="preserve"> Trust the Facts, Get the Vax</w:t>
      </w:r>
      <w:r w:rsidR="001431BE" w:rsidRPr="00890363">
        <w:rPr>
          <w:color w:val="auto"/>
        </w:rPr>
        <w:t xml:space="preserve"> webpage. Ad placements have been prioritized in VEI communities.</w:t>
      </w:r>
      <w:r w:rsidR="00992B64" w:rsidRPr="00890363">
        <w:rPr>
          <w:color w:val="auto"/>
        </w:rPr>
        <w:t xml:space="preserve"> The campaign strategy was informed by community surveys, and in many ads, has utilized doctors and other medical professionals to communicate safety messages. </w:t>
      </w:r>
      <w:r w:rsidR="00313951" w:rsidRPr="00890363">
        <w:rPr>
          <w:color w:val="auto"/>
        </w:rPr>
        <w:t xml:space="preserve">The public awareness campaign remains ongoing, with DPH </w:t>
      </w:r>
      <w:r w:rsidR="00A65967" w:rsidRPr="00890363">
        <w:rPr>
          <w:color w:val="auto"/>
        </w:rPr>
        <w:t xml:space="preserve">continues to </w:t>
      </w:r>
      <w:r w:rsidR="00164BBD" w:rsidRPr="00890363">
        <w:rPr>
          <w:color w:val="auto"/>
        </w:rPr>
        <w:t>adjust campaign</w:t>
      </w:r>
      <w:r w:rsidR="00313951" w:rsidRPr="00890363">
        <w:rPr>
          <w:color w:val="auto"/>
        </w:rPr>
        <w:t xml:space="preserve"> strategy as needed to reach those who remain hesitant about getting vaccinated.</w:t>
      </w:r>
    </w:p>
    <w:p w14:paraId="0BD646C7" w14:textId="0A114A88" w:rsidR="000943B0" w:rsidRPr="00890363" w:rsidRDefault="7ACC5912" w:rsidP="5402139D">
      <w:pPr>
        <w:rPr>
          <w:rFonts w:eastAsiaTheme="minorEastAsia"/>
          <w:color w:val="auto"/>
        </w:rPr>
      </w:pPr>
      <w:r w:rsidRPr="00890363">
        <w:rPr>
          <w:color w:val="auto"/>
        </w:rPr>
        <w:t xml:space="preserve">Communicating through trusted </w:t>
      </w:r>
      <w:r w:rsidR="00992B64" w:rsidRPr="00890363">
        <w:rPr>
          <w:color w:val="auto"/>
        </w:rPr>
        <w:t xml:space="preserve">community-based </w:t>
      </w:r>
      <w:r w:rsidRPr="00890363">
        <w:rPr>
          <w:color w:val="auto"/>
        </w:rPr>
        <w:t xml:space="preserve">sources is </w:t>
      </w:r>
      <w:r w:rsidR="00992B64" w:rsidRPr="00890363">
        <w:rPr>
          <w:color w:val="auto"/>
        </w:rPr>
        <w:t xml:space="preserve">also a </w:t>
      </w:r>
      <w:r w:rsidRPr="00890363">
        <w:rPr>
          <w:color w:val="auto"/>
        </w:rPr>
        <w:t xml:space="preserve">core strategy of the Vaccine Equity Initiative.  </w:t>
      </w:r>
      <w:r w:rsidR="009F6025" w:rsidRPr="00890363">
        <w:rPr>
          <w:color w:val="auto"/>
        </w:rPr>
        <w:t xml:space="preserve">DPH </w:t>
      </w:r>
      <w:r w:rsidRPr="00890363">
        <w:rPr>
          <w:color w:val="auto"/>
        </w:rPr>
        <w:t>works with Community Health Centers, faith-based organizations, and community organizations that are invested, trusted voices and service providers in communities</w:t>
      </w:r>
      <w:r w:rsidR="00DF203E" w:rsidRPr="00890363">
        <w:rPr>
          <w:color w:val="auto"/>
        </w:rPr>
        <w:t>.</w:t>
      </w:r>
      <w:r w:rsidR="005353F4" w:rsidRPr="00890363">
        <w:rPr>
          <w:color w:val="auto"/>
        </w:rPr>
        <w:t xml:space="preserve"> </w:t>
      </w:r>
      <w:r w:rsidR="000943B0" w:rsidRPr="00890363">
        <w:rPr>
          <w:color w:val="auto"/>
        </w:rPr>
        <w:t xml:space="preserve">The campaign has recruited and featured </w:t>
      </w:r>
      <w:r w:rsidR="003A6A4F" w:rsidRPr="00890363">
        <w:rPr>
          <w:color w:val="auto"/>
        </w:rPr>
        <w:t xml:space="preserve">dozens of </w:t>
      </w:r>
      <w:r w:rsidR="006E28AC" w:rsidRPr="00890363">
        <w:rPr>
          <w:color w:val="auto"/>
        </w:rPr>
        <w:t xml:space="preserve">trusted community sources </w:t>
      </w:r>
      <w:r w:rsidR="0042161B" w:rsidRPr="00890363">
        <w:rPr>
          <w:color w:val="auto"/>
        </w:rPr>
        <w:t>in campaign ads including</w:t>
      </w:r>
      <w:r w:rsidR="006E28AC" w:rsidRPr="00890363">
        <w:rPr>
          <w:color w:val="auto"/>
        </w:rPr>
        <w:t xml:space="preserve"> Helena DaSilva Hughes, Executive Director of the Immigrants’ Assistance Center in New Bedford; </w:t>
      </w:r>
      <w:r w:rsidRPr="00890363">
        <w:rPr>
          <w:color w:val="auto"/>
        </w:rPr>
        <w:t xml:space="preserve">Pastor “Keke” </w:t>
      </w:r>
      <w:proofErr w:type="spellStart"/>
      <w:r w:rsidRPr="00890363">
        <w:rPr>
          <w:color w:val="auto"/>
        </w:rPr>
        <w:t>Fleurissaint</w:t>
      </w:r>
      <w:proofErr w:type="spellEnd"/>
      <w:r w:rsidRPr="00890363">
        <w:rPr>
          <w:color w:val="auto"/>
        </w:rPr>
        <w:t xml:space="preserve"> of Mattapan’s Voice of the Tabernacle Church, serving the Haitian community; Joanna de Pena, who works with youth organizations like Top Notch Scholars in Lawrence; Jade Rivera McFarlin, Vice President of the Gandara Center in Springfield; and </w:t>
      </w:r>
      <w:r w:rsidR="006E28AC" w:rsidRPr="00890363">
        <w:rPr>
          <w:color w:val="auto"/>
        </w:rPr>
        <w:t xml:space="preserve">Dr. </w:t>
      </w:r>
      <w:proofErr w:type="spellStart"/>
      <w:r w:rsidR="00A11879" w:rsidRPr="00890363">
        <w:rPr>
          <w:color w:val="auto"/>
        </w:rPr>
        <w:t>Frinny</w:t>
      </w:r>
      <w:proofErr w:type="spellEnd"/>
      <w:r w:rsidR="00A11879" w:rsidRPr="00890363">
        <w:rPr>
          <w:color w:val="auto"/>
        </w:rPr>
        <w:t xml:space="preserve"> Polanco Walters from Boston Children’s Hospital. The campaign also recruited </w:t>
      </w:r>
      <w:r w:rsidR="000943B0" w:rsidRPr="00890363">
        <w:rPr>
          <w:color w:val="auto"/>
        </w:rPr>
        <w:t xml:space="preserve">well-known spokespeople including Red Sox slugger David Ortiz, the Celtics’ Grant Williams, and </w:t>
      </w:r>
      <w:r w:rsidR="5402139D" w:rsidRPr="00890363">
        <w:rPr>
          <w:rFonts w:eastAsiaTheme="minorEastAsia"/>
          <w:color w:val="auto"/>
        </w:rPr>
        <w:t>Brandon Bye from the New England Revolution.</w:t>
      </w:r>
    </w:p>
    <w:p w14:paraId="7EE12E45" w14:textId="2A717C6A" w:rsidR="000943B0" w:rsidRPr="00890363" w:rsidRDefault="000943B0" w:rsidP="00FF7938">
      <w:pPr>
        <w:rPr>
          <w:color w:val="auto"/>
        </w:rPr>
      </w:pPr>
      <w:r w:rsidRPr="00890363">
        <w:rPr>
          <w:color w:val="auto"/>
        </w:rPr>
        <w:lastRenderedPageBreak/>
        <w:t xml:space="preserve">The campaign has expanded and adapted over time to address updated needs, such as boosters and vaccination for youth and young adults and pediatric populations. </w:t>
      </w:r>
      <w:r w:rsidR="00313951" w:rsidRPr="00890363">
        <w:rPr>
          <w:color w:val="auto"/>
        </w:rPr>
        <w:t>The Administration plans to continue the campaign in the months ahead to reach hesitant populations.</w:t>
      </w:r>
    </w:p>
    <w:p w14:paraId="2BDF23A6" w14:textId="2D493A9C" w:rsidR="000943B0" w:rsidRPr="00890363" w:rsidRDefault="00992B64" w:rsidP="000943B0">
      <w:pPr>
        <w:rPr>
          <w:color w:val="auto"/>
        </w:rPr>
      </w:pPr>
      <w:r w:rsidRPr="00890363">
        <w:rPr>
          <w:color w:val="auto"/>
        </w:rPr>
        <w:t xml:space="preserve">The </w:t>
      </w:r>
      <w:r w:rsidR="000943B0" w:rsidRPr="00890363">
        <w:rPr>
          <w:color w:val="auto"/>
        </w:rPr>
        <w:t xml:space="preserve">VEI </w:t>
      </w:r>
      <w:r w:rsidR="002A0CCA" w:rsidRPr="00890363">
        <w:rPr>
          <w:color w:val="auto"/>
        </w:rPr>
        <w:t xml:space="preserve">regularly </w:t>
      </w:r>
      <w:r w:rsidR="000943B0" w:rsidRPr="00890363">
        <w:rPr>
          <w:color w:val="auto"/>
        </w:rPr>
        <w:t>produce</w:t>
      </w:r>
      <w:r w:rsidR="002A0CCA" w:rsidRPr="00890363">
        <w:rPr>
          <w:color w:val="auto"/>
        </w:rPr>
        <w:t>s</w:t>
      </w:r>
      <w:r w:rsidR="000943B0" w:rsidRPr="00890363">
        <w:rPr>
          <w:color w:val="auto"/>
        </w:rPr>
        <w:t xml:space="preserve"> and dis</w:t>
      </w:r>
      <w:r w:rsidR="00FF7938" w:rsidRPr="00890363">
        <w:rPr>
          <w:color w:val="auto"/>
        </w:rPr>
        <w:t>tribute</w:t>
      </w:r>
      <w:r w:rsidR="002A0CCA" w:rsidRPr="00890363">
        <w:rPr>
          <w:color w:val="auto"/>
        </w:rPr>
        <w:t>s</w:t>
      </w:r>
      <w:r w:rsidR="000943B0" w:rsidRPr="00890363">
        <w:rPr>
          <w:color w:val="auto"/>
        </w:rPr>
        <w:t xml:space="preserve"> </w:t>
      </w:r>
      <w:r w:rsidRPr="00890363">
        <w:rPr>
          <w:color w:val="auto"/>
        </w:rPr>
        <w:t xml:space="preserve">these and other </w:t>
      </w:r>
      <w:r w:rsidR="000943B0" w:rsidRPr="00890363">
        <w:rPr>
          <w:color w:val="auto"/>
        </w:rPr>
        <w:t>communications resources to support outreach and education in communities.  These include materials</w:t>
      </w:r>
      <w:r w:rsidR="002A0CCA" w:rsidRPr="00890363">
        <w:rPr>
          <w:color w:val="auto"/>
        </w:rPr>
        <w:t xml:space="preserve"> </w:t>
      </w:r>
      <w:r w:rsidR="000943B0" w:rsidRPr="00890363">
        <w:rPr>
          <w:color w:val="auto"/>
        </w:rPr>
        <w:t xml:space="preserve">focus on </w:t>
      </w:r>
      <w:r w:rsidR="002A0CCA" w:rsidRPr="00890363">
        <w:rPr>
          <w:color w:val="auto"/>
        </w:rPr>
        <w:t xml:space="preserve">specific subject areas such as </w:t>
      </w:r>
      <w:r w:rsidR="000943B0" w:rsidRPr="00890363">
        <w:rPr>
          <w:color w:val="auto"/>
        </w:rPr>
        <w:t xml:space="preserve">children, pregnancy, toolkits for employers, ideas for hosting clinics, forum guides, FAQs, and regular COVID-19 vaccine communications updates.  The </w:t>
      </w:r>
      <w:hyperlink r:id="rId20">
        <w:r w:rsidR="000943B0" w:rsidRPr="00890363">
          <w:rPr>
            <w:rStyle w:val="Hyperlink"/>
            <w:i/>
            <w:iCs/>
            <w:color w:val="auto"/>
          </w:rPr>
          <w:t xml:space="preserve">Trust The Facts/Get the Vax </w:t>
        </w:r>
        <w:r w:rsidR="000943B0" w:rsidRPr="00890363">
          <w:rPr>
            <w:rStyle w:val="Hyperlink"/>
            <w:color w:val="auto"/>
          </w:rPr>
          <w:t>Campaign</w:t>
        </w:r>
      </w:hyperlink>
      <w:r w:rsidR="000943B0" w:rsidRPr="00890363">
        <w:rPr>
          <w:color w:val="auto"/>
        </w:rPr>
        <w:t xml:space="preserve"> website contains flyers, fact sheets, posters, videos, and other media in 12 languages.</w:t>
      </w:r>
      <w:r w:rsidR="002A0CCA" w:rsidRPr="00890363">
        <w:rPr>
          <w:color w:val="auto"/>
        </w:rPr>
        <w:t xml:space="preserve"> DPH will continue to update and provide materials to communities in multiple languages.</w:t>
      </w:r>
    </w:p>
    <w:p w14:paraId="4ECF4FFD" w14:textId="77777777" w:rsidR="00CB4F2C" w:rsidRPr="00890363" w:rsidRDefault="00CB4F2C" w:rsidP="00CB4F2C">
      <w:pPr>
        <w:rPr>
          <w:color w:val="auto"/>
        </w:rPr>
      </w:pPr>
    </w:p>
    <w:p w14:paraId="2A67FC4D" w14:textId="5EB5B141" w:rsidR="00CB4F2C" w:rsidRPr="00890363" w:rsidRDefault="00CB4F2C" w:rsidP="00CB4F2C">
      <w:pPr>
        <w:pStyle w:val="ListNumber"/>
        <w:numPr>
          <w:ilvl w:val="0"/>
          <w:numId w:val="20"/>
        </w:numPr>
        <w:rPr>
          <w:b/>
          <w:bCs/>
          <w:color w:val="auto"/>
        </w:rPr>
      </w:pPr>
      <w:r w:rsidRPr="00890363">
        <w:rPr>
          <w:b/>
          <w:bCs/>
          <w:color w:val="auto"/>
        </w:rPr>
        <w:t>Identify and reduce barriers for accessing the vaccine</w:t>
      </w:r>
    </w:p>
    <w:p w14:paraId="7B567497" w14:textId="77777777" w:rsidR="00B16D5E" w:rsidRPr="00890363" w:rsidRDefault="00B16D5E" w:rsidP="00493BB9">
      <w:pPr>
        <w:pStyle w:val="ListNumber"/>
        <w:numPr>
          <w:ilvl w:val="0"/>
          <w:numId w:val="0"/>
        </w:numPr>
        <w:rPr>
          <w:color w:val="auto"/>
        </w:rPr>
      </w:pPr>
    </w:p>
    <w:p w14:paraId="46787670" w14:textId="3C8D9A7A" w:rsidR="00B16D5E" w:rsidRPr="00890363" w:rsidRDefault="00B16D5E" w:rsidP="000410CD">
      <w:pPr>
        <w:pStyle w:val="ListNumber"/>
        <w:numPr>
          <w:ilvl w:val="0"/>
          <w:numId w:val="0"/>
        </w:numPr>
        <w:ind w:left="360"/>
        <w:rPr>
          <w:b/>
          <w:bCs/>
          <w:i/>
          <w:iCs/>
          <w:color w:val="auto"/>
        </w:rPr>
      </w:pPr>
      <w:r w:rsidRPr="00890363">
        <w:rPr>
          <w:b/>
          <w:bCs/>
          <w:i/>
          <w:iCs/>
          <w:color w:val="auto"/>
        </w:rPr>
        <w:t>Community Liaisons</w:t>
      </w:r>
    </w:p>
    <w:p w14:paraId="16D00BF4" w14:textId="7C665BD5" w:rsidR="00B34A1C" w:rsidRPr="00890363" w:rsidRDefault="008D6379" w:rsidP="00493BB9">
      <w:pPr>
        <w:pStyle w:val="ListNumber"/>
        <w:numPr>
          <w:ilvl w:val="0"/>
          <w:numId w:val="0"/>
        </w:numPr>
        <w:ind w:left="360"/>
        <w:rPr>
          <w:color w:val="auto"/>
        </w:rPr>
      </w:pPr>
      <w:r w:rsidRPr="00890363">
        <w:rPr>
          <w:color w:val="auto"/>
        </w:rPr>
        <w:t xml:space="preserve">DPH </w:t>
      </w:r>
      <w:r w:rsidR="002A0CCA" w:rsidRPr="00890363">
        <w:rPr>
          <w:color w:val="auto"/>
        </w:rPr>
        <w:t xml:space="preserve">has </w:t>
      </w:r>
      <w:r w:rsidR="009F6025" w:rsidRPr="00890363">
        <w:rPr>
          <w:color w:val="auto"/>
        </w:rPr>
        <w:t xml:space="preserve">designated staff as </w:t>
      </w:r>
      <w:r w:rsidRPr="00890363">
        <w:rPr>
          <w:color w:val="auto"/>
        </w:rPr>
        <w:t>Community Liaison</w:t>
      </w:r>
      <w:r w:rsidR="009F6025" w:rsidRPr="00890363">
        <w:rPr>
          <w:color w:val="auto"/>
        </w:rPr>
        <w:t>s</w:t>
      </w:r>
      <w:r w:rsidRPr="00890363">
        <w:rPr>
          <w:color w:val="auto"/>
        </w:rPr>
        <w:t xml:space="preserve"> to deliver customized support, provide </w:t>
      </w:r>
      <w:r w:rsidR="00725B51" w:rsidRPr="00890363">
        <w:rPr>
          <w:color w:val="auto"/>
        </w:rPr>
        <w:t xml:space="preserve">census track level data and </w:t>
      </w:r>
      <w:r w:rsidRPr="00890363">
        <w:rPr>
          <w:color w:val="auto"/>
        </w:rPr>
        <w:t xml:space="preserve">updated information as the epidemic </w:t>
      </w:r>
      <w:r w:rsidR="009F6025" w:rsidRPr="00890363">
        <w:rPr>
          <w:color w:val="auto"/>
        </w:rPr>
        <w:t xml:space="preserve">has </w:t>
      </w:r>
      <w:r w:rsidRPr="00890363">
        <w:rPr>
          <w:color w:val="auto"/>
        </w:rPr>
        <w:t xml:space="preserve">evolved, and </w:t>
      </w:r>
      <w:r w:rsidR="00725B51" w:rsidRPr="00890363">
        <w:rPr>
          <w:color w:val="auto"/>
        </w:rPr>
        <w:t>identify strategies to address hesitancy and increase vaccination rates</w:t>
      </w:r>
      <w:r w:rsidR="00543D58" w:rsidRPr="00890363">
        <w:rPr>
          <w:color w:val="auto"/>
        </w:rPr>
        <w:t xml:space="preserve"> in collaboration with the 20 VEI communities.</w:t>
      </w:r>
      <w:r w:rsidR="00725B51" w:rsidRPr="00890363">
        <w:rPr>
          <w:color w:val="auto"/>
        </w:rPr>
        <w:t xml:space="preserve"> </w:t>
      </w:r>
      <w:r w:rsidRPr="00890363">
        <w:rPr>
          <w:color w:val="auto"/>
        </w:rPr>
        <w:t xml:space="preserve"> </w:t>
      </w:r>
      <w:r w:rsidR="002A0CCA" w:rsidRPr="00890363">
        <w:rPr>
          <w:color w:val="auto"/>
        </w:rPr>
        <w:t xml:space="preserve">This effort has been underway since </w:t>
      </w:r>
      <w:r w:rsidR="008C405C" w:rsidRPr="00890363">
        <w:rPr>
          <w:color w:val="auto"/>
        </w:rPr>
        <w:t>February 2021</w:t>
      </w:r>
      <w:r w:rsidR="002A0CCA" w:rsidRPr="00890363">
        <w:rPr>
          <w:color w:val="auto"/>
        </w:rPr>
        <w:t xml:space="preserve"> and </w:t>
      </w:r>
      <w:r w:rsidR="002E56A6" w:rsidRPr="00890363">
        <w:rPr>
          <w:color w:val="auto"/>
        </w:rPr>
        <w:t xml:space="preserve">remains </w:t>
      </w:r>
      <w:r w:rsidR="002A0CCA" w:rsidRPr="00890363">
        <w:rPr>
          <w:color w:val="auto"/>
        </w:rPr>
        <w:t>ongoing</w:t>
      </w:r>
      <w:r w:rsidR="008C405C" w:rsidRPr="00890363">
        <w:rPr>
          <w:color w:val="auto"/>
        </w:rPr>
        <w:t xml:space="preserve">. </w:t>
      </w:r>
      <w:r w:rsidRPr="00890363">
        <w:rPr>
          <w:color w:val="auto"/>
        </w:rPr>
        <w:t xml:space="preserve">A designated DPH Community Liaison works with each community to identify barriers to vaccine access (transportation, registration, etc.) and develop </w:t>
      </w:r>
      <w:r w:rsidR="00543D58" w:rsidRPr="00890363">
        <w:rPr>
          <w:color w:val="auto"/>
        </w:rPr>
        <w:t xml:space="preserve">tailored </w:t>
      </w:r>
      <w:r w:rsidRPr="00890363">
        <w:rPr>
          <w:color w:val="auto"/>
        </w:rPr>
        <w:t xml:space="preserve">community-based solutions. </w:t>
      </w:r>
    </w:p>
    <w:p w14:paraId="65ACFC4A" w14:textId="77777777" w:rsidR="00493BB9" w:rsidRPr="00890363" w:rsidRDefault="00493BB9" w:rsidP="000410CD">
      <w:pPr>
        <w:pStyle w:val="ListNumber"/>
        <w:numPr>
          <w:ilvl w:val="0"/>
          <w:numId w:val="0"/>
        </w:numPr>
        <w:ind w:left="360"/>
        <w:rPr>
          <w:b/>
          <w:bCs/>
          <w:i/>
          <w:iCs/>
          <w:color w:val="auto"/>
        </w:rPr>
      </w:pPr>
    </w:p>
    <w:p w14:paraId="0614E922" w14:textId="6C968659" w:rsidR="00B34A1C" w:rsidRPr="00890363" w:rsidRDefault="00B16D5E" w:rsidP="000410CD">
      <w:pPr>
        <w:pStyle w:val="ListNumber"/>
        <w:numPr>
          <w:ilvl w:val="0"/>
          <w:numId w:val="0"/>
        </w:numPr>
        <w:ind w:left="360"/>
        <w:rPr>
          <w:b/>
          <w:bCs/>
          <w:i/>
          <w:iCs/>
          <w:color w:val="auto"/>
        </w:rPr>
      </w:pPr>
      <w:r w:rsidRPr="00890363">
        <w:rPr>
          <w:b/>
          <w:bCs/>
          <w:i/>
          <w:iCs/>
          <w:color w:val="auto"/>
        </w:rPr>
        <w:t>Additional Vaccines</w:t>
      </w:r>
    </w:p>
    <w:p w14:paraId="72096852" w14:textId="2E268187" w:rsidR="00DB66DB" w:rsidRPr="00890363" w:rsidRDefault="6DE1768B" w:rsidP="000B71B7">
      <w:pPr>
        <w:rPr>
          <w:color w:val="auto"/>
        </w:rPr>
      </w:pPr>
      <w:r w:rsidRPr="00890363">
        <w:rPr>
          <w:color w:val="auto"/>
        </w:rPr>
        <w:t xml:space="preserve">During the period when vaccine supply was limited, the 20 </w:t>
      </w:r>
      <w:r w:rsidR="0028345A" w:rsidRPr="00890363">
        <w:rPr>
          <w:color w:val="auto"/>
        </w:rPr>
        <w:t>VEI communities</w:t>
      </w:r>
      <w:r w:rsidRPr="00890363">
        <w:rPr>
          <w:color w:val="auto"/>
        </w:rPr>
        <w:t xml:space="preserve"> received additional COVID-19 vaccine allocations for priority populations, separate and apart from weekly allocations that came from the state and federal government to other providers (e.g., vaccination sites, regional collaboratives, community health centers, and pharmacies) Between March 3, 2021 and July 30, 2021, the 20 </w:t>
      </w:r>
      <w:r w:rsidR="0028345A" w:rsidRPr="00890363">
        <w:rPr>
          <w:color w:val="auto"/>
        </w:rPr>
        <w:t>VEI communities</w:t>
      </w:r>
      <w:r w:rsidRPr="00890363">
        <w:rPr>
          <w:color w:val="auto"/>
        </w:rPr>
        <w:t xml:space="preserve"> were allocated 175,882 equity vaccine doses</w:t>
      </w:r>
      <w:r w:rsidR="79EBA46C" w:rsidRPr="00890363">
        <w:rPr>
          <w:color w:val="auto"/>
        </w:rPr>
        <w:t xml:space="preserve"> over and above other allocations within the</w:t>
      </w:r>
      <w:r w:rsidR="72BE2E0A" w:rsidRPr="00890363">
        <w:rPr>
          <w:color w:val="auto"/>
        </w:rPr>
        <w:t>se</w:t>
      </w:r>
      <w:r w:rsidR="79EBA46C" w:rsidRPr="00890363">
        <w:rPr>
          <w:color w:val="auto"/>
        </w:rPr>
        <w:t xml:space="preserve"> municipalities</w:t>
      </w:r>
      <w:r w:rsidRPr="00890363">
        <w:rPr>
          <w:color w:val="auto"/>
        </w:rPr>
        <w:t>.</w:t>
      </w:r>
      <w:r w:rsidR="002E56A6" w:rsidRPr="00890363">
        <w:rPr>
          <w:color w:val="auto"/>
        </w:rPr>
        <w:t xml:space="preserve"> DPH continues to work with communities to increase access to vaccines </w:t>
      </w:r>
      <w:r w:rsidR="00A65967" w:rsidRPr="00890363">
        <w:rPr>
          <w:color w:val="auto"/>
        </w:rPr>
        <w:t>as</w:t>
      </w:r>
      <w:r w:rsidR="002E56A6" w:rsidRPr="00890363">
        <w:rPr>
          <w:color w:val="auto"/>
        </w:rPr>
        <w:t xml:space="preserve"> needed, including by providing mobile clinics. </w:t>
      </w:r>
    </w:p>
    <w:p w14:paraId="294D27B7" w14:textId="77777777" w:rsidR="0042161B" w:rsidRPr="00890363" w:rsidRDefault="0042161B" w:rsidP="0042161B">
      <w:pPr>
        <w:rPr>
          <w:b/>
          <w:bCs/>
          <w:i/>
          <w:iCs/>
          <w:color w:val="auto"/>
        </w:rPr>
      </w:pPr>
      <w:r w:rsidRPr="00890363">
        <w:rPr>
          <w:b/>
          <w:bCs/>
          <w:i/>
          <w:iCs/>
          <w:color w:val="auto"/>
        </w:rPr>
        <w:t>Investing in Communities</w:t>
      </w:r>
    </w:p>
    <w:p w14:paraId="0FF9530D" w14:textId="77777777" w:rsidR="0042161B" w:rsidRPr="00890363" w:rsidRDefault="0042161B" w:rsidP="0042161B">
      <w:pPr>
        <w:rPr>
          <w:color w:val="auto"/>
        </w:rPr>
      </w:pPr>
      <w:r w:rsidRPr="00890363">
        <w:rPr>
          <w:color w:val="auto"/>
        </w:rPr>
        <w:t>The Administration has invested over $46.5 million in municipal and local vaccine equity initiatives to increase vaccine awareness and access, in addition to $4.7 million for municipalities/Local Boards of Health. Funding for community organizations includes:</w:t>
      </w:r>
    </w:p>
    <w:p w14:paraId="6AF3DCB5" w14:textId="77777777" w:rsidR="0042161B" w:rsidRPr="00890363" w:rsidRDefault="0042161B" w:rsidP="0042161B">
      <w:pPr>
        <w:pStyle w:val="ListParagraph"/>
        <w:numPr>
          <w:ilvl w:val="0"/>
          <w:numId w:val="33"/>
        </w:numPr>
      </w:pPr>
      <w:r w:rsidRPr="00890363">
        <w:t>Focused grassroots outreach: $10 million</w:t>
      </w:r>
    </w:p>
    <w:p w14:paraId="2866F46E" w14:textId="77777777" w:rsidR="0042161B" w:rsidRPr="00890363" w:rsidRDefault="0042161B" w:rsidP="0042161B">
      <w:pPr>
        <w:pStyle w:val="ListParagraph"/>
        <w:numPr>
          <w:ilvl w:val="0"/>
          <w:numId w:val="33"/>
        </w:numPr>
      </w:pPr>
      <w:r w:rsidRPr="00890363">
        <w:t>Tailored community and faith-based outreach: $8 million</w:t>
      </w:r>
    </w:p>
    <w:p w14:paraId="10BBF05D" w14:textId="77777777" w:rsidR="0042161B" w:rsidRPr="00890363" w:rsidRDefault="0042161B" w:rsidP="0042161B">
      <w:pPr>
        <w:pStyle w:val="ListParagraph"/>
        <w:numPr>
          <w:ilvl w:val="0"/>
          <w:numId w:val="33"/>
        </w:numPr>
      </w:pPr>
      <w:r w:rsidRPr="00890363">
        <w:t>Investment in Community Health Centers: $9.2 million</w:t>
      </w:r>
    </w:p>
    <w:p w14:paraId="1500CF71" w14:textId="77777777" w:rsidR="0042161B" w:rsidRPr="00890363" w:rsidRDefault="0042161B" w:rsidP="0042161B">
      <w:pPr>
        <w:pStyle w:val="ListParagraph"/>
        <w:numPr>
          <w:ilvl w:val="0"/>
          <w:numId w:val="33"/>
        </w:numPr>
      </w:pPr>
      <w:r w:rsidRPr="00890363">
        <w:lastRenderedPageBreak/>
        <w:t>Vaccine access and administration: $10.6 million</w:t>
      </w:r>
    </w:p>
    <w:p w14:paraId="5B22E99B" w14:textId="77777777" w:rsidR="0042161B" w:rsidRPr="00890363" w:rsidRDefault="0042161B" w:rsidP="0042161B">
      <w:pPr>
        <w:pStyle w:val="ListParagraph"/>
        <w:numPr>
          <w:ilvl w:val="0"/>
          <w:numId w:val="33"/>
        </w:numPr>
      </w:pPr>
      <w:r w:rsidRPr="00890363">
        <w:t>Rural vaccine program: $ 0.7 million</w:t>
      </w:r>
    </w:p>
    <w:p w14:paraId="6568CB0E" w14:textId="77777777" w:rsidR="0042161B" w:rsidRPr="00890363" w:rsidRDefault="0042161B" w:rsidP="0042161B">
      <w:pPr>
        <w:pStyle w:val="ListParagraph"/>
        <w:numPr>
          <w:ilvl w:val="0"/>
          <w:numId w:val="33"/>
        </w:numPr>
      </w:pPr>
      <w:r w:rsidRPr="00890363">
        <w:t>Tribes and indigenous people-serving organizations: $0.5 million</w:t>
      </w:r>
    </w:p>
    <w:p w14:paraId="0042B992" w14:textId="77777777" w:rsidR="0042161B" w:rsidRPr="00890363" w:rsidRDefault="0042161B" w:rsidP="0042161B">
      <w:pPr>
        <w:pStyle w:val="ListParagraph"/>
        <w:numPr>
          <w:ilvl w:val="0"/>
          <w:numId w:val="33"/>
        </w:numPr>
      </w:pPr>
      <w:r w:rsidRPr="00890363">
        <w:t>Community Health Workers Resilient Communities: $10.6 million</w:t>
      </w:r>
    </w:p>
    <w:p w14:paraId="5B4FF43B" w14:textId="2B96C77E" w:rsidR="00917E87" w:rsidRPr="00890363" w:rsidRDefault="00917E87" w:rsidP="008C405C">
      <w:pPr>
        <w:rPr>
          <w:color w:val="auto"/>
        </w:rPr>
      </w:pPr>
      <w:r w:rsidRPr="00890363">
        <w:rPr>
          <w:color w:val="auto"/>
        </w:rPr>
        <w:t xml:space="preserve">To date, a total of 167 community organizations have been awarded $46.5 million in funding; this includes community- and faith-based organizations, Tribal and Indigenous People Serving Organizations, Community Health Centers, and other community-based healthcare organizations. A list of these organizations can be found in the Appendix. </w:t>
      </w:r>
    </w:p>
    <w:p w14:paraId="2DB75298" w14:textId="740CF9C5" w:rsidR="000A3543" w:rsidRPr="00890363" w:rsidRDefault="00917E87" w:rsidP="008C405C">
      <w:pPr>
        <w:ind w:left="0"/>
        <w:rPr>
          <w:color w:val="auto"/>
        </w:rPr>
      </w:pPr>
      <w:r w:rsidRPr="00890363">
        <w:rPr>
          <w:color w:val="auto"/>
        </w:rPr>
        <w:t xml:space="preserve">The work by these organizations, funded by DPH, focuses on vaccine equity </w:t>
      </w:r>
      <w:proofErr w:type="gramStart"/>
      <w:r w:rsidRPr="00890363">
        <w:rPr>
          <w:color w:val="auto"/>
        </w:rPr>
        <w:t>efforts</w:t>
      </w:r>
      <w:proofErr w:type="gramEnd"/>
      <w:r w:rsidRPr="00890363">
        <w:rPr>
          <w:color w:val="auto"/>
        </w:rPr>
        <w:t xml:space="preserve"> and is detailed below.</w:t>
      </w:r>
    </w:p>
    <w:p w14:paraId="3B51F62C" w14:textId="56FAF42F" w:rsidR="00F04D58" w:rsidRPr="00890363" w:rsidRDefault="00F04D58" w:rsidP="7ACC5912">
      <w:pPr>
        <w:rPr>
          <w:b/>
          <w:bCs/>
          <w:i/>
          <w:iCs/>
          <w:color w:val="auto"/>
        </w:rPr>
      </w:pPr>
      <w:r w:rsidRPr="00890363">
        <w:rPr>
          <w:b/>
          <w:bCs/>
          <w:i/>
          <w:iCs/>
          <w:color w:val="auto"/>
        </w:rPr>
        <w:t>Funding for Community and Faith-based organizations and Tribal and Indigenous People Serving Organizations</w:t>
      </w:r>
    </w:p>
    <w:p w14:paraId="73EA7E45" w14:textId="7ECB33B5" w:rsidR="00F31DB1" w:rsidRPr="00890363" w:rsidRDefault="00F31DB1" w:rsidP="00F31DB1">
      <w:pPr>
        <w:rPr>
          <w:color w:val="auto"/>
        </w:rPr>
      </w:pPr>
      <w:bookmarkStart w:id="0" w:name="_Hlk97041064"/>
      <w:r w:rsidRPr="00890363">
        <w:rPr>
          <w:color w:val="auto"/>
        </w:rPr>
        <w:t xml:space="preserve">Community-based and faith-based organizations </w:t>
      </w:r>
      <w:bookmarkEnd w:id="0"/>
      <w:r w:rsidRPr="00890363">
        <w:rPr>
          <w:color w:val="auto"/>
        </w:rPr>
        <w:t xml:space="preserve">provide outreach and education in their communities, address hesitancy, support COVID-19 </w:t>
      </w:r>
      <w:r w:rsidR="008855CF" w:rsidRPr="00890363">
        <w:rPr>
          <w:color w:val="auto"/>
        </w:rPr>
        <w:t>prevention,</w:t>
      </w:r>
      <w:r w:rsidRPr="00890363">
        <w:rPr>
          <w:color w:val="auto"/>
        </w:rPr>
        <w:t xml:space="preserve"> deliver </w:t>
      </w:r>
      <w:r w:rsidR="7ACC5912" w:rsidRPr="00890363">
        <w:rPr>
          <w:color w:val="auto"/>
        </w:rPr>
        <w:t xml:space="preserve">community-led and culturally responsive activities related to vaccine equity within their communities., and </w:t>
      </w:r>
      <w:r w:rsidRPr="00890363">
        <w:rPr>
          <w:color w:val="auto"/>
        </w:rPr>
        <w:t>partner to host and support mobile clinics. Organizations were selected because of their role as trusted sources in their communities.</w:t>
      </w:r>
    </w:p>
    <w:p w14:paraId="16ACE772" w14:textId="20EE323A" w:rsidR="008855CF" w:rsidRPr="00890363" w:rsidRDefault="00917E87" w:rsidP="008855CF">
      <w:pPr>
        <w:rPr>
          <w:color w:val="auto"/>
        </w:rPr>
      </w:pPr>
      <w:r w:rsidRPr="00890363">
        <w:rPr>
          <w:color w:val="auto"/>
        </w:rPr>
        <w:t xml:space="preserve">To date, these organizations have received $8 million. </w:t>
      </w:r>
      <w:r w:rsidR="008855CF" w:rsidRPr="00890363">
        <w:rPr>
          <w:color w:val="auto"/>
        </w:rPr>
        <w:t xml:space="preserve">Funded organizations </w:t>
      </w:r>
      <w:r w:rsidR="009F6025" w:rsidRPr="00890363">
        <w:rPr>
          <w:color w:val="auto"/>
        </w:rPr>
        <w:t xml:space="preserve">are </w:t>
      </w:r>
      <w:r w:rsidR="008855CF" w:rsidRPr="00890363">
        <w:rPr>
          <w:color w:val="auto"/>
        </w:rPr>
        <w:t>engag</w:t>
      </w:r>
      <w:r w:rsidRPr="00890363">
        <w:rPr>
          <w:color w:val="auto"/>
        </w:rPr>
        <w:t xml:space="preserve">ing </w:t>
      </w:r>
      <w:r w:rsidR="009F6025" w:rsidRPr="00890363">
        <w:rPr>
          <w:color w:val="auto"/>
        </w:rPr>
        <w:t xml:space="preserve">with </w:t>
      </w:r>
      <w:r w:rsidR="008855CF" w:rsidRPr="00890363">
        <w:rPr>
          <w:color w:val="auto"/>
        </w:rPr>
        <w:t>the communities</w:t>
      </w:r>
      <w:r w:rsidRPr="00890363">
        <w:rPr>
          <w:color w:val="auto"/>
        </w:rPr>
        <w:t xml:space="preserve"> they serve</w:t>
      </w:r>
      <w:r w:rsidR="008855CF" w:rsidRPr="00890363">
        <w:rPr>
          <w:color w:val="auto"/>
        </w:rPr>
        <w:t xml:space="preserve"> about COVID-19 vaccine safety and efficacy, and address questions and concerns. They link people directly to vaccination opportunities and partner to coordinate mobile clinics when needed.  </w:t>
      </w:r>
    </w:p>
    <w:p w14:paraId="6EC18E94" w14:textId="6D099583" w:rsidR="00C3010C" w:rsidRPr="00890363" w:rsidRDefault="00F31DB1" w:rsidP="00493BB9">
      <w:pPr>
        <w:rPr>
          <w:b/>
          <w:bCs/>
          <w:i/>
          <w:iCs/>
          <w:color w:val="auto"/>
        </w:rPr>
      </w:pPr>
      <w:r w:rsidRPr="00890363">
        <w:rPr>
          <w:color w:val="auto"/>
        </w:rPr>
        <w:t xml:space="preserve">These organizations develop and deliver culturally competent messaging, including messages about vaccine safety and efficacy and effective COVID-19 mitigation. They conduct various activities to reach </w:t>
      </w:r>
      <w:r w:rsidR="00BD6292" w:rsidRPr="00890363">
        <w:rPr>
          <w:color w:val="auto"/>
        </w:rPr>
        <w:t xml:space="preserve">their target </w:t>
      </w:r>
      <w:r w:rsidRPr="00890363">
        <w:rPr>
          <w:color w:val="auto"/>
        </w:rPr>
        <w:t>communities</w:t>
      </w:r>
      <w:r w:rsidR="00BD6292" w:rsidRPr="00890363">
        <w:rPr>
          <w:color w:val="auto"/>
        </w:rPr>
        <w:t xml:space="preserve"> and populations</w:t>
      </w:r>
      <w:r w:rsidRPr="00890363">
        <w:rPr>
          <w:color w:val="auto"/>
        </w:rPr>
        <w:t xml:space="preserve">, including hosting events including mobile vaccination clinics, community forums, outreach at </w:t>
      </w:r>
      <w:r w:rsidR="00BD6292" w:rsidRPr="00890363">
        <w:rPr>
          <w:color w:val="auto"/>
        </w:rPr>
        <w:t xml:space="preserve">local shopping centers and </w:t>
      </w:r>
      <w:r w:rsidRPr="00890363">
        <w:rPr>
          <w:color w:val="auto"/>
        </w:rPr>
        <w:t xml:space="preserve">supermarkets, distributing flyers and posters to local businesses, appearances on local media, social media, and locally generated publicity. These organizations </w:t>
      </w:r>
      <w:proofErr w:type="gramStart"/>
      <w:r w:rsidRPr="00890363">
        <w:rPr>
          <w:color w:val="auto"/>
        </w:rPr>
        <w:t>are able to</w:t>
      </w:r>
      <w:proofErr w:type="gramEnd"/>
      <w:r w:rsidRPr="00890363">
        <w:rPr>
          <w:color w:val="auto"/>
        </w:rPr>
        <w:t xml:space="preserve"> reach people with supports beyond vaccines, </w:t>
      </w:r>
      <w:r w:rsidR="00BD6292" w:rsidRPr="00890363">
        <w:rPr>
          <w:color w:val="auto"/>
        </w:rPr>
        <w:t xml:space="preserve">with the inclusion of resources that help </w:t>
      </w:r>
      <w:r w:rsidRPr="00890363">
        <w:rPr>
          <w:color w:val="auto"/>
        </w:rPr>
        <w:t>increas</w:t>
      </w:r>
      <w:r w:rsidR="00BD6292" w:rsidRPr="00890363">
        <w:rPr>
          <w:color w:val="auto"/>
        </w:rPr>
        <w:t>e</w:t>
      </w:r>
      <w:r w:rsidRPr="00890363">
        <w:rPr>
          <w:color w:val="auto"/>
        </w:rPr>
        <w:t xml:space="preserve"> access to resources including food, housing, and medical and behavioral healthcare.</w:t>
      </w:r>
    </w:p>
    <w:p w14:paraId="75A4903F" w14:textId="1125B5F1" w:rsidR="00B16D5E" w:rsidRPr="00890363" w:rsidRDefault="00B16D5E" w:rsidP="004A1C57">
      <w:pPr>
        <w:rPr>
          <w:b/>
          <w:bCs/>
          <w:i/>
          <w:iCs/>
          <w:color w:val="auto"/>
        </w:rPr>
      </w:pPr>
      <w:r w:rsidRPr="00890363">
        <w:rPr>
          <w:b/>
          <w:bCs/>
          <w:i/>
          <w:iCs/>
          <w:color w:val="auto"/>
        </w:rPr>
        <w:t>Local Boards of Health</w:t>
      </w:r>
    </w:p>
    <w:p w14:paraId="6073B4EB" w14:textId="5EFEE873" w:rsidR="00377541" w:rsidRPr="00890363" w:rsidRDefault="00B16D5E" w:rsidP="00493BB9">
      <w:pPr>
        <w:rPr>
          <w:b/>
          <w:bCs/>
          <w:i/>
          <w:iCs/>
          <w:color w:val="auto"/>
        </w:rPr>
      </w:pPr>
      <w:r w:rsidRPr="00890363">
        <w:rPr>
          <w:color w:val="auto"/>
        </w:rPr>
        <w:t xml:space="preserve">To date, $4.7 million has been provided to local boards of health specifically to support outreach and engagement. </w:t>
      </w:r>
      <w:r w:rsidR="0042161B" w:rsidRPr="00890363">
        <w:rPr>
          <w:color w:val="auto"/>
        </w:rPr>
        <w:t>Local Boards of Health</w:t>
      </w:r>
      <w:r w:rsidRPr="00890363">
        <w:rPr>
          <w:color w:val="auto"/>
        </w:rPr>
        <w:t xml:space="preserve"> provide staffing and resources to support vaccine clinics, identify gaps and resources to reduce barriers to vaccination, and disseminate culturally appropriate translations of communications campaign materials.  </w:t>
      </w:r>
    </w:p>
    <w:p w14:paraId="74819A13" w14:textId="430636DE" w:rsidR="005A71F7" w:rsidRPr="00890363" w:rsidRDefault="005A71F7" w:rsidP="7ACC5912">
      <w:pPr>
        <w:rPr>
          <w:b/>
          <w:bCs/>
          <w:i/>
          <w:iCs/>
          <w:color w:val="auto"/>
        </w:rPr>
      </w:pPr>
      <w:r w:rsidRPr="00890363">
        <w:rPr>
          <w:b/>
          <w:bCs/>
          <w:i/>
          <w:iCs/>
          <w:color w:val="auto"/>
        </w:rPr>
        <w:t>Community Health Centers</w:t>
      </w:r>
    </w:p>
    <w:p w14:paraId="239D547D" w14:textId="5828DEEC" w:rsidR="005A71F7" w:rsidRPr="00890363" w:rsidRDefault="00631EDD" w:rsidP="00390CA0">
      <w:pPr>
        <w:rPr>
          <w:color w:val="auto"/>
        </w:rPr>
      </w:pPr>
      <w:r w:rsidRPr="00890363">
        <w:rPr>
          <w:color w:val="auto"/>
        </w:rPr>
        <w:t>Through $</w:t>
      </w:r>
      <w:r w:rsidR="003F03FE" w:rsidRPr="00890363">
        <w:rPr>
          <w:color w:val="auto"/>
        </w:rPr>
        <w:t>9.2</w:t>
      </w:r>
      <w:r w:rsidRPr="00890363">
        <w:rPr>
          <w:color w:val="auto"/>
        </w:rPr>
        <w:t xml:space="preserve">M in funding </w:t>
      </w:r>
      <w:r w:rsidR="00FC1105" w:rsidRPr="00890363">
        <w:rPr>
          <w:color w:val="auto"/>
        </w:rPr>
        <w:t xml:space="preserve">to </w:t>
      </w:r>
      <w:r w:rsidRPr="00890363">
        <w:rPr>
          <w:color w:val="auto"/>
        </w:rPr>
        <w:t xml:space="preserve">the Massachusetts League of Community Health Centers, 42 health centers </w:t>
      </w:r>
      <w:r w:rsidR="00617798" w:rsidRPr="00890363">
        <w:rPr>
          <w:color w:val="auto"/>
        </w:rPr>
        <w:t xml:space="preserve">have </w:t>
      </w:r>
      <w:r w:rsidR="009F6025" w:rsidRPr="00890363">
        <w:rPr>
          <w:color w:val="auto"/>
        </w:rPr>
        <w:t xml:space="preserve">increased staffing, addressed </w:t>
      </w:r>
      <w:r w:rsidRPr="00890363">
        <w:rPr>
          <w:color w:val="auto"/>
        </w:rPr>
        <w:t xml:space="preserve">equipment needs, </w:t>
      </w:r>
      <w:r w:rsidR="009F6025" w:rsidRPr="00890363">
        <w:rPr>
          <w:color w:val="auto"/>
        </w:rPr>
        <w:t xml:space="preserve">and </w:t>
      </w:r>
      <w:r w:rsidR="009F6025" w:rsidRPr="00890363">
        <w:rPr>
          <w:color w:val="auto"/>
        </w:rPr>
        <w:lastRenderedPageBreak/>
        <w:t xml:space="preserve">engaged </w:t>
      </w:r>
      <w:r w:rsidR="00E730D6" w:rsidRPr="00890363">
        <w:rPr>
          <w:color w:val="auto"/>
        </w:rPr>
        <w:t>in vaccine</w:t>
      </w:r>
      <w:r w:rsidRPr="00890363">
        <w:rPr>
          <w:color w:val="auto"/>
        </w:rPr>
        <w:t xml:space="preserve"> outreach, </w:t>
      </w:r>
      <w:proofErr w:type="gramStart"/>
      <w:r w:rsidRPr="00890363">
        <w:rPr>
          <w:color w:val="auto"/>
        </w:rPr>
        <w:t>education</w:t>
      </w:r>
      <w:proofErr w:type="gramEnd"/>
      <w:r w:rsidRPr="00890363">
        <w:rPr>
          <w:color w:val="auto"/>
        </w:rPr>
        <w:t xml:space="preserve"> and navigation, including Community Health Workers and culturally/linguistically tailored community engagement campaigns.</w:t>
      </w:r>
    </w:p>
    <w:p w14:paraId="7D875841" w14:textId="2B00551F" w:rsidR="00617798" w:rsidRPr="00890363" w:rsidRDefault="000B71B7" w:rsidP="00493BB9">
      <w:pPr>
        <w:rPr>
          <w:b/>
          <w:bCs/>
          <w:i/>
          <w:iCs/>
          <w:color w:val="auto"/>
        </w:rPr>
      </w:pPr>
      <w:r w:rsidRPr="00890363">
        <w:rPr>
          <w:color w:val="auto"/>
        </w:rPr>
        <w:t xml:space="preserve">In January 2022, </w:t>
      </w:r>
      <w:r w:rsidR="005F0267" w:rsidRPr="00890363">
        <w:rPr>
          <w:color w:val="auto"/>
        </w:rPr>
        <w:t>the Executive Office of Health and Human Services</w:t>
      </w:r>
      <w:r w:rsidRPr="00890363">
        <w:rPr>
          <w:color w:val="auto"/>
        </w:rPr>
        <w:t xml:space="preserve"> </w:t>
      </w:r>
      <w:r w:rsidR="00FD3BEC" w:rsidRPr="00890363">
        <w:rPr>
          <w:color w:val="auto"/>
        </w:rPr>
        <w:t xml:space="preserve">requested </w:t>
      </w:r>
      <w:r w:rsidRPr="00890363">
        <w:rPr>
          <w:color w:val="auto"/>
        </w:rPr>
        <w:t>additional support for vaccine administration</w:t>
      </w:r>
      <w:r w:rsidR="005F0267" w:rsidRPr="00890363">
        <w:rPr>
          <w:color w:val="auto"/>
        </w:rPr>
        <w:t xml:space="preserve"> in areas of lower vaccination rates. </w:t>
      </w:r>
      <w:r w:rsidRPr="00890363">
        <w:rPr>
          <w:color w:val="auto"/>
        </w:rPr>
        <w:t xml:space="preserve">51 </w:t>
      </w:r>
      <w:r w:rsidR="00A65967" w:rsidRPr="00890363">
        <w:rPr>
          <w:color w:val="auto"/>
        </w:rPr>
        <w:t xml:space="preserve">Federal Emergency Management Agency (FEMA) </w:t>
      </w:r>
      <w:r w:rsidR="008C405C" w:rsidRPr="00890363">
        <w:rPr>
          <w:color w:val="auto"/>
        </w:rPr>
        <w:t>staff were</w:t>
      </w:r>
      <w:r w:rsidR="005F0267" w:rsidRPr="00890363">
        <w:rPr>
          <w:color w:val="auto"/>
        </w:rPr>
        <w:t xml:space="preserve"> deployed </w:t>
      </w:r>
      <w:r w:rsidRPr="00890363">
        <w:rPr>
          <w:color w:val="auto"/>
        </w:rPr>
        <w:t>to support 10 Community Health Centers</w:t>
      </w:r>
      <w:r w:rsidR="005F0267" w:rsidRPr="00890363">
        <w:rPr>
          <w:color w:val="auto"/>
        </w:rPr>
        <w:t>.</w:t>
      </w:r>
    </w:p>
    <w:p w14:paraId="03E4BC58" w14:textId="2DC1C3F5" w:rsidR="00F31DB1" w:rsidRPr="00890363" w:rsidRDefault="00F31DB1" w:rsidP="00377541">
      <w:pPr>
        <w:ind w:left="0" w:firstLine="360"/>
        <w:rPr>
          <w:b/>
          <w:bCs/>
          <w:i/>
          <w:iCs/>
          <w:color w:val="auto"/>
        </w:rPr>
      </w:pPr>
      <w:r w:rsidRPr="00890363">
        <w:rPr>
          <w:b/>
          <w:bCs/>
          <w:i/>
          <w:iCs/>
          <w:color w:val="auto"/>
        </w:rPr>
        <w:t>Focused Grassroots Outreach</w:t>
      </w:r>
    </w:p>
    <w:p w14:paraId="7FC10ACD" w14:textId="2645CB60" w:rsidR="00EB7315" w:rsidRPr="00890363" w:rsidRDefault="00EB7315" w:rsidP="00EB7315">
      <w:pPr>
        <w:rPr>
          <w:color w:val="auto"/>
        </w:rPr>
      </w:pPr>
      <w:r w:rsidRPr="00890363">
        <w:rPr>
          <w:color w:val="auto"/>
        </w:rPr>
        <w:t xml:space="preserve">A grassroots approach was </w:t>
      </w:r>
      <w:r w:rsidR="008C13B8" w:rsidRPr="00890363">
        <w:rPr>
          <w:color w:val="auto"/>
        </w:rPr>
        <w:t xml:space="preserve">adopted </w:t>
      </w:r>
      <w:r w:rsidRPr="00890363">
        <w:rPr>
          <w:color w:val="auto"/>
        </w:rPr>
        <w:t xml:space="preserve">early on to help increase trust in vaccine safety and efficacy; increase awareness of how, </w:t>
      </w:r>
      <w:proofErr w:type="gramStart"/>
      <w:r w:rsidRPr="00890363">
        <w:rPr>
          <w:color w:val="auto"/>
        </w:rPr>
        <w:t>when</w:t>
      </w:r>
      <w:proofErr w:type="gramEnd"/>
      <w:r w:rsidRPr="00890363">
        <w:rPr>
          <w:color w:val="auto"/>
        </w:rPr>
        <w:t xml:space="preserve"> and where to get a vaccine; and improve vaccine access. </w:t>
      </w:r>
    </w:p>
    <w:p w14:paraId="36EB1964" w14:textId="62A1F366" w:rsidR="00B919CB" w:rsidRPr="00890363" w:rsidRDefault="72BE2E0A" w:rsidP="00B919CB">
      <w:pPr>
        <w:rPr>
          <w:color w:val="auto"/>
        </w:rPr>
      </w:pPr>
      <w:r w:rsidRPr="00890363">
        <w:rPr>
          <w:color w:val="auto"/>
        </w:rPr>
        <w:t>During the first phase of a focused outreach effort</w:t>
      </w:r>
      <w:r w:rsidR="5F18CE07" w:rsidRPr="00890363">
        <w:rPr>
          <w:color w:val="auto"/>
        </w:rPr>
        <w:t xml:space="preserve"> period </w:t>
      </w:r>
      <w:r w:rsidR="008C13B8" w:rsidRPr="00890363">
        <w:rPr>
          <w:color w:val="auto"/>
        </w:rPr>
        <w:t>from</w:t>
      </w:r>
      <w:r w:rsidR="5F18CE07" w:rsidRPr="00890363">
        <w:rPr>
          <w:color w:val="auto"/>
        </w:rPr>
        <w:t xml:space="preserve"> </w:t>
      </w:r>
      <w:r w:rsidR="369E7DFA" w:rsidRPr="00890363">
        <w:rPr>
          <w:color w:val="auto"/>
        </w:rPr>
        <w:t xml:space="preserve">April through September 2021, </w:t>
      </w:r>
      <w:r w:rsidR="2A96C4E0" w:rsidRPr="00890363">
        <w:rPr>
          <w:color w:val="auto"/>
        </w:rPr>
        <w:t>A</w:t>
      </w:r>
      <w:r w:rsidR="66A4DF58" w:rsidRPr="00890363">
        <w:rPr>
          <w:color w:val="auto"/>
        </w:rPr>
        <w:t xml:space="preserve">rchipelago </w:t>
      </w:r>
      <w:r w:rsidR="2A96C4E0" w:rsidRPr="00890363">
        <w:rPr>
          <w:color w:val="auto"/>
        </w:rPr>
        <w:t>S</w:t>
      </w:r>
      <w:r w:rsidR="66A4DF58" w:rsidRPr="00890363">
        <w:rPr>
          <w:color w:val="auto"/>
        </w:rPr>
        <w:t xml:space="preserve">trategies </w:t>
      </w:r>
      <w:r w:rsidR="2A96C4E0" w:rsidRPr="00890363">
        <w:rPr>
          <w:color w:val="auto"/>
        </w:rPr>
        <w:t>G</w:t>
      </w:r>
      <w:r w:rsidR="66A4DF58" w:rsidRPr="00890363">
        <w:rPr>
          <w:color w:val="auto"/>
        </w:rPr>
        <w:t>roup</w:t>
      </w:r>
      <w:r w:rsidR="30E7BEB2" w:rsidRPr="00890363">
        <w:rPr>
          <w:color w:val="auto"/>
        </w:rPr>
        <w:t xml:space="preserve"> (ASG) and</w:t>
      </w:r>
      <w:r w:rsidR="2A96C4E0" w:rsidRPr="00890363">
        <w:rPr>
          <w:color w:val="auto"/>
        </w:rPr>
        <w:t xml:space="preserve"> H</w:t>
      </w:r>
      <w:r w:rsidR="66A4DF58" w:rsidRPr="00890363">
        <w:rPr>
          <w:color w:val="auto"/>
        </w:rPr>
        <w:t xml:space="preserve">ealth </w:t>
      </w:r>
      <w:r w:rsidR="2A96C4E0" w:rsidRPr="00890363">
        <w:rPr>
          <w:color w:val="auto"/>
        </w:rPr>
        <w:t>C</w:t>
      </w:r>
      <w:r w:rsidR="66A4DF58" w:rsidRPr="00890363">
        <w:rPr>
          <w:color w:val="auto"/>
        </w:rPr>
        <w:t xml:space="preserve">are for </w:t>
      </w:r>
      <w:r w:rsidR="2A96C4E0" w:rsidRPr="00890363">
        <w:rPr>
          <w:color w:val="auto"/>
        </w:rPr>
        <w:t>A</w:t>
      </w:r>
      <w:r w:rsidR="66A4DF58" w:rsidRPr="00890363">
        <w:rPr>
          <w:color w:val="auto"/>
        </w:rPr>
        <w:t>ll</w:t>
      </w:r>
      <w:r w:rsidR="30E7BEB2" w:rsidRPr="00890363">
        <w:rPr>
          <w:color w:val="auto"/>
        </w:rPr>
        <w:t xml:space="preserve"> (HCFA)</w:t>
      </w:r>
      <w:r w:rsidR="2A96C4E0" w:rsidRPr="00890363">
        <w:rPr>
          <w:color w:val="auto"/>
        </w:rPr>
        <w:t xml:space="preserve"> </w:t>
      </w:r>
      <w:r w:rsidR="5F18CE07" w:rsidRPr="00890363">
        <w:rPr>
          <w:color w:val="auto"/>
        </w:rPr>
        <w:t>were awarded $10 million to implement a hyper local, hyper focused vaccine campaign</w:t>
      </w:r>
      <w:r w:rsidR="008C13B8" w:rsidRPr="00890363">
        <w:rPr>
          <w:color w:val="auto"/>
        </w:rPr>
        <w:t>.</w:t>
      </w:r>
      <w:r w:rsidR="5F18CE07" w:rsidRPr="00890363">
        <w:rPr>
          <w:color w:val="auto"/>
        </w:rPr>
        <w:t xml:space="preserve"> </w:t>
      </w:r>
      <w:r w:rsidR="369E7DFA" w:rsidRPr="00890363">
        <w:rPr>
          <w:color w:val="auto"/>
        </w:rPr>
        <w:t>The strategy included hiring 33 local community and faith</w:t>
      </w:r>
      <w:r w:rsidR="30E7BEB2" w:rsidRPr="00890363">
        <w:rPr>
          <w:color w:val="auto"/>
        </w:rPr>
        <w:t>-</w:t>
      </w:r>
      <w:r w:rsidR="369E7DFA" w:rsidRPr="00890363">
        <w:rPr>
          <w:color w:val="auto"/>
        </w:rPr>
        <w:t>based organization</w:t>
      </w:r>
      <w:r w:rsidR="00FC1105" w:rsidRPr="00890363">
        <w:rPr>
          <w:color w:val="auto"/>
        </w:rPr>
        <w:t>s</w:t>
      </w:r>
      <w:r w:rsidR="369E7DFA" w:rsidRPr="00890363">
        <w:rPr>
          <w:color w:val="auto"/>
        </w:rPr>
        <w:t xml:space="preserve"> to engage in door-to-door canvassing, traditional and social media communications, business walks, visibility events, and culturally and linguistically adapted education materials.</w:t>
      </w:r>
    </w:p>
    <w:p w14:paraId="491AAF07" w14:textId="1D00D0F1" w:rsidR="00255F48" w:rsidRPr="00890363" w:rsidRDefault="2A96C4E0" w:rsidP="00493BB9">
      <w:pPr>
        <w:rPr>
          <w:color w:val="auto"/>
        </w:rPr>
      </w:pPr>
      <w:r w:rsidRPr="00890363">
        <w:rPr>
          <w:color w:val="auto"/>
        </w:rPr>
        <w:t xml:space="preserve">A total of 284 </w:t>
      </w:r>
      <w:proofErr w:type="gramStart"/>
      <w:r w:rsidRPr="00890363">
        <w:rPr>
          <w:color w:val="auto"/>
        </w:rPr>
        <w:t>locally-hired</w:t>
      </w:r>
      <w:proofErr w:type="gramEnd"/>
      <w:r w:rsidRPr="00890363">
        <w:rPr>
          <w:color w:val="auto"/>
        </w:rPr>
        <w:t xml:space="preserve"> staff and individuals from </w:t>
      </w:r>
      <w:r w:rsidR="436F216A" w:rsidRPr="00890363">
        <w:rPr>
          <w:color w:val="auto"/>
        </w:rPr>
        <w:t xml:space="preserve">ASG and HCFA </w:t>
      </w:r>
      <w:r w:rsidR="30E7BEB2" w:rsidRPr="00890363">
        <w:rPr>
          <w:color w:val="auto"/>
        </w:rPr>
        <w:t xml:space="preserve">and 33 community-based organizations </w:t>
      </w:r>
      <w:r w:rsidRPr="00890363">
        <w:rPr>
          <w:color w:val="auto"/>
        </w:rPr>
        <w:t>work</w:t>
      </w:r>
      <w:r w:rsidR="5F18CE07" w:rsidRPr="00890363">
        <w:rPr>
          <w:color w:val="auto"/>
        </w:rPr>
        <w:t>ed</w:t>
      </w:r>
      <w:r w:rsidRPr="00890363">
        <w:rPr>
          <w:color w:val="auto"/>
        </w:rPr>
        <w:t xml:space="preserve"> in partnership to implement hyper-local grassroots efforts in all 20 </w:t>
      </w:r>
      <w:r w:rsidR="006B6735" w:rsidRPr="00890363">
        <w:rPr>
          <w:color w:val="auto"/>
        </w:rPr>
        <w:t xml:space="preserve">VEI </w:t>
      </w:r>
      <w:r w:rsidRPr="00890363">
        <w:rPr>
          <w:color w:val="auto"/>
        </w:rPr>
        <w:t>communities. A list of these organizations can be found in the Appendix.</w:t>
      </w:r>
      <w:r w:rsidR="00FC1105" w:rsidRPr="00890363">
        <w:rPr>
          <w:color w:val="auto"/>
        </w:rPr>
        <w:t xml:space="preserve">  In total, the focused ASG and HCFA grass roots effort has resulted in 899,758 doors knocked, 263,994 interactions, 201,153 phone calls, and 4,102 vaccine outreach events. </w:t>
      </w:r>
    </w:p>
    <w:p w14:paraId="66ECC5E1" w14:textId="4CB702AA" w:rsidR="008D6379" w:rsidRPr="00890363" w:rsidRDefault="01283471" w:rsidP="00493BB9">
      <w:pPr>
        <w:rPr>
          <w:color w:val="auto"/>
        </w:rPr>
      </w:pPr>
      <w:r w:rsidRPr="00890363">
        <w:rPr>
          <w:color w:val="auto"/>
        </w:rPr>
        <w:t xml:space="preserve">As ASG and HCFA concluded their work in September 2021, DPH shifted emphasis to </w:t>
      </w:r>
      <w:r w:rsidR="00FC1105" w:rsidRPr="00890363">
        <w:rPr>
          <w:color w:val="auto"/>
        </w:rPr>
        <w:t xml:space="preserve">further </w:t>
      </w:r>
      <w:r w:rsidRPr="00890363">
        <w:rPr>
          <w:color w:val="auto"/>
        </w:rPr>
        <w:t xml:space="preserve">reaching communities through </w:t>
      </w:r>
      <w:r w:rsidR="00E3308E" w:rsidRPr="00890363">
        <w:rPr>
          <w:color w:val="auto"/>
        </w:rPr>
        <w:t xml:space="preserve">funding efforts of an </w:t>
      </w:r>
      <w:r w:rsidR="00FC1105" w:rsidRPr="00890363">
        <w:rPr>
          <w:color w:val="auto"/>
        </w:rPr>
        <w:t xml:space="preserve">expanded group of </w:t>
      </w:r>
      <w:r w:rsidRPr="00890363">
        <w:rPr>
          <w:color w:val="auto"/>
        </w:rPr>
        <w:t xml:space="preserve">trusted </w:t>
      </w:r>
      <w:r w:rsidR="00FC1105" w:rsidRPr="00890363">
        <w:rPr>
          <w:color w:val="auto"/>
        </w:rPr>
        <w:t xml:space="preserve">community and </w:t>
      </w:r>
      <w:r w:rsidR="00A253FF" w:rsidRPr="00890363">
        <w:rPr>
          <w:color w:val="auto"/>
        </w:rPr>
        <w:t>faith-based</w:t>
      </w:r>
      <w:r w:rsidR="00FC1105" w:rsidRPr="00890363">
        <w:rPr>
          <w:color w:val="auto"/>
        </w:rPr>
        <w:t xml:space="preserve"> </w:t>
      </w:r>
      <w:r w:rsidRPr="00890363">
        <w:rPr>
          <w:color w:val="auto"/>
        </w:rPr>
        <w:t>organizations</w:t>
      </w:r>
      <w:r w:rsidR="00FC1105" w:rsidRPr="00890363">
        <w:rPr>
          <w:color w:val="auto"/>
        </w:rPr>
        <w:t>.</w:t>
      </w:r>
      <w:r w:rsidRPr="00890363">
        <w:rPr>
          <w:color w:val="auto"/>
        </w:rPr>
        <w:t xml:space="preserve"> </w:t>
      </w:r>
      <w:r w:rsidR="00E3308E" w:rsidRPr="00890363">
        <w:rPr>
          <w:color w:val="auto"/>
        </w:rPr>
        <w:t>T</w:t>
      </w:r>
      <w:r w:rsidRPr="00890363">
        <w:rPr>
          <w:color w:val="auto"/>
        </w:rPr>
        <w:t xml:space="preserve">he state funds </w:t>
      </w:r>
      <w:r w:rsidR="008D647C" w:rsidRPr="00890363">
        <w:rPr>
          <w:color w:val="auto"/>
        </w:rPr>
        <w:t xml:space="preserve">additional </w:t>
      </w:r>
      <w:r w:rsidRPr="00890363">
        <w:rPr>
          <w:color w:val="auto"/>
        </w:rPr>
        <w:t>organizations that engage priority populations, including rural-serving and Tribal and Indigenous People Serving Organizations.</w:t>
      </w:r>
      <w:r w:rsidR="008D647C" w:rsidRPr="00890363">
        <w:rPr>
          <w:color w:val="auto"/>
        </w:rPr>
        <w:t xml:space="preserve"> In total, </w:t>
      </w:r>
      <w:r w:rsidR="00E3308E" w:rsidRPr="00890363">
        <w:rPr>
          <w:color w:val="auto"/>
        </w:rPr>
        <w:t>DPH funding is supporting</w:t>
      </w:r>
      <w:r w:rsidR="008D647C" w:rsidRPr="00890363">
        <w:rPr>
          <w:color w:val="auto"/>
        </w:rPr>
        <w:t xml:space="preserve">167 community-based organizations </w:t>
      </w:r>
      <w:r w:rsidR="00E3308E" w:rsidRPr="00890363">
        <w:rPr>
          <w:color w:val="auto"/>
        </w:rPr>
        <w:t xml:space="preserve">that continue to </w:t>
      </w:r>
      <w:r w:rsidR="00FC1105" w:rsidRPr="00890363">
        <w:rPr>
          <w:color w:val="auto"/>
        </w:rPr>
        <w:t xml:space="preserve">work </w:t>
      </w:r>
      <w:r w:rsidR="008D647C" w:rsidRPr="00890363">
        <w:rPr>
          <w:color w:val="auto"/>
        </w:rPr>
        <w:t>to get vaccines into the arms of our most disproportionately impacted residents.</w:t>
      </w:r>
      <w:r w:rsidR="2A96C4E0" w:rsidRPr="00890363">
        <w:rPr>
          <w:color w:val="auto"/>
        </w:rPr>
        <w:t xml:space="preserve">  A list of these organizations can be found in the Appendix.</w:t>
      </w:r>
    </w:p>
    <w:p w14:paraId="1B827F9D" w14:textId="77777777" w:rsidR="00DB049F" w:rsidRPr="00890363" w:rsidRDefault="00DB049F" w:rsidP="008D6379">
      <w:pPr>
        <w:rPr>
          <w:color w:val="auto"/>
        </w:rPr>
      </w:pPr>
    </w:p>
    <w:p w14:paraId="70373DBD" w14:textId="6DB32F0C" w:rsidR="00DB049F" w:rsidRPr="00890363" w:rsidRDefault="00DB049F" w:rsidP="00DB049F">
      <w:pPr>
        <w:pStyle w:val="ListNumber"/>
        <w:numPr>
          <w:ilvl w:val="0"/>
          <w:numId w:val="20"/>
        </w:numPr>
        <w:rPr>
          <w:b/>
          <w:bCs/>
          <w:color w:val="auto"/>
        </w:rPr>
      </w:pPr>
      <w:r w:rsidRPr="00890363">
        <w:rPr>
          <w:b/>
          <w:bCs/>
          <w:color w:val="auto"/>
        </w:rPr>
        <w:t>Increase vaccine access for priority populations</w:t>
      </w:r>
    </w:p>
    <w:p w14:paraId="4EB6CB43" w14:textId="77777777" w:rsidR="00242F21" w:rsidRPr="00890363" w:rsidRDefault="00242F21" w:rsidP="00A253FF">
      <w:pPr>
        <w:ind w:left="0"/>
        <w:rPr>
          <w:b/>
          <w:bCs/>
          <w:i/>
          <w:iCs/>
          <w:color w:val="auto"/>
        </w:rPr>
      </w:pPr>
    </w:p>
    <w:p w14:paraId="723EE36E" w14:textId="42BFAF59" w:rsidR="00DB049F" w:rsidRPr="00890363" w:rsidRDefault="00DB049F" w:rsidP="00DB049F">
      <w:pPr>
        <w:rPr>
          <w:b/>
          <w:bCs/>
          <w:i/>
          <w:iCs/>
          <w:color w:val="auto"/>
        </w:rPr>
      </w:pPr>
      <w:r w:rsidRPr="00890363">
        <w:rPr>
          <w:b/>
          <w:bCs/>
          <w:i/>
          <w:iCs/>
          <w:color w:val="auto"/>
        </w:rPr>
        <w:t xml:space="preserve">Mobile Vaccination Clinics </w:t>
      </w:r>
    </w:p>
    <w:p w14:paraId="71A7F21D" w14:textId="4BA630F4" w:rsidR="00DB049F" w:rsidRPr="00890363" w:rsidRDefault="00DB049F" w:rsidP="00DB049F">
      <w:pPr>
        <w:rPr>
          <w:color w:val="auto"/>
        </w:rPr>
      </w:pPr>
      <w:r w:rsidRPr="00890363">
        <w:rPr>
          <w:color w:val="auto"/>
        </w:rPr>
        <w:t xml:space="preserve">Mobile clinics increase access by providing </w:t>
      </w:r>
      <w:r w:rsidR="00F46140" w:rsidRPr="00890363">
        <w:rPr>
          <w:color w:val="auto"/>
        </w:rPr>
        <w:t xml:space="preserve">vaccination </w:t>
      </w:r>
      <w:r w:rsidRPr="00890363">
        <w:rPr>
          <w:color w:val="auto"/>
        </w:rPr>
        <w:t>clinics in a wide variety of community settings in collaboration with community-based partners. Vaccine access and navigation services reduce barriers to access by providing transportation, appointment</w:t>
      </w:r>
      <w:r w:rsidR="008C13B8" w:rsidRPr="00890363">
        <w:rPr>
          <w:color w:val="auto"/>
        </w:rPr>
        <w:t xml:space="preserve"> scheduling</w:t>
      </w:r>
      <w:r w:rsidRPr="00890363">
        <w:rPr>
          <w:color w:val="auto"/>
        </w:rPr>
        <w:t>, and translation</w:t>
      </w:r>
      <w:r w:rsidR="00A84ED0" w:rsidRPr="00890363">
        <w:rPr>
          <w:color w:val="auto"/>
        </w:rPr>
        <w:t xml:space="preserve"> services</w:t>
      </w:r>
      <w:r w:rsidRPr="00890363">
        <w:rPr>
          <w:color w:val="auto"/>
        </w:rPr>
        <w:t>.</w:t>
      </w:r>
      <w:r w:rsidR="00193014" w:rsidRPr="00890363">
        <w:rPr>
          <w:color w:val="auto"/>
        </w:rPr>
        <w:t xml:space="preserve"> DPH continues to fund and support both mobile clinics and vaccine navigation services.</w:t>
      </w:r>
    </w:p>
    <w:p w14:paraId="530025D0" w14:textId="170AA19A" w:rsidR="00DB049F" w:rsidRPr="00890363" w:rsidRDefault="00DB049F" w:rsidP="00DB049F">
      <w:pPr>
        <w:rPr>
          <w:color w:val="auto"/>
        </w:rPr>
      </w:pPr>
      <w:r w:rsidRPr="00890363">
        <w:rPr>
          <w:color w:val="auto"/>
        </w:rPr>
        <w:lastRenderedPageBreak/>
        <w:t xml:space="preserve">Mobile COVID-19 vaccination services address a particular community need that cannot be met by existing vaccination opportunities, such as the Commonwealth’s vaccination sites, hospitals/medical provider offices, or pharmacy-based clinics. </w:t>
      </w:r>
      <w:proofErr w:type="gramStart"/>
      <w:r w:rsidR="00193014" w:rsidRPr="00890363">
        <w:rPr>
          <w:color w:val="auto"/>
        </w:rPr>
        <w:t>This is why</w:t>
      </w:r>
      <w:proofErr w:type="gramEnd"/>
      <w:r w:rsidR="00193014" w:rsidRPr="00890363">
        <w:rPr>
          <w:color w:val="auto"/>
        </w:rPr>
        <w:t xml:space="preserve"> DPH has prioritized </w:t>
      </w:r>
      <w:r w:rsidR="008C405C" w:rsidRPr="00890363">
        <w:rPr>
          <w:color w:val="auto"/>
        </w:rPr>
        <w:t>m</w:t>
      </w:r>
      <w:r w:rsidRPr="00890363">
        <w:rPr>
          <w:color w:val="auto"/>
        </w:rPr>
        <w:t xml:space="preserve">obile vaccination services for populations in the 20 </w:t>
      </w:r>
      <w:r w:rsidR="0028345A" w:rsidRPr="00890363">
        <w:rPr>
          <w:color w:val="auto"/>
        </w:rPr>
        <w:t>VEI communities</w:t>
      </w:r>
      <w:r w:rsidRPr="00890363">
        <w:rPr>
          <w:color w:val="auto"/>
        </w:rPr>
        <w:t xml:space="preserve"> who are disproportionately impacted by COVID-19</w:t>
      </w:r>
      <w:r w:rsidR="00565F65" w:rsidRPr="00890363">
        <w:rPr>
          <w:color w:val="auto"/>
        </w:rPr>
        <w:t>.</w:t>
      </w:r>
    </w:p>
    <w:p w14:paraId="46FDB871" w14:textId="6667C295" w:rsidR="00B919CB" w:rsidRPr="00890363" w:rsidRDefault="00B919CB" w:rsidP="00B919CB">
      <w:pPr>
        <w:rPr>
          <w:color w:val="auto"/>
        </w:rPr>
      </w:pPr>
      <w:r w:rsidRPr="00890363">
        <w:rPr>
          <w:color w:val="auto"/>
        </w:rPr>
        <w:t xml:space="preserve">Meeting residents where they are, in settings familiar and comfortable to them, is critical to increasing vaccination rates. </w:t>
      </w:r>
      <w:r w:rsidR="00A84ED0" w:rsidRPr="00890363">
        <w:rPr>
          <w:color w:val="auto"/>
        </w:rPr>
        <w:t xml:space="preserve">Clinic locations </w:t>
      </w:r>
      <w:r w:rsidRPr="00890363">
        <w:rPr>
          <w:color w:val="auto"/>
        </w:rPr>
        <w:t>rang</w:t>
      </w:r>
      <w:r w:rsidR="00A84ED0" w:rsidRPr="00890363">
        <w:rPr>
          <w:color w:val="auto"/>
        </w:rPr>
        <w:t>e</w:t>
      </w:r>
      <w:r w:rsidRPr="00890363">
        <w:rPr>
          <w:color w:val="auto"/>
        </w:rPr>
        <w:t xml:space="preserve"> from libraries in New Bedford, Leominster, Worcester, and Holyoke, to barber shops and beauty salons in Brockton, houses of worship, grocery</w:t>
      </w:r>
      <w:r w:rsidR="00A84ED0" w:rsidRPr="00890363">
        <w:rPr>
          <w:color w:val="auto"/>
        </w:rPr>
        <w:t>, bodegas</w:t>
      </w:r>
      <w:r w:rsidRPr="00890363">
        <w:rPr>
          <w:color w:val="auto"/>
        </w:rPr>
        <w:t xml:space="preserve"> and convenience stores, nightclubs in Lawrence and restaurants in Lynn.</w:t>
      </w:r>
      <w:r w:rsidR="00F3365C" w:rsidRPr="00890363">
        <w:rPr>
          <w:color w:val="auto"/>
        </w:rPr>
        <w:t xml:space="preserve"> </w:t>
      </w:r>
      <w:r w:rsidR="00193014" w:rsidRPr="00890363">
        <w:rPr>
          <w:color w:val="auto"/>
        </w:rPr>
        <w:t xml:space="preserve">DPH is </w:t>
      </w:r>
      <w:proofErr w:type="gramStart"/>
      <w:r w:rsidR="00193014" w:rsidRPr="00890363">
        <w:rPr>
          <w:color w:val="auto"/>
        </w:rPr>
        <w:t xml:space="preserve">supporting </w:t>
      </w:r>
      <w:r w:rsidR="00F3365C" w:rsidRPr="00890363">
        <w:rPr>
          <w:color w:val="auto"/>
        </w:rPr>
        <w:t xml:space="preserve"> vaccinating</w:t>
      </w:r>
      <w:proofErr w:type="gramEnd"/>
      <w:r w:rsidR="00F3365C" w:rsidRPr="00890363">
        <w:rPr>
          <w:color w:val="auto"/>
        </w:rPr>
        <w:t xml:space="preserve"> kids </w:t>
      </w:r>
      <w:r w:rsidR="00A65967" w:rsidRPr="00890363">
        <w:rPr>
          <w:color w:val="auto"/>
        </w:rPr>
        <w:t xml:space="preserve">at </w:t>
      </w:r>
      <w:r w:rsidR="00F3365C" w:rsidRPr="00890363">
        <w:rPr>
          <w:color w:val="auto"/>
        </w:rPr>
        <w:t xml:space="preserve">their schools, with over </w:t>
      </w:r>
      <w:r w:rsidR="008C405C" w:rsidRPr="00890363">
        <w:rPr>
          <w:color w:val="auto"/>
        </w:rPr>
        <w:t>600</w:t>
      </w:r>
      <w:r w:rsidR="00F3365C" w:rsidRPr="00890363">
        <w:rPr>
          <w:color w:val="auto"/>
        </w:rPr>
        <w:t xml:space="preserve"> school</w:t>
      </w:r>
      <w:r w:rsidR="00E60B30" w:rsidRPr="00890363">
        <w:rPr>
          <w:color w:val="auto"/>
        </w:rPr>
        <w:t>-</w:t>
      </w:r>
      <w:r w:rsidR="00F3365C" w:rsidRPr="00890363">
        <w:rPr>
          <w:color w:val="auto"/>
        </w:rPr>
        <w:t>based clinics across the VEI communities to date.</w:t>
      </w:r>
    </w:p>
    <w:p w14:paraId="47B79054" w14:textId="77777777" w:rsidR="00DB049F" w:rsidRPr="00890363" w:rsidRDefault="00DB049F" w:rsidP="00DB049F">
      <w:pPr>
        <w:rPr>
          <w:color w:val="auto"/>
        </w:rPr>
      </w:pPr>
      <w:r w:rsidRPr="00890363">
        <w:rPr>
          <w:color w:val="auto"/>
        </w:rPr>
        <w:t>Mobile vaccination services are often delivered from an ambulance or medical van and may be established at a fixed or temporary site, such as a community center, auditorium, or tent. Mobile vaccination clinics are provided on a short-term basis, such as a day-long or evening clinic, and may also be provided on a recurring basis, such as a clinic held every Saturday.</w:t>
      </w:r>
    </w:p>
    <w:p w14:paraId="25E48DA6" w14:textId="4DB5E23D" w:rsidR="004A1C57" w:rsidRPr="00890363" w:rsidRDefault="00DB049F" w:rsidP="00DB049F">
      <w:pPr>
        <w:rPr>
          <w:color w:val="auto"/>
        </w:rPr>
      </w:pPr>
      <w:r w:rsidRPr="00890363">
        <w:rPr>
          <w:color w:val="auto"/>
        </w:rPr>
        <w:t xml:space="preserve">In the 20 municipalities through February 22, 2022, </w:t>
      </w:r>
      <w:r w:rsidR="001B485C" w:rsidRPr="00890363">
        <w:rPr>
          <w:color w:val="auto"/>
        </w:rPr>
        <w:t>the state has sponsored and</w:t>
      </w:r>
      <w:r w:rsidRPr="00890363">
        <w:rPr>
          <w:color w:val="auto"/>
        </w:rPr>
        <w:t xml:space="preserve"> held 3,499 mobile clinics and administered 155,901 doses through mobile clinics</w:t>
      </w:r>
      <w:r w:rsidR="00A84ED0" w:rsidRPr="00890363">
        <w:rPr>
          <w:color w:val="auto"/>
        </w:rPr>
        <w:t>.</w:t>
      </w:r>
      <w:r w:rsidR="001B485C" w:rsidRPr="00890363">
        <w:rPr>
          <w:color w:val="auto"/>
        </w:rPr>
        <w:t xml:space="preserve">  </w:t>
      </w:r>
    </w:p>
    <w:p w14:paraId="55B52EC7" w14:textId="3E3A03A6" w:rsidR="00193014" w:rsidRPr="00890363" w:rsidRDefault="00193014" w:rsidP="00DB049F">
      <w:pPr>
        <w:rPr>
          <w:color w:val="auto"/>
        </w:rPr>
      </w:pPr>
      <w:r w:rsidRPr="00890363">
        <w:rPr>
          <w:color w:val="auto"/>
        </w:rPr>
        <w:t xml:space="preserve">DPH continues to work with communities that request mobile vaccination clinics to deploy these services. </w:t>
      </w:r>
    </w:p>
    <w:p w14:paraId="6C17165F" w14:textId="77777777" w:rsidR="00D64309" w:rsidRPr="00890363" w:rsidRDefault="00D64309" w:rsidP="004A1C57">
      <w:pPr>
        <w:rPr>
          <w:color w:val="auto"/>
        </w:rPr>
      </w:pPr>
    </w:p>
    <w:p w14:paraId="6B17250B" w14:textId="2FD36BFD" w:rsidR="00D64309" w:rsidRPr="00890363" w:rsidRDefault="00D64309" w:rsidP="004A1C57">
      <w:pPr>
        <w:rPr>
          <w:b/>
          <w:bCs/>
          <w:i/>
          <w:iCs/>
          <w:color w:val="auto"/>
        </w:rPr>
      </w:pPr>
      <w:r w:rsidRPr="00890363">
        <w:rPr>
          <w:b/>
          <w:bCs/>
          <w:i/>
          <w:iCs/>
          <w:color w:val="auto"/>
        </w:rPr>
        <w:t>Data informed</w:t>
      </w:r>
      <w:r w:rsidR="000410CD" w:rsidRPr="00890363">
        <w:rPr>
          <w:b/>
          <w:bCs/>
          <w:i/>
          <w:iCs/>
          <w:color w:val="auto"/>
        </w:rPr>
        <w:t xml:space="preserve"> outreach </w:t>
      </w:r>
    </w:p>
    <w:p w14:paraId="5D55CD5B" w14:textId="5CE282AE" w:rsidR="00D64309" w:rsidRPr="00890363" w:rsidRDefault="00B919CB" w:rsidP="00D64309">
      <w:pPr>
        <w:rPr>
          <w:color w:val="auto"/>
        </w:rPr>
      </w:pPr>
      <w:r w:rsidRPr="00890363">
        <w:rPr>
          <w:color w:val="auto"/>
        </w:rPr>
        <w:t xml:space="preserve">Starting in the </w:t>
      </w:r>
      <w:r w:rsidR="00565F65" w:rsidRPr="00890363">
        <w:rPr>
          <w:color w:val="auto"/>
        </w:rPr>
        <w:t>s</w:t>
      </w:r>
      <w:r w:rsidRPr="00890363">
        <w:rPr>
          <w:color w:val="auto"/>
        </w:rPr>
        <w:t xml:space="preserve">ummer of 2021, DPH </w:t>
      </w:r>
      <w:r w:rsidR="00242F21" w:rsidRPr="00890363">
        <w:rPr>
          <w:color w:val="auto"/>
        </w:rPr>
        <w:t xml:space="preserve">provides </w:t>
      </w:r>
      <w:r w:rsidRPr="00890363">
        <w:rPr>
          <w:color w:val="auto"/>
        </w:rPr>
        <w:t xml:space="preserve">a customized community data report </w:t>
      </w:r>
      <w:r w:rsidR="00565F65" w:rsidRPr="00890363">
        <w:rPr>
          <w:color w:val="auto"/>
        </w:rPr>
        <w:t xml:space="preserve">to VEI </w:t>
      </w:r>
      <w:r w:rsidRPr="00890363">
        <w:rPr>
          <w:color w:val="auto"/>
        </w:rPr>
        <w:t xml:space="preserve">communities </w:t>
      </w:r>
      <w:proofErr w:type="gramStart"/>
      <w:r w:rsidRPr="00890363">
        <w:rPr>
          <w:color w:val="auto"/>
        </w:rPr>
        <w:t>on a monthly basis</w:t>
      </w:r>
      <w:proofErr w:type="gramEnd"/>
      <w:r w:rsidRPr="00890363">
        <w:rPr>
          <w:color w:val="auto"/>
        </w:rPr>
        <w:t>, including vaccination data at the census block level</w:t>
      </w:r>
      <w:r w:rsidR="00565F65" w:rsidRPr="00890363">
        <w:rPr>
          <w:color w:val="auto"/>
        </w:rPr>
        <w:t>.</w:t>
      </w:r>
      <w:r w:rsidRPr="00890363">
        <w:rPr>
          <w:color w:val="auto"/>
        </w:rPr>
        <w:t xml:space="preserve"> </w:t>
      </w:r>
      <w:r w:rsidR="00195052" w:rsidRPr="00890363">
        <w:rPr>
          <w:color w:val="auto"/>
        </w:rPr>
        <w:t xml:space="preserve">DPH and local municipalities </w:t>
      </w:r>
      <w:r w:rsidR="00565F65" w:rsidRPr="00890363">
        <w:rPr>
          <w:color w:val="auto"/>
        </w:rPr>
        <w:t>analyze this data to adjust efforts to increase vaccination as needed.</w:t>
      </w:r>
      <w:r w:rsidR="00195052" w:rsidRPr="00890363">
        <w:rPr>
          <w:color w:val="auto"/>
        </w:rPr>
        <w:t xml:space="preserve"> Getting l</w:t>
      </w:r>
      <w:r w:rsidR="00D64309" w:rsidRPr="00890363">
        <w:rPr>
          <w:color w:val="auto"/>
        </w:rPr>
        <w:t xml:space="preserve">ocal data </w:t>
      </w:r>
      <w:r w:rsidR="00195052" w:rsidRPr="00890363">
        <w:rPr>
          <w:color w:val="auto"/>
        </w:rPr>
        <w:t xml:space="preserve">into the hands of municipal leaders in a collaborative effort </w:t>
      </w:r>
      <w:r w:rsidR="00D64309" w:rsidRPr="00890363">
        <w:rPr>
          <w:color w:val="auto"/>
        </w:rPr>
        <w:t>has been a key driver of success</w:t>
      </w:r>
      <w:r w:rsidR="00D64309" w:rsidRPr="00890363">
        <w:rPr>
          <w:b/>
          <w:bCs/>
          <w:color w:val="auto"/>
        </w:rPr>
        <w:t xml:space="preserve"> </w:t>
      </w:r>
      <w:r w:rsidR="00D64309" w:rsidRPr="00890363">
        <w:rPr>
          <w:color w:val="auto"/>
        </w:rPr>
        <w:t xml:space="preserve">in reaching unvaccinated residents.   These data outline weekly vaccination and COVID-19 incidence rates compared to statewide rates and help communities identify gaps to achieve equity benchmarks overall and for population subgroups defined by race, ethnicity, </w:t>
      </w:r>
      <w:proofErr w:type="gramStart"/>
      <w:r w:rsidR="00D64309" w:rsidRPr="00890363">
        <w:rPr>
          <w:color w:val="auto"/>
        </w:rPr>
        <w:t>sex</w:t>
      </w:r>
      <w:proofErr w:type="gramEnd"/>
      <w:r w:rsidR="00D64309" w:rsidRPr="00890363">
        <w:rPr>
          <w:color w:val="auto"/>
        </w:rPr>
        <w:t xml:space="preserve"> and age. </w:t>
      </w:r>
    </w:p>
    <w:p w14:paraId="76A821D1" w14:textId="6671AD1A" w:rsidR="00D64309" w:rsidRPr="00890363" w:rsidRDefault="00D64309" w:rsidP="00D64309">
      <w:pPr>
        <w:rPr>
          <w:color w:val="auto"/>
        </w:rPr>
      </w:pPr>
      <w:r w:rsidRPr="00890363">
        <w:rPr>
          <w:color w:val="auto"/>
        </w:rPr>
        <w:t>The combination of these resources has led to creative outreach that is specific to community needs. Just a sampling is below:</w:t>
      </w:r>
    </w:p>
    <w:p w14:paraId="77BF166B" w14:textId="6F19974F" w:rsidR="00D64309" w:rsidRPr="00890363" w:rsidRDefault="00D64309" w:rsidP="5402139D">
      <w:pPr>
        <w:numPr>
          <w:ilvl w:val="0"/>
          <w:numId w:val="26"/>
        </w:numPr>
        <w:rPr>
          <w:rFonts w:eastAsiaTheme="minorEastAsia"/>
          <w:color w:val="auto"/>
        </w:rPr>
      </w:pPr>
      <w:r w:rsidRPr="00890363">
        <w:rPr>
          <w:color w:val="auto"/>
        </w:rPr>
        <w:t>VEI co-</w:t>
      </w:r>
      <w:r w:rsidR="00F46140" w:rsidRPr="00890363">
        <w:rPr>
          <w:color w:val="auto"/>
        </w:rPr>
        <w:t>sponsored 59</w:t>
      </w:r>
      <w:r w:rsidRPr="00890363">
        <w:rPr>
          <w:color w:val="auto"/>
        </w:rPr>
        <w:t xml:space="preserve"> family-friendly vaccination clinics in 11 </w:t>
      </w:r>
      <w:r w:rsidR="0028345A" w:rsidRPr="00890363">
        <w:rPr>
          <w:color w:val="auto"/>
        </w:rPr>
        <w:t>VEI communities</w:t>
      </w:r>
      <w:r w:rsidRPr="00890363">
        <w:rPr>
          <w:color w:val="auto"/>
        </w:rPr>
        <w:t xml:space="preserve"> during February School Vacation Week</w:t>
      </w:r>
      <w:r w:rsidR="005A71F7" w:rsidRPr="00890363">
        <w:rPr>
          <w:color w:val="auto"/>
        </w:rPr>
        <w:t>, where 2,212 doses were administered</w:t>
      </w:r>
      <w:r w:rsidRPr="00890363">
        <w:rPr>
          <w:color w:val="auto"/>
        </w:rPr>
        <w:t xml:space="preserve">. </w:t>
      </w:r>
      <w:r w:rsidR="5402139D" w:rsidRPr="00890363">
        <w:rPr>
          <w:color w:val="auto"/>
        </w:rPr>
        <w:t xml:space="preserve">This included 559 pediatric (age 5-11) doses, 336 youth (age 12-17) doses including boosters, and 1,317 adult (18+) doses including boosters, showing engagement across all age groups.  </w:t>
      </w:r>
      <w:r w:rsidRPr="00890363">
        <w:rPr>
          <w:color w:val="auto"/>
        </w:rPr>
        <w:t xml:space="preserve">Springfield hosted </w:t>
      </w:r>
      <w:r w:rsidR="00A11879" w:rsidRPr="00890363">
        <w:rPr>
          <w:color w:val="auto"/>
        </w:rPr>
        <w:t xml:space="preserve">its </w:t>
      </w:r>
      <w:r w:rsidRPr="00890363">
        <w:rPr>
          <w:color w:val="auto"/>
        </w:rPr>
        <w:t xml:space="preserve">clinics at </w:t>
      </w:r>
      <w:r w:rsidR="00A11879" w:rsidRPr="00890363">
        <w:rPr>
          <w:color w:val="auto"/>
        </w:rPr>
        <w:t>a local t</w:t>
      </w:r>
      <w:r w:rsidRPr="00890363">
        <w:rPr>
          <w:color w:val="auto"/>
        </w:rPr>
        <w:t xml:space="preserve">rampoline </w:t>
      </w:r>
      <w:r w:rsidR="00A11879" w:rsidRPr="00890363">
        <w:rPr>
          <w:color w:val="auto"/>
        </w:rPr>
        <w:t>p</w:t>
      </w:r>
      <w:r w:rsidRPr="00890363">
        <w:rPr>
          <w:color w:val="auto"/>
        </w:rPr>
        <w:t xml:space="preserve">ark, where kids received an hour of free play time for getting vaccinated. In Lowell, a comfort </w:t>
      </w:r>
      <w:r w:rsidRPr="00890363">
        <w:rPr>
          <w:color w:val="auto"/>
        </w:rPr>
        <w:lastRenderedPageBreak/>
        <w:t>dog visited the clinic at the Greater Lowell YMCA, and those vaccinated were eligible for incentives like Girl Scout cookies and a $500 gift card raffle.</w:t>
      </w:r>
      <w:r w:rsidR="005A71F7" w:rsidRPr="00890363">
        <w:rPr>
          <w:color w:val="auto"/>
        </w:rPr>
        <w:t xml:space="preserve"> </w:t>
      </w:r>
    </w:p>
    <w:p w14:paraId="466353C9" w14:textId="4F9524FB" w:rsidR="00D64309" w:rsidRPr="00890363" w:rsidRDefault="00D64309" w:rsidP="006E294B">
      <w:pPr>
        <w:numPr>
          <w:ilvl w:val="0"/>
          <w:numId w:val="26"/>
        </w:numPr>
        <w:rPr>
          <w:color w:val="auto"/>
        </w:rPr>
      </w:pPr>
      <w:r w:rsidRPr="00890363">
        <w:rPr>
          <w:color w:val="auto"/>
        </w:rPr>
        <w:t xml:space="preserve">The City of Holyoke </w:t>
      </w:r>
      <w:r w:rsidR="002225BE" w:rsidRPr="00890363">
        <w:rPr>
          <w:color w:val="auto"/>
        </w:rPr>
        <w:t xml:space="preserve">has </w:t>
      </w:r>
      <w:r w:rsidR="00F3365C" w:rsidRPr="00890363">
        <w:rPr>
          <w:color w:val="auto"/>
        </w:rPr>
        <w:t>launched a</w:t>
      </w:r>
      <w:r w:rsidRPr="00890363">
        <w:rPr>
          <w:color w:val="auto"/>
        </w:rPr>
        <w:t xml:space="preserve"> six-week program to encourage Holyoke businesses to increase the number of vaccinated employees. The city will assist businesses by providing education, toolkits, and access to resources and incentives such as grants and media recognition. More than 200 businesses have been contacted. All outreach and education materials are bilingual.</w:t>
      </w:r>
    </w:p>
    <w:p w14:paraId="6F14A5AA" w14:textId="1D4A060A" w:rsidR="00201F3C" w:rsidRPr="00890363" w:rsidRDefault="00201F3C" w:rsidP="00201F3C">
      <w:pPr>
        <w:pStyle w:val="ListParagraph"/>
        <w:numPr>
          <w:ilvl w:val="0"/>
          <w:numId w:val="26"/>
        </w:numPr>
        <w:rPr>
          <w:lang w:eastAsia="ja-JP"/>
        </w:rPr>
      </w:pPr>
      <w:r w:rsidRPr="00890363">
        <w:rPr>
          <w:lang w:eastAsia="ja-JP"/>
        </w:rPr>
        <w:t xml:space="preserve">In December 2021, DPH hosted vaccination clinics for the Haitian community in seven cities including Boston (Mattapan), Brockton, Everett, Lawrence, Lynn, </w:t>
      </w:r>
      <w:proofErr w:type="gramStart"/>
      <w:r w:rsidRPr="00890363">
        <w:rPr>
          <w:lang w:eastAsia="ja-JP"/>
        </w:rPr>
        <w:t>Malden</w:t>
      </w:r>
      <w:proofErr w:type="gramEnd"/>
      <w:r w:rsidRPr="00890363">
        <w:rPr>
          <w:lang w:eastAsia="ja-JP"/>
        </w:rPr>
        <w:t xml:space="preserve"> and Randolph. More than 250 doses were administered including 40 first doses. Partners included the Haitian American Business Expo, Inc./U.S. Haitian Chamber of Commerce, Immigrant Family Services Institute, and others. Clinics included Haitian and Caribbean food and music and offered $25 grocery gift cards.</w:t>
      </w:r>
    </w:p>
    <w:p w14:paraId="5E619DAA" w14:textId="37384357" w:rsidR="00D64309" w:rsidRPr="00890363" w:rsidRDefault="00D64309" w:rsidP="005A71F7">
      <w:pPr>
        <w:numPr>
          <w:ilvl w:val="0"/>
          <w:numId w:val="26"/>
        </w:numPr>
        <w:rPr>
          <w:color w:val="auto"/>
        </w:rPr>
      </w:pPr>
      <w:r w:rsidRPr="00890363">
        <w:rPr>
          <w:color w:val="auto"/>
        </w:rPr>
        <w:t xml:space="preserve">The City of Lawrence launched a Spanish public service announcement featuring 10 faith-based leaders and partners urging vaccination. The effort was </w:t>
      </w:r>
      <w:r w:rsidR="005A71F7" w:rsidRPr="00890363">
        <w:rPr>
          <w:color w:val="auto"/>
        </w:rPr>
        <w:t>led</w:t>
      </w:r>
      <w:r w:rsidRPr="00890363">
        <w:rPr>
          <w:color w:val="auto"/>
        </w:rPr>
        <w:t xml:space="preserve"> by the City and Greater Lawrence Community Action Council.</w:t>
      </w:r>
    </w:p>
    <w:p w14:paraId="6776C99B" w14:textId="3DB15052" w:rsidR="00D64309" w:rsidRPr="00890363" w:rsidRDefault="00D64309" w:rsidP="7ACC5912">
      <w:pPr>
        <w:numPr>
          <w:ilvl w:val="0"/>
          <w:numId w:val="26"/>
        </w:numPr>
        <w:rPr>
          <w:rFonts w:eastAsiaTheme="minorEastAsia"/>
          <w:color w:val="auto"/>
        </w:rPr>
      </w:pPr>
      <w:bookmarkStart w:id="1" w:name="_Hlk97211414"/>
      <w:r w:rsidRPr="00890363">
        <w:rPr>
          <w:color w:val="auto"/>
        </w:rPr>
        <w:t xml:space="preserve">The Worcester Public Library’s main branch hosted a series of vaccination clinics in January and February 2022 that resulted in </w:t>
      </w:r>
      <w:r w:rsidR="7ACC5912" w:rsidRPr="00890363">
        <w:rPr>
          <w:color w:val="auto"/>
        </w:rPr>
        <w:t>774 doses administered</w:t>
      </w:r>
      <w:r w:rsidRPr="00890363">
        <w:rPr>
          <w:color w:val="auto"/>
        </w:rPr>
        <w:t>; residents could show their new vaccine card at the Welcome Desk and library staff would forgive any lost library items. </w:t>
      </w:r>
    </w:p>
    <w:p w14:paraId="1495DFA4" w14:textId="70107414" w:rsidR="00F46140" w:rsidRPr="00890363" w:rsidRDefault="004C2C7A" w:rsidP="00F46140">
      <w:pPr>
        <w:pStyle w:val="ListParagraph"/>
        <w:numPr>
          <w:ilvl w:val="0"/>
          <w:numId w:val="26"/>
        </w:numPr>
      </w:pPr>
      <w:r w:rsidRPr="00890363">
        <w:rPr>
          <w:rFonts w:eastAsiaTheme="minorEastAsia"/>
        </w:rPr>
        <w:t>In Lynn, the organization “Leading Through Empowering Opportunities,” or LEO, held six pop-up vaccine clinics for 400 families and the public. With Salem State University students, they handed out 650 tote bags with Personal Protective Equipment (PPE) and vaccination facts – to be distributed at these clinics and via the Lynn Public Schools.</w:t>
      </w:r>
      <w:bookmarkEnd w:id="1"/>
      <w:r w:rsidR="00F46140" w:rsidRPr="00890363">
        <w:rPr>
          <w:rFonts w:eastAsiaTheme="minorEastAsia"/>
        </w:rPr>
        <w:t xml:space="preserve"> </w:t>
      </w:r>
    </w:p>
    <w:p w14:paraId="4242263E" w14:textId="05C6A153" w:rsidR="00193014" w:rsidRPr="00890363" w:rsidRDefault="00193014" w:rsidP="007423C1">
      <w:pPr>
        <w:rPr>
          <w:color w:val="auto"/>
        </w:rPr>
      </w:pPr>
      <w:r w:rsidRPr="00890363">
        <w:rPr>
          <w:color w:val="auto"/>
        </w:rPr>
        <w:t xml:space="preserve">DPH continues to work with communities to provide support for these events. </w:t>
      </w:r>
    </w:p>
    <w:p w14:paraId="1611FAE3" w14:textId="341F05B7" w:rsidR="00AD7F17" w:rsidRPr="00890363" w:rsidRDefault="000E4F51" w:rsidP="000E4F51">
      <w:pPr>
        <w:pStyle w:val="Heading1"/>
        <w:rPr>
          <w:color w:val="auto"/>
        </w:rPr>
      </w:pPr>
      <w:r w:rsidRPr="00890363">
        <w:rPr>
          <w:color w:val="auto"/>
        </w:rPr>
        <w:t>Results to date</w:t>
      </w:r>
    </w:p>
    <w:p w14:paraId="54F3E7DF" w14:textId="13584818" w:rsidR="00631EDD" w:rsidRPr="00890363" w:rsidRDefault="00631EDD" w:rsidP="00631EDD">
      <w:pPr>
        <w:rPr>
          <w:color w:val="auto"/>
        </w:rPr>
      </w:pPr>
      <w:r w:rsidRPr="00890363">
        <w:rPr>
          <w:color w:val="auto"/>
        </w:rPr>
        <w:t>With an intensive, hyper-local, hyper-focused approach anchored in cultural competence, </w:t>
      </w:r>
      <w:r w:rsidR="00390CA0" w:rsidRPr="00890363">
        <w:rPr>
          <w:color w:val="auto"/>
        </w:rPr>
        <w:t>strong community</w:t>
      </w:r>
      <w:r w:rsidRPr="00890363">
        <w:rPr>
          <w:color w:val="auto"/>
        </w:rPr>
        <w:t xml:space="preserve"> partnerships, and eliminating barriers to vaccination, DPH’s Vaccine Equity Initiative has improved vaccine trust and boosted vaccination rates in the 20 municipalities most disproportionately impacted by COVID-19.</w:t>
      </w:r>
    </w:p>
    <w:p w14:paraId="7965B3FB" w14:textId="633FB346" w:rsidR="000E4F51" w:rsidRPr="00890363" w:rsidRDefault="000E4F51" w:rsidP="00315943">
      <w:pPr>
        <w:rPr>
          <w:color w:val="auto"/>
        </w:rPr>
      </w:pPr>
      <w:r w:rsidRPr="00890363">
        <w:rPr>
          <w:color w:val="auto"/>
        </w:rPr>
        <w:t xml:space="preserve">These efforts </w:t>
      </w:r>
      <w:r w:rsidR="00775E93" w:rsidRPr="00890363">
        <w:rPr>
          <w:color w:val="auto"/>
        </w:rPr>
        <w:t xml:space="preserve">are ongoing and </w:t>
      </w:r>
      <w:r w:rsidRPr="00890363">
        <w:rPr>
          <w:color w:val="auto"/>
        </w:rPr>
        <w:t xml:space="preserve">are yielding strong </w:t>
      </w:r>
      <w:r w:rsidR="00775E93" w:rsidRPr="00890363">
        <w:rPr>
          <w:color w:val="auto"/>
        </w:rPr>
        <w:t>results due</w:t>
      </w:r>
      <w:r w:rsidRPr="00890363">
        <w:rPr>
          <w:color w:val="auto"/>
        </w:rPr>
        <w:t xml:space="preserve"> to the extraordinary effort of local government, over 167 local community-based and faith-based organizations and community health centers </w:t>
      </w:r>
      <w:r w:rsidR="008C13B8" w:rsidRPr="00890363">
        <w:rPr>
          <w:color w:val="auto"/>
        </w:rPr>
        <w:t>in collaboration</w:t>
      </w:r>
      <w:r w:rsidRPr="00890363">
        <w:rPr>
          <w:color w:val="auto"/>
        </w:rPr>
        <w:t xml:space="preserve"> with state support to provide hyper-focused, hyper-local </w:t>
      </w:r>
      <w:r w:rsidR="00315943" w:rsidRPr="00890363">
        <w:rPr>
          <w:color w:val="auto"/>
        </w:rPr>
        <w:t>vaccine</w:t>
      </w:r>
      <w:r w:rsidRPr="00890363">
        <w:rPr>
          <w:color w:val="auto"/>
        </w:rPr>
        <w:t xml:space="preserve"> work.</w:t>
      </w:r>
    </w:p>
    <w:p w14:paraId="7FD6540E" w14:textId="5C639B30" w:rsidR="00315943" w:rsidRPr="00890363" w:rsidRDefault="00315943" w:rsidP="00315943">
      <w:pPr>
        <w:rPr>
          <w:color w:val="auto"/>
        </w:rPr>
      </w:pPr>
    </w:p>
    <w:p w14:paraId="7445753F" w14:textId="27AFF8E9" w:rsidR="00315943" w:rsidRPr="00890363" w:rsidRDefault="00315943" w:rsidP="00315943">
      <w:pPr>
        <w:rPr>
          <w:color w:val="auto"/>
        </w:rPr>
      </w:pPr>
      <w:r w:rsidRPr="00890363">
        <w:rPr>
          <w:rFonts w:eastAsia="Calibri" w:cstheme="minorHAnsi"/>
          <w:b/>
          <w:bCs/>
          <w:noProof/>
          <w:color w:val="auto"/>
          <w:sz w:val="24"/>
          <w:szCs w:val="24"/>
          <w:shd w:val="clear" w:color="auto" w:fill="E6E6E6"/>
        </w:rPr>
        <w:lastRenderedPageBreak/>
        <w:drawing>
          <wp:inline distT="0" distB="0" distL="0" distR="0" wp14:anchorId="24ECC269" wp14:editId="0845FCF7">
            <wp:extent cx="5486228" cy="4781550"/>
            <wp:effectExtent l="0" t="0" r="635" b="0"/>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21"/>
                    <a:stretch>
                      <a:fillRect/>
                    </a:stretch>
                  </pic:blipFill>
                  <pic:spPr>
                    <a:xfrm>
                      <a:off x="0" y="0"/>
                      <a:ext cx="5500772" cy="4794226"/>
                    </a:xfrm>
                    <a:prstGeom prst="rect">
                      <a:avLst/>
                    </a:prstGeom>
                  </pic:spPr>
                </pic:pic>
              </a:graphicData>
            </a:graphic>
          </wp:inline>
        </w:drawing>
      </w:r>
    </w:p>
    <w:p w14:paraId="0C1AB589" w14:textId="77777777" w:rsidR="00377541" w:rsidRPr="00890363" w:rsidRDefault="00377541" w:rsidP="00390CA0">
      <w:pPr>
        <w:rPr>
          <w:b/>
          <w:bCs/>
          <w:color w:val="auto"/>
        </w:rPr>
      </w:pPr>
    </w:p>
    <w:p w14:paraId="2B8957F0" w14:textId="12964821" w:rsidR="00B02CB7" w:rsidRPr="00890363" w:rsidRDefault="006743E5" w:rsidP="006743E5">
      <w:pPr>
        <w:pStyle w:val="xparagraph"/>
        <w:spacing w:before="0" w:beforeAutospacing="0" w:after="0" w:afterAutospacing="0"/>
        <w:ind w:left="360"/>
        <w:textAlignment w:val="baseline"/>
        <w:rPr>
          <w:rStyle w:val="xnormaltextrun"/>
          <w:rFonts w:ascii="Cambria" w:hAnsi="Cambria"/>
        </w:rPr>
      </w:pPr>
      <w:r w:rsidRPr="00890363">
        <w:rPr>
          <w:rStyle w:val="xnormaltextrun"/>
          <w:rFonts w:ascii="Cambria" w:hAnsi="Cambria"/>
        </w:rPr>
        <w:t xml:space="preserve">To date, </w:t>
      </w:r>
      <w:r w:rsidR="00A65967" w:rsidRPr="00890363">
        <w:rPr>
          <w:rStyle w:val="xnormaltextrun"/>
          <w:rFonts w:ascii="Cambria" w:hAnsi="Cambria"/>
        </w:rPr>
        <w:t xml:space="preserve">and not including state staffing resources and in-kind supports, </w:t>
      </w:r>
      <w:r w:rsidRPr="00890363">
        <w:rPr>
          <w:rStyle w:val="xnormaltextrun"/>
          <w:rFonts w:ascii="Cambria" w:hAnsi="Cambria"/>
        </w:rPr>
        <w:t xml:space="preserve">the Commonwealth has spent more than $83.4M in </w:t>
      </w:r>
      <w:r w:rsidR="00FF6115" w:rsidRPr="00890363">
        <w:rPr>
          <w:rStyle w:val="xnormaltextrun"/>
          <w:rFonts w:ascii="Cambria" w:hAnsi="Cambria"/>
        </w:rPr>
        <w:t>federal dollars for vaccine administration</w:t>
      </w:r>
      <w:r w:rsidRPr="00890363">
        <w:rPr>
          <w:rStyle w:val="xnormaltextrun"/>
          <w:rFonts w:ascii="Cambria" w:hAnsi="Cambria"/>
        </w:rPr>
        <w:t xml:space="preserve"> and </w:t>
      </w:r>
      <w:r w:rsidR="00E60B30" w:rsidRPr="00890363">
        <w:rPr>
          <w:rStyle w:val="xnormaltextrun"/>
          <w:rFonts w:ascii="Cambria" w:hAnsi="Cambria"/>
        </w:rPr>
        <w:t xml:space="preserve">related </w:t>
      </w:r>
      <w:r w:rsidRPr="00890363">
        <w:rPr>
          <w:rStyle w:val="xnormaltextrun"/>
          <w:rFonts w:ascii="Cambria" w:hAnsi="Cambria"/>
        </w:rPr>
        <w:t xml:space="preserve">activities.  $39.4M </w:t>
      </w:r>
      <w:r w:rsidR="00FF6115" w:rsidRPr="00890363">
        <w:rPr>
          <w:rStyle w:val="xnormaltextrun"/>
          <w:rFonts w:ascii="Cambria" w:hAnsi="Cambria"/>
        </w:rPr>
        <w:t xml:space="preserve">in federal funding </w:t>
      </w:r>
      <w:r w:rsidRPr="00890363">
        <w:rPr>
          <w:rStyle w:val="xnormaltextrun"/>
          <w:rFonts w:ascii="Cambria" w:hAnsi="Cambria"/>
        </w:rPr>
        <w:t>has been spent specifically in addressing the needs of communities disproportionately impacted by the pandemic</w:t>
      </w:r>
      <w:r w:rsidR="005271B7" w:rsidRPr="00890363">
        <w:rPr>
          <w:rStyle w:val="xnormaltextrun"/>
          <w:rFonts w:ascii="Cambria" w:hAnsi="Cambria"/>
        </w:rPr>
        <w:t xml:space="preserve">, including over $4.5 million for high throughput vaccination locations in Brockton, Lynn, Lowell, </w:t>
      </w:r>
      <w:proofErr w:type="gramStart"/>
      <w:r w:rsidR="005271B7" w:rsidRPr="00890363">
        <w:rPr>
          <w:rStyle w:val="xnormaltextrun"/>
          <w:rFonts w:ascii="Cambria" w:hAnsi="Cambria"/>
        </w:rPr>
        <w:t>Boston</w:t>
      </w:r>
      <w:proofErr w:type="gramEnd"/>
      <w:r w:rsidR="005271B7" w:rsidRPr="00890363">
        <w:rPr>
          <w:rStyle w:val="xnormaltextrun"/>
          <w:rFonts w:ascii="Cambria" w:hAnsi="Cambria"/>
        </w:rPr>
        <w:t xml:space="preserve"> and Springfield and almost $8 million for mobile vaccination clinics across the VEI communities. </w:t>
      </w:r>
      <w:r w:rsidRPr="00890363">
        <w:rPr>
          <w:rStyle w:val="xnormaltextrun"/>
          <w:rFonts w:ascii="Cambria" w:hAnsi="Cambria"/>
        </w:rPr>
        <w:t> </w:t>
      </w:r>
      <w:r w:rsidR="00B02CB7" w:rsidRPr="00890363">
        <w:rPr>
          <w:rStyle w:val="xnormaltextrun"/>
          <w:rFonts w:ascii="Cambria" w:hAnsi="Cambria"/>
        </w:rPr>
        <w:t xml:space="preserve">Additionally, </w:t>
      </w:r>
      <w:r w:rsidR="005E5750" w:rsidRPr="00890363">
        <w:rPr>
          <w:rStyle w:val="xnormaltextrun"/>
          <w:rFonts w:ascii="Cambria" w:hAnsi="Cambria"/>
        </w:rPr>
        <w:t xml:space="preserve">the Commonwealth </w:t>
      </w:r>
      <w:r w:rsidR="00F612A6" w:rsidRPr="00890363">
        <w:rPr>
          <w:rStyle w:val="xnormaltextrun"/>
          <w:rFonts w:ascii="Cambria" w:hAnsi="Cambria"/>
        </w:rPr>
        <w:t xml:space="preserve">invested $33 million to set up a COVID-19 Vaccine Scheduling Resource Line </w:t>
      </w:r>
      <w:r w:rsidR="00E60B30" w:rsidRPr="00890363">
        <w:rPr>
          <w:rStyle w:val="xnormaltextrun"/>
          <w:rFonts w:ascii="Cambria" w:hAnsi="Cambria"/>
        </w:rPr>
        <w:t xml:space="preserve">in Spanish, English and access to other language translators </w:t>
      </w:r>
      <w:r w:rsidR="00F612A6" w:rsidRPr="00890363">
        <w:rPr>
          <w:rStyle w:val="xnormaltextrun"/>
          <w:rFonts w:ascii="Cambria" w:hAnsi="Cambria"/>
        </w:rPr>
        <w:t xml:space="preserve">for residents </w:t>
      </w:r>
      <w:r w:rsidR="00E60B30" w:rsidRPr="00890363">
        <w:rPr>
          <w:rStyle w:val="xnormaltextrun"/>
          <w:rFonts w:ascii="Cambria" w:hAnsi="Cambria"/>
        </w:rPr>
        <w:t xml:space="preserve">without </w:t>
      </w:r>
      <w:r w:rsidR="00F612A6" w:rsidRPr="00890363">
        <w:rPr>
          <w:rStyle w:val="xnormaltextrun"/>
          <w:rFonts w:ascii="Cambria" w:hAnsi="Cambria"/>
        </w:rPr>
        <w:t xml:space="preserve">access </w:t>
      </w:r>
      <w:r w:rsidR="00E60B30" w:rsidRPr="00890363">
        <w:rPr>
          <w:rStyle w:val="xnormaltextrun"/>
          <w:rFonts w:ascii="Cambria" w:hAnsi="Cambria"/>
        </w:rPr>
        <w:t xml:space="preserve">to or are uncomfortable with the </w:t>
      </w:r>
      <w:r w:rsidR="00F612A6" w:rsidRPr="00890363">
        <w:rPr>
          <w:rStyle w:val="xnormaltextrun"/>
          <w:rFonts w:ascii="Cambria" w:hAnsi="Cambria"/>
        </w:rPr>
        <w:t xml:space="preserve">internet to schedule appointments. </w:t>
      </w:r>
    </w:p>
    <w:p w14:paraId="355C4509" w14:textId="77777777" w:rsidR="00B02CB7" w:rsidRPr="00890363" w:rsidRDefault="00B02CB7" w:rsidP="006743E5">
      <w:pPr>
        <w:pStyle w:val="xparagraph"/>
        <w:spacing w:before="0" w:beforeAutospacing="0" w:after="0" w:afterAutospacing="0"/>
        <w:ind w:left="360"/>
        <w:textAlignment w:val="baseline"/>
        <w:rPr>
          <w:rStyle w:val="xnormaltextrun"/>
          <w:rFonts w:ascii="Cambria" w:hAnsi="Cambria"/>
        </w:rPr>
      </w:pPr>
    </w:p>
    <w:p w14:paraId="07F48B62" w14:textId="77777777" w:rsidR="007423C1" w:rsidRPr="00890363" w:rsidRDefault="00F612A6" w:rsidP="00390CA0">
      <w:pPr>
        <w:rPr>
          <w:rStyle w:val="xeop"/>
          <w:rFonts w:ascii="Cambria" w:hAnsi="Cambria"/>
          <w:color w:val="auto"/>
        </w:rPr>
      </w:pPr>
      <w:r w:rsidRPr="00890363">
        <w:rPr>
          <w:rStyle w:val="xnormaltextrun"/>
          <w:rFonts w:ascii="Cambria" w:hAnsi="Cambria"/>
          <w:color w:val="auto"/>
        </w:rPr>
        <w:t>In the coming months</w:t>
      </w:r>
      <w:r w:rsidR="00FF6115" w:rsidRPr="00890363">
        <w:rPr>
          <w:rStyle w:val="xnormaltextrun"/>
          <w:rFonts w:ascii="Cambria" w:hAnsi="Cambria"/>
          <w:color w:val="auto"/>
        </w:rPr>
        <w:t xml:space="preserve">, over $17 million in state funding via the COVID-19 supplemental budget is expected to be utilized for VEI efforts. </w:t>
      </w:r>
      <w:r w:rsidR="006743E5" w:rsidRPr="00890363">
        <w:rPr>
          <w:rStyle w:val="xeop"/>
          <w:rFonts w:ascii="Cambria" w:hAnsi="Cambria"/>
          <w:color w:val="auto"/>
        </w:rPr>
        <w:t> </w:t>
      </w:r>
    </w:p>
    <w:p w14:paraId="00B1BEE7" w14:textId="77777777" w:rsidR="007423C1" w:rsidRPr="00890363" w:rsidRDefault="007423C1" w:rsidP="00390CA0">
      <w:pPr>
        <w:rPr>
          <w:rStyle w:val="xeop"/>
          <w:rFonts w:ascii="Cambria" w:hAnsi="Cambria"/>
          <w:color w:val="auto"/>
        </w:rPr>
      </w:pPr>
    </w:p>
    <w:p w14:paraId="5AE4D489" w14:textId="105DFCA3" w:rsidR="00390CA0" w:rsidRPr="00890363" w:rsidRDefault="00390CA0" w:rsidP="00390CA0">
      <w:pPr>
        <w:rPr>
          <w:b/>
          <w:bCs/>
          <w:color w:val="auto"/>
        </w:rPr>
      </w:pPr>
      <w:r w:rsidRPr="00890363">
        <w:rPr>
          <w:b/>
          <w:bCs/>
          <w:color w:val="auto"/>
        </w:rPr>
        <w:t>The Road Ahead</w:t>
      </w:r>
    </w:p>
    <w:p w14:paraId="474987FA" w14:textId="543E3325" w:rsidR="00557710" w:rsidRPr="00890363" w:rsidRDefault="00557710" w:rsidP="006743E5">
      <w:pPr>
        <w:rPr>
          <w:color w:val="auto"/>
        </w:rPr>
      </w:pPr>
      <w:r w:rsidRPr="00890363">
        <w:rPr>
          <w:color w:val="auto"/>
        </w:rPr>
        <w:t xml:space="preserve">As outlined earlier in this report, the Administration has had a plan to address disparities in vaccination rates in </w:t>
      </w:r>
      <w:r w:rsidR="00A65967" w:rsidRPr="00890363">
        <w:rPr>
          <w:color w:val="auto"/>
        </w:rPr>
        <w:t xml:space="preserve">the most disproportionately impacted </w:t>
      </w:r>
      <w:r w:rsidRPr="00890363">
        <w:rPr>
          <w:color w:val="auto"/>
        </w:rPr>
        <w:t xml:space="preserve">communities </w:t>
      </w:r>
      <w:r w:rsidRPr="00890363">
        <w:rPr>
          <w:color w:val="auto"/>
        </w:rPr>
        <w:lastRenderedPageBreak/>
        <w:t xml:space="preserve">since the early days of the vaccine rollout. Equity has always been a core </w:t>
      </w:r>
      <w:r w:rsidR="007423C1" w:rsidRPr="00890363">
        <w:rPr>
          <w:color w:val="auto"/>
        </w:rPr>
        <w:t>principle and</w:t>
      </w:r>
      <w:r w:rsidRPr="00890363">
        <w:rPr>
          <w:color w:val="auto"/>
        </w:rPr>
        <w:t xml:space="preserve"> will remain so.</w:t>
      </w:r>
    </w:p>
    <w:p w14:paraId="400D6615" w14:textId="56149BB4" w:rsidR="00193014" w:rsidRPr="00890363" w:rsidRDefault="00557710" w:rsidP="007423C1">
      <w:pPr>
        <w:rPr>
          <w:color w:val="auto"/>
        </w:rPr>
      </w:pPr>
      <w:r w:rsidRPr="00890363">
        <w:rPr>
          <w:color w:val="auto"/>
        </w:rPr>
        <w:t xml:space="preserve">This plan has yielded results. </w:t>
      </w:r>
      <w:r w:rsidR="00390CA0" w:rsidRPr="00890363">
        <w:rPr>
          <w:color w:val="auto"/>
        </w:rPr>
        <w:t xml:space="preserve">Massachusetts has made great strides in </w:t>
      </w:r>
      <w:r w:rsidR="00F3365C" w:rsidRPr="00890363">
        <w:rPr>
          <w:color w:val="auto"/>
        </w:rPr>
        <w:t xml:space="preserve">equitable </w:t>
      </w:r>
      <w:r w:rsidR="00390CA0" w:rsidRPr="00890363">
        <w:rPr>
          <w:color w:val="auto"/>
        </w:rPr>
        <w:t>vaccine</w:t>
      </w:r>
      <w:r w:rsidR="00F3365C" w:rsidRPr="00890363">
        <w:rPr>
          <w:color w:val="auto"/>
        </w:rPr>
        <w:t xml:space="preserve"> distribution and as a result,</w:t>
      </w:r>
      <w:r w:rsidR="00390CA0" w:rsidRPr="00890363">
        <w:rPr>
          <w:color w:val="auto"/>
        </w:rPr>
        <w:t xml:space="preserve"> lead</w:t>
      </w:r>
      <w:r w:rsidR="00F3365C" w:rsidRPr="00890363">
        <w:rPr>
          <w:color w:val="auto"/>
        </w:rPr>
        <w:t>s</w:t>
      </w:r>
      <w:r w:rsidR="00390CA0" w:rsidRPr="00890363">
        <w:rPr>
          <w:color w:val="auto"/>
        </w:rPr>
        <w:t xml:space="preserve"> the nation in vaccination rates</w:t>
      </w:r>
      <w:r w:rsidR="00F3365C" w:rsidRPr="00890363">
        <w:rPr>
          <w:color w:val="auto"/>
        </w:rPr>
        <w:t>, including for communities of color</w:t>
      </w:r>
      <w:r w:rsidR="005E5750" w:rsidRPr="00890363">
        <w:rPr>
          <w:color w:val="auto"/>
        </w:rPr>
        <w:t xml:space="preserve">. </w:t>
      </w:r>
      <w:r w:rsidR="00390CA0" w:rsidRPr="00890363">
        <w:rPr>
          <w:color w:val="auto"/>
        </w:rPr>
        <w:t>But</w:t>
      </w:r>
      <w:r w:rsidR="006763A7" w:rsidRPr="00890363">
        <w:rPr>
          <w:color w:val="auto"/>
        </w:rPr>
        <w:t xml:space="preserve"> the Administration recognizes</w:t>
      </w:r>
      <w:r w:rsidR="00390CA0" w:rsidRPr="00890363">
        <w:rPr>
          <w:color w:val="auto"/>
        </w:rPr>
        <w:t xml:space="preserve"> inequities </w:t>
      </w:r>
      <w:proofErr w:type="gramStart"/>
      <w:r w:rsidR="00390CA0" w:rsidRPr="00890363">
        <w:rPr>
          <w:color w:val="auto"/>
        </w:rPr>
        <w:t>still persist</w:t>
      </w:r>
      <w:proofErr w:type="gramEnd"/>
      <w:r w:rsidR="00390CA0" w:rsidRPr="00890363">
        <w:rPr>
          <w:color w:val="auto"/>
        </w:rPr>
        <w:t xml:space="preserve"> within </w:t>
      </w:r>
      <w:r w:rsidR="00F3365C" w:rsidRPr="00890363">
        <w:rPr>
          <w:color w:val="auto"/>
        </w:rPr>
        <w:t xml:space="preserve">some </w:t>
      </w:r>
      <w:r w:rsidR="008C13B8" w:rsidRPr="00890363">
        <w:rPr>
          <w:color w:val="auto"/>
        </w:rPr>
        <w:t xml:space="preserve">of </w:t>
      </w:r>
      <w:r w:rsidR="00390CA0" w:rsidRPr="00890363">
        <w:rPr>
          <w:color w:val="auto"/>
        </w:rPr>
        <w:t xml:space="preserve">the 20 VEI communities and across </w:t>
      </w:r>
      <w:r w:rsidR="00BA3B38" w:rsidRPr="00890363">
        <w:rPr>
          <w:color w:val="auto"/>
        </w:rPr>
        <w:t xml:space="preserve">communities of color, </w:t>
      </w:r>
      <w:r w:rsidR="00390CA0" w:rsidRPr="00890363">
        <w:rPr>
          <w:color w:val="auto"/>
        </w:rPr>
        <w:t xml:space="preserve">and there is </w:t>
      </w:r>
      <w:r w:rsidR="00BA3B38" w:rsidRPr="00890363">
        <w:rPr>
          <w:color w:val="auto"/>
        </w:rPr>
        <w:t xml:space="preserve">much </w:t>
      </w:r>
      <w:r w:rsidR="00390CA0" w:rsidRPr="00890363">
        <w:rPr>
          <w:color w:val="auto"/>
        </w:rPr>
        <w:t xml:space="preserve">more work to do to </w:t>
      </w:r>
      <w:r w:rsidR="00533497" w:rsidRPr="00890363">
        <w:rPr>
          <w:color w:val="auto"/>
        </w:rPr>
        <w:t>address those issues</w:t>
      </w:r>
      <w:r w:rsidR="00390CA0" w:rsidRPr="00890363">
        <w:rPr>
          <w:color w:val="auto"/>
        </w:rPr>
        <w:t>.</w:t>
      </w:r>
      <w:r w:rsidR="00775E93" w:rsidRPr="00890363">
        <w:rPr>
          <w:color w:val="auto"/>
        </w:rPr>
        <w:t xml:space="preserve"> The Administration will not slow down these efforts.</w:t>
      </w:r>
    </w:p>
    <w:p w14:paraId="6B00E875" w14:textId="7E90153F" w:rsidR="00193014" w:rsidRPr="00890363" w:rsidRDefault="00193014" w:rsidP="006743E5">
      <w:pPr>
        <w:rPr>
          <w:color w:val="auto"/>
        </w:rPr>
      </w:pPr>
      <w:r w:rsidRPr="00890363">
        <w:rPr>
          <w:color w:val="auto"/>
        </w:rPr>
        <w:t xml:space="preserve">In the months ahead, the Administration </w:t>
      </w:r>
      <w:r w:rsidR="00557710" w:rsidRPr="00890363">
        <w:rPr>
          <w:color w:val="auto"/>
        </w:rPr>
        <w:t>will</w:t>
      </w:r>
      <w:r w:rsidRPr="00890363">
        <w:rPr>
          <w:color w:val="auto"/>
        </w:rPr>
        <w:t xml:space="preserve"> </w:t>
      </w:r>
      <w:r w:rsidR="00557710" w:rsidRPr="00890363">
        <w:rPr>
          <w:color w:val="auto"/>
        </w:rPr>
        <w:t>continue to address disparities in vaccination rates in disproportionately impacted communities in the following ways:</w:t>
      </w:r>
    </w:p>
    <w:p w14:paraId="6C32F3CA" w14:textId="01B430A4" w:rsidR="00390CA0" w:rsidRPr="00890363" w:rsidRDefault="00775E93" w:rsidP="00533497">
      <w:pPr>
        <w:pStyle w:val="ListParagraph"/>
        <w:numPr>
          <w:ilvl w:val="0"/>
          <w:numId w:val="34"/>
        </w:numPr>
      </w:pPr>
      <w:r w:rsidRPr="00890363">
        <w:t xml:space="preserve">The Administration </w:t>
      </w:r>
      <w:r w:rsidR="00390CA0" w:rsidRPr="00890363">
        <w:t xml:space="preserve">will continue to </w:t>
      </w:r>
      <w:r w:rsidR="00557710" w:rsidRPr="00890363">
        <w:t xml:space="preserve">address any barriers to </w:t>
      </w:r>
      <w:r w:rsidR="00533497" w:rsidRPr="00890363">
        <w:t>mak</w:t>
      </w:r>
      <w:r w:rsidR="00557710" w:rsidRPr="00890363">
        <w:t>ing</w:t>
      </w:r>
      <w:r w:rsidR="00533497" w:rsidRPr="00890363">
        <w:t xml:space="preserve"> vaccines available to the 20 VEI communities and communities of color and </w:t>
      </w:r>
      <w:r w:rsidR="00557710" w:rsidRPr="00890363">
        <w:t xml:space="preserve">continue to </w:t>
      </w:r>
      <w:r w:rsidR="00533497" w:rsidRPr="00890363">
        <w:t>offer educational resources about vaccines’ safety and efficacy</w:t>
      </w:r>
      <w:r w:rsidR="00557710" w:rsidRPr="00890363">
        <w:t>, tailored to vaccine-hesitant populations.</w:t>
      </w:r>
      <w:r w:rsidR="00533497" w:rsidRPr="00890363">
        <w:t>:</w:t>
      </w:r>
      <w:r w:rsidR="00390CA0" w:rsidRPr="00890363">
        <w:t xml:space="preserve"> </w:t>
      </w:r>
      <w:r w:rsidR="00557710" w:rsidRPr="00890363">
        <w:t>The Administration will continue to w</w:t>
      </w:r>
      <w:r w:rsidR="00390CA0" w:rsidRPr="00890363">
        <w:t>ork directly with local boards of health</w:t>
      </w:r>
      <w:r w:rsidR="00557710" w:rsidRPr="00890363">
        <w:t xml:space="preserve">, </w:t>
      </w:r>
      <w:proofErr w:type="gramStart"/>
      <w:r w:rsidR="00390CA0" w:rsidRPr="00890363">
        <w:t>municipalities</w:t>
      </w:r>
      <w:proofErr w:type="gramEnd"/>
      <w:r w:rsidR="00390CA0" w:rsidRPr="00890363">
        <w:t xml:space="preserve"> </w:t>
      </w:r>
      <w:r w:rsidR="00B34A1C" w:rsidRPr="00890363">
        <w:t xml:space="preserve">and other stakeholders </w:t>
      </w:r>
      <w:r w:rsidR="00390CA0" w:rsidRPr="00890363">
        <w:t xml:space="preserve">to ensure vaccines are equitably </w:t>
      </w:r>
      <w:r w:rsidR="00BA3B38" w:rsidRPr="00890363">
        <w:t xml:space="preserve">available </w:t>
      </w:r>
      <w:r w:rsidR="005F0267" w:rsidRPr="00890363">
        <w:t>t</w:t>
      </w:r>
      <w:r w:rsidR="00BA3B38" w:rsidRPr="00890363">
        <w:t>hroughout the Commonwealth</w:t>
      </w:r>
      <w:r w:rsidR="00B34A1C" w:rsidRPr="00890363">
        <w:t>.</w:t>
      </w:r>
    </w:p>
    <w:p w14:paraId="79BF7EDF" w14:textId="3502F771" w:rsidR="00390CA0" w:rsidRPr="00890363" w:rsidRDefault="00BA3B38" w:rsidP="00390CA0">
      <w:pPr>
        <w:numPr>
          <w:ilvl w:val="0"/>
          <w:numId w:val="32"/>
        </w:numPr>
        <w:rPr>
          <w:bCs/>
          <w:iCs/>
          <w:color w:val="auto"/>
        </w:rPr>
      </w:pPr>
      <w:r w:rsidRPr="00890363">
        <w:rPr>
          <w:bCs/>
          <w:iCs/>
          <w:color w:val="auto"/>
        </w:rPr>
        <w:t xml:space="preserve">Disseminate and utilize </w:t>
      </w:r>
      <w:r w:rsidR="00390CA0" w:rsidRPr="00890363">
        <w:rPr>
          <w:bCs/>
          <w:iCs/>
          <w:color w:val="auto"/>
        </w:rPr>
        <w:t>community-specific vaccination data to guide tailored community-driven equity strategies (</w:t>
      </w:r>
      <w:proofErr w:type="spellStart"/>
      <w:r w:rsidR="00390CA0" w:rsidRPr="00890363">
        <w:rPr>
          <w:bCs/>
          <w:iCs/>
          <w:color w:val="auto"/>
        </w:rPr>
        <w:t>i.e</w:t>
      </w:r>
      <w:proofErr w:type="spellEnd"/>
      <w:r w:rsidR="00390CA0" w:rsidRPr="00890363">
        <w:rPr>
          <w:bCs/>
          <w:iCs/>
          <w:color w:val="auto"/>
        </w:rPr>
        <w:t>, using census data</w:t>
      </w:r>
      <w:r w:rsidR="00B801ED" w:rsidRPr="00890363">
        <w:rPr>
          <w:bCs/>
          <w:iCs/>
          <w:color w:val="auto"/>
        </w:rPr>
        <w:t xml:space="preserve"> </w:t>
      </w:r>
      <w:r w:rsidRPr="00890363">
        <w:rPr>
          <w:bCs/>
          <w:iCs/>
          <w:color w:val="auto"/>
        </w:rPr>
        <w:t xml:space="preserve">to determine which </w:t>
      </w:r>
      <w:r w:rsidR="00390CA0" w:rsidRPr="00890363">
        <w:rPr>
          <w:bCs/>
          <w:iCs/>
          <w:color w:val="auto"/>
        </w:rPr>
        <w:t>neighborhoods or areas within the communities are not vaccinated</w:t>
      </w:r>
      <w:r w:rsidRPr="00890363">
        <w:rPr>
          <w:bCs/>
          <w:iCs/>
          <w:color w:val="auto"/>
        </w:rPr>
        <w:t xml:space="preserve"> or under vaccinated, allowing for specific </w:t>
      </w:r>
      <w:r w:rsidR="00390CA0" w:rsidRPr="00890363">
        <w:rPr>
          <w:bCs/>
          <w:iCs/>
          <w:color w:val="auto"/>
        </w:rPr>
        <w:t xml:space="preserve">strategies such as mobile vaccination or block by block efforts in those areas) </w:t>
      </w:r>
    </w:p>
    <w:p w14:paraId="42731FD5" w14:textId="77777777" w:rsidR="00390CA0" w:rsidRPr="00890363" w:rsidRDefault="00390CA0" w:rsidP="00390CA0">
      <w:pPr>
        <w:numPr>
          <w:ilvl w:val="0"/>
          <w:numId w:val="32"/>
        </w:numPr>
        <w:rPr>
          <w:bCs/>
          <w:iCs/>
          <w:color w:val="auto"/>
        </w:rPr>
      </w:pPr>
      <w:r w:rsidRPr="00890363">
        <w:rPr>
          <w:bCs/>
          <w:iCs/>
          <w:color w:val="auto"/>
        </w:rPr>
        <w:t xml:space="preserve">Make the vaccine experience as convenient as possible by using mobile clinics to meet people where they are, in places, at times, and in ways they are comfortable and accessible.  </w:t>
      </w:r>
    </w:p>
    <w:p w14:paraId="5598FABB" w14:textId="69E8DD17" w:rsidR="00390CA0" w:rsidRPr="00890363" w:rsidRDefault="00FF6115" w:rsidP="00390CA0">
      <w:pPr>
        <w:numPr>
          <w:ilvl w:val="0"/>
          <w:numId w:val="32"/>
        </w:numPr>
        <w:rPr>
          <w:bCs/>
          <w:iCs/>
          <w:color w:val="auto"/>
        </w:rPr>
      </w:pPr>
      <w:r w:rsidRPr="00890363">
        <w:rPr>
          <w:bCs/>
          <w:iCs/>
          <w:color w:val="auto"/>
        </w:rPr>
        <w:t>Continued i</w:t>
      </w:r>
      <w:r w:rsidR="00390CA0" w:rsidRPr="00890363">
        <w:rPr>
          <w:bCs/>
          <w:iCs/>
          <w:color w:val="auto"/>
        </w:rPr>
        <w:t>nvest</w:t>
      </w:r>
      <w:r w:rsidR="009D594E" w:rsidRPr="00890363">
        <w:rPr>
          <w:bCs/>
          <w:iCs/>
          <w:color w:val="auto"/>
        </w:rPr>
        <w:t>ment</w:t>
      </w:r>
      <w:r w:rsidR="00390CA0" w:rsidRPr="00890363">
        <w:rPr>
          <w:bCs/>
          <w:iCs/>
          <w:color w:val="auto"/>
        </w:rPr>
        <w:t xml:space="preserve"> in community health centers who know how to serve their community members best.  </w:t>
      </w:r>
      <w:r w:rsidR="007423C1" w:rsidRPr="00890363">
        <w:rPr>
          <w:bCs/>
          <w:iCs/>
          <w:color w:val="auto"/>
        </w:rPr>
        <w:t xml:space="preserve">CHC’s will receive $5 million in the coming months through COVID-19 Supplemental Budget funding via the MA League of Community Health Centers to increase vaccine awareness and administration within their communities. </w:t>
      </w:r>
    </w:p>
    <w:p w14:paraId="1065BF36" w14:textId="314EAAAF" w:rsidR="00AD5BB1" w:rsidRPr="00890363" w:rsidRDefault="4341690E" w:rsidP="00390CA0">
      <w:pPr>
        <w:numPr>
          <w:ilvl w:val="0"/>
          <w:numId w:val="32"/>
        </w:numPr>
        <w:rPr>
          <w:color w:val="auto"/>
        </w:rPr>
      </w:pPr>
      <w:r w:rsidRPr="00890363">
        <w:rPr>
          <w:color w:val="auto"/>
        </w:rPr>
        <w:t xml:space="preserve">Adjust </w:t>
      </w:r>
      <w:r w:rsidR="2C908A7A" w:rsidRPr="00890363">
        <w:rPr>
          <w:color w:val="auto"/>
        </w:rPr>
        <w:t xml:space="preserve">and expand </w:t>
      </w:r>
      <w:r w:rsidRPr="00890363">
        <w:rPr>
          <w:color w:val="auto"/>
        </w:rPr>
        <w:t xml:space="preserve">the </w:t>
      </w:r>
      <w:r w:rsidR="00990381" w:rsidRPr="00890363">
        <w:rPr>
          <w:color w:val="auto"/>
        </w:rPr>
        <w:t xml:space="preserve">group of </w:t>
      </w:r>
      <w:r w:rsidRPr="00890363">
        <w:rPr>
          <w:color w:val="auto"/>
        </w:rPr>
        <w:t xml:space="preserve">current funded </w:t>
      </w:r>
      <w:r w:rsidR="51DC65A0" w:rsidRPr="00890363">
        <w:rPr>
          <w:color w:val="auto"/>
        </w:rPr>
        <w:t>community and faith</w:t>
      </w:r>
      <w:r w:rsidR="061AD175" w:rsidRPr="00890363">
        <w:rPr>
          <w:color w:val="auto"/>
        </w:rPr>
        <w:t>-</w:t>
      </w:r>
      <w:r w:rsidR="51DC65A0" w:rsidRPr="00890363">
        <w:rPr>
          <w:color w:val="auto"/>
        </w:rPr>
        <w:t xml:space="preserve">based organizations </w:t>
      </w:r>
      <w:proofErr w:type="gramStart"/>
      <w:r w:rsidRPr="00890363">
        <w:rPr>
          <w:color w:val="auto"/>
        </w:rPr>
        <w:t>in order to</w:t>
      </w:r>
      <w:proofErr w:type="gramEnd"/>
      <w:r w:rsidRPr="00890363">
        <w:rPr>
          <w:color w:val="auto"/>
        </w:rPr>
        <w:t xml:space="preserve"> increase vaccine administration rates, address hesitancy and to </w:t>
      </w:r>
      <w:r w:rsidR="2C908A7A" w:rsidRPr="00890363">
        <w:rPr>
          <w:color w:val="auto"/>
        </w:rPr>
        <w:t>ensure that priority populations are reached.</w:t>
      </w:r>
    </w:p>
    <w:p w14:paraId="31F6D32B" w14:textId="736FB267" w:rsidR="00990381" w:rsidRPr="00890363" w:rsidRDefault="00990381" w:rsidP="00990381">
      <w:pPr>
        <w:numPr>
          <w:ilvl w:val="0"/>
          <w:numId w:val="32"/>
        </w:numPr>
        <w:rPr>
          <w:color w:val="auto"/>
        </w:rPr>
      </w:pPr>
      <w:r w:rsidRPr="00890363">
        <w:rPr>
          <w:color w:val="auto"/>
        </w:rPr>
        <w:t>Create additional, culturally appropriate public awareness campaign</w:t>
      </w:r>
      <w:r w:rsidR="00E5219A" w:rsidRPr="00890363">
        <w:rPr>
          <w:color w:val="auto"/>
        </w:rPr>
        <w:t>s</w:t>
      </w:r>
      <w:r w:rsidRPr="00890363">
        <w:rPr>
          <w:color w:val="auto"/>
        </w:rPr>
        <w:t xml:space="preserve"> specific to boosters and vaccines for young children.</w:t>
      </w:r>
    </w:p>
    <w:p w14:paraId="68D7B54B" w14:textId="2AB76FDE" w:rsidR="00390CA0" w:rsidRPr="00890363" w:rsidRDefault="00390CA0" w:rsidP="00390CA0">
      <w:pPr>
        <w:numPr>
          <w:ilvl w:val="0"/>
          <w:numId w:val="32"/>
        </w:numPr>
        <w:rPr>
          <w:color w:val="auto"/>
        </w:rPr>
      </w:pPr>
      <w:r w:rsidRPr="00890363">
        <w:rPr>
          <w:color w:val="auto"/>
        </w:rPr>
        <w:t>Provide in-home vaccinations for anyone who is unable to get to a vaccine location.</w:t>
      </w:r>
      <w:r w:rsidR="00990381" w:rsidRPr="00890363">
        <w:rPr>
          <w:color w:val="auto"/>
        </w:rPr>
        <w:t xml:space="preserve"> To date, over </w:t>
      </w:r>
      <w:r w:rsidR="00D178EB" w:rsidRPr="00890363">
        <w:rPr>
          <w:color w:val="auto"/>
        </w:rPr>
        <w:t xml:space="preserve">7,000 </w:t>
      </w:r>
      <w:r w:rsidR="00990381" w:rsidRPr="00890363">
        <w:rPr>
          <w:color w:val="auto"/>
        </w:rPr>
        <w:t>at-home vaccinations have been provided.</w:t>
      </w:r>
    </w:p>
    <w:p w14:paraId="10B2EAB3" w14:textId="48538876" w:rsidR="00AD5BB1" w:rsidRPr="00890363" w:rsidRDefault="00AD5BB1" w:rsidP="00390CA0">
      <w:pPr>
        <w:numPr>
          <w:ilvl w:val="0"/>
          <w:numId w:val="32"/>
        </w:numPr>
        <w:rPr>
          <w:color w:val="auto"/>
        </w:rPr>
      </w:pPr>
      <w:r w:rsidRPr="00890363">
        <w:rPr>
          <w:color w:val="auto"/>
        </w:rPr>
        <w:t xml:space="preserve">Disseminate best practices </w:t>
      </w:r>
      <w:r w:rsidR="00B34A1C" w:rsidRPr="00890363">
        <w:rPr>
          <w:color w:val="auto"/>
        </w:rPr>
        <w:t xml:space="preserve">among local boards of health </w:t>
      </w:r>
      <w:r w:rsidRPr="00890363">
        <w:rPr>
          <w:color w:val="auto"/>
        </w:rPr>
        <w:t>to increase vaccine acceptance.</w:t>
      </w:r>
    </w:p>
    <w:p w14:paraId="0DC57490" w14:textId="1459F315" w:rsidR="7ACC5912" w:rsidRPr="00890363" w:rsidRDefault="7ACC5912" w:rsidP="7ACC5912">
      <w:pPr>
        <w:numPr>
          <w:ilvl w:val="0"/>
          <w:numId w:val="32"/>
        </w:numPr>
        <w:rPr>
          <w:color w:val="auto"/>
        </w:rPr>
      </w:pPr>
      <w:r w:rsidRPr="00890363">
        <w:rPr>
          <w:color w:val="auto"/>
        </w:rPr>
        <w:lastRenderedPageBreak/>
        <w:t>Promote family-friendly clinics to reach children age</w:t>
      </w:r>
      <w:r w:rsidR="00B33EE4" w:rsidRPr="00890363">
        <w:rPr>
          <w:color w:val="auto"/>
        </w:rPr>
        <w:t>d</w:t>
      </w:r>
      <w:r w:rsidRPr="00890363">
        <w:rPr>
          <w:color w:val="auto"/>
        </w:rPr>
        <w:t xml:space="preserve"> 5-11 as well as adolescents and adults who are eligible for their second dose or booster, as well as those who have not yet received their first vaccination. </w:t>
      </w:r>
    </w:p>
    <w:p w14:paraId="7433F9D8" w14:textId="77777777" w:rsidR="006743E5" w:rsidRPr="00890363" w:rsidRDefault="006743E5" w:rsidP="006743E5">
      <w:pPr>
        <w:numPr>
          <w:ilvl w:val="0"/>
          <w:numId w:val="32"/>
        </w:numPr>
        <w:rPr>
          <w:bCs/>
          <w:iCs/>
          <w:color w:val="auto"/>
        </w:rPr>
      </w:pPr>
      <w:r w:rsidRPr="00890363">
        <w:rPr>
          <w:bCs/>
          <w:iCs/>
          <w:color w:val="auto"/>
        </w:rPr>
        <w:t>Update and publicly post the fully vaccinated rate chart (February 2022 version posted above) every 60 days and to measure progress in compliance with this statutory reporting requirement.</w:t>
      </w:r>
    </w:p>
    <w:p w14:paraId="62AEA761" w14:textId="52EFCF6A" w:rsidR="00355671" w:rsidRPr="00890363" w:rsidRDefault="006262E9" w:rsidP="00390CA0">
      <w:pPr>
        <w:rPr>
          <w:color w:val="auto"/>
        </w:rPr>
      </w:pPr>
      <w:r w:rsidRPr="00890363">
        <w:rPr>
          <w:color w:val="auto"/>
        </w:rPr>
        <w:t xml:space="preserve">It is important to remember that the Vaccine Equity Initiative is meant to serve as a bridge between a life-saving vaccine and help for </w:t>
      </w:r>
      <w:r w:rsidR="00AD5BB1" w:rsidRPr="00890363">
        <w:rPr>
          <w:color w:val="auto"/>
        </w:rPr>
        <w:t xml:space="preserve">individuals </w:t>
      </w:r>
      <w:r w:rsidRPr="00890363">
        <w:rPr>
          <w:color w:val="auto"/>
        </w:rPr>
        <w:t>and communities of color who may have mistrust and hesitancy stemming from a history of medical mistreatment, historical underinvestment</w:t>
      </w:r>
      <w:r w:rsidR="00FE1293" w:rsidRPr="00890363">
        <w:rPr>
          <w:color w:val="auto"/>
        </w:rPr>
        <w:t xml:space="preserve"> in community infrastructure, </w:t>
      </w:r>
      <w:r w:rsidRPr="00890363">
        <w:rPr>
          <w:color w:val="auto"/>
        </w:rPr>
        <w:t xml:space="preserve">and other factors. </w:t>
      </w:r>
    </w:p>
    <w:p w14:paraId="09F5A2F2" w14:textId="674C73B4" w:rsidR="00355671" w:rsidRPr="00890363" w:rsidRDefault="006262E9" w:rsidP="00390CA0">
      <w:pPr>
        <w:rPr>
          <w:color w:val="auto"/>
        </w:rPr>
      </w:pPr>
      <w:r w:rsidRPr="00890363">
        <w:rPr>
          <w:color w:val="auto"/>
        </w:rPr>
        <w:t xml:space="preserve">This work </w:t>
      </w:r>
      <w:r w:rsidR="00F438FF" w:rsidRPr="00890363">
        <w:rPr>
          <w:color w:val="auto"/>
        </w:rPr>
        <w:t xml:space="preserve">cannot </w:t>
      </w:r>
      <w:r w:rsidR="006743E5" w:rsidRPr="00890363">
        <w:rPr>
          <w:color w:val="auto"/>
        </w:rPr>
        <w:t xml:space="preserve">be </w:t>
      </w:r>
      <w:r w:rsidRPr="00890363">
        <w:rPr>
          <w:color w:val="auto"/>
        </w:rPr>
        <w:t xml:space="preserve">measured in </w:t>
      </w:r>
      <w:r w:rsidR="00F438FF" w:rsidRPr="00890363">
        <w:rPr>
          <w:color w:val="auto"/>
        </w:rPr>
        <w:t xml:space="preserve">hard </w:t>
      </w:r>
      <w:r w:rsidRPr="00890363">
        <w:rPr>
          <w:color w:val="auto"/>
        </w:rPr>
        <w:t xml:space="preserve">benchmarks and quotas; it is carried out in </w:t>
      </w:r>
      <w:r w:rsidR="004D1DBF" w:rsidRPr="00890363">
        <w:rPr>
          <w:color w:val="auto"/>
        </w:rPr>
        <w:t>grassroots, often face-to-face community efforts. It is measured in conversations with vaccine outreach workers in a barber shop, in a vaccine clinic at a local baseball program where kids and parents feel safe and respected, it is visible when a teenager gets his vaccine on a train at the Blue Hill Avenue station in his neighborhood, and in the residents of Lawrence who rolled up their sleeves to get the vaccine with the famous Merengue singer Milly Quezada.</w:t>
      </w:r>
      <w:r w:rsidR="00355671" w:rsidRPr="00890363">
        <w:rPr>
          <w:color w:val="auto"/>
        </w:rPr>
        <w:t xml:space="preserve"> </w:t>
      </w:r>
    </w:p>
    <w:p w14:paraId="581F96E6" w14:textId="738E45AD" w:rsidR="005F7F0E" w:rsidRPr="00890363" w:rsidRDefault="00355671" w:rsidP="005F7F0E">
      <w:pPr>
        <w:rPr>
          <w:color w:val="auto"/>
        </w:rPr>
      </w:pPr>
      <w:r w:rsidRPr="00890363">
        <w:rPr>
          <w:color w:val="auto"/>
        </w:rPr>
        <w:t xml:space="preserve">The Administration is committed to continuing these grassroots efforts </w:t>
      </w:r>
      <w:r w:rsidR="00623816" w:rsidRPr="00890363">
        <w:rPr>
          <w:color w:val="auto"/>
        </w:rPr>
        <w:t xml:space="preserve">to further </w:t>
      </w:r>
      <w:r w:rsidRPr="00890363">
        <w:rPr>
          <w:color w:val="auto"/>
        </w:rPr>
        <w:t>reduc</w:t>
      </w:r>
      <w:r w:rsidR="00623816" w:rsidRPr="00890363">
        <w:rPr>
          <w:color w:val="auto"/>
        </w:rPr>
        <w:t>e</w:t>
      </w:r>
      <w:r w:rsidRPr="00890363">
        <w:rPr>
          <w:color w:val="auto"/>
        </w:rPr>
        <w:t xml:space="preserve"> disparities in vaccination rates in Massachusetts. The work will continue, and our efforts will be rooted in expansive data, culturally relevant information and education, and clinics that continue to meet people where they are. </w:t>
      </w:r>
    </w:p>
    <w:p w14:paraId="221F9694" w14:textId="13B2708F" w:rsidR="00BC6EDD" w:rsidRPr="00890363" w:rsidRDefault="00BC6EDD" w:rsidP="00AF089D">
      <w:pPr>
        <w:rPr>
          <w:color w:val="auto"/>
        </w:rPr>
      </w:pPr>
      <w:r w:rsidRPr="00890363">
        <w:rPr>
          <w:color w:val="auto"/>
        </w:rPr>
        <w:t xml:space="preserve">The Department of Public Health continues to publicly produce granular data on a weekly basis via the </w:t>
      </w:r>
      <w:hyperlink r:id="rId22">
        <w:r w:rsidRPr="00890363">
          <w:rPr>
            <w:rStyle w:val="Hyperlink"/>
            <w:color w:val="auto"/>
          </w:rPr>
          <w:t>COVID-19 Vaccine Equity Initiative Interactive Dashboard</w:t>
        </w:r>
      </w:hyperlink>
      <w:r w:rsidRPr="00890363">
        <w:rPr>
          <w:color w:val="auto"/>
        </w:rPr>
        <w:t xml:space="preserve"> to measure progress at the municipality level by age, gender, race and ethnicity. This dashboard is updated every Friday afternoon. Going forward, beginning March 11</w:t>
      </w:r>
      <w:r w:rsidRPr="00890363">
        <w:rPr>
          <w:color w:val="auto"/>
          <w:vertAlign w:val="superscript"/>
        </w:rPr>
        <w:t>th</w:t>
      </w:r>
      <w:r w:rsidRPr="00890363">
        <w:rPr>
          <w:color w:val="auto"/>
        </w:rPr>
        <w:t xml:space="preserve">, this interactive dashboard will </w:t>
      </w:r>
      <w:r w:rsidR="006743E5" w:rsidRPr="00890363">
        <w:rPr>
          <w:color w:val="auto"/>
        </w:rPr>
        <w:t xml:space="preserve">serve as </w:t>
      </w:r>
      <w:r w:rsidRPr="00890363">
        <w:rPr>
          <w:color w:val="auto"/>
        </w:rPr>
        <w:t>the</w:t>
      </w:r>
      <w:r w:rsidR="002225BE" w:rsidRPr="00890363">
        <w:rPr>
          <w:color w:val="auto"/>
        </w:rPr>
        <w:t xml:space="preserve"> baseline </w:t>
      </w:r>
      <w:r w:rsidRPr="00890363">
        <w:rPr>
          <w:color w:val="auto"/>
        </w:rPr>
        <w:t xml:space="preserve">by which we track progress of vaccinating our most disproportionately impacted residents across the Commonwealth. </w:t>
      </w:r>
      <w:r w:rsidR="005F7F0E" w:rsidRPr="00890363">
        <w:rPr>
          <w:color w:val="auto"/>
        </w:rPr>
        <w:t xml:space="preserve">Every 60 days, the Department of Public Health will </w:t>
      </w:r>
      <w:r w:rsidR="002225BE" w:rsidRPr="00890363">
        <w:rPr>
          <w:color w:val="auto"/>
        </w:rPr>
        <w:t xml:space="preserve">update this baseline report as required. </w:t>
      </w:r>
    </w:p>
    <w:p w14:paraId="2AC54345" w14:textId="6CB27013" w:rsidR="00B46F3B" w:rsidRPr="00890363" w:rsidRDefault="00B46F3B" w:rsidP="00390CA0">
      <w:pPr>
        <w:rPr>
          <w:color w:val="auto"/>
        </w:rPr>
      </w:pPr>
    </w:p>
    <w:p w14:paraId="72B86C99" w14:textId="282B3088" w:rsidR="0091137D" w:rsidRDefault="0091137D" w:rsidP="0091137D">
      <w:pPr>
        <w:ind w:left="0"/>
        <w:rPr>
          <w:color w:val="auto"/>
        </w:rPr>
      </w:pPr>
    </w:p>
    <w:p w14:paraId="1BF18A21" w14:textId="1C4CDAB9" w:rsidR="0091137D" w:rsidRDefault="0091137D" w:rsidP="00390CA0">
      <w:pPr>
        <w:rPr>
          <w:color w:val="auto"/>
        </w:rPr>
      </w:pPr>
    </w:p>
    <w:p w14:paraId="4B6FB0AA" w14:textId="16D95236" w:rsidR="0091137D" w:rsidRDefault="0091137D" w:rsidP="00390CA0">
      <w:pPr>
        <w:rPr>
          <w:color w:val="auto"/>
        </w:rPr>
      </w:pPr>
    </w:p>
    <w:p w14:paraId="191C3DAF" w14:textId="77777777" w:rsidR="0091137D" w:rsidRDefault="0091137D" w:rsidP="0091137D">
      <w:pPr>
        <w:jc w:val="center"/>
        <w:rPr>
          <w:b/>
          <w:bCs/>
          <w:sz w:val="36"/>
          <w:szCs w:val="36"/>
        </w:rPr>
      </w:pPr>
    </w:p>
    <w:p w14:paraId="4EECB055" w14:textId="77777777" w:rsidR="00AB52B6" w:rsidRDefault="00AB52B6" w:rsidP="00AB52B6">
      <w:pPr>
        <w:ind w:left="0"/>
        <w:rPr>
          <w:color w:val="auto"/>
        </w:rPr>
        <w:sectPr w:rsidR="00AB52B6">
          <w:headerReference w:type="even" r:id="rId23"/>
          <w:headerReference w:type="default" r:id="rId24"/>
          <w:footerReference w:type="even" r:id="rId25"/>
          <w:footerReference w:type="default" r:id="rId26"/>
          <w:headerReference w:type="first" r:id="rId27"/>
          <w:footerReference w:type="first" r:id="rId28"/>
          <w:pgSz w:w="12240" w:h="15840"/>
          <w:pgMar w:top="1440" w:right="1800" w:bottom="1080" w:left="1800" w:header="720" w:footer="720" w:gutter="0"/>
          <w:cols w:space="720"/>
          <w:titlePg/>
          <w:docGrid w:linePitch="360"/>
        </w:sectPr>
      </w:pPr>
    </w:p>
    <w:p w14:paraId="05248718" w14:textId="77777777" w:rsidR="00AB52B6" w:rsidRPr="00AB52B6" w:rsidRDefault="00AB52B6" w:rsidP="00AB52B6">
      <w:pPr>
        <w:spacing w:after="160" w:line="259" w:lineRule="auto"/>
        <w:ind w:left="0"/>
        <w:jc w:val="center"/>
        <w:rPr>
          <w:rFonts w:ascii="Calibri" w:eastAsia="Calibri" w:hAnsi="Calibri" w:cs="Times New Roman"/>
          <w:b/>
          <w:bCs/>
          <w:color w:val="auto"/>
          <w:sz w:val="36"/>
          <w:szCs w:val="36"/>
          <w:lang w:eastAsia="en-US"/>
        </w:rPr>
      </w:pPr>
    </w:p>
    <w:p w14:paraId="655F61FB" w14:textId="77777777" w:rsidR="00AB52B6" w:rsidRPr="00AB52B6" w:rsidRDefault="00AB52B6" w:rsidP="00AB52B6">
      <w:pPr>
        <w:spacing w:after="160" w:line="259" w:lineRule="auto"/>
        <w:ind w:left="0"/>
        <w:jc w:val="center"/>
        <w:rPr>
          <w:rFonts w:ascii="Calibri" w:eastAsia="Calibri" w:hAnsi="Calibri" w:cs="Times New Roman"/>
          <w:b/>
          <w:bCs/>
          <w:color w:val="auto"/>
          <w:sz w:val="36"/>
          <w:szCs w:val="36"/>
          <w:lang w:eastAsia="en-US"/>
        </w:rPr>
      </w:pPr>
    </w:p>
    <w:p w14:paraId="173ED837" w14:textId="77777777" w:rsidR="00AB52B6" w:rsidRPr="00AB52B6" w:rsidRDefault="00AB52B6" w:rsidP="00AB52B6">
      <w:pPr>
        <w:spacing w:after="160" w:line="259" w:lineRule="auto"/>
        <w:ind w:left="0"/>
        <w:jc w:val="center"/>
        <w:rPr>
          <w:rFonts w:ascii="Calibri" w:eastAsia="Calibri" w:hAnsi="Calibri" w:cs="Times New Roman"/>
          <w:b/>
          <w:bCs/>
          <w:color w:val="auto"/>
          <w:sz w:val="36"/>
          <w:szCs w:val="36"/>
          <w:lang w:eastAsia="en-US"/>
        </w:rPr>
      </w:pPr>
    </w:p>
    <w:p w14:paraId="60F97D63" w14:textId="77777777" w:rsidR="00AB52B6" w:rsidRPr="00AB52B6" w:rsidRDefault="00AB52B6" w:rsidP="00AB52B6">
      <w:pPr>
        <w:spacing w:after="160" w:line="259" w:lineRule="auto"/>
        <w:ind w:left="0"/>
        <w:jc w:val="center"/>
        <w:rPr>
          <w:rFonts w:ascii="Calibri" w:eastAsia="Calibri" w:hAnsi="Calibri" w:cs="Times New Roman"/>
          <w:b/>
          <w:bCs/>
          <w:color w:val="auto"/>
          <w:sz w:val="36"/>
          <w:szCs w:val="36"/>
          <w:lang w:eastAsia="en-US"/>
        </w:rPr>
      </w:pPr>
    </w:p>
    <w:p w14:paraId="5E4C1CC6" w14:textId="77777777" w:rsidR="00AB52B6" w:rsidRPr="00AB52B6" w:rsidRDefault="00AB52B6" w:rsidP="00AB52B6">
      <w:pPr>
        <w:spacing w:after="160" w:line="259" w:lineRule="auto"/>
        <w:ind w:left="0"/>
        <w:jc w:val="center"/>
        <w:rPr>
          <w:rFonts w:ascii="Calibri" w:eastAsia="Calibri" w:hAnsi="Calibri" w:cs="Times New Roman"/>
          <w:b/>
          <w:bCs/>
          <w:color w:val="auto"/>
          <w:sz w:val="36"/>
          <w:szCs w:val="36"/>
          <w:lang w:eastAsia="en-US"/>
        </w:rPr>
      </w:pPr>
    </w:p>
    <w:p w14:paraId="28F8C1A8" w14:textId="77777777" w:rsidR="00AB52B6" w:rsidRPr="00AB52B6" w:rsidRDefault="00AB52B6" w:rsidP="00AB52B6">
      <w:pPr>
        <w:spacing w:after="160" w:line="259" w:lineRule="auto"/>
        <w:ind w:left="0"/>
        <w:jc w:val="center"/>
        <w:rPr>
          <w:rFonts w:ascii="Calibri" w:eastAsia="Calibri" w:hAnsi="Calibri" w:cs="Times New Roman"/>
          <w:b/>
          <w:bCs/>
          <w:color w:val="auto"/>
          <w:sz w:val="36"/>
          <w:szCs w:val="36"/>
          <w:lang w:eastAsia="en-US"/>
        </w:rPr>
      </w:pPr>
    </w:p>
    <w:p w14:paraId="6A2A08D2" w14:textId="77777777" w:rsidR="00AB52B6" w:rsidRPr="00AB52B6" w:rsidRDefault="00AB52B6" w:rsidP="00AB52B6">
      <w:pPr>
        <w:spacing w:after="160" w:line="259" w:lineRule="auto"/>
        <w:ind w:left="0"/>
        <w:jc w:val="center"/>
        <w:rPr>
          <w:rFonts w:ascii="Calibri" w:eastAsia="Calibri" w:hAnsi="Calibri" w:cs="Times New Roman"/>
          <w:b/>
          <w:bCs/>
          <w:color w:val="auto"/>
          <w:sz w:val="36"/>
          <w:szCs w:val="36"/>
          <w:lang w:eastAsia="en-US"/>
        </w:rPr>
      </w:pPr>
    </w:p>
    <w:p w14:paraId="69A1425E" w14:textId="77777777" w:rsidR="00AB52B6" w:rsidRPr="00AB52B6" w:rsidRDefault="00AB52B6" w:rsidP="00AB52B6">
      <w:pPr>
        <w:spacing w:after="160" w:line="259" w:lineRule="auto"/>
        <w:ind w:left="0"/>
        <w:jc w:val="center"/>
        <w:rPr>
          <w:rFonts w:ascii="Calibri" w:eastAsia="Calibri" w:hAnsi="Calibri" w:cs="Times New Roman"/>
          <w:b/>
          <w:bCs/>
          <w:color w:val="auto"/>
          <w:sz w:val="36"/>
          <w:szCs w:val="36"/>
          <w:lang w:eastAsia="en-US"/>
        </w:rPr>
      </w:pPr>
    </w:p>
    <w:p w14:paraId="6A7C076F" w14:textId="77777777" w:rsidR="00AB52B6" w:rsidRPr="00AB52B6" w:rsidRDefault="00AB52B6" w:rsidP="00AB52B6">
      <w:pPr>
        <w:spacing w:after="160" w:line="259" w:lineRule="auto"/>
        <w:ind w:left="0"/>
        <w:jc w:val="center"/>
        <w:rPr>
          <w:rFonts w:ascii="Cambria" w:eastAsia="Calibri" w:hAnsi="Cambria" w:cs="Times New Roman"/>
          <w:b/>
          <w:bCs/>
          <w:color w:val="auto"/>
          <w:lang w:eastAsia="en-US"/>
        </w:rPr>
      </w:pPr>
    </w:p>
    <w:p w14:paraId="33360DC2" w14:textId="77777777" w:rsidR="00AB52B6" w:rsidRPr="00AB52B6" w:rsidRDefault="00AB52B6" w:rsidP="00AB52B6">
      <w:pPr>
        <w:spacing w:after="160" w:line="259" w:lineRule="auto"/>
        <w:ind w:left="0"/>
        <w:jc w:val="center"/>
        <w:rPr>
          <w:rFonts w:ascii="Cambria" w:eastAsia="Calibri" w:hAnsi="Cambria" w:cs="Times New Roman"/>
          <w:b/>
          <w:bCs/>
          <w:color w:val="auto"/>
          <w:lang w:eastAsia="en-US"/>
        </w:rPr>
      </w:pPr>
    </w:p>
    <w:p w14:paraId="3BBA9C8D" w14:textId="77777777" w:rsidR="00AB52B6" w:rsidRPr="00AB52B6" w:rsidRDefault="00AB52B6" w:rsidP="00AB52B6">
      <w:pPr>
        <w:spacing w:after="160" w:line="259" w:lineRule="auto"/>
        <w:ind w:left="0"/>
        <w:jc w:val="center"/>
        <w:rPr>
          <w:rFonts w:ascii="Cambria" w:eastAsia="Calibri" w:hAnsi="Cambria" w:cs="Times New Roman"/>
          <w:b/>
          <w:bCs/>
          <w:color w:val="auto"/>
          <w:sz w:val="28"/>
          <w:szCs w:val="28"/>
          <w:lang w:eastAsia="en-US"/>
        </w:rPr>
      </w:pPr>
      <w:r w:rsidRPr="00AB52B6">
        <w:rPr>
          <w:rFonts w:ascii="Cambria" w:eastAsia="Calibri" w:hAnsi="Cambria" w:cs="Times New Roman"/>
          <w:b/>
          <w:bCs/>
          <w:color w:val="auto"/>
          <w:sz w:val="28"/>
          <w:szCs w:val="28"/>
          <w:lang w:eastAsia="en-US"/>
        </w:rPr>
        <w:t>Appendix</w:t>
      </w:r>
    </w:p>
    <w:p w14:paraId="0114953C" w14:textId="77777777" w:rsidR="00AB52B6" w:rsidRPr="00AB52B6" w:rsidRDefault="00AB52B6" w:rsidP="00AB52B6">
      <w:pPr>
        <w:spacing w:after="160" w:line="259" w:lineRule="auto"/>
        <w:ind w:left="0"/>
        <w:rPr>
          <w:rFonts w:ascii="Cambria" w:eastAsia="Calibri" w:hAnsi="Cambria" w:cs="Times New Roman"/>
          <w:color w:val="auto"/>
          <w:lang w:eastAsia="en-US"/>
        </w:rPr>
      </w:pPr>
      <w:r w:rsidRPr="00AB52B6">
        <w:rPr>
          <w:rFonts w:ascii="Cambria" w:eastAsia="Calibri" w:hAnsi="Cambria" w:cs="Times New Roman"/>
          <w:color w:val="auto"/>
          <w:lang w:eastAsia="en-US"/>
        </w:rPr>
        <w:br w:type="page"/>
      </w:r>
    </w:p>
    <w:p w14:paraId="0DADC144" w14:textId="77777777" w:rsidR="00AB52B6" w:rsidRPr="00AB52B6" w:rsidRDefault="00AB52B6" w:rsidP="00AB52B6">
      <w:pPr>
        <w:spacing w:after="160" w:line="259" w:lineRule="auto"/>
        <w:ind w:left="0"/>
        <w:rPr>
          <w:rFonts w:ascii="Cambria" w:eastAsia="Calibri" w:hAnsi="Cambria" w:cs="Times New Roman"/>
          <w:b/>
          <w:bCs/>
          <w:color w:val="auto"/>
          <w:lang w:eastAsia="en-US"/>
        </w:rPr>
      </w:pPr>
      <w:r w:rsidRPr="00AB52B6">
        <w:rPr>
          <w:rFonts w:ascii="Cambria" w:eastAsia="Calibri" w:hAnsi="Cambria" w:cs="Times New Roman"/>
          <w:b/>
          <w:bCs/>
          <w:color w:val="auto"/>
          <w:lang w:eastAsia="en-US"/>
        </w:rPr>
        <w:lastRenderedPageBreak/>
        <w:t>Funded Organizations</w:t>
      </w:r>
    </w:p>
    <w:p w14:paraId="5DDC1675" w14:textId="77777777" w:rsidR="00AB52B6" w:rsidRPr="00AB52B6" w:rsidRDefault="00AB52B6" w:rsidP="00AB52B6">
      <w:pPr>
        <w:spacing w:after="160" w:line="259" w:lineRule="auto"/>
        <w:ind w:left="0"/>
        <w:rPr>
          <w:rFonts w:ascii="Cambria" w:eastAsia="Calibri" w:hAnsi="Cambria" w:cs="Times New Roman"/>
          <w:color w:val="auto"/>
          <w:lang w:eastAsia="en-US"/>
        </w:rPr>
      </w:pPr>
      <w:r w:rsidRPr="00AB52B6">
        <w:rPr>
          <w:rFonts w:ascii="Cambria" w:eastAsia="Calibri" w:hAnsi="Cambria" w:cs="Times New Roman"/>
          <w:color w:val="auto"/>
          <w:lang w:eastAsia="en-US"/>
        </w:rPr>
        <w:t>To date, a total of 167 community organizations have been awarded over $46.5 million through the Vaccine Equity Initiative; this includes community- and faith-based organizations, Tribal and Indigenous People Serving Organizations, Community Health Centers, and other community-based healthcare organizations.</w:t>
      </w:r>
    </w:p>
    <w:p w14:paraId="5F567A27" w14:textId="77777777" w:rsidR="00AB52B6" w:rsidRPr="00AB52B6" w:rsidRDefault="00AB52B6" w:rsidP="00AB52B6">
      <w:pPr>
        <w:spacing w:after="160" w:line="259" w:lineRule="auto"/>
        <w:ind w:left="0"/>
        <w:rPr>
          <w:rFonts w:ascii="Cambria" w:eastAsia="Calibri" w:hAnsi="Cambria" w:cs="Times New Roman"/>
          <w:color w:val="auto"/>
          <w:lang w:eastAsia="en-US"/>
        </w:rPr>
      </w:pPr>
      <w:r w:rsidRPr="00AB52B6">
        <w:rPr>
          <w:rFonts w:ascii="Cambria" w:eastAsia="Calibri" w:hAnsi="Cambria" w:cs="Times New Roman"/>
          <w:color w:val="auto"/>
          <w:lang w:eastAsia="en-US"/>
        </w:rPr>
        <w:t>Many of these organizations are core institutions that work across multiple communities in many ways, and 28 of them are funded through multiple components of the initiative (for example, a Community Health Center may provide Vaccine Access and Administration in community settings and receive funding for Community Health Workers). Therefore, the numbers of programs funded through each component will add up to a higher number than the actual total number of funded programs.</w:t>
      </w:r>
    </w:p>
    <w:p w14:paraId="1399250E" w14:textId="77777777" w:rsidR="00AB52B6" w:rsidRPr="00AB52B6" w:rsidRDefault="00AB52B6" w:rsidP="00AB52B6">
      <w:pPr>
        <w:spacing w:after="160" w:line="259" w:lineRule="auto"/>
        <w:ind w:left="0"/>
        <w:rPr>
          <w:rFonts w:ascii="Cambria" w:eastAsia="Calibri" w:hAnsi="Cambria" w:cs="Times New Roman"/>
          <w:color w:val="auto"/>
          <w:lang w:eastAsia="en-US"/>
        </w:rPr>
      </w:pPr>
    </w:p>
    <w:tbl>
      <w:tblPr>
        <w:tblStyle w:val="TableGrid1"/>
        <w:tblW w:w="0" w:type="auto"/>
        <w:tblLook w:val="04A0" w:firstRow="1" w:lastRow="0" w:firstColumn="1" w:lastColumn="0" w:noHBand="0" w:noVBand="1"/>
      </w:tblPr>
      <w:tblGrid>
        <w:gridCol w:w="6205"/>
        <w:gridCol w:w="3780"/>
      </w:tblGrid>
      <w:tr w:rsidR="00AB52B6" w:rsidRPr="00AB52B6" w14:paraId="2FB8963A" w14:textId="77777777" w:rsidTr="0075791C">
        <w:trPr>
          <w:trHeight w:val="530"/>
        </w:trPr>
        <w:tc>
          <w:tcPr>
            <w:tcW w:w="9985" w:type="dxa"/>
            <w:gridSpan w:val="2"/>
            <w:noWrap/>
            <w:vAlign w:val="center"/>
            <w:hideMark/>
          </w:tcPr>
          <w:p w14:paraId="752F395D" w14:textId="77777777" w:rsidR="00AB52B6" w:rsidRPr="00AB52B6" w:rsidRDefault="00AB52B6" w:rsidP="00AB52B6">
            <w:pPr>
              <w:rPr>
                <w:rFonts w:ascii="Cambria" w:eastAsia="Calibri" w:hAnsi="Cambria" w:cs="Times New Roman"/>
                <w:b/>
                <w:bCs/>
              </w:rPr>
            </w:pPr>
            <w:r w:rsidRPr="00AB52B6">
              <w:rPr>
                <w:rFonts w:ascii="Cambria" w:eastAsia="Calibri" w:hAnsi="Cambria" w:cs="Times New Roman"/>
                <w:b/>
                <w:bCs/>
              </w:rPr>
              <w:t>33 Organizations funded for grassroots efforts through VEI (ASG/HCFA)</w:t>
            </w:r>
          </w:p>
        </w:tc>
      </w:tr>
      <w:tr w:rsidR="00AB52B6" w:rsidRPr="00AB52B6" w14:paraId="31083861" w14:textId="77777777" w:rsidTr="0075791C">
        <w:trPr>
          <w:trHeight w:val="381"/>
        </w:trPr>
        <w:tc>
          <w:tcPr>
            <w:tcW w:w="6205" w:type="dxa"/>
            <w:noWrap/>
            <w:vAlign w:val="center"/>
          </w:tcPr>
          <w:p w14:paraId="57680935" w14:textId="77777777" w:rsidR="00AB52B6" w:rsidRPr="00AB52B6" w:rsidRDefault="00AB52B6" w:rsidP="00AB52B6">
            <w:pPr>
              <w:rPr>
                <w:rFonts w:ascii="Cambria" w:eastAsia="Calibri" w:hAnsi="Cambria" w:cs="Times New Roman"/>
                <w:b/>
                <w:bCs/>
              </w:rPr>
            </w:pPr>
            <w:r w:rsidRPr="00AB52B6">
              <w:rPr>
                <w:rFonts w:ascii="Cambria" w:eastAsia="Calibri" w:hAnsi="Cambria" w:cs="Times New Roman"/>
                <w:b/>
                <w:bCs/>
              </w:rPr>
              <w:t>Organizations funded through ASG/HCFA</w:t>
            </w:r>
          </w:p>
        </w:tc>
        <w:tc>
          <w:tcPr>
            <w:tcW w:w="3780" w:type="dxa"/>
            <w:noWrap/>
            <w:vAlign w:val="center"/>
          </w:tcPr>
          <w:p w14:paraId="4D3623CC" w14:textId="77777777" w:rsidR="00AB52B6" w:rsidRPr="00AB52B6" w:rsidRDefault="00AB52B6" w:rsidP="00AB52B6">
            <w:pPr>
              <w:rPr>
                <w:rFonts w:ascii="Cambria" w:eastAsia="Calibri" w:hAnsi="Cambria" w:cs="Times New Roman"/>
                <w:b/>
                <w:bCs/>
              </w:rPr>
            </w:pPr>
            <w:r w:rsidRPr="00AB52B6">
              <w:rPr>
                <w:rFonts w:ascii="Cambria" w:eastAsia="Calibri" w:hAnsi="Cambria" w:cs="Times New Roman"/>
                <w:b/>
                <w:bCs/>
              </w:rPr>
              <w:t>Organization Location</w:t>
            </w:r>
          </w:p>
        </w:tc>
      </w:tr>
      <w:tr w:rsidR="00AB52B6" w:rsidRPr="00AB52B6" w14:paraId="082E5C57" w14:textId="77777777" w:rsidTr="0075791C">
        <w:trPr>
          <w:trHeight w:val="381"/>
        </w:trPr>
        <w:tc>
          <w:tcPr>
            <w:tcW w:w="6205" w:type="dxa"/>
            <w:vAlign w:val="center"/>
            <w:hideMark/>
          </w:tcPr>
          <w:p w14:paraId="2367B0F7"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Chelsea Collaborative   </w:t>
            </w:r>
          </w:p>
        </w:tc>
        <w:tc>
          <w:tcPr>
            <w:tcW w:w="3780" w:type="dxa"/>
            <w:vAlign w:val="center"/>
            <w:hideMark/>
          </w:tcPr>
          <w:p w14:paraId="5BFCB165"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Chelsea   </w:t>
            </w:r>
          </w:p>
        </w:tc>
      </w:tr>
      <w:tr w:rsidR="00AB52B6" w:rsidRPr="00AB52B6" w14:paraId="5F718E26" w14:textId="77777777" w:rsidTr="0075791C">
        <w:trPr>
          <w:trHeight w:val="381"/>
        </w:trPr>
        <w:tc>
          <w:tcPr>
            <w:tcW w:w="6205" w:type="dxa"/>
            <w:vAlign w:val="center"/>
            <w:hideMark/>
          </w:tcPr>
          <w:p w14:paraId="7599379D"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Green Roots   </w:t>
            </w:r>
          </w:p>
        </w:tc>
        <w:tc>
          <w:tcPr>
            <w:tcW w:w="3780" w:type="dxa"/>
            <w:vAlign w:val="center"/>
            <w:hideMark/>
          </w:tcPr>
          <w:p w14:paraId="11F78337"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Chelsea   </w:t>
            </w:r>
          </w:p>
        </w:tc>
      </w:tr>
      <w:tr w:rsidR="00AB52B6" w:rsidRPr="00AB52B6" w14:paraId="55171D4B" w14:textId="77777777" w:rsidTr="0075791C">
        <w:trPr>
          <w:trHeight w:val="381"/>
        </w:trPr>
        <w:tc>
          <w:tcPr>
            <w:tcW w:w="6205" w:type="dxa"/>
            <w:vAlign w:val="center"/>
            <w:hideMark/>
          </w:tcPr>
          <w:p w14:paraId="22673859"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Women Encouraging Empowerment    </w:t>
            </w:r>
          </w:p>
        </w:tc>
        <w:tc>
          <w:tcPr>
            <w:tcW w:w="3780" w:type="dxa"/>
            <w:vAlign w:val="center"/>
            <w:hideMark/>
          </w:tcPr>
          <w:p w14:paraId="6CE9816D"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Revere   </w:t>
            </w:r>
          </w:p>
        </w:tc>
      </w:tr>
      <w:tr w:rsidR="00AB52B6" w:rsidRPr="00AB52B6" w14:paraId="67BA778F" w14:textId="77777777" w:rsidTr="0075791C">
        <w:trPr>
          <w:trHeight w:val="381"/>
        </w:trPr>
        <w:tc>
          <w:tcPr>
            <w:tcW w:w="6205" w:type="dxa"/>
            <w:vAlign w:val="center"/>
            <w:hideMark/>
          </w:tcPr>
          <w:p w14:paraId="72CBB942"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Church of God in Christ (</w:t>
            </w:r>
            <w:proofErr w:type="gramStart"/>
            <w:r w:rsidRPr="00AB52B6">
              <w:rPr>
                <w:rFonts w:ascii="Cambria" w:eastAsia="Calibri" w:hAnsi="Cambria" w:cs="Times New Roman"/>
              </w:rPr>
              <w:t>COGIC)   </w:t>
            </w:r>
            <w:proofErr w:type="gramEnd"/>
          </w:p>
        </w:tc>
        <w:tc>
          <w:tcPr>
            <w:tcW w:w="3780" w:type="dxa"/>
            <w:vAlign w:val="center"/>
            <w:hideMark/>
          </w:tcPr>
          <w:p w14:paraId="0C8F1237"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Springfield   </w:t>
            </w:r>
          </w:p>
        </w:tc>
      </w:tr>
      <w:tr w:rsidR="00AB52B6" w:rsidRPr="00AB52B6" w14:paraId="1F33C26B" w14:textId="77777777" w:rsidTr="0075791C">
        <w:trPr>
          <w:trHeight w:val="381"/>
        </w:trPr>
        <w:tc>
          <w:tcPr>
            <w:tcW w:w="6205" w:type="dxa"/>
            <w:vAlign w:val="center"/>
            <w:hideMark/>
          </w:tcPr>
          <w:p w14:paraId="77898FE6"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Springfield Black COVID Coalition  </w:t>
            </w:r>
          </w:p>
        </w:tc>
        <w:tc>
          <w:tcPr>
            <w:tcW w:w="3780" w:type="dxa"/>
            <w:vAlign w:val="center"/>
            <w:hideMark/>
          </w:tcPr>
          <w:p w14:paraId="73625A6B"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Springfield  </w:t>
            </w:r>
          </w:p>
        </w:tc>
      </w:tr>
      <w:tr w:rsidR="00AB52B6" w:rsidRPr="00AB52B6" w14:paraId="227CD8BC" w14:textId="77777777" w:rsidTr="0075791C">
        <w:trPr>
          <w:trHeight w:val="381"/>
        </w:trPr>
        <w:tc>
          <w:tcPr>
            <w:tcW w:w="6205" w:type="dxa"/>
            <w:vAlign w:val="center"/>
            <w:hideMark/>
          </w:tcPr>
          <w:p w14:paraId="1FB64CFA"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The Latino Education Institute   </w:t>
            </w:r>
          </w:p>
        </w:tc>
        <w:tc>
          <w:tcPr>
            <w:tcW w:w="3780" w:type="dxa"/>
            <w:vAlign w:val="center"/>
            <w:hideMark/>
          </w:tcPr>
          <w:p w14:paraId="2FB3DEF3"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Worcester   </w:t>
            </w:r>
          </w:p>
        </w:tc>
      </w:tr>
      <w:tr w:rsidR="00AB52B6" w:rsidRPr="00AB52B6" w14:paraId="7B168F24" w14:textId="77777777" w:rsidTr="0075791C">
        <w:trPr>
          <w:trHeight w:val="381"/>
        </w:trPr>
        <w:tc>
          <w:tcPr>
            <w:tcW w:w="6205" w:type="dxa"/>
            <w:vAlign w:val="center"/>
            <w:hideMark/>
          </w:tcPr>
          <w:p w14:paraId="2A937093"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Southeast Asian Coalition   </w:t>
            </w:r>
          </w:p>
        </w:tc>
        <w:tc>
          <w:tcPr>
            <w:tcW w:w="3780" w:type="dxa"/>
            <w:vAlign w:val="center"/>
            <w:hideMark/>
          </w:tcPr>
          <w:p w14:paraId="75528DCB"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Worcester   </w:t>
            </w:r>
          </w:p>
        </w:tc>
      </w:tr>
      <w:tr w:rsidR="00AB52B6" w:rsidRPr="00AB52B6" w14:paraId="07090137" w14:textId="77777777" w:rsidTr="0075791C">
        <w:trPr>
          <w:trHeight w:val="381"/>
        </w:trPr>
        <w:tc>
          <w:tcPr>
            <w:tcW w:w="6205" w:type="dxa"/>
            <w:vAlign w:val="center"/>
            <w:hideMark/>
          </w:tcPr>
          <w:p w14:paraId="2B7E5596"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Worcester Interfaith   </w:t>
            </w:r>
          </w:p>
        </w:tc>
        <w:tc>
          <w:tcPr>
            <w:tcW w:w="3780" w:type="dxa"/>
            <w:vAlign w:val="center"/>
            <w:hideMark/>
          </w:tcPr>
          <w:p w14:paraId="28A6188F"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Worcester   </w:t>
            </w:r>
          </w:p>
        </w:tc>
      </w:tr>
      <w:tr w:rsidR="00AB52B6" w:rsidRPr="00AB52B6" w14:paraId="0B57FE67" w14:textId="77777777" w:rsidTr="0075791C">
        <w:trPr>
          <w:trHeight w:val="381"/>
        </w:trPr>
        <w:tc>
          <w:tcPr>
            <w:tcW w:w="6205" w:type="dxa"/>
            <w:vAlign w:val="center"/>
            <w:hideMark/>
          </w:tcPr>
          <w:p w14:paraId="7F805798"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African Community Economic Development of New England   </w:t>
            </w:r>
          </w:p>
        </w:tc>
        <w:tc>
          <w:tcPr>
            <w:tcW w:w="3780" w:type="dxa"/>
            <w:vAlign w:val="center"/>
            <w:hideMark/>
          </w:tcPr>
          <w:p w14:paraId="79AD6065"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Boston   </w:t>
            </w:r>
          </w:p>
        </w:tc>
      </w:tr>
      <w:tr w:rsidR="00AB52B6" w:rsidRPr="00AB52B6" w14:paraId="184ACFCD" w14:textId="77777777" w:rsidTr="0075791C">
        <w:trPr>
          <w:trHeight w:val="381"/>
        </w:trPr>
        <w:tc>
          <w:tcPr>
            <w:tcW w:w="6205" w:type="dxa"/>
            <w:vAlign w:val="center"/>
            <w:hideMark/>
          </w:tcPr>
          <w:p w14:paraId="49C764B3"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Authentic Caribbean Foundation   </w:t>
            </w:r>
          </w:p>
        </w:tc>
        <w:tc>
          <w:tcPr>
            <w:tcW w:w="3780" w:type="dxa"/>
            <w:vAlign w:val="center"/>
            <w:hideMark/>
          </w:tcPr>
          <w:p w14:paraId="016EF21C"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Boston, Brockton &amp; Randolph </w:t>
            </w:r>
          </w:p>
        </w:tc>
      </w:tr>
      <w:tr w:rsidR="00AB52B6" w:rsidRPr="00AB52B6" w14:paraId="3800D666" w14:textId="77777777" w:rsidTr="0075791C">
        <w:trPr>
          <w:trHeight w:val="381"/>
        </w:trPr>
        <w:tc>
          <w:tcPr>
            <w:tcW w:w="6205" w:type="dxa"/>
            <w:vAlign w:val="center"/>
            <w:hideMark/>
          </w:tcPr>
          <w:p w14:paraId="0912A4B9"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Boston Center for Independent Living   </w:t>
            </w:r>
          </w:p>
        </w:tc>
        <w:tc>
          <w:tcPr>
            <w:tcW w:w="3780" w:type="dxa"/>
            <w:vAlign w:val="center"/>
            <w:hideMark/>
          </w:tcPr>
          <w:p w14:paraId="2B46037F"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Boston</w:t>
            </w:r>
          </w:p>
        </w:tc>
      </w:tr>
      <w:tr w:rsidR="00AB52B6" w:rsidRPr="00AB52B6" w14:paraId="6CB242D7" w14:textId="77777777" w:rsidTr="0075791C">
        <w:trPr>
          <w:trHeight w:val="381"/>
        </w:trPr>
        <w:tc>
          <w:tcPr>
            <w:tcW w:w="6205" w:type="dxa"/>
            <w:vAlign w:val="center"/>
            <w:hideMark/>
          </w:tcPr>
          <w:p w14:paraId="132DCC2E"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Brazilian American Center   </w:t>
            </w:r>
          </w:p>
        </w:tc>
        <w:tc>
          <w:tcPr>
            <w:tcW w:w="3780" w:type="dxa"/>
            <w:vAlign w:val="center"/>
            <w:hideMark/>
          </w:tcPr>
          <w:p w14:paraId="5EFEB6A8"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Framingham   </w:t>
            </w:r>
          </w:p>
        </w:tc>
      </w:tr>
      <w:tr w:rsidR="00AB52B6" w:rsidRPr="00AB52B6" w14:paraId="21863CCE" w14:textId="77777777" w:rsidTr="0075791C">
        <w:trPr>
          <w:trHeight w:val="381"/>
        </w:trPr>
        <w:tc>
          <w:tcPr>
            <w:tcW w:w="6205" w:type="dxa"/>
            <w:vAlign w:val="center"/>
            <w:hideMark/>
          </w:tcPr>
          <w:p w14:paraId="0DBB1CF5"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Cape Verdean Association of Brockton   </w:t>
            </w:r>
          </w:p>
        </w:tc>
        <w:tc>
          <w:tcPr>
            <w:tcW w:w="3780" w:type="dxa"/>
            <w:vAlign w:val="center"/>
            <w:hideMark/>
          </w:tcPr>
          <w:p w14:paraId="5E529761"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Brockton   </w:t>
            </w:r>
          </w:p>
        </w:tc>
      </w:tr>
      <w:tr w:rsidR="00AB52B6" w:rsidRPr="00AB52B6" w14:paraId="40B6BE8B" w14:textId="77777777" w:rsidTr="0075791C">
        <w:trPr>
          <w:trHeight w:val="381"/>
        </w:trPr>
        <w:tc>
          <w:tcPr>
            <w:tcW w:w="6205" w:type="dxa"/>
            <w:vAlign w:val="center"/>
            <w:hideMark/>
          </w:tcPr>
          <w:p w14:paraId="35D77923"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Catholic Charities   </w:t>
            </w:r>
          </w:p>
        </w:tc>
        <w:tc>
          <w:tcPr>
            <w:tcW w:w="3780" w:type="dxa"/>
            <w:vAlign w:val="center"/>
            <w:hideMark/>
          </w:tcPr>
          <w:p w14:paraId="264F0670"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Leominster   </w:t>
            </w:r>
          </w:p>
        </w:tc>
      </w:tr>
      <w:tr w:rsidR="00AB52B6" w:rsidRPr="00AB52B6" w14:paraId="08629594" w14:textId="77777777" w:rsidTr="0075791C">
        <w:trPr>
          <w:trHeight w:val="381"/>
        </w:trPr>
        <w:tc>
          <w:tcPr>
            <w:tcW w:w="6205" w:type="dxa"/>
            <w:vAlign w:val="center"/>
            <w:hideMark/>
          </w:tcPr>
          <w:p w14:paraId="3DB8BBC1"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 xml:space="preserve">Centro </w:t>
            </w:r>
            <w:proofErr w:type="spellStart"/>
            <w:r w:rsidRPr="00AB52B6">
              <w:rPr>
                <w:rFonts w:ascii="Cambria" w:eastAsia="Calibri" w:hAnsi="Cambria" w:cs="Times New Roman"/>
              </w:rPr>
              <w:t>Comunitario</w:t>
            </w:r>
            <w:proofErr w:type="spellEnd"/>
            <w:r w:rsidRPr="00AB52B6">
              <w:rPr>
                <w:rFonts w:ascii="Cambria" w:eastAsia="Calibri" w:hAnsi="Cambria" w:cs="Times New Roman"/>
              </w:rPr>
              <w:t xml:space="preserve"> de </w:t>
            </w:r>
            <w:proofErr w:type="spellStart"/>
            <w:r w:rsidRPr="00AB52B6">
              <w:rPr>
                <w:rFonts w:ascii="Cambria" w:eastAsia="Calibri" w:hAnsi="Cambria" w:cs="Times New Roman"/>
              </w:rPr>
              <w:t>Trabajadores</w:t>
            </w:r>
            <w:proofErr w:type="spellEnd"/>
            <w:r w:rsidRPr="00AB52B6">
              <w:rPr>
                <w:rFonts w:ascii="Cambria" w:eastAsia="Calibri" w:hAnsi="Cambria" w:cs="Times New Roman"/>
              </w:rPr>
              <w:t>   </w:t>
            </w:r>
          </w:p>
        </w:tc>
        <w:tc>
          <w:tcPr>
            <w:tcW w:w="3780" w:type="dxa"/>
            <w:vAlign w:val="center"/>
            <w:hideMark/>
          </w:tcPr>
          <w:p w14:paraId="7307AC1C"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New Bedford   </w:t>
            </w:r>
          </w:p>
        </w:tc>
      </w:tr>
      <w:tr w:rsidR="00AB52B6" w:rsidRPr="00AB52B6" w14:paraId="0DC9F05D" w14:textId="77777777" w:rsidTr="0075791C">
        <w:trPr>
          <w:trHeight w:val="381"/>
        </w:trPr>
        <w:tc>
          <w:tcPr>
            <w:tcW w:w="6205" w:type="dxa"/>
            <w:vAlign w:val="center"/>
            <w:hideMark/>
          </w:tcPr>
          <w:p w14:paraId="4910F55A"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Community Economic Development Center   </w:t>
            </w:r>
          </w:p>
        </w:tc>
        <w:tc>
          <w:tcPr>
            <w:tcW w:w="3780" w:type="dxa"/>
            <w:vAlign w:val="center"/>
            <w:hideMark/>
          </w:tcPr>
          <w:p w14:paraId="2AA16C71"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New Bedford   </w:t>
            </w:r>
          </w:p>
        </w:tc>
      </w:tr>
      <w:tr w:rsidR="00AB52B6" w:rsidRPr="00AB52B6" w14:paraId="1F2F9C7F" w14:textId="77777777" w:rsidTr="0075791C">
        <w:trPr>
          <w:trHeight w:val="381"/>
        </w:trPr>
        <w:tc>
          <w:tcPr>
            <w:tcW w:w="6205" w:type="dxa"/>
            <w:vAlign w:val="center"/>
            <w:hideMark/>
          </w:tcPr>
          <w:p w14:paraId="1716D3F0"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The Everett Haitian Community Center   </w:t>
            </w:r>
          </w:p>
        </w:tc>
        <w:tc>
          <w:tcPr>
            <w:tcW w:w="3780" w:type="dxa"/>
            <w:vAlign w:val="center"/>
            <w:hideMark/>
          </w:tcPr>
          <w:p w14:paraId="61CD61D9"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Malden   </w:t>
            </w:r>
          </w:p>
        </w:tc>
      </w:tr>
      <w:tr w:rsidR="00AB52B6" w:rsidRPr="00AB52B6" w14:paraId="26C51831" w14:textId="77777777" w:rsidTr="0075791C">
        <w:trPr>
          <w:trHeight w:val="381"/>
        </w:trPr>
        <w:tc>
          <w:tcPr>
            <w:tcW w:w="6205" w:type="dxa"/>
            <w:vAlign w:val="center"/>
            <w:hideMark/>
          </w:tcPr>
          <w:p w14:paraId="009385BD"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Family Service Association </w:t>
            </w:r>
          </w:p>
        </w:tc>
        <w:tc>
          <w:tcPr>
            <w:tcW w:w="3780" w:type="dxa"/>
            <w:vAlign w:val="center"/>
            <w:hideMark/>
          </w:tcPr>
          <w:p w14:paraId="367E4FB8"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Fall River </w:t>
            </w:r>
          </w:p>
        </w:tc>
      </w:tr>
      <w:tr w:rsidR="00AB52B6" w:rsidRPr="00AB52B6" w14:paraId="084A872B" w14:textId="77777777" w:rsidTr="0075791C">
        <w:trPr>
          <w:trHeight w:val="381"/>
        </w:trPr>
        <w:tc>
          <w:tcPr>
            <w:tcW w:w="6205" w:type="dxa"/>
            <w:vAlign w:val="center"/>
            <w:hideMark/>
          </w:tcPr>
          <w:p w14:paraId="723DE6A4"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Greater Framingham Community Church   </w:t>
            </w:r>
          </w:p>
        </w:tc>
        <w:tc>
          <w:tcPr>
            <w:tcW w:w="3780" w:type="dxa"/>
            <w:vAlign w:val="center"/>
            <w:hideMark/>
          </w:tcPr>
          <w:p w14:paraId="4BC60F6C"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Framingham   </w:t>
            </w:r>
          </w:p>
        </w:tc>
      </w:tr>
      <w:tr w:rsidR="00AB52B6" w:rsidRPr="00AB52B6" w14:paraId="4057DDFB" w14:textId="77777777" w:rsidTr="0075791C">
        <w:trPr>
          <w:trHeight w:val="381"/>
        </w:trPr>
        <w:tc>
          <w:tcPr>
            <w:tcW w:w="6205" w:type="dxa"/>
            <w:vAlign w:val="center"/>
            <w:hideMark/>
          </w:tcPr>
          <w:p w14:paraId="2E30236F"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Greater Malden Asian American Community Coalition   </w:t>
            </w:r>
          </w:p>
        </w:tc>
        <w:tc>
          <w:tcPr>
            <w:tcW w:w="3780" w:type="dxa"/>
            <w:vAlign w:val="center"/>
            <w:hideMark/>
          </w:tcPr>
          <w:p w14:paraId="07CC369D"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Malden   </w:t>
            </w:r>
          </w:p>
        </w:tc>
      </w:tr>
      <w:tr w:rsidR="00AB52B6" w:rsidRPr="00AB52B6" w14:paraId="41C6ACF6" w14:textId="77777777" w:rsidTr="0075791C">
        <w:trPr>
          <w:trHeight w:val="381"/>
        </w:trPr>
        <w:tc>
          <w:tcPr>
            <w:tcW w:w="6205" w:type="dxa"/>
            <w:vAlign w:val="center"/>
            <w:hideMark/>
          </w:tcPr>
          <w:p w14:paraId="05EBC1D3"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Immigrant Assistance Center   </w:t>
            </w:r>
          </w:p>
        </w:tc>
        <w:tc>
          <w:tcPr>
            <w:tcW w:w="3780" w:type="dxa"/>
            <w:vAlign w:val="center"/>
            <w:hideMark/>
          </w:tcPr>
          <w:p w14:paraId="407774BF"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Fall River &amp; New Bedford   </w:t>
            </w:r>
          </w:p>
        </w:tc>
      </w:tr>
      <w:tr w:rsidR="00AB52B6" w:rsidRPr="00AB52B6" w14:paraId="4D4B6863" w14:textId="77777777" w:rsidTr="0075791C">
        <w:trPr>
          <w:trHeight w:val="381"/>
        </w:trPr>
        <w:tc>
          <w:tcPr>
            <w:tcW w:w="6205" w:type="dxa"/>
            <w:vAlign w:val="center"/>
            <w:hideMark/>
          </w:tcPr>
          <w:p w14:paraId="7DE63095"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Making Opportunity Count   </w:t>
            </w:r>
          </w:p>
        </w:tc>
        <w:tc>
          <w:tcPr>
            <w:tcW w:w="3780" w:type="dxa"/>
            <w:vAlign w:val="center"/>
            <w:hideMark/>
          </w:tcPr>
          <w:p w14:paraId="02E2AE75"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Fitchburg &amp; Leominster  </w:t>
            </w:r>
          </w:p>
        </w:tc>
      </w:tr>
      <w:tr w:rsidR="00AB52B6" w:rsidRPr="00AB52B6" w14:paraId="5CDDEBD8" w14:textId="77777777" w:rsidTr="0075791C">
        <w:trPr>
          <w:trHeight w:val="381"/>
        </w:trPr>
        <w:tc>
          <w:tcPr>
            <w:tcW w:w="6205" w:type="dxa"/>
            <w:vAlign w:val="center"/>
            <w:hideMark/>
          </w:tcPr>
          <w:p w14:paraId="60F08C69"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Massachusetts Association for the Blind and Visually Impaired   </w:t>
            </w:r>
          </w:p>
        </w:tc>
        <w:tc>
          <w:tcPr>
            <w:tcW w:w="3780" w:type="dxa"/>
            <w:vAlign w:val="center"/>
            <w:hideMark/>
          </w:tcPr>
          <w:p w14:paraId="07477EF3"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Brookline</w:t>
            </w:r>
          </w:p>
        </w:tc>
      </w:tr>
      <w:tr w:rsidR="00AB52B6" w:rsidRPr="00AB52B6" w14:paraId="28B64C45" w14:textId="77777777" w:rsidTr="0075791C">
        <w:trPr>
          <w:trHeight w:val="381"/>
        </w:trPr>
        <w:tc>
          <w:tcPr>
            <w:tcW w:w="6205" w:type="dxa"/>
            <w:vAlign w:val="center"/>
            <w:hideMark/>
          </w:tcPr>
          <w:p w14:paraId="48ADA6D1"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Motivation Church </w:t>
            </w:r>
          </w:p>
        </w:tc>
        <w:tc>
          <w:tcPr>
            <w:tcW w:w="3780" w:type="dxa"/>
            <w:vAlign w:val="center"/>
            <w:hideMark/>
          </w:tcPr>
          <w:p w14:paraId="48E5889A"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Randolph </w:t>
            </w:r>
          </w:p>
        </w:tc>
      </w:tr>
      <w:tr w:rsidR="00AB52B6" w:rsidRPr="00AB52B6" w14:paraId="129126ED" w14:textId="77777777" w:rsidTr="0075791C">
        <w:trPr>
          <w:trHeight w:val="381"/>
        </w:trPr>
        <w:tc>
          <w:tcPr>
            <w:tcW w:w="6205" w:type="dxa"/>
            <w:vAlign w:val="center"/>
            <w:hideMark/>
          </w:tcPr>
          <w:p w14:paraId="7498C21D" w14:textId="77777777" w:rsidR="00AB52B6" w:rsidRPr="00AB52B6" w:rsidRDefault="00AB52B6" w:rsidP="00AB52B6">
            <w:pPr>
              <w:rPr>
                <w:rFonts w:ascii="Cambria" w:eastAsia="Calibri" w:hAnsi="Cambria" w:cs="Times New Roman"/>
              </w:rPr>
            </w:pPr>
            <w:proofErr w:type="spellStart"/>
            <w:r w:rsidRPr="00AB52B6">
              <w:rPr>
                <w:rFonts w:ascii="Cambria" w:eastAsia="Calibri" w:hAnsi="Cambria" w:cs="Times New Roman"/>
              </w:rPr>
              <w:t>NewVue</w:t>
            </w:r>
            <w:proofErr w:type="spellEnd"/>
            <w:r w:rsidRPr="00AB52B6">
              <w:rPr>
                <w:rFonts w:ascii="Cambria" w:eastAsia="Calibri" w:hAnsi="Cambria" w:cs="Times New Roman"/>
              </w:rPr>
              <w:t xml:space="preserve"> Communities   </w:t>
            </w:r>
          </w:p>
        </w:tc>
        <w:tc>
          <w:tcPr>
            <w:tcW w:w="3780" w:type="dxa"/>
            <w:vAlign w:val="center"/>
            <w:hideMark/>
          </w:tcPr>
          <w:p w14:paraId="235BC494"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Fitchburg &amp; Leominster   </w:t>
            </w:r>
          </w:p>
        </w:tc>
      </w:tr>
      <w:tr w:rsidR="00AB52B6" w:rsidRPr="00AB52B6" w14:paraId="000F05AB" w14:textId="77777777" w:rsidTr="0075791C">
        <w:trPr>
          <w:trHeight w:val="381"/>
        </w:trPr>
        <w:tc>
          <w:tcPr>
            <w:tcW w:w="6205" w:type="dxa"/>
            <w:vAlign w:val="center"/>
            <w:hideMark/>
          </w:tcPr>
          <w:p w14:paraId="658F1EAC"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lastRenderedPageBreak/>
              <w:t>Pelham Lifelong Learning Center </w:t>
            </w:r>
          </w:p>
        </w:tc>
        <w:tc>
          <w:tcPr>
            <w:tcW w:w="3780" w:type="dxa"/>
            <w:vAlign w:val="center"/>
            <w:hideMark/>
          </w:tcPr>
          <w:p w14:paraId="3E989EC0"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Framingham </w:t>
            </w:r>
          </w:p>
        </w:tc>
      </w:tr>
      <w:tr w:rsidR="00AB52B6" w:rsidRPr="00AB52B6" w14:paraId="4597AD64" w14:textId="77777777" w:rsidTr="0075791C">
        <w:trPr>
          <w:trHeight w:val="381"/>
        </w:trPr>
        <w:tc>
          <w:tcPr>
            <w:tcW w:w="6205" w:type="dxa"/>
            <w:vAlign w:val="center"/>
            <w:hideMark/>
          </w:tcPr>
          <w:p w14:paraId="5B592366"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Quincy Asian Resources </w:t>
            </w:r>
          </w:p>
        </w:tc>
        <w:tc>
          <w:tcPr>
            <w:tcW w:w="3780" w:type="dxa"/>
            <w:vAlign w:val="center"/>
            <w:hideMark/>
          </w:tcPr>
          <w:p w14:paraId="05AFD554"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Randolph </w:t>
            </w:r>
          </w:p>
        </w:tc>
      </w:tr>
      <w:tr w:rsidR="00AB52B6" w:rsidRPr="00AB52B6" w14:paraId="709E090C" w14:textId="77777777" w:rsidTr="0075791C">
        <w:trPr>
          <w:trHeight w:val="381"/>
        </w:trPr>
        <w:tc>
          <w:tcPr>
            <w:tcW w:w="6205" w:type="dxa"/>
            <w:vAlign w:val="center"/>
            <w:hideMark/>
          </w:tcPr>
          <w:p w14:paraId="66E39FCE"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SER – Jobs for Progress  </w:t>
            </w:r>
          </w:p>
        </w:tc>
        <w:tc>
          <w:tcPr>
            <w:tcW w:w="3780" w:type="dxa"/>
            <w:vAlign w:val="center"/>
            <w:hideMark/>
          </w:tcPr>
          <w:p w14:paraId="457690CE"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Fall River </w:t>
            </w:r>
          </w:p>
        </w:tc>
      </w:tr>
      <w:tr w:rsidR="00AB52B6" w:rsidRPr="00AB52B6" w14:paraId="5321FFF0" w14:textId="77777777" w:rsidTr="0075791C">
        <w:trPr>
          <w:trHeight w:val="381"/>
        </w:trPr>
        <w:tc>
          <w:tcPr>
            <w:tcW w:w="6205" w:type="dxa"/>
            <w:vAlign w:val="center"/>
            <w:hideMark/>
          </w:tcPr>
          <w:p w14:paraId="79CE05DF"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Spanish American Center   </w:t>
            </w:r>
          </w:p>
        </w:tc>
        <w:tc>
          <w:tcPr>
            <w:tcW w:w="3780" w:type="dxa"/>
            <w:vAlign w:val="center"/>
            <w:hideMark/>
          </w:tcPr>
          <w:p w14:paraId="6FC4273B"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Leominster   </w:t>
            </w:r>
          </w:p>
        </w:tc>
      </w:tr>
      <w:tr w:rsidR="00AB52B6" w:rsidRPr="00AB52B6" w14:paraId="4FCAC360" w14:textId="77777777" w:rsidTr="0075791C">
        <w:trPr>
          <w:trHeight w:val="381"/>
        </w:trPr>
        <w:tc>
          <w:tcPr>
            <w:tcW w:w="6205" w:type="dxa"/>
            <w:vAlign w:val="center"/>
            <w:hideMark/>
          </w:tcPr>
          <w:p w14:paraId="5A647D9E"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The Brockton Workers Alliance   </w:t>
            </w:r>
          </w:p>
        </w:tc>
        <w:tc>
          <w:tcPr>
            <w:tcW w:w="3780" w:type="dxa"/>
            <w:vAlign w:val="center"/>
            <w:hideMark/>
          </w:tcPr>
          <w:p w14:paraId="5C33F1A9"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Brockton   </w:t>
            </w:r>
          </w:p>
        </w:tc>
      </w:tr>
      <w:tr w:rsidR="00AB52B6" w:rsidRPr="00AB52B6" w14:paraId="2873F783" w14:textId="77777777" w:rsidTr="0075791C">
        <w:trPr>
          <w:trHeight w:val="381"/>
        </w:trPr>
        <w:tc>
          <w:tcPr>
            <w:tcW w:w="6205" w:type="dxa"/>
            <w:vAlign w:val="center"/>
            <w:hideMark/>
          </w:tcPr>
          <w:p w14:paraId="30B611B1"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The Learning Center for the Deaf   </w:t>
            </w:r>
          </w:p>
        </w:tc>
        <w:tc>
          <w:tcPr>
            <w:tcW w:w="3780" w:type="dxa"/>
            <w:vAlign w:val="center"/>
            <w:hideMark/>
          </w:tcPr>
          <w:p w14:paraId="53D188A5"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Framingham</w:t>
            </w:r>
          </w:p>
        </w:tc>
      </w:tr>
      <w:tr w:rsidR="00AB52B6" w:rsidRPr="00AB52B6" w14:paraId="66FF8AF2" w14:textId="77777777" w:rsidTr="0075791C">
        <w:trPr>
          <w:trHeight w:val="381"/>
        </w:trPr>
        <w:tc>
          <w:tcPr>
            <w:tcW w:w="6205" w:type="dxa"/>
            <w:vAlign w:val="center"/>
            <w:hideMark/>
          </w:tcPr>
          <w:p w14:paraId="03EB20B4"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True Alliance Center   </w:t>
            </w:r>
          </w:p>
        </w:tc>
        <w:tc>
          <w:tcPr>
            <w:tcW w:w="3780" w:type="dxa"/>
            <w:vAlign w:val="center"/>
            <w:hideMark/>
          </w:tcPr>
          <w:p w14:paraId="6E525123"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Boston, Randolph &amp; Brockton </w:t>
            </w:r>
          </w:p>
        </w:tc>
      </w:tr>
      <w:tr w:rsidR="00AB52B6" w:rsidRPr="00AB52B6" w14:paraId="1148C004" w14:textId="77777777" w:rsidTr="0075791C">
        <w:trPr>
          <w:trHeight w:val="381"/>
        </w:trPr>
        <w:tc>
          <w:tcPr>
            <w:tcW w:w="6205" w:type="dxa"/>
            <w:vAlign w:val="center"/>
            <w:hideMark/>
          </w:tcPr>
          <w:p w14:paraId="74826105"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Vietnamese American Initiative for Development </w:t>
            </w:r>
          </w:p>
        </w:tc>
        <w:tc>
          <w:tcPr>
            <w:tcW w:w="3780" w:type="dxa"/>
            <w:vAlign w:val="center"/>
            <w:hideMark/>
          </w:tcPr>
          <w:p w14:paraId="48D0E75D"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Boston </w:t>
            </w:r>
          </w:p>
        </w:tc>
      </w:tr>
    </w:tbl>
    <w:p w14:paraId="2EFB1C24" w14:textId="77777777" w:rsidR="00AB52B6" w:rsidRPr="00AB52B6" w:rsidRDefault="00AB52B6" w:rsidP="00AB52B6">
      <w:pPr>
        <w:spacing w:after="160" w:line="259" w:lineRule="auto"/>
        <w:ind w:left="0"/>
        <w:rPr>
          <w:rFonts w:ascii="Cambria" w:eastAsia="Calibri" w:hAnsi="Cambria" w:cs="Times New Roman"/>
          <w:color w:val="auto"/>
          <w:lang w:eastAsia="en-US"/>
        </w:rPr>
      </w:pPr>
      <w:r w:rsidRPr="00AB52B6">
        <w:rPr>
          <w:rFonts w:ascii="Cambria" w:eastAsia="Calibri" w:hAnsi="Cambria" w:cs="Times New Roman"/>
          <w:color w:val="auto"/>
          <w:lang w:eastAsia="en-US"/>
        </w:rPr>
        <w:br w:type="page"/>
      </w:r>
    </w:p>
    <w:tbl>
      <w:tblPr>
        <w:tblStyle w:val="TableGrid1"/>
        <w:tblW w:w="0" w:type="auto"/>
        <w:tblLook w:val="04A0" w:firstRow="1" w:lastRow="0" w:firstColumn="1" w:lastColumn="0" w:noHBand="0" w:noVBand="1"/>
      </w:tblPr>
      <w:tblGrid>
        <w:gridCol w:w="4029"/>
        <w:gridCol w:w="1508"/>
        <w:gridCol w:w="5523"/>
      </w:tblGrid>
      <w:tr w:rsidR="00AB52B6" w:rsidRPr="00AB52B6" w14:paraId="23C866E9" w14:textId="77777777" w:rsidTr="0075791C">
        <w:trPr>
          <w:trHeight w:val="300"/>
        </w:trPr>
        <w:tc>
          <w:tcPr>
            <w:tcW w:w="11060" w:type="dxa"/>
            <w:gridSpan w:val="3"/>
            <w:noWrap/>
          </w:tcPr>
          <w:p w14:paraId="72735DE0" w14:textId="77777777" w:rsidR="00AB52B6" w:rsidRPr="00AB52B6" w:rsidRDefault="00AB52B6" w:rsidP="00AB52B6">
            <w:pPr>
              <w:spacing w:line="259" w:lineRule="auto"/>
              <w:rPr>
                <w:rFonts w:ascii="Cambria" w:eastAsia="Calibri" w:hAnsi="Cambria" w:cs="Times New Roman"/>
                <w:b/>
                <w:bCs/>
              </w:rPr>
            </w:pPr>
            <w:r w:rsidRPr="00AB52B6">
              <w:rPr>
                <w:rFonts w:ascii="Cambria" w:eastAsia="Calibri" w:hAnsi="Cambria" w:cs="Times New Roman"/>
                <w:b/>
                <w:bCs/>
              </w:rPr>
              <w:lastRenderedPageBreak/>
              <w:t>59 Community- and Faith-based Organizations funded through VEI (</w:t>
            </w:r>
            <w:proofErr w:type="spellStart"/>
            <w:r w:rsidRPr="00AB52B6">
              <w:rPr>
                <w:rFonts w:ascii="Cambria" w:eastAsia="Calibri" w:hAnsi="Cambria" w:cs="Times New Roman"/>
                <w:b/>
                <w:bCs/>
              </w:rPr>
              <w:t>HRiA</w:t>
            </w:r>
            <w:proofErr w:type="spellEnd"/>
            <w:r w:rsidRPr="00AB52B6">
              <w:rPr>
                <w:rFonts w:ascii="Cambria" w:eastAsia="Calibri" w:hAnsi="Cambria" w:cs="Times New Roman"/>
                <w:b/>
                <w:bCs/>
              </w:rPr>
              <w:t>)</w:t>
            </w:r>
          </w:p>
          <w:p w14:paraId="4EE5618C" w14:textId="77777777" w:rsidR="00AB52B6" w:rsidRPr="00AB52B6" w:rsidRDefault="00AB52B6" w:rsidP="00AB52B6">
            <w:pPr>
              <w:spacing w:line="259" w:lineRule="auto"/>
              <w:rPr>
                <w:rFonts w:ascii="Cambria" w:eastAsia="Calibri" w:hAnsi="Cambria" w:cs="Times New Roman"/>
              </w:rPr>
            </w:pPr>
            <w:r w:rsidRPr="00AB52B6">
              <w:rPr>
                <w:rFonts w:ascii="Cambria" w:eastAsia="Calibri" w:hAnsi="Cambria" w:cs="Times New Roman"/>
              </w:rPr>
              <w:t>current on March 3, 2022</w:t>
            </w:r>
          </w:p>
          <w:p w14:paraId="50DC0569" w14:textId="77777777" w:rsidR="00AB52B6" w:rsidRPr="00AB52B6" w:rsidRDefault="00AB52B6" w:rsidP="00AB52B6">
            <w:pPr>
              <w:spacing w:line="259" w:lineRule="auto"/>
              <w:rPr>
                <w:rFonts w:ascii="Cambria" w:eastAsia="Calibri" w:hAnsi="Cambria" w:cs="Times New Roman"/>
                <w:b/>
                <w:bCs/>
              </w:rPr>
            </w:pPr>
          </w:p>
        </w:tc>
      </w:tr>
      <w:tr w:rsidR="00AB52B6" w:rsidRPr="00AB52B6" w14:paraId="6F3EEF10" w14:textId="77777777" w:rsidTr="0075791C">
        <w:trPr>
          <w:trHeight w:val="300"/>
        </w:trPr>
        <w:tc>
          <w:tcPr>
            <w:tcW w:w="4113" w:type="dxa"/>
            <w:noWrap/>
            <w:hideMark/>
          </w:tcPr>
          <w:p w14:paraId="5A20C359" w14:textId="77777777" w:rsidR="00AB52B6" w:rsidRPr="00AB52B6" w:rsidRDefault="00AB52B6" w:rsidP="00AB52B6">
            <w:pPr>
              <w:spacing w:after="160" w:line="259" w:lineRule="auto"/>
              <w:rPr>
                <w:rFonts w:ascii="Cambria" w:eastAsia="Calibri" w:hAnsi="Cambria" w:cs="Times New Roman"/>
                <w:b/>
                <w:bCs/>
              </w:rPr>
            </w:pPr>
            <w:r w:rsidRPr="00AB52B6">
              <w:rPr>
                <w:rFonts w:ascii="Cambria" w:eastAsia="Calibri" w:hAnsi="Cambria" w:cs="Times New Roman"/>
                <w:b/>
                <w:bCs/>
              </w:rPr>
              <w:t>CBOs/FBOs (</w:t>
            </w:r>
            <w:proofErr w:type="spellStart"/>
            <w:r w:rsidRPr="00AB52B6">
              <w:rPr>
                <w:rFonts w:ascii="Cambria" w:eastAsia="Calibri" w:hAnsi="Cambria" w:cs="Times New Roman"/>
                <w:b/>
                <w:bCs/>
              </w:rPr>
              <w:t>HRiA</w:t>
            </w:r>
            <w:proofErr w:type="spellEnd"/>
            <w:r w:rsidRPr="00AB52B6">
              <w:rPr>
                <w:rFonts w:ascii="Cambria" w:eastAsia="Calibri" w:hAnsi="Cambria" w:cs="Times New Roman"/>
                <w:b/>
                <w:bCs/>
              </w:rPr>
              <w:t>)</w:t>
            </w:r>
          </w:p>
        </w:tc>
        <w:tc>
          <w:tcPr>
            <w:tcW w:w="1307" w:type="dxa"/>
            <w:noWrap/>
            <w:hideMark/>
          </w:tcPr>
          <w:p w14:paraId="35F30AD8" w14:textId="77777777" w:rsidR="00AB52B6" w:rsidRPr="00AB52B6" w:rsidRDefault="00AB52B6" w:rsidP="00AB52B6">
            <w:pPr>
              <w:spacing w:after="160" w:line="259" w:lineRule="auto"/>
              <w:rPr>
                <w:rFonts w:ascii="Cambria" w:eastAsia="Calibri" w:hAnsi="Cambria" w:cs="Times New Roman"/>
                <w:b/>
                <w:bCs/>
              </w:rPr>
            </w:pPr>
            <w:r w:rsidRPr="00AB52B6">
              <w:rPr>
                <w:rFonts w:ascii="Cambria" w:eastAsia="Calibri" w:hAnsi="Cambria" w:cs="Times New Roman"/>
                <w:b/>
                <w:bCs/>
              </w:rPr>
              <w:t>Organization Location</w:t>
            </w:r>
          </w:p>
        </w:tc>
        <w:tc>
          <w:tcPr>
            <w:tcW w:w="5640" w:type="dxa"/>
            <w:hideMark/>
          </w:tcPr>
          <w:p w14:paraId="47F3CE52" w14:textId="77777777" w:rsidR="00AB52B6" w:rsidRPr="00AB52B6" w:rsidRDefault="00AB52B6" w:rsidP="00AB52B6">
            <w:pPr>
              <w:spacing w:after="160" w:line="259" w:lineRule="auto"/>
              <w:rPr>
                <w:rFonts w:ascii="Cambria" w:eastAsia="Calibri" w:hAnsi="Cambria" w:cs="Times New Roman"/>
                <w:b/>
                <w:bCs/>
              </w:rPr>
            </w:pPr>
            <w:r w:rsidRPr="00AB52B6">
              <w:rPr>
                <w:rFonts w:ascii="Cambria" w:eastAsia="Calibri" w:hAnsi="Cambria" w:cs="Times New Roman"/>
                <w:b/>
                <w:bCs/>
              </w:rPr>
              <w:t xml:space="preserve"> Areas Served  </w:t>
            </w:r>
          </w:p>
        </w:tc>
      </w:tr>
      <w:tr w:rsidR="00AB52B6" w:rsidRPr="00AB52B6" w14:paraId="2D7DAD01" w14:textId="77777777" w:rsidTr="0075791C">
        <w:trPr>
          <w:trHeight w:val="300"/>
        </w:trPr>
        <w:tc>
          <w:tcPr>
            <w:tcW w:w="4113" w:type="dxa"/>
            <w:noWrap/>
            <w:hideMark/>
          </w:tcPr>
          <w:p w14:paraId="5C66196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African Community Center of Lowell </w:t>
            </w:r>
          </w:p>
        </w:tc>
        <w:tc>
          <w:tcPr>
            <w:tcW w:w="1307" w:type="dxa"/>
            <w:noWrap/>
            <w:hideMark/>
          </w:tcPr>
          <w:p w14:paraId="53E916C6"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Lowell</w:t>
            </w:r>
          </w:p>
        </w:tc>
        <w:tc>
          <w:tcPr>
            <w:tcW w:w="5640" w:type="dxa"/>
            <w:hideMark/>
          </w:tcPr>
          <w:p w14:paraId="301B9707"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Lowell </w:t>
            </w:r>
          </w:p>
        </w:tc>
      </w:tr>
      <w:tr w:rsidR="00AB52B6" w:rsidRPr="00AB52B6" w14:paraId="5F28C956" w14:textId="77777777" w:rsidTr="0075791C">
        <w:trPr>
          <w:trHeight w:val="402"/>
        </w:trPr>
        <w:tc>
          <w:tcPr>
            <w:tcW w:w="4113" w:type="dxa"/>
            <w:noWrap/>
            <w:hideMark/>
          </w:tcPr>
          <w:p w14:paraId="4962C173"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African Community Education Program  </w:t>
            </w:r>
          </w:p>
        </w:tc>
        <w:tc>
          <w:tcPr>
            <w:tcW w:w="1307" w:type="dxa"/>
            <w:noWrap/>
            <w:hideMark/>
          </w:tcPr>
          <w:p w14:paraId="6CA43A8E"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Worcester</w:t>
            </w:r>
          </w:p>
        </w:tc>
        <w:tc>
          <w:tcPr>
            <w:tcW w:w="5640" w:type="dxa"/>
            <w:noWrap/>
            <w:hideMark/>
          </w:tcPr>
          <w:p w14:paraId="73675B5C"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Worcester</w:t>
            </w:r>
          </w:p>
        </w:tc>
      </w:tr>
      <w:tr w:rsidR="00AB52B6" w:rsidRPr="00AB52B6" w14:paraId="5EF63A40" w14:textId="77777777" w:rsidTr="0075791C">
        <w:trPr>
          <w:trHeight w:val="540"/>
        </w:trPr>
        <w:tc>
          <w:tcPr>
            <w:tcW w:w="4113" w:type="dxa"/>
            <w:noWrap/>
            <w:hideMark/>
          </w:tcPr>
          <w:p w14:paraId="3AC0DE4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Asian American Civic Association </w:t>
            </w:r>
          </w:p>
        </w:tc>
        <w:tc>
          <w:tcPr>
            <w:tcW w:w="1307" w:type="dxa"/>
            <w:noWrap/>
            <w:hideMark/>
          </w:tcPr>
          <w:p w14:paraId="141B40AD"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w:t>
            </w:r>
          </w:p>
        </w:tc>
        <w:tc>
          <w:tcPr>
            <w:tcW w:w="5640" w:type="dxa"/>
            <w:hideMark/>
          </w:tcPr>
          <w:p w14:paraId="748CF74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–Dorchester, Malden, Quincy </w:t>
            </w:r>
          </w:p>
        </w:tc>
      </w:tr>
      <w:tr w:rsidR="00AB52B6" w:rsidRPr="00AB52B6" w14:paraId="4E2A8F37" w14:textId="77777777" w:rsidTr="0075791C">
        <w:trPr>
          <w:trHeight w:val="300"/>
        </w:trPr>
        <w:tc>
          <w:tcPr>
            <w:tcW w:w="4113" w:type="dxa"/>
            <w:noWrap/>
            <w:hideMark/>
          </w:tcPr>
          <w:p w14:paraId="27258796"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Asian Women for Health  </w:t>
            </w:r>
          </w:p>
        </w:tc>
        <w:tc>
          <w:tcPr>
            <w:tcW w:w="1307" w:type="dxa"/>
            <w:noWrap/>
            <w:hideMark/>
          </w:tcPr>
          <w:p w14:paraId="65CF5344"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Somerville</w:t>
            </w:r>
          </w:p>
        </w:tc>
        <w:tc>
          <w:tcPr>
            <w:tcW w:w="5640" w:type="dxa"/>
            <w:hideMark/>
          </w:tcPr>
          <w:p w14:paraId="5DBA465F"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Dorchester, Brookline, Cambridge, Malden, Quincy, Worcester   </w:t>
            </w:r>
          </w:p>
        </w:tc>
      </w:tr>
      <w:tr w:rsidR="00AB52B6" w:rsidRPr="00AB52B6" w14:paraId="75A48EAD" w14:textId="77777777" w:rsidTr="0075791C">
        <w:trPr>
          <w:trHeight w:val="300"/>
        </w:trPr>
        <w:tc>
          <w:tcPr>
            <w:tcW w:w="4113" w:type="dxa"/>
            <w:noWrap/>
            <w:hideMark/>
          </w:tcPr>
          <w:p w14:paraId="51C50F9D" w14:textId="77777777" w:rsidR="00AB52B6" w:rsidRPr="00AB52B6" w:rsidRDefault="00AB52B6" w:rsidP="00AB52B6">
            <w:pPr>
              <w:spacing w:after="160" w:line="259" w:lineRule="auto"/>
              <w:rPr>
                <w:rFonts w:ascii="Cambria" w:eastAsia="Calibri" w:hAnsi="Cambria" w:cs="Times New Roman"/>
              </w:rPr>
            </w:pPr>
            <w:proofErr w:type="spellStart"/>
            <w:r w:rsidRPr="00AB52B6">
              <w:rPr>
                <w:rFonts w:ascii="Cambria" w:eastAsia="Calibri" w:hAnsi="Cambria" w:cs="Times New Roman"/>
              </w:rPr>
              <w:t>Asociacion</w:t>
            </w:r>
            <w:proofErr w:type="spellEnd"/>
            <w:r w:rsidRPr="00AB52B6">
              <w:rPr>
                <w:rFonts w:ascii="Cambria" w:eastAsia="Calibri" w:hAnsi="Cambria" w:cs="Times New Roman"/>
              </w:rPr>
              <w:t xml:space="preserve"> Ministerial </w:t>
            </w:r>
            <w:proofErr w:type="spellStart"/>
            <w:r w:rsidRPr="00AB52B6">
              <w:rPr>
                <w:rFonts w:ascii="Cambria" w:eastAsia="Calibri" w:hAnsi="Cambria" w:cs="Times New Roman"/>
              </w:rPr>
              <w:t>Evangelica</w:t>
            </w:r>
            <w:proofErr w:type="spellEnd"/>
            <w:r w:rsidRPr="00AB52B6">
              <w:rPr>
                <w:rFonts w:ascii="Cambria" w:eastAsia="Calibri" w:hAnsi="Cambria" w:cs="Times New Roman"/>
              </w:rPr>
              <w:t xml:space="preserve"> Del Area de Lawrence </w:t>
            </w:r>
          </w:p>
        </w:tc>
        <w:tc>
          <w:tcPr>
            <w:tcW w:w="1307" w:type="dxa"/>
            <w:noWrap/>
            <w:hideMark/>
          </w:tcPr>
          <w:p w14:paraId="0FF4E3B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Lawrence</w:t>
            </w:r>
          </w:p>
        </w:tc>
        <w:tc>
          <w:tcPr>
            <w:tcW w:w="5640" w:type="dxa"/>
            <w:noWrap/>
            <w:hideMark/>
          </w:tcPr>
          <w:p w14:paraId="40CF8EC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Andover, Haverhill, Lawrence, Lowell, North Andover, Methuen, Merrimac </w:t>
            </w:r>
          </w:p>
        </w:tc>
      </w:tr>
      <w:tr w:rsidR="00AB52B6" w:rsidRPr="00AB52B6" w14:paraId="1AA2839B" w14:textId="77777777" w:rsidTr="0075791C">
        <w:trPr>
          <w:trHeight w:val="300"/>
        </w:trPr>
        <w:tc>
          <w:tcPr>
            <w:tcW w:w="4113" w:type="dxa"/>
            <w:noWrap/>
            <w:hideMark/>
          </w:tcPr>
          <w:p w14:paraId="450279C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Association of Islamic Charitable Projects  </w:t>
            </w:r>
          </w:p>
        </w:tc>
        <w:tc>
          <w:tcPr>
            <w:tcW w:w="1307" w:type="dxa"/>
            <w:noWrap/>
            <w:hideMark/>
          </w:tcPr>
          <w:p w14:paraId="0B05EB8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Revere</w:t>
            </w:r>
          </w:p>
        </w:tc>
        <w:tc>
          <w:tcPr>
            <w:tcW w:w="5640" w:type="dxa"/>
            <w:hideMark/>
          </w:tcPr>
          <w:p w14:paraId="7D28A08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Revere </w:t>
            </w:r>
          </w:p>
        </w:tc>
      </w:tr>
      <w:tr w:rsidR="00AB52B6" w:rsidRPr="00AB52B6" w14:paraId="07DF3E71" w14:textId="77777777" w:rsidTr="0075791C">
        <w:trPr>
          <w:trHeight w:val="300"/>
        </w:trPr>
        <w:tc>
          <w:tcPr>
            <w:tcW w:w="4113" w:type="dxa"/>
            <w:noWrap/>
            <w:hideMark/>
          </w:tcPr>
          <w:p w14:paraId="679F85D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Autism Sprinter </w:t>
            </w:r>
          </w:p>
        </w:tc>
        <w:tc>
          <w:tcPr>
            <w:tcW w:w="1307" w:type="dxa"/>
            <w:noWrap/>
            <w:hideMark/>
          </w:tcPr>
          <w:p w14:paraId="6DDE22E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Randolph</w:t>
            </w:r>
          </w:p>
        </w:tc>
        <w:tc>
          <w:tcPr>
            <w:tcW w:w="5640" w:type="dxa"/>
            <w:hideMark/>
          </w:tcPr>
          <w:p w14:paraId="7DECFE28"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Randolph </w:t>
            </w:r>
          </w:p>
        </w:tc>
      </w:tr>
      <w:tr w:rsidR="00AB52B6" w:rsidRPr="00AB52B6" w14:paraId="4E48B564" w14:textId="77777777" w:rsidTr="0075791C">
        <w:trPr>
          <w:trHeight w:val="300"/>
        </w:trPr>
        <w:tc>
          <w:tcPr>
            <w:tcW w:w="4113" w:type="dxa"/>
            <w:noWrap/>
            <w:hideMark/>
          </w:tcPr>
          <w:p w14:paraId="1A6B3CE9"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Black Boston COVID-19 Coalition  </w:t>
            </w:r>
          </w:p>
        </w:tc>
        <w:tc>
          <w:tcPr>
            <w:tcW w:w="1307" w:type="dxa"/>
            <w:noWrap/>
            <w:hideMark/>
          </w:tcPr>
          <w:p w14:paraId="1F0C718A"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w:t>
            </w:r>
          </w:p>
        </w:tc>
        <w:tc>
          <w:tcPr>
            <w:tcW w:w="5640" w:type="dxa"/>
            <w:hideMark/>
          </w:tcPr>
          <w:p w14:paraId="3B6C8C2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–Everett, Mattapan,  </w:t>
            </w:r>
          </w:p>
        </w:tc>
      </w:tr>
      <w:tr w:rsidR="00AB52B6" w:rsidRPr="00AB52B6" w14:paraId="3963E491" w14:textId="77777777" w:rsidTr="0075791C">
        <w:trPr>
          <w:trHeight w:val="300"/>
        </w:trPr>
        <w:tc>
          <w:tcPr>
            <w:tcW w:w="4113" w:type="dxa"/>
            <w:noWrap/>
            <w:hideMark/>
          </w:tcPr>
          <w:p w14:paraId="56638A47"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Black Ministerial Alliance of Greater Boston </w:t>
            </w:r>
          </w:p>
        </w:tc>
        <w:tc>
          <w:tcPr>
            <w:tcW w:w="1307" w:type="dxa"/>
            <w:noWrap/>
            <w:hideMark/>
          </w:tcPr>
          <w:p w14:paraId="43BCB489"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w:t>
            </w:r>
          </w:p>
        </w:tc>
        <w:tc>
          <w:tcPr>
            <w:tcW w:w="5640" w:type="dxa"/>
            <w:hideMark/>
          </w:tcPr>
          <w:p w14:paraId="3966D77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 Dorchester, Hyde Park, Mattapan, Roxbury, Cambridge </w:t>
            </w:r>
          </w:p>
        </w:tc>
      </w:tr>
      <w:tr w:rsidR="00AB52B6" w:rsidRPr="00AB52B6" w14:paraId="35B9AA29" w14:textId="77777777" w:rsidTr="0075791C">
        <w:trPr>
          <w:trHeight w:val="300"/>
        </w:trPr>
        <w:tc>
          <w:tcPr>
            <w:tcW w:w="4113" w:type="dxa"/>
            <w:noWrap/>
            <w:hideMark/>
          </w:tcPr>
          <w:p w14:paraId="48445256"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Black Springfield COVID-19 Coalition (Springfield Partners for Community Action)</w:t>
            </w:r>
          </w:p>
        </w:tc>
        <w:tc>
          <w:tcPr>
            <w:tcW w:w="1307" w:type="dxa"/>
            <w:noWrap/>
            <w:hideMark/>
          </w:tcPr>
          <w:p w14:paraId="001787E9"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Springfield</w:t>
            </w:r>
          </w:p>
        </w:tc>
        <w:tc>
          <w:tcPr>
            <w:tcW w:w="5640" w:type="dxa"/>
            <w:hideMark/>
          </w:tcPr>
          <w:p w14:paraId="21C5A0E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Springfield </w:t>
            </w:r>
          </w:p>
        </w:tc>
      </w:tr>
      <w:tr w:rsidR="00AB52B6" w:rsidRPr="00AB52B6" w14:paraId="57EE8FE6" w14:textId="77777777" w:rsidTr="0075791C">
        <w:trPr>
          <w:trHeight w:val="300"/>
        </w:trPr>
        <w:tc>
          <w:tcPr>
            <w:tcW w:w="4113" w:type="dxa"/>
            <w:noWrap/>
            <w:hideMark/>
          </w:tcPr>
          <w:p w14:paraId="2EC1C6E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Brockton Area Multi-Service, Inc.  </w:t>
            </w:r>
          </w:p>
        </w:tc>
        <w:tc>
          <w:tcPr>
            <w:tcW w:w="1307" w:type="dxa"/>
            <w:noWrap/>
            <w:hideMark/>
          </w:tcPr>
          <w:p w14:paraId="5AF7735D"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Brockton</w:t>
            </w:r>
          </w:p>
        </w:tc>
        <w:tc>
          <w:tcPr>
            <w:tcW w:w="5640" w:type="dxa"/>
            <w:hideMark/>
          </w:tcPr>
          <w:p w14:paraId="62119784"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Brockton </w:t>
            </w:r>
          </w:p>
        </w:tc>
      </w:tr>
      <w:tr w:rsidR="00AB52B6" w:rsidRPr="00AB52B6" w14:paraId="7F546485" w14:textId="77777777" w:rsidTr="0075791C">
        <w:trPr>
          <w:trHeight w:val="300"/>
        </w:trPr>
        <w:tc>
          <w:tcPr>
            <w:tcW w:w="4113" w:type="dxa"/>
            <w:noWrap/>
            <w:hideMark/>
          </w:tcPr>
          <w:p w14:paraId="7613487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Brockton Workers Alliance </w:t>
            </w:r>
          </w:p>
        </w:tc>
        <w:tc>
          <w:tcPr>
            <w:tcW w:w="1307" w:type="dxa"/>
            <w:noWrap/>
            <w:hideMark/>
          </w:tcPr>
          <w:p w14:paraId="5CCEE16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Brockton</w:t>
            </w:r>
          </w:p>
        </w:tc>
        <w:tc>
          <w:tcPr>
            <w:tcW w:w="5640" w:type="dxa"/>
            <w:hideMark/>
          </w:tcPr>
          <w:p w14:paraId="07A92746"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Brockton </w:t>
            </w:r>
          </w:p>
        </w:tc>
      </w:tr>
      <w:tr w:rsidR="00AB52B6" w:rsidRPr="00AB52B6" w14:paraId="1EB4D86E" w14:textId="77777777" w:rsidTr="0075791C">
        <w:trPr>
          <w:trHeight w:val="300"/>
        </w:trPr>
        <w:tc>
          <w:tcPr>
            <w:tcW w:w="4113" w:type="dxa"/>
            <w:noWrap/>
            <w:hideMark/>
          </w:tcPr>
          <w:p w14:paraId="63A13614"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Building Audacity </w:t>
            </w:r>
          </w:p>
        </w:tc>
        <w:tc>
          <w:tcPr>
            <w:tcW w:w="1307" w:type="dxa"/>
            <w:noWrap/>
            <w:hideMark/>
          </w:tcPr>
          <w:p w14:paraId="3AA48F88"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Lynn</w:t>
            </w:r>
          </w:p>
        </w:tc>
        <w:tc>
          <w:tcPr>
            <w:tcW w:w="5640" w:type="dxa"/>
            <w:hideMark/>
          </w:tcPr>
          <w:p w14:paraId="56232E5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Everett, Cambridge, Charlestown, Lowell, Lynn, Revere </w:t>
            </w:r>
          </w:p>
        </w:tc>
      </w:tr>
      <w:tr w:rsidR="00AB52B6" w:rsidRPr="00AB52B6" w14:paraId="281C4C3D" w14:textId="77777777" w:rsidTr="0075791C">
        <w:trPr>
          <w:trHeight w:val="300"/>
        </w:trPr>
        <w:tc>
          <w:tcPr>
            <w:tcW w:w="4113" w:type="dxa"/>
            <w:noWrap/>
            <w:hideMark/>
          </w:tcPr>
          <w:p w14:paraId="1ADFC93B"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Cambodian Mutual Assistance of Greater Lowell  </w:t>
            </w:r>
          </w:p>
        </w:tc>
        <w:tc>
          <w:tcPr>
            <w:tcW w:w="1307" w:type="dxa"/>
            <w:noWrap/>
            <w:hideMark/>
          </w:tcPr>
          <w:p w14:paraId="1637AB09"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Lowell</w:t>
            </w:r>
          </w:p>
        </w:tc>
        <w:tc>
          <w:tcPr>
            <w:tcW w:w="5640" w:type="dxa"/>
            <w:hideMark/>
          </w:tcPr>
          <w:p w14:paraId="70A9407F"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Billerica, Chelmsford, Lowell, Methuen, Tewksbury  </w:t>
            </w:r>
          </w:p>
        </w:tc>
      </w:tr>
      <w:tr w:rsidR="00AB52B6" w:rsidRPr="00AB52B6" w14:paraId="7ADE6E1D" w14:textId="77777777" w:rsidTr="0075791C">
        <w:trPr>
          <w:trHeight w:val="300"/>
        </w:trPr>
        <w:tc>
          <w:tcPr>
            <w:tcW w:w="4113" w:type="dxa"/>
            <w:noWrap/>
            <w:hideMark/>
          </w:tcPr>
          <w:p w14:paraId="60A57CA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Catholic Social Services of Fall River  </w:t>
            </w:r>
          </w:p>
        </w:tc>
        <w:tc>
          <w:tcPr>
            <w:tcW w:w="1307" w:type="dxa"/>
            <w:noWrap/>
            <w:hideMark/>
          </w:tcPr>
          <w:p w14:paraId="47AAF65E"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Fall River</w:t>
            </w:r>
          </w:p>
        </w:tc>
        <w:tc>
          <w:tcPr>
            <w:tcW w:w="5640" w:type="dxa"/>
            <w:hideMark/>
          </w:tcPr>
          <w:p w14:paraId="04BA51BD"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New Bedford </w:t>
            </w:r>
          </w:p>
        </w:tc>
      </w:tr>
      <w:tr w:rsidR="00AB52B6" w:rsidRPr="00AB52B6" w14:paraId="60516F70" w14:textId="77777777" w:rsidTr="0075791C">
        <w:trPr>
          <w:trHeight w:val="300"/>
        </w:trPr>
        <w:tc>
          <w:tcPr>
            <w:tcW w:w="4113" w:type="dxa"/>
            <w:noWrap/>
            <w:hideMark/>
          </w:tcPr>
          <w:p w14:paraId="4233400D"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Chelsea Black Community  </w:t>
            </w:r>
          </w:p>
        </w:tc>
        <w:tc>
          <w:tcPr>
            <w:tcW w:w="1307" w:type="dxa"/>
            <w:noWrap/>
            <w:hideMark/>
          </w:tcPr>
          <w:p w14:paraId="432D13C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Chelsea</w:t>
            </w:r>
          </w:p>
        </w:tc>
        <w:tc>
          <w:tcPr>
            <w:tcW w:w="5640" w:type="dxa"/>
            <w:hideMark/>
          </w:tcPr>
          <w:p w14:paraId="335BB59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Cambridge, Chelsea, Medford, Somerville  </w:t>
            </w:r>
          </w:p>
        </w:tc>
      </w:tr>
      <w:tr w:rsidR="00AB52B6" w:rsidRPr="00AB52B6" w14:paraId="44065149" w14:textId="77777777" w:rsidTr="0075791C">
        <w:trPr>
          <w:trHeight w:val="300"/>
        </w:trPr>
        <w:tc>
          <w:tcPr>
            <w:tcW w:w="4113" w:type="dxa"/>
            <w:noWrap/>
            <w:hideMark/>
          </w:tcPr>
          <w:p w14:paraId="2F2D0DE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Chelsea Collaborative/La </w:t>
            </w:r>
            <w:proofErr w:type="spellStart"/>
            <w:r w:rsidRPr="00AB52B6">
              <w:rPr>
                <w:rFonts w:ascii="Cambria" w:eastAsia="Calibri" w:hAnsi="Cambria" w:cs="Times New Roman"/>
              </w:rPr>
              <w:t>Colaborativa</w:t>
            </w:r>
            <w:proofErr w:type="spellEnd"/>
            <w:r w:rsidRPr="00AB52B6">
              <w:rPr>
                <w:rFonts w:ascii="Cambria" w:eastAsia="Calibri" w:hAnsi="Cambria" w:cs="Times New Roman"/>
              </w:rPr>
              <w:t xml:space="preserve">  </w:t>
            </w:r>
          </w:p>
        </w:tc>
        <w:tc>
          <w:tcPr>
            <w:tcW w:w="1307" w:type="dxa"/>
            <w:noWrap/>
            <w:hideMark/>
          </w:tcPr>
          <w:p w14:paraId="6E7A43AE"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Chelsea</w:t>
            </w:r>
          </w:p>
        </w:tc>
        <w:tc>
          <w:tcPr>
            <w:tcW w:w="5640" w:type="dxa"/>
            <w:hideMark/>
          </w:tcPr>
          <w:p w14:paraId="63836D5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Chelsea, East Boston, Revere   </w:t>
            </w:r>
          </w:p>
        </w:tc>
      </w:tr>
      <w:tr w:rsidR="00AB52B6" w:rsidRPr="00AB52B6" w14:paraId="530D313A" w14:textId="77777777" w:rsidTr="0075791C">
        <w:trPr>
          <w:trHeight w:val="300"/>
        </w:trPr>
        <w:tc>
          <w:tcPr>
            <w:tcW w:w="4113" w:type="dxa"/>
            <w:noWrap/>
            <w:hideMark/>
          </w:tcPr>
          <w:p w14:paraId="41693D94"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Chica Project  </w:t>
            </w:r>
          </w:p>
        </w:tc>
        <w:tc>
          <w:tcPr>
            <w:tcW w:w="1307" w:type="dxa"/>
            <w:noWrap/>
            <w:hideMark/>
          </w:tcPr>
          <w:p w14:paraId="7D6C2B5B"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w:t>
            </w:r>
          </w:p>
        </w:tc>
        <w:tc>
          <w:tcPr>
            <w:tcW w:w="5640" w:type="dxa"/>
            <w:hideMark/>
          </w:tcPr>
          <w:p w14:paraId="39C84509"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 Framingham, Lawrence, Lynn  </w:t>
            </w:r>
          </w:p>
        </w:tc>
      </w:tr>
      <w:tr w:rsidR="00AB52B6" w:rsidRPr="00AB52B6" w14:paraId="6FBC2C91" w14:textId="77777777" w:rsidTr="0075791C">
        <w:trPr>
          <w:trHeight w:val="300"/>
        </w:trPr>
        <w:tc>
          <w:tcPr>
            <w:tcW w:w="4113" w:type="dxa"/>
            <w:noWrap/>
            <w:hideMark/>
          </w:tcPr>
          <w:p w14:paraId="3C26586F"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Community Economic Development Center of Southeastern Mass</w:t>
            </w:r>
          </w:p>
        </w:tc>
        <w:tc>
          <w:tcPr>
            <w:tcW w:w="1307" w:type="dxa"/>
            <w:noWrap/>
            <w:hideMark/>
          </w:tcPr>
          <w:p w14:paraId="261B766A"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New Bedford</w:t>
            </w:r>
          </w:p>
        </w:tc>
        <w:tc>
          <w:tcPr>
            <w:tcW w:w="5640" w:type="dxa"/>
            <w:noWrap/>
            <w:hideMark/>
          </w:tcPr>
          <w:p w14:paraId="069A7D0E"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Acushnet, Dartmouth, Fairhaven, New Bedford, Wareham </w:t>
            </w:r>
          </w:p>
        </w:tc>
      </w:tr>
      <w:tr w:rsidR="00AB52B6" w:rsidRPr="00AB52B6" w14:paraId="4DB0D8C3" w14:textId="77777777" w:rsidTr="0075791C">
        <w:trPr>
          <w:trHeight w:val="710"/>
        </w:trPr>
        <w:tc>
          <w:tcPr>
            <w:tcW w:w="4113" w:type="dxa"/>
            <w:noWrap/>
            <w:hideMark/>
          </w:tcPr>
          <w:p w14:paraId="2106B68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Disability Policy Consortium &amp; Boston Center for Independent Living </w:t>
            </w:r>
          </w:p>
        </w:tc>
        <w:tc>
          <w:tcPr>
            <w:tcW w:w="1307" w:type="dxa"/>
            <w:noWrap/>
            <w:hideMark/>
          </w:tcPr>
          <w:p w14:paraId="19944836"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 Malden</w:t>
            </w:r>
          </w:p>
        </w:tc>
        <w:tc>
          <w:tcPr>
            <w:tcW w:w="5640" w:type="dxa"/>
            <w:hideMark/>
          </w:tcPr>
          <w:p w14:paraId="68A2EED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 Chinatown, Dorchester, East Boston, Hyde Park, Mattapan, Mission Park, Roxbury, Ashland, Bellingham, Beverly, Chelsea, Danvers, Dover, Essex, Everett, Foxboro, Framingham, Franklin, Gloucester, Hamilton, Holliston, Hopkinton, Hudson, Ipswich, </w:t>
            </w:r>
            <w:r w:rsidRPr="00AB52B6">
              <w:rPr>
                <w:rFonts w:ascii="Cambria" w:eastAsia="Calibri" w:hAnsi="Cambria" w:cs="Times New Roman"/>
              </w:rPr>
              <w:lastRenderedPageBreak/>
              <w:t>Lynnfield, Malden, Manchester by the Sea, Marblehead, Marlboro, Maynard, Medfield, Medway, Melrose, Middleton, Millis, Nahant, Natick, Norfolk, North Reading, Peabody, Plainville, Randolph, Rockport, Rowley, Salem, Saugus, Sherborn, Southborough, Stoneham, Stow, Sudbury, Swampscott, Topsfield, Wakefield, Wayland, Wellesley, Wenham, Weston, North Shore &amp; Western Massachusetts</w:t>
            </w:r>
          </w:p>
        </w:tc>
      </w:tr>
      <w:tr w:rsidR="00AB52B6" w:rsidRPr="00AB52B6" w14:paraId="1A47BCB5" w14:textId="77777777" w:rsidTr="0075791C">
        <w:trPr>
          <w:trHeight w:val="300"/>
        </w:trPr>
        <w:tc>
          <w:tcPr>
            <w:tcW w:w="4113" w:type="dxa"/>
            <w:noWrap/>
            <w:hideMark/>
          </w:tcPr>
          <w:p w14:paraId="14788EF4"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lastRenderedPageBreak/>
              <w:t xml:space="preserve">Greater Framingham Community Church </w:t>
            </w:r>
          </w:p>
        </w:tc>
        <w:tc>
          <w:tcPr>
            <w:tcW w:w="1307" w:type="dxa"/>
            <w:noWrap/>
            <w:hideMark/>
          </w:tcPr>
          <w:p w14:paraId="7010DF8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Framingham</w:t>
            </w:r>
          </w:p>
        </w:tc>
        <w:tc>
          <w:tcPr>
            <w:tcW w:w="5640" w:type="dxa"/>
            <w:noWrap/>
            <w:hideMark/>
          </w:tcPr>
          <w:p w14:paraId="525B794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Ashland, Framingham, Natick, Marlboro</w:t>
            </w:r>
          </w:p>
        </w:tc>
      </w:tr>
      <w:tr w:rsidR="00AB52B6" w:rsidRPr="00AB52B6" w14:paraId="335E6F09" w14:textId="77777777" w:rsidTr="0075791C">
        <w:trPr>
          <w:trHeight w:val="300"/>
        </w:trPr>
        <w:tc>
          <w:tcPr>
            <w:tcW w:w="4113" w:type="dxa"/>
            <w:noWrap/>
            <w:hideMark/>
          </w:tcPr>
          <w:p w14:paraId="4D1F3C87"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Greater Lawrence Community Action Council  </w:t>
            </w:r>
          </w:p>
        </w:tc>
        <w:tc>
          <w:tcPr>
            <w:tcW w:w="1307" w:type="dxa"/>
            <w:noWrap/>
            <w:hideMark/>
          </w:tcPr>
          <w:p w14:paraId="4261D98A"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Lawrence</w:t>
            </w:r>
          </w:p>
        </w:tc>
        <w:tc>
          <w:tcPr>
            <w:tcW w:w="5640" w:type="dxa"/>
            <w:noWrap/>
            <w:hideMark/>
          </w:tcPr>
          <w:p w14:paraId="3EE35C73"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Lawrence, Methuen  </w:t>
            </w:r>
          </w:p>
        </w:tc>
      </w:tr>
      <w:tr w:rsidR="00AB52B6" w:rsidRPr="00AB52B6" w14:paraId="7D920F2D" w14:textId="77777777" w:rsidTr="0075791C">
        <w:trPr>
          <w:trHeight w:val="300"/>
        </w:trPr>
        <w:tc>
          <w:tcPr>
            <w:tcW w:w="4113" w:type="dxa"/>
            <w:noWrap/>
            <w:hideMark/>
          </w:tcPr>
          <w:p w14:paraId="48D67C2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Greater Lowell Health Alliance  </w:t>
            </w:r>
          </w:p>
        </w:tc>
        <w:tc>
          <w:tcPr>
            <w:tcW w:w="1307" w:type="dxa"/>
            <w:noWrap/>
            <w:hideMark/>
          </w:tcPr>
          <w:p w14:paraId="6765630B"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Lowell</w:t>
            </w:r>
          </w:p>
        </w:tc>
        <w:tc>
          <w:tcPr>
            <w:tcW w:w="5640" w:type="dxa"/>
            <w:noWrap/>
            <w:hideMark/>
          </w:tcPr>
          <w:p w14:paraId="37958167"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Chelmsford, Dracut, Lowell, Tewksbury, Tyngsboro, Westford</w:t>
            </w:r>
          </w:p>
        </w:tc>
      </w:tr>
      <w:tr w:rsidR="00AB52B6" w:rsidRPr="00AB52B6" w14:paraId="6E53CEDC" w14:textId="77777777" w:rsidTr="0075791C">
        <w:trPr>
          <w:trHeight w:val="300"/>
        </w:trPr>
        <w:tc>
          <w:tcPr>
            <w:tcW w:w="4113" w:type="dxa"/>
            <w:noWrap/>
            <w:hideMark/>
          </w:tcPr>
          <w:p w14:paraId="675D2B7B" w14:textId="77777777" w:rsidR="00AB52B6" w:rsidRPr="00AB52B6" w:rsidRDefault="00AB52B6" w:rsidP="00AB52B6">
            <w:pPr>
              <w:spacing w:after="160" w:line="259" w:lineRule="auto"/>
              <w:rPr>
                <w:rFonts w:ascii="Cambria" w:eastAsia="Calibri" w:hAnsi="Cambria" w:cs="Times New Roman"/>
              </w:rPr>
            </w:pPr>
            <w:proofErr w:type="spellStart"/>
            <w:r w:rsidRPr="00AB52B6">
              <w:rPr>
                <w:rFonts w:ascii="Cambria" w:eastAsia="Calibri" w:hAnsi="Cambria" w:cs="Times New Roman"/>
              </w:rPr>
              <w:t>GreenRoots</w:t>
            </w:r>
            <w:proofErr w:type="spellEnd"/>
            <w:r w:rsidRPr="00AB52B6">
              <w:rPr>
                <w:rFonts w:ascii="Cambria" w:eastAsia="Calibri" w:hAnsi="Cambria" w:cs="Times New Roman"/>
              </w:rPr>
              <w:t xml:space="preserve">  </w:t>
            </w:r>
          </w:p>
        </w:tc>
        <w:tc>
          <w:tcPr>
            <w:tcW w:w="1307" w:type="dxa"/>
            <w:noWrap/>
            <w:hideMark/>
          </w:tcPr>
          <w:p w14:paraId="7C59EA84"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Chelsea</w:t>
            </w:r>
          </w:p>
        </w:tc>
        <w:tc>
          <w:tcPr>
            <w:tcW w:w="5640" w:type="dxa"/>
            <w:hideMark/>
          </w:tcPr>
          <w:p w14:paraId="2086CC2E"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Chelsea, East Boston </w:t>
            </w:r>
          </w:p>
        </w:tc>
      </w:tr>
      <w:tr w:rsidR="00AB52B6" w:rsidRPr="00AB52B6" w14:paraId="12620D2F" w14:textId="77777777" w:rsidTr="0075791C">
        <w:trPr>
          <w:trHeight w:val="300"/>
        </w:trPr>
        <w:tc>
          <w:tcPr>
            <w:tcW w:w="4113" w:type="dxa"/>
            <w:noWrap/>
            <w:hideMark/>
          </w:tcPr>
          <w:p w14:paraId="2033B91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Immigrants Assistance Center </w:t>
            </w:r>
          </w:p>
        </w:tc>
        <w:tc>
          <w:tcPr>
            <w:tcW w:w="1307" w:type="dxa"/>
            <w:noWrap/>
            <w:hideMark/>
          </w:tcPr>
          <w:p w14:paraId="7B4FB7C9"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New Bedford</w:t>
            </w:r>
          </w:p>
        </w:tc>
        <w:tc>
          <w:tcPr>
            <w:tcW w:w="5640" w:type="dxa"/>
            <w:hideMark/>
          </w:tcPr>
          <w:p w14:paraId="3C4A8877"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Fall River, New Bedford  </w:t>
            </w:r>
          </w:p>
        </w:tc>
      </w:tr>
      <w:tr w:rsidR="00AB52B6" w:rsidRPr="00AB52B6" w14:paraId="4A0255AF" w14:textId="77777777" w:rsidTr="0075791C">
        <w:trPr>
          <w:trHeight w:val="300"/>
        </w:trPr>
        <w:tc>
          <w:tcPr>
            <w:tcW w:w="4113" w:type="dxa"/>
            <w:noWrap/>
            <w:hideMark/>
          </w:tcPr>
          <w:p w14:paraId="56A07048"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International Institute of New England, Inc.</w:t>
            </w:r>
          </w:p>
        </w:tc>
        <w:tc>
          <w:tcPr>
            <w:tcW w:w="1307" w:type="dxa"/>
            <w:noWrap/>
            <w:hideMark/>
          </w:tcPr>
          <w:p w14:paraId="64005A7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w:t>
            </w:r>
          </w:p>
        </w:tc>
        <w:tc>
          <w:tcPr>
            <w:tcW w:w="5640" w:type="dxa"/>
            <w:hideMark/>
          </w:tcPr>
          <w:p w14:paraId="7C9A642F"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–Chelsea Everett, Lawrence, Lowell, Lynn, Malden, Revere,  </w:t>
            </w:r>
          </w:p>
        </w:tc>
      </w:tr>
      <w:tr w:rsidR="00AB52B6" w:rsidRPr="00AB52B6" w14:paraId="67DA49A2" w14:textId="77777777" w:rsidTr="0075791C">
        <w:trPr>
          <w:trHeight w:val="600"/>
        </w:trPr>
        <w:tc>
          <w:tcPr>
            <w:tcW w:w="4113" w:type="dxa"/>
            <w:noWrap/>
            <w:hideMark/>
          </w:tcPr>
          <w:p w14:paraId="569E0918"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JAHAN Women and Youth International </w:t>
            </w:r>
          </w:p>
        </w:tc>
        <w:tc>
          <w:tcPr>
            <w:tcW w:w="1307" w:type="dxa"/>
            <w:noWrap/>
            <w:hideMark/>
          </w:tcPr>
          <w:p w14:paraId="07CFB47D"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w:t>
            </w:r>
          </w:p>
        </w:tc>
        <w:tc>
          <w:tcPr>
            <w:tcW w:w="5640" w:type="dxa"/>
            <w:hideMark/>
          </w:tcPr>
          <w:p w14:paraId="464BDFEC"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Brockton, Cambridge, Chelsea, Everett, Framingham, Lowell, Lynn, Malden, Medford, Revere, Somerville Springfield, Worcester  </w:t>
            </w:r>
          </w:p>
        </w:tc>
      </w:tr>
      <w:tr w:rsidR="00AB52B6" w:rsidRPr="00AB52B6" w14:paraId="4F385EE1" w14:textId="77777777" w:rsidTr="0075791C">
        <w:trPr>
          <w:trHeight w:val="300"/>
        </w:trPr>
        <w:tc>
          <w:tcPr>
            <w:tcW w:w="4113" w:type="dxa"/>
            <w:noWrap/>
            <w:hideMark/>
          </w:tcPr>
          <w:p w14:paraId="3C47B11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Jewish Family Service of </w:t>
            </w:r>
            <w:proofErr w:type="spellStart"/>
            <w:r w:rsidRPr="00AB52B6">
              <w:rPr>
                <w:rFonts w:ascii="Cambria" w:eastAsia="Calibri" w:hAnsi="Cambria" w:cs="Times New Roman"/>
              </w:rPr>
              <w:t>Metrowest</w:t>
            </w:r>
            <w:proofErr w:type="spellEnd"/>
            <w:r w:rsidRPr="00AB52B6">
              <w:rPr>
                <w:rFonts w:ascii="Cambria" w:eastAsia="Calibri" w:hAnsi="Cambria" w:cs="Times New Roman"/>
              </w:rPr>
              <w:t xml:space="preserve">  </w:t>
            </w:r>
          </w:p>
        </w:tc>
        <w:tc>
          <w:tcPr>
            <w:tcW w:w="1307" w:type="dxa"/>
            <w:noWrap/>
            <w:hideMark/>
          </w:tcPr>
          <w:p w14:paraId="2561355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Framingham</w:t>
            </w:r>
          </w:p>
        </w:tc>
        <w:tc>
          <w:tcPr>
            <w:tcW w:w="5640" w:type="dxa"/>
            <w:noWrap/>
            <w:hideMark/>
          </w:tcPr>
          <w:p w14:paraId="1D47313B"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Framingham, Marlborough, Milford </w:t>
            </w:r>
          </w:p>
        </w:tc>
      </w:tr>
      <w:tr w:rsidR="00AB52B6" w:rsidRPr="00AB52B6" w14:paraId="2AC1103D" w14:textId="77777777" w:rsidTr="0075791C">
        <w:trPr>
          <w:trHeight w:val="600"/>
        </w:trPr>
        <w:tc>
          <w:tcPr>
            <w:tcW w:w="4113" w:type="dxa"/>
            <w:noWrap/>
            <w:hideMark/>
          </w:tcPr>
          <w:p w14:paraId="409CAB4A"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Justice for Housing </w:t>
            </w:r>
          </w:p>
        </w:tc>
        <w:tc>
          <w:tcPr>
            <w:tcW w:w="1307" w:type="dxa"/>
            <w:noWrap/>
            <w:hideMark/>
          </w:tcPr>
          <w:p w14:paraId="55640FA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w:t>
            </w:r>
          </w:p>
        </w:tc>
        <w:tc>
          <w:tcPr>
            <w:tcW w:w="5640" w:type="dxa"/>
            <w:hideMark/>
          </w:tcPr>
          <w:p w14:paraId="7AB91E0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 Chinatown, Dorchester, East Boston, Hyde Park, Mattapan, Mission Hill, Roxbury, Brockton, Chelsea, Everett, Framingham, Lawrence, Lowell, Lynn, Malden, Randolph, Revere  </w:t>
            </w:r>
          </w:p>
        </w:tc>
      </w:tr>
      <w:tr w:rsidR="00AB52B6" w:rsidRPr="00AB52B6" w14:paraId="6B672128" w14:textId="77777777" w:rsidTr="0075791C">
        <w:trPr>
          <w:trHeight w:val="300"/>
        </w:trPr>
        <w:tc>
          <w:tcPr>
            <w:tcW w:w="4113" w:type="dxa"/>
            <w:noWrap/>
            <w:hideMark/>
          </w:tcPr>
          <w:p w14:paraId="4B98C203"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Latinos Unidos </w:t>
            </w:r>
            <w:proofErr w:type="spellStart"/>
            <w:r w:rsidRPr="00AB52B6">
              <w:rPr>
                <w:rFonts w:ascii="Cambria" w:eastAsia="Calibri" w:hAnsi="Cambria" w:cs="Times New Roman"/>
              </w:rPr>
              <w:t>en</w:t>
            </w:r>
            <w:proofErr w:type="spellEnd"/>
            <w:r w:rsidRPr="00AB52B6">
              <w:rPr>
                <w:rFonts w:ascii="Cambria" w:eastAsia="Calibri" w:hAnsi="Cambria" w:cs="Times New Roman"/>
              </w:rPr>
              <w:t xml:space="preserve"> Massachusetts (LUMA)  </w:t>
            </w:r>
          </w:p>
        </w:tc>
        <w:tc>
          <w:tcPr>
            <w:tcW w:w="1307" w:type="dxa"/>
            <w:noWrap/>
            <w:hideMark/>
          </w:tcPr>
          <w:p w14:paraId="3E57BC5D"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Everett</w:t>
            </w:r>
          </w:p>
        </w:tc>
        <w:tc>
          <w:tcPr>
            <w:tcW w:w="5640" w:type="dxa"/>
            <w:hideMark/>
          </w:tcPr>
          <w:p w14:paraId="46E21C5E"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 East Boston; Everett, Malden, Revere   </w:t>
            </w:r>
          </w:p>
        </w:tc>
      </w:tr>
      <w:tr w:rsidR="00AB52B6" w:rsidRPr="00AB52B6" w14:paraId="39884979" w14:textId="77777777" w:rsidTr="0075791C">
        <w:trPr>
          <w:trHeight w:val="300"/>
        </w:trPr>
        <w:tc>
          <w:tcPr>
            <w:tcW w:w="4113" w:type="dxa"/>
            <w:noWrap/>
            <w:hideMark/>
          </w:tcPr>
          <w:p w14:paraId="6E6FE1A8"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Lawrence Community Works </w:t>
            </w:r>
          </w:p>
        </w:tc>
        <w:tc>
          <w:tcPr>
            <w:tcW w:w="1307" w:type="dxa"/>
            <w:noWrap/>
            <w:hideMark/>
          </w:tcPr>
          <w:p w14:paraId="5530DA0C"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Lawrence</w:t>
            </w:r>
          </w:p>
        </w:tc>
        <w:tc>
          <w:tcPr>
            <w:tcW w:w="5640" w:type="dxa"/>
            <w:noWrap/>
            <w:hideMark/>
          </w:tcPr>
          <w:p w14:paraId="4E29ED7A"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Lawrence</w:t>
            </w:r>
          </w:p>
        </w:tc>
      </w:tr>
      <w:tr w:rsidR="00AB52B6" w:rsidRPr="00AB52B6" w14:paraId="2BFAC9A6" w14:textId="77777777" w:rsidTr="0075791C">
        <w:trPr>
          <w:trHeight w:val="300"/>
        </w:trPr>
        <w:tc>
          <w:tcPr>
            <w:tcW w:w="4113" w:type="dxa"/>
            <w:noWrap/>
            <w:hideMark/>
          </w:tcPr>
          <w:p w14:paraId="3C776CDE"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Leo Inc.  </w:t>
            </w:r>
          </w:p>
        </w:tc>
        <w:tc>
          <w:tcPr>
            <w:tcW w:w="1307" w:type="dxa"/>
            <w:noWrap/>
            <w:hideMark/>
          </w:tcPr>
          <w:p w14:paraId="4C98462E"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Lynn</w:t>
            </w:r>
          </w:p>
        </w:tc>
        <w:tc>
          <w:tcPr>
            <w:tcW w:w="5640" w:type="dxa"/>
            <w:noWrap/>
            <w:hideMark/>
          </w:tcPr>
          <w:p w14:paraId="08C9422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Lynn</w:t>
            </w:r>
          </w:p>
        </w:tc>
      </w:tr>
      <w:tr w:rsidR="00AB52B6" w:rsidRPr="00AB52B6" w14:paraId="44330498" w14:textId="77777777" w:rsidTr="0075791C">
        <w:trPr>
          <w:trHeight w:val="300"/>
        </w:trPr>
        <w:tc>
          <w:tcPr>
            <w:tcW w:w="4113" w:type="dxa"/>
            <w:noWrap/>
            <w:hideMark/>
          </w:tcPr>
          <w:p w14:paraId="4F16C117"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Massachusetts Alliance of Portuguese Speakers  </w:t>
            </w:r>
          </w:p>
        </w:tc>
        <w:tc>
          <w:tcPr>
            <w:tcW w:w="1307" w:type="dxa"/>
            <w:noWrap/>
            <w:hideMark/>
          </w:tcPr>
          <w:p w14:paraId="36FA7CC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Cambridge </w:t>
            </w:r>
          </w:p>
        </w:tc>
        <w:tc>
          <w:tcPr>
            <w:tcW w:w="5640" w:type="dxa"/>
            <w:hideMark/>
          </w:tcPr>
          <w:p w14:paraId="4290B31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 Cambridge, Everett, Framingham, Lawrence, Lowell, Lynn, Malden, Methuen, Revere  </w:t>
            </w:r>
          </w:p>
        </w:tc>
      </w:tr>
      <w:tr w:rsidR="00AB52B6" w:rsidRPr="00AB52B6" w14:paraId="7AE1D683" w14:textId="77777777" w:rsidTr="0075791C">
        <w:trPr>
          <w:trHeight w:val="600"/>
        </w:trPr>
        <w:tc>
          <w:tcPr>
            <w:tcW w:w="4113" w:type="dxa"/>
            <w:noWrap/>
            <w:hideMark/>
          </w:tcPr>
          <w:p w14:paraId="74441E7F"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Massachusetts Council of Churches </w:t>
            </w:r>
          </w:p>
        </w:tc>
        <w:tc>
          <w:tcPr>
            <w:tcW w:w="1307" w:type="dxa"/>
            <w:noWrap/>
            <w:hideMark/>
          </w:tcPr>
          <w:p w14:paraId="7452E1D3"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w:t>
            </w:r>
          </w:p>
        </w:tc>
        <w:tc>
          <w:tcPr>
            <w:tcW w:w="5640" w:type="dxa"/>
            <w:hideMark/>
          </w:tcPr>
          <w:p w14:paraId="2AAE46E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Attleboro, Brockton, Cambridge, Fall River, Haverhill, Natick, New Bedford</w:t>
            </w:r>
            <w:proofErr w:type="gramStart"/>
            <w:r w:rsidRPr="00AB52B6">
              <w:rPr>
                <w:rFonts w:ascii="Cambria" w:eastAsia="Calibri" w:hAnsi="Cambria" w:cs="Times New Roman"/>
              </w:rPr>
              <w:t>, ,</w:t>
            </w:r>
            <w:proofErr w:type="gramEnd"/>
            <w:r w:rsidRPr="00AB52B6">
              <w:rPr>
                <w:rFonts w:ascii="Cambria" w:eastAsia="Calibri" w:hAnsi="Cambria" w:cs="Times New Roman"/>
              </w:rPr>
              <w:t xml:space="preserve"> Northampton, Pittsfield, Stoneham, Statewide </w:t>
            </w:r>
          </w:p>
        </w:tc>
      </w:tr>
      <w:tr w:rsidR="00AB52B6" w:rsidRPr="00AB52B6" w14:paraId="296A5019" w14:textId="77777777" w:rsidTr="0075791C">
        <w:trPr>
          <w:trHeight w:val="300"/>
        </w:trPr>
        <w:tc>
          <w:tcPr>
            <w:tcW w:w="4113" w:type="dxa"/>
            <w:noWrap/>
            <w:hideMark/>
          </w:tcPr>
          <w:p w14:paraId="44EF694F" w14:textId="77777777" w:rsidR="00AB52B6" w:rsidRPr="00AB52B6" w:rsidRDefault="00AB52B6" w:rsidP="00AB52B6">
            <w:pPr>
              <w:spacing w:after="160" w:line="259" w:lineRule="auto"/>
              <w:rPr>
                <w:rFonts w:ascii="Cambria" w:eastAsia="Calibri" w:hAnsi="Cambria" w:cs="Times New Roman"/>
              </w:rPr>
            </w:pPr>
            <w:proofErr w:type="spellStart"/>
            <w:r w:rsidRPr="00AB52B6">
              <w:rPr>
                <w:rFonts w:ascii="Cambria" w:eastAsia="Calibri" w:hAnsi="Cambria" w:cs="Times New Roman"/>
              </w:rPr>
              <w:t>MissionSafe</w:t>
            </w:r>
            <w:proofErr w:type="spellEnd"/>
            <w:r w:rsidRPr="00AB52B6">
              <w:rPr>
                <w:rFonts w:ascii="Cambria" w:eastAsia="Calibri" w:hAnsi="Cambria" w:cs="Times New Roman"/>
              </w:rPr>
              <w:t xml:space="preserve"> A New Beginning  </w:t>
            </w:r>
          </w:p>
        </w:tc>
        <w:tc>
          <w:tcPr>
            <w:tcW w:w="1307" w:type="dxa"/>
            <w:noWrap/>
            <w:hideMark/>
          </w:tcPr>
          <w:p w14:paraId="2FA7D02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w:t>
            </w:r>
          </w:p>
        </w:tc>
        <w:tc>
          <w:tcPr>
            <w:tcW w:w="5640" w:type="dxa"/>
            <w:hideMark/>
          </w:tcPr>
          <w:p w14:paraId="53E8EA1D"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Roxbury </w:t>
            </w:r>
          </w:p>
        </w:tc>
      </w:tr>
      <w:tr w:rsidR="00AB52B6" w:rsidRPr="00AB52B6" w14:paraId="7B95D778" w14:textId="77777777" w:rsidTr="0075791C">
        <w:trPr>
          <w:trHeight w:val="300"/>
        </w:trPr>
        <w:tc>
          <w:tcPr>
            <w:tcW w:w="4113" w:type="dxa"/>
            <w:noWrap/>
            <w:hideMark/>
          </w:tcPr>
          <w:p w14:paraId="6E8FA8B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Multicultural AIDS Coalition  </w:t>
            </w:r>
          </w:p>
        </w:tc>
        <w:tc>
          <w:tcPr>
            <w:tcW w:w="1307" w:type="dxa"/>
            <w:noWrap/>
            <w:hideMark/>
          </w:tcPr>
          <w:p w14:paraId="184797CC"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 (Roxbury)</w:t>
            </w:r>
          </w:p>
        </w:tc>
        <w:tc>
          <w:tcPr>
            <w:tcW w:w="5640" w:type="dxa"/>
            <w:hideMark/>
          </w:tcPr>
          <w:p w14:paraId="0D972C94"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 Dorchester, Hyde Park, Mattapan, Mission Hill, Roxbury   </w:t>
            </w:r>
          </w:p>
        </w:tc>
      </w:tr>
      <w:tr w:rsidR="00AB52B6" w:rsidRPr="00AB52B6" w14:paraId="585782CB" w14:textId="77777777" w:rsidTr="0075791C">
        <w:trPr>
          <w:trHeight w:val="300"/>
        </w:trPr>
        <w:tc>
          <w:tcPr>
            <w:tcW w:w="4113" w:type="dxa"/>
            <w:noWrap/>
            <w:hideMark/>
          </w:tcPr>
          <w:p w14:paraId="3E780F27"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New American Association of Massachusetts  </w:t>
            </w:r>
          </w:p>
        </w:tc>
        <w:tc>
          <w:tcPr>
            <w:tcW w:w="1307" w:type="dxa"/>
            <w:noWrap/>
            <w:hideMark/>
          </w:tcPr>
          <w:p w14:paraId="1EEA2F0D"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Lynn</w:t>
            </w:r>
          </w:p>
        </w:tc>
        <w:tc>
          <w:tcPr>
            <w:tcW w:w="5640" w:type="dxa"/>
            <w:noWrap/>
            <w:hideMark/>
          </w:tcPr>
          <w:p w14:paraId="191BBE1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Lynn, Lowell, Malden, Peabody, Revere, Salem, Saugus </w:t>
            </w:r>
          </w:p>
        </w:tc>
      </w:tr>
      <w:tr w:rsidR="00AB52B6" w:rsidRPr="00AB52B6" w14:paraId="2DA8DA24" w14:textId="77777777" w:rsidTr="0075791C">
        <w:trPr>
          <w:trHeight w:val="300"/>
        </w:trPr>
        <w:tc>
          <w:tcPr>
            <w:tcW w:w="4113" w:type="dxa"/>
            <w:noWrap/>
            <w:hideMark/>
          </w:tcPr>
          <w:p w14:paraId="30417FD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lastRenderedPageBreak/>
              <w:t xml:space="preserve">New Life Community Empowerment Center  </w:t>
            </w:r>
          </w:p>
        </w:tc>
        <w:tc>
          <w:tcPr>
            <w:tcW w:w="1307" w:type="dxa"/>
            <w:noWrap/>
            <w:hideMark/>
          </w:tcPr>
          <w:p w14:paraId="5BD10EC6"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Brockton</w:t>
            </w:r>
          </w:p>
        </w:tc>
        <w:tc>
          <w:tcPr>
            <w:tcW w:w="5640" w:type="dxa"/>
            <w:hideMark/>
          </w:tcPr>
          <w:p w14:paraId="7E30B55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Brockton, Fall River, New Bedford, Randolph, Taunton, Wareham </w:t>
            </w:r>
          </w:p>
        </w:tc>
      </w:tr>
      <w:tr w:rsidR="00AB52B6" w:rsidRPr="00AB52B6" w14:paraId="3B2A45AF" w14:textId="77777777" w:rsidTr="0075791C">
        <w:trPr>
          <w:trHeight w:val="300"/>
        </w:trPr>
        <w:tc>
          <w:tcPr>
            <w:tcW w:w="4113" w:type="dxa"/>
            <w:noWrap/>
            <w:hideMark/>
          </w:tcPr>
          <w:p w14:paraId="41C55857"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New North Citizens Council  </w:t>
            </w:r>
          </w:p>
        </w:tc>
        <w:tc>
          <w:tcPr>
            <w:tcW w:w="1307" w:type="dxa"/>
            <w:noWrap/>
            <w:hideMark/>
          </w:tcPr>
          <w:p w14:paraId="4ADAE376"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Springfield</w:t>
            </w:r>
          </w:p>
        </w:tc>
        <w:tc>
          <w:tcPr>
            <w:tcW w:w="5640" w:type="dxa"/>
            <w:noWrap/>
            <w:hideMark/>
          </w:tcPr>
          <w:p w14:paraId="4A55083F"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Chicopee, Springfield  </w:t>
            </w:r>
          </w:p>
        </w:tc>
      </w:tr>
      <w:tr w:rsidR="00AB52B6" w:rsidRPr="00AB52B6" w14:paraId="196566E8" w14:textId="77777777" w:rsidTr="0075791C">
        <w:trPr>
          <w:trHeight w:val="300"/>
        </w:trPr>
        <w:tc>
          <w:tcPr>
            <w:tcW w:w="4113" w:type="dxa"/>
            <w:noWrap/>
            <w:hideMark/>
          </w:tcPr>
          <w:p w14:paraId="5FC01A8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North Shore Latino Business Association  </w:t>
            </w:r>
          </w:p>
        </w:tc>
        <w:tc>
          <w:tcPr>
            <w:tcW w:w="1307" w:type="dxa"/>
            <w:noWrap/>
            <w:hideMark/>
          </w:tcPr>
          <w:p w14:paraId="67C6594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Lynn</w:t>
            </w:r>
          </w:p>
        </w:tc>
        <w:tc>
          <w:tcPr>
            <w:tcW w:w="5640" w:type="dxa"/>
            <w:hideMark/>
          </w:tcPr>
          <w:p w14:paraId="3F5ACC89"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Chelsea, Lynn, Revere   </w:t>
            </w:r>
          </w:p>
        </w:tc>
      </w:tr>
      <w:tr w:rsidR="00AB52B6" w:rsidRPr="00AB52B6" w14:paraId="7ADAB653" w14:textId="77777777" w:rsidTr="0075791C">
        <w:trPr>
          <w:trHeight w:val="300"/>
        </w:trPr>
        <w:tc>
          <w:tcPr>
            <w:tcW w:w="4113" w:type="dxa"/>
            <w:noWrap/>
            <w:hideMark/>
          </w:tcPr>
          <w:p w14:paraId="6229A287" w14:textId="77777777" w:rsidR="00AB52B6" w:rsidRPr="00AB52B6" w:rsidRDefault="00AB52B6" w:rsidP="00AB52B6">
            <w:pPr>
              <w:spacing w:after="160" w:line="259" w:lineRule="auto"/>
              <w:rPr>
                <w:rFonts w:ascii="Cambria" w:eastAsia="Calibri" w:hAnsi="Cambria" w:cs="Times New Roman"/>
              </w:rPr>
            </w:pPr>
            <w:proofErr w:type="spellStart"/>
            <w:r w:rsidRPr="00AB52B6">
              <w:rPr>
                <w:rFonts w:ascii="Cambria" w:eastAsia="Calibri" w:hAnsi="Cambria" w:cs="Times New Roman"/>
              </w:rPr>
              <w:t>OneHolyoke</w:t>
            </w:r>
            <w:proofErr w:type="spellEnd"/>
            <w:r w:rsidRPr="00AB52B6">
              <w:rPr>
                <w:rFonts w:ascii="Cambria" w:eastAsia="Calibri" w:hAnsi="Cambria" w:cs="Times New Roman"/>
              </w:rPr>
              <w:t xml:space="preserve"> Community Development Corporation  </w:t>
            </w:r>
          </w:p>
        </w:tc>
        <w:tc>
          <w:tcPr>
            <w:tcW w:w="1307" w:type="dxa"/>
            <w:noWrap/>
            <w:hideMark/>
          </w:tcPr>
          <w:p w14:paraId="724D037C"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Holyoke</w:t>
            </w:r>
          </w:p>
        </w:tc>
        <w:tc>
          <w:tcPr>
            <w:tcW w:w="5640" w:type="dxa"/>
            <w:noWrap/>
            <w:hideMark/>
          </w:tcPr>
          <w:p w14:paraId="0F8BA236"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Greenfield, Holyoke, Northampton, Turner Falls  </w:t>
            </w:r>
          </w:p>
        </w:tc>
      </w:tr>
      <w:tr w:rsidR="00AB52B6" w:rsidRPr="00AB52B6" w14:paraId="48C33E4F" w14:textId="77777777" w:rsidTr="0075791C">
        <w:trPr>
          <w:trHeight w:val="300"/>
        </w:trPr>
        <w:tc>
          <w:tcPr>
            <w:tcW w:w="4113" w:type="dxa"/>
            <w:noWrap/>
            <w:hideMark/>
          </w:tcPr>
          <w:p w14:paraId="33917DA6"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Pinnacle Partnership Corp  </w:t>
            </w:r>
          </w:p>
        </w:tc>
        <w:tc>
          <w:tcPr>
            <w:tcW w:w="1307" w:type="dxa"/>
            <w:noWrap/>
            <w:hideMark/>
          </w:tcPr>
          <w:p w14:paraId="6F8E079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Brockton</w:t>
            </w:r>
          </w:p>
        </w:tc>
        <w:tc>
          <w:tcPr>
            <w:tcW w:w="5640" w:type="dxa"/>
            <w:hideMark/>
          </w:tcPr>
          <w:p w14:paraId="36C543B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Brockton </w:t>
            </w:r>
          </w:p>
        </w:tc>
      </w:tr>
      <w:tr w:rsidR="00AB52B6" w:rsidRPr="00AB52B6" w14:paraId="6AE8FCC1" w14:textId="77777777" w:rsidTr="0075791C">
        <w:trPr>
          <w:trHeight w:val="300"/>
        </w:trPr>
        <w:tc>
          <w:tcPr>
            <w:tcW w:w="4113" w:type="dxa"/>
            <w:noWrap/>
            <w:hideMark/>
          </w:tcPr>
          <w:p w14:paraId="053A4873"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Pioneer Valley Project </w:t>
            </w:r>
          </w:p>
        </w:tc>
        <w:tc>
          <w:tcPr>
            <w:tcW w:w="1307" w:type="dxa"/>
            <w:noWrap/>
            <w:hideMark/>
          </w:tcPr>
          <w:p w14:paraId="27FA1EE6"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Springfield</w:t>
            </w:r>
          </w:p>
        </w:tc>
        <w:tc>
          <w:tcPr>
            <w:tcW w:w="5640" w:type="dxa"/>
            <w:noWrap/>
            <w:hideMark/>
          </w:tcPr>
          <w:p w14:paraId="41801D18"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Chicopee, Springfield, West Springfield</w:t>
            </w:r>
          </w:p>
        </w:tc>
      </w:tr>
      <w:tr w:rsidR="00AB52B6" w:rsidRPr="00AB52B6" w14:paraId="0DBA8122" w14:textId="77777777" w:rsidTr="0075791C">
        <w:trPr>
          <w:trHeight w:val="300"/>
        </w:trPr>
        <w:tc>
          <w:tcPr>
            <w:tcW w:w="4113" w:type="dxa"/>
            <w:noWrap/>
            <w:hideMark/>
          </w:tcPr>
          <w:p w14:paraId="07356C8E"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Randolph Community Partnership </w:t>
            </w:r>
          </w:p>
        </w:tc>
        <w:tc>
          <w:tcPr>
            <w:tcW w:w="1307" w:type="dxa"/>
            <w:noWrap/>
            <w:hideMark/>
          </w:tcPr>
          <w:p w14:paraId="2792418E"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Randolph</w:t>
            </w:r>
          </w:p>
        </w:tc>
        <w:tc>
          <w:tcPr>
            <w:tcW w:w="5640" w:type="dxa"/>
            <w:noWrap/>
            <w:hideMark/>
          </w:tcPr>
          <w:p w14:paraId="30E9A061"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Avon, Holbrook, Randolph, Stoughton</w:t>
            </w:r>
          </w:p>
        </w:tc>
      </w:tr>
      <w:tr w:rsidR="00AB52B6" w:rsidRPr="00AB52B6" w14:paraId="00807E70" w14:textId="77777777" w:rsidTr="0075791C">
        <w:trPr>
          <w:trHeight w:val="300"/>
        </w:trPr>
        <w:tc>
          <w:tcPr>
            <w:tcW w:w="4113" w:type="dxa"/>
            <w:noWrap/>
            <w:hideMark/>
          </w:tcPr>
          <w:p w14:paraId="46F8AB4D"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Sociedad Latina </w:t>
            </w:r>
          </w:p>
        </w:tc>
        <w:tc>
          <w:tcPr>
            <w:tcW w:w="1307" w:type="dxa"/>
            <w:noWrap/>
            <w:hideMark/>
          </w:tcPr>
          <w:p w14:paraId="4CD07A6B"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w:t>
            </w:r>
          </w:p>
        </w:tc>
        <w:tc>
          <w:tcPr>
            <w:tcW w:w="5640" w:type="dxa"/>
            <w:hideMark/>
          </w:tcPr>
          <w:p w14:paraId="74F545B7"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 Dorchester, East Boston, Mission Hill, Roxbury  </w:t>
            </w:r>
          </w:p>
        </w:tc>
      </w:tr>
      <w:tr w:rsidR="00AB52B6" w:rsidRPr="00AB52B6" w14:paraId="7878D9AC" w14:textId="77777777" w:rsidTr="0075791C">
        <w:trPr>
          <w:trHeight w:val="300"/>
        </w:trPr>
        <w:tc>
          <w:tcPr>
            <w:tcW w:w="4113" w:type="dxa"/>
            <w:noWrap/>
            <w:hideMark/>
          </w:tcPr>
          <w:p w14:paraId="5C7F3307"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Somali Parents Advocacy Center for Education (SPACE)  </w:t>
            </w:r>
          </w:p>
        </w:tc>
        <w:tc>
          <w:tcPr>
            <w:tcW w:w="1307" w:type="dxa"/>
            <w:noWrap/>
            <w:hideMark/>
          </w:tcPr>
          <w:p w14:paraId="16D5710F"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w:t>
            </w:r>
          </w:p>
        </w:tc>
        <w:tc>
          <w:tcPr>
            <w:tcW w:w="5640" w:type="dxa"/>
            <w:hideMark/>
          </w:tcPr>
          <w:p w14:paraId="155EFF67"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-Dorchester, Jamaica Plain, Roxbury, Everett, Lowell, Lynn, Malden </w:t>
            </w:r>
          </w:p>
        </w:tc>
      </w:tr>
      <w:tr w:rsidR="00AB52B6" w:rsidRPr="00AB52B6" w14:paraId="6C17EF00" w14:textId="77777777" w:rsidTr="0075791C">
        <w:trPr>
          <w:trHeight w:val="300"/>
        </w:trPr>
        <w:tc>
          <w:tcPr>
            <w:tcW w:w="4113" w:type="dxa"/>
            <w:noWrap/>
            <w:hideMark/>
          </w:tcPr>
          <w:p w14:paraId="4F4391B8"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Southeast Asian Coalition of Central Massachusetts </w:t>
            </w:r>
          </w:p>
        </w:tc>
        <w:tc>
          <w:tcPr>
            <w:tcW w:w="1307" w:type="dxa"/>
            <w:noWrap/>
            <w:hideMark/>
          </w:tcPr>
          <w:p w14:paraId="6E3A31F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Worcester</w:t>
            </w:r>
          </w:p>
        </w:tc>
        <w:tc>
          <w:tcPr>
            <w:tcW w:w="5640" w:type="dxa"/>
            <w:noWrap/>
            <w:hideMark/>
          </w:tcPr>
          <w:p w14:paraId="499B7658"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Auburn, Boylston, Fitchburg, Worcester</w:t>
            </w:r>
          </w:p>
        </w:tc>
      </w:tr>
      <w:tr w:rsidR="00AB52B6" w:rsidRPr="00AB52B6" w14:paraId="205D4EC6" w14:textId="77777777" w:rsidTr="0075791C">
        <w:trPr>
          <w:trHeight w:val="300"/>
        </w:trPr>
        <w:tc>
          <w:tcPr>
            <w:tcW w:w="4113" w:type="dxa"/>
            <w:noWrap/>
            <w:hideMark/>
          </w:tcPr>
          <w:p w14:paraId="6D38B574"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Spanish American Center </w:t>
            </w:r>
          </w:p>
        </w:tc>
        <w:tc>
          <w:tcPr>
            <w:tcW w:w="1307" w:type="dxa"/>
            <w:noWrap/>
            <w:hideMark/>
          </w:tcPr>
          <w:p w14:paraId="3396170E"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Leominster</w:t>
            </w:r>
          </w:p>
        </w:tc>
        <w:tc>
          <w:tcPr>
            <w:tcW w:w="5640" w:type="dxa"/>
            <w:noWrap/>
            <w:hideMark/>
          </w:tcPr>
          <w:p w14:paraId="1FFF4DED"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Ayer, Clinton, Gardner, Leominster </w:t>
            </w:r>
          </w:p>
        </w:tc>
      </w:tr>
      <w:tr w:rsidR="00AB52B6" w:rsidRPr="00AB52B6" w14:paraId="1E07256B" w14:textId="77777777" w:rsidTr="0075791C">
        <w:trPr>
          <w:trHeight w:val="300"/>
        </w:trPr>
        <w:tc>
          <w:tcPr>
            <w:tcW w:w="4113" w:type="dxa"/>
            <w:noWrap/>
            <w:hideMark/>
          </w:tcPr>
          <w:p w14:paraId="36A3B4F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Synergy Partnership/Sarepta Women and Children Empowerment Center </w:t>
            </w:r>
          </w:p>
        </w:tc>
        <w:tc>
          <w:tcPr>
            <w:tcW w:w="1307" w:type="dxa"/>
            <w:noWrap/>
            <w:hideMark/>
          </w:tcPr>
          <w:p w14:paraId="4161E93B" w14:textId="77777777" w:rsidR="00AB52B6" w:rsidRPr="00AB52B6" w:rsidRDefault="00AB52B6" w:rsidP="00AB52B6">
            <w:pPr>
              <w:spacing w:after="160" w:line="259" w:lineRule="auto"/>
              <w:rPr>
                <w:rFonts w:ascii="Cambria" w:eastAsia="Calibri" w:hAnsi="Cambria" w:cs="Times New Roman"/>
              </w:rPr>
            </w:pPr>
          </w:p>
        </w:tc>
        <w:tc>
          <w:tcPr>
            <w:tcW w:w="5640" w:type="dxa"/>
            <w:hideMark/>
          </w:tcPr>
          <w:p w14:paraId="643D482F"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Brockton, Randolph, Raynham </w:t>
            </w:r>
          </w:p>
        </w:tc>
      </w:tr>
      <w:tr w:rsidR="00AB52B6" w:rsidRPr="00AB52B6" w14:paraId="73FB1965" w14:textId="77777777" w:rsidTr="0075791C">
        <w:trPr>
          <w:trHeight w:val="300"/>
        </w:trPr>
        <w:tc>
          <w:tcPr>
            <w:tcW w:w="4113" w:type="dxa"/>
            <w:noWrap/>
            <w:hideMark/>
          </w:tcPr>
          <w:p w14:paraId="1333346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The Boston Project Ministries  </w:t>
            </w:r>
          </w:p>
        </w:tc>
        <w:tc>
          <w:tcPr>
            <w:tcW w:w="1307" w:type="dxa"/>
            <w:noWrap/>
            <w:hideMark/>
          </w:tcPr>
          <w:p w14:paraId="2E6DB4D9"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w:t>
            </w:r>
          </w:p>
        </w:tc>
        <w:tc>
          <w:tcPr>
            <w:tcW w:w="5640" w:type="dxa"/>
            <w:hideMark/>
          </w:tcPr>
          <w:p w14:paraId="41BFBE7A"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 East Boston, Roxbury </w:t>
            </w:r>
          </w:p>
        </w:tc>
      </w:tr>
      <w:tr w:rsidR="00AB52B6" w:rsidRPr="00AB52B6" w14:paraId="23A95C60" w14:textId="77777777" w:rsidTr="0075791C">
        <w:trPr>
          <w:trHeight w:val="600"/>
        </w:trPr>
        <w:tc>
          <w:tcPr>
            <w:tcW w:w="4113" w:type="dxa"/>
            <w:noWrap/>
            <w:hideMark/>
          </w:tcPr>
          <w:p w14:paraId="030A380C"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The Center for Hope and Healing  </w:t>
            </w:r>
          </w:p>
        </w:tc>
        <w:tc>
          <w:tcPr>
            <w:tcW w:w="1307" w:type="dxa"/>
            <w:noWrap/>
            <w:hideMark/>
          </w:tcPr>
          <w:p w14:paraId="3A14DDAE"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Lowell</w:t>
            </w:r>
          </w:p>
        </w:tc>
        <w:tc>
          <w:tcPr>
            <w:tcW w:w="5640" w:type="dxa"/>
            <w:hideMark/>
          </w:tcPr>
          <w:p w14:paraId="4D893454"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Acton, Billerica, Boxborough, Carlisle, Chelmsford, Dracut, Dunstable, Groton, Littleton, Lowell, Pepperell, Tewksbury, Tyngsboro, Westford, Wilmington</w:t>
            </w:r>
          </w:p>
        </w:tc>
      </w:tr>
      <w:tr w:rsidR="00AB52B6" w:rsidRPr="00AB52B6" w14:paraId="649CCE79" w14:textId="77777777" w:rsidTr="0075791C">
        <w:trPr>
          <w:trHeight w:val="600"/>
        </w:trPr>
        <w:tc>
          <w:tcPr>
            <w:tcW w:w="4113" w:type="dxa"/>
            <w:noWrap/>
            <w:hideMark/>
          </w:tcPr>
          <w:p w14:paraId="33498AE5"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The Everett Haitian Community Center  </w:t>
            </w:r>
          </w:p>
        </w:tc>
        <w:tc>
          <w:tcPr>
            <w:tcW w:w="1307" w:type="dxa"/>
            <w:noWrap/>
            <w:hideMark/>
          </w:tcPr>
          <w:p w14:paraId="276239A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Everett</w:t>
            </w:r>
          </w:p>
        </w:tc>
        <w:tc>
          <w:tcPr>
            <w:tcW w:w="5640" w:type="dxa"/>
            <w:hideMark/>
          </w:tcPr>
          <w:p w14:paraId="7E497F1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Chelsea, Everett, Fitchburg, Framingham, Haverhill, Holyoke, Lawrence, Leominster, Lowell, Lynn, Malden, Methuen, Revere, Worcester, Statewide </w:t>
            </w:r>
          </w:p>
        </w:tc>
      </w:tr>
      <w:tr w:rsidR="00AB52B6" w:rsidRPr="00AB52B6" w14:paraId="48CB062B" w14:textId="77777777" w:rsidTr="0075791C">
        <w:trPr>
          <w:trHeight w:val="600"/>
        </w:trPr>
        <w:tc>
          <w:tcPr>
            <w:tcW w:w="4113" w:type="dxa"/>
            <w:noWrap/>
            <w:hideMark/>
          </w:tcPr>
          <w:p w14:paraId="6EA9D863"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The Joint Committee for Children’s Health Care, Everett  </w:t>
            </w:r>
          </w:p>
        </w:tc>
        <w:tc>
          <w:tcPr>
            <w:tcW w:w="1307" w:type="dxa"/>
            <w:noWrap/>
            <w:hideMark/>
          </w:tcPr>
          <w:p w14:paraId="04DF4568"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Everett</w:t>
            </w:r>
          </w:p>
        </w:tc>
        <w:tc>
          <w:tcPr>
            <w:tcW w:w="5640" w:type="dxa"/>
            <w:hideMark/>
          </w:tcPr>
          <w:p w14:paraId="04764894"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Chelsea, Everett, Framingham, Lawrence, Lowell, Lynn, Malden, Medford, Melrose, Revere, Somerville, Stoneham, Worcester, Statewide  </w:t>
            </w:r>
          </w:p>
        </w:tc>
      </w:tr>
      <w:tr w:rsidR="00AB52B6" w:rsidRPr="00AB52B6" w14:paraId="45CC4E30" w14:textId="77777777" w:rsidTr="0075791C">
        <w:trPr>
          <w:trHeight w:val="300"/>
        </w:trPr>
        <w:tc>
          <w:tcPr>
            <w:tcW w:w="4113" w:type="dxa"/>
            <w:noWrap/>
            <w:hideMark/>
          </w:tcPr>
          <w:p w14:paraId="2FB8868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The Latino Health Insurance Program, Inc.  </w:t>
            </w:r>
          </w:p>
        </w:tc>
        <w:tc>
          <w:tcPr>
            <w:tcW w:w="1307" w:type="dxa"/>
            <w:noWrap/>
            <w:hideMark/>
          </w:tcPr>
          <w:p w14:paraId="550C9F09"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Framingham</w:t>
            </w:r>
          </w:p>
        </w:tc>
        <w:tc>
          <w:tcPr>
            <w:tcW w:w="5640" w:type="dxa"/>
            <w:hideMark/>
          </w:tcPr>
          <w:p w14:paraId="603E017F"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Dedham, Framingham, Marlborough, Milford, Norwood, Walpole, Waltham, Worcester   </w:t>
            </w:r>
          </w:p>
        </w:tc>
      </w:tr>
      <w:tr w:rsidR="00AB52B6" w:rsidRPr="00AB52B6" w14:paraId="573516B4" w14:textId="77777777" w:rsidTr="0075791C">
        <w:trPr>
          <w:trHeight w:val="300"/>
        </w:trPr>
        <w:tc>
          <w:tcPr>
            <w:tcW w:w="4113" w:type="dxa"/>
            <w:noWrap/>
            <w:hideMark/>
          </w:tcPr>
          <w:p w14:paraId="49E0543D"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The Massachusetts Coalition for the Homeless  </w:t>
            </w:r>
          </w:p>
        </w:tc>
        <w:tc>
          <w:tcPr>
            <w:tcW w:w="1307" w:type="dxa"/>
            <w:noWrap/>
            <w:hideMark/>
          </w:tcPr>
          <w:p w14:paraId="3E0C88F8"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Lynn</w:t>
            </w:r>
          </w:p>
        </w:tc>
        <w:tc>
          <w:tcPr>
            <w:tcW w:w="5640" w:type="dxa"/>
            <w:noWrap/>
            <w:hideMark/>
          </w:tcPr>
          <w:p w14:paraId="01EF5FA6"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Lynn</w:t>
            </w:r>
          </w:p>
        </w:tc>
      </w:tr>
      <w:tr w:rsidR="00AB52B6" w:rsidRPr="00AB52B6" w14:paraId="63A68531" w14:textId="77777777" w:rsidTr="0075791C">
        <w:trPr>
          <w:trHeight w:val="300"/>
        </w:trPr>
        <w:tc>
          <w:tcPr>
            <w:tcW w:w="4113" w:type="dxa"/>
            <w:noWrap/>
            <w:hideMark/>
          </w:tcPr>
          <w:p w14:paraId="2AB4E876"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The Psychological Center  </w:t>
            </w:r>
          </w:p>
        </w:tc>
        <w:tc>
          <w:tcPr>
            <w:tcW w:w="1307" w:type="dxa"/>
            <w:noWrap/>
            <w:hideMark/>
          </w:tcPr>
          <w:p w14:paraId="7946C504"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Lawrence</w:t>
            </w:r>
          </w:p>
        </w:tc>
        <w:tc>
          <w:tcPr>
            <w:tcW w:w="5640" w:type="dxa"/>
            <w:noWrap/>
            <w:hideMark/>
          </w:tcPr>
          <w:p w14:paraId="2B01159A"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Lawrence, Methuen  </w:t>
            </w:r>
          </w:p>
        </w:tc>
      </w:tr>
      <w:tr w:rsidR="00AB52B6" w:rsidRPr="00AB52B6" w14:paraId="43F61090" w14:textId="77777777" w:rsidTr="0075791C">
        <w:trPr>
          <w:trHeight w:val="300"/>
        </w:trPr>
        <w:tc>
          <w:tcPr>
            <w:tcW w:w="4113" w:type="dxa"/>
            <w:noWrap/>
            <w:hideMark/>
          </w:tcPr>
          <w:p w14:paraId="0650974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Who’s Got Morale Program  </w:t>
            </w:r>
          </w:p>
        </w:tc>
        <w:tc>
          <w:tcPr>
            <w:tcW w:w="1307" w:type="dxa"/>
            <w:noWrap/>
            <w:hideMark/>
          </w:tcPr>
          <w:p w14:paraId="5CC71BAF"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Boston</w:t>
            </w:r>
          </w:p>
        </w:tc>
        <w:tc>
          <w:tcPr>
            <w:tcW w:w="5640" w:type="dxa"/>
            <w:hideMark/>
          </w:tcPr>
          <w:p w14:paraId="5D7DF392"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Boston </w:t>
            </w:r>
          </w:p>
        </w:tc>
      </w:tr>
      <w:tr w:rsidR="00AB52B6" w:rsidRPr="00AB52B6" w14:paraId="6EB242B6" w14:textId="77777777" w:rsidTr="0075791C">
        <w:trPr>
          <w:trHeight w:val="300"/>
        </w:trPr>
        <w:tc>
          <w:tcPr>
            <w:tcW w:w="4113" w:type="dxa"/>
            <w:noWrap/>
            <w:hideMark/>
          </w:tcPr>
          <w:p w14:paraId="51E64D1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Worcester Interfaith  </w:t>
            </w:r>
          </w:p>
        </w:tc>
        <w:tc>
          <w:tcPr>
            <w:tcW w:w="1307" w:type="dxa"/>
            <w:noWrap/>
            <w:hideMark/>
          </w:tcPr>
          <w:p w14:paraId="0B27361C"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Worcester</w:t>
            </w:r>
          </w:p>
        </w:tc>
        <w:tc>
          <w:tcPr>
            <w:tcW w:w="5640" w:type="dxa"/>
            <w:noWrap/>
            <w:hideMark/>
          </w:tcPr>
          <w:p w14:paraId="7A5374BC"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Leominster, Fitchburg, Framingham, Southbridge, Worcester  </w:t>
            </w:r>
          </w:p>
        </w:tc>
      </w:tr>
      <w:tr w:rsidR="00AB52B6" w:rsidRPr="00AB52B6" w14:paraId="3C437566" w14:textId="77777777" w:rsidTr="0075791C">
        <w:trPr>
          <w:trHeight w:val="300"/>
        </w:trPr>
        <w:tc>
          <w:tcPr>
            <w:tcW w:w="4113" w:type="dxa"/>
            <w:noWrap/>
            <w:hideMark/>
          </w:tcPr>
          <w:p w14:paraId="47B6280B"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YMCA Southeastern Massachusetts </w:t>
            </w:r>
          </w:p>
        </w:tc>
        <w:tc>
          <w:tcPr>
            <w:tcW w:w="1307" w:type="dxa"/>
            <w:noWrap/>
            <w:hideMark/>
          </w:tcPr>
          <w:p w14:paraId="322B0570"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New Bedford</w:t>
            </w:r>
          </w:p>
        </w:tc>
        <w:tc>
          <w:tcPr>
            <w:tcW w:w="5640" w:type="dxa"/>
            <w:noWrap/>
            <w:hideMark/>
          </w:tcPr>
          <w:p w14:paraId="377C728E"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New Bedford</w:t>
            </w:r>
          </w:p>
        </w:tc>
      </w:tr>
      <w:tr w:rsidR="00AB52B6" w:rsidRPr="00AB52B6" w14:paraId="3FFABE32" w14:textId="77777777" w:rsidTr="0075791C">
        <w:trPr>
          <w:trHeight w:val="300"/>
        </w:trPr>
        <w:tc>
          <w:tcPr>
            <w:tcW w:w="4113" w:type="dxa"/>
            <w:noWrap/>
            <w:hideMark/>
          </w:tcPr>
          <w:p w14:paraId="02FB8C4C"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 xml:space="preserve">YWCA Malden  </w:t>
            </w:r>
          </w:p>
        </w:tc>
        <w:tc>
          <w:tcPr>
            <w:tcW w:w="1307" w:type="dxa"/>
            <w:noWrap/>
            <w:hideMark/>
          </w:tcPr>
          <w:p w14:paraId="0741E29B"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Malden</w:t>
            </w:r>
          </w:p>
        </w:tc>
        <w:tc>
          <w:tcPr>
            <w:tcW w:w="5640" w:type="dxa"/>
            <w:noWrap/>
            <w:hideMark/>
          </w:tcPr>
          <w:p w14:paraId="059F011F" w14:textId="77777777" w:rsidR="00AB52B6" w:rsidRPr="00AB52B6" w:rsidRDefault="00AB52B6" w:rsidP="00AB52B6">
            <w:pPr>
              <w:spacing w:after="160" w:line="259" w:lineRule="auto"/>
              <w:rPr>
                <w:rFonts w:ascii="Cambria" w:eastAsia="Calibri" w:hAnsi="Cambria" w:cs="Times New Roman"/>
              </w:rPr>
            </w:pPr>
            <w:r w:rsidRPr="00AB52B6">
              <w:rPr>
                <w:rFonts w:ascii="Cambria" w:eastAsia="Calibri" w:hAnsi="Cambria" w:cs="Times New Roman"/>
              </w:rPr>
              <w:t>Malden</w:t>
            </w:r>
          </w:p>
        </w:tc>
      </w:tr>
    </w:tbl>
    <w:p w14:paraId="115F5ABD" w14:textId="77777777" w:rsidR="00AB52B6" w:rsidRPr="00AB52B6" w:rsidRDefault="00AB52B6" w:rsidP="00AB52B6">
      <w:pPr>
        <w:spacing w:after="160" w:line="259" w:lineRule="auto"/>
        <w:ind w:left="0"/>
        <w:rPr>
          <w:rFonts w:ascii="Cambria" w:eastAsia="Calibri" w:hAnsi="Cambria" w:cs="Times New Roman"/>
          <w:color w:val="auto"/>
          <w:lang w:eastAsia="en-US"/>
        </w:rPr>
      </w:pPr>
    </w:p>
    <w:p w14:paraId="1228B7B0" w14:textId="77777777" w:rsidR="00AB52B6" w:rsidRPr="00AB52B6" w:rsidRDefault="00AB52B6" w:rsidP="00AB52B6">
      <w:pPr>
        <w:spacing w:after="160" w:line="259" w:lineRule="auto"/>
        <w:ind w:left="0"/>
        <w:rPr>
          <w:rFonts w:ascii="Cambria" w:eastAsia="Calibri" w:hAnsi="Cambria" w:cs="Times New Roman"/>
          <w:color w:val="auto"/>
          <w:lang w:eastAsia="en-US"/>
        </w:rPr>
      </w:pPr>
    </w:p>
    <w:p w14:paraId="3F1BA92A" w14:textId="77777777" w:rsidR="00AB52B6" w:rsidRPr="00AB52B6" w:rsidRDefault="00AB52B6" w:rsidP="00AB52B6">
      <w:pPr>
        <w:spacing w:after="160" w:line="259" w:lineRule="auto"/>
        <w:ind w:left="0"/>
        <w:rPr>
          <w:rFonts w:ascii="Cambria" w:eastAsia="Calibri" w:hAnsi="Cambria" w:cs="Times New Roman"/>
          <w:b/>
          <w:bCs/>
          <w:color w:val="auto"/>
          <w:lang w:eastAsia="en-US"/>
        </w:rPr>
      </w:pPr>
      <w:r w:rsidRPr="00AB52B6">
        <w:rPr>
          <w:rFonts w:ascii="Cambria" w:eastAsia="Calibri" w:hAnsi="Cambria" w:cs="Times New Roman"/>
          <w:b/>
          <w:bCs/>
          <w:color w:val="auto"/>
          <w:lang w:eastAsia="en-US"/>
        </w:rPr>
        <w:t>7 Tribal and Indigenous People Serving Organizations (TIPSOs) funded through VEI</w:t>
      </w:r>
    </w:p>
    <w:tbl>
      <w:tblPr>
        <w:tblStyle w:val="TableGrid1"/>
        <w:tblW w:w="11286" w:type="dxa"/>
        <w:tblLook w:val="04A0" w:firstRow="1" w:lastRow="0" w:firstColumn="1" w:lastColumn="0" w:noHBand="0" w:noVBand="1"/>
      </w:tblPr>
      <w:tblGrid>
        <w:gridCol w:w="4405"/>
        <w:gridCol w:w="1536"/>
        <w:gridCol w:w="5351"/>
      </w:tblGrid>
      <w:tr w:rsidR="00AB52B6" w:rsidRPr="00AB52B6" w14:paraId="6CAC8FF7" w14:textId="77777777" w:rsidTr="0075791C">
        <w:trPr>
          <w:trHeight w:val="300"/>
        </w:trPr>
        <w:tc>
          <w:tcPr>
            <w:tcW w:w="4405" w:type="dxa"/>
            <w:noWrap/>
            <w:hideMark/>
          </w:tcPr>
          <w:p w14:paraId="23357C03" w14:textId="77777777" w:rsidR="00AB52B6" w:rsidRPr="00AB52B6" w:rsidRDefault="00AB52B6" w:rsidP="00AB52B6">
            <w:pPr>
              <w:rPr>
                <w:rFonts w:ascii="Cambria" w:eastAsia="Calibri" w:hAnsi="Cambria" w:cs="Times New Roman"/>
                <w:b/>
                <w:bCs/>
              </w:rPr>
            </w:pPr>
            <w:r w:rsidRPr="00AB52B6">
              <w:rPr>
                <w:rFonts w:ascii="Cambria" w:eastAsia="Calibri" w:hAnsi="Cambria" w:cs="Times New Roman"/>
                <w:b/>
                <w:bCs/>
              </w:rPr>
              <w:t>TIPSOs</w:t>
            </w:r>
          </w:p>
        </w:tc>
        <w:tc>
          <w:tcPr>
            <w:tcW w:w="1530" w:type="dxa"/>
            <w:noWrap/>
            <w:hideMark/>
          </w:tcPr>
          <w:p w14:paraId="55E34B11" w14:textId="77777777" w:rsidR="00AB52B6" w:rsidRPr="00AB52B6" w:rsidRDefault="00AB52B6" w:rsidP="00AB52B6">
            <w:pPr>
              <w:rPr>
                <w:rFonts w:ascii="Cambria" w:eastAsia="Calibri" w:hAnsi="Cambria" w:cs="Times New Roman"/>
                <w:b/>
                <w:bCs/>
              </w:rPr>
            </w:pPr>
            <w:r w:rsidRPr="00AB52B6">
              <w:rPr>
                <w:rFonts w:ascii="Cambria" w:eastAsia="Calibri" w:hAnsi="Cambria" w:cs="Times New Roman"/>
                <w:b/>
                <w:bCs/>
              </w:rPr>
              <w:t>Organization Location</w:t>
            </w:r>
          </w:p>
        </w:tc>
        <w:tc>
          <w:tcPr>
            <w:tcW w:w="5351" w:type="dxa"/>
            <w:hideMark/>
          </w:tcPr>
          <w:p w14:paraId="0BC3AC10" w14:textId="77777777" w:rsidR="00AB52B6" w:rsidRPr="00AB52B6" w:rsidRDefault="00AB52B6" w:rsidP="00AB52B6">
            <w:pPr>
              <w:rPr>
                <w:rFonts w:ascii="Cambria" w:eastAsia="Calibri" w:hAnsi="Cambria" w:cs="Times New Roman"/>
                <w:b/>
                <w:bCs/>
              </w:rPr>
            </w:pPr>
            <w:r w:rsidRPr="00AB52B6">
              <w:rPr>
                <w:rFonts w:ascii="Cambria" w:eastAsia="Calibri" w:hAnsi="Cambria" w:cs="Times New Roman"/>
                <w:b/>
                <w:bCs/>
              </w:rPr>
              <w:t xml:space="preserve"> Areas Served  </w:t>
            </w:r>
          </w:p>
        </w:tc>
      </w:tr>
      <w:tr w:rsidR="00AB52B6" w:rsidRPr="00AB52B6" w14:paraId="1F35A4CE" w14:textId="77777777" w:rsidTr="0075791C">
        <w:trPr>
          <w:trHeight w:val="600"/>
        </w:trPr>
        <w:tc>
          <w:tcPr>
            <w:tcW w:w="4405" w:type="dxa"/>
            <w:noWrap/>
            <w:hideMark/>
          </w:tcPr>
          <w:p w14:paraId="331BF2BD"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Centro </w:t>
            </w:r>
            <w:proofErr w:type="spellStart"/>
            <w:r w:rsidRPr="00AB52B6">
              <w:rPr>
                <w:rFonts w:ascii="Cambria" w:eastAsia="Calibri" w:hAnsi="Cambria" w:cs="Times New Roman"/>
              </w:rPr>
              <w:t>Comunitario</w:t>
            </w:r>
            <w:proofErr w:type="spellEnd"/>
            <w:r w:rsidRPr="00AB52B6">
              <w:rPr>
                <w:rFonts w:ascii="Cambria" w:eastAsia="Calibri" w:hAnsi="Cambria" w:cs="Times New Roman"/>
              </w:rPr>
              <w:t> de </w:t>
            </w:r>
            <w:proofErr w:type="spellStart"/>
            <w:r w:rsidRPr="00AB52B6">
              <w:rPr>
                <w:rFonts w:ascii="Cambria" w:eastAsia="Calibri" w:hAnsi="Cambria" w:cs="Times New Roman"/>
              </w:rPr>
              <w:t>Trabajadores</w:t>
            </w:r>
            <w:proofErr w:type="spellEnd"/>
          </w:p>
        </w:tc>
        <w:tc>
          <w:tcPr>
            <w:tcW w:w="1530" w:type="dxa"/>
            <w:noWrap/>
            <w:hideMark/>
          </w:tcPr>
          <w:p w14:paraId="523C07D0"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New Bedford</w:t>
            </w:r>
          </w:p>
        </w:tc>
        <w:tc>
          <w:tcPr>
            <w:tcW w:w="5351" w:type="dxa"/>
            <w:hideMark/>
          </w:tcPr>
          <w:p w14:paraId="64049785"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South of Boston, South Coast, South Shore</w:t>
            </w:r>
          </w:p>
        </w:tc>
      </w:tr>
      <w:tr w:rsidR="00AB52B6" w:rsidRPr="00AB52B6" w14:paraId="7A961C9E" w14:textId="77777777" w:rsidTr="0075791C">
        <w:trPr>
          <w:trHeight w:val="600"/>
        </w:trPr>
        <w:tc>
          <w:tcPr>
            <w:tcW w:w="4405" w:type="dxa"/>
            <w:noWrap/>
            <w:hideMark/>
          </w:tcPr>
          <w:p w14:paraId="6800445B"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Herring Pond Wampanoag Tribe</w:t>
            </w:r>
          </w:p>
        </w:tc>
        <w:tc>
          <w:tcPr>
            <w:tcW w:w="1530" w:type="dxa"/>
            <w:noWrap/>
            <w:hideMark/>
          </w:tcPr>
          <w:p w14:paraId="6D4B48DF"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Plymouth</w:t>
            </w:r>
          </w:p>
        </w:tc>
        <w:tc>
          <w:tcPr>
            <w:tcW w:w="5351" w:type="dxa"/>
            <w:hideMark/>
          </w:tcPr>
          <w:p w14:paraId="7C378FD7"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 xml:space="preserve">Cape &amp; Islands, South of Boston, South Coast, South Shore, Boston </w:t>
            </w:r>
          </w:p>
        </w:tc>
      </w:tr>
      <w:tr w:rsidR="00AB52B6" w:rsidRPr="00AB52B6" w14:paraId="782B28D5" w14:textId="77777777" w:rsidTr="0075791C">
        <w:trPr>
          <w:trHeight w:val="773"/>
        </w:trPr>
        <w:tc>
          <w:tcPr>
            <w:tcW w:w="4405" w:type="dxa"/>
            <w:noWrap/>
            <w:hideMark/>
          </w:tcPr>
          <w:p w14:paraId="6BD4E0CB"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North American Indian Center of Boston (NAICOB)</w:t>
            </w:r>
          </w:p>
        </w:tc>
        <w:tc>
          <w:tcPr>
            <w:tcW w:w="1530" w:type="dxa"/>
            <w:noWrap/>
            <w:hideMark/>
          </w:tcPr>
          <w:p w14:paraId="60C0AE46"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Boston</w:t>
            </w:r>
          </w:p>
        </w:tc>
        <w:tc>
          <w:tcPr>
            <w:tcW w:w="5351" w:type="dxa"/>
            <w:hideMark/>
          </w:tcPr>
          <w:p w14:paraId="5AEAAE3C"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Boston, North of Boston, South of Boston, South Coast, South Shore, MetroWest, Central MA, Western MA, Cape &amp; Islands </w:t>
            </w:r>
          </w:p>
        </w:tc>
      </w:tr>
      <w:tr w:rsidR="00AB52B6" w:rsidRPr="00AB52B6" w14:paraId="302ED29C" w14:textId="77777777" w:rsidTr="0075791C">
        <w:trPr>
          <w:trHeight w:val="530"/>
        </w:trPr>
        <w:tc>
          <w:tcPr>
            <w:tcW w:w="4405" w:type="dxa"/>
            <w:noWrap/>
          </w:tcPr>
          <w:p w14:paraId="2ACA68F1" w14:textId="77777777" w:rsidR="00AB52B6" w:rsidRPr="00AB52B6" w:rsidRDefault="00AB52B6" w:rsidP="00AB52B6">
            <w:pPr>
              <w:rPr>
                <w:rFonts w:ascii="Cambria" w:eastAsia="Calibri" w:hAnsi="Cambria" w:cs="Times New Roman"/>
              </w:rPr>
            </w:pPr>
            <w:proofErr w:type="spellStart"/>
            <w:r w:rsidRPr="00AB52B6">
              <w:rPr>
                <w:rFonts w:ascii="Cambria" w:eastAsia="Calibri" w:hAnsi="Cambria" w:cs="Times New Roman"/>
              </w:rPr>
              <w:t>Ohketeau</w:t>
            </w:r>
            <w:proofErr w:type="spellEnd"/>
            <w:r w:rsidRPr="00AB52B6">
              <w:rPr>
                <w:rFonts w:ascii="Cambria" w:eastAsia="Calibri" w:hAnsi="Cambria" w:cs="Times New Roman"/>
              </w:rPr>
              <w:t> Cultural Center</w:t>
            </w:r>
          </w:p>
        </w:tc>
        <w:tc>
          <w:tcPr>
            <w:tcW w:w="1530" w:type="dxa"/>
            <w:noWrap/>
          </w:tcPr>
          <w:p w14:paraId="3228BF3E" w14:textId="77777777" w:rsidR="00AB52B6" w:rsidRPr="00AB52B6" w:rsidRDefault="00AB52B6" w:rsidP="00AB52B6">
            <w:pPr>
              <w:rPr>
                <w:rFonts w:ascii="Cambria" w:eastAsia="Calibri" w:hAnsi="Cambria" w:cs="Times New Roman"/>
              </w:rPr>
            </w:pPr>
            <w:proofErr w:type="spellStart"/>
            <w:r w:rsidRPr="00AB52B6">
              <w:rPr>
                <w:rFonts w:ascii="Cambria" w:eastAsia="Calibri" w:hAnsi="Cambria" w:cs="Times New Roman"/>
              </w:rPr>
              <w:t>Ashfield</w:t>
            </w:r>
            <w:proofErr w:type="spellEnd"/>
          </w:p>
        </w:tc>
        <w:tc>
          <w:tcPr>
            <w:tcW w:w="5351" w:type="dxa"/>
          </w:tcPr>
          <w:p w14:paraId="603D7142"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Western MA</w:t>
            </w:r>
          </w:p>
        </w:tc>
      </w:tr>
      <w:tr w:rsidR="00AB52B6" w:rsidRPr="00AB52B6" w14:paraId="561978B4" w14:textId="77777777" w:rsidTr="0075791C">
        <w:trPr>
          <w:trHeight w:val="737"/>
        </w:trPr>
        <w:tc>
          <w:tcPr>
            <w:tcW w:w="4405" w:type="dxa"/>
            <w:noWrap/>
            <w:hideMark/>
          </w:tcPr>
          <w:p w14:paraId="0F527827"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The Wampanoag Tribe of Gay Head (Aquinnah)</w:t>
            </w:r>
          </w:p>
        </w:tc>
        <w:tc>
          <w:tcPr>
            <w:tcW w:w="1530" w:type="dxa"/>
            <w:noWrap/>
            <w:hideMark/>
          </w:tcPr>
          <w:p w14:paraId="69D81C99"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Aquinnah</w:t>
            </w:r>
          </w:p>
        </w:tc>
        <w:tc>
          <w:tcPr>
            <w:tcW w:w="5351" w:type="dxa"/>
            <w:noWrap/>
            <w:hideMark/>
          </w:tcPr>
          <w:p w14:paraId="22CE0EC6"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Statewide </w:t>
            </w:r>
          </w:p>
        </w:tc>
      </w:tr>
      <w:tr w:rsidR="00AB52B6" w:rsidRPr="00AB52B6" w14:paraId="6DFF04D6" w14:textId="77777777" w:rsidTr="0075791C">
        <w:trPr>
          <w:trHeight w:val="368"/>
        </w:trPr>
        <w:tc>
          <w:tcPr>
            <w:tcW w:w="4405" w:type="dxa"/>
            <w:noWrap/>
            <w:hideMark/>
          </w:tcPr>
          <w:p w14:paraId="2A3862C4"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Mashpee Wampanoag Tribe</w:t>
            </w:r>
          </w:p>
        </w:tc>
        <w:tc>
          <w:tcPr>
            <w:tcW w:w="1530" w:type="dxa"/>
            <w:noWrap/>
            <w:hideMark/>
          </w:tcPr>
          <w:p w14:paraId="5031B6B8"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Mashpee</w:t>
            </w:r>
          </w:p>
        </w:tc>
        <w:tc>
          <w:tcPr>
            <w:tcW w:w="5351" w:type="dxa"/>
            <w:noWrap/>
            <w:hideMark/>
          </w:tcPr>
          <w:p w14:paraId="1E3B8F8E"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Statewide </w:t>
            </w:r>
          </w:p>
        </w:tc>
      </w:tr>
      <w:tr w:rsidR="00AB52B6" w:rsidRPr="00AB52B6" w14:paraId="04CC8D97" w14:textId="77777777" w:rsidTr="0075791C">
        <w:trPr>
          <w:trHeight w:val="692"/>
        </w:trPr>
        <w:tc>
          <w:tcPr>
            <w:tcW w:w="4405" w:type="dxa"/>
            <w:noWrap/>
            <w:hideMark/>
          </w:tcPr>
          <w:p w14:paraId="6B69862B"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Native American Lifelines (Urban Indian Health Service)</w:t>
            </w:r>
          </w:p>
        </w:tc>
        <w:tc>
          <w:tcPr>
            <w:tcW w:w="1530" w:type="dxa"/>
            <w:noWrap/>
            <w:hideMark/>
          </w:tcPr>
          <w:p w14:paraId="4A4D0659"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West Roxbury</w:t>
            </w:r>
          </w:p>
        </w:tc>
        <w:tc>
          <w:tcPr>
            <w:tcW w:w="5351" w:type="dxa"/>
            <w:noWrap/>
            <w:hideMark/>
          </w:tcPr>
          <w:p w14:paraId="07F95F60"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Statewide </w:t>
            </w:r>
          </w:p>
        </w:tc>
      </w:tr>
    </w:tbl>
    <w:p w14:paraId="366097AC" w14:textId="77777777" w:rsidR="00AB52B6" w:rsidRPr="00AB52B6" w:rsidRDefault="00AB52B6" w:rsidP="00AB52B6">
      <w:pPr>
        <w:spacing w:after="160" w:line="259" w:lineRule="auto"/>
        <w:ind w:left="0"/>
        <w:rPr>
          <w:rFonts w:ascii="Cambria" w:eastAsia="Calibri" w:hAnsi="Cambria" w:cs="Times New Roman"/>
          <w:color w:val="auto"/>
          <w:lang w:eastAsia="en-US"/>
        </w:rPr>
      </w:pPr>
    </w:p>
    <w:p w14:paraId="32A775B4" w14:textId="77777777" w:rsidR="00AB52B6" w:rsidRPr="00AB52B6" w:rsidRDefault="00AB52B6" w:rsidP="00AB52B6">
      <w:pPr>
        <w:spacing w:after="160" w:line="259" w:lineRule="auto"/>
        <w:ind w:left="0"/>
        <w:rPr>
          <w:rFonts w:ascii="Cambria" w:eastAsia="Calibri" w:hAnsi="Cambria" w:cs="Times New Roman"/>
          <w:color w:val="auto"/>
          <w:lang w:eastAsia="en-US"/>
        </w:rPr>
      </w:pPr>
    </w:p>
    <w:p w14:paraId="5D5B5A86" w14:textId="77777777" w:rsidR="00AB52B6" w:rsidRPr="00AB52B6" w:rsidRDefault="00AB52B6" w:rsidP="00AB52B6">
      <w:pPr>
        <w:spacing w:after="160" w:line="259" w:lineRule="auto"/>
        <w:ind w:left="0"/>
        <w:rPr>
          <w:rFonts w:ascii="Cambria" w:eastAsia="Calibri" w:hAnsi="Cambria" w:cs="Times New Roman"/>
          <w:b/>
          <w:bCs/>
          <w:color w:val="auto"/>
          <w:lang w:eastAsia="en-US"/>
        </w:rPr>
      </w:pPr>
      <w:r w:rsidRPr="00AB52B6">
        <w:rPr>
          <w:rFonts w:ascii="Cambria" w:eastAsia="Calibri" w:hAnsi="Cambria" w:cs="Times New Roman"/>
          <w:b/>
          <w:bCs/>
          <w:color w:val="auto"/>
          <w:lang w:eastAsia="en-US"/>
        </w:rPr>
        <w:t>9 Rural-Serving Organizations funded through VEI</w:t>
      </w:r>
    </w:p>
    <w:tbl>
      <w:tblPr>
        <w:tblStyle w:val="TableGrid1"/>
        <w:tblW w:w="10615" w:type="dxa"/>
        <w:tblLook w:val="04A0" w:firstRow="1" w:lastRow="0" w:firstColumn="1" w:lastColumn="0" w:noHBand="0" w:noVBand="1"/>
      </w:tblPr>
      <w:tblGrid>
        <w:gridCol w:w="4405"/>
        <w:gridCol w:w="1710"/>
        <w:gridCol w:w="4500"/>
      </w:tblGrid>
      <w:tr w:rsidR="00AB52B6" w:rsidRPr="00AB52B6" w14:paraId="706E7ADC" w14:textId="77777777" w:rsidTr="0075791C">
        <w:trPr>
          <w:trHeight w:val="300"/>
        </w:trPr>
        <w:tc>
          <w:tcPr>
            <w:tcW w:w="4405" w:type="dxa"/>
            <w:noWrap/>
            <w:hideMark/>
          </w:tcPr>
          <w:p w14:paraId="14ACA23F" w14:textId="77777777" w:rsidR="00AB52B6" w:rsidRPr="00AB52B6" w:rsidRDefault="00AB52B6" w:rsidP="00AB52B6">
            <w:pPr>
              <w:jc w:val="center"/>
              <w:rPr>
                <w:rFonts w:ascii="Cambria" w:eastAsia="Times New Roman" w:hAnsi="Cambria" w:cs="Calibri"/>
                <w:b/>
                <w:bCs/>
                <w:color w:val="000000"/>
              </w:rPr>
            </w:pPr>
            <w:r w:rsidRPr="00AB52B6">
              <w:rPr>
                <w:rFonts w:ascii="Cambria" w:eastAsia="Times New Roman" w:hAnsi="Cambria" w:cs="Calibri"/>
                <w:b/>
                <w:bCs/>
                <w:color w:val="000000"/>
              </w:rPr>
              <w:t>Rural-Serving Organization</w:t>
            </w:r>
          </w:p>
        </w:tc>
        <w:tc>
          <w:tcPr>
            <w:tcW w:w="1710" w:type="dxa"/>
            <w:noWrap/>
            <w:hideMark/>
          </w:tcPr>
          <w:p w14:paraId="3DD8FD04" w14:textId="77777777" w:rsidR="00AB52B6" w:rsidRPr="00AB52B6" w:rsidRDefault="00AB52B6" w:rsidP="00AB52B6">
            <w:pPr>
              <w:jc w:val="center"/>
              <w:rPr>
                <w:rFonts w:ascii="Cambria" w:eastAsia="Times New Roman" w:hAnsi="Cambria" w:cs="Calibri"/>
                <w:b/>
                <w:bCs/>
                <w:color w:val="000000"/>
              </w:rPr>
            </w:pPr>
            <w:r w:rsidRPr="00AB52B6">
              <w:rPr>
                <w:rFonts w:ascii="Cambria" w:eastAsia="Times New Roman" w:hAnsi="Cambria" w:cs="Calibri"/>
                <w:b/>
                <w:bCs/>
                <w:color w:val="000000"/>
              </w:rPr>
              <w:t>Organization Location</w:t>
            </w:r>
          </w:p>
        </w:tc>
        <w:tc>
          <w:tcPr>
            <w:tcW w:w="4500" w:type="dxa"/>
            <w:hideMark/>
          </w:tcPr>
          <w:p w14:paraId="486F49C9" w14:textId="77777777" w:rsidR="00AB52B6" w:rsidRPr="00AB52B6" w:rsidRDefault="00AB52B6" w:rsidP="00AB52B6">
            <w:pPr>
              <w:jc w:val="center"/>
              <w:rPr>
                <w:rFonts w:ascii="Cambria" w:eastAsia="Times New Roman" w:hAnsi="Cambria" w:cs="Calibri"/>
                <w:b/>
                <w:bCs/>
                <w:color w:val="000000"/>
              </w:rPr>
            </w:pPr>
            <w:r w:rsidRPr="00AB52B6">
              <w:rPr>
                <w:rFonts w:ascii="Cambria" w:eastAsia="Times New Roman" w:hAnsi="Cambria" w:cs="Calibri"/>
                <w:b/>
                <w:bCs/>
                <w:color w:val="000000"/>
              </w:rPr>
              <w:t xml:space="preserve"> Areas Served  </w:t>
            </w:r>
          </w:p>
        </w:tc>
      </w:tr>
      <w:tr w:rsidR="00AB52B6" w:rsidRPr="00AB52B6" w14:paraId="7C17C053" w14:textId="77777777" w:rsidTr="0075791C">
        <w:trPr>
          <w:trHeight w:val="619"/>
        </w:trPr>
        <w:tc>
          <w:tcPr>
            <w:tcW w:w="4405" w:type="dxa"/>
            <w:noWrap/>
            <w:hideMark/>
          </w:tcPr>
          <w:p w14:paraId="596C37C4"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Berkshire Regional Planning Commission </w:t>
            </w:r>
          </w:p>
        </w:tc>
        <w:tc>
          <w:tcPr>
            <w:tcW w:w="1710" w:type="dxa"/>
            <w:noWrap/>
            <w:hideMark/>
          </w:tcPr>
          <w:p w14:paraId="27A43F22"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Pittsfield</w:t>
            </w:r>
          </w:p>
        </w:tc>
        <w:tc>
          <w:tcPr>
            <w:tcW w:w="4500" w:type="dxa"/>
            <w:hideMark/>
          </w:tcPr>
          <w:p w14:paraId="6316C887"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Becket, Dalton, Hancock, Hinsdale, </w:t>
            </w:r>
            <w:proofErr w:type="spellStart"/>
            <w:r w:rsidRPr="00AB52B6">
              <w:rPr>
                <w:rFonts w:ascii="Cambria" w:eastAsia="Times New Roman" w:hAnsi="Cambria" w:cs="Calibri"/>
                <w:color w:val="000000"/>
              </w:rPr>
              <w:t>Lanesborough</w:t>
            </w:r>
            <w:proofErr w:type="spellEnd"/>
            <w:r w:rsidRPr="00AB52B6">
              <w:rPr>
                <w:rFonts w:ascii="Cambria" w:eastAsia="Times New Roman" w:hAnsi="Cambria" w:cs="Calibri"/>
                <w:color w:val="000000"/>
              </w:rPr>
              <w:t xml:space="preserve">, Peru, Richmond, Washington, Windsor </w:t>
            </w:r>
          </w:p>
        </w:tc>
      </w:tr>
      <w:tr w:rsidR="00AB52B6" w:rsidRPr="00AB52B6" w14:paraId="6ADB2454" w14:textId="77777777" w:rsidTr="0075791C">
        <w:trPr>
          <w:trHeight w:val="900"/>
        </w:trPr>
        <w:tc>
          <w:tcPr>
            <w:tcW w:w="4405" w:type="dxa"/>
            <w:noWrap/>
            <w:hideMark/>
          </w:tcPr>
          <w:p w14:paraId="363A35D3"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CHNA 9</w:t>
            </w:r>
            <w:proofErr w:type="gramStart"/>
            <w:r w:rsidRPr="00AB52B6">
              <w:rPr>
                <w:rFonts w:ascii="Cambria" w:eastAsia="Times New Roman" w:hAnsi="Cambria" w:cs="Calibri"/>
                <w:color w:val="000000"/>
              </w:rPr>
              <w:t xml:space="preserve">   (</w:t>
            </w:r>
            <w:proofErr w:type="gramEnd"/>
            <w:r w:rsidRPr="00AB52B6">
              <w:rPr>
                <w:rFonts w:ascii="Cambria" w:eastAsia="Times New Roman" w:hAnsi="Cambria" w:cs="Calibri"/>
                <w:color w:val="000000"/>
              </w:rPr>
              <w:t>North Central)</w:t>
            </w:r>
          </w:p>
        </w:tc>
        <w:tc>
          <w:tcPr>
            <w:tcW w:w="1710" w:type="dxa"/>
            <w:noWrap/>
            <w:hideMark/>
          </w:tcPr>
          <w:p w14:paraId="722FBB49" w14:textId="77777777" w:rsidR="00AB52B6" w:rsidRPr="00AB52B6" w:rsidRDefault="00AB52B6" w:rsidP="00AB52B6">
            <w:pPr>
              <w:rPr>
                <w:rFonts w:ascii="Cambria" w:eastAsia="Times New Roman" w:hAnsi="Cambria" w:cs="Calibri"/>
                <w:color w:val="000000"/>
              </w:rPr>
            </w:pPr>
          </w:p>
        </w:tc>
        <w:tc>
          <w:tcPr>
            <w:tcW w:w="4500" w:type="dxa"/>
            <w:hideMark/>
          </w:tcPr>
          <w:p w14:paraId="2C30E558"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Ashburnham, Ashby, Boylston, Clinton, Hubbardston, Lancaster, Princeton, Sterling, Templeton, Townsend, Westminster </w:t>
            </w:r>
          </w:p>
        </w:tc>
      </w:tr>
      <w:tr w:rsidR="00AB52B6" w:rsidRPr="00AB52B6" w14:paraId="536BEBA5" w14:textId="77777777" w:rsidTr="0075791C">
        <w:trPr>
          <w:trHeight w:val="600"/>
        </w:trPr>
        <w:tc>
          <w:tcPr>
            <w:tcW w:w="4405" w:type="dxa"/>
            <w:noWrap/>
            <w:hideMark/>
          </w:tcPr>
          <w:p w14:paraId="740D8FAA"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CHNA 9 (East </w:t>
            </w:r>
            <w:proofErr w:type="spellStart"/>
            <w:r w:rsidRPr="00AB52B6">
              <w:rPr>
                <w:rFonts w:ascii="Cambria" w:eastAsia="Times New Roman" w:hAnsi="Cambria" w:cs="Calibri"/>
                <w:color w:val="000000"/>
              </w:rPr>
              <w:t>Quabbin</w:t>
            </w:r>
            <w:proofErr w:type="spellEnd"/>
            <w:r w:rsidRPr="00AB52B6">
              <w:rPr>
                <w:rFonts w:ascii="Cambria" w:eastAsia="Times New Roman" w:hAnsi="Cambria" w:cs="Calibri"/>
                <w:color w:val="000000"/>
              </w:rPr>
              <w:t>)</w:t>
            </w:r>
          </w:p>
        </w:tc>
        <w:tc>
          <w:tcPr>
            <w:tcW w:w="1710" w:type="dxa"/>
            <w:noWrap/>
            <w:hideMark/>
          </w:tcPr>
          <w:p w14:paraId="474D755A" w14:textId="77777777" w:rsidR="00AB52B6" w:rsidRPr="00AB52B6" w:rsidRDefault="00AB52B6" w:rsidP="00AB52B6">
            <w:pPr>
              <w:rPr>
                <w:rFonts w:ascii="Cambria" w:eastAsia="Times New Roman" w:hAnsi="Cambria" w:cs="Calibri"/>
                <w:color w:val="000000"/>
              </w:rPr>
            </w:pPr>
          </w:p>
        </w:tc>
        <w:tc>
          <w:tcPr>
            <w:tcW w:w="4500" w:type="dxa"/>
            <w:hideMark/>
          </w:tcPr>
          <w:p w14:paraId="019BDCA2"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Barre, Hardwick, New Braintree, Oakham, </w:t>
            </w:r>
            <w:proofErr w:type="spellStart"/>
            <w:r w:rsidRPr="00AB52B6">
              <w:rPr>
                <w:rFonts w:ascii="Cambria" w:eastAsia="Times New Roman" w:hAnsi="Cambria" w:cs="Calibri"/>
                <w:color w:val="000000"/>
              </w:rPr>
              <w:t>Raxton</w:t>
            </w:r>
            <w:proofErr w:type="spellEnd"/>
            <w:r w:rsidRPr="00AB52B6">
              <w:rPr>
                <w:rFonts w:ascii="Cambria" w:eastAsia="Times New Roman" w:hAnsi="Cambria" w:cs="Calibri"/>
                <w:color w:val="000000"/>
              </w:rPr>
              <w:t>, Rutland </w:t>
            </w:r>
          </w:p>
        </w:tc>
      </w:tr>
      <w:tr w:rsidR="00AB52B6" w:rsidRPr="00AB52B6" w14:paraId="384B099E" w14:textId="77777777" w:rsidTr="0075791C">
        <w:trPr>
          <w:trHeight w:val="1200"/>
        </w:trPr>
        <w:tc>
          <w:tcPr>
            <w:tcW w:w="4405" w:type="dxa"/>
            <w:noWrap/>
            <w:hideMark/>
          </w:tcPr>
          <w:p w14:paraId="6E3C0D01"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Community Health Collaborative/Town of Ware </w:t>
            </w:r>
          </w:p>
        </w:tc>
        <w:tc>
          <w:tcPr>
            <w:tcW w:w="1710" w:type="dxa"/>
            <w:noWrap/>
            <w:hideMark/>
          </w:tcPr>
          <w:p w14:paraId="10CBD288"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Ware</w:t>
            </w:r>
          </w:p>
        </w:tc>
        <w:tc>
          <w:tcPr>
            <w:tcW w:w="4500" w:type="dxa"/>
            <w:hideMark/>
          </w:tcPr>
          <w:p w14:paraId="765865EC"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Belchertown, Brimfield, Brookfield, East Brookfield, Holland, Monson, North Brookfield, Palmer, Wales, Ware, Warren, West Brookfield </w:t>
            </w:r>
          </w:p>
        </w:tc>
      </w:tr>
      <w:tr w:rsidR="00AB52B6" w:rsidRPr="00AB52B6" w14:paraId="48025570" w14:textId="77777777" w:rsidTr="0075791C">
        <w:trPr>
          <w:trHeight w:val="600"/>
        </w:trPr>
        <w:tc>
          <w:tcPr>
            <w:tcW w:w="4405" w:type="dxa"/>
            <w:noWrap/>
            <w:hideMark/>
          </w:tcPr>
          <w:p w14:paraId="31BCC80B"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Island Health Care</w:t>
            </w:r>
          </w:p>
        </w:tc>
        <w:tc>
          <w:tcPr>
            <w:tcW w:w="1710" w:type="dxa"/>
            <w:noWrap/>
            <w:hideMark/>
          </w:tcPr>
          <w:p w14:paraId="32531913"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Edgartown</w:t>
            </w:r>
          </w:p>
        </w:tc>
        <w:tc>
          <w:tcPr>
            <w:tcW w:w="4500" w:type="dxa"/>
            <w:hideMark/>
          </w:tcPr>
          <w:p w14:paraId="38F5C7E4"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Aquinnah, Chilmark, Edgartown, </w:t>
            </w:r>
            <w:proofErr w:type="spellStart"/>
            <w:r w:rsidRPr="00AB52B6">
              <w:rPr>
                <w:rFonts w:ascii="Cambria" w:eastAsia="Times New Roman" w:hAnsi="Cambria" w:cs="Calibri"/>
                <w:color w:val="000000"/>
              </w:rPr>
              <w:t>Gosnold</w:t>
            </w:r>
            <w:proofErr w:type="spellEnd"/>
            <w:r w:rsidRPr="00AB52B6">
              <w:rPr>
                <w:rFonts w:ascii="Cambria" w:eastAsia="Times New Roman" w:hAnsi="Cambria" w:cs="Calibri"/>
                <w:color w:val="000000"/>
              </w:rPr>
              <w:t>, Oaks Bluffs, Tisbury, West Tisbury </w:t>
            </w:r>
          </w:p>
        </w:tc>
      </w:tr>
      <w:tr w:rsidR="00AB52B6" w:rsidRPr="00AB52B6" w14:paraId="2985EDB8" w14:textId="77777777" w:rsidTr="0075791C">
        <w:trPr>
          <w:trHeight w:val="900"/>
        </w:trPr>
        <w:tc>
          <w:tcPr>
            <w:tcW w:w="4405" w:type="dxa"/>
            <w:noWrap/>
            <w:hideMark/>
          </w:tcPr>
          <w:p w14:paraId="1C947AD6"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North </w:t>
            </w:r>
            <w:proofErr w:type="spellStart"/>
            <w:r w:rsidRPr="00AB52B6">
              <w:rPr>
                <w:rFonts w:ascii="Cambria" w:eastAsia="Times New Roman" w:hAnsi="Cambria" w:cs="Calibri"/>
                <w:color w:val="000000"/>
              </w:rPr>
              <w:t>Quabbin</w:t>
            </w:r>
            <w:proofErr w:type="spellEnd"/>
            <w:r w:rsidRPr="00AB52B6">
              <w:rPr>
                <w:rFonts w:ascii="Cambria" w:eastAsia="Times New Roman" w:hAnsi="Cambria" w:cs="Calibri"/>
                <w:color w:val="000000"/>
              </w:rPr>
              <w:t xml:space="preserve"> Community Coalition </w:t>
            </w:r>
          </w:p>
        </w:tc>
        <w:tc>
          <w:tcPr>
            <w:tcW w:w="1710" w:type="dxa"/>
            <w:noWrap/>
            <w:hideMark/>
          </w:tcPr>
          <w:p w14:paraId="073932B8"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Athol</w:t>
            </w:r>
          </w:p>
        </w:tc>
        <w:tc>
          <w:tcPr>
            <w:tcW w:w="4500" w:type="dxa"/>
            <w:hideMark/>
          </w:tcPr>
          <w:p w14:paraId="385B818E"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Athol, Erving, New Salem, Orange, </w:t>
            </w:r>
            <w:proofErr w:type="spellStart"/>
            <w:r w:rsidRPr="00AB52B6">
              <w:rPr>
                <w:rFonts w:ascii="Cambria" w:eastAsia="Times New Roman" w:hAnsi="Cambria" w:cs="Calibri"/>
                <w:color w:val="000000"/>
              </w:rPr>
              <w:t>Petersham</w:t>
            </w:r>
            <w:proofErr w:type="spellEnd"/>
            <w:r w:rsidRPr="00AB52B6">
              <w:rPr>
                <w:rFonts w:ascii="Cambria" w:eastAsia="Times New Roman" w:hAnsi="Cambria" w:cs="Calibri"/>
                <w:color w:val="000000"/>
              </w:rPr>
              <w:t xml:space="preserve">, </w:t>
            </w:r>
            <w:proofErr w:type="spellStart"/>
            <w:r w:rsidRPr="00AB52B6">
              <w:rPr>
                <w:rFonts w:ascii="Cambria" w:eastAsia="Times New Roman" w:hAnsi="Cambria" w:cs="Calibri"/>
                <w:color w:val="000000"/>
              </w:rPr>
              <w:t>Phillipston</w:t>
            </w:r>
            <w:proofErr w:type="spellEnd"/>
            <w:r w:rsidRPr="00AB52B6">
              <w:rPr>
                <w:rFonts w:ascii="Cambria" w:eastAsia="Times New Roman" w:hAnsi="Cambria" w:cs="Calibri"/>
                <w:color w:val="000000"/>
              </w:rPr>
              <w:t xml:space="preserve">, </w:t>
            </w:r>
            <w:proofErr w:type="spellStart"/>
            <w:r w:rsidRPr="00AB52B6">
              <w:rPr>
                <w:rFonts w:ascii="Cambria" w:eastAsia="Times New Roman" w:hAnsi="Cambria" w:cs="Calibri"/>
                <w:color w:val="000000"/>
              </w:rPr>
              <w:t>Royalston</w:t>
            </w:r>
            <w:proofErr w:type="spellEnd"/>
            <w:r w:rsidRPr="00AB52B6">
              <w:rPr>
                <w:rFonts w:ascii="Cambria" w:eastAsia="Times New Roman" w:hAnsi="Cambria" w:cs="Calibri"/>
                <w:color w:val="000000"/>
              </w:rPr>
              <w:t xml:space="preserve">, Warwick, Wendell </w:t>
            </w:r>
          </w:p>
        </w:tc>
      </w:tr>
      <w:tr w:rsidR="00AB52B6" w:rsidRPr="00AB52B6" w14:paraId="661B4566" w14:textId="77777777" w:rsidTr="0075791C">
        <w:trPr>
          <w:trHeight w:val="600"/>
        </w:trPr>
        <w:tc>
          <w:tcPr>
            <w:tcW w:w="4405" w:type="dxa"/>
            <w:noWrap/>
            <w:hideMark/>
          </w:tcPr>
          <w:p w14:paraId="11FD6A1D"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Northern Berkshire Community Coalition </w:t>
            </w:r>
          </w:p>
        </w:tc>
        <w:tc>
          <w:tcPr>
            <w:tcW w:w="1710" w:type="dxa"/>
            <w:noWrap/>
            <w:hideMark/>
          </w:tcPr>
          <w:p w14:paraId="41DC8BD7"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North Adams</w:t>
            </w:r>
          </w:p>
        </w:tc>
        <w:tc>
          <w:tcPr>
            <w:tcW w:w="4500" w:type="dxa"/>
            <w:hideMark/>
          </w:tcPr>
          <w:p w14:paraId="44ED7E83"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Adams, Cheshire, Clarksburg, Florida, New Ashford, North Adams, Savoy, Williamstown</w:t>
            </w:r>
          </w:p>
        </w:tc>
      </w:tr>
      <w:tr w:rsidR="00AB52B6" w:rsidRPr="00AB52B6" w14:paraId="07F49223" w14:textId="77777777" w:rsidTr="0075791C">
        <w:trPr>
          <w:trHeight w:val="600"/>
        </w:trPr>
        <w:tc>
          <w:tcPr>
            <w:tcW w:w="4405" w:type="dxa"/>
            <w:noWrap/>
            <w:hideMark/>
          </w:tcPr>
          <w:p w14:paraId="3F4243C7"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lastRenderedPageBreak/>
              <w:t xml:space="preserve">Outer Cape Community Solutions </w:t>
            </w:r>
          </w:p>
        </w:tc>
        <w:tc>
          <w:tcPr>
            <w:tcW w:w="1710" w:type="dxa"/>
            <w:noWrap/>
            <w:hideMark/>
          </w:tcPr>
          <w:p w14:paraId="6C2F0E72"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Harwich Port</w:t>
            </w:r>
          </w:p>
        </w:tc>
        <w:tc>
          <w:tcPr>
            <w:tcW w:w="4500" w:type="dxa"/>
            <w:hideMark/>
          </w:tcPr>
          <w:p w14:paraId="644A0D7E"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Brewster, Chatham, Eastham, Orleans, Provincetown, Truro, Wellfleet </w:t>
            </w:r>
          </w:p>
        </w:tc>
      </w:tr>
      <w:tr w:rsidR="00AB52B6" w:rsidRPr="00AB52B6" w14:paraId="477E2542" w14:textId="77777777" w:rsidTr="0075791C">
        <w:trPr>
          <w:trHeight w:val="1200"/>
        </w:trPr>
        <w:tc>
          <w:tcPr>
            <w:tcW w:w="4405" w:type="dxa"/>
            <w:noWrap/>
            <w:hideMark/>
          </w:tcPr>
          <w:p w14:paraId="4C9709C1"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Southern Berkshire Rural Health Network </w:t>
            </w:r>
          </w:p>
        </w:tc>
        <w:tc>
          <w:tcPr>
            <w:tcW w:w="1710" w:type="dxa"/>
            <w:noWrap/>
            <w:hideMark/>
          </w:tcPr>
          <w:p w14:paraId="595DFE10"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Great Barrington</w:t>
            </w:r>
          </w:p>
        </w:tc>
        <w:tc>
          <w:tcPr>
            <w:tcW w:w="4500" w:type="dxa"/>
            <w:hideMark/>
          </w:tcPr>
          <w:p w14:paraId="05E89A8F"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Alford, Egremont, Great Barrington, Lee, Lenox, Monterey, Mount Washington, New Marlborough, Otis, Sandisfield, Sheffield, Stockbridge, </w:t>
            </w:r>
            <w:proofErr w:type="spellStart"/>
            <w:r w:rsidRPr="00AB52B6">
              <w:rPr>
                <w:rFonts w:ascii="Cambria" w:eastAsia="Times New Roman" w:hAnsi="Cambria" w:cs="Calibri"/>
                <w:color w:val="000000"/>
              </w:rPr>
              <w:t>Tyringham</w:t>
            </w:r>
            <w:proofErr w:type="spellEnd"/>
            <w:r w:rsidRPr="00AB52B6">
              <w:rPr>
                <w:rFonts w:ascii="Cambria" w:eastAsia="Times New Roman" w:hAnsi="Cambria" w:cs="Calibri"/>
                <w:color w:val="000000"/>
              </w:rPr>
              <w:t xml:space="preserve">, West Stockbridge </w:t>
            </w:r>
          </w:p>
        </w:tc>
      </w:tr>
    </w:tbl>
    <w:p w14:paraId="4D682F7D" w14:textId="77777777" w:rsidR="00AB52B6" w:rsidRPr="00AB52B6" w:rsidRDefault="00AB52B6" w:rsidP="00AB52B6">
      <w:pPr>
        <w:spacing w:after="160" w:line="259" w:lineRule="auto"/>
        <w:ind w:left="0"/>
        <w:rPr>
          <w:rFonts w:ascii="Cambria" w:eastAsia="Calibri" w:hAnsi="Cambria" w:cs="Times New Roman"/>
          <w:b/>
          <w:bCs/>
          <w:color w:val="auto"/>
          <w:lang w:eastAsia="en-US"/>
        </w:rPr>
      </w:pPr>
    </w:p>
    <w:p w14:paraId="30F2B86F" w14:textId="77777777" w:rsidR="00AB52B6" w:rsidRPr="00AB52B6" w:rsidRDefault="00AB52B6" w:rsidP="00AB52B6">
      <w:pPr>
        <w:spacing w:after="160" w:line="259" w:lineRule="auto"/>
        <w:ind w:left="0"/>
        <w:rPr>
          <w:rFonts w:ascii="Cambria" w:eastAsia="Calibri" w:hAnsi="Cambria" w:cs="Times New Roman"/>
          <w:b/>
          <w:bCs/>
          <w:color w:val="auto"/>
          <w:lang w:eastAsia="en-US"/>
        </w:rPr>
      </w:pPr>
      <w:r w:rsidRPr="00AB52B6">
        <w:rPr>
          <w:rFonts w:ascii="Cambria" w:eastAsia="Calibri" w:hAnsi="Cambria" w:cs="Times New Roman"/>
          <w:b/>
          <w:bCs/>
          <w:color w:val="auto"/>
          <w:lang w:eastAsia="en-US"/>
        </w:rPr>
        <w:t>30 Vaccine Access and Administration Organizations funded through VEI</w:t>
      </w:r>
    </w:p>
    <w:tbl>
      <w:tblPr>
        <w:tblStyle w:val="TableGrid1"/>
        <w:tblW w:w="0" w:type="auto"/>
        <w:tblLook w:val="04A0" w:firstRow="1" w:lastRow="0" w:firstColumn="1" w:lastColumn="0" w:noHBand="0" w:noVBand="1"/>
      </w:tblPr>
      <w:tblGrid>
        <w:gridCol w:w="4831"/>
        <w:gridCol w:w="1795"/>
        <w:gridCol w:w="3989"/>
      </w:tblGrid>
      <w:tr w:rsidR="00AB52B6" w:rsidRPr="00AB52B6" w14:paraId="77D722A6" w14:textId="77777777" w:rsidTr="0075791C">
        <w:trPr>
          <w:trHeight w:val="537"/>
        </w:trPr>
        <w:tc>
          <w:tcPr>
            <w:tcW w:w="4831" w:type="dxa"/>
            <w:noWrap/>
            <w:vAlign w:val="center"/>
            <w:hideMark/>
          </w:tcPr>
          <w:p w14:paraId="6A9A54FC" w14:textId="77777777" w:rsidR="00AB52B6" w:rsidRPr="00AB52B6" w:rsidRDefault="00AB52B6" w:rsidP="00AB52B6">
            <w:pPr>
              <w:rPr>
                <w:rFonts w:ascii="Cambria" w:eastAsia="Calibri" w:hAnsi="Cambria" w:cs="Calibri"/>
                <w:b/>
                <w:bCs/>
              </w:rPr>
            </w:pPr>
            <w:r w:rsidRPr="00AB52B6">
              <w:rPr>
                <w:rFonts w:ascii="Cambria" w:eastAsia="Calibri" w:hAnsi="Cambria" w:cs="Calibri"/>
                <w:b/>
                <w:bCs/>
              </w:rPr>
              <w:t xml:space="preserve">VAA Organizations </w:t>
            </w:r>
          </w:p>
        </w:tc>
        <w:tc>
          <w:tcPr>
            <w:tcW w:w="1795" w:type="dxa"/>
            <w:noWrap/>
            <w:vAlign w:val="center"/>
            <w:hideMark/>
          </w:tcPr>
          <w:p w14:paraId="3DBB3F82" w14:textId="77777777" w:rsidR="00AB52B6" w:rsidRPr="00AB52B6" w:rsidRDefault="00AB52B6" w:rsidP="00AB52B6">
            <w:pPr>
              <w:rPr>
                <w:rFonts w:ascii="Cambria" w:eastAsia="Calibri" w:hAnsi="Cambria" w:cs="Calibri"/>
                <w:b/>
                <w:bCs/>
              </w:rPr>
            </w:pPr>
            <w:r w:rsidRPr="00AB52B6">
              <w:rPr>
                <w:rFonts w:ascii="Cambria" w:eastAsia="Calibri" w:hAnsi="Cambria" w:cs="Calibri"/>
                <w:b/>
                <w:bCs/>
              </w:rPr>
              <w:t>Organization Location</w:t>
            </w:r>
          </w:p>
        </w:tc>
        <w:tc>
          <w:tcPr>
            <w:tcW w:w="3989" w:type="dxa"/>
            <w:vAlign w:val="center"/>
            <w:hideMark/>
          </w:tcPr>
          <w:p w14:paraId="538030A6" w14:textId="77777777" w:rsidR="00AB52B6" w:rsidRPr="00AB52B6" w:rsidRDefault="00AB52B6" w:rsidP="00AB52B6">
            <w:pPr>
              <w:rPr>
                <w:rFonts w:ascii="Cambria" w:eastAsia="Calibri" w:hAnsi="Cambria" w:cs="Calibri"/>
                <w:b/>
                <w:bCs/>
              </w:rPr>
            </w:pPr>
            <w:r w:rsidRPr="00AB52B6">
              <w:rPr>
                <w:rFonts w:ascii="Cambria" w:eastAsia="Calibri" w:hAnsi="Cambria" w:cs="Calibri"/>
                <w:b/>
                <w:bCs/>
              </w:rPr>
              <w:t xml:space="preserve"> Areas Served  </w:t>
            </w:r>
          </w:p>
        </w:tc>
      </w:tr>
      <w:tr w:rsidR="00AB52B6" w:rsidRPr="00AB52B6" w14:paraId="1DCB4CCA" w14:textId="77777777" w:rsidTr="0075791C">
        <w:trPr>
          <w:trHeight w:val="537"/>
        </w:trPr>
        <w:tc>
          <w:tcPr>
            <w:tcW w:w="4831" w:type="dxa"/>
            <w:noWrap/>
            <w:vAlign w:val="center"/>
            <w:hideMark/>
          </w:tcPr>
          <w:p w14:paraId="13592C0D" w14:textId="77777777" w:rsidR="00AB52B6" w:rsidRPr="00AB52B6" w:rsidRDefault="00AB52B6" w:rsidP="00AB52B6">
            <w:pPr>
              <w:rPr>
                <w:rFonts w:ascii="Cambria" w:eastAsia="Calibri" w:hAnsi="Cambria" w:cs="Calibri"/>
              </w:rPr>
            </w:pPr>
            <w:r w:rsidRPr="00AB52B6">
              <w:rPr>
                <w:rFonts w:ascii="Cambria" w:eastAsia="Calibri" w:hAnsi="Cambria" w:cs="Calibri"/>
              </w:rPr>
              <w:t>AIDS Project Worcester</w:t>
            </w:r>
          </w:p>
        </w:tc>
        <w:tc>
          <w:tcPr>
            <w:tcW w:w="1795" w:type="dxa"/>
            <w:noWrap/>
            <w:vAlign w:val="center"/>
            <w:hideMark/>
          </w:tcPr>
          <w:p w14:paraId="5EFB9802" w14:textId="77777777" w:rsidR="00AB52B6" w:rsidRPr="00AB52B6" w:rsidRDefault="00AB52B6" w:rsidP="00AB52B6">
            <w:pPr>
              <w:rPr>
                <w:rFonts w:ascii="Cambria" w:eastAsia="Calibri" w:hAnsi="Cambria" w:cs="Calibri"/>
              </w:rPr>
            </w:pPr>
            <w:r w:rsidRPr="00AB52B6">
              <w:rPr>
                <w:rFonts w:ascii="Cambria" w:eastAsia="Calibri" w:hAnsi="Cambria" w:cs="Calibri"/>
              </w:rPr>
              <w:t>Worcester</w:t>
            </w:r>
          </w:p>
        </w:tc>
        <w:tc>
          <w:tcPr>
            <w:tcW w:w="3989" w:type="dxa"/>
            <w:noWrap/>
            <w:vAlign w:val="center"/>
            <w:hideMark/>
          </w:tcPr>
          <w:p w14:paraId="750361C9" w14:textId="77777777" w:rsidR="00AB52B6" w:rsidRPr="00AB52B6" w:rsidRDefault="00AB52B6" w:rsidP="00AB52B6">
            <w:pPr>
              <w:rPr>
                <w:rFonts w:ascii="Cambria" w:eastAsia="Calibri" w:hAnsi="Cambria" w:cs="Calibri"/>
              </w:rPr>
            </w:pPr>
            <w:r w:rsidRPr="00AB52B6">
              <w:rPr>
                <w:rFonts w:ascii="Cambria" w:eastAsia="Calibri" w:hAnsi="Cambria" w:cs="Calibri"/>
              </w:rPr>
              <w:t>Fitchburg, Leominster, Worcester  </w:t>
            </w:r>
          </w:p>
        </w:tc>
      </w:tr>
      <w:tr w:rsidR="00AB52B6" w:rsidRPr="00AB52B6" w14:paraId="6EF48A6C" w14:textId="77777777" w:rsidTr="0075791C">
        <w:trPr>
          <w:trHeight w:val="537"/>
        </w:trPr>
        <w:tc>
          <w:tcPr>
            <w:tcW w:w="4831" w:type="dxa"/>
            <w:noWrap/>
            <w:vAlign w:val="center"/>
            <w:hideMark/>
          </w:tcPr>
          <w:p w14:paraId="1B4DA319" w14:textId="77777777" w:rsidR="00AB52B6" w:rsidRPr="00AB52B6" w:rsidRDefault="00AB52B6" w:rsidP="00AB52B6">
            <w:pPr>
              <w:rPr>
                <w:rFonts w:ascii="Cambria" w:eastAsia="Calibri" w:hAnsi="Cambria" w:cs="Calibri"/>
              </w:rPr>
            </w:pPr>
            <w:r w:rsidRPr="00AB52B6">
              <w:rPr>
                <w:rFonts w:ascii="Cambria" w:eastAsia="Calibri" w:hAnsi="Cambria" w:cs="Calibri"/>
              </w:rPr>
              <w:t xml:space="preserve">Behavioral Health Network, Inc. </w:t>
            </w:r>
          </w:p>
        </w:tc>
        <w:tc>
          <w:tcPr>
            <w:tcW w:w="1795" w:type="dxa"/>
            <w:noWrap/>
            <w:vAlign w:val="center"/>
            <w:hideMark/>
          </w:tcPr>
          <w:p w14:paraId="0C76B506" w14:textId="77777777" w:rsidR="00AB52B6" w:rsidRPr="00AB52B6" w:rsidRDefault="00AB52B6" w:rsidP="00AB52B6">
            <w:pPr>
              <w:rPr>
                <w:rFonts w:ascii="Cambria" w:eastAsia="Calibri" w:hAnsi="Cambria" w:cs="Calibri"/>
              </w:rPr>
            </w:pPr>
            <w:r w:rsidRPr="00AB52B6">
              <w:rPr>
                <w:rFonts w:ascii="Cambria" w:eastAsia="Calibri" w:hAnsi="Cambria" w:cs="Calibri"/>
              </w:rPr>
              <w:t>Springfield</w:t>
            </w:r>
          </w:p>
        </w:tc>
        <w:tc>
          <w:tcPr>
            <w:tcW w:w="3989" w:type="dxa"/>
            <w:noWrap/>
            <w:vAlign w:val="center"/>
            <w:hideMark/>
          </w:tcPr>
          <w:p w14:paraId="410B70D6" w14:textId="77777777" w:rsidR="00AB52B6" w:rsidRPr="00AB52B6" w:rsidRDefault="00AB52B6" w:rsidP="00AB52B6">
            <w:pPr>
              <w:rPr>
                <w:rFonts w:ascii="Cambria" w:eastAsia="Calibri" w:hAnsi="Cambria" w:cs="Calibri"/>
              </w:rPr>
            </w:pPr>
            <w:r w:rsidRPr="00AB52B6">
              <w:rPr>
                <w:rFonts w:ascii="Cambria" w:eastAsia="Calibri" w:hAnsi="Cambria" w:cs="Calibri"/>
              </w:rPr>
              <w:t xml:space="preserve">Holyoke, Springfield  </w:t>
            </w:r>
          </w:p>
        </w:tc>
      </w:tr>
      <w:tr w:rsidR="00AB52B6" w:rsidRPr="00AB52B6" w14:paraId="562608BB" w14:textId="77777777" w:rsidTr="0075791C">
        <w:trPr>
          <w:trHeight w:val="537"/>
        </w:trPr>
        <w:tc>
          <w:tcPr>
            <w:tcW w:w="4831" w:type="dxa"/>
            <w:noWrap/>
            <w:vAlign w:val="center"/>
            <w:hideMark/>
          </w:tcPr>
          <w:p w14:paraId="366F326B" w14:textId="77777777" w:rsidR="00AB52B6" w:rsidRPr="00AB52B6" w:rsidRDefault="00AB52B6" w:rsidP="00AB52B6">
            <w:pPr>
              <w:rPr>
                <w:rFonts w:ascii="Cambria" w:eastAsia="Calibri" w:hAnsi="Cambria" w:cs="Calibri"/>
              </w:rPr>
            </w:pPr>
            <w:r w:rsidRPr="00AB52B6">
              <w:rPr>
                <w:rFonts w:ascii="Cambria" w:eastAsia="Calibri" w:hAnsi="Cambria" w:cs="Calibri"/>
              </w:rPr>
              <w:t>Boston Healthcare for the Homeless Program</w:t>
            </w:r>
          </w:p>
        </w:tc>
        <w:tc>
          <w:tcPr>
            <w:tcW w:w="1795" w:type="dxa"/>
            <w:noWrap/>
            <w:vAlign w:val="center"/>
            <w:hideMark/>
          </w:tcPr>
          <w:p w14:paraId="62EDFCF9" w14:textId="77777777" w:rsidR="00AB52B6" w:rsidRPr="00AB52B6" w:rsidRDefault="00AB52B6" w:rsidP="00AB52B6">
            <w:pPr>
              <w:rPr>
                <w:rFonts w:ascii="Cambria" w:eastAsia="Calibri" w:hAnsi="Cambria" w:cs="Calibri"/>
              </w:rPr>
            </w:pPr>
            <w:r w:rsidRPr="00AB52B6">
              <w:rPr>
                <w:rFonts w:ascii="Cambria" w:eastAsia="Calibri" w:hAnsi="Cambria" w:cs="Calibri"/>
              </w:rPr>
              <w:t>Boston</w:t>
            </w:r>
          </w:p>
        </w:tc>
        <w:tc>
          <w:tcPr>
            <w:tcW w:w="3989" w:type="dxa"/>
            <w:noWrap/>
            <w:vAlign w:val="center"/>
            <w:hideMark/>
          </w:tcPr>
          <w:p w14:paraId="5F0ECEF2" w14:textId="77777777" w:rsidR="00AB52B6" w:rsidRPr="00AB52B6" w:rsidRDefault="00AB52B6" w:rsidP="00AB52B6">
            <w:pPr>
              <w:rPr>
                <w:rFonts w:ascii="Cambria" w:eastAsia="Calibri" w:hAnsi="Cambria" w:cs="Calibri"/>
              </w:rPr>
            </w:pPr>
            <w:r w:rsidRPr="00AB52B6">
              <w:rPr>
                <w:rFonts w:ascii="Cambria" w:eastAsia="Calibri" w:hAnsi="Cambria" w:cs="Calibri"/>
              </w:rPr>
              <w:t>Boston</w:t>
            </w:r>
          </w:p>
        </w:tc>
      </w:tr>
      <w:tr w:rsidR="00AB52B6" w:rsidRPr="00AB52B6" w14:paraId="6AEE8595" w14:textId="77777777" w:rsidTr="0075791C">
        <w:trPr>
          <w:trHeight w:val="537"/>
        </w:trPr>
        <w:tc>
          <w:tcPr>
            <w:tcW w:w="4831" w:type="dxa"/>
            <w:noWrap/>
            <w:vAlign w:val="center"/>
            <w:hideMark/>
          </w:tcPr>
          <w:p w14:paraId="0C29E094" w14:textId="77777777" w:rsidR="00AB52B6" w:rsidRPr="00AB52B6" w:rsidRDefault="00AB52B6" w:rsidP="00AB52B6">
            <w:pPr>
              <w:rPr>
                <w:rFonts w:ascii="Cambria" w:eastAsia="Calibri" w:hAnsi="Cambria" w:cs="Calibri"/>
              </w:rPr>
            </w:pPr>
            <w:r w:rsidRPr="00AB52B6">
              <w:rPr>
                <w:rFonts w:ascii="Cambria" w:eastAsia="Calibri" w:hAnsi="Cambria" w:cs="Calibri"/>
              </w:rPr>
              <w:t>Boston Medical Center</w:t>
            </w:r>
          </w:p>
        </w:tc>
        <w:tc>
          <w:tcPr>
            <w:tcW w:w="1795" w:type="dxa"/>
            <w:noWrap/>
            <w:vAlign w:val="center"/>
            <w:hideMark/>
          </w:tcPr>
          <w:p w14:paraId="3D993DCC" w14:textId="77777777" w:rsidR="00AB52B6" w:rsidRPr="00AB52B6" w:rsidRDefault="00AB52B6" w:rsidP="00AB52B6">
            <w:pPr>
              <w:rPr>
                <w:rFonts w:ascii="Cambria" w:eastAsia="Calibri" w:hAnsi="Cambria" w:cs="Calibri"/>
              </w:rPr>
            </w:pPr>
            <w:r w:rsidRPr="00AB52B6">
              <w:rPr>
                <w:rFonts w:ascii="Cambria" w:eastAsia="Calibri" w:hAnsi="Cambria" w:cs="Calibri"/>
              </w:rPr>
              <w:t>Boston</w:t>
            </w:r>
          </w:p>
        </w:tc>
        <w:tc>
          <w:tcPr>
            <w:tcW w:w="3989" w:type="dxa"/>
            <w:noWrap/>
            <w:vAlign w:val="center"/>
            <w:hideMark/>
          </w:tcPr>
          <w:p w14:paraId="3AE47F25" w14:textId="77777777" w:rsidR="00AB52B6" w:rsidRPr="00AB52B6" w:rsidRDefault="00AB52B6" w:rsidP="00AB52B6">
            <w:pPr>
              <w:rPr>
                <w:rFonts w:ascii="Cambria" w:eastAsia="Calibri" w:hAnsi="Cambria" w:cs="Calibri"/>
              </w:rPr>
            </w:pPr>
            <w:r w:rsidRPr="00AB52B6">
              <w:rPr>
                <w:rFonts w:ascii="Cambria" w:eastAsia="Calibri" w:hAnsi="Cambria" w:cs="Calibri"/>
              </w:rPr>
              <w:t>Boston</w:t>
            </w:r>
          </w:p>
        </w:tc>
      </w:tr>
      <w:tr w:rsidR="00AB52B6" w:rsidRPr="00AB52B6" w14:paraId="40D51420" w14:textId="77777777" w:rsidTr="0075791C">
        <w:trPr>
          <w:trHeight w:val="537"/>
        </w:trPr>
        <w:tc>
          <w:tcPr>
            <w:tcW w:w="4831" w:type="dxa"/>
            <w:noWrap/>
            <w:vAlign w:val="center"/>
            <w:hideMark/>
          </w:tcPr>
          <w:p w14:paraId="5B87887C" w14:textId="77777777" w:rsidR="00AB52B6" w:rsidRPr="00AB52B6" w:rsidRDefault="00AB52B6" w:rsidP="00AB52B6">
            <w:pPr>
              <w:rPr>
                <w:rFonts w:ascii="Cambria" w:eastAsia="Calibri" w:hAnsi="Cambria" w:cs="Calibri"/>
              </w:rPr>
            </w:pPr>
            <w:r w:rsidRPr="00AB52B6">
              <w:rPr>
                <w:rFonts w:ascii="Cambria" w:eastAsia="Calibri" w:hAnsi="Cambria" w:cs="Calibri"/>
              </w:rPr>
              <w:t>Cambridge Health Alliance</w:t>
            </w:r>
          </w:p>
        </w:tc>
        <w:tc>
          <w:tcPr>
            <w:tcW w:w="1795" w:type="dxa"/>
            <w:noWrap/>
            <w:vAlign w:val="center"/>
            <w:hideMark/>
          </w:tcPr>
          <w:p w14:paraId="798BD17D" w14:textId="77777777" w:rsidR="00AB52B6" w:rsidRPr="00AB52B6" w:rsidRDefault="00AB52B6" w:rsidP="00AB52B6">
            <w:pPr>
              <w:rPr>
                <w:rFonts w:ascii="Cambria" w:eastAsia="Calibri" w:hAnsi="Cambria" w:cs="Calibri"/>
              </w:rPr>
            </w:pPr>
            <w:r w:rsidRPr="00AB52B6">
              <w:rPr>
                <w:rFonts w:ascii="Cambria" w:eastAsia="Calibri" w:hAnsi="Cambria" w:cs="Calibri"/>
              </w:rPr>
              <w:t>Cambridge</w:t>
            </w:r>
          </w:p>
        </w:tc>
        <w:tc>
          <w:tcPr>
            <w:tcW w:w="3989" w:type="dxa"/>
            <w:noWrap/>
            <w:vAlign w:val="center"/>
            <w:hideMark/>
          </w:tcPr>
          <w:p w14:paraId="03F09D74" w14:textId="77777777" w:rsidR="00AB52B6" w:rsidRPr="00AB52B6" w:rsidRDefault="00AB52B6" w:rsidP="00AB52B6">
            <w:pPr>
              <w:rPr>
                <w:rFonts w:ascii="Cambria" w:eastAsia="Calibri" w:hAnsi="Cambria" w:cs="Calibri"/>
              </w:rPr>
            </w:pPr>
            <w:r w:rsidRPr="00AB52B6">
              <w:rPr>
                <w:rFonts w:ascii="Cambria" w:eastAsia="Calibri" w:hAnsi="Cambria" w:cs="Calibri"/>
              </w:rPr>
              <w:t>Chelsea, Everett, Malden, Revere  </w:t>
            </w:r>
          </w:p>
        </w:tc>
      </w:tr>
      <w:tr w:rsidR="00AB52B6" w:rsidRPr="00AB52B6" w14:paraId="206E1808" w14:textId="77777777" w:rsidTr="0075791C">
        <w:trPr>
          <w:trHeight w:val="537"/>
        </w:trPr>
        <w:tc>
          <w:tcPr>
            <w:tcW w:w="4831" w:type="dxa"/>
            <w:noWrap/>
            <w:vAlign w:val="center"/>
            <w:hideMark/>
          </w:tcPr>
          <w:p w14:paraId="4971F72D" w14:textId="77777777" w:rsidR="00AB52B6" w:rsidRPr="00AB52B6" w:rsidRDefault="00AB52B6" w:rsidP="00AB52B6">
            <w:pPr>
              <w:rPr>
                <w:rFonts w:ascii="Cambria" w:eastAsia="Calibri" w:hAnsi="Cambria" w:cs="Calibri"/>
              </w:rPr>
            </w:pPr>
            <w:r w:rsidRPr="00AB52B6">
              <w:rPr>
                <w:rFonts w:ascii="Cambria" w:eastAsia="Calibri" w:hAnsi="Cambria" w:cs="Calibri"/>
              </w:rPr>
              <w:t>Caring Health Center, Inc.</w:t>
            </w:r>
          </w:p>
        </w:tc>
        <w:tc>
          <w:tcPr>
            <w:tcW w:w="1795" w:type="dxa"/>
            <w:noWrap/>
            <w:vAlign w:val="center"/>
            <w:hideMark/>
          </w:tcPr>
          <w:p w14:paraId="3424543D" w14:textId="77777777" w:rsidR="00AB52B6" w:rsidRPr="00AB52B6" w:rsidRDefault="00AB52B6" w:rsidP="00AB52B6">
            <w:pPr>
              <w:rPr>
                <w:rFonts w:ascii="Cambria" w:eastAsia="Calibri" w:hAnsi="Cambria" w:cs="Calibri"/>
              </w:rPr>
            </w:pPr>
            <w:r w:rsidRPr="00AB52B6">
              <w:rPr>
                <w:rFonts w:ascii="Cambria" w:eastAsia="Calibri" w:hAnsi="Cambria" w:cs="Calibri"/>
              </w:rPr>
              <w:t>Springfield</w:t>
            </w:r>
          </w:p>
        </w:tc>
        <w:tc>
          <w:tcPr>
            <w:tcW w:w="3989" w:type="dxa"/>
            <w:noWrap/>
            <w:vAlign w:val="center"/>
            <w:hideMark/>
          </w:tcPr>
          <w:p w14:paraId="70C0684C" w14:textId="77777777" w:rsidR="00AB52B6" w:rsidRPr="00AB52B6" w:rsidRDefault="00AB52B6" w:rsidP="00AB52B6">
            <w:pPr>
              <w:rPr>
                <w:rFonts w:ascii="Cambria" w:eastAsia="Calibri" w:hAnsi="Cambria" w:cs="Calibri"/>
              </w:rPr>
            </w:pPr>
            <w:r w:rsidRPr="00AB52B6">
              <w:rPr>
                <w:rFonts w:ascii="Cambria" w:eastAsia="Calibri" w:hAnsi="Cambria" w:cs="Calibri"/>
              </w:rPr>
              <w:t>Springfield</w:t>
            </w:r>
          </w:p>
        </w:tc>
      </w:tr>
      <w:tr w:rsidR="00AB52B6" w:rsidRPr="00AB52B6" w14:paraId="7D54FA4B" w14:textId="77777777" w:rsidTr="0075791C">
        <w:trPr>
          <w:trHeight w:val="537"/>
        </w:trPr>
        <w:tc>
          <w:tcPr>
            <w:tcW w:w="4831" w:type="dxa"/>
            <w:noWrap/>
            <w:vAlign w:val="center"/>
            <w:hideMark/>
          </w:tcPr>
          <w:p w14:paraId="3A9CBE74" w14:textId="77777777" w:rsidR="00AB52B6" w:rsidRPr="00AB52B6" w:rsidRDefault="00AB52B6" w:rsidP="00AB52B6">
            <w:pPr>
              <w:rPr>
                <w:rFonts w:ascii="Cambria" w:eastAsia="Calibri" w:hAnsi="Cambria" w:cs="Calibri"/>
              </w:rPr>
            </w:pPr>
            <w:r w:rsidRPr="00AB52B6">
              <w:rPr>
                <w:rFonts w:ascii="Cambria" w:eastAsia="Calibri" w:hAnsi="Cambria" w:cs="Calibri"/>
              </w:rPr>
              <w:t>Centro Las Americas, Inc.</w:t>
            </w:r>
          </w:p>
        </w:tc>
        <w:tc>
          <w:tcPr>
            <w:tcW w:w="1795" w:type="dxa"/>
            <w:noWrap/>
            <w:vAlign w:val="center"/>
            <w:hideMark/>
          </w:tcPr>
          <w:p w14:paraId="2A432FEC" w14:textId="77777777" w:rsidR="00AB52B6" w:rsidRPr="00AB52B6" w:rsidRDefault="00AB52B6" w:rsidP="00AB52B6">
            <w:pPr>
              <w:rPr>
                <w:rFonts w:ascii="Cambria" w:eastAsia="Calibri" w:hAnsi="Cambria" w:cs="Calibri"/>
              </w:rPr>
            </w:pPr>
            <w:r w:rsidRPr="00AB52B6">
              <w:rPr>
                <w:rFonts w:ascii="Cambria" w:eastAsia="Calibri" w:hAnsi="Cambria" w:cs="Calibri"/>
              </w:rPr>
              <w:t>Worcester</w:t>
            </w:r>
          </w:p>
        </w:tc>
        <w:tc>
          <w:tcPr>
            <w:tcW w:w="3989" w:type="dxa"/>
            <w:noWrap/>
            <w:vAlign w:val="center"/>
            <w:hideMark/>
          </w:tcPr>
          <w:p w14:paraId="6E924B05" w14:textId="77777777" w:rsidR="00AB52B6" w:rsidRPr="00AB52B6" w:rsidRDefault="00AB52B6" w:rsidP="00AB52B6">
            <w:pPr>
              <w:rPr>
                <w:rFonts w:ascii="Cambria" w:eastAsia="Calibri" w:hAnsi="Cambria" w:cs="Calibri"/>
              </w:rPr>
            </w:pPr>
            <w:r w:rsidRPr="00AB52B6">
              <w:rPr>
                <w:rFonts w:ascii="Cambria" w:eastAsia="Calibri" w:hAnsi="Cambria" w:cs="Calibri"/>
              </w:rPr>
              <w:t>Worcester</w:t>
            </w:r>
          </w:p>
        </w:tc>
      </w:tr>
      <w:tr w:rsidR="00AB52B6" w:rsidRPr="00AB52B6" w14:paraId="4D24EE6C" w14:textId="77777777" w:rsidTr="0075791C">
        <w:trPr>
          <w:trHeight w:val="537"/>
        </w:trPr>
        <w:tc>
          <w:tcPr>
            <w:tcW w:w="4831" w:type="dxa"/>
            <w:noWrap/>
            <w:vAlign w:val="center"/>
            <w:hideMark/>
          </w:tcPr>
          <w:p w14:paraId="40131CA3" w14:textId="77777777" w:rsidR="00AB52B6" w:rsidRPr="00AB52B6" w:rsidRDefault="00AB52B6" w:rsidP="00AB52B6">
            <w:pPr>
              <w:rPr>
                <w:rFonts w:ascii="Cambria" w:eastAsia="Calibri" w:hAnsi="Cambria" w:cs="Calibri"/>
              </w:rPr>
            </w:pPr>
            <w:r w:rsidRPr="00AB52B6">
              <w:rPr>
                <w:rFonts w:ascii="Cambria" w:eastAsia="Calibri" w:hAnsi="Cambria" w:cs="Calibri"/>
              </w:rPr>
              <w:t>Codman Square Health Center</w:t>
            </w:r>
          </w:p>
        </w:tc>
        <w:tc>
          <w:tcPr>
            <w:tcW w:w="1795" w:type="dxa"/>
            <w:noWrap/>
            <w:vAlign w:val="center"/>
            <w:hideMark/>
          </w:tcPr>
          <w:p w14:paraId="383E69C3" w14:textId="77777777" w:rsidR="00AB52B6" w:rsidRPr="00AB52B6" w:rsidRDefault="00AB52B6" w:rsidP="00AB52B6">
            <w:pPr>
              <w:rPr>
                <w:rFonts w:ascii="Cambria" w:eastAsia="Calibri" w:hAnsi="Cambria" w:cs="Calibri"/>
              </w:rPr>
            </w:pPr>
            <w:r w:rsidRPr="00AB52B6">
              <w:rPr>
                <w:rFonts w:ascii="Cambria" w:eastAsia="Calibri" w:hAnsi="Cambria" w:cs="Calibri"/>
              </w:rPr>
              <w:t>Boston</w:t>
            </w:r>
          </w:p>
        </w:tc>
        <w:tc>
          <w:tcPr>
            <w:tcW w:w="3989" w:type="dxa"/>
            <w:noWrap/>
            <w:vAlign w:val="center"/>
            <w:hideMark/>
          </w:tcPr>
          <w:p w14:paraId="4D6C41CB" w14:textId="77777777" w:rsidR="00AB52B6" w:rsidRPr="00AB52B6" w:rsidRDefault="00AB52B6" w:rsidP="00AB52B6">
            <w:pPr>
              <w:rPr>
                <w:rFonts w:ascii="Cambria" w:eastAsia="Calibri" w:hAnsi="Cambria" w:cs="Calibri"/>
              </w:rPr>
            </w:pPr>
            <w:r w:rsidRPr="00AB52B6">
              <w:rPr>
                <w:rFonts w:ascii="Cambria" w:eastAsia="Calibri" w:hAnsi="Cambria" w:cs="Calibri"/>
              </w:rPr>
              <w:t>Boston</w:t>
            </w:r>
          </w:p>
        </w:tc>
      </w:tr>
      <w:tr w:rsidR="00AB52B6" w:rsidRPr="00AB52B6" w14:paraId="37A09176" w14:textId="77777777" w:rsidTr="0075791C">
        <w:trPr>
          <w:trHeight w:val="537"/>
        </w:trPr>
        <w:tc>
          <w:tcPr>
            <w:tcW w:w="4831" w:type="dxa"/>
            <w:noWrap/>
            <w:vAlign w:val="center"/>
            <w:hideMark/>
          </w:tcPr>
          <w:p w14:paraId="1CDB91BC" w14:textId="77777777" w:rsidR="00AB52B6" w:rsidRPr="00AB52B6" w:rsidRDefault="00AB52B6" w:rsidP="00AB52B6">
            <w:pPr>
              <w:rPr>
                <w:rFonts w:ascii="Cambria" w:eastAsia="Calibri" w:hAnsi="Cambria" w:cs="Calibri"/>
              </w:rPr>
            </w:pPr>
            <w:r w:rsidRPr="00AB52B6">
              <w:rPr>
                <w:rFonts w:ascii="Cambria" w:eastAsia="Calibri" w:hAnsi="Cambria" w:cs="Calibri"/>
              </w:rPr>
              <w:t xml:space="preserve">Community Health Connections Family Health Center  </w:t>
            </w:r>
          </w:p>
        </w:tc>
        <w:tc>
          <w:tcPr>
            <w:tcW w:w="1795" w:type="dxa"/>
            <w:noWrap/>
            <w:vAlign w:val="center"/>
            <w:hideMark/>
          </w:tcPr>
          <w:p w14:paraId="2E728D60" w14:textId="77777777" w:rsidR="00AB52B6" w:rsidRPr="00AB52B6" w:rsidRDefault="00AB52B6" w:rsidP="00AB52B6">
            <w:pPr>
              <w:rPr>
                <w:rFonts w:ascii="Cambria" w:eastAsia="Calibri" w:hAnsi="Cambria" w:cs="Calibri"/>
              </w:rPr>
            </w:pPr>
            <w:r w:rsidRPr="00AB52B6">
              <w:rPr>
                <w:rFonts w:ascii="Cambria" w:eastAsia="Calibri" w:hAnsi="Cambria" w:cs="Calibri"/>
              </w:rPr>
              <w:t>Fitchburg</w:t>
            </w:r>
          </w:p>
        </w:tc>
        <w:tc>
          <w:tcPr>
            <w:tcW w:w="3989" w:type="dxa"/>
            <w:noWrap/>
            <w:vAlign w:val="center"/>
            <w:hideMark/>
          </w:tcPr>
          <w:p w14:paraId="7BA65890" w14:textId="77777777" w:rsidR="00AB52B6" w:rsidRPr="00AB52B6" w:rsidRDefault="00AB52B6" w:rsidP="00AB52B6">
            <w:pPr>
              <w:rPr>
                <w:rFonts w:ascii="Cambria" w:eastAsia="Calibri" w:hAnsi="Cambria" w:cs="Calibri"/>
              </w:rPr>
            </w:pPr>
            <w:r w:rsidRPr="00AB52B6">
              <w:rPr>
                <w:rFonts w:ascii="Cambria" w:eastAsia="Calibri" w:hAnsi="Cambria" w:cs="Calibri"/>
              </w:rPr>
              <w:t>Fitchburg, Gardner, Leominster </w:t>
            </w:r>
          </w:p>
        </w:tc>
      </w:tr>
      <w:tr w:rsidR="00AB52B6" w:rsidRPr="00AB52B6" w14:paraId="0E33F906" w14:textId="77777777" w:rsidTr="0075791C">
        <w:trPr>
          <w:trHeight w:val="537"/>
        </w:trPr>
        <w:tc>
          <w:tcPr>
            <w:tcW w:w="4831" w:type="dxa"/>
            <w:noWrap/>
            <w:vAlign w:val="center"/>
            <w:hideMark/>
          </w:tcPr>
          <w:p w14:paraId="25F92D2B" w14:textId="77777777" w:rsidR="00AB52B6" w:rsidRPr="00AB52B6" w:rsidRDefault="00AB52B6" w:rsidP="00AB52B6">
            <w:pPr>
              <w:rPr>
                <w:rFonts w:ascii="Cambria" w:eastAsia="Calibri" w:hAnsi="Cambria" w:cs="Calibri"/>
              </w:rPr>
            </w:pPr>
            <w:r w:rsidRPr="00AB52B6">
              <w:rPr>
                <w:rFonts w:ascii="Cambria" w:eastAsia="Calibri" w:hAnsi="Cambria" w:cs="Calibri"/>
              </w:rPr>
              <w:t>Dimock Community Services Corp</w:t>
            </w:r>
          </w:p>
        </w:tc>
        <w:tc>
          <w:tcPr>
            <w:tcW w:w="1795" w:type="dxa"/>
            <w:noWrap/>
            <w:vAlign w:val="center"/>
            <w:hideMark/>
          </w:tcPr>
          <w:p w14:paraId="6346812B" w14:textId="77777777" w:rsidR="00AB52B6" w:rsidRPr="00AB52B6" w:rsidRDefault="00AB52B6" w:rsidP="00AB52B6">
            <w:pPr>
              <w:rPr>
                <w:rFonts w:ascii="Cambria" w:eastAsia="Calibri" w:hAnsi="Cambria" w:cs="Calibri"/>
              </w:rPr>
            </w:pPr>
            <w:r w:rsidRPr="00AB52B6">
              <w:rPr>
                <w:rFonts w:ascii="Cambria" w:eastAsia="Calibri" w:hAnsi="Cambria" w:cs="Calibri"/>
              </w:rPr>
              <w:t>Boston</w:t>
            </w:r>
          </w:p>
        </w:tc>
        <w:tc>
          <w:tcPr>
            <w:tcW w:w="3989" w:type="dxa"/>
            <w:noWrap/>
            <w:vAlign w:val="center"/>
            <w:hideMark/>
          </w:tcPr>
          <w:p w14:paraId="22D63174" w14:textId="77777777" w:rsidR="00AB52B6" w:rsidRPr="00AB52B6" w:rsidRDefault="00AB52B6" w:rsidP="00AB52B6">
            <w:pPr>
              <w:rPr>
                <w:rFonts w:ascii="Cambria" w:eastAsia="Calibri" w:hAnsi="Cambria" w:cs="Calibri"/>
              </w:rPr>
            </w:pPr>
            <w:r w:rsidRPr="00AB52B6">
              <w:rPr>
                <w:rFonts w:ascii="Cambria" w:eastAsia="Calibri" w:hAnsi="Cambria" w:cs="Calibri"/>
              </w:rPr>
              <w:t>Boston</w:t>
            </w:r>
          </w:p>
        </w:tc>
      </w:tr>
      <w:tr w:rsidR="00AB52B6" w:rsidRPr="00AB52B6" w14:paraId="49796F05" w14:textId="77777777" w:rsidTr="0075791C">
        <w:trPr>
          <w:trHeight w:val="537"/>
        </w:trPr>
        <w:tc>
          <w:tcPr>
            <w:tcW w:w="4831" w:type="dxa"/>
            <w:noWrap/>
            <w:vAlign w:val="center"/>
            <w:hideMark/>
          </w:tcPr>
          <w:p w14:paraId="7AE51266" w14:textId="77777777" w:rsidR="00AB52B6" w:rsidRPr="00AB52B6" w:rsidRDefault="00AB52B6" w:rsidP="00AB52B6">
            <w:pPr>
              <w:rPr>
                <w:rFonts w:ascii="Cambria" w:eastAsia="Calibri" w:hAnsi="Cambria" w:cs="Calibri"/>
              </w:rPr>
            </w:pPr>
            <w:r w:rsidRPr="00AB52B6">
              <w:rPr>
                <w:rFonts w:ascii="Cambria" w:eastAsia="Calibri" w:hAnsi="Cambria" w:cs="Calibri"/>
              </w:rPr>
              <w:t>Elder Services of the Merrimack Valley</w:t>
            </w:r>
          </w:p>
        </w:tc>
        <w:tc>
          <w:tcPr>
            <w:tcW w:w="1795" w:type="dxa"/>
            <w:noWrap/>
            <w:vAlign w:val="center"/>
            <w:hideMark/>
          </w:tcPr>
          <w:p w14:paraId="40FFCE3D" w14:textId="77777777" w:rsidR="00AB52B6" w:rsidRPr="00AB52B6" w:rsidRDefault="00AB52B6" w:rsidP="00AB52B6">
            <w:pPr>
              <w:rPr>
                <w:rFonts w:ascii="Cambria" w:eastAsia="Calibri" w:hAnsi="Cambria" w:cs="Calibri"/>
              </w:rPr>
            </w:pPr>
            <w:r w:rsidRPr="00AB52B6">
              <w:rPr>
                <w:rFonts w:ascii="Cambria" w:eastAsia="Calibri" w:hAnsi="Cambria" w:cs="Calibri"/>
              </w:rPr>
              <w:t>Lawrence</w:t>
            </w:r>
          </w:p>
        </w:tc>
        <w:tc>
          <w:tcPr>
            <w:tcW w:w="3989" w:type="dxa"/>
            <w:noWrap/>
            <w:vAlign w:val="center"/>
            <w:hideMark/>
          </w:tcPr>
          <w:p w14:paraId="3097C551" w14:textId="77777777" w:rsidR="00AB52B6" w:rsidRPr="00AB52B6" w:rsidRDefault="00AB52B6" w:rsidP="00AB52B6">
            <w:pPr>
              <w:rPr>
                <w:rFonts w:ascii="Cambria" w:eastAsia="Calibri" w:hAnsi="Cambria" w:cs="Calibri"/>
              </w:rPr>
            </w:pPr>
            <w:r w:rsidRPr="00AB52B6">
              <w:rPr>
                <w:rFonts w:ascii="Cambria" w:eastAsia="Calibri" w:hAnsi="Cambria" w:cs="Calibri"/>
              </w:rPr>
              <w:t xml:space="preserve">Haverhill, Lawrence, Lowell, Methuen  </w:t>
            </w:r>
          </w:p>
        </w:tc>
      </w:tr>
      <w:tr w:rsidR="00AB52B6" w:rsidRPr="00AB52B6" w14:paraId="034FFF59" w14:textId="77777777" w:rsidTr="0075791C">
        <w:trPr>
          <w:trHeight w:val="537"/>
        </w:trPr>
        <w:tc>
          <w:tcPr>
            <w:tcW w:w="4831" w:type="dxa"/>
            <w:noWrap/>
            <w:vAlign w:val="center"/>
            <w:hideMark/>
          </w:tcPr>
          <w:p w14:paraId="52A4EE4E" w14:textId="77777777" w:rsidR="00AB52B6" w:rsidRPr="00AB52B6" w:rsidRDefault="00AB52B6" w:rsidP="00AB52B6">
            <w:pPr>
              <w:rPr>
                <w:rFonts w:ascii="Cambria" w:eastAsia="Calibri" w:hAnsi="Cambria" w:cs="Calibri"/>
              </w:rPr>
            </w:pPr>
            <w:r w:rsidRPr="00AB52B6">
              <w:rPr>
                <w:rFonts w:ascii="Cambria" w:eastAsia="Calibri" w:hAnsi="Cambria" w:cs="Calibri"/>
              </w:rPr>
              <w:t>Family Health Center of Worcester</w:t>
            </w:r>
          </w:p>
        </w:tc>
        <w:tc>
          <w:tcPr>
            <w:tcW w:w="1795" w:type="dxa"/>
            <w:noWrap/>
            <w:vAlign w:val="center"/>
            <w:hideMark/>
          </w:tcPr>
          <w:p w14:paraId="1C56F7DC" w14:textId="77777777" w:rsidR="00AB52B6" w:rsidRPr="00AB52B6" w:rsidRDefault="00AB52B6" w:rsidP="00AB52B6">
            <w:pPr>
              <w:rPr>
                <w:rFonts w:ascii="Cambria" w:eastAsia="Calibri" w:hAnsi="Cambria" w:cs="Calibri"/>
              </w:rPr>
            </w:pPr>
            <w:r w:rsidRPr="00AB52B6">
              <w:rPr>
                <w:rFonts w:ascii="Cambria" w:eastAsia="Calibri" w:hAnsi="Cambria" w:cs="Calibri"/>
              </w:rPr>
              <w:t>Worcester</w:t>
            </w:r>
          </w:p>
        </w:tc>
        <w:tc>
          <w:tcPr>
            <w:tcW w:w="3989" w:type="dxa"/>
            <w:noWrap/>
            <w:vAlign w:val="center"/>
            <w:hideMark/>
          </w:tcPr>
          <w:p w14:paraId="4F6F7E60" w14:textId="77777777" w:rsidR="00AB52B6" w:rsidRPr="00AB52B6" w:rsidRDefault="00AB52B6" w:rsidP="00AB52B6">
            <w:pPr>
              <w:rPr>
                <w:rFonts w:ascii="Cambria" w:eastAsia="Calibri" w:hAnsi="Cambria" w:cs="Calibri"/>
              </w:rPr>
            </w:pPr>
            <w:r w:rsidRPr="00AB52B6">
              <w:rPr>
                <w:rFonts w:ascii="Cambria" w:eastAsia="Calibri" w:hAnsi="Cambria" w:cs="Calibri"/>
              </w:rPr>
              <w:t>Worcester</w:t>
            </w:r>
          </w:p>
        </w:tc>
      </w:tr>
      <w:tr w:rsidR="00AB52B6" w:rsidRPr="00AB52B6" w14:paraId="394AC3CB" w14:textId="77777777" w:rsidTr="0075791C">
        <w:trPr>
          <w:trHeight w:val="537"/>
        </w:trPr>
        <w:tc>
          <w:tcPr>
            <w:tcW w:w="4831" w:type="dxa"/>
            <w:noWrap/>
            <w:vAlign w:val="center"/>
            <w:hideMark/>
          </w:tcPr>
          <w:p w14:paraId="2F039DF9" w14:textId="77777777" w:rsidR="00AB52B6" w:rsidRPr="00AB52B6" w:rsidRDefault="00AB52B6" w:rsidP="00AB52B6">
            <w:pPr>
              <w:rPr>
                <w:rFonts w:ascii="Cambria" w:eastAsia="Calibri" w:hAnsi="Cambria" w:cs="Calibri"/>
              </w:rPr>
            </w:pPr>
            <w:r w:rsidRPr="00AB52B6">
              <w:rPr>
                <w:rFonts w:ascii="Cambria" w:eastAsia="Calibri" w:hAnsi="Cambria" w:cs="Calibri"/>
              </w:rPr>
              <w:t>Greater Lawrence Family Health Center</w:t>
            </w:r>
          </w:p>
        </w:tc>
        <w:tc>
          <w:tcPr>
            <w:tcW w:w="1795" w:type="dxa"/>
            <w:noWrap/>
            <w:vAlign w:val="center"/>
            <w:hideMark/>
          </w:tcPr>
          <w:p w14:paraId="38D02C7B" w14:textId="77777777" w:rsidR="00AB52B6" w:rsidRPr="00AB52B6" w:rsidRDefault="00AB52B6" w:rsidP="00AB52B6">
            <w:pPr>
              <w:rPr>
                <w:rFonts w:ascii="Cambria" w:eastAsia="Calibri" w:hAnsi="Cambria" w:cs="Calibri"/>
              </w:rPr>
            </w:pPr>
            <w:r w:rsidRPr="00AB52B6">
              <w:rPr>
                <w:rFonts w:ascii="Cambria" w:eastAsia="Calibri" w:hAnsi="Cambria" w:cs="Calibri"/>
              </w:rPr>
              <w:t>Lawrence</w:t>
            </w:r>
          </w:p>
        </w:tc>
        <w:tc>
          <w:tcPr>
            <w:tcW w:w="3989" w:type="dxa"/>
            <w:noWrap/>
            <w:vAlign w:val="center"/>
            <w:hideMark/>
          </w:tcPr>
          <w:p w14:paraId="25473F0E" w14:textId="77777777" w:rsidR="00AB52B6" w:rsidRPr="00AB52B6" w:rsidRDefault="00AB52B6" w:rsidP="00AB52B6">
            <w:pPr>
              <w:rPr>
                <w:rFonts w:ascii="Cambria" w:eastAsia="Calibri" w:hAnsi="Cambria" w:cs="Calibri"/>
              </w:rPr>
            </w:pPr>
            <w:r w:rsidRPr="00AB52B6">
              <w:rPr>
                <w:rFonts w:ascii="Cambria" w:eastAsia="Calibri" w:hAnsi="Cambria" w:cs="Calibri"/>
              </w:rPr>
              <w:t xml:space="preserve">Haverhill, Lawrence, Methuen  </w:t>
            </w:r>
          </w:p>
        </w:tc>
      </w:tr>
      <w:tr w:rsidR="00AB52B6" w:rsidRPr="00AB52B6" w14:paraId="2A93B8E4" w14:textId="77777777" w:rsidTr="0075791C">
        <w:trPr>
          <w:trHeight w:val="537"/>
        </w:trPr>
        <w:tc>
          <w:tcPr>
            <w:tcW w:w="4831" w:type="dxa"/>
            <w:noWrap/>
            <w:vAlign w:val="center"/>
            <w:hideMark/>
          </w:tcPr>
          <w:p w14:paraId="04461612" w14:textId="77777777" w:rsidR="00AB52B6" w:rsidRPr="00AB52B6" w:rsidRDefault="00AB52B6" w:rsidP="00AB52B6">
            <w:pPr>
              <w:rPr>
                <w:rFonts w:ascii="Cambria" w:eastAsia="Calibri" w:hAnsi="Cambria" w:cs="Calibri"/>
              </w:rPr>
            </w:pPr>
            <w:r w:rsidRPr="00AB52B6">
              <w:rPr>
                <w:rFonts w:ascii="Cambria" w:eastAsia="Calibri" w:hAnsi="Cambria" w:cs="Calibri"/>
              </w:rPr>
              <w:t>Greater New Bedford Community Health Center</w:t>
            </w:r>
          </w:p>
        </w:tc>
        <w:tc>
          <w:tcPr>
            <w:tcW w:w="1795" w:type="dxa"/>
            <w:noWrap/>
            <w:vAlign w:val="center"/>
            <w:hideMark/>
          </w:tcPr>
          <w:p w14:paraId="0FC9636B" w14:textId="77777777" w:rsidR="00AB52B6" w:rsidRPr="00AB52B6" w:rsidRDefault="00AB52B6" w:rsidP="00AB52B6">
            <w:pPr>
              <w:rPr>
                <w:rFonts w:ascii="Cambria" w:eastAsia="Calibri" w:hAnsi="Cambria" w:cs="Calibri"/>
              </w:rPr>
            </w:pPr>
            <w:r w:rsidRPr="00AB52B6">
              <w:rPr>
                <w:rFonts w:ascii="Cambria" w:eastAsia="Calibri" w:hAnsi="Cambria" w:cs="Calibri"/>
              </w:rPr>
              <w:t>New Bedford</w:t>
            </w:r>
          </w:p>
        </w:tc>
        <w:tc>
          <w:tcPr>
            <w:tcW w:w="3989" w:type="dxa"/>
            <w:noWrap/>
            <w:vAlign w:val="center"/>
            <w:hideMark/>
          </w:tcPr>
          <w:p w14:paraId="3BF7C029" w14:textId="77777777" w:rsidR="00AB52B6" w:rsidRPr="00AB52B6" w:rsidRDefault="00AB52B6" w:rsidP="00AB52B6">
            <w:pPr>
              <w:rPr>
                <w:rFonts w:ascii="Cambria" w:eastAsia="Calibri" w:hAnsi="Cambria" w:cs="Calibri"/>
              </w:rPr>
            </w:pPr>
            <w:r w:rsidRPr="00AB52B6">
              <w:rPr>
                <w:rFonts w:ascii="Cambria" w:eastAsia="Calibri" w:hAnsi="Cambria" w:cs="Calibri"/>
              </w:rPr>
              <w:t>New Bedford</w:t>
            </w:r>
          </w:p>
        </w:tc>
      </w:tr>
      <w:tr w:rsidR="00AB52B6" w:rsidRPr="00AB52B6" w14:paraId="252F19CA" w14:textId="77777777" w:rsidTr="0075791C">
        <w:trPr>
          <w:trHeight w:val="773"/>
        </w:trPr>
        <w:tc>
          <w:tcPr>
            <w:tcW w:w="4831" w:type="dxa"/>
            <w:noWrap/>
            <w:vAlign w:val="center"/>
            <w:hideMark/>
          </w:tcPr>
          <w:p w14:paraId="0028CE0F" w14:textId="77777777" w:rsidR="00AB52B6" w:rsidRPr="00AB52B6" w:rsidRDefault="00AB52B6" w:rsidP="00AB52B6">
            <w:pPr>
              <w:rPr>
                <w:rFonts w:ascii="Cambria" w:eastAsia="Calibri" w:hAnsi="Cambria" w:cs="Calibri"/>
              </w:rPr>
            </w:pPr>
            <w:r w:rsidRPr="00AB52B6">
              <w:rPr>
                <w:rFonts w:ascii="Cambria" w:eastAsia="Calibri" w:hAnsi="Cambria" w:cs="Calibri"/>
              </w:rPr>
              <w:t>Health Imperatives</w:t>
            </w:r>
          </w:p>
        </w:tc>
        <w:tc>
          <w:tcPr>
            <w:tcW w:w="1795" w:type="dxa"/>
            <w:noWrap/>
            <w:vAlign w:val="center"/>
            <w:hideMark/>
          </w:tcPr>
          <w:p w14:paraId="3875D703" w14:textId="77777777" w:rsidR="00AB52B6" w:rsidRPr="00AB52B6" w:rsidRDefault="00AB52B6" w:rsidP="00AB52B6">
            <w:pPr>
              <w:rPr>
                <w:rFonts w:ascii="Cambria" w:eastAsia="Calibri" w:hAnsi="Cambria" w:cs="Calibri"/>
              </w:rPr>
            </w:pPr>
            <w:r w:rsidRPr="00AB52B6">
              <w:rPr>
                <w:rFonts w:ascii="Cambria" w:eastAsia="Calibri" w:hAnsi="Cambria" w:cs="Calibri"/>
              </w:rPr>
              <w:t>Boston</w:t>
            </w:r>
          </w:p>
        </w:tc>
        <w:tc>
          <w:tcPr>
            <w:tcW w:w="3989" w:type="dxa"/>
            <w:vAlign w:val="center"/>
            <w:hideMark/>
          </w:tcPr>
          <w:p w14:paraId="1BC66576" w14:textId="77777777" w:rsidR="00AB52B6" w:rsidRPr="00AB52B6" w:rsidRDefault="00AB52B6" w:rsidP="00AB52B6">
            <w:pPr>
              <w:rPr>
                <w:rFonts w:ascii="Cambria" w:eastAsia="Calibri" w:hAnsi="Cambria" w:cs="Calibri"/>
              </w:rPr>
            </w:pPr>
            <w:r w:rsidRPr="00AB52B6">
              <w:rPr>
                <w:rFonts w:ascii="Cambria" w:eastAsia="Calibri" w:hAnsi="Cambria" w:cs="Calibri"/>
              </w:rPr>
              <w:t xml:space="preserve">Brockton, New Bedford </w:t>
            </w:r>
            <w:r w:rsidRPr="00AB52B6">
              <w:rPr>
                <w:rFonts w:ascii="Cambria" w:eastAsia="Calibri" w:hAnsi="Cambria" w:cs="Calibri"/>
              </w:rPr>
              <w:br/>
              <w:t xml:space="preserve">*Can serve the Cape &amp; Islands         </w:t>
            </w:r>
          </w:p>
        </w:tc>
      </w:tr>
      <w:tr w:rsidR="00AB52B6" w:rsidRPr="00AB52B6" w14:paraId="7D93DB6C" w14:textId="77777777" w:rsidTr="0075791C">
        <w:trPr>
          <w:trHeight w:val="845"/>
        </w:trPr>
        <w:tc>
          <w:tcPr>
            <w:tcW w:w="4831" w:type="dxa"/>
            <w:noWrap/>
            <w:vAlign w:val="center"/>
            <w:hideMark/>
          </w:tcPr>
          <w:p w14:paraId="1AFD1D85" w14:textId="77777777" w:rsidR="00AB52B6" w:rsidRPr="00AB52B6" w:rsidRDefault="00AB52B6" w:rsidP="00AB52B6">
            <w:pPr>
              <w:rPr>
                <w:rFonts w:ascii="Cambria" w:eastAsia="Calibri" w:hAnsi="Cambria" w:cs="Calibri"/>
              </w:rPr>
            </w:pPr>
            <w:r w:rsidRPr="00AB52B6">
              <w:rPr>
                <w:rFonts w:ascii="Cambria" w:eastAsia="Calibri" w:hAnsi="Cambria" w:cs="Calibri"/>
              </w:rPr>
              <w:t>Health Innovations</w:t>
            </w:r>
          </w:p>
        </w:tc>
        <w:tc>
          <w:tcPr>
            <w:tcW w:w="1795" w:type="dxa"/>
            <w:noWrap/>
            <w:vAlign w:val="center"/>
            <w:hideMark/>
          </w:tcPr>
          <w:p w14:paraId="7B624790" w14:textId="77777777" w:rsidR="00AB52B6" w:rsidRPr="00AB52B6" w:rsidRDefault="00AB52B6" w:rsidP="00AB52B6">
            <w:pPr>
              <w:rPr>
                <w:rFonts w:ascii="Cambria" w:eastAsia="Calibri" w:hAnsi="Cambria" w:cs="Calibri"/>
              </w:rPr>
            </w:pPr>
            <w:r w:rsidRPr="00AB52B6">
              <w:rPr>
                <w:rFonts w:ascii="Cambria" w:eastAsia="Calibri" w:hAnsi="Cambria" w:cs="Calibri"/>
              </w:rPr>
              <w:t>Randolph</w:t>
            </w:r>
          </w:p>
        </w:tc>
        <w:tc>
          <w:tcPr>
            <w:tcW w:w="3989" w:type="dxa"/>
            <w:vAlign w:val="center"/>
            <w:hideMark/>
          </w:tcPr>
          <w:p w14:paraId="04604DC3" w14:textId="77777777" w:rsidR="00AB52B6" w:rsidRPr="00AB52B6" w:rsidRDefault="00AB52B6" w:rsidP="00AB52B6">
            <w:pPr>
              <w:rPr>
                <w:rFonts w:ascii="Cambria" w:eastAsia="Calibri" w:hAnsi="Cambria" w:cs="Calibri"/>
              </w:rPr>
            </w:pPr>
            <w:r w:rsidRPr="00AB52B6">
              <w:rPr>
                <w:rFonts w:ascii="Cambria" w:eastAsia="Calibri" w:hAnsi="Cambria" w:cs="Calibri"/>
              </w:rPr>
              <w:t>Boston, Chelsea, Everett, Lowell, Lynn, Randolph, Revere</w:t>
            </w:r>
          </w:p>
        </w:tc>
      </w:tr>
      <w:tr w:rsidR="00AB52B6" w:rsidRPr="00AB52B6" w14:paraId="0393E40E" w14:textId="77777777" w:rsidTr="0075791C">
        <w:trPr>
          <w:trHeight w:val="537"/>
        </w:trPr>
        <w:tc>
          <w:tcPr>
            <w:tcW w:w="4831" w:type="dxa"/>
            <w:noWrap/>
            <w:vAlign w:val="center"/>
            <w:hideMark/>
          </w:tcPr>
          <w:p w14:paraId="2C55B72C" w14:textId="77777777" w:rsidR="00AB52B6" w:rsidRPr="00AB52B6" w:rsidRDefault="00AB52B6" w:rsidP="00AB52B6">
            <w:pPr>
              <w:rPr>
                <w:rFonts w:ascii="Cambria" w:eastAsia="Calibri" w:hAnsi="Cambria" w:cs="Calibri"/>
              </w:rPr>
            </w:pPr>
            <w:r w:rsidRPr="00AB52B6">
              <w:rPr>
                <w:rFonts w:ascii="Cambria" w:eastAsia="Calibri" w:hAnsi="Cambria" w:cs="Calibri"/>
              </w:rPr>
              <w:t xml:space="preserve">Holyoke Health Center, Inc.   </w:t>
            </w:r>
          </w:p>
        </w:tc>
        <w:tc>
          <w:tcPr>
            <w:tcW w:w="1795" w:type="dxa"/>
            <w:noWrap/>
            <w:vAlign w:val="center"/>
            <w:hideMark/>
          </w:tcPr>
          <w:p w14:paraId="6F60CD0D" w14:textId="77777777" w:rsidR="00AB52B6" w:rsidRPr="00AB52B6" w:rsidRDefault="00AB52B6" w:rsidP="00AB52B6">
            <w:pPr>
              <w:rPr>
                <w:rFonts w:ascii="Cambria" w:eastAsia="Calibri" w:hAnsi="Cambria" w:cs="Calibri"/>
              </w:rPr>
            </w:pPr>
            <w:r w:rsidRPr="00AB52B6">
              <w:rPr>
                <w:rFonts w:ascii="Cambria" w:eastAsia="Calibri" w:hAnsi="Cambria" w:cs="Calibri"/>
              </w:rPr>
              <w:t>Holyoke</w:t>
            </w:r>
          </w:p>
        </w:tc>
        <w:tc>
          <w:tcPr>
            <w:tcW w:w="3989" w:type="dxa"/>
            <w:noWrap/>
            <w:vAlign w:val="center"/>
            <w:hideMark/>
          </w:tcPr>
          <w:p w14:paraId="6FA76328" w14:textId="77777777" w:rsidR="00AB52B6" w:rsidRPr="00AB52B6" w:rsidRDefault="00AB52B6" w:rsidP="00AB52B6">
            <w:pPr>
              <w:rPr>
                <w:rFonts w:ascii="Cambria" w:eastAsia="Calibri" w:hAnsi="Cambria" w:cs="Calibri"/>
              </w:rPr>
            </w:pPr>
            <w:r w:rsidRPr="00AB52B6">
              <w:rPr>
                <w:rFonts w:ascii="Cambria" w:eastAsia="Calibri" w:hAnsi="Cambria" w:cs="Calibri"/>
              </w:rPr>
              <w:t>Holyoke</w:t>
            </w:r>
          </w:p>
        </w:tc>
      </w:tr>
      <w:tr w:rsidR="00AB52B6" w:rsidRPr="00AB52B6" w14:paraId="3084564E" w14:textId="77777777" w:rsidTr="0075791C">
        <w:trPr>
          <w:trHeight w:val="537"/>
        </w:trPr>
        <w:tc>
          <w:tcPr>
            <w:tcW w:w="4831" w:type="dxa"/>
            <w:noWrap/>
            <w:vAlign w:val="center"/>
            <w:hideMark/>
          </w:tcPr>
          <w:p w14:paraId="5BA09D90" w14:textId="77777777" w:rsidR="00AB52B6" w:rsidRPr="00AB52B6" w:rsidRDefault="00AB52B6" w:rsidP="00AB52B6">
            <w:pPr>
              <w:rPr>
                <w:rFonts w:ascii="Cambria" w:eastAsia="Calibri" w:hAnsi="Cambria" w:cs="Calibri"/>
              </w:rPr>
            </w:pPr>
            <w:r w:rsidRPr="00AB52B6">
              <w:rPr>
                <w:rFonts w:ascii="Cambria" w:eastAsia="Calibri" w:hAnsi="Cambria" w:cs="Calibri"/>
              </w:rPr>
              <w:t xml:space="preserve">Justice Resource Institute Health, Inc. </w:t>
            </w:r>
          </w:p>
        </w:tc>
        <w:tc>
          <w:tcPr>
            <w:tcW w:w="1795" w:type="dxa"/>
            <w:noWrap/>
            <w:vAlign w:val="center"/>
            <w:hideMark/>
          </w:tcPr>
          <w:p w14:paraId="3BC98B28" w14:textId="77777777" w:rsidR="00AB52B6" w:rsidRPr="00AB52B6" w:rsidRDefault="00AB52B6" w:rsidP="00AB52B6">
            <w:pPr>
              <w:rPr>
                <w:rFonts w:ascii="Cambria" w:eastAsia="Calibri" w:hAnsi="Cambria" w:cs="Calibri"/>
              </w:rPr>
            </w:pPr>
            <w:r w:rsidRPr="00AB52B6">
              <w:rPr>
                <w:rFonts w:ascii="Cambria" w:eastAsia="Calibri" w:hAnsi="Cambria" w:cs="Calibri"/>
              </w:rPr>
              <w:t>Needham</w:t>
            </w:r>
          </w:p>
        </w:tc>
        <w:tc>
          <w:tcPr>
            <w:tcW w:w="3989" w:type="dxa"/>
            <w:noWrap/>
            <w:vAlign w:val="center"/>
            <w:hideMark/>
          </w:tcPr>
          <w:p w14:paraId="3DEC624F" w14:textId="77777777" w:rsidR="00AB52B6" w:rsidRPr="00AB52B6" w:rsidRDefault="00AB52B6" w:rsidP="00AB52B6">
            <w:pPr>
              <w:rPr>
                <w:rFonts w:ascii="Cambria" w:eastAsia="Calibri" w:hAnsi="Cambria" w:cs="Calibri"/>
              </w:rPr>
            </w:pPr>
            <w:r w:rsidRPr="00AB52B6">
              <w:rPr>
                <w:rFonts w:ascii="Cambria" w:eastAsia="Calibri" w:hAnsi="Cambria" w:cs="Calibri"/>
              </w:rPr>
              <w:t xml:space="preserve">Boston, Framingham  </w:t>
            </w:r>
          </w:p>
        </w:tc>
      </w:tr>
      <w:tr w:rsidR="00AB52B6" w:rsidRPr="00AB52B6" w14:paraId="0D36C44C" w14:textId="77777777" w:rsidTr="0075791C">
        <w:trPr>
          <w:trHeight w:val="537"/>
        </w:trPr>
        <w:tc>
          <w:tcPr>
            <w:tcW w:w="4831" w:type="dxa"/>
            <w:noWrap/>
            <w:vAlign w:val="center"/>
            <w:hideMark/>
          </w:tcPr>
          <w:p w14:paraId="5FEFAD80" w14:textId="77777777" w:rsidR="00AB52B6" w:rsidRPr="00AB52B6" w:rsidRDefault="00AB52B6" w:rsidP="00AB52B6">
            <w:pPr>
              <w:rPr>
                <w:rFonts w:ascii="Cambria" w:eastAsia="Calibri" w:hAnsi="Cambria" w:cs="Calibri"/>
              </w:rPr>
            </w:pPr>
            <w:r w:rsidRPr="00AB52B6">
              <w:rPr>
                <w:rFonts w:ascii="Cambria" w:eastAsia="Calibri" w:hAnsi="Cambria" w:cs="Calibri"/>
              </w:rPr>
              <w:t>Lynn Community Health Center</w:t>
            </w:r>
          </w:p>
        </w:tc>
        <w:tc>
          <w:tcPr>
            <w:tcW w:w="1795" w:type="dxa"/>
            <w:noWrap/>
            <w:vAlign w:val="center"/>
            <w:hideMark/>
          </w:tcPr>
          <w:p w14:paraId="08DFE610" w14:textId="77777777" w:rsidR="00AB52B6" w:rsidRPr="00AB52B6" w:rsidRDefault="00AB52B6" w:rsidP="00AB52B6">
            <w:pPr>
              <w:rPr>
                <w:rFonts w:ascii="Cambria" w:eastAsia="Calibri" w:hAnsi="Cambria" w:cs="Calibri"/>
              </w:rPr>
            </w:pPr>
            <w:r w:rsidRPr="00AB52B6">
              <w:rPr>
                <w:rFonts w:ascii="Cambria" w:eastAsia="Calibri" w:hAnsi="Cambria" w:cs="Calibri"/>
              </w:rPr>
              <w:t>Lynn</w:t>
            </w:r>
          </w:p>
        </w:tc>
        <w:tc>
          <w:tcPr>
            <w:tcW w:w="3989" w:type="dxa"/>
            <w:noWrap/>
            <w:vAlign w:val="center"/>
            <w:hideMark/>
          </w:tcPr>
          <w:p w14:paraId="1089B022" w14:textId="77777777" w:rsidR="00AB52B6" w:rsidRPr="00AB52B6" w:rsidRDefault="00AB52B6" w:rsidP="00AB52B6">
            <w:pPr>
              <w:rPr>
                <w:rFonts w:ascii="Cambria" w:eastAsia="Calibri" w:hAnsi="Cambria" w:cs="Calibri"/>
              </w:rPr>
            </w:pPr>
            <w:r w:rsidRPr="00AB52B6">
              <w:rPr>
                <w:rFonts w:ascii="Cambria" w:eastAsia="Calibri" w:hAnsi="Cambria" w:cs="Calibri"/>
              </w:rPr>
              <w:t>Lynn</w:t>
            </w:r>
          </w:p>
        </w:tc>
      </w:tr>
      <w:tr w:rsidR="00AB52B6" w:rsidRPr="00AB52B6" w14:paraId="2115037A" w14:textId="77777777" w:rsidTr="0075791C">
        <w:trPr>
          <w:trHeight w:val="728"/>
        </w:trPr>
        <w:tc>
          <w:tcPr>
            <w:tcW w:w="4831" w:type="dxa"/>
            <w:noWrap/>
            <w:vAlign w:val="center"/>
            <w:hideMark/>
          </w:tcPr>
          <w:p w14:paraId="09155714"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lastRenderedPageBreak/>
              <w:t>Massachusetts Alliance of Portuguese Speakers</w:t>
            </w:r>
          </w:p>
        </w:tc>
        <w:tc>
          <w:tcPr>
            <w:tcW w:w="1795" w:type="dxa"/>
            <w:noWrap/>
            <w:vAlign w:val="center"/>
            <w:hideMark/>
          </w:tcPr>
          <w:p w14:paraId="12BA47FA"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Cambridge</w:t>
            </w:r>
          </w:p>
        </w:tc>
        <w:tc>
          <w:tcPr>
            <w:tcW w:w="3989" w:type="dxa"/>
            <w:noWrap/>
            <w:vAlign w:val="center"/>
            <w:hideMark/>
          </w:tcPr>
          <w:p w14:paraId="0F67EDA8" w14:textId="77777777" w:rsidR="00AB52B6" w:rsidRPr="00AB52B6" w:rsidRDefault="00AB52B6" w:rsidP="00AB52B6">
            <w:pPr>
              <w:rPr>
                <w:rFonts w:ascii="Cambria" w:eastAsia="Times New Roman" w:hAnsi="Cambria" w:cs="Calibri"/>
                <w:color w:val="000000"/>
              </w:rPr>
            </w:pPr>
            <w:r w:rsidRPr="00AB52B6">
              <w:rPr>
                <w:rFonts w:ascii="Cambria" w:eastAsia="Calibri" w:hAnsi="Cambria" w:cs="Times New Roman"/>
              </w:rPr>
              <w:t xml:space="preserve">Boston, Chelsea, Everett, Framingham, Lowell, Lynn, Malden, Revere  </w:t>
            </w:r>
          </w:p>
        </w:tc>
      </w:tr>
      <w:tr w:rsidR="00AB52B6" w:rsidRPr="00AB52B6" w14:paraId="25A733E9" w14:textId="77777777" w:rsidTr="0075791C">
        <w:trPr>
          <w:trHeight w:val="537"/>
        </w:trPr>
        <w:tc>
          <w:tcPr>
            <w:tcW w:w="4831" w:type="dxa"/>
            <w:noWrap/>
            <w:vAlign w:val="center"/>
            <w:hideMark/>
          </w:tcPr>
          <w:p w14:paraId="3E3310B3" w14:textId="77777777" w:rsidR="00AB52B6" w:rsidRPr="00AB52B6" w:rsidRDefault="00AB52B6" w:rsidP="00AB52B6">
            <w:pPr>
              <w:rPr>
                <w:rFonts w:ascii="Cambria" w:eastAsia="Times New Roman" w:hAnsi="Cambria" w:cs="Calibri"/>
                <w:color w:val="000000"/>
              </w:rPr>
            </w:pPr>
            <w:proofErr w:type="spellStart"/>
            <w:r w:rsidRPr="00AB52B6">
              <w:rPr>
                <w:rFonts w:ascii="Cambria" w:eastAsia="Times New Roman" w:hAnsi="Cambria" w:cs="Calibri"/>
                <w:color w:val="000000"/>
              </w:rPr>
              <w:t>Mulitcultural</w:t>
            </w:r>
            <w:proofErr w:type="spellEnd"/>
            <w:r w:rsidRPr="00AB52B6">
              <w:rPr>
                <w:rFonts w:ascii="Cambria" w:eastAsia="Times New Roman" w:hAnsi="Cambria" w:cs="Calibri"/>
                <w:color w:val="000000"/>
              </w:rPr>
              <w:t xml:space="preserve"> AIDS Coalition</w:t>
            </w:r>
          </w:p>
        </w:tc>
        <w:tc>
          <w:tcPr>
            <w:tcW w:w="1795" w:type="dxa"/>
            <w:noWrap/>
            <w:vAlign w:val="center"/>
            <w:hideMark/>
          </w:tcPr>
          <w:p w14:paraId="48147167"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c>
          <w:tcPr>
            <w:tcW w:w="3989" w:type="dxa"/>
            <w:noWrap/>
            <w:vAlign w:val="center"/>
            <w:hideMark/>
          </w:tcPr>
          <w:p w14:paraId="534F561B" w14:textId="77777777" w:rsidR="00AB52B6" w:rsidRPr="00AB52B6" w:rsidRDefault="00AB52B6" w:rsidP="00AB52B6">
            <w:pPr>
              <w:rPr>
                <w:rFonts w:ascii="Cambria" w:eastAsia="Times New Roman" w:hAnsi="Cambria" w:cs="Calibri"/>
                <w:color w:val="000000"/>
              </w:rPr>
            </w:pPr>
            <w:r w:rsidRPr="00AB52B6">
              <w:rPr>
                <w:rFonts w:ascii="Cambria" w:eastAsia="Calibri" w:hAnsi="Cambria" w:cs="Times New Roman"/>
              </w:rPr>
              <w:t>Boston</w:t>
            </w:r>
          </w:p>
        </w:tc>
      </w:tr>
      <w:tr w:rsidR="00AB52B6" w:rsidRPr="00AB52B6" w14:paraId="1336C24C" w14:textId="77777777" w:rsidTr="0075791C">
        <w:trPr>
          <w:trHeight w:val="537"/>
        </w:trPr>
        <w:tc>
          <w:tcPr>
            <w:tcW w:w="4831" w:type="dxa"/>
            <w:noWrap/>
            <w:vAlign w:val="center"/>
            <w:hideMark/>
          </w:tcPr>
          <w:p w14:paraId="1A7F2CEA"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New North Citizens Council</w:t>
            </w:r>
          </w:p>
        </w:tc>
        <w:tc>
          <w:tcPr>
            <w:tcW w:w="1795" w:type="dxa"/>
            <w:noWrap/>
            <w:vAlign w:val="center"/>
            <w:hideMark/>
          </w:tcPr>
          <w:p w14:paraId="1BEADA7C"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Springfield</w:t>
            </w:r>
          </w:p>
        </w:tc>
        <w:tc>
          <w:tcPr>
            <w:tcW w:w="3989" w:type="dxa"/>
            <w:noWrap/>
            <w:vAlign w:val="center"/>
            <w:hideMark/>
          </w:tcPr>
          <w:p w14:paraId="1BCC99D8" w14:textId="77777777" w:rsidR="00AB52B6" w:rsidRPr="00AB52B6" w:rsidRDefault="00AB52B6" w:rsidP="00AB52B6">
            <w:pPr>
              <w:rPr>
                <w:rFonts w:ascii="Cambria" w:eastAsia="Times New Roman" w:hAnsi="Cambria" w:cs="Calibri"/>
                <w:color w:val="000000"/>
              </w:rPr>
            </w:pPr>
            <w:r w:rsidRPr="00AB52B6">
              <w:rPr>
                <w:rFonts w:ascii="Cambria" w:eastAsia="Calibri" w:hAnsi="Cambria" w:cs="Times New Roman"/>
              </w:rPr>
              <w:t>Springfield</w:t>
            </w:r>
          </w:p>
        </w:tc>
      </w:tr>
      <w:tr w:rsidR="00AB52B6" w:rsidRPr="00AB52B6" w14:paraId="47B109F4" w14:textId="77777777" w:rsidTr="0075791C">
        <w:trPr>
          <w:trHeight w:val="537"/>
        </w:trPr>
        <w:tc>
          <w:tcPr>
            <w:tcW w:w="4831" w:type="dxa"/>
            <w:noWrap/>
            <w:vAlign w:val="center"/>
            <w:hideMark/>
          </w:tcPr>
          <w:p w14:paraId="36C89462"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North Shore Community Health Center</w:t>
            </w:r>
          </w:p>
        </w:tc>
        <w:tc>
          <w:tcPr>
            <w:tcW w:w="1795" w:type="dxa"/>
            <w:noWrap/>
            <w:vAlign w:val="center"/>
            <w:hideMark/>
          </w:tcPr>
          <w:p w14:paraId="47F144F9"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Salem</w:t>
            </w:r>
          </w:p>
        </w:tc>
        <w:tc>
          <w:tcPr>
            <w:tcW w:w="3989" w:type="dxa"/>
            <w:noWrap/>
            <w:vAlign w:val="center"/>
            <w:hideMark/>
          </w:tcPr>
          <w:p w14:paraId="0DEFE857" w14:textId="77777777" w:rsidR="00AB52B6" w:rsidRPr="00AB52B6" w:rsidRDefault="00AB52B6" w:rsidP="00AB52B6">
            <w:pPr>
              <w:rPr>
                <w:rFonts w:ascii="Cambria" w:eastAsia="Times New Roman" w:hAnsi="Cambria" w:cs="Calibri"/>
                <w:color w:val="000000"/>
              </w:rPr>
            </w:pPr>
            <w:r w:rsidRPr="00AB52B6">
              <w:rPr>
                <w:rFonts w:ascii="Cambria" w:eastAsia="Calibri" w:hAnsi="Cambria" w:cs="Times New Roman"/>
              </w:rPr>
              <w:t xml:space="preserve">Salem, Peabody, Gloucester </w:t>
            </w:r>
          </w:p>
        </w:tc>
      </w:tr>
      <w:tr w:rsidR="00AB52B6" w:rsidRPr="00AB52B6" w14:paraId="34E15692" w14:textId="77777777" w:rsidTr="0075791C">
        <w:trPr>
          <w:trHeight w:val="537"/>
        </w:trPr>
        <w:tc>
          <w:tcPr>
            <w:tcW w:w="4831" w:type="dxa"/>
            <w:noWrap/>
            <w:vAlign w:val="center"/>
            <w:hideMark/>
          </w:tcPr>
          <w:p w14:paraId="6DD79FE4" w14:textId="77777777" w:rsidR="00AB52B6" w:rsidRPr="00AB52B6" w:rsidRDefault="00AB52B6" w:rsidP="00AB52B6">
            <w:pPr>
              <w:rPr>
                <w:rFonts w:ascii="Cambria" w:eastAsia="Times New Roman" w:hAnsi="Cambria" w:cs="Calibri"/>
                <w:color w:val="000000"/>
              </w:rPr>
            </w:pPr>
            <w:proofErr w:type="spellStart"/>
            <w:r w:rsidRPr="00AB52B6">
              <w:rPr>
                <w:rFonts w:ascii="Cambria" w:eastAsia="Times New Roman" w:hAnsi="Cambria" w:cs="Calibri"/>
                <w:color w:val="000000"/>
              </w:rPr>
              <w:t>Postive</w:t>
            </w:r>
            <w:proofErr w:type="spellEnd"/>
            <w:r w:rsidRPr="00AB52B6">
              <w:rPr>
                <w:rFonts w:ascii="Cambria" w:eastAsia="Times New Roman" w:hAnsi="Cambria" w:cs="Calibri"/>
                <w:color w:val="000000"/>
              </w:rPr>
              <w:t xml:space="preserve"> Action Against </w:t>
            </w:r>
            <w:proofErr w:type="spellStart"/>
            <w:r w:rsidRPr="00AB52B6">
              <w:rPr>
                <w:rFonts w:ascii="Cambria" w:eastAsia="Times New Roman" w:hAnsi="Cambria" w:cs="Calibri"/>
                <w:color w:val="000000"/>
              </w:rPr>
              <w:t>Chemcial</w:t>
            </w:r>
            <w:proofErr w:type="spellEnd"/>
            <w:r w:rsidRPr="00AB52B6">
              <w:rPr>
                <w:rFonts w:ascii="Cambria" w:eastAsia="Times New Roman" w:hAnsi="Cambria" w:cs="Calibri"/>
                <w:color w:val="000000"/>
              </w:rPr>
              <w:t xml:space="preserve"> Addiction PACCA)</w:t>
            </w:r>
          </w:p>
        </w:tc>
        <w:tc>
          <w:tcPr>
            <w:tcW w:w="1795" w:type="dxa"/>
            <w:noWrap/>
            <w:vAlign w:val="center"/>
            <w:hideMark/>
          </w:tcPr>
          <w:p w14:paraId="041DEE42"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New Bedford</w:t>
            </w:r>
          </w:p>
        </w:tc>
        <w:tc>
          <w:tcPr>
            <w:tcW w:w="3989" w:type="dxa"/>
            <w:noWrap/>
            <w:vAlign w:val="center"/>
            <w:hideMark/>
          </w:tcPr>
          <w:p w14:paraId="0B4A1A58" w14:textId="77777777" w:rsidR="00AB52B6" w:rsidRPr="00AB52B6" w:rsidRDefault="00AB52B6" w:rsidP="00AB52B6">
            <w:pPr>
              <w:rPr>
                <w:rFonts w:ascii="Cambria" w:eastAsia="Times New Roman" w:hAnsi="Cambria" w:cs="Calibri"/>
                <w:color w:val="000000"/>
              </w:rPr>
            </w:pPr>
            <w:r w:rsidRPr="00AB52B6">
              <w:rPr>
                <w:rFonts w:ascii="Cambria" w:eastAsia="Calibri" w:hAnsi="Cambria" w:cs="Times New Roman"/>
              </w:rPr>
              <w:t>New Bedford</w:t>
            </w:r>
          </w:p>
        </w:tc>
      </w:tr>
      <w:tr w:rsidR="00AB52B6" w:rsidRPr="00AB52B6" w14:paraId="70588D4D" w14:textId="77777777" w:rsidTr="0075791C">
        <w:trPr>
          <w:trHeight w:val="537"/>
        </w:trPr>
        <w:tc>
          <w:tcPr>
            <w:tcW w:w="4831" w:type="dxa"/>
            <w:noWrap/>
            <w:vAlign w:val="center"/>
            <w:hideMark/>
          </w:tcPr>
          <w:p w14:paraId="43C2E625"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Seven Hills Behavioral Health, Inc. </w:t>
            </w:r>
          </w:p>
        </w:tc>
        <w:tc>
          <w:tcPr>
            <w:tcW w:w="1795" w:type="dxa"/>
            <w:noWrap/>
            <w:vAlign w:val="center"/>
            <w:hideMark/>
          </w:tcPr>
          <w:p w14:paraId="270401BE"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Worcester</w:t>
            </w:r>
          </w:p>
        </w:tc>
        <w:tc>
          <w:tcPr>
            <w:tcW w:w="3989" w:type="dxa"/>
            <w:noWrap/>
            <w:vAlign w:val="center"/>
            <w:hideMark/>
          </w:tcPr>
          <w:p w14:paraId="5FC3A9DE" w14:textId="77777777" w:rsidR="00AB52B6" w:rsidRPr="00AB52B6" w:rsidRDefault="00AB52B6" w:rsidP="00AB52B6">
            <w:pPr>
              <w:rPr>
                <w:rFonts w:ascii="Cambria" w:eastAsia="Times New Roman" w:hAnsi="Cambria" w:cs="Calibri"/>
                <w:color w:val="000000"/>
              </w:rPr>
            </w:pPr>
            <w:r w:rsidRPr="00AB52B6">
              <w:rPr>
                <w:rFonts w:ascii="Cambria" w:eastAsia="Calibri" w:hAnsi="Cambria" w:cs="Times New Roman"/>
              </w:rPr>
              <w:t>Fall River, New Bedford  </w:t>
            </w:r>
          </w:p>
        </w:tc>
      </w:tr>
      <w:tr w:rsidR="00AB52B6" w:rsidRPr="00AB52B6" w14:paraId="2E3391FB" w14:textId="77777777" w:rsidTr="0075791C">
        <w:trPr>
          <w:trHeight w:val="537"/>
        </w:trPr>
        <w:tc>
          <w:tcPr>
            <w:tcW w:w="4831" w:type="dxa"/>
            <w:noWrap/>
            <w:vAlign w:val="center"/>
            <w:hideMark/>
          </w:tcPr>
          <w:p w14:paraId="1031B325"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Stanley Street Treatment &amp; Resources Inc. (SSTAR)</w:t>
            </w:r>
          </w:p>
        </w:tc>
        <w:tc>
          <w:tcPr>
            <w:tcW w:w="1795" w:type="dxa"/>
            <w:noWrap/>
            <w:vAlign w:val="center"/>
            <w:hideMark/>
          </w:tcPr>
          <w:p w14:paraId="5DB242C5"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Fall River</w:t>
            </w:r>
          </w:p>
        </w:tc>
        <w:tc>
          <w:tcPr>
            <w:tcW w:w="3989" w:type="dxa"/>
            <w:noWrap/>
            <w:vAlign w:val="center"/>
            <w:hideMark/>
          </w:tcPr>
          <w:p w14:paraId="1AB85F7A" w14:textId="77777777" w:rsidR="00AB52B6" w:rsidRPr="00AB52B6" w:rsidRDefault="00AB52B6" w:rsidP="00AB52B6">
            <w:pPr>
              <w:rPr>
                <w:rFonts w:ascii="Cambria" w:eastAsia="Times New Roman" w:hAnsi="Cambria" w:cs="Calibri"/>
                <w:color w:val="000000"/>
              </w:rPr>
            </w:pPr>
            <w:r w:rsidRPr="00AB52B6">
              <w:rPr>
                <w:rFonts w:ascii="Cambria" w:eastAsia="Calibri" w:hAnsi="Cambria" w:cs="Times New Roman"/>
              </w:rPr>
              <w:t>Fall River, New Bedford</w:t>
            </w:r>
          </w:p>
        </w:tc>
      </w:tr>
      <w:tr w:rsidR="00AB52B6" w:rsidRPr="00AB52B6" w14:paraId="10BA45B6" w14:textId="77777777" w:rsidTr="0075791C">
        <w:trPr>
          <w:trHeight w:val="537"/>
        </w:trPr>
        <w:tc>
          <w:tcPr>
            <w:tcW w:w="4831" w:type="dxa"/>
            <w:noWrap/>
            <w:vAlign w:val="center"/>
            <w:hideMark/>
          </w:tcPr>
          <w:p w14:paraId="0B7408AD"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Tapestry Health Systems, Inc. </w:t>
            </w:r>
          </w:p>
        </w:tc>
        <w:tc>
          <w:tcPr>
            <w:tcW w:w="1795" w:type="dxa"/>
            <w:noWrap/>
            <w:vAlign w:val="center"/>
            <w:hideMark/>
          </w:tcPr>
          <w:p w14:paraId="7D7D9B0D"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Springfield</w:t>
            </w:r>
          </w:p>
        </w:tc>
        <w:tc>
          <w:tcPr>
            <w:tcW w:w="3989" w:type="dxa"/>
            <w:noWrap/>
            <w:vAlign w:val="center"/>
            <w:hideMark/>
          </w:tcPr>
          <w:p w14:paraId="56B2497E" w14:textId="77777777" w:rsidR="00AB52B6" w:rsidRPr="00AB52B6" w:rsidRDefault="00AB52B6" w:rsidP="00AB52B6">
            <w:pPr>
              <w:rPr>
                <w:rFonts w:ascii="Cambria" w:eastAsia="Times New Roman" w:hAnsi="Cambria" w:cs="Calibri"/>
                <w:color w:val="000000"/>
              </w:rPr>
            </w:pPr>
            <w:r w:rsidRPr="00AB52B6">
              <w:rPr>
                <w:rFonts w:ascii="Cambria" w:eastAsia="Calibri" w:hAnsi="Cambria" w:cs="Times New Roman"/>
              </w:rPr>
              <w:t>Holyoke, Springfield</w:t>
            </w:r>
          </w:p>
        </w:tc>
      </w:tr>
      <w:tr w:rsidR="00AB52B6" w:rsidRPr="00AB52B6" w14:paraId="153B6EF8" w14:textId="77777777" w:rsidTr="0075791C">
        <w:trPr>
          <w:trHeight w:val="537"/>
        </w:trPr>
        <w:tc>
          <w:tcPr>
            <w:tcW w:w="4831" w:type="dxa"/>
            <w:noWrap/>
            <w:vAlign w:val="center"/>
            <w:hideMark/>
          </w:tcPr>
          <w:p w14:paraId="55110FE9"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The Latino Health Insurance Program, Inc. </w:t>
            </w:r>
          </w:p>
        </w:tc>
        <w:tc>
          <w:tcPr>
            <w:tcW w:w="1795" w:type="dxa"/>
            <w:noWrap/>
            <w:vAlign w:val="center"/>
            <w:hideMark/>
          </w:tcPr>
          <w:p w14:paraId="0A9C51B6"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Framingham</w:t>
            </w:r>
          </w:p>
        </w:tc>
        <w:tc>
          <w:tcPr>
            <w:tcW w:w="3989" w:type="dxa"/>
            <w:noWrap/>
            <w:vAlign w:val="center"/>
            <w:hideMark/>
          </w:tcPr>
          <w:p w14:paraId="29F77475" w14:textId="77777777" w:rsidR="00AB52B6" w:rsidRPr="00AB52B6" w:rsidRDefault="00AB52B6" w:rsidP="00AB52B6">
            <w:pPr>
              <w:rPr>
                <w:rFonts w:ascii="Cambria" w:eastAsia="Times New Roman" w:hAnsi="Cambria" w:cs="Calibri"/>
                <w:color w:val="000000"/>
              </w:rPr>
            </w:pPr>
            <w:r w:rsidRPr="00AB52B6">
              <w:rPr>
                <w:rFonts w:ascii="Cambria" w:eastAsia="Calibri" w:hAnsi="Cambria" w:cs="Times New Roman"/>
              </w:rPr>
              <w:t xml:space="preserve">Boston, Metro &amp; Central Massachusetts </w:t>
            </w:r>
          </w:p>
        </w:tc>
      </w:tr>
      <w:tr w:rsidR="00AB52B6" w:rsidRPr="00AB52B6" w14:paraId="0BF3E96B" w14:textId="77777777" w:rsidTr="0075791C">
        <w:trPr>
          <w:trHeight w:val="537"/>
        </w:trPr>
        <w:tc>
          <w:tcPr>
            <w:tcW w:w="4831" w:type="dxa"/>
            <w:noWrap/>
            <w:vAlign w:val="center"/>
            <w:hideMark/>
          </w:tcPr>
          <w:p w14:paraId="241CD7FE"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UMass Worcester</w:t>
            </w:r>
          </w:p>
        </w:tc>
        <w:tc>
          <w:tcPr>
            <w:tcW w:w="1795" w:type="dxa"/>
            <w:noWrap/>
            <w:vAlign w:val="center"/>
            <w:hideMark/>
          </w:tcPr>
          <w:p w14:paraId="0196F216"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Worcester</w:t>
            </w:r>
          </w:p>
        </w:tc>
        <w:tc>
          <w:tcPr>
            <w:tcW w:w="3989" w:type="dxa"/>
            <w:noWrap/>
            <w:vAlign w:val="center"/>
            <w:hideMark/>
          </w:tcPr>
          <w:p w14:paraId="16D1DC0F" w14:textId="77777777" w:rsidR="00AB52B6" w:rsidRPr="00AB52B6" w:rsidRDefault="00AB52B6" w:rsidP="00AB52B6">
            <w:pPr>
              <w:rPr>
                <w:rFonts w:ascii="Cambria" w:eastAsia="Times New Roman" w:hAnsi="Cambria" w:cs="Calibri"/>
                <w:color w:val="000000"/>
              </w:rPr>
            </w:pPr>
            <w:r w:rsidRPr="00AB52B6">
              <w:rPr>
                <w:rFonts w:ascii="Cambria" w:eastAsia="Calibri" w:hAnsi="Cambria" w:cs="Times New Roman"/>
              </w:rPr>
              <w:t>Worcester</w:t>
            </w:r>
          </w:p>
        </w:tc>
      </w:tr>
      <w:tr w:rsidR="00AB52B6" w:rsidRPr="00AB52B6" w14:paraId="677687F8" w14:textId="77777777" w:rsidTr="0075791C">
        <w:trPr>
          <w:trHeight w:val="538"/>
        </w:trPr>
        <w:tc>
          <w:tcPr>
            <w:tcW w:w="4831" w:type="dxa"/>
            <w:noWrap/>
            <w:vAlign w:val="center"/>
            <w:hideMark/>
          </w:tcPr>
          <w:p w14:paraId="274E752B"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Whittier Street Health Center</w:t>
            </w:r>
          </w:p>
        </w:tc>
        <w:tc>
          <w:tcPr>
            <w:tcW w:w="1795" w:type="dxa"/>
            <w:noWrap/>
            <w:vAlign w:val="center"/>
            <w:hideMark/>
          </w:tcPr>
          <w:p w14:paraId="07F1B2CD"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c>
          <w:tcPr>
            <w:tcW w:w="3989" w:type="dxa"/>
            <w:noWrap/>
            <w:vAlign w:val="center"/>
            <w:hideMark/>
          </w:tcPr>
          <w:p w14:paraId="5E6518D5" w14:textId="77777777" w:rsidR="00AB52B6" w:rsidRPr="00AB52B6" w:rsidRDefault="00AB52B6" w:rsidP="00AB52B6">
            <w:pPr>
              <w:rPr>
                <w:rFonts w:ascii="Cambria" w:eastAsia="Times New Roman" w:hAnsi="Cambria" w:cs="Calibri"/>
                <w:color w:val="000000"/>
              </w:rPr>
            </w:pPr>
            <w:r w:rsidRPr="00AB52B6">
              <w:rPr>
                <w:rFonts w:ascii="Cambria" w:eastAsia="Calibri" w:hAnsi="Cambria" w:cs="Times New Roman"/>
              </w:rPr>
              <w:t>Boston</w:t>
            </w:r>
          </w:p>
        </w:tc>
      </w:tr>
    </w:tbl>
    <w:p w14:paraId="494B1C7F" w14:textId="77777777" w:rsidR="00AB52B6" w:rsidRPr="00AB52B6" w:rsidRDefault="00AB52B6" w:rsidP="00AB52B6">
      <w:pPr>
        <w:spacing w:after="160" w:line="259" w:lineRule="auto"/>
        <w:ind w:left="0"/>
        <w:rPr>
          <w:rFonts w:ascii="Cambria" w:eastAsia="Calibri" w:hAnsi="Cambria" w:cs="Times New Roman"/>
          <w:b/>
          <w:bCs/>
          <w:color w:val="auto"/>
          <w:lang w:eastAsia="en-US"/>
        </w:rPr>
      </w:pPr>
    </w:p>
    <w:p w14:paraId="61910116" w14:textId="77777777" w:rsidR="00AB52B6" w:rsidRPr="00AB52B6" w:rsidRDefault="00AB52B6" w:rsidP="00AB52B6">
      <w:pPr>
        <w:spacing w:after="160" w:line="259" w:lineRule="auto"/>
        <w:ind w:left="0"/>
        <w:rPr>
          <w:rFonts w:ascii="Cambria" w:eastAsia="Calibri" w:hAnsi="Cambria" w:cs="Times New Roman"/>
          <w:b/>
          <w:bCs/>
          <w:color w:val="auto"/>
          <w:lang w:eastAsia="en-US"/>
        </w:rPr>
      </w:pPr>
    </w:p>
    <w:p w14:paraId="12E397BD" w14:textId="77777777" w:rsidR="00AB52B6" w:rsidRPr="00AB52B6" w:rsidRDefault="00AB52B6" w:rsidP="00AB52B6">
      <w:pPr>
        <w:spacing w:after="160" w:line="259" w:lineRule="auto"/>
        <w:ind w:left="0"/>
        <w:rPr>
          <w:rFonts w:ascii="Cambria" w:eastAsia="Calibri" w:hAnsi="Cambria" w:cs="Times New Roman"/>
          <w:b/>
          <w:bCs/>
          <w:color w:val="auto"/>
          <w:lang w:eastAsia="en-US"/>
        </w:rPr>
      </w:pPr>
    </w:p>
    <w:p w14:paraId="4040F2F8" w14:textId="77777777" w:rsidR="00AB52B6" w:rsidRPr="00AB52B6" w:rsidRDefault="00AB52B6" w:rsidP="00AB52B6">
      <w:pPr>
        <w:spacing w:after="160" w:line="259" w:lineRule="auto"/>
        <w:ind w:left="0"/>
        <w:rPr>
          <w:rFonts w:ascii="Cambria" w:eastAsia="Calibri" w:hAnsi="Cambria" w:cs="Times New Roman"/>
          <w:b/>
          <w:bCs/>
          <w:color w:val="auto"/>
          <w:lang w:eastAsia="en-US"/>
        </w:rPr>
      </w:pPr>
    </w:p>
    <w:p w14:paraId="16B5EE9C" w14:textId="77777777" w:rsidR="00AB52B6" w:rsidRPr="00AB52B6" w:rsidRDefault="00AB52B6" w:rsidP="00AB52B6">
      <w:pPr>
        <w:spacing w:after="160" w:line="259" w:lineRule="auto"/>
        <w:ind w:left="0"/>
        <w:rPr>
          <w:rFonts w:ascii="Cambria" w:eastAsia="Calibri" w:hAnsi="Cambria" w:cs="Times New Roman"/>
          <w:b/>
          <w:bCs/>
          <w:color w:val="auto"/>
          <w:lang w:eastAsia="en-US"/>
        </w:rPr>
      </w:pPr>
      <w:r w:rsidRPr="00AB52B6">
        <w:rPr>
          <w:rFonts w:ascii="Cambria" w:eastAsia="Calibri" w:hAnsi="Cambria" w:cs="Times New Roman"/>
          <w:b/>
          <w:bCs/>
          <w:color w:val="auto"/>
          <w:lang w:eastAsia="en-US"/>
        </w:rPr>
        <w:t>42 Community Health Centers funded through VEI</w:t>
      </w:r>
    </w:p>
    <w:tbl>
      <w:tblPr>
        <w:tblStyle w:val="TableGrid1"/>
        <w:tblpPr w:leftFromText="180" w:rightFromText="180" w:vertAnchor="text" w:tblpY="1"/>
        <w:tblOverlap w:val="never"/>
        <w:tblW w:w="7915" w:type="dxa"/>
        <w:tblLook w:val="04A0" w:firstRow="1" w:lastRow="0" w:firstColumn="1" w:lastColumn="0" w:noHBand="0" w:noVBand="1"/>
      </w:tblPr>
      <w:tblGrid>
        <w:gridCol w:w="6115"/>
        <w:gridCol w:w="1800"/>
      </w:tblGrid>
      <w:tr w:rsidR="00AB52B6" w:rsidRPr="00AB52B6" w14:paraId="57496B18" w14:textId="77777777" w:rsidTr="0075791C">
        <w:trPr>
          <w:trHeight w:val="432"/>
        </w:trPr>
        <w:tc>
          <w:tcPr>
            <w:tcW w:w="6115" w:type="dxa"/>
            <w:noWrap/>
            <w:vAlign w:val="center"/>
          </w:tcPr>
          <w:p w14:paraId="5C8F9A55" w14:textId="77777777" w:rsidR="00AB52B6" w:rsidRPr="00AB52B6" w:rsidRDefault="00AB52B6" w:rsidP="00AB52B6">
            <w:pPr>
              <w:rPr>
                <w:rFonts w:ascii="Cambria" w:eastAsia="Times New Roman" w:hAnsi="Cambria" w:cs="Calibri"/>
                <w:b/>
                <w:bCs/>
                <w:color w:val="000000"/>
              </w:rPr>
            </w:pPr>
            <w:r w:rsidRPr="00AB52B6">
              <w:rPr>
                <w:rFonts w:ascii="Cambria" w:eastAsia="Times New Roman" w:hAnsi="Cambria" w:cs="Calibri"/>
                <w:b/>
                <w:bCs/>
                <w:color w:val="000000"/>
              </w:rPr>
              <w:t>Community Health Center</w:t>
            </w:r>
          </w:p>
        </w:tc>
        <w:tc>
          <w:tcPr>
            <w:tcW w:w="1800" w:type="dxa"/>
            <w:noWrap/>
            <w:vAlign w:val="center"/>
          </w:tcPr>
          <w:p w14:paraId="0C20898C" w14:textId="77777777" w:rsidR="00AB52B6" w:rsidRPr="00AB52B6" w:rsidRDefault="00AB52B6" w:rsidP="00AB52B6">
            <w:pPr>
              <w:rPr>
                <w:rFonts w:ascii="Cambria" w:eastAsia="Times New Roman" w:hAnsi="Cambria" w:cs="Calibri"/>
                <w:b/>
                <w:bCs/>
                <w:color w:val="000000"/>
              </w:rPr>
            </w:pPr>
            <w:r w:rsidRPr="00AB52B6">
              <w:rPr>
                <w:rFonts w:ascii="Cambria" w:eastAsia="Times New Roman" w:hAnsi="Cambria" w:cs="Calibri"/>
                <w:b/>
                <w:bCs/>
                <w:color w:val="000000"/>
              </w:rPr>
              <w:t>Location</w:t>
            </w:r>
          </w:p>
        </w:tc>
      </w:tr>
      <w:tr w:rsidR="00AB52B6" w:rsidRPr="00AB52B6" w14:paraId="19CF35FA" w14:textId="77777777" w:rsidTr="0075791C">
        <w:trPr>
          <w:trHeight w:val="432"/>
        </w:trPr>
        <w:tc>
          <w:tcPr>
            <w:tcW w:w="6115" w:type="dxa"/>
            <w:noWrap/>
            <w:vAlign w:val="center"/>
          </w:tcPr>
          <w:p w14:paraId="369E4A24"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 Health Care for the Homeless Program</w:t>
            </w:r>
          </w:p>
        </w:tc>
        <w:tc>
          <w:tcPr>
            <w:tcW w:w="1800" w:type="dxa"/>
            <w:noWrap/>
            <w:vAlign w:val="center"/>
          </w:tcPr>
          <w:p w14:paraId="718F196C"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4D056E6F" w14:textId="77777777" w:rsidTr="0075791C">
        <w:trPr>
          <w:trHeight w:val="432"/>
        </w:trPr>
        <w:tc>
          <w:tcPr>
            <w:tcW w:w="6115" w:type="dxa"/>
            <w:noWrap/>
            <w:vAlign w:val="center"/>
            <w:hideMark/>
          </w:tcPr>
          <w:p w14:paraId="3D568778"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Bowdoin Street Community Health Center</w:t>
            </w:r>
          </w:p>
        </w:tc>
        <w:tc>
          <w:tcPr>
            <w:tcW w:w="1800" w:type="dxa"/>
            <w:noWrap/>
            <w:vAlign w:val="center"/>
            <w:hideMark/>
          </w:tcPr>
          <w:p w14:paraId="3B97E3A8"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2D035F30" w14:textId="77777777" w:rsidTr="0075791C">
        <w:trPr>
          <w:trHeight w:val="432"/>
        </w:trPr>
        <w:tc>
          <w:tcPr>
            <w:tcW w:w="6115" w:type="dxa"/>
            <w:noWrap/>
            <w:vAlign w:val="center"/>
            <w:hideMark/>
          </w:tcPr>
          <w:p w14:paraId="646A8053"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Brockton Neighborhood Health Center</w:t>
            </w:r>
          </w:p>
        </w:tc>
        <w:tc>
          <w:tcPr>
            <w:tcW w:w="1800" w:type="dxa"/>
            <w:noWrap/>
            <w:vAlign w:val="center"/>
            <w:hideMark/>
          </w:tcPr>
          <w:p w14:paraId="64C9CE7C"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Brockton</w:t>
            </w:r>
          </w:p>
        </w:tc>
      </w:tr>
      <w:tr w:rsidR="00AB52B6" w:rsidRPr="00AB52B6" w14:paraId="35C9E335" w14:textId="77777777" w:rsidTr="0075791C">
        <w:trPr>
          <w:trHeight w:val="432"/>
        </w:trPr>
        <w:tc>
          <w:tcPr>
            <w:tcW w:w="6115" w:type="dxa"/>
            <w:noWrap/>
            <w:vAlign w:val="center"/>
            <w:hideMark/>
          </w:tcPr>
          <w:p w14:paraId="75677CBE"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Brookside Community Health Center</w:t>
            </w:r>
          </w:p>
        </w:tc>
        <w:tc>
          <w:tcPr>
            <w:tcW w:w="1800" w:type="dxa"/>
            <w:noWrap/>
            <w:vAlign w:val="center"/>
            <w:hideMark/>
          </w:tcPr>
          <w:p w14:paraId="1E2969BB"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287FA8A1" w14:textId="77777777" w:rsidTr="0075791C">
        <w:trPr>
          <w:trHeight w:val="432"/>
        </w:trPr>
        <w:tc>
          <w:tcPr>
            <w:tcW w:w="6115" w:type="dxa"/>
            <w:noWrap/>
            <w:vAlign w:val="center"/>
            <w:hideMark/>
          </w:tcPr>
          <w:p w14:paraId="1D1E2B8B"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Cambridge Health Alliance </w:t>
            </w:r>
          </w:p>
        </w:tc>
        <w:tc>
          <w:tcPr>
            <w:tcW w:w="1800" w:type="dxa"/>
            <w:noWrap/>
            <w:vAlign w:val="center"/>
            <w:hideMark/>
          </w:tcPr>
          <w:p w14:paraId="29792B52"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Everett</w:t>
            </w:r>
          </w:p>
        </w:tc>
      </w:tr>
      <w:tr w:rsidR="00AB52B6" w:rsidRPr="00AB52B6" w14:paraId="6EFC1A62" w14:textId="77777777" w:rsidTr="0075791C">
        <w:trPr>
          <w:trHeight w:val="432"/>
        </w:trPr>
        <w:tc>
          <w:tcPr>
            <w:tcW w:w="6115" w:type="dxa"/>
            <w:noWrap/>
            <w:vAlign w:val="center"/>
            <w:hideMark/>
          </w:tcPr>
          <w:p w14:paraId="4474F909"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Caring Health Center, Inc.</w:t>
            </w:r>
          </w:p>
        </w:tc>
        <w:tc>
          <w:tcPr>
            <w:tcW w:w="1800" w:type="dxa"/>
            <w:noWrap/>
            <w:vAlign w:val="center"/>
            <w:hideMark/>
          </w:tcPr>
          <w:p w14:paraId="5682B239"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Springfield</w:t>
            </w:r>
          </w:p>
        </w:tc>
      </w:tr>
      <w:tr w:rsidR="00AB52B6" w:rsidRPr="00AB52B6" w14:paraId="02F46460" w14:textId="77777777" w:rsidTr="0075791C">
        <w:trPr>
          <w:trHeight w:val="432"/>
        </w:trPr>
        <w:tc>
          <w:tcPr>
            <w:tcW w:w="6115" w:type="dxa"/>
            <w:noWrap/>
            <w:vAlign w:val="center"/>
            <w:hideMark/>
          </w:tcPr>
          <w:p w14:paraId="588D0E19"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Charles River Community Health Center</w:t>
            </w:r>
          </w:p>
        </w:tc>
        <w:tc>
          <w:tcPr>
            <w:tcW w:w="1800" w:type="dxa"/>
            <w:noWrap/>
            <w:vAlign w:val="center"/>
            <w:hideMark/>
          </w:tcPr>
          <w:p w14:paraId="3662AF85"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63CCE366" w14:textId="77777777" w:rsidTr="0075791C">
        <w:trPr>
          <w:trHeight w:val="432"/>
        </w:trPr>
        <w:tc>
          <w:tcPr>
            <w:tcW w:w="6115" w:type="dxa"/>
            <w:noWrap/>
            <w:vAlign w:val="center"/>
            <w:hideMark/>
          </w:tcPr>
          <w:p w14:paraId="74BB6F4B"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Codman Square Health Center</w:t>
            </w:r>
          </w:p>
        </w:tc>
        <w:tc>
          <w:tcPr>
            <w:tcW w:w="1800" w:type="dxa"/>
            <w:noWrap/>
            <w:vAlign w:val="center"/>
            <w:hideMark/>
          </w:tcPr>
          <w:p w14:paraId="55A987D5"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5651409A" w14:textId="77777777" w:rsidTr="0075791C">
        <w:trPr>
          <w:trHeight w:val="432"/>
        </w:trPr>
        <w:tc>
          <w:tcPr>
            <w:tcW w:w="6115" w:type="dxa"/>
            <w:noWrap/>
            <w:vAlign w:val="center"/>
            <w:hideMark/>
          </w:tcPr>
          <w:p w14:paraId="463CA4E8"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Community Health Center of Cape Cod</w:t>
            </w:r>
          </w:p>
        </w:tc>
        <w:tc>
          <w:tcPr>
            <w:tcW w:w="1800" w:type="dxa"/>
            <w:noWrap/>
            <w:vAlign w:val="center"/>
            <w:hideMark/>
          </w:tcPr>
          <w:p w14:paraId="1F8F44DB"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Mashpee</w:t>
            </w:r>
          </w:p>
        </w:tc>
      </w:tr>
      <w:tr w:rsidR="00AB52B6" w:rsidRPr="00AB52B6" w14:paraId="35D90542" w14:textId="77777777" w:rsidTr="0075791C">
        <w:trPr>
          <w:trHeight w:val="432"/>
        </w:trPr>
        <w:tc>
          <w:tcPr>
            <w:tcW w:w="6115" w:type="dxa"/>
            <w:noWrap/>
            <w:vAlign w:val="center"/>
            <w:hideMark/>
          </w:tcPr>
          <w:p w14:paraId="062832E2"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Community Health Center of Franklin County</w:t>
            </w:r>
          </w:p>
        </w:tc>
        <w:tc>
          <w:tcPr>
            <w:tcW w:w="1800" w:type="dxa"/>
            <w:noWrap/>
            <w:vAlign w:val="center"/>
            <w:hideMark/>
          </w:tcPr>
          <w:p w14:paraId="4F34C0E6"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Orange</w:t>
            </w:r>
          </w:p>
        </w:tc>
      </w:tr>
      <w:tr w:rsidR="00AB52B6" w:rsidRPr="00AB52B6" w14:paraId="74F5B9B9" w14:textId="77777777" w:rsidTr="0075791C">
        <w:trPr>
          <w:trHeight w:val="432"/>
        </w:trPr>
        <w:tc>
          <w:tcPr>
            <w:tcW w:w="6115" w:type="dxa"/>
            <w:noWrap/>
            <w:vAlign w:val="center"/>
            <w:hideMark/>
          </w:tcPr>
          <w:p w14:paraId="61AB7650"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Community Health Connections Family Health Center  </w:t>
            </w:r>
          </w:p>
        </w:tc>
        <w:tc>
          <w:tcPr>
            <w:tcW w:w="1800" w:type="dxa"/>
            <w:noWrap/>
            <w:vAlign w:val="center"/>
            <w:hideMark/>
          </w:tcPr>
          <w:p w14:paraId="09E6C3E4"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Fitchburg</w:t>
            </w:r>
          </w:p>
        </w:tc>
      </w:tr>
      <w:tr w:rsidR="00AB52B6" w:rsidRPr="00AB52B6" w14:paraId="6E8211F4" w14:textId="77777777" w:rsidTr="0075791C">
        <w:trPr>
          <w:trHeight w:val="432"/>
        </w:trPr>
        <w:tc>
          <w:tcPr>
            <w:tcW w:w="6115" w:type="dxa"/>
            <w:noWrap/>
            <w:vAlign w:val="center"/>
            <w:hideMark/>
          </w:tcPr>
          <w:p w14:paraId="11E2DB61"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Community Health Programs</w:t>
            </w:r>
          </w:p>
        </w:tc>
        <w:tc>
          <w:tcPr>
            <w:tcW w:w="1800" w:type="dxa"/>
            <w:noWrap/>
            <w:vAlign w:val="center"/>
            <w:hideMark/>
          </w:tcPr>
          <w:p w14:paraId="4706E4BD"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Barrington</w:t>
            </w:r>
          </w:p>
        </w:tc>
      </w:tr>
      <w:tr w:rsidR="00AB52B6" w:rsidRPr="00AB52B6" w14:paraId="79131D36" w14:textId="77777777" w:rsidTr="0075791C">
        <w:trPr>
          <w:trHeight w:val="432"/>
        </w:trPr>
        <w:tc>
          <w:tcPr>
            <w:tcW w:w="6115" w:type="dxa"/>
            <w:noWrap/>
            <w:vAlign w:val="center"/>
            <w:hideMark/>
          </w:tcPr>
          <w:p w14:paraId="0EF7C20B"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lastRenderedPageBreak/>
              <w:t>Dimock Community Health Center</w:t>
            </w:r>
          </w:p>
        </w:tc>
        <w:tc>
          <w:tcPr>
            <w:tcW w:w="1800" w:type="dxa"/>
            <w:noWrap/>
            <w:vAlign w:val="center"/>
            <w:hideMark/>
          </w:tcPr>
          <w:p w14:paraId="51DBD1F9"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65F3B00C" w14:textId="77777777" w:rsidTr="0075791C">
        <w:trPr>
          <w:trHeight w:val="432"/>
        </w:trPr>
        <w:tc>
          <w:tcPr>
            <w:tcW w:w="6115" w:type="dxa"/>
            <w:noWrap/>
            <w:vAlign w:val="center"/>
            <w:hideMark/>
          </w:tcPr>
          <w:p w14:paraId="6D54A610" w14:textId="77777777" w:rsidR="00AB52B6" w:rsidRPr="00AB52B6" w:rsidRDefault="00AB52B6" w:rsidP="00AB52B6">
            <w:pPr>
              <w:rPr>
                <w:rFonts w:ascii="Cambria" w:eastAsia="Times New Roman" w:hAnsi="Cambria" w:cs="Calibri"/>
                <w:color w:val="000000"/>
              </w:rPr>
            </w:pPr>
            <w:proofErr w:type="spellStart"/>
            <w:r w:rsidRPr="00AB52B6">
              <w:rPr>
                <w:rFonts w:ascii="Cambria" w:eastAsia="Times New Roman" w:hAnsi="Cambria" w:cs="Calibri"/>
                <w:color w:val="000000"/>
              </w:rPr>
              <w:t>DotHouse</w:t>
            </w:r>
            <w:proofErr w:type="spellEnd"/>
            <w:r w:rsidRPr="00AB52B6">
              <w:rPr>
                <w:rFonts w:ascii="Cambria" w:eastAsia="Times New Roman" w:hAnsi="Cambria" w:cs="Calibri"/>
                <w:color w:val="000000"/>
              </w:rPr>
              <w:t xml:space="preserve"> Health</w:t>
            </w:r>
          </w:p>
        </w:tc>
        <w:tc>
          <w:tcPr>
            <w:tcW w:w="1800" w:type="dxa"/>
            <w:noWrap/>
            <w:vAlign w:val="center"/>
            <w:hideMark/>
          </w:tcPr>
          <w:p w14:paraId="6373A0FB"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316E8271" w14:textId="77777777" w:rsidTr="0075791C">
        <w:trPr>
          <w:trHeight w:val="432"/>
        </w:trPr>
        <w:tc>
          <w:tcPr>
            <w:tcW w:w="6115" w:type="dxa"/>
            <w:noWrap/>
            <w:vAlign w:val="center"/>
            <w:hideMark/>
          </w:tcPr>
          <w:p w14:paraId="50B5A7A8"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Duffy Health Center</w:t>
            </w:r>
          </w:p>
        </w:tc>
        <w:tc>
          <w:tcPr>
            <w:tcW w:w="1800" w:type="dxa"/>
            <w:noWrap/>
            <w:vAlign w:val="center"/>
            <w:hideMark/>
          </w:tcPr>
          <w:p w14:paraId="63EDB610"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Hyannis</w:t>
            </w:r>
          </w:p>
        </w:tc>
      </w:tr>
      <w:tr w:rsidR="00AB52B6" w:rsidRPr="00AB52B6" w14:paraId="5E825B6B" w14:textId="77777777" w:rsidTr="0075791C">
        <w:trPr>
          <w:trHeight w:val="432"/>
        </w:trPr>
        <w:tc>
          <w:tcPr>
            <w:tcW w:w="6115" w:type="dxa"/>
            <w:noWrap/>
            <w:vAlign w:val="center"/>
            <w:hideMark/>
          </w:tcPr>
          <w:p w14:paraId="778F01D6"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East Boston Neighborhood Health Center</w:t>
            </w:r>
          </w:p>
        </w:tc>
        <w:tc>
          <w:tcPr>
            <w:tcW w:w="1800" w:type="dxa"/>
            <w:noWrap/>
            <w:vAlign w:val="center"/>
            <w:hideMark/>
          </w:tcPr>
          <w:p w14:paraId="44467850"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78416964" w14:textId="77777777" w:rsidTr="0075791C">
        <w:trPr>
          <w:trHeight w:val="432"/>
        </w:trPr>
        <w:tc>
          <w:tcPr>
            <w:tcW w:w="6115" w:type="dxa"/>
            <w:noWrap/>
            <w:vAlign w:val="center"/>
            <w:hideMark/>
          </w:tcPr>
          <w:p w14:paraId="49FA0737"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Edward M. Kennedy Community Health Center (Framingham)</w:t>
            </w:r>
          </w:p>
        </w:tc>
        <w:tc>
          <w:tcPr>
            <w:tcW w:w="1800" w:type="dxa"/>
            <w:noWrap/>
            <w:vAlign w:val="center"/>
            <w:hideMark/>
          </w:tcPr>
          <w:p w14:paraId="17F39FAD"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Framingham</w:t>
            </w:r>
          </w:p>
        </w:tc>
      </w:tr>
      <w:tr w:rsidR="00AB52B6" w:rsidRPr="00AB52B6" w14:paraId="119E4485" w14:textId="77777777" w:rsidTr="0075791C">
        <w:trPr>
          <w:trHeight w:val="432"/>
        </w:trPr>
        <w:tc>
          <w:tcPr>
            <w:tcW w:w="6115" w:type="dxa"/>
            <w:noWrap/>
            <w:vAlign w:val="center"/>
            <w:hideMark/>
          </w:tcPr>
          <w:p w14:paraId="00750E5A"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Family Health Center of Worcester</w:t>
            </w:r>
          </w:p>
        </w:tc>
        <w:tc>
          <w:tcPr>
            <w:tcW w:w="1800" w:type="dxa"/>
            <w:noWrap/>
            <w:vAlign w:val="center"/>
            <w:hideMark/>
          </w:tcPr>
          <w:p w14:paraId="25B45143"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Worcester</w:t>
            </w:r>
          </w:p>
        </w:tc>
      </w:tr>
      <w:tr w:rsidR="00AB52B6" w:rsidRPr="00AB52B6" w14:paraId="60724D7C" w14:textId="77777777" w:rsidTr="0075791C">
        <w:trPr>
          <w:trHeight w:val="432"/>
        </w:trPr>
        <w:tc>
          <w:tcPr>
            <w:tcW w:w="6115" w:type="dxa"/>
            <w:noWrap/>
            <w:vAlign w:val="center"/>
            <w:hideMark/>
          </w:tcPr>
          <w:p w14:paraId="7FB764BD"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Fenway Community Health Center</w:t>
            </w:r>
          </w:p>
        </w:tc>
        <w:tc>
          <w:tcPr>
            <w:tcW w:w="1800" w:type="dxa"/>
            <w:noWrap/>
            <w:vAlign w:val="center"/>
            <w:hideMark/>
          </w:tcPr>
          <w:p w14:paraId="39A0949E"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4568C1E0" w14:textId="77777777" w:rsidTr="0075791C">
        <w:trPr>
          <w:trHeight w:val="432"/>
        </w:trPr>
        <w:tc>
          <w:tcPr>
            <w:tcW w:w="6115" w:type="dxa"/>
            <w:noWrap/>
            <w:vAlign w:val="center"/>
            <w:hideMark/>
          </w:tcPr>
          <w:p w14:paraId="1C1370F4"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Greater Lawrence Family Health Center </w:t>
            </w:r>
          </w:p>
        </w:tc>
        <w:tc>
          <w:tcPr>
            <w:tcW w:w="1800" w:type="dxa"/>
            <w:noWrap/>
            <w:vAlign w:val="center"/>
            <w:hideMark/>
          </w:tcPr>
          <w:p w14:paraId="30E1117D"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Lawrence</w:t>
            </w:r>
          </w:p>
        </w:tc>
      </w:tr>
      <w:tr w:rsidR="00AB52B6" w:rsidRPr="00AB52B6" w14:paraId="133D75D7" w14:textId="77777777" w:rsidTr="0075791C">
        <w:trPr>
          <w:trHeight w:val="432"/>
        </w:trPr>
        <w:tc>
          <w:tcPr>
            <w:tcW w:w="6115" w:type="dxa"/>
            <w:noWrap/>
            <w:vAlign w:val="center"/>
            <w:hideMark/>
          </w:tcPr>
          <w:p w14:paraId="5EE28391"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Greater New Bedford Community Health Center</w:t>
            </w:r>
          </w:p>
        </w:tc>
        <w:tc>
          <w:tcPr>
            <w:tcW w:w="1800" w:type="dxa"/>
            <w:noWrap/>
            <w:vAlign w:val="center"/>
            <w:hideMark/>
          </w:tcPr>
          <w:p w14:paraId="32DE3FAC"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New Bedford</w:t>
            </w:r>
          </w:p>
        </w:tc>
      </w:tr>
      <w:tr w:rsidR="00AB52B6" w:rsidRPr="00AB52B6" w14:paraId="14BA3FBA" w14:textId="77777777" w:rsidTr="0075791C">
        <w:trPr>
          <w:trHeight w:val="432"/>
        </w:trPr>
        <w:tc>
          <w:tcPr>
            <w:tcW w:w="6115" w:type="dxa"/>
            <w:noWrap/>
            <w:vAlign w:val="center"/>
            <w:hideMark/>
          </w:tcPr>
          <w:p w14:paraId="37DE701B"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Greater Roslindale Medical and Dental Center</w:t>
            </w:r>
          </w:p>
        </w:tc>
        <w:tc>
          <w:tcPr>
            <w:tcW w:w="1800" w:type="dxa"/>
            <w:noWrap/>
            <w:vAlign w:val="center"/>
            <w:hideMark/>
          </w:tcPr>
          <w:p w14:paraId="6B7F7BB8"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5B102F8C" w14:textId="77777777" w:rsidTr="0075791C">
        <w:trPr>
          <w:trHeight w:val="432"/>
        </w:trPr>
        <w:tc>
          <w:tcPr>
            <w:tcW w:w="6115" w:type="dxa"/>
            <w:noWrap/>
            <w:vAlign w:val="center"/>
            <w:hideMark/>
          </w:tcPr>
          <w:p w14:paraId="482B7C0A"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Harbor Health Services Incorporated</w:t>
            </w:r>
          </w:p>
        </w:tc>
        <w:tc>
          <w:tcPr>
            <w:tcW w:w="1800" w:type="dxa"/>
            <w:noWrap/>
            <w:vAlign w:val="center"/>
            <w:hideMark/>
          </w:tcPr>
          <w:p w14:paraId="474271AF"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Mattapan</w:t>
            </w:r>
          </w:p>
        </w:tc>
      </w:tr>
      <w:tr w:rsidR="00AB52B6" w:rsidRPr="00AB52B6" w14:paraId="0065F6A2" w14:textId="77777777" w:rsidTr="0075791C">
        <w:trPr>
          <w:trHeight w:val="432"/>
        </w:trPr>
        <w:tc>
          <w:tcPr>
            <w:tcW w:w="6115" w:type="dxa"/>
            <w:noWrap/>
            <w:vAlign w:val="center"/>
            <w:hideMark/>
          </w:tcPr>
          <w:p w14:paraId="16FCFA0F"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Harvard Street Neighborhood Health Center</w:t>
            </w:r>
          </w:p>
        </w:tc>
        <w:tc>
          <w:tcPr>
            <w:tcW w:w="1800" w:type="dxa"/>
            <w:noWrap/>
            <w:vAlign w:val="center"/>
            <w:hideMark/>
          </w:tcPr>
          <w:p w14:paraId="0211D005"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1BA03379" w14:textId="77777777" w:rsidTr="0075791C">
        <w:trPr>
          <w:trHeight w:val="432"/>
        </w:trPr>
        <w:tc>
          <w:tcPr>
            <w:tcW w:w="6115" w:type="dxa"/>
            <w:noWrap/>
            <w:vAlign w:val="center"/>
            <w:hideMark/>
          </w:tcPr>
          <w:p w14:paraId="62B35BC6"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Healthfirst Family Care Center</w:t>
            </w:r>
          </w:p>
        </w:tc>
        <w:tc>
          <w:tcPr>
            <w:tcW w:w="1800" w:type="dxa"/>
            <w:noWrap/>
            <w:vAlign w:val="center"/>
            <w:hideMark/>
          </w:tcPr>
          <w:p w14:paraId="15D4B13D"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Fall River</w:t>
            </w:r>
          </w:p>
        </w:tc>
      </w:tr>
      <w:tr w:rsidR="00AB52B6" w:rsidRPr="00AB52B6" w14:paraId="604C5301" w14:textId="77777777" w:rsidTr="0075791C">
        <w:trPr>
          <w:trHeight w:val="432"/>
        </w:trPr>
        <w:tc>
          <w:tcPr>
            <w:tcW w:w="6115" w:type="dxa"/>
            <w:noWrap/>
            <w:vAlign w:val="center"/>
            <w:hideMark/>
          </w:tcPr>
          <w:p w14:paraId="6BE37947"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Hilltown Community Health Center</w:t>
            </w:r>
          </w:p>
        </w:tc>
        <w:tc>
          <w:tcPr>
            <w:tcW w:w="1800" w:type="dxa"/>
            <w:noWrap/>
            <w:vAlign w:val="center"/>
            <w:hideMark/>
          </w:tcPr>
          <w:p w14:paraId="10B08E35"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Amherst</w:t>
            </w:r>
          </w:p>
        </w:tc>
      </w:tr>
      <w:tr w:rsidR="00AB52B6" w:rsidRPr="00AB52B6" w14:paraId="1E42FB07" w14:textId="77777777" w:rsidTr="0075791C">
        <w:trPr>
          <w:trHeight w:val="432"/>
        </w:trPr>
        <w:tc>
          <w:tcPr>
            <w:tcW w:w="6115" w:type="dxa"/>
            <w:noWrap/>
            <w:vAlign w:val="center"/>
            <w:hideMark/>
          </w:tcPr>
          <w:p w14:paraId="6B193FB4"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 xml:space="preserve">Holyoke Health Center, Inc.   </w:t>
            </w:r>
          </w:p>
        </w:tc>
        <w:tc>
          <w:tcPr>
            <w:tcW w:w="1800" w:type="dxa"/>
            <w:noWrap/>
            <w:vAlign w:val="center"/>
            <w:hideMark/>
          </w:tcPr>
          <w:p w14:paraId="42ADBD46"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Holyoke</w:t>
            </w:r>
          </w:p>
        </w:tc>
      </w:tr>
      <w:tr w:rsidR="00AB52B6" w:rsidRPr="00AB52B6" w14:paraId="53B336C1" w14:textId="77777777" w:rsidTr="0075791C">
        <w:trPr>
          <w:trHeight w:val="432"/>
        </w:trPr>
        <w:tc>
          <w:tcPr>
            <w:tcW w:w="6115" w:type="dxa"/>
            <w:noWrap/>
            <w:vAlign w:val="center"/>
            <w:hideMark/>
          </w:tcPr>
          <w:p w14:paraId="0AA4F1CB"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Island Health Care</w:t>
            </w:r>
          </w:p>
        </w:tc>
        <w:tc>
          <w:tcPr>
            <w:tcW w:w="1800" w:type="dxa"/>
            <w:noWrap/>
            <w:vAlign w:val="center"/>
            <w:hideMark/>
          </w:tcPr>
          <w:p w14:paraId="74DCBFB3"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Edgartown</w:t>
            </w:r>
          </w:p>
        </w:tc>
      </w:tr>
      <w:tr w:rsidR="00AB52B6" w:rsidRPr="00AB52B6" w14:paraId="654F67F4" w14:textId="77777777" w:rsidTr="0075791C">
        <w:trPr>
          <w:trHeight w:val="432"/>
        </w:trPr>
        <w:tc>
          <w:tcPr>
            <w:tcW w:w="6115" w:type="dxa"/>
            <w:noWrap/>
            <w:vAlign w:val="center"/>
            <w:hideMark/>
          </w:tcPr>
          <w:p w14:paraId="1D48665A"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Lowell Community Health Center</w:t>
            </w:r>
          </w:p>
        </w:tc>
        <w:tc>
          <w:tcPr>
            <w:tcW w:w="1800" w:type="dxa"/>
            <w:noWrap/>
            <w:vAlign w:val="center"/>
            <w:hideMark/>
          </w:tcPr>
          <w:p w14:paraId="7D8B552C"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Lowell</w:t>
            </w:r>
          </w:p>
        </w:tc>
      </w:tr>
      <w:tr w:rsidR="00AB52B6" w:rsidRPr="00AB52B6" w14:paraId="01AE74CC" w14:textId="77777777" w:rsidTr="0075791C">
        <w:trPr>
          <w:trHeight w:val="432"/>
        </w:trPr>
        <w:tc>
          <w:tcPr>
            <w:tcW w:w="6115" w:type="dxa"/>
            <w:noWrap/>
            <w:vAlign w:val="center"/>
            <w:hideMark/>
          </w:tcPr>
          <w:p w14:paraId="3253D5EE"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Lynn Community Health Center</w:t>
            </w:r>
          </w:p>
        </w:tc>
        <w:tc>
          <w:tcPr>
            <w:tcW w:w="1800" w:type="dxa"/>
            <w:noWrap/>
            <w:vAlign w:val="center"/>
            <w:hideMark/>
          </w:tcPr>
          <w:p w14:paraId="5542E094"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Lynn</w:t>
            </w:r>
          </w:p>
        </w:tc>
      </w:tr>
      <w:tr w:rsidR="00AB52B6" w:rsidRPr="00AB52B6" w14:paraId="0CBE9452" w14:textId="77777777" w:rsidTr="0075791C">
        <w:trPr>
          <w:trHeight w:val="432"/>
        </w:trPr>
        <w:tc>
          <w:tcPr>
            <w:tcW w:w="6115" w:type="dxa"/>
            <w:noWrap/>
            <w:vAlign w:val="center"/>
            <w:hideMark/>
          </w:tcPr>
          <w:p w14:paraId="1CC36039"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Manet Community Health Center</w:t>
            </w:r>
          </w:p>
        </w:tc>
        <w:tc>
          <w:tcPr>
            <w:tcW w:w="1800" w:type="dxa"/>
            <w:noWrap/>
            <w:vAlign w:val="center"/>
            <w:hideMark/>
          </w:tcPr>
          <w:p w14:paraId="0E4F2156"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Quincy</w:t>
            </w:r>
          </w:p>
        </w:tc>
      </w:tr>
      <w:tr w:rsidR="00AB52B6" w:rsidRPr="00AB52B6" w14:paraId="74585FD0" w14:textId="77777777" w:rsidTr="0075791C">
        <w:trPr>
          <w:trHeight w:val="432"/>
        </w:trPr>
        <w:tc>
          <w:tcPr>
            <w:tcW w:w="6115" w:type="dxa"/>
            <w:noWrap/>
            <w:vAlign w:val="center"/>
            <w:hideMark/>
          </w:tcPr>
          <w:p w14:paraId="064CCA7C"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Mattapan Community Health Center</w:t>
            </w:r>
          </w:p>
        </w:tc>
        <w:tc>
          <w:tcPr>
            <w:tcW w:w="1800" w:type="dxa"/>
            <w:noWrap/>
            <w:vAlign w:val="center"/>
            <w:hideMark/>
          </w:tcPr>
          <w:p w14:paraId="4B00AF78"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Mattapan</w:t>
            </w:r>
          </w:p>
        </w:tc>
      </w:tr>
      <w:tr w:rsidR="00AB52B6" w:rsidRPr="00AB52B6" w14:paraId="79B5D664" w14:textId="77777777" w:rsidTr="0075791C">
        <w:trPr>
          <w:trHeight w:val="432"/>
        </w:trPr>
        <w:tc>
          <w:tcPr>
            <w:tcW w:w="6115" w:type="dxa"/>
            <w:noWrap/>
            <w:vAlign w:val="center"/>
            <w:hideMark/>
          </w:tcPr>
          <w:p w14:paraId="7D60AADD"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North End Waterfront Health</w:t>
            </w:r>
          </w:p>
        </w:tc>
        <w:tc>
          <w:tcPr>
            <w:tcW w:w="1800" w:type="dxa"/>
            <w:noWrap/>
            <w:vAlign w:val="center"/>
            <w:hideMark/>
          </w:tcPr>
          <w:p w14:paraId="0087EDAE"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544FECFA" w14:textId="77777777" w:rsidTr="0075791C">
        <w:trPr>
          <w:trHeight w:val="432"/>
        </w:trPr>
        <w:tc>
          <w:tcPr>
            <w:tcW w:w="6115" w:type="dxa"/>
            <w:noWrap/>
            <w:vAlign w:val="center"/>
            <w:hideMark/>
          </w:tcPr>
          <w:p w14:paraId="4FEEC4A5"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North Shore Community Health Center</w:t>
            </w:r>
          </w:p>
        </w:tc>
        <w:tc>
          <w:tcPr>
            <w:tcW w:w="1800" w:type="dxa"/>
            <w:noWrap/>
            <w:vAlign w:val="center"/>
            <w:hideMark/>
          </w:tcPr>
          <w:p w14:paraId="15FADF29"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Salem</w:t>
            </w:r>
          </w:p>
        </w:tc>
      </w:tr>
      <w:tr w:rsidR="00AB52B6" w:rsidRPr="00AB52B6" w14:paraId="29795C1B" w14:textId="77777777" w:rsidTr="0075791C">
        <w:trPr>
          <w:trHeight w:val="432"/>
        </w:trPr>
        <w:tc>
          <w:tcPr>
            <w:tcW w:w="6115" w:type="dxa"/>
            <w:noWrap/>
            <w:vAlign w:val="center"/>
            <w:hideMark/>
          </w:tcPr>
          <w:p w14:paraId="19431ECB"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Outer Cape Community Health Services</w:t>
            </w:r>
          </w:p>
        </w:tc>
        <w:tc>
          <w:tcPr>
            <w:tcW w:w="1800" w:type="dxa"/>
            <w:noWrap/>
            <w:vAlign w:val="center"/>
            <w:hideMark/>
          </w:tcPr>
          <w:p w14:paraId="3F0121C5"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Provincetown</w:t>
            </w:r>
          </w:p>
        </w:tc>
      </w:tr>
      <w:tr w:rsidR="00AB52B6" w:rsidRPr="00AB52B6" w14:paraId="724408D1" w14:textId="77777777" w:rsidTr="0075791C">
        <w:trPr>
          <w:trHeight w:val="432"/>
        </w:trPr>
        <w:tc>
          <w:tcPr>
            <w:tcW w:w="6115" w:type="dxa"/>
            <w:noWrap/>
            <w:vAlign w:val="center"/>
            <w:hideMark/>
          </w:tcPr>
          <w:p w14:paraId="2FCF53F9"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South Boston Community Health Center</w:t>
            </w:r>
          </w:p>
        </w:tc>
        <w:tc>
          <w:tcPr>
            <w:tcW w:w="1800" w:type="dxa"/>
            <w:noWrap/>
            <w:vAlign w:val="center"/>
            <w:hideMark/>
          </w:tcPr>
          <w:p w14:paraId="3FD53AF8"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49796DA8" w14:textId="77777777" w:rsidTr="0075791C">
        <w:trPr>
          <w:trHeight w:val="432"/>
        </w:trPr>
        <w:tc>
          <w:tcPr>
            <w:tcW w:w="6115" w:type="dxa"/>
            <w:noWrap/>
            <w:vAlign w:val="center"/>
            <w:hideMark/>
          </w:tcPr>
          <w:p w14:paraId="37133A21"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South Cove Community Health Center</w:t>
            </w:r>
          </w:p>
        </w:tc>
        <w:tc>
          <w:tcPr>
            <w:tcW w:w="1800" w:type="dxa"/>
            <w:noWrap/>
            <w:vAlign w:val="center"/>
            <w:hideMark/>
          </w:tcPr>
          <w:p w14:paraId="77A9D5BB"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3F74ACB5" w14:textId="77777777" w:rsidTr="0075791C">
        <w:trPr>
          <w:trHeight w:val="432"/>
        </w:trPr>
        <w:tc>
          <w:tcPr>
            <w:tcW w:w="6115" w:type="dxa"/>
            <w:noWrap/>
            <w:vAlign w:val="center"/>
            <w:hideMark/>
          </w:tcPr>
          <w:p w14:paraId="52709049"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Southern Jamaica Plain Health Center</w:t>
            </w:r>
          </w:p>
        </w:tc>
        <w:tc>
          <w:tcPr>
            <w:tcW w:w="1800" w:type="dxa"/>
            <w:noWrap/>
            <w:vAlign w:val="center"/>
            <w:hideMark/>
          </w:tcPr>
          <w:p w14:paraId="435C1A95"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5A835DFD" w14:textId="77777777" w:rsidTr="0075791C">
        <w:trPr>
          <w:trHeight w:val="432"/>
        </w:trPr>
        <w:tc>
          <w:tcPr>
            <w:tcW w:w="6115" w:type="dxa"/>
            <w:noWrap/>
            <w:vAlign w:val="center"/>
            <w:hideMark/>
          </w:tcPr>
          <w:p w14:paraId="7A1268C7"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Springfield Homeless Health</w:t>
            </w:r>
          </w:p>
        </w:tc>
        <w:tc>
          <w:tcPr>
            <w:tcW w:w="1800" w:type="dxa"/>
            <w:noWrap/>
            <w:vAlign w:val="center"/>
            <w:hideMark/>
          </w:tcPr>
          <w:p w14:paraId="2F4A9002"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Springfield</w:t>
            </w:r>
          </w:p>
        </w:tc>
      </w:tr>
      <w:tr w:rsidR="00AB52B6" w:rsidRPr="00AB52B6" w14:paraId="1B1C1201" w14:textId="77777777" w:rsidTr="0075791C">
        <w:trPr>
          <w:trHeight w:val="432"/>
        </w:trPr>
        <w:tc>
          <w:tcPr>
            <w:tcW w:w="6115" w:type="dxa"/>
            <w:noWrap/>
            <w:vAlign w:val="center"/>
            <w:hideMark/>
          </w:tcPr>
          <w:p w14:paraId="7CB994C3"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SSTAR Family Healthcare Center</w:t>
            </w:r>
          </w:p>
        </w:tc>
        <w:tc>
          <w:tcPr>
            <w:tcW w:w="1800" w:type="dxa"/>
            <w:noWrap/>
            <w:vAlign w:val="center"/>
            <w:hideMark/>
          </w:tcPr>
          <w:p w14:paraId="768D0595"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Fall River</w:t>
            </w:r>
          </w:p>
        </w:tc>
      </w:tr>
      <w:tr w:rsidR="00AB52B6" w:rsidRPr="00AB52B6" w14:paraId="3750F3D7" w14:textId="77777777" w:rsidTr="0075791C">
        <w:trPr>
          <w:trHeight w:val="432"/>
        </w:trPr>
        <w:tc>
          <w:tcPr>
            <w:tcW w:w="6115" w:type="dxa"/>
            <w:noWrap/>
            <w:vAlign w:val="center"/>
            <w:hideMark/>
          </w:tcPr>
          <w:p w14:paraId="1EEB60FE" w14:textId="77777777" w:rsidR="00AB52B6" w:rsidRPr="00AB52B6" w:rsidRDefault="00AB52B6" w:rsidP="00AB52B6">
            <w:pPr>
              <w:rPr>
                <w:rFonts w:ascii="Cambria" w:eastAsia="Times New Roman" w:hAnsi="Cambria" w:cs="Calibri"/>
                <w:color w:val="000000"/>
              </w:rPr>
            </w:pPr>
            <w:proofErr w:type="spellStart"/>
            <w:r w:rsidRPr="00AB52B6">
              <w:rPr>
                <w:rFonts w:ascii="Cambria" w:eastAsia="Times New Roman" w:hAnsi="Cambria" w:cs="Calibri"/>
                <w:color w:val="000000"/>
              </w:rPr>
              <w:t>Uphams's</w:t>
            </w:r>
            <w:proofErr w:type="spellEnd"/>
            <w:r w:rsidRPr="00AB52B6">
              <w:rPr>
                <w:rFonts w:ascii="Cambria" w:eastAsia="Times New Roman" w:hAnsi="Cambria" w:cs="Calibri"/>
                <w:color w:val="000000"/>
              </w:rPr>
              <w:t xml:space="preserve"> Corner Health Center</w:t>
            </w:r>
          </w:p>
        </w:tc>
        <w:tc>
          <w:tcPr>
            <w:tcW w:w="1800" w:type="dxa"/>
            <w:noWrap/>
            <w:vAlign w:val="center"/>
            <w:hideMark/>
          </w:tcPr>
          <w:p w14:paraId="46F4C5B1"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r w:rsidR="00AB52B6" w:rsidRPr="00AB52B6" w14:paraId="0E8D589B" w14:textId="77777777" w:rsidTr="0075791C">
        <w:trPr>
          <w:trHeight w:val="432"/>
        </w:trPr>
        <w:tc>
          <w:tcPr>
            <w:tcW w:w="6115" w:type="dxa"/>
            <w:noWrap/>
            <w:vAlign w:val="center"/>
            <w:hideMark/>
          </w:tcPr>
          <w:p w14:paraId="37A73F18"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Whittier Street Health Center</w:t>
            </w:r>
          </w:p>
        </w:tc>
        <w:tc>
          <w:tcPr>
            <w:tcW w:w="1800" w:type="dxa"/>
            <w:noWrap/>
            <w:vAlign w:val="center"/>
            <w:hideMark/>
          </w:tcPr>
          <w:p w14:paraId="262C5A35" w14:textId="77777777" w:rsidR="00AB52B6" w:rsidRPr="00AB52B6" w:rsidRDefault="00AB52B6" w:rsidP="00AB52B6">
            <w:pPr>
              <w:rPr>
                <w:rFonts w:ascii="Cambria" w:eastAsia="Times New Roman" w:hAnsi="Cambria" w:cs="Calibri"/>
                <w:color w:val="000000"/>
              </w:rPr>
            </w:pPr>
            <w:r w:rsidRPr="00AB52B6">
              <w:rPr>
                <w:rFonts w:ascii="Cambria" w:eastAsia="Times New Roman" w:hAnsi="Cambria" w:cs="Calibri"/>
                <w:color w:val="000000"/>
              </w:rPr>
              <w:t>Boston</w:t>
            </w:r>
          </w:p>
        </w:tc>
      </w:tr>
    </w:tbl>
    <w:p w14:paraId="5F8CF25F" w14:textId="77777777" w:rsidR="00AB52B6" w:rsidRPr="00AB52B6" w:rsidRDefault="00AB52B6" w:rsidP="00AB52B6">
      <w:pPr>
        <w:spacing w:after="160" w:line="259" w:lineRule="auto"/>
        <w:ind w:left="0"/>
        <w:rPr>
          <w:rFonts w:ascii="Cambria" w:eastAsia="Calibri" w:hAnsi="Cambria" w:cs="Times New Roman"/>
          <w:color w:val="auto"/>
          <w:lang w:eastAsia="en-US"/>
        </w:rPr>
      </w:pPr>
      <w:r w:rsidRPr="00AB52B6">
        <w:rPr>
          <w:rFonts w:ascii="Cambria" w:eastAsia="Calibri" w:hAnsi="Cambria" w:cs="Times New Roman"/>
          <w:color w:val="auto"/>
          <w:lang w:eastAsia="en-US"/>
        </w:rPr>
        <w:br w:type="textWrapping" w:clear="all"/>
      </w:r>
    </w:p>
    <w:p w14:paraId="3D3B0BF7" w14:textId="77777777" w:rsidR="00AB52B6" w:rsidRPr="00AB52B6" w:rsidRDefault="00AB52B6" w:rsidP="00AB52B6">
      <w:pPr>
        <w:spacing w:after="160" w:line="259" w:lineRule="auto"/>
        <w:ind w:left="0"/>
        <w:rPr>
          <w:rFonts w:ascii="Cambria" w:eastAsia="Calibri" w:hAnsi="Cambria" w:cs="Times New Roman"/>
          <w:color w:val="auto"/>
          <w:lang w:eastAsia="en-US"/>
        </w:rPr>
      </w:pPr>
    </w:p>
    <w:p w14:paraId="1D46DA53" w14:textId="77777777" w:rsidR="00AB52B6" w:rsidRPr="00AB52B6" w:rsidRDefault="00AB52B6" w:rsidP="00AB52B6">
      <w:pPr>
        <w:spacing w:after="160" w:line="259" w:lineRule="auto"/>
        <w:ind w:left="0"/>
        <w:rPr>
          <w:rFonts w:ascii="Cambria" w:eastAsia="Calibri" w:hAnsi="Cambria" w:cs="Times New Roman"/>
          <w:b/>
          <w:bCs/>
          <w:color w:val="auto"/>
          <w:lang w:eastAsia="en-US"/>
        </w:rPr>
      </w:pPr>
      <w:r w:rsidRPr="00AB52B6">
        <w:rPr>
          <w:rFonts w:ascii="Cambria" w:eastAsia="Calibri" w:hAnsi="Cambria" w:cs="Times New Roman"/>
          <w:b/>
          <w:bCs/>
          <w:color w:val="auto"/>
          <w:lang w:eastAsia="en-US"/>
        </w:rPr>
        <w:lastRenderedPageBreak/>
        <w:t>10 Health Organizations funded as the Community Health Workers—Resilient Communities through VEI</w:t>
      </w:r>
    </w:p>
    <w:tbl>
      <w:tblPr>
        <w:tblStyle w:val="TableGrid1"/>
        <w:tblW w:w="0" w:type="auto"/>
        <w:tblLook w:val="04A0" w:firstRow="1" w:lastRow="0" w:firstColumn="1" w:lastColumn="0" w:noHBand="0" w:noVBand="1"/>
      </w:tblPr>
      <w:tblGrid>
        <w:gridCol w:w="5125"/>
        <w:gridCol w:w="2155"/>
      </w:tblGrid>
      <w:tr w:rsidR="00AB52B6" w:rsidRPr="00AB52B6" w14:paraId="0646345F" w14:textId="77777777" w:rsidTr="0075791C">
        <w:trPr>
          <w:trHeight w:val="537"/>
        </w:trPr>
        <w:tc>
          <w:tcPr>
            <w:tcW w:w="5125" w:type="dxa"/>
            <w:noWrap/>
            <w:vAlign w:val="center"/>
            <w:hideMark/>
          </w:tcPr>
          <w:p w14:paraId="42326297" w14:textId="77777777" w:rsidR="00AB52B6" w:rsidRPr="00AB52B6" w:rsidRDefault="00AB52B6" w:rsidP="00AB52B6">
            <w:pPr>
              <w:rPr>
                <w:rFonts w:ascii="Cambria" w:eastAsia="Calibri" w:hAnsi="Cambria" w:cs="Times New Roman"/>
                <w:b/>
                <w:bCs/>
              </w:rPr>
            </w:pPr>
            <w:r w:rsidRPr="00AB52B6">
              <w:rPr>
                <w:rFonts w:ascii="Cambria" w:eastAsia="Calibri" w:hAnsi="Cambria" w:cs="Times New Roman"/>
                <w:b/>
                <w:bCs/>
              </w:rPr>
              <w:t xml:space="preserve">Community Health Workers -- Resilient Communities </w:t>
            </w:r>
          </w:p>
        </w:tc>
        <w:tc>
          <w:tcPr>
            <w:tcW w:w="2155" w:type="dxa"/>
            <w:noWrap/>
            <w:vAlign w:val="center"/>
            <w:hideMark/>
          </w:tcPr>
          <w:p w14:paraId="21FD1CCA" w14:textId="77777777" w:rsidR="00AB52B6" w:rsidRPr="00AB52B6" w:rsidRDefault="00AB52B6" w:rsidP="00AB52B6">
            <w:pPr>
              <w:rPr>
                <w:rFonts w:ascii="Cambria" w:eastAsia="Calibri" w:hAnsi="Cambria" w:cs="Times New Roman"/>
                <w:b/>
                <w:bCs/>
              </w:rPr>
            </w:pPr>
            <w:r w:rsidRPr="00AB52B6">
              <w:rPr>
                <w:rFonts w:ascii="Cambria" w:eastAsia="Calibri" w:hAnsi="Cambria" w:cs="Times New Roman"/>
                <w:b/>
                <w:bCs/>
              </w:rPr>
              <w:t>Organization Location</w:t>
            </w:r>
          </w:p>
        </w:tc>
      </w:tr>
      <w:tr w:rsidR="00AB52B6" w:rsidRPr="00AB52B6" w14:paraId="1E60ADDF" w14:textId="77777777" w:rsidTr="0075791C">
        <w:trPr>
          <w:trHeight w:val="537"/>
        </w:trPr>
        <w:tc>
          <w:tcPr>
            <w:tcW w:w="5125" w:type="dxa"/>
            <w:noWrap/>
            <w:vAlign w:val="center"/>
            <w:hideMark/>
          </w:tcPr>
          <w:p w14:paraId="4E53E2D3"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Baystate and Caring Health Center</w:t>
            </w:r>
          </w:p>
        </w:tc>
        <w:tc>
          <w:tcPr>
            <w:tcW w:w="2155" w:type="dxa"/>
            <w:noWrap/>
            <w:vAlign w:val="center"/>
            <w:hideMark/>
          </w:tcPr>
          <w:p w14:paraId="033188FB"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Springfield</w:t>
            </w:r>
          </w:p>
        </w:tc>
      </w:tr>
      <w:tr w:rsidR="00AB52B6" w:rsidRPr="00AB52B6" w14:paraId="46253A00" w14:textId="77777777" w:rsidTr="0075791C">
        <w:trPr>
          <w:trHeight w:val="537"/>
        </w:trPr>
        <w:tc>
          <w:tcPr>
            <w:tcW w:w="5125" w:type="dxa"/>
            <w:noWrap/>
            <w:vAlign w:val="center"/>
            <w:hideMark/>
          </w:tcPr>
          <w:p w14:paraId="7DFB0FB0"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Boston Healthcare for the Homeless Program</w:t>
            </w:r>
          </w:p>
        </w:tc>
        <w:tc>
          <w:tcPr>
            <w:tcW w:w="2155" w:type="dxa"/>
            <w:noWrap/>
            <w:vAlign w:val="center"/>
            <w:hideMark/>
          </w:tcPr>
          <w:p w14:paraId="2395D551"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Boston</w:t>
            </w:r>
          </w:p>
        </w:tc>
      </w:tr>
      <w:tr w:rsidR="00AB52B6" w:rsidRPr="00AB52B6" w14:paraId="0C5190CB" w14:textId="77777777" w:rsidTr="0075791C">
        <w:trPr>
          <w:trHeight w:val="537"/>
        </w:trPr>
        <w:tc>
          <w:tcPr>
            <w:tcW w:w="5125" w:type="dxa"/>
            <w:noWrap/>
            <w:vAlign w:val="center"/>
            <w:hideMark/>
          </w:tcPr>
          <w:p w14:paraId="1D2EE6F9"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Brockton Neighborhood Health Center</w:t>
            </w:r>
          </w:p>
        </w:tc>
        <w:tc>
          <w:tcPr>
            <w:tcW w:w="2155" w:type="dxa"/>
            <w:noWrap/>
            <w:vAlign w:val="center"/>
            <w:hideMark/>
          </w:tcPr>
          <w:p w14:paraId="2B5F912F"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Brockton</w:t>
            </w:r>
          </w:p>
        </w:tc>
      </w:tr>
      <w:tr w:rsidR="00AB52B6" w:rsidRPr="00AB52B6" w14:paraId="58293221" w14:textId="77777777" w:rsidTr="0075791C">
        <w:trPr>
          <w:trHeight w:val="537"/>
        </w:trPr>
        <w:tc>
          <w:tcPr>
            <w:tcW w:w="5125" w:type="dxa"/>
            <w:noWrap/>
            <w:vAlign w:val="center"/>
            <w:hideMark/>
          </w:tcPr>
          <w:p w14:paraId="302C719F"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 xml:space="preserve">Cambridge Health Alliance </w:t>
            </w:r>
            <w:proofErr w:type="gramStart"/>
            <w:r w:rsidRPr="00AB52B6">
              <w:rPr>
                <w:rFonts w:ascii="Cambria" w:eastAsia="Calibri" w:hAnsi="Cambria" w:cs="Times New Roman"/>
              </w:rPr>
              <w:t>-  Malden</w:t>
            </w:r>
            <w:proofErr w:type="gramEnd"/>
            <w:r w:rsidRPr="00AB52B6">
              <w:rPr>
                <w:rFonts w:ascii="Cambria" w:eastAsia="Calibri" w:hAnsi="Cambria" w:cs="Times New Roman"/>
              </w:rPr>
              <w:t xml:space="preserve"> Care Center</w:t>
            </w:r>
          </w:p>
        </w:tc>
        <w:tc>
          <w:tcPr>
            <w:tcW w:w="2155" w:type="dxa"/>
            <w:noWrap/>
            <w:vAlign w:val="center"/>
            <w:hideMark/>
          </w:tcPr>
          <w:p w14:paraId="340FAB3E"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Malden</w:t>
            </w:r>
          </w:p>
        </w:tc>
      </w:tr>
      <w:tr w:rsidR="00AB52B6" w:rsidRPr="00AB52B6" w14:paraId="36B325C8" w14:textId="77777777" w:rsidTr="0075791C">
        <w:trPr>
          <w:trHeight w:val="537"/>
        </w:trPr>
        <w:tc>
          <w:tcPr>
            <w:tcW w:w="5125" w:type="dxa"/>
            <w:noWrap/>
            <w:vAlign w:val="center"/>
            <w:hideMark/>
          </w:tcPr>
          <w:p w14:paraId="3F74F634"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Cambridge Health Alliance - Everett Care Center</w:t>
            </w:r>
          </w:p>
        </w:tc>
        <w:tc>
          <w:tcPr>
            <w:tcW w:w="2155" w:type="dxa"/>
            <w:noWrap/>
            <w:vAlign w:val="center"/>
            <w:hideMark/>
          </w:tcPr>
          <w:p w14:paraId="0515F70B"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Everett</w:t>
            </w:r>
          </w:p>
        </w:tc>
      </w:tr>
      <w:tr w:rsidR="00AB52B6" w:rsidRPr="00AB52B6" w14:paraId="554288CD" w14:textId="77777777" w:rsidTr="0075791C">
        <w:trPr>
          <w:trHeight w:val="537"/>
        </w:trPr>
        <w:tc>
          <w:tcPr>
            <w:tcW w:w="5125" w:type="dxa"/>
            <w:noWrap/>
            <w:vAlign w:val="center"/>
            <w:hideMark/>
          </w:tcPr>
          <w:p w14:paraId="11BD39C2"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Cambridge Health Alliance - Revere Care Center</w:t>
            </w:r>
          </w:p>
        </w:tc>
        <w:tc>
          <w:tcPr>
            <w:tcW w:w="2155" w:type="dxa"/>
            <w:noWrap/>
            <w:vAlign w:val="center"/>
            <w:hideMark/>
          </w:tcPr>
          <w:p w14:paraId="235D819F"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Revere</w:t>
            </w:r>
          </w:p>
        </w:tc>
      </w:tr>
      <w:tr w:rsidR="00AB52B6" w:rsidRPr="00AB52B6" w14:paraId="2288BBD2" w14:textId="77777777" w:rsidTr="0075791C">
        <w:trPr>
          <w:trHeight w:val="537"/>
        </w:trPr>
        <w:tc>
          <w:tcPr>
            <w:tcW w:w="5125" w:type="dxa"/>
            <w:noWrap/>
            <w:vAlign w:val="center"/>
            <w:hideMark/>
          </w:tcPr>
          <w:p w14:paraId="74870AB8"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Family Health Center of Worcester</w:t>
            </w:r>
          </w:p>
        </w:tc>
        <w:tc>
          <w:tcPr>
            <w:tcW w:w="2155" w:type="dxa"/>
            <w:noWrap/>
            <w:vAlign w:val="center"/>
            <w:hideMark/>
          </w:tcPr>
          <w:p w14:paraId="7BB32469" w14:textId="77777777" w:rsidR="00AB52B6" w:rsidRPr="00AB52B6" w:rsidRDefault="00AB52B6" w:rsidP="00AB52B6">
            <w:pPr>
              <w:rPr>
                <w:rFonts w:ascii="Cambria" w:eastAsia="Calibri" w:hAnsi="Cambria" w:cs="Times New Roman"/>
              </w:rPr>
            </w:pPr>
            <w:proofErr w:type="spellStart"/>
            <w:r w:rsidRPr="00AB52B6">
              <w:rPr>
                <w:rFonts w:ascii="Cambria" w:eastAsia="Calibri" w:hAnsi="Cambria" w:cs="Times New Roman"/>
              </w:rPr>
              <w:t>Worcster</w:t>
            </w:r>
            <w:proofErr w:type="spellEnd"/>
          </w:p>
        </w:tc>
      </w:tr>
      <w:tr w:rsidR="00AB52B6" w:rsidRPr="00AB52B6" w14:paraId="319267AC" w14:textId="77777777" w:rsidTr="0075791C">
        <w:trPr>
          <w:trHeight w:val="537"/>
        </w:trPr>
        <w:tc>
          <w:tcPr>
            <w:tcW w:w="5125" w:type="dxa"/>
            <w:noWrap/>
            <w:vAlign w:val="center"/>
            <w:hideMark/>
          </w:tcPr>
          <w:p w14:paraId="729A1B83"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Lowell Community Health Center</w:t>
            </w:r>
          </w:p>
        </w:tc>
        <w:tc>
          <w:tcPr>
            <w:tcW w:w="2155" w:type="dxa"/>
            <w:noWrap/>
            <w:vAlign w:val="center"/>
            <w:hideMark/>
          </w:tcPr>
          <w:p w14:paraId="1D1E6196"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Lowell</w:t>
            </w:r>
          </w:p>
        </w:tc>
      </w:tr>
      <w:tr w:rsidR="00AB52B6" w:rsidRPr="00AB52B6" w14:paraId="6AE54985" w14:textId="77777777" w:rsidTr="0075791C">
        <w:trPr>
          <w:trHeight w:val="537"/>
        </w:trPr>
        <w:tc>
          <w:tcPr>
            <w:tcW w:w="5125" w:type="dxa"/>
            <w:noWrap/>
            <w:vAlign w:val="center"/>
            <w:hideMark/>
          </w:tcPr>
          <w:p w14:paraId="58A00374"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MGH Chelsea Healthcare Center</w:t>
            </w:r>
          </w:p>
        </w:tc>
        <w:tc>
          <w:tcPr>
            <w:tcW w:w="2155" w:type="dxa"/>
            <w:noWrap/>
            <w:vAlign w:val="center"/>
            <w:hideMark/>
          </w:tcPr>
          <w:p w14:paraId="0DB16E68"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Chelsea</w:t>
            </w:r>
          </w:p>
        </w:tc>
      </w:tr>
      <w:tr w:rsidR="00AB52B6" w:rsidRPr="00AB52B6" w14:paraId="0552D39E" w14:textId="77777777" w:rsidTr="0075791C">
        <w:trPr>
          <w:trHeight w:val="537"/>
        </w:trPr>
        <w:tc>
          <w:tcPr>
            <w:tcW w:w="5125" w:type="dxa"/>
            <w:noWrap/>
            <w:vAlign w:val="center"/>
            <w:hideMark/>
          </w:tcPr>
          <w:p w14:paraId="794266ED"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Whittier Street Health Center</w:t>
            </w:r>
          </w:p>
        </w:tc>
        <w:tc>
          <w:tcPr>
            <w:tcW w:w="2155" w:type="dxa"/>
            <w:noWrap/>
            <w:vAlign w:val="center"/>
            <w:hideMark/>
          </w:tcPr>
          <w:p w14:paraId="03739CCB"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Boston</w:t>
            </w:r>
          </w:p>
        </w:tc>
      </w:tr>
    </w:tbl>
    <w:p w14:paraId="558D0CE5" w14:textId="77777777" w:rsidR="00AB52B6" w:rsidRPr="00AB52B6" w:rsidRDefault="00AB52B6" w:rsidP="00AB52B6">
      <w:pPr>
        <w:spacing w:after="160" w:line="259" w:lineRule="auto"/>
        <w:ind w:left="0"/>
        <w:rPr>
          <w:rFonts w:ascii="Cambria" w:eastAsia="Calibri" w:hAnsi="Cambria" w:cs="Times New Roman"/>
          <w:color w:val="auto"/>
          <w:lang w:eastAsia="en-US"/>
        </w:rPr>
      </w:pPr>
    </w:p>
    <w:p w14:paraId="1F348562" w14:textId="77777777" w:rsidR="00AB52B6" w:rsidRPr="00AB52B6" w:rsidRDefault="00AB52B6" w:rsidP="00AB52B6">
      <w:pPr>
        <w:spacing w:after="160" w:line="259" w:lineRule="auto"/>
        <w:ind w:left="0"/>
        <w:rPr>
          <w:rFonts w:ascii="Cambria" w:eastAsia="Calibri" w:hAnsi="Cambria" w:cs="Times New Roman"/>
          <w:b/>
          <w:bCs/>
          <w:color w:val="auto"/>
          <w:lang w:eastAsia="en-US"/>
        </w:rPr>
      </w:pPr>
      <w:r w:rsidRPr="00AB52B6">
        <w:rPr>
          <w:rFonts w:ascii="Cambria" w:eastAsia="Calibri" w:hAnsi="Cambria" w:cs="Times New Roman"/>
          <w:b/>
          <w:bCs/>
          <w:color w:val="auto"/>
          <w:lang w:eastAsia="en-US"/>
        </w:rPr>
        <w:t>20 Local Boards of Health funded with Best Value Grants through VEI</w:t>
      </w:r>
    </w:p>
    <w:tbl>
      <w:tblPr>
        <w:tblStyle w:val="TableGrid1"/>
        <w:tblW w:w="0" w:type="auto"/>
        <w:tblLook w:val="04A0" w:firstRow="1" w:lastRow="0" w:firstColumn="1" w:lastColumn="0" w:noHBand="0" w:noVBand="1"/>
      </w:tblPr>
      <w:tblGrid>
        <w:gridCol w:w="5755"/>
      </w:tblGrid>
      <w:tr w:rsidR="00AB52B6" w:rsidRPr="00AB52B6" w14:paraId="0AAE6090" w14:textId="77777777" w:rsidTr="0075791C">
        <w:trPr>
          <w:trHeight w:val="432"/>
        </w:trPr>
        <w:tc>
          <w:tcPr>
            <w:tcW w:w="5755" w:type="dxa"/>
            <w:noWrap/>
            <w:vAlign w:val="center"/>
            <w:hideMark/>
          </w:tcPr>
          <w:p w14:paraId="3CEDD26C" w14:textId="77777777" w:rsidR="00AB52B6" w:rsidRPr="00AB52B6" w:rsidRDefault="00AB52B6" w:rsidP="00AB52B6">
            <w:pPr>
              <w:rPr>
                <w:rFonts w:ascii="Cambria" w:eastAsia="Calibri" w:hAnsi="Cambria" w:cs="Times New Roman"/>
                <w:b/>
                <w:bCs/>
              </w:rPr>
            </w:pPr>
            <w:r w:rsidRPr="00AB52B6">
              <w:rPr>
                <w:rFonts w:ascii="Cambria" w:eastAsia="Calibri" w:hAnsi="Cambria" w:cs="Times New Roman"/>
                <w:b/>
                <w:bCs/>
              </w:rPr>
              <w:t>Local Boards of Health Municipalities</w:t>
            </w:r>
          </w:p>
        </w:tc>
      </w:tr>
      <w:tr w:rsidR="00AB52B6" w:rsidRPr="00AB52B6" w14:paraId="4FB8421C" w14:textId="77777777" w:rsidTr="0075791C">
        <w:trPr>
          <w:trHeight w:val="432"/>
        </w:trPr>
        <w:tc>
          <w:tcPr>
            <w:tcW w:w="5755" w:type="dxa"/>
            <w:noWrap/>
            <w:vAlign w:val="center"/>
            <w:hideMark/>
          </w:tcPr>
          <w:p w14:paraId="5EBB3A4B"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Boston</w:t>
            </w:r>
          </w:p>
        </w:tc>
      </w:tr>
      <w:tr w:rsidR="00AB52B6" w:rsidRPr="00AB52B6" w14:paraId="590A34A1" w14:textId="77777777" w:rsidTr="0075791C">
        <w:trPr>
          <w:trHeight w:val="432"/>
        </w:trPr>
        <w:tc>
          <w:tcPr>
            <w:tcW w:w="5755" w:type="dxa"/>
            <w:noWrap/>
            <w:vAlign w:val="center"/>
            <w:hideMark/>
          </w:tcPr>
          <w:p w14:paraId="6ACD1778"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Brockton</w:t>
            </w:r>
          </w:p>
        </w:tc>
      </w:tr>
      <w:tr w:rsidR="00AB52B6" w:rsidRPr="00AB52B6" w14:paraId="31D190C6" w14:textId="77777777" w:rsidTr="0075791C">
        <w:trPr>
          <w:trHeight w:val="432"/>
        </w:trPr>
        <w:tc>
          <w:tcPr>
            <w:tcW w:w="5755" w:type="dxa"/>
            <w:noWrap/>
            <w:vAlign w:val="center"/>
            <w:hideMark/>
          </w:tcPr>
          <w:p w14:paraId="7791DCD3"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Chelsea</w:t>
            </w:r>
          </w:p>
        </w:tc>
      </w:tr>
      <w:tr w:rsidR="00AB52B6" w:rsidRPr="00AB52B6" w14:paraId="0F03AEEE" w14:textId="77777777" w:rsidTr="0075791C">
        <w:trPr>
          <w:trHeight w:val="432"/>
        </w:trPr>
        <w:tc>
          <w:tcPr>
            <w:tcW w:w="5755" w:type="dxa"/>
            <w:noWrap/>
            <w:vAlign w:val="center"/>
            <w:hideMark/>
          </w:tcPr>
          <w:p w14:paraId="4FABDB2A"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Everett</w:t>
            </w:r>
          </w:p>
        </w:tc>
      </w:tr>
      <w:tr w:rsidR="00AB52B6" w:rsidRPr="00AB52B6" w14:paraId="7E5FDF0B" w14:textId="77777777" w:rsidTr="0075791C">
        <w:trPr>
          <w:trHeight w:val="432"/>
        </w:trPr>
        <w:tc>
          <w:tcPr>
            <w:tcW w:w="5755" w:type="dxa"/>
            <w:noWrap/>
            <w:vAlign w:val="center"/>
            <w:hideMark/>
          </w:tcPr>
          <w:p w14:paraId="1B5A9DAE"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Fall River</w:t>
            </w:r>
          </w:p>
        </w:tc>
      </w:tr>
      <w:tr w:rsidR="00AB52B6" w:rsidRPr="00AB52B6" w14:paraId="7E1659B8" w14:textId="77777777" w:rsidTr="0075791C">
        <w:trPr>
          <w:trHeight w:val="432"/>
        </w:trPr>
        <w:tc>
          <w:tcPr>
            <w:tcW w:w="5755" w:type="dxa"/>
            <w:noWrap/>
            <w:vAlign w:val="center"/>
            <w:hideMark/>
          </w:tcPr>
          <w:p w14:paraId="3EFCAA19"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Fitchburg</w:t>
            </w:r>
          </w:p>
        </w:tc>
      </w:tr>
      <w:tr w:rsidR="00AB52B6" w:rsidRPr="00AB52B6" w14:paraId="642F8E11" w14:textId="77777777" w:rsidTr="0075791C">
        <w:trPr>
          <w:trHeight w:val="432"/>
        </w:trPr>
        <w:tc>
          <w:tcPr>
            <w:tcW w:w="5755" w:type="dxa"/>
            <w:noWrap/>
            <w:vAlign w:val="center"/>
            <w:hideMark/>
          </w:tcPr>
          <w:p w14:paraId="3A7CE37A"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Framingham</w:t>
            </w:r>
          </w:p>
        </w:tc>
      </w:tr>
      <w:tr w:rsidR="00AB52B6" w:rsidRPr="00AB52B6" w14:paraId="7528DB3F" w14:textId="77777777" w:rsidTr="0075791C">
        <w:trPr>
          <w:trHeight w:val="432"/>
        </w:trPr>
        <w:tc>
          <w:tcPr>
            <w:tcW w:w="5755" w:type="dxa"/>
            <w:noWrap/>
            <w:vAlign w:val="center"/>
            <w:hideMark/>
          </w:tcPr>
          <w:p w14:paraId="0F6A1EB6"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Haverhill</w:t>
            </w:r>
          </w:p>
        </w:tc>
      </w:tr>
      <w:tr w:rsidR="00AB52B6" w:rsidRPr="00AB52B6" w14:paraId="4E73558F" w14:textId="77777777" w:rsidTr="0075791C">
        <w:trPr>
          <w:trHeight w:val="432"/>
        </w:trPr>
        <w:tc>
          <w:tcPr>
            <w:tcW w:w="5755" w:type="dxa"/>
            <w:noWrap/>
            <w:vAlign w:val="center"/>
            <w:hideMark/>
          </w:tcPr>
          <w:p w14:paraId="3B6FE364"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Holyoke</w:t>
            </w:r>
          </w:p>
        </w:tc>
      </w:tr>
      <w:tr w:rsidR="00AB52B6" w:rsidRPr="00AB52B6" w14:paraId="37383664" w14:textId="77777777" w:rsidTr="0075791C">
        <w:trPr>
          <w:trHeight w:val="432"/>
        </w:trPr>
        <w:tc>
          <w:tcPr>
            <w:tcW w:w="5755" w:type="dxa"/>
            <w:noWrap/>
            <w:vAlign w:val="center"/>
            <w:hideMark/>
          </w:tcPr>
          <w:p w14:paraId="39A62DCF"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Lawrence</w:t>
            </w:r>
          </w:p>
        </w:tc>
      </w:tr>
      <w:tr w:rsidR="00AB52B6" w:rsidRPr="00AB52B6" w14:paraId="39C0D522" w14:textId="77777777" w:rsidTr="0075791C">
        <w:trPr>
          <w:trHeight w:val="432"/>
        </w:trPr>
        <w:tc>
          <w:tcPr>
            <w:tcW w:w="5755" w:type="dxa"/>
            <w:noWrap/>
            <w:vAlign w:val="center"/>
            <w:hideMark/>
          </w:tcPr>
          <w:p w14:paraId="028B6C27"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Leominster</w:t>
            </w:r>
          </w:p>
        </w:tc>
      </w:tr>
      <w:tr w:rsidR="00AB52B6" w:rsidRPr="00AB52B6" w14:paraId="3833A9BF" w14:textId="77777777" w:rsidTr="0075791C">
        <w:trPr>
          <w:trHeight w:val="432"/>
        </w:trPr>
        <w:tc>
          <w:tcPr>
            <w:tcW w:w="5755" w:type="dxa"/>
            <w:noWrap/>
            <w:vAlign w:val="center"/>
            <w:hideMark/>
          </w:tcPr>
          <w:p w14:paraId="35BD3F56"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Lowell</w:t>
            </w:r>
          </w:p>
        </w:tc>
      </w:tr>
      <w:tr w:rsidR="00AB52B6" w:rsidRPr="00AB52B6" w14:paraId="7DB31A41" w14:textId="77777777" w:rsidTr="0075791C">
        <w:trPr>
          <w:trHeight w:val="432"/>
        </w:trPr>
        <w:tc>
          <w:tcPr>
            <w:tcW w:w="5755" w:type="dxa"/>
            <w:noWrap/>
            <w:vAlign w:val="center"/>
            <w:hideMark/>
          </w:tcPr>
          <w:p w14:paraId="3103E69E"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Lynn</w:t>
            </w:r>
          </w:p>
        </w:tc>
      </w:tr>
      <w:tr w:rsidR="00AB52B6" w:rsidRPr="00AB52B6" w14:paraId="240EF985" w14:textId="77777777" w:rsidTr="0075791C">
        <w:trPr>
          <w:trHeight w:val="432"/>
        </w:trPr>
        <w:tc>
          <w:tcPr>
            <w:tcW w:w="5755" w:type="dxa"/>
            <w:noWrap/>
            <w:vAlign w:val="center"/>
            <w:hideMark/>
          </w:tcPr>
          <w:p w14:paraId="5B032E2A"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Malden</w:t>
            </w:r>
          </w:p>
        </w:tc>
      </w:tr>
      <w:tr w:rsidR="00AB52B6" w:rsidRPr="00AB52B6" w14:paraId="7592F81C" w14:textId="77777777" w:rsidTr="0075791C">
        <w:trPr>
          <w:trHeight w:val="432"/>
        </w:trPr>
        <w:tc>
          <w:tcPr>
            <w:tcW w:w="5755" w:type="dxa"/>
            <w:noWrap/>
            <w:vAlign w:val="center"/>
            <w:hideMark/>
          </w:tcPr>
          <w:p w14:paraId="6D872B3F"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lastRenderedPageBreak/>
              <w:t>Methuen</w:t>
            </w:r>
          </w:p>
        </w:tc>
      </w:tr>
      <w:tr w:rsidR="00AB52B6" w:rsidRPr="00AB52B6" w14:paraId="5554ACDD" w14:textId="77777777" w:rsidTr="0075791C">
        <w:trPr>
          <w:trHeight w:val="432"/>
        </w:trPr>
        <w:tc>
          <w:tcPr>
            <w:tcW w:w="5755" w:type="dxa"/>
            <w:noWrap/>
            <w:vAlign w:val="center"/>
            <w:hideMark/>
          </w:tcPr>
          <w:p w14:paraId="22453D7D"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New Bedford</w:t>
            </w:r>
          </w:p>
        </w:tc>
      </w:tr>
      <w:tr w:rsidR="00AB52B6" w:rsidRPr="00AB52B6" w14:paraId="27C3367E" w14:textId="77777777" w:rsidTr="0075791C">
        <w:trPr>
          <w:trHeight w:val="432"/>
        </w:trPr>
        <w:tc>
          <w:tcPr>
            <w:tcW w:w="5755" w:type="dxa"/>
            <w:noWrap/>
            <w:vAlign w:val="center"/>
            <w:hideMark/>
          </w:tcPr>
          <w:p w14:paraId="2C788CED"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Randolph</w:t>
            </w:r>
          </w:p>
        </w:tc>
      </w:tr>
      <w:tr w:rsidR="00AB52B6" w:rsidRPr="00AB52B6" w14:paraId="494C3357" w14:textId="77777777" w:rsidTr="0075791C">
        <w:trPr>
          <w:trHeight w:val="432"/>
        </w:trPr>
        <w:tc>
          <w:tcPr>
            <w:tcW w:w="5755" w:type="dxa"/>
            <w:noWrap/>
            <w:vAlign w:val="center"/>
            <w:hideMark/>
          </w:tcPr>
          <w:p w14:paraId="070E43D0"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Revere</w:t>
            </w:r>
          </w:p>
        </w:tc>
      </w:tr>
      <w:tr w:rsidR="00AB52B6" w:rsidRPr="00AB52B6" w14:paraId="281F78AA" w14:textId="77777777" w:rsidTr="0075791C">
        <w:trPr>
          <w:trHeight w:val="432"/>
        </w:trPr>
        <w:tc>
          <w:tcPr>
            <w:tcW w:w="5755" w:type="dxa"/>
            <w:noWrap/>
            <w:vAlign w:val="center"/>
            <w:hideMark/>
          </w:tcPr>
          <w:p w14:paraId="0B5A73F7"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Springfield</w:t>
            </w:r>
          </w:p>
        </w:tc>
      </w:tr>
      <w:tr w:rsidR="00AB52B6" w:rsidRPr="00AB52B6" w14:paraId="68EC2993" w14:textId="77777777" w:rsidTr="0075791C">
        <w:trPr>
          <w:trHeight w:val="432"/>
        </w:trPr>
        <w:tc>
          <w:tcPr>
            <w:tcW w:w="5755" w:type="dxa"/>
            <w:noWrap/>
            <w:vAlign w:val="center"/>
            <w:hideMark/>
          </w:tcPr>
          <w:p w14:paraId="5A64D27F" w14:textId="77777777" w:rsidR="00AB52B6" w:rsidRPr="00AB52B6" w:rsidRDefault="00AB52B6" w:rsidP="00AB52B6">
            <w:pPr>
              <w:rPr>
                <w:rFonts w:ascii="Cambria" w:eastAsia="Calibri" w:hAnsi="Cambria" w:cs="Times New Roman"/>
              </w:rPr>
            </w:pPr>
            <w:r w:rsidRPr="00AB52B6">
              <w:rPr>
                <w:rFonts w:ascii="Cambria" w:eastAsia="Calibri" w:hAnsi="Cambria" w:cs="Times New Roman"/>
              </w:rPr>
              <w:t>Worcester</w:t>
            </w:r>
          </w:p>
        </w:tc>
      </w:tr>
    </w:tbl>
    <w:p w14:paraId="4703EBA1" w14:textId="77777777" w:rsidR="00AB52B6" w:rsidRPr="00AB52B6" w:rsidRDefault="00AB52B6" w:rsidP="00AB52B6">
      <w:pPr>
        <w:spacing w:after="160" w:line="259" w:lineRule="auto"/>
        <w:ind w:left="0"/>
        <w:rPr>
          <w:rFonts w:ascii="Cambria" w:eastAsia="Calibri" w:hAnsi="Cambria" w:cs="Times New Roman"/>
          <w:color w:val="auto"/>
          <w:lang w:eastAsia="en-US"/>
        </w:rPr>
      </w:pPr>
    </w:p>
    <w:p w14:paraId="7C7369A9" w14:textId="77777777" w:rsidR="00AB52B6" w:rsidRPr="00AB52B6" w:rsidRDefault="00AB52B6" w:rsidP="00AB52B6">
      <w:pPr>
        <w:spacing w:after="160" w:line="259" w:lineRule="auto"/>
        <w:ind w:left="0"/>
        <w:rPr>
          <w:rFonts w:ascii="Cambria" w:eastAsia="Calibri" w:hAnsi="Cambria" w:cs="Times New Roman"/>
          <w:color w:val="auto"/>
          <w:lang w:eastAsia="en-US"/>
        </w:rPr>
      </w:pPr>
    </w:p>
    <w:p w14:paraId="72A960FE" w14:textId="77777777" w:rsidR="00AB52B6" w:rsidRPr="00AB52B6" w:rsidRDefault="00AB52B6" w:rsidP="00AB52B6">
      <w:pPr>
        <w:spacing w:after="160" w:line="259" w:lineRule="auto"/>
        <w:ind w:left="0"/>
        <w:rPr>
          <w:rFonts w:ascii="Cambria" w:eastAsia="Calibri" w:hAnsi="Cambria" w:cs="Times New Roman"/>
          <w:b/>
          <w:bCs/>
          <w:color w:val="auto"/>
          <w:lang w:eastAsia="en-US"/>
        </w:rPr>
      </w:pPr>
      <w:r w:rsidRPr="00AB52B6">
        <w:rPr>
          <w:rFonts w:ascii="Cambria" w:eastAsia="Calibri" w:hAnsi="Cambria" w:cs="Times New Roman"/>
          <w:b/>
          <w:bCs/>
          <w:color w:val="auto"/>
          <w:lang w:eastAsia="en-US"/>
        </w:rPr>
        <w:t>FEMA Vaccinators January 2022- February 2022</w:t>
      </w:r>
    </w:p>
    <w:tbl>
      <w:tblPr>
        <w:tblW w:w="0" w:type="auto"/>
        <w:tblCellMar>
          <w:top w:w="15" w:type="dxa"/>
          <w:left w:w="15" w:type="dxa"/>
          <w:bottom w:w="15" w:type="dxa"/>
          <w:right w:w="15" w:type="dxa"/>
        </w:tblCellMar>
        <w:tblLook w:val="04A0" w:firstRow="1" w:lastRow="0" w:firstColumn="1" w:lastColumn="0" w:noHBand="0" w:noVBand="1"/>
      </w:tblPr>
      <w:tblGrid>
        <w:gridCol w:w="4340"/>
        <w:gridCol w:w="1794"/>
        <w:gridCol w:w="1487"/>
        <w:gridCol w:w="2373"/>
        <w:gridCol w:w="839"/>
      </w:tblGrid>
      <w:tr w:rsidR="00AB52B6" w:rsidRPr="00AB52B6" w14:paraId="37F465C6"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FADFFD" w14:textId="77777777" w:rsidR="00AB52B6" w:rsidRPr="00AB52B6" w:rsidRDefault="00AB52B6" w:rsidP="00AB52B6">
            <w:pPr>
              <w:spacing w:after="0" w:line="240" w:lineRule="auto"/>
              <w:ind w:left="0"/>
              <w:rPr>
                <w:rFonts w:ascii="Cambria" w:eastAsia="Times New Roman" w:hAnsi="Cambria" w:cs="Times New Roman"/>
                <w:b/>
                <w:bCs/>
                <w:color w:val="auto"/>
                <w:lang w:eastAsia="en-US"/>
              </w:rPr>
            </w:pPr>
            <w:r w:rsidRPr="00AB52B6">
              <w:rPr>
                <w:rFonts w:ascii="Cambria" w:eastAsia="Times New Roman" w:hAnsi="Cambria" w:cs="Calibri"/>
                <w:b/>
                <w:bCs/>
                <w:color w:val="000000"/>
                <w:lang w:eastAsia="en-US"/>
              </w:rPr>
              <w:t>Site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6FE685" w14:textId="77777777" w:rsidR="00AB52B6" w:rsidRPr="00AB52B6" w:rsidRDefault="00AB52B6" w:rsidP="00AB52B6">
            <w:pPr>
              <w:spacing w:after="0" w:line="240" w:lineRule="auto"/>
              <w:ind w:left="0"/>
              <w:rPr>
                <w:rFonts w:ascii="Cambria" w:eastAsia="Times New Roman" w:hAnsi="Cambria" w:cs="Times New Roman"/>
                <w:b/>
                <w:bCs/>
                <w:color w:val="auto"/>
                <w:lang w:eastAsia="en-US"/>
              </w:rPr>
            </w:pPr>
            <w:r w:rsidRPr="00AB52B6">
              <w:rPr>
                <w:rFonts w:ascii="Cambria" w:eastAsia="Times New Roman" w:hAnsi="Cambria" w:cs="Calibri"/>
                <w:b/>
                <w:bCs/>
                <w:color w:val="000000"/>
                <w:lang w:eastAsia="en-US"/>
              </w:rPr>
              <w:t>City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EB4E96" w14:textId="77777777" w:rsidR="00AB52B6" w:rsidRPr="00AB52B6" w:rsidRDefault="00AB52B6" w:rsidP="00AB52B6">
            <w:pPr>
              <w:spacing w:after="0" w:line="240" w:lineRule="auto"/>
              <w:ind w:left="0"/>
              <w:rPr>
                <w:rFonts w:ascii="Cambria" w:eastAsia="Times New Roman" w:hAnsi="Cambria" w:cs="Times New Roman"/>
                <w:b/>
                <w:bCs/>
                <w:color w:val="auto"/>
                <w:lang w:eastAsia="en-US"/>
              </w:rPr>
            </w:pPr>
            <w:r w:rsidRPr="00AB52B6">
              <w:rPr>
                <w:rFonts w:ascii="Cambria" w:eastAsia="Times New Roman" w:hAnsi="Cambria" w:cs="Calibri"/>
                <w:b/>
                <w:bCs/>
                <w:color w:val="000000"/>
                <w:lang w:eastAsia="en-US"/>
              </w:rPr>
              <w:t>Start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32BB43" w14:textId="77777777" w:rsidR="00AB52B6" w:rsidRPr="00AB52B6" w:rsidRDefault="00AB52B6" w:rsidP="00AB52B6">
            <w:pPr>
              <w:spacing w:after="0" w:line="240" w:lineRule="auto"/>
              <w:ind w:left="0"/>
              <w:rPr>
                <w:rFonts w:ascii="Cambria" w:eastAsia="Times New Roman" w:hAnsi="Cambria" w:cs="Times New Roman"/>
                <w:b/>
                <w:bCs/>
                <w:color w:val="auto"/>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46F366" w14:textId="77777777" w:rsidR="00AB52B6" w:rsidRPr="00AB52B6" w:rsidRDefault="00AB52B6" w:rsidP="00AB52B6">
            <w:pPr>
              <w:spacing w:after="0" w:line="240" w:lineRule="auto"/>
              <w:ind w:left="0"/>
              <w:rPr>
                <w:rFonts w:ascii="Cambria" w:eastAsia="Times New Roman" w:hAnsi="Cambria" w:cs="Times New Roman"/>
                <w:b/>
                <w:bCs/>
                <w:color w:val="auto"/>
                <w:lang w:eastAsia="en-US"/>
              </w:rPr>
            </w:pPr>
            <w:r w:rsidRPr="00AB52B6">
              <w:rPr>
                <w:rFonts w:ascii="Cambria" w:eastAsia="Times New Roman" w:hAnsi="Cambria" w:cs="Calibri"/>
                <w:b/>
                <w:bCs/>
                <w:color w:val="000000"/>
                <w:lang w:eastAsia="en-US"/>
              </w:rPr>
              <w:t># Staff</w:t>
            </w:r>
          </w:p>
        </w:tc>
      </w:tr>
      <w:tr w:rsidR="00AB52B6" w:rsidRPr="00AB52B6" w14:paraId="48F8634D"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12EFA"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Whittier Street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402B1"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Roxbury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7F9EC"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12/30/2021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BA05C"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2/28/2022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3D5A8"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10</w:t>
            </w:r>
          </w:p>
        </w:tc>
      </w:tr>
      <w:tr w:rsidR="00AB52B6" w:rsidRPr="00AB52B6" w14:paraId="42224F64"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64F92"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Danvers Vaccination Site </w:t>
            </w:r>
          </w:p>
          <w:p w14:paraId="192782A3"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(North Shore Community College)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B5E97"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Danvers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8833F"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1/3/2022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FF129"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2/28/2022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39399"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10</w:t>
            </w:r>
          </w:p>
        </w:tc>
      </w:tr>
      <w:tr w:rsidR="00AB52B6" w:rsidRPr="00AB52B6" w14:paraId="53174696"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C7E14"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Brockton Vaccination Site </w:t>
            </w:r>
          </w:p>
          <w:p w14:paraId="468D9B6F"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(Shaw’s Center)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0C6D1"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Brockton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8236E"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12/30/2021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41532"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2/28/2022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DD7A8"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10</w:t>
            </w:r>
          </w:p>
        </w:tc>
      </w:tr>
      <w:tr w:rsidR="00AB52B6" w:rsidRPr="00AB52B6" w14:paraId="20CAC219"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BBA50"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Barnstable Vaccination Site </w:t>
            </w:r>
          </w:p>
          <w:p w14:paraId="5A277663"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(Cape Cod Community College)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5A050"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West Barnstable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3E991"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1/4/2022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4249B"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2/28/2022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D52B4"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10</w:t>
            </w:r>
          </w:p>
        </w:tc>
      </w:tr>
      <w:tr w:rsidR="00AB52B6" w:rsidRPr="00AB52B6" w14:paraId="074AE1FC"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4F28E"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Taunton Vaccination Site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9F147"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Taunton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9F367"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1/6/2022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BA29C"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2/28/2022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A45F8"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6</w:t>
            </w:r>
          </w:p>
        </w:tc>
      </w:tr>
      <w:tr w:rsidR="00AB52B6" w:rsidRPr="00AB52B6" w14:paraId="4836DA8E"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C3E70"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Lowell Vaccination Site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429E0"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Lowell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75263"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12/30/2021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07BE7"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2/28/2022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E21E3"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10</w:t>
            </w:r>
          </w:p>
        </w:tc>
      </w:tr>
      <w:tr w:rsidR="00AB52B6" w:rsidRPr="00AB52B6" w14:paraId="1760A186"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B524C"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Greater Lawrence Family Health Center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13035"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Lawrence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3522B"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Week of 1/17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4318F"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30 days after start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E110A"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7</w:t>
            </w:r>
          </w:p>
        </w:tc>
      </w:tr>
      <w:tr w:rsidR="00AB52B6" w:rsidRPr="00AB52B6" w14:paraId="413B123A"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152F1"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East Boston Neighborhood Health Center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7C969"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Boston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67D4F"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Week of 1/17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23A6E"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30 days after start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87C07"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7</w:t>
            </w:r>
          </w:p>
        </w:tc>
      </w:tr>
      <w:tr w:rsidR="00AB52B6" w:rsidRPr="00AB52B6" w14:paraId="49E16C76"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71450"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Brockton Neighborhood Health Center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30159"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Brockton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7ADB2"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Week of 1/17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F2A87"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30 days after start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F64F8"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2</w:t>
            </w:r>
          </w:p>
        </w:tc>
      </w:tr>
      <w:tr w:rsidR="00AB52B6" w:rsidRPr="00AB52B6" w14:paraId="59A778E8"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ADA0F" w14:textId="77777777" w:rsidR="00AB52B6" w:rsidRPr="00AB52B6" w:rsidRDefault="00AB52B6" w:rsidP="00AB52B6">
            <w:pPr>
              <w:spacing w:after="0" w:line="240" w:lineRule="auto"/>
              <w:ind w:left="0"/>
              <w:rPr>
                <w:rFonts w:ascii="Cambria" w:eastAsia="Times New Roman" w:hAnsi="Cambria" w:cs="Times New Roman"/>
                <w:color w:val="auto"/>
                <w:lang w:eastAsia="en-US"/>
              </w:rPr>
            </w:pPr>
            <w:proofErr w:type="spellStart"/>
            <w:r w:rsidRPr="00AB52B6">
              <w:rPr>
                <w:rFonts w:ascii="Cambria" w:eastAsia="Times New Roman" w:hAnsi="Cambria" w:cs="Calibri"/>
                <w:color w:val="000000"/>
                <w:lang w:eastAsia="en-US"/>
              </w:rPr>
              <w:t>DotHouse</w:t>
            </w:r>
            <w:proofErr w:type="spellEnd"/>
            <w:r w:rsidRPr="00AB52B6">
              <w:rPr>
                <w:rFonts w:ascii="Cambria" w:eastAsia="Times New Roman" w:hAnsi="Cambria" w:cs="Calibri"/>
                <w:color w:val="000000"/>
                <w:lang w:eastAsia="en-US"/>
              </w:rPr>
              <w:t xml:space="preserve"> Health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C6092"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Boston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182D4"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Week of 1/17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4C4ED"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30 days after start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37DA2"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6</w:t>
            </w:r>
          </w:p>
        </w:tc>
      </w:tr>
      <w:tr w:rsidR="00AB52B6" w:rsidRPr="00AB52B6" w14:paraId="6FDC27EE"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639F2"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Harvard Street Neighborhood Health Center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9AE57"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Boston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206A3"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Early Feb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57C8D"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30 days after start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7DED4"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10</w:t>
            </w:r>
          </w:p>
        </w:tc>
      </w:tr>
      <w:tr w:rsidR="00AB52B6" w:rsidRPr="00AB52B6" w14:paraId="48114637"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4C926"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Community Health Programs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5A207"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Great Barrington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5BDB0"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Early Feb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AC5EE"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30 days after start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80FC1"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5</w:t>
            </w:r>
          </w:p>
        </w:tc>
      </w:tr>
      <w:tr w:rsidR="00AB52B6" w:rsidRPr="00AB52B6" w14:paraId="53E4B37D"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F836C"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Holyoke Health Center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19F1A"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Holyoke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16C41"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Early Feb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2E236"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30 days after start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D2155"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2</w:t>
            </w:r>
          </w:p>
        </w:tc>
      </w:tr>
      <w:tr w:rsidR="00AB52B6" w:rsidRPr="00AB52B6" w14:paraId="1687799D"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694C3"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Manet Community Health Center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5A1DA"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Quincy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F1E0F"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Early Feb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0F493"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30 days after start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37E0C"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5</w:t>
            </w:r>
          </w:p>
        </w:tc>
      </w:tr>
      <w:tr w:rsidR="00AB52B6" w:rsidRPr="00AB52B6" w14:paraId="61C3EAAF"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13B33"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Community Health Center of Cape Cod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8F216"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Mashpee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C18AC"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Early Feb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B60CB"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30 days after start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D0B36"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3</w:t>
            </w:r>
          </w:p>
        </w:tc>
      </w:tr>
      <w:tr w:rsidR="00AB52B6" w:rsidRPr="00AB52B6" w14:paraId="0EDFD348" w14:textId="77777777" w:rsidTr="00AB52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F3423"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Fenway Health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FE028"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Boston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73647"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Early Feb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9E9CF"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30 days after start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B5D87" w14:textId="77777777" w:rsidR="00AB52B6" w:rsidRPr="00AB52B6" w:rsidRDefault="00AB52B6" w:rsidP="00AB52B6">
            <w:pPr>
              <w:spacing w:after="0" w:line="240" w:lineRule="auto"/>
              <w:ind w:left="0"/>
              <w:rPr>
                <w:rFonts w:ascii="Cambria" w:eastAsia="Times New Roman" w:hAnsi="Cambria" w:cs="Times New Roman"/>
                <w:color w:val="auto"/>
                <w:lang w:eastAsia="en-US"/>
              </w:rPr>
            </w:pPr>
            <w:r w:rsidRPr="00AB52B6">
              <w:rPr>
                <w:rFonts w:ascii="Cambria" w:eastAsia="Times New Roman" w:hAnsi="Cambria" w:cs="Calibri"/>
                <w:color w:val="000000"/>
                <w:lang w:eastAsia="en-US"/>
              </w:rPr>
              <w:t>4</w:t>
            </w:r>
          </w:p>
        </w:tc>
      </w:tr>
    </w:tbl>
    <w:p w14:paraId="3BB93B13" w14:textId="77777777" w:rsidR="00AB52B6" w:rsidRPr="00AB52B6" w:rsidRDefault="00AB52B6" w:rsidP="00AB52B6">
      <w:pPr>
        <w:spacing w:after="160" w:line="259" w:lineRule="auto"/>
        <w:ind w:left="0"/>
        <w:rPr>
          <w:rFonts w:ascii="Cambria" w:eastAsia="Calibri" w:hAnsi="Cambria" w:cs="Times New Roman"/>
          <w:color w:val="auto"/>
          <w:lang w:eastAsia="en-US"/>
        </w:rPr>
      </w:pPr>
    </w:p>
    <w:p w14:paraId="5B62D707" w14:textId="02ECC16B" w:rsidR="00B46F3B" w:rsidRPr="0091137D" w:rsidRDefault="00B46F3B" w:rsidP="00AB52B6">
      <w:pPr>
        <w:ind w:left="0"/>
        <w:rPr>
          <w:color w:val="auto"/>
        </w:rPr>
      </w:pPr>
    </w:p>
    <w:sectPr w:rsidR="00B46F3B" w:rsidRPr="0091137D" w:rsidSect="00AB52B6">
      <w:footerReference w:type="default" r:id="rId29"/>
      <w:pgSz w:w="12240" w:h="15840"/>
      <w:pgMar w:top="540" w:right="360" w:bottom="450" w:left="810" w:header="72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A86F" w14:textId="77777777" w:rsidR="00D9405C" w:rsidRDefault="00D9405C">
      <w:pPr>
        <w:spacing w:after="0" w:line="240" w:lineRule="auto"/>
      </w:pPr>
      <w:r>
        <w:separator/>
      </w:r>
    </w:p>
    <w:p w14:paraId="0E835AF5" w14:textId="77777777" w:rsidR="00D9405C" w:rsidRDefault="00D9405C"/>
  </w:endnote>
  <w:endnote w:type="continuationSeparator" w:id="0">
    <w:p w14:paraId="55B8D3FC" w14:textId="77777777" w:rsidR="00D9405C" w:rsidRDefault="00D9405C">
      <w:pPr>
        <w:spacing w:after="0" w:line="240" w:lineRule="auto"/>
      </w:pPr>
      <w:r>
        <w:continuationSeparator/>
      </w:r>
    </w:p>
    <w:p w14:paraId="2EA950E6" w14:textId="77777777" w:rsidR="00D9405C" w:rsidRDefault="00D9405C"/>
  </w:endnote>
  <w:endnote w:type="continuationNotice" w:id="1">
    <w:p w14:paraId="55046958" w14:textId="77777777" w:rsidR="00D9405C" w:rsidRDefault="00D94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136775"/>
      <w:docPartObj>
        <w:docPartGallery w:val="Page Numbers (Bottom of Page)"/>
        <w:docPartUnique/>
      </w:docPartObj>
    </w:sdtPr>
    <w:sdtEndPr>
      <w:rPr>
        <w:noProof/>
      </w:rPr>
    </w:sdtEndPr>
    <w:sdtContent>
      <w:p w14:paraId="293A4373" w14:textId="4A1B29F1" w:rsidR="00250D15" w:rsidRDefault="00250D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E9791C" w14:textId="77777777" w:rsidR="00250D15" w:rsidRDefault="00250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5A32" w14:textId="77777777" w:rsidR="00696D06" w:rsidRDefault="00696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2B1B" w14:textId="77777777" w:rsidR="00B979D8" w:rsidRDefault="00917394">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745B" w14:textId="77777777" w:rsidR="00696D06" w:rsidRDefault="00696D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7CCC" w14:textId="278324D7" w:rsidR="00AB52B6" w:rsidRPr="00AB52B6" w:rsidRDefault="00AB52B6" w:rsidP="00AB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DFEA" w14:textId="77777777" w:rsidR="00D9405C" w:rsidRDefault="00D9405C">
      <w:pPr>
        <w:spacing w:after="0" w:line="240" w:lineRule="auto"/>
      </w:pPr>
      <w:r>
        <w:separator/>
      </w:r>
    </w:p>
    <w:p w14:paraId="7D1AD737" w14:textId="77777777" w:rsidR="00D9405C" w:rsidRDefault="00D9405C"/>
  </w:footnote>
  <w:footnote w:type="continuationSeparator" w:id="0">
    <w:p w14:paraId="0C689647" w14:textId="77777777" w:rsidR="00D9405C" w:rsidRDefault="00D9405C">
      <w:pPr>
        <w:spacing w:after="0" w:line="240" w:lineRule="auto"/>
      </w:pPr>
      <w:r>
        <w:continuationSeparator/>
      </w:r>
    </w:p>
    <w:p w14:paraId="2359CB9B" w14:textId="77777777" w:rsidR="00D9405C" w:rsidRDefault="00D9405C"/>
  </w:footnote>
  <w:footnote w:type="continuationNotice" w:id="1">
    <w:p w14:paraId="4FD09527" w14:textId="77777777" w:rsidR="00D9405C" w:rsidRDefault="00D940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3A36" w14:textId="77777777" w:rsidR="00696D06" w:rsidRDefault="0069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5961" w14:textId="77777777" w:rsidR="00696D06" w:rsidRDefault="0069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DADA" w14:textId="77777777" w:rsidR="00696D06" w:rsidRDefault="0069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B2B8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D0BE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F4F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F41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661F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9E70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24A6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AE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AC74D8"/>
    <w:lvl w:ilvl="0">
      <w:start w:val="1"/>
      <w:numFmt w:val="decimal"/>
      <w:lvlText w:val="%1."/>
      <w:lvlJc w:val="left"/>
      <w:pPr>
        <w:tabs>
          <w:tab w:val="num" w:pos="360"/>
        </w:tabs>
        <w:ind w:left="360" w:hanging="360"/>
      </w:pPr>
    </w:lvl>
  </w:abstractNum>
  <w:abstractNum w:abstractNumId="9"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BC11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E47AA3"/>
    <w:multiLevelType w:val="hybridMultilevel"/>
    <w:tmpl w:val="068C9E88"/>
    <w:lvl w:ilvl="0" w:tplc="61F8BE1A">
      <w:start w:val="1"/>
      <w:numFmt w:val="bullet"/>
      <w:lvlText w:val=""/>
      <w:lvlJc w:val="left"/>
      <w:pPr>
        <w:tabs>
          <w:tab w:val="num" w:pos="720"/>
        </w:tabs>
        <w:ind w:left="720" w:hanging="360"/>
      </w:pPr>
      <w:rPr>
        <w:rFonts w:ascii="Wingdings" w:hAnsi="Wingdings" w:hint="default"/>
      </w:rPr>
    </w:lvl>
    <w:lvl w:ilvl="1" w:tplc="95AA1C4E">
      <w:start w:val="1"/>
      <w:numFmt w:val="bullet"/>
      <w:lvlText w:val=""/>
      <w:lvlJc w:val="left"/>
      <w:pPr>
        <w:tabs>
          <w:tab w:val="num" w:pos="1440"/>
        </w:tabs>
        <w:ind w:left="1440" w:hanging="360"/>
      </w:pPr>
      <w:rPr>
        <w:rFonts w:ascii="Wingdings" w:hAnsi="Wingdings" w:hint="default"/>
      </w:rPr>
    </w:lvl>
    <w:lvl w:ilvl="2" w:tplc="34C00872" w:tentative="1">
      <w:start w:val="1"/>
      <w:numFmt w:val="bullet"/>
      <w:lvlText w:val=""/>
      <w:lvlJc w:val="left"/>
      <w:pPr>
        <w:tabs>
          <w:tab w:val="num" w:pos="2160"/>
        </w:tabs>
        <w:ind w:left="2160" w:hanging="360"/>
      </w:pPr>
      <w:rPr>
        <w:rFonts w:ascii="Wingdings" w:hAnsi="Wingdings" w:hint="default"/>
      </w:rPr>
    </w:lvl>
    <w:lvl w:ilvl="3" w:tplc="76E24E50" w:tentative="1">
      <w:start w:val="1"/>
      <w:numFmt w:val="bullet"/>
      <w:lvlText w:val=""/>
      <w:lvlJc w:val="left"/>
      <w:pPr>
        <w:tabs>
          <w:tab w:val="num" w:pos="2880"/>
        </w:tabs>
        <w:ind w:left="2880" w:hanging="360"/>
      </w:pPr>
      <w:rPr>
        <w:rFonts w:ascii="Wingdings" w:hAnsi="Wingdings" w:hint="default"/>
      </w:rPr>
    </w:lvl>
    <w:lvl w:ilvl="4" w:tplc="C53E56CA" w:tentative="1">
      <w:start w:val="1"/>
      <w:numFmt w:val="bullet"/>
      <w:lvlText w:val=""/>
      <w:lvlJc w:val="left"/>
      <w:pPr>
        <w:tabs>
          <w:tab w:val="num" w:pos="3600"/>
        </w:tabs>
        <w:ind w:left="3600" w:hanging="360"/>
      </w:pPr>
      <w:rPr>
        <w:rFonts w:ascii="Wingdings" w:hAnsi="Wingdings" w:hint="default"/>
      </w:rPr>
    </w:lvl>
    <w:lvl w:ilvl="5" w:tplc="D86421CC" w:tentative="1">
      <w:start w:val="1"/>
      <w:numFmt w:val="bullet"/>
      <w:lvlText w:val=""/>
      <w:lvlJc w:val="left"/>
      <w:pPr>
        <w:tabs>
          <w:tab w:val="num" w:pos="4320"/>
        </w:tabs>
        <w:ind w:left="4320" w:hanging="360"/>
      </w:pPr>
      <w:rPr>
        <w:rFonts w:ascii="Wingdings" w:hAnsi="Wingdings" w:hint="default"/>
      </w:rPr>
    </w:lvl>
    <w:lvl w:ilvl="6" w:tplc="0980BA76" w:tentative="1">
      <w:start w:val="1"/>
      <w:numFmt w:val="bullet"/>
      <w:lvlText w:val=""/>
      <w:lvlJc w:val="left"/>
      <w:pPr>
        <w:tabs>
          <w:tab w:val="num" w:pos="5040"/>
        </w:tabs>
        <w:ind w:left="5040" w:hanging="360"/>
      </w:pPr>
      <w:rPr>
        <w:rFonts w:ascii="Wingdings" w:hAnsi="Wingdings" w:hint="default"/>
      </w:rPr>
    </w:lvl>
    <w:lvl w:ilvl="7" w:tplc="B4FCDBD4" w:tentative="1">
      <w:start w:val="1"/>
      <w:numFmt w:val="bullet"/>
      <w:lvlText w:val=""/>
      <w:lvlJc w:val="left"/>
      <w:pPr>
        <w:tabs>
          <w:tab w:val="num" w:pos="5760"/>
        </w:tabs>
        <w:ind w:left="5760" w:hanging="360"/>
      </w:pPr>
      <w:rPr>
        <w:rFonts w:ascii="Wingdings" w:hAnsi="Wingdings" w:hint="default"/>
      </w:rPr>
    </w:lvl>
    <w:lvl w:ilvl="8" w:tplc="DC7870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571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53A97"/>
    <w:multiLevelType w:val="multilevel"/>
    <w:tmpl w:val="DE285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D65E7"/>
    <w:multiLevelType w:val="hybridMultilevel"/>
    <w:tmpl w:val="560ED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D14AC6"/>
    <w:multiLevelType w:val="hybridMultilevel"/>
    <w:tmpl w:val="911A3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DA81F50"/>
    <w:multiLevelType w:val="hybridMultilevel"/>
    <w:tmpl w:val="9B92A9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BD6F16"/>
    <w:multiLevelType w:val="hybridMultilevel"/>
    <w:tmpl w:val="CDB2D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9" w15:restartNumberingAfterBreak="0">
    <w:nsid w:val="4E04401C"/>
    <w:multiLevelType w:val="hybridMultilevel"/>
    <w:tmpl w:val="7382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84656"/>
    <w:multiLevelType w:val="hybridMultilevel"/>
    <w:tmpl w:val="438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87A52"/>
    <w:multiLevelType w:val="hybridMultilevel"/>
    <w:tmpl w:val="DAC0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2313B"/>
    <w:multiLevelType w:val="hybridMultilevel"/>
    <w:tmpl w:val="B65E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C39FA"/>
    <w:multiLevelType w:val="hybridMultilevel"/>
    <w:tmpl w:val="B48C0BE2"/>
    <w:lvl w:ilvl="0" w:tplc="3CEEC560">
      <w:start w:val="1"/>
      <w:numFmt w:val="bullet"/>
      <w:lvlText w:val="•"/>
      <w:lvlJc w:val="left"/>
      <w:pPr>
        <w:tabs>
          <w:tab w:val="num" w:pos="720"/>
        </w:tabs>
        <w:ind w:left="720" w:hanging="360"/>
      </w:pPr>
      <w:rPr>
        <w:rFonts w:ascii="Arial" w:hAnsi="Arial" w:hint="default"/>
      </w:rPr>
    </w:lvl>
    <w:lvl w:ilvl="1" w:tplc="6E261CAC" w:tentative="1">
      <w:start w:val="1"/>
      <w:numFmt w:val="bullet"/>
      <w:lvlText w:val="•"/>
      <w:lvlJc w:val="left"/>
      <w:pPr>
        <w:tabs>
          <w:tab w:val="num" w:pos="1440"/>
        </w:tabs>
        <w:ind w:left="1440" w:hanging="360"/>
      </w:pPr>
      <w:rPr>
        <w:rFonts w:ascii="Arial" w:hAnsi="Arial" w:hint="default"/>
      </w:rPr>
    </w:lvl>
    <w:lvl w:ilvl="2" w:tplc="3EE41DC2" w:tentative="1">
      <w:start w:val="1"/>
      <w:numFmt w:val="bullet"/>
      <w:lvlText w:val="•"/>
      <w:lvlJc w:val="left"/>
      <w:pPr>
        <w:tabs>
          <w:tab w:val="num" w:pos="2160"/>
        </w:tabs>
        <w:ind w:left="2160" w:hanging="360"/>
      </w:pPr>
      <w:rPr>
        <w:rFonts w:ascii="Arial" w:hAnsi="Arial" w:hint="default"/>
      </w:rPr>
    </w:lvl>
    <w:lvl w:ilvl="3" w:tplc="FAD44BAC" w:tentative="1">
      <w:start w:val="1"/>
      <w:numFmt w:val="bullet"/>
      <w:lvlText w:val="•"/>
      <w:lvlJc w:val="left"/>
      <w:pPr>
        <w:tabs>
          <w:tab w:val="num" w:pos="2880"/>
        </w:tabs>
        <w:ind w:left="2880" w:hanging="360"/>
      </w:pPr>
      <w:rPr>
        <w:rFonts w:ascii="Arial" w:hAnsi="Arial" w:hint="default"/>
      </w:rPr>
    </w:lvl>
    <w:lvl w:ilvl="4" w:tplc="92B4869C" w:tentative="1">
      <w:start w:val="1"/>
      <w:numFmt w:val="bullet"/>
      <w:lvlText w:val="•"/>
      <w:lvlJc w:val="left"/>
      <w:pPr>
        <w:tabs>
          <w:tab w:val="num" w:pos="3600"/>
        </w:tabs>
        <w:ind w:left="3600" w:hanging="360"/>
      </w:pPr>
      <w:rPr>
        <w:rFonts w:ascii="Arial" w:hAnsi="Arial" w:hint="default"/>
      </w:rPr>
    </w:lvl>
    <w:lvl w:ilvl="5" w:tplc="6F4AFE76" w:tentative="1">
      <w:start w:val="1"/>
      <w:numFmt w:val="bullet"/>
      <w:lvlText w:val="•"/>
      <w:lvlJc w:val="left"/>
      <w:pPr>
        <w:tabs>
          <w:tab w:val="num" w:pos="4320"/>
        </w:tabs>
        <w:ind w:left="4320" w:hanging="360"/>
      </w:pPr>
      <w:rPr>
        <w:rFonts w:ascii="Arial" w:hAnsi="Arial" w:hint="default"/>
      </w:rPr>
    </w:lvl>
    <w:lvl w:ilvl="6" w:tplc="A7527600" w:tentative="1">
      <w:start w:val="1"/>
      <w:numFmt w:val="bullet"/>
      <w:lvlText w:val="•"/>
      <w:lvlJc w:val="left"/>
      <w:pPr>
        <w:tabs>
          <w:tab w:val="num" w:pos="5040"/>
        </w:tabs>
        <w:ind w:left="5040" w:hanging="360"/>
      </w:pPr>
      <w:rPr>
        <w:rFonts w:ascii="Arial" w:hAnsi="Arial" w:hint="default"/>
      </w:rPr>
    </w:lvl>
    <w:lvl w:ilvl="7" w:tplc="61485C88" w:tentative="1">
      <w:start w:val="1"/>
      <w:numFmt w:val="bullet"/>
      <w:lvlText w:val="•"/>
      <w:lvlJc w:val="left"/>
      <w:pPr>
        <w:tabs>
          <w:tab w:val="num" w:pos="5760"/>
        </w:tabs>
        <w:ind w:left="5760" w:hanging="360"/>
      </w:pPr>
      <w:rPr>
        <w:rFonts w:ascii="Arial" w:hAnsi="Arial" w:hint="default"/>
      </w:rPr>
    </w:lvl>
    <w:lvl w:ilvl="8" w:tplc="376A298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2B3F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6E338CB"/>
    <w:multiLevelType w:val="hybridMultilevel"/>
    <w:tmpl w:val="E0B669B2"/>
    <w:lvl w:ilvl="0" w:tplc="345C1828">
      <w:start w:val="1"/>
      <w:numFmt w:val="bullet"/>
      <w:lvlText w:val="•"/>
      <w:lvlJc w:val="left"/>
      <w:pPr>
        <w:tabs>
          <w:tab w:val="num" w:pos="720"/>
        </w:tabs>
        <w:ind w:left="720" w:hanging="360"/>
      </w:pPr>
      <w:rPr>
        <w:rFonts w:ascii="Arial" w:hAnsi="Arial" w:hint="default"/>
      </w:rPr>
    </w:lvl>
    <w:lvl w:ilvl="1" w:tplc="0EF89790">
      <w:start w:val="1"/>
      <w:numFmt w:val="bullet"/>
      <w:lvlText w:val="•"/>
      <w:lvlJc w:val="left"/>
      <w:pPr>
        <w:tabs>
          <w:tab w:val="num" w:pos="1440"/>
        </w:tabs>
        <w:ind w:left="1440" w:hanging="360"/>
      </w:pPr>
      <w:rPr>
        <w:rFonts w:ascii="Arial" w:hAnsi="Arial" w:hint="default"/>
      </w:rPr>
    </w:lvl>
    <w:lvl w:ilvl="2" w:tplc="E7987056" w:tentative="1">
      <w:start w:val="1"/>
      <w:numFmt w:val="bullet"/>
      <w:lvlText w:val="•"/>
      <w:lvlJc w:val="left"/>
      <w:pPr>
        <w:tabs>
          <w:tab w:val="num" w:pos="2160"/>
        </w:tabs>
        <w:ind w:left="2160" w:hanging="360"/>
      </w:pPr>
      <w:rPr>
        <w:rFonts w:ascii="Arial" w:hAnsi="Arial" w:hint="default"/>
      </w:rPr>
    </w:lvl>
    <w:lvl w:ilvl="3" w:tplc="21528AC4" w:tentative="1">
      <w:start w:val="1"/>
      <w:numFmt w:val="bullet"/>
      <w:lvlText w:val="•"/>
      <w:lvlJc w:val="left"/>
      <w:pPr>
        <w:tabs>
          <w:tab w:val="num" w:pos="2880"/>
        </w:tabs>
        <w:ind w:left="2880" w:hanging="360"/>
      </w:pPr>
      <w:rPr>
        <w:rFonts w:ascii="Arial" w:hAnsi="Arial" w:hint="default"/>
      </w:rPr>
    </w:lvl>
    <w:lvl w:ilvl="4" w:tplc="F9D872EC" w:tentative="1">
      <w:start w:val="1"/>
      <w:numFmt w:val="bullet"/>
      <w:lvlText w:val="•"/>
      <w:lvlJc w:val="left"/>
      <w:pPr>
        <w:tabs>
          <w:tab w:val="num" w:pos="3600"/>
        </w:tabs>
        <w:ind w:left="3600" w:hanging="360"/>
      </w:pPr>
      <w:rPr>
        <w:rFonts w:ascii="Arial" w:hAnsi="Arial" w:hint="default"/>
      </w:rPr>
    </w:lvl>
    <w:lvl w:ilvl="5" w:tplc="32D45E92" w:tentative="1">
      <w:start w:val="1"/>
      <w:numFmt w:val="bullet"/>
      <w:lvlText w:val="•"/>
      <w:lvlJc w:val="left"/>
      <w:pPr>
        <w:tabs>
          <w:tab w:val="num" w:pos="4320"/>
        </w:tabs>
        <w:ind w:left="4320" w:hanging="360"/>
      </w:pPr>
      <w:rPr>
        <w:rFonts w:ascii="Arial" w:hAnsi="Arial" w:hint="default"/>
      </w:rPr>
    </w:lvl>
    <w:lvl w:ilvl="6" w:tplc="5B60FB72" w:tentative="1">
      <w:start w:val="1"/>
      <w:numFmt w:val="bullet"/>
      <w:lvlText w:val="•"/>
      <w:lvlJc w:val="left"/>
      <w:pPr>
        <w:tabs>
          <w:tab w:val="num" w:pos="5040"/>
        </w:tabs>
        <w:ind w:left="5040" w:hanging="360"/>
      </w:pPr>
      <w:rPr>
        <w:rFonts w:ascii="Arial" w:hAnsi="Arial" w:hint="default"/>
      </w:rPr>
    </w:lvl>
    <w:lvl w:ilvl="7" w:tplc="E4A07C6C" w:tentative="1">
      <w:start w:val="1"/>
      <w:numFmt w:val="bullet"/>
      <w:lvlText w:val="•"/>
      <w:lvlJc w:val="left"/>
      <w:pPr>
        <w:tabs>
          <w:tab w:val="num" w:pos="5760"/>
        </w:tabs>
        <w:ind w:left="5760" w:hanging="360"/>
      </w:pPr>
      <w:rPr>
        <w:rFonts w:ascii="Arial" w:hAnsi="Arial" w:hint="default"/>
      </w:rPr>
    </w:lvl>
    <w:lvl w:ilvl="8" w:tplc="DFDED8F0"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0"/>
  </w:num>
  <w:num w:numId="3">
    <w:abstractNumId w:val="1"/>
  </w:num>
  <w:num w:numId="4">
    <w:abstractNumId w:val="2"/>
  </w:num>
  <w:num w:numId="5">
    <w:abstractNumId w:val="3"/>
  </w:num>
  <w:num w:numId="6">
    <w:abstractNumId w:val="24"/>
  </w:num>
  <w:num w:numId="7">
    <w:abstractNumId w:val="4"/>
  </w:num>
  <w:num w:numId="8">
    <w:abstractNumId w:val="5"/>
  </w:num>
  <w:num w:numId="9">
    <w:abstractNumId w:val="6"/>
  </w:num>
  <w:num w:numId="10">
    <w:abstractNumId w:val="7"/>
  </w:num>
  <w:num w:numId="11">
    <w:abstractNumId w:val="9"/>
  </w:num>
  <w:num w:numId="12">
    <w:abstractNumId w:val="25"/>
  </w:num>
  <w:num w:numId="13">
    <w:abstractNumId w:val="10"/>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9"/>
  </w:num>
  <w:num w:numId="23">
    <w:abstractNumId w:val="11"/>
  </w:num>
  <w:num w:numId="24">
    <w:abstractNumId w:val="22"/>
  </w:num>
  <w:num w:numId="25">
    <w:abstractNumId w:val="24"/>
  </w:num>
  <w:num w:numId="26">
    <w:abstractNumId w:val="21"/>
  </w:num>
  <w:num w:numId="27">
    <w:abstractNumId w:val="13"/>
  </w:num>
  <w:num w:numId="28">
    <w:abstractNumId w:val="20"/>
  </w:num>
  <w:num w:numId="29">
    <w:abstractNumId w:val="16"/>
  </w:num>
  <w:num w:numId="30">
    <w:abstractNumId w:val="26"/>
  </w:num>
  <w:num w:numId="31">
    <w:abstractNumId w:val="23"/>
  </w:num>
  <w:num w:numId="32">
    <w:abstractNumId w:val="15"/>
  </w:num>
  <w:num w:numId="33">
    <w:abstractNumId w:val="17"/>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B0"/>
    <w:rsid w:val="000342FF"/>
    <w:rsid w:val="000410CD"/>
    <w:rsid w:val="00044BDF"/>
    <w:rsid w:val="00051678"/>
    <w:rsid w:val="000518F5"/>
    <w:rsid w:val="0005521F"/>
    <w:rsid w:val="000621AC"/>
    <w:rsid w:val="00080C63"/>
    <w:rsid w:val="000860B0"/>
    <w:rsid w:val="000943B0"/>
    <w:rsid w:val="000954A7"/>
    <w:rsid w:val="000A22DD"/>
    <w:rsid w:val="000A3543"/>
    <w:rsid w:val="000B208B"/>
    <w:rsid w:val="000B71B7"/>
    <w:rsid w:val="000C47C7"/>
    <w:rsid w:val="000D1F66"/>
    <w:rsid w:val="000D3390"/>
    <w:rsid w:val="000D6E16"/>
    <w:rsid w:val="000E4F51"/>
    <w:rsid w:val="001076EB"/>
    <w:rsid w:val="00116A35"/>
    <w:rsid w:val="001334AC"/>
    <w:rsid w:val="001431BE"/>
    <w:rsid w:val="00162229"/>
    <w:rsid w:val="00164BBD"/>
    <w:rsid w:val="00167A04"/>
    <w:rsid w:val="001800F8"/>
    <w:rsid w:val="00193014"/>
    <w:rsid w:val="00194545"/>
    <w:rsid w:val="00195052"/>
    <w:rsid w:val="00196C02"/>
    <w:rsid w:val="001B485C"/>
    <w:rsid w:val="001B657C"/>
    <w:rsid w:val="00201F3C"/>
    <w:rsid w:val="0020325F"/>
    <w:rsid w:val="00214106"/>
    <w:rsid w:val="002225BE"/>
    <w:rsid w:val="00222974"/>
    <w:rsid w:val="002300C7"/>
    <w:rsid w:val="00242F21"/>
    <w:rsid w:val="002505BB"/>
    <w:rsid w:val="00250D15"/>
    <w:rsid w:val="00254BA0"/>
    <w:rsid w:val="00255F48"/>
    <w:rsid w:val="00266A47"/>
    <w:rsid w:val="0028345A"/>
    <w:rsid w:val="0028456B"/>
    <w:rsid w:val="00294C3F"/>
    <w:rsid w:val="002A0CCA"/>
    <w:rsid w:val="002A646D"/>
    <w:rsid w:val="002C1552"/>
    <w:rsid w:val="002E56A6"/>
    <w:rsid w:val="00303660"/>
    <w:rsid w:val="003036A5"/>
    <w:rsid w:val="00313951"/>
    <w:rsid w:val="00315943"/>
    <w:rsid w:val="00315E05"/>
    <w:rsid w:val="00324D69"/>
    <w:rsid w:val="0033370F"/>
    <w:rsid w:val="00333A0A"/>
    <w:rsid w:val="00345824"/>
    <w:rsid w:val="0034617C"/>
    <w:rsid w:val="00354471"/>
    <w:rsid w:val="00355671"/>
    <w:rsid w:val="00356102"/>
    <w:rsid w:val="00356130"/>
    <w:rsid w:val="00365D2C"/>
    <w:rsid w:val="00372FF5"/>
    <w:rsid w:val="00377541"/>
    <w:rsid w:val="00385C5B"/>
    <w:rsid w:val="00390CA0"/>
    <w:rsid w:val="00392CDD"/>
    <w:rsid w:val="003A02E7"/>
    <w:rsid w:val="003A2C40"/>
    <w:rsid w:val="003A4826"/>
    <w:rsid w:val="003A6A4F"/>
    <w:rsid w:val="003B0C99"/>
    <w:rsid w:val="003D34A8"/>
    <w:rsid w:val="003F03FE"/>
    <w:rsid w:val="003F2336"/>
    <w:rsid w:val="003F397A"/>
    <w:rsid w:val="003F3D12"/>
    <w:rsid w:val="003F5B41"/>
    <w:rsid w:val="0040265D"/>
    <w:rsid w:val="00412EFD"/>
    <w:rsid w:val="0042161B"/>
    <w:rsid w:val="004343C1"/>
    <w:rsid w:val="0044184C"/>
    <w:rsid w:val="00481C91"/>
    <w:rsid w:val="00493BB9"/>
    <w:rsid w:val="004A1C57"/>
    <w:rsid w:val="004C0D7C"/>
    <w:rsid w:val="004C1BC6"/>
    <w:rsid w:val="004C2C7A"/>
    <w:rsid w:val="004C5C3E"/>
    <w:rsid w:val="004D1DBF"/>
    <w:rsid w:val="004D71E1"/>
    <w:rsid w:val="004E45A6"/>
    <w:rsid w:val="004F6492"/>
    <w:rsid w:val="00503F4E"/>
    <w:rsid w:val="00521179"/>
    <w:rsid w:val="005271B7"/>
    <w:rsid w:val="00533497"/>
    <w:rsid w:val="005353F4"/>
    <w:rsid w:val="00543D58"/>
    <w:rsid w:val="005469A8"/>
    <w:rsid w:val="0055429E"/>
    <w:rsid w:val="00555410"/>
    <w:rsid w:val="00557710"/>
    <w:rsid w:val="00565F65"/>
    <w:rsid w:val="005678C8"/>
    <w:rsid w:val="00567C7E"/>
    <w:rsid w:val="00570634"/>
    <w:rsid w:val="00584811"/>
    <w:rsid w:val="00587168"/>
    <w:rsid w:val="00594550"/>
    <w:rsid w:val="005A616C"/>
    <w:rsid w:val="005A71F7"/>
    <w:rsid w:val="005B7AF3"/>
    <w:rsid w:val="005C13EC"/>
    <w:rsid w:val="005C1775"/>
    <w:rsid w:val="005C7BF4"/>
    <w:rsid w:val="005D4893"/>
    <w:rsid w:val="005E5750"/>
    <w:rsid w:val="005F0267"/>
    <w:rsid w:val="005F7F0E"/>
    <w:rsid w:val="00617798"/>
    <w:rsid w:val="0062370B"/>
    <w:rsid w:val="00623816"/>
    <w:rsid w:val="0062427B"/>
    <w:rsid w:val="006262E9"/>
    <w:rsid w:val="00631EDD"/>
    <w:rsid w:val="00641BF7"/>
    <w:rsid w:val="00645432"/>
    <w:rsid w:val="00661ECA"/>
    <w:rsid w:val="006743E5"/>
    <w:rsid w:val="006763A7"/>
    <w:rsid w:val="00696D06"/>
    <w:rsid w:val="006A73F5"/>
    <w:rsid w:val="006B0861"/>
    <w:rsid w:val="006B38ED"/>
    <w:rsid w:val="006B6735"/>
    <w:rsid w:val="006B6AF4"/>
    <w:rsid w:val="006B7C8E"/>
    <w:rsid w:val="006D4210"/>
    <w:rsid w:val="006E28AC"/>
    <w:rsid w:val="006E294B"/>
    <w:rsid w:val="006E3714"/>
    <w:rsid w:val="006F3B18"/>
    <w:rsid w:val="006F64FF"/>
    <w:rsid w:val="007002A7"/>
    <w:rsid w:val="00701034"/>
    <w:rsid w:val="00706C59"/>
    <w:rsid w:val="00712491"/>
    <w:rsid w:val="00721951"/>
    <w:rsid w:val="00721AE6"/>
    <w:rsid w:val="00723AF4"/>
    <w:rsid w:val="00725B51"/>
    <w:rsid w:val="00727612"/>
    <w:rsid w:val="00727BF9"/>
    <w:rsid w:val="00740829"/>
    <w:rsid w:val="007423C1"/>
    <w:rsid w:val="007702C8"/>
    <w:rsid w:val="00775E93"/>
    <w:rsid w:val="00777CF5"/>
    <w:rsid w:val="00784F1C"/>
    <w:rsid w:val="0078789A"/>
    <w:rsid w:val="00793758"/>
    <w:rsid w:val="007A06AE"/>
    <w:rsid w:val="007A30F8"/>
    <w:rsid w:val="007A5046"/>
    <w:rsid w:val="007B0D06"/>
    <w:rsid w:val="007C6DC4"/>
    <w:rsid w:val="007D2544"/>
    <w:rsid w:val="007D685B"/>
    <w:rsid w:val="007E20B1"/>
    <w:rsid w:val="007F33A1"/>
    <w:rsid w:val="00801FEA"/>
    <w:rsid w:val="00803090"/>
    <w:rsid w:val="00807F4F"/>
    <w:rsid w:val="00814746"/>
    <w:rsid w:val="00816F0C"/>
    <w:rsid w:val="00824AD3"/>
    <w:rsid w:val="008271B8"/>
    <w:rsid w:val="00851BEE"/>
    <w:rsid w:val="0086383F"/>
    <w:rsid w:val="00873933"/>
    <w:rsid w:val="008855CF"/>
    <w:rsid w:val="00885BBA"/>
    <w:rsid w:val="00887258"/>
    <w:rsid w:val="00890363"/>
    <w:rsid w:val="00890F29"/>
    <w:rsid w:val="008B09BC"/>
    <w:rsid w:val="008C13B8"/>
    <w:rsid w:val="008C405C"/>
    <w:rsid w:val="008D26F0"/>
    <w:rsid w:val="008D6379"/>
    <w:rsid w:val="008D647C"/>
    <w:rsid w:val="008E3D06"/>
    <w:rsid w:val="0091137D"/>
    <w:rsid w:val="00912F88"/>
    <w:rsid w:val="00917394"/>
    <w:rsid w:val="00917E87"/>
    <w:rsid w:val="009233DD"/>
    <w:rsid w:val="00940479"/>
    <w:rsid w:val="00940D02"/>
    <w:rsid w:val="00954A94"/>
    <w:rsid w:val="00954F3F"/>
    <w:rsid w:val="00956965"/>
    <w:rsid w:val="00960A81"/>
    <w:rsid w:val="009749FF"/>
    <w:rsid w:val="009866E2"/>
    <w:rsid w:val="00987B15"/>
    <w:rsid w:val="00990381"/>
    <w:rsid w:val="00992B64"/>
    <w:rsid w:val="00995A54"/>
    <w:rsid w:val="009A0A96"/>
    <w:rsid w:val="009A7A9B"/>
    <w:rsid w:val="009A7BF0"/>
    <w:rsid w:val="009B6728"/>
    <w:rsid w:val="009D594E"/>
    <w:rsid w:val="009F6025"/>
    <w:rsid w:val="00A11879"/>
    <w:rsid w:val="00A253FF"/>
    <w:rsid w:val="00A40744"/>
    <w:rsid w:val="00A43EF6"/>
    <w:rsid w:val="00A53CDE"/>
    <w:rsid w:val="00A65967"/>
    <w:rsid w:val="00A84ED0"/>
    <w:rsid w:val="00AA1698"/>
    <w:rsid w:val="00AB52B6"/>
    <w:rsid w:val="00AD3500"/>
    <w:rsid w:val="00AD3B02"/>
    <w:rsid w:val="00AD5BB1"/>
    <w:rsid w:val="00AD7F17"/>
    <w:rsid w:val="00AE12AD"/>
    <w:rsid w:val="00AE3359"/>
    <w:rsid w:val="00AF089D"/>
    <w:rsid w:val="00AF1C31"/>
    <w:rsid w:val="00AF3C1E"/>
    <w:rsid w:val="00AF6D49"/>
    <w:rsid w:val="00B02CB7"/>
    <w:rsid w:val="00B10F4B"/>
    <w:rsid w:val="00B11621"/>
    <w:rsid w:val="00B16D5E"/>
    <w:rsid w:val="00B33EE4"/>
    <w:rsid w:val="00B34A1C"/>
    <w:rsid w:val="00B425F4"/>
    <w:rsid w:val="00B46F3B"/>
    <w:rsid w:val="00B51EB3"/>
    <w:rsid w:val="00B520C8"/>
    <w:rsid w:val="00B52DDF"/>
    <w:rsid w:val="00B801ED"/>
    <w:rsid w:val="00B84AEE"/>
    <w:rsid w:val="00B919CB"/>
    <w:rsid w:val="00B979D8"/>
    <w:rsid w:val="00BA3B38"/>
    <w:rsid w:val="00BB1F80"/>
    <w:rsid w:val="00BB7054"/>
    <w:rsid w:val="00BC4D97"/>
    <w:rsid w:val="00BC6EDD"/>
    <w:rsid w:val="00BD6292"/>
    <w:rsid w:val="00BF5125"/>
    <w:rsid w:val="00BF7EFF"/>
    <w:rsid w:val="00C04001"/>
    <w:rsid w:val="00C06A0B"/>
    <w:rsid w:val="00C11863"/>
    <w:rsid w:val="00C11B7B"/>
    <w:rsid w:val="00C3010C"/>
    <w:rsid w:val="00C337CF"/>
    <w:rsid w:val="00C870E5"/>
    <w:rsid w:val="00C97725"/>
    <w:rsid w:val="00CB4F2C"/>
    <w:rsid w:val="00CB5DB9"/>
    <w:rsid w:val="00CC6B4E"/>
    <w:rsid w:val="00CD1688"/>
    <w:rsid w:val="00CE5DE5"/>
    <w:rsid w:val="00CE6078"/>
    <w:rsid w:val="00CF4331"/>
    <w:rsid w:val="00CF7C37"/>
    <w:rsid w:val="00CF7F3E"/>
    <w:rsid w:val="00D01F8A"/>
    <w:rsid w:val="00D0530C"/>
    <w:rsid w:val="00D05321"/>
    <w:rsid w:val="00D144BA"/>
    <w:rsid w:val="00D178EB"/>
    <w:rsid w:val="00D23922"/>
    <w:rsid w:val="00D30E4D"/>
    <w:rsid w:val="00D43A4E"/>
    <w:rsid w:val="00D52909"/>
    <w:rsid w:val="00D61FA3"/>
    <w:rsid w:val="00D624DA"/>
    <w:rsid w:val="00D64309"/>
    <w:rsid w:val="00D9405C"/>
    <w:rsid w:val="00D95B27"/>
    <w:rsid w:val="00DA48B0"/>
    <w:rsid w:val="00DB049F"/>
    <w:rsid w:val="00DB445C"/>
    <w:rsid w:val="00DB66DB"/>
    <w:rsid w:val="00DC21EC"/>
    <w:rsid w:val="00DC2870"/>
    <w:rsid w:val="00DE3EEC"/>
    <w:rsid w:val="00DF203E"/>
    <w:rsid w:val="00DF6AAC"/>
    <w:rsid w:val="00E05FB5"/>
    <w:rsid w:val="00E129F9"/>
    <w:rsid w:val="00E2629A"/>
    <w:rsid w:val="00E3308E"/>
    <w:rsid w:val="00E43A8E"/>
    <w:rsid w:val="00E50BA6"/>
    <w:rsid w:val="00E51641"/>
    <w:rsid w:val="00E5219A"/>
    <w:rsid w:val="00E60B30"/>
    <w:rsid w:val="00E60CF9"/>
    <w:rsid w:val="00E706A3"/>
    <w:rsid w:val="00E730D6"/>
    <w:rsid w:val="00E82678"/>
    <w:rsid w:val="00E86CCC"/>
    <w:rsid w:val="00EB05EF"/>
    <w:rsid w:val="00EB7315"/>
    <w:rsid w:val="00EC21E2"/>
    <w:rsid w:val="00F04D58"/>
    <w:rsid w:val="00F0576F"/>
    <w:rsid w:val="00F23608"/>
    <w:rsid w:val="00F313BC"/>
    <w:rsid w:val="00F31DB1"/>
    <w:rsid w:val="00F328E4"/>
    <w:rsid w:val="00F3365C"/>
    <w:rsid w:val="00F33896"/>
    <w:rsid w:val="00F438FF"/>
    <w:rsid w:val="00F46140"/>
    <w:rsid w:val="00F612A6"/>
    <w:rsid w:val="00F93F3E"/>
    <w:rsid w:val="00FB1001"/>
    <w:rsid w:val="00FB286E"/>
    <w:rsid w:val="00FB3FEC"/>
    <w:rsid w:val="00FC1105"/>
    <w:rsid w:val="00FD3BEC"/>
    <w:rsid w:val="00FE1293"/>
    <w:rsid w:val="00FE4263"/>
    <w:rsid w:val="00FF6115"/>
    <w:rsid w:val="00FF7938"/>
    <w:rsid w:val="01283471"/>
    <w:rsid w:val="0181EBEA"/>
    <w:rsid w:val="01B130C8"/>
    <w:rsid w:val="0203667F"/>
    <w:rsid w:val="037113A0"/>
    <w:rsid w:val="03CECCE0"/>
    <w:rsid w:val="03F428FC"/>
    <w:rsid w:val="0431C31F"/>
    <w:rsid w:val="04B45AEF"/>
    <w:rsid w:val="04C91C02"/>
    <w:rsid w:val="04CF12B0"/>
    <w:rsid w:val="04E19514"/>
    <w:rsid w:val="054A30A1"/>
    <w:rsid w:val="05A785A4"/>
    <w:rsid w:val="05A8B55A"/>
    <w:rsid w:val="05F2F68D"/>
    <w:rsid w:val="061AD175"/>
    <w:rsid w:val="07B7CC27"/>
    <w:rsid w:val="07F6D961"/>
    <w:rsid w:val="082FC3B0"/>
    <w:rsid w:val="08360B0E"/>
    <w:rsid w:val="0974EB13"/>
    <w:rsid w:val="09E19540"/>
    <w:rsid w:val="09FBC7AB"/>
    <w:rsid w:val="0AC06BD6"/>
    <w:rsid w:val="0B10BB74"/>
    <w:rsid w:val="0BB320B5"/>
    <w:rsid w:val="0BD9DEC5"/>
    <w:rsid w:val="0BE11A56"/>
    <w:rsid w:val="0C175F66"/>
    <w:rsid w:val="0C5C3C37"/>
    <w:rsid w:val="0D64A33B"/>
    <w:rsid w:val="0D74C7F4"/>
    <w:rsid w:val="0D7A3430"/>
    <w:rsid w:val="0D9C86EF"/>
    <w:rsid w:val="0DC7F0DA"/>
    <w:rsid w:val="0E25DBF0"/>
    <w:rsid w:val="0E62927D"/>
    <w:rsid w:val="0E63198F"/>
    <w:rsid w:val="0EFD68A7"/>
    <w:rsid w:val="0F73687B"/>
    <w:rsid w:val="0FA9B5AF"/>
    <w:rsid w:val="0FFFF308"/>
    <w:rsid w:val="110876F2"/>
    <w:rsid w:val="11E7BCE6"/>
    <w:rsid w:val="120ADF25"/>
    <w:rsid w:val="129507A4"/>
    <w:rsid w:val="13AC6C4B"/>
    <w:rsid w:val="142D4EFB"/>
    <w:rsid w:val="147BF517"/>
    <w:rsid w:val="1593808F"/>
    <w:rsid w:val="16A6EFEB"/>
    <w:rsid w:val="17D18759"/>
    <w:rsid w:val="183F8A53"/>
    <w:rsid w:val="1962CA31"/>
    <w:rsid w:val="197A84CD"/>
    <w:rsid w:val="1A86F12C"/>
    <w:rsid w:val="1AAAB9B1"/>
    <w:rsid w:val="1B9E55D3"/>
    <w:rsid w:val="1D184B52"/>
    <w:rsid w:val="1F013EF7"/>
    <w:rsid w:val="20547F9B"/>
    <w:rsid w:val="22807529"/>
    <w:rsid w:val="22A5AA26"/>
    <w:rsid w:val="22EBCCA9"/>
    <w:rsid w:val="2339DEA9"/>
    <w:rsid w:val="23992900"/>
    <w:rsid w:val="25B0FA67"/>
    <w:rsid w:val="25D7EBB2"/>
    <w:rsid w:val="2658570E"/>
    <w:rsid w:val="26C5013B"/>
    <w:rsid w:val="26CDA294"/>
    <w:rsid w:val="26E376A7"/>
    <w:rsid w:val="2710D58F"/>
    <w:rsid w:val="28A29C27"/>
    <w:rsid w:val="2A762510"/>
    <w:rsid w:val="2A7B69FB"/>
    <w:rsid w:val="2A96C4E0"/>
    <w:rsid w:val="2ADEC7CE"/>
    <w:rsid w:val="2C231ABF"/>
    <w:rsid w:val="2C5AE508"/>
    <w:rsid w:val="2C7F6850"/>
    <w:rsid w:val="2C908A7A"/>
    <w:rsid w:val="2CF26433"/>
    <w:rsid w:val="2D19DA46"/>
    <w:rsid w:val="2E606271"/>
    <w:rsid w:val="306DFD64"/>
    <w:rsid w:val="30B46212"/>
    <w:rsid w:val="30E56694"/>
    <w:rsid w:val="30E7BEB2"/>
    <w:rsid w:val="310B3D72"/>
    <w:rsid w:val="3268C358"/>
    <w:rsid w:val="32FB3173"/>
    <w:rsid w:val="333131E9"/>
    <w:rsid w:val="33D14B13"/>
    <w:rsid w:val="3403DEF9"/>
    <w:rsid w:val="35634969"/>
    <w:rsid w:val="35EE0F7C"/>
    <w:rsid w:val="3668D2AB"/>
    <w:rsid w:val="366F241B"/>
    <w:rsid w:val="36700FD4"/>
    <w:rsid w:val="369E7DFA"/>
    <w:rsid w:val="36FF19CA"/>
    <w:rsid w:val="37CEA296"/>
    <w:rsid w:val="38D7501C"/>
    <w:rsid w:val="3A59BEC6"/>
    <w:rsid w:val="3AE19033"/>
    <w:rsid w:val="3C90D5F8"/>
    <w:rsid w:val="3D29A407"/>
    <w:rsid w:val="3D59F949"/>
    <w:rsid w:val="3E394A01"/>
    <w:rsid w:val="401F3FF8"/>
    <w:rsid w:val="406C0FEE"/>
    <w:rsid w:val="415D8CD4"/>
    <w:rsid w:val="430CBB24"/>
    <w:rsid w:val="4341690E"/>
    <w:rsid w:val="436F216A"/>
    <w:rsid w:val="441A02C3"/>
    <w:rsid w:val="449BE7DD"/>
    <w:rsid w:val="4542FD7B"/>
    <w:rsid w:val="4604E2A8"/>
    <w:rsid w:val="4751A385"/>
    <w:rsid w:val="4818EAE5"/>
    <w:rsid w:val="49D31FC9"/>
    <w:rsid w:val="49DAF47D"/>
    <w:rsid w:val="4AB2A06B"/>
    <w:rsid w:val="4BEB76F0"/>
    <w:rsid w:val="4D50CD98"/>
    <w:rsid w:val="4DCF23FF"/>
    <w:rsid w:val="4FBFE6D0"/>
    <w:rsid w:val="50836A2C"/>
    <w:rsid w:val="5085B022"/>
    <w:rsid w:val="5107B07A"/>
    <w:rsid w:val="512D3744"/>
    <w:rsid w:val="51599D4E"/>
    <w:rsid w:val="51C7028A"/>
    <w:rsid w:val="51CE75EB"/>
    <w:rsid w:val="51DC65A0"/>
    <w:rsid w:val="53A568A3"/>
    <w:rsid w:val="53B63008"/>
    <w:rsid w:val="53BB25D5"/>
    <w:rsid w:val="5402139D"/>
    <w:rsid w:val="54381413"/>
    <w:rsid w:val="54F24D86"/>
    <w:rsid w:val="55FE4ED9"/>
    <w:rsid w:val="564CE438"/>
    <w:rsid w:val="56510336"/>
    <w:rsid w:val="5678FD85"/>
    <w:rsid w:val="56F962C2"/>
    <w:rsid w:val="573B03CF"/>
    <w:rsid w:val="579C78C8"/>
    <w:rsid w:val="57E25A40"/>
    <w:rsid w:val="580EC0B4"/>
    <w:rsid w:val="587799AA"/>
    <w:rsid w:val="593B4C70"/>
    <w:rsid w:val="5970BBD3"/>
    <w:rsid w:val="5976681F"/>
    <w:rsid w:val="59EDBE48"/>
    <w:rsid w:val="5A20B6C7"/>
    <w:rsid w:val="5C451345"/>
    <w:rsid w:val="5C7EEAE8"/>
    <w:rsid w:val="5F18CE07"/>
    <w:rsid w:val="5F20AC21"/>
    <w:rsid w:val="5F4DE585"/>
    <w:rsid w:val="60888289"/>
    <w:rsid w:val="60EBA86F"/>
    <w:rsid w:val="615A5F1A"/>
    <w:rsid w:val="618D50E9"/>
    <w:rsid w:val="62371E01"/>
    <w:rsid w:val="62A8CB21"/>
    <w:rsid w:val="6339F77A"/>
    <w:rsid w:val="63C05983"/>
    <w:rsid w:val="63FA74F1"/>
    <w:rsid w:val="66A4DF58"/>
    <w:rsid w:val="66F09CB3"/>
    <w:rsid w:val="672EEE45"/>
    <w:rsid w:val="67BA8A18"/>
    <w:rsid w:val="67E90A05"/>
    <w:rsid w:val="694C48A2"/>
    <w:rsid w:val="69627CA2"/>
    <w:rsid w:val="6AF22ADA"/>
    <w:rsid w:val="6B385990"/>
    <w:rsid w:val="6C2F8A06"/>
    <w:rsid w:val="6C3CC4FA"/>
    <w:rsid w:val="6DE1768B"/>
    <w:rsid w:val="6F642704"/>
    <w:rsid w:val="70E484DE"/>
    <w:rsid w:val="714832D5"/>
    <w:rsid w:val="723A474A"/>
    <w:rsid w:val="729BC7C6"/>
    <w:rsid w:val="72BE2E0A"/>
    <w:rsid w:val="738C006E"/>
    <w:rsid w:val="73D20348"/>
    <w:rsid w:val="74A80E1D"/>
    <w:rsid w:val="7571E80C"/>
    <w:rsid w:val="75943D96"/>
    <w:rsid w:val="77B604AC"/>
    <w:rsid w:val="77EF0043"/>
    <w:rsid w:val="7818A300"/>
    <w:rsid w:val="78F1E0ED"/>
    <w:rsid w:val="79021FA5"/>
    <w:rsid w:val="79EBA46C"/>
    <w:rsid w:val="7A0F7303"/>
    <w:rsid w:val="7ACC5912"/>
    <w:rsid w:val="7B5EE0DE"/>
    <w:rsid w:val="7D3970C3"/>
    <w:rsid w:val="7EEC4AF9"/>
    <w:rsid w:val="7F0F34A7"/>
    <w:rsid w:val="7F55572A"/>
    <w:rsid w:val="7F96D5B8"/>
    <w:rsid w:val="7FE0E9CB"/>
    <w:rsid w:val="7FF7D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37C7"/>
  <w15:chartTrackingRefBased/>
  <w15:docId w15:val="{7EE55B96-535E-498B-9F36-C053919A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336"/>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unhideWhenUsed/>
    <w:rsid w:val="00BB1F80"/>
    <w:pPr>
      <w:spacing w:line="240" w:lineRule="auto"/>
    </w:pPr>
    <w:rPr>
      <w:szCs w:val="20"/>
    </w:rPr>
  </w:style>
  <w:style w:type="character" w:customStyle="1" w:styleId="CommentTextChar">
    <w:name w:val="Comment Text Char"/>
    <w:basedOn w:val="DefaultParagraphFont"/>
    <w:link w:val="CommentText"/>
    <w:uiPriority w:val="99"/>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6"/>
      </w:numPr>
      <w:ind w:left="1080"/>
      <w:contextualSpacing/>
    </w:pPr>
  </w:style>
  <w:style w:type="paragraph" w:styleId="ListBullet">
    <w:name w:val="List Bullet"/>
    <w:basedOn w:val="Normal"/>
    <w:uiPriority w:val="10"/>
    <w:rsid w:val="003F2336"/>
    <w:pPr>
      <w:numPr>
        <w:numId w:val="11"/>
      </w:numPr>
      <w:ind w:left="1080"/>
      <w:contextualSpacing/>
    </w:pPr>
  </w:style>
  <w:style w:type="character" w:styleId="Hyperlink">
    <w:name w:val="Hyperlink"/>
    <w:basedOn w:val="DefaultParagraphFont"/>
    <w:uiPriority w:val="99"/>
    <w:unhideWhenUsed/>
    <w:rsid w:val="000860B0"/>
    <w:rPr>
      <w:color w:val="407F83" w:themeColor="hyperlink"/>
      <w:u w:val="single"/>
    </w:rPr>
  </w:style>
  <w:style w:type="character" w:styleId="UnresolvedMention">
    <w:name w:val="Unresolved Mention"/>
    <w:basedOn w:val="DefaultParagraphFont"/>
    <w:uiPriority w:val="99"/>
    <w:semiHidden/>
    <w:unhideWhenUsed/>
    <w:rsid w:val="000860B0"/>
    <w:rPr>
      <w:color w:val="605E5C"/>
      <w:shd w:val="clear" w:color="auto" w:fill="E1DFDD"/>
    </w:rPr>
  </w:style>
  <w:style w:type="paragraph" w:styleId="ListParagraph">
    <w:name w:val="List Paragraph"/>
    <w:basedOn w:val="Normal"/>
    <w:uiPriority w:val="34"/>
    <w:qFormat/>
    <w:rsid w:val="007A5046"/>
    <w:pPr>
      <w:spacing w:after="160" w:line="259" w:lineRule="auto"/>
      <w:ind w:left="720"/>
      <w:contextualSpacing/>
    </w:pPr>
    <w:rPr>
      <w:color w:val="auto"/>
      <w:lang w:eastAsia="en-US"/>
    </w:rPr>
  </w:style>
  <w:style w:type="table" w:styleId="TableGrid">
    <w:name w:val="Table Grid"/>
    <w:basedOn w:val="TableNormal"/>
    <w:uiPriority w:val="39"/>
    <w:rsid w:val="00631EDD"/>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06A3"/>
    <w:pPr>
      <w:spacing w:after="0" w:line="240" w:lineRule="auto"/>
      <w:ind w:left="0"/>
    </w:pPr>
  </w:style>
  <w:style w:type="character" w:styleId="Emphasis">
    <w:name w:val="Emphasis"/>
    <w:basedOn w:val="DefaultParagraphFont"/>
    <w:uiPriority w:val="20"/>
    <w:qFormat/>
    <w:rsid w:val="00194545"/>
    <w:rPr>
      <w:i/>
      <w:iCs/>
    </w:rPr>
  </w:style>
  <w:style w:type="character" w:styleId="FollowedHyperlink">
    <w:name w:val="FollowedHyperlink"/>
    <w:basedOn w:val="DefaultParagraphFont"/>
    <w:uiPriority w:val="99"/>
    <w:semiHidden/>
    <w:unhideWhenUsed/>
    <w:rsid w:val="005A616C"/>
    <w:rPr>
      <w:color w:val="2B8073"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rsid w:val="00824AD3"/>
    <w:pPr>
      <w:spacing w:after="0" w:line="240" w:lineRule="auto"/>
      <w:ind w:left="0"/>
    </w:pPr>
    <w:rPr>
      <w:rFonts w:eastAsiaTheme="minorEastAsia"/>
      <w:color w:val="auto"/>
      <w:lang w:eastAsia="en-US"/>
    </w:rPr>
  </w:style>
  <w:style w:type="character" w:customStyle="1" w:styleId="NoSpacingChar">
    <w:name w:val="No Spacing Char"/>
    <w:basedOn w:val="DefaultParagraphFont"/>
    <w:link w:val="NoSpacing"/>
    <w:uiPriority w:val="1"/>
    <w:rsid w:val="00824AD3"/>
    <w:rPr>
      <w:rFonts w:eastAsiaTheme="minorEastAsia"/>
      <w:color w:val="auto"/>
      <w:lang w:eastAsia="en-US"/>
    </w:rPr>
  </w:style>
  <w:style w:type="character" w:customStyle="1" w:styleId="normaltextrun">
    <w:name w:val="normaltextrun"/>
    <w:basedOn w:val="DefaultParagraphFont"/>
    <w:rsid w:val="00CD1688"/>
  </w:style>
  <w:style w:type="paragraph" w:customStyle="1" w:styleId="xparagraph">
    <w:name w:val="x_paragraph"/>
    <w:basedOn w:val="Normal"/>
    <w:rsid w:val="006743E5"/>
    <w:pPr>
      <w:spacing w:before="100" w:beforeAutospacing="1" w:after="100" w:afterAutospacing="1" w:line="240" w:lineRule="auto"/>
      <w:ind w:left="0"/>
    </w:pPr>
    <w:rPr>
      <w:rFonts w:ascii="Calibri" w:hAnsi="Calibri" w:cs="Calibri"/>
      <w:color w:val="auto"/>
      <w:lang w:eastAsia="en-US"/>
    </w:rPr>
  </w:style>
  <w:style w:type="character" w:customStyle="1" w:styleId="xnormaltextrun">
    <w:name w:val="x_normaltextrun"/>
    <w:basedOn w:val="DefaultParagraphFont"/>
    <w:rsid w:val="006743E5"/>
  </w:style>
  <w:style w:type="character" w:customStyle="1" w:styleId="xeop">
    <w:name w:val="x_eop"/>
    <w:basedOn w:val="DefaultParagraphFont"/>
    <w:rsid w:val="006743E5"/>
  </w:style>
  <w:style w:type="paragraph" w:styleId="NormalWeb">
    <w:name w:val="Normal (Web)"/>
    <w:basedOn w:val="Normal"/>
    <w:uiPriority w:val="99"/>
    <w:semiHidden/>
    <w:unhideWhenUsed/>
    <w:rsid w:val="0091137D"/>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numbering" w:customStyle="1" w:styleId="NoList1">
    <w:name w:val="No List1"/>
    <w:next w:val="NoList"/>
    <w:uiPriority w:val="99"/>
    <w:semiHidden/>
    <w:unhideWhenUsed/>
    <w:rsid w:val="00AB52B6"/>
  </w:style>
  <w:style w:type="table" w:customStyle="1" w:styleId="TableGrid1">
    <w:name w:val="Table Grid1"/>
    <w:basedOn w:val="TableNormal"/>
    <w:next w:val="TableGrid"/>
    <w:uiPriority w:val="39"/>
    <w:rsid w:val="00AB52B6"/>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137">
      <w:bodyDiv w:val="1"/>
      <w:marLeft w:val="0"/>
      <w:marRight w:val="0"/>
      <w:marTop w:val="0"/>
      <w:marBottom w:val="0"/>
      <w:divBdr>
        <w:top w:val="none" w:sz="0" w:space="0" w:color="auto"/>
        <w:left w:val="none" w:sz="0" w:space="0" w:color="auto"/>
        <w:bottom w:val="none" w:sz="0" w:space="0" w:color="auto"/>
        <w:right w:val="none" w:sz="0" w:space="0" w:color="auto"/>
      </w:divBdr>
      <w:divsChild>
        <w:div w:id="968246233">
          <w:marLeft w:val="0"/>
          <w:marRight w:val="0"/>
          <w:marTop w:val="0"/>
          <w:marBottom w:val="0"/>
          <w:divBdr>
            <w:top w:val="none" w:sz="0" w:space="0" w:color="auto"/>
            <w:left w:val="none" w:sz="0" w:space="0" w:color="auto"/>
            <w:bottom w:val="none" w:sz="0" w:space="0" w:color="auto"/>
            <w:right w:val="none" w:sz="0" w:space="0" w:color="auto"/>
          </w:divBdr>
          <w:divsChild>
            <w:div w:id="229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8908">
      <w:bodyDiv w:val="1"/>
      <w:marLeft w:val="0"/>
      <w:marRight w:val="0"/>
      <w:marTop w:val="0"/>
      <w:marBottom w:val="0"/>
      <w:divBdr>
        <w:top w:val="none" w:sz="0" w:space="0" w:color="auto"/>
        <w:left w:val="none" w:sz="0" w:space="0" w:color="auto"/>
        <w:bottom w:val="none" w:sz="0" w:space="0" w:color="auto"/>
        <w:right w:val="none" w:sz="0" w:space="0" w:color="auto"/>
      </w:divBdr>
    </w:div>
    <w:div w:id="209342811">
      <w:bodyDiv w:val="1"/>
      <w:marLeft w:val="0"/>
      <w:marRight w:val="0"/>
      <w:marTop w:val="0"/>
      <w:marBottom w:val="0"/>
      <w:divBdr>
        <w:top w:val="none" w:sz="0" w:space="0" w:color="auto"/>
        <w:left w:val="none" w:sz="0" w:space="0" w:color="auto"/>
        <w:bottom w:val="none" w:sz="0" w:space="0" w:color="auto"/>
        <w:right w:val="none" w:sz="0" w:space="0" w:color="auto"/>
      </w:divBdr>
    </w:div>
    <w:div w:id="745223082">
      <w:bodyDiv w:val="1"/>
      <w:marLeft w:val="0"/>
      <w:marRight w:val="0"/>
      <w:marTop w:val="0"/>
      <w:marBottom w:val="0"/>
      <w:divBdr>
        <w:top w:val="none" w:sz="0" w:space="0" w:color="auto"/>
        <w:left w:val="none" w:sz="0" w:space="0" w:color="auto"/>
        <w:bottom w:val="none" w:sz="0" w:space="0" w:color="auto"/>
        <w:right w:val="none" w:sz="0" w:space="0" w:color="auto"/>
      </w:divBdr>
    </w:div>
    <w:div w:id="1076245962">
      <w:bodyDiv w:val="1"/>
      <w:marLeft w:val="0"/>
      <w:marRight w:val="0"/>
      <w:marTop w:val="0"/>
      <w:marBottom w:val="0"/>
      <w:divBdr>
        <w:top w:val="none" w:sz="0" w:space="0" w:color="auto"/>
        <w:left w:val="none" w:sz="0" w:space="0" w:color="auto"/>
        <w:bottom w:val="none" w:sz="0" w:space="0" w:color="auto"/>
        <w:right w:val="none" w:sz="0" w:space="0" w:color="auto"/>
      </w:divBdr>
      <w:divsChild>
        <w:div w:id="1685131400">
          <w:marLeft w:val="0"/>
          <w:marRight w:val="0"/>
          <w:marTop w:val="0"/>
          <w:marBottom w:val="0"/>
          <w:divBdr>
            <w:top w:val="none" w:sz="0" w:space="0" w:color="auto"/>
            <w:left w:val="none" w:sz="0" w:space="0" w:color="auto"/>
            <w:bottom w:val="none" w:sz="0" w:space="0" w:color="auto"/>
            <w:right w:val="none" w:sz="0" w:space="0" w:color="auto"/>
          </w:divBdr>
          <w:divsChild>
            <w:div w:id="6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067">
      <w:bodyDiv w:val="1"/>
      <w:marLeft w:val="0"/>
      <w:marRight w:val="0"/>
      <w:marTop w:val="0"/>
      <w:marBottom w:val="0"/>
      <w:divBdr>
        <w:top w:val="none" w:sz="0" w:space="0" w:color="auto"/>
        <w:left w:val="none" w:sz="0" w:space="0" w:color="auto"/>
        <w:bottom w:val="none" w:sz="0" w:space="0" w:color="auto"/>
        <w:right w:val="none" w:sz="0" w:space="0" w:color="auto"/>
      </w:divBdr>
      <w:divsChild>
        <w:div w:id="1025326707">
          <w:marLeft w:val="360"/>
          <w:marRight w:val="0"/>
          <w:marTop w:val="120"/>
          <w:marBottom w:val="120"/>
          <w:divBdr>
            <w:top w:val="none" w:sz="0" w:space="0" w:color="auto"/>
            <w:left w:val="none" w:sz="0" w:space="0" w:color="auto"/>
            <w:bottom w:val="none" w:sz="0" w:space="0" w:color="auto"/>
            <w:right w:val="none" w:sz="0" w:space="0" w:color="auto"/>
          </w:divBdr>
        </w:div>
        <w:div w:id="1048456166">
          <w:marLeft w:val="360"/>
          <w:marRight w:val="0"/>
          <w:marTop w:val="120"/>
          <w:marBottom w:val="120"/>
          <w:divBdr>
            <w:top w:val="none" w:sz="0" w:space="0" w:color="auto"/>
            <w:left w:val="none" w:sz="0" w:space="0" w:color="auto"/>
            <w:bottom w:val="none" w:sz="0" w:space="0" w:color="auto"/>
            <w:right w:val="none" w:sz="0" w:space="0" w:color="auto"/>
          </w:divBdr>
        </w:div>
      </w:divsChild>
    </w:div>
    <w:div w:id="1748115943">
      <w:bodyDiv w:val="1"/>
      <w:marLeft w:val="0"/>
      <w:marRight w:val="0"/>
      <w:marTop w:val="0"/>
      <w:marBottom w:val="0"/>
      <w:divBdr>
        <w:top w:val="none" w:sz="0" w:space="0" w:color="auto"/>
        <w:left w:val="none" w:sz="0" w:space="0" w:color="auto"/>
        <w:bottom w:val="none" w:sz="0" w:space="0" w:color="auto"/>
        <w:right w:val="none" w:sz="0" w:space="0" w:color="auto"/>
      </w:divBdr>
      <w:divsChild>
        <w:div w:id="2093622537">
          <w:marLeft w:val="331"/>
          <w:marRight w:val="0"/>
          <w:marTop w:val="0"/>
          <w:marBottom w:val="90"/>
          <w:divBdr>
            <w:top w:val="none" w:sz="0" w:space="0" w:color="auto"/>
            <w:left w:val="none" w:sz="0" w:space="0" w:color="auto"/>
            <w:bottom w:val="none" w:sz="0" w:space="0" w:color="auto"/>
            <w:right w:val="none" w:sz="0" w:space="0" w:color="auto"/>
          </w:divBdr>
        </w:div>
      </w:divsChild>
    </w:div>
    <w:div w:id="20125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ma-covid-19-vaccine-presentation-1292020/download"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mass.gov/news/baker-polito-administration-announces-covid-19-vaccine-advisory-group" TargetMode="External"/><Relationship Id="rId17" Type="http://schemas.openxmlformats.org/officeDocument/2006/relationships/hyperlink" Target="https://www.mass.gov/doc/april-8-2020-covid-19-reporting-dat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ass.gov/news/baker-polito-administration-announces-covid-19-vaccine-advisory-group" TargetMode="External"/><Relationship Id="rId20" Type="http://schemas.openxmlformats.org/officeDocument/2006/relationships/hyperlink" Target="https://www.mass.gov/doc/creative-materials-toolkit-trust-the-facts-get-the-vax/download"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SessionLaws/Acts/2022/Chapter22"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ass.gov/orgs/covid-19-health-equity-advisory-group"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mass.gov/info-details/covid-19-vaccine-equity-initiative-community-specific-vaccination-dat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mass.gov/info-details/covid-19-vaccine-equity-initiative-community-specific-vaccination-data" TargetMode="External"/><Relationship Id="rId27" Type="http://schemas.openxmlformats.org/officeDocument/2006/relationships/header" Target="head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illy1\AppData\Roaming\Microsoft\Templates\Create%20an%20Outline.dotx" TargetMode="External"/></Relationship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9" ma:contentTypeDescription="Create a new document." ma:contentTypeScope="" ma:versionID="fe7d65e697d7d198dee0ffe778345796">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6a721148e870492ccc23e9d5ca091087"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23189-40BD-42EE-9D05-8D898B456B23}">
  <ds:schemaRefs>
    <ds:schemaRef ds:uri="http://schemas.microsoft.com/sharepoint/v3/contenttype/forms"/>
  </ds:schemaRefs>
</ds:datastoreItem>
</file>

<file path=customXml/itemProps2.xml><?xml version="1.0" encoding="utf-8"?>
<ds:datastoreItem xmlns:ds="http://schemas.openxmlformats.org/officeDocument/2006/customXml" ds:itemID="{FE7D46A5-C653-4907-BE14-527AD443A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4B1B8-C738-447A-84A4-A491BA450216}">
  <ds:schemaRefs>
    <ds:schemaRef ds:uri="http://schemas.openxmlformats.org/officeDocument/2006/bibliography"/>
  </ds:schemaRefs>
</ds:datastoreItem>
</file>

<file path=customXml/itemProps4.xml><?xml version="1.0" encoding="utf-8"?>
<ds:datastoreItem xmlns:ds="http://schemas.openxmlformats.org/officeDocument/2006/customXml" ds:itemID="{4ECB5676-DB63-4399-9082-BF4C628023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Create an Outline</Template>
  <TotalTime>1</TotalTime>
  <Pages>27</Pages>
  <Words>7291</Words>
  <Characters>41564</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48758</CharactersWithSpaces>
  <SharedDoc>false</SharedDoc>
  <HLinks>
    <vt:vector size="60" baseType="variant">
      <vt:variant>
        <vt:i4>1114137</vt:i4>
      </vt:variant>
      <vt:variant>
        <vt:i4>27</vt:i4>
      </vt:variant>
      <vt:variant>
        <vt:i4>0</vt:i4>
      </vt:variant>
      <vt:variant>
        <vt:i4>5</vt:i4>
      </vt:variant>
      <vt:variant>
        <vt:lpwstr>https://www.mass.gov/info-details/covid-19-vaccine-equity-initiative-community-specific-vaccination-data</vt:lpwstr>
      </vt:variant>
      <vt:variant>
        <vt:lpwstr/>
      </vt:variant>
      <vt:variant>
        <vt:i4>1441810</vt:i4>
      </vt:variant>
      <vt:variant>
        <vt:i4>24</vt:i4>
      </vt:variant>
      <vt:variant>
        <vt:i4>0</vt:i4>
      </vt:variant>
      <vt:variant>
        <vt:i4>5</vt:i4>
      </vt:variant>
      <vt:variant>
        <vt:lpwstr>https://www.mass.gov/doc/creative-materials-toolkit-trust-the-facts-get-the-vax/download</vt:lpwstr>
      </vt:variant>
      <vt:variant>
        <vt:lpwstr/>
      </vt:variant>
      <vt:variant>
        <vt:i4>1441810</vt:i4>
      </vt:variant>
      <vt:variant>
        <vt:i4>21</vt:i4>
      </vt:variant>
      <vt:variant>
        <vt:i4>0</vt:i4>
      </vt:variant>
      <vt:variant>
        <vt:i4>5</vt:i4>
      </vt:variant>
      <vt:variant>
        <vt:lpwstr>https://www.mass.gov/doc/creative-materials-toolkit-trust-the-facts-get-the-vax/download</vt:lpwstr>
      </vt:variant>
      <vt:variant>
        <vt:lpwstr/>
      </vt:variant>
      <vt:variant>
        <vt:i4>1114137</vt:i4>
      </vt:variant>
      <vt:variant>
        <vt:i4>18</vt:i4>
      </vt:variant>
      <vt:variant>
        <vt:i4>0</vt:i4>
      </vt:variant>
      <vt:variant>
        <vt:i4>5</vt:i4>
      </vt:variant>
      <vt:variant>
        <vt:lpwstr>https://www.mass.gov/info-details/covid-19-vaccine-equity-initiative-community-specific-vaccination-data</vt:lpwstr>
      </vt:variant>
      <vt:variant>
        <vt:lpwstr/>
      </vt:variant>
      <vt:variant>
        <vt:i4>2097250</vt:i4>
      </vt:variant>
      <vt:variant>
        <vt:i4>15</vt:i4>
      </vt:variant>
      <vt:variant>
        <vt:i4>0</vt:i4>
      </vt:variant>
      <vt:variant>
        <vt:i4>5</vt:i4>
      </vt:variant>
      <vt:variant>
        <vt:lpwstr>https://www.mass.gov/info-details/covid-19-vaccine-equity-initiative-community-specific-vaccination-data</vt:lpwstr>
      </vt:variant>
      <vt:variant>
        <vt:lpwstr>covid-19-vaccine-equity-initiative-data-dashboard-</vt:lpwstr>
      </vt:variant>
      <vt:variant>
        <vt:i4>5898328</vt:i4>
      </vt:variant>
      <vt:variant>
        <vt:i4>12</vt:i4>
      </vt:variant>
      <vt:variant>
        <vt:i4>0</vt:i4>
      </vt:variant>
      <vt:variant>
        <vt:i4>5</vt:i4>
      </vt:variant>
      <vt:variant>
        <vt:lpwstr>https://www.mass.gov/doc/april-8-2020-covid-19-reporting-data</vt:lpwstr>
      </vt:variant>
      <vt:variant>
        <vt:lpwstr/>
      </vt:variant>
      <vt:variant>
        <vt:i4>7864379</vt:i4>
      </vt:variant>
      <vt:variant>
        <vt:i4>9</vt:i4>
      </vt:variant>
      <vt:variant>
        <vt:i4>0</vt:i4>
      </vt:variant>
      <vt:variant>
        <vt:i4>5</vt:i4>
      </vt:variant>
      <vt:variant>
        <vt:lpwstr>https://www.mass.gov/news/baker-polito-administration-announces-covid-19-vaccine-advisory-group</vt:lpwstr>
      </vt:variant>
      <vt:variant>
        <vt:lpwstr/>
      </vt:variant>
      <vt:variant>
        <vt:i4>7536743</vt:i4>
      </vt:variant>
      <vt:variant>
        <vt:i4>6</vt:i4>
      </vt:variant>
      <vt:variant>
        <vt:i4>0</vt:i4>
      </vt:variant>
      <vt:variant>
        <vt:i4>5</vt:i4>
      </vt:variant>
      <vt:variant>
        <vt:lpwstr>https://www.mass.gov/orgs/covid-19-health-equity-advisory-group</vt:lpwstr>
      </vt:variant>
      <vt:variant>
        <vt:lpwstr/>
      </vt:variant>
      <vt:variant>
        <vt:i4>2228258</vt:i4>
      </vt:variant>
      <vt:variant>
        <vt:i4>3</vt:i4>
      </vt:variant>
      <vt:variant>
        <vt:i4>0</vt:i4>
      </vt:variant>
      <vt:variant>
        <vt:i4>5</vt:i4>
      </vt:variant>
      <vt:variant>
        <vt:lpwstr>https://www.mass.gov/doc/ma-covid-19-vaccine-presentation-1292020/download</vt:lpwstr>
      </vt:variant>
      <vt:variant>
        <vt:lpwstr/>
      </vt:variant>
      <vt:variant>
        <vt:i4>7864379</vt:i4>
      </vt:variant>
      <vt:variant>
        <vt:i4>0</vt:i4>
      </vt:variant>
      <vt:variant>
        <vt:i4>0</vt:i4>
      </vt:variant>
      <vt:variant>
        <vt:i4>5</vt:i4>
      </vt:variant>
      <vt:variant>
        <vt:lpwstr>https://www.mass.gov/news/baker-polito-administration-announces-covid-19-vaccine-advisory-group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Katelyn (EHS)</dc:creator>
  <cp:keywords/>
  <dc:description/>
  <cp:lastModifiedBy>Stewart, Gwendolyn M (DPH)</cp:lastModifiedBy>
  <cp:revision>2</cp:revision>
  <dcterms:created xsi:type="dcterms:W3CDTF">2022-03-29T18:55:00Z</dcterms:created>
  <dcterms:modified xsi:type="dcterms:W3CDTF">2022-03-29T18:55:00Z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