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9540"/>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49C1C24A" w:rsidR="006123E4" w:rsidRPr="00BD303D" w:rsidRDefault="00900A15" w:rsidP="000A24D8">
                                          <w:pPr>
                                            <w:jc w:val="center"/>
                                            <w:rPr>
                                              <w:color w:val="36495F"/>
                                              <w:sz w:val="36"/>
                                              <w:szCs w:val="36"/>
                                            </w:rPr>
                                          </w:pPr>
                                          <w:r w:rsidRPr="00BD303D">
                                            <w:rPr>
                                              <w:b/>
                                              <w:bCs/>
                                              <w:color w:val="FF0000"/>
                                              <w:sz w:val="36"/>
                                              <w:szCs w:val="36"/>
                                            </w:rPr>
                                            <w:t>Special Notice -</w:t>
                                          </w:r>
                                          <w:r w:rsidR="00482112" w:rsidRPr="00BD303D">
                                            <w:rPr>
                                              <w:b/>
                                              <w:bCs/>
                                              <w:color w:val="FF0000"/>
                                              <w:sz w:val="36"/>
                                              <w:szCs w:val="36"/>
                                            </w:rPr>
                                            <w:t xml:space="preserve"> </w:t>
                                          </w:r>
                                          <w:r w:rsidR="00A638CB" w:rsidRPr="00BD303D">
                                            <w:rPr>
                                              <w:b/>
                                              <w:bCs/>
                                              <w:color w:val="FF0000"/>
                                              <w:sz w:val="36"/>
                                              <w:szCs w:val="36"/>
                                            </w:rPr>
                                            <w:t>4/1</w:t>
                                          </w:r>
                                          <w:r w:rsidRPr="00BD303D">
                                            <w:rPr>
                                              <w:b/>
                                              <w:bCs/>
                                              <w:color w:val="FF0000"/>
                                              <w:sz w:val="36"/>
                                              <w:szCs w:val="36"/>
                                            </w:rPr>
                                            <w:t>8</w:t>
                                          </w:r>
                                          <w:r w:rsidR="00536DA6" w:rsidRPr="00BD303D">
                                            <w:rPr>
                                              <w:b/>
                                              <w:bCs/>
                                              <w:color w:val="FF0000"/>
                                              <w:sz w:val="36"/>
                                              <w:szCs w:val="36"/>
                                            </w:rPr>
                                            <w:t>/202</w:t>
                                          </w:r>
                                          <w:r w:rsidR="0043562F" w:rsidRPr="00BD303D">
                                            <w:rPr>
                                              <w:b/>
                                              <w:bCs/>
                                              <w:color w:val="FF0000"/>
                                              <w:sz w:val="36"/>
                                              <w:szCs w:val="36"/>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11DB34EC" w14:textId="4D51B97C" w:rsidR="00B875F4" w:rsidRDefault="00B875F4" w:rsidP="006123E4">
                                    <w:pPr>
                                      <w:rPr>
                                        <w:b/>
                                        <w:bCs/>
                                        <w:color w:val="002060"/>
                                        <w:sz w:val="24"/>
                                        <w:szCs w:val="24"/>
                                      </w:rPr>
                                    </w:pPr>
                                  </w:p>
                                  <w:p w14:paraId="67B46A38" w14:textId="66417DF9" w:rsidR="009327CC" w:rsidRPr="009D0C7C" w:rsidRDefault="00816B4E" w:rsidP="009D0C7C">
                                    <w:pPr>
                                      <w:jc w:val="center"/>
                                      <w:rPr>
                                        <w:b/>
                                        <w:bCs/>
                                        <w:color w:val="FF0000"/>
                                        <w:sz w:val="40"/>
                                        <w:szCs w:val="40"/>
                                      </w:rPr>
                                    </w:pPr>
                                    <w:r w:rsidRPr="009D0C7C">
                                      <w:rPr>
                                        <w:b/>
                                        <w:bCs/>
                                        <w:color w:val="FF0000"/>
                                        <w:sz w:val="40"/>
                                        <w:szCs w:val="40"/>
                                      </w:rPr>
                                      <w:t>Monovalent Moderna and Pfizer COVID-19 vaccines are no longer authorized for use in the United States</w:t>
                                    </w:r>
                                  </w:p>
                                  <w:p w14:paraId="0296BFF6" w14:textId="5FBB1DF9" w:rsidR="008177E0" w:rsidRDefault="008177E0" w:rsidP="00AF7481">
                                    <w:pPr>
                                      <w:jc w:val="center"/>
                                      <w:rPr>
                                        <w:sz w:val="21"/>
                                        <w:szCs w:val="21"/>
                                      </w:rPr>
                                    </w:pPr>
                                    <w:bookmarkStart w:id="0" w:name="covidvaccineopsgudie"/>
                                    <w:bookmarkEnd w:id="0"/>
                                  </w:p>
                                  <w:p w14:paraId="23F4A1CB" w14:textId="77777777" w:rsidR="004345EC" w:rsidRPr="00E13904" w:rsidRDefault="00900A15" w:rsidP="008177E0">
                                    <w:pPr>
                                      <w:rPr>
                                        <w:sz w:val="24"/>
                                        <w:szCs w:val="24"/>
                                      </w:rPr>
                                    </w:pPr>
                                    <w:r w:rsidRPr="00E13904">
                                      <w:rPr>
                                        <w:sz w:val="24"/>
                                        <w:szCs w:val="24"/>
                                      </w:rPr>
                                      <w:t xml:space="preserve">Today, the U.S. Food and Drug Administration </w:t>
                                    </w:r>
                                    <w:hyperlink r:id="rId7" w:history="1">
                                      <w:r w:rsidRPr="00E13904">
                                        <w:rPr>
                                          <w:rStyle w:val="Hyperlink"/>
                                          <w:sz w:val="24"/>
                                          <w:szCs w:val="24"/>
                                        </w:rPr>
                                        <w:t>amended the emergency use authorizations</w:t>
                                      </w:r>
                                    </w:hyperlink>
                                    <w:r w:rsidRPr="00E13904">
                                      <w:rPr>
                                        <w:sz w:val="24"/>
                                        <w:szCs w:val="24"/>
                                      </w:rPr>
                                      <w:t xml:space="preserve"> (EUAs) of the Moderna and Pfizer</w:t>
                                    </w:r>
                                    <w:r w:rsidR="006E392E" w:rsidRPr="00E13904">
                                      <w:rPr>
                                        <w:sz w:val="24"/>
                                        <w:szCs w:val="24"/>
                                      </w:rPr>
                                      <w:t xml:space="preserve"> </w:t>
                                    </w:r>
                                    <w:r w:rsidRPr="00E13904">
                                      <w:rPr>
                                        <w:sz w:val="24"/>
                                        <w:szCs w:val="24"/>
                                      </w:rPr>
                                      <w:t>COVID-19 bivalent mRNA vaccines</w:t>
                                    </w:r>
                                    <w:r w:rsidR="006E392E" w:rsidRPr="00E13904">
                                      <w:rPr>
                                        <w:sz w:val="24"/>
                                        <w:szCs w:val="24"/>
                                      </w:rPr>
                                      <w:t>.</w:t>
                                    </w:r>
                                    <w:r w:rsidRPr="00E13904">
                                      <w:rPr>
                                        <w:sz w:val="24"/>
                                        <w:szCs w:val="24"/>
                                      </w:rPr>
                                      <w:t xml:space="preserve"> </w:t>
                                    </w:r>
                                  </w:p>
                                  <w:p w14:paraId="5776AF4A" w14:textId="77777777" w:rsidR="004345EC" w:rsidRPr="00E13904" w:rsidRDefault="004345EC" w:rsidP="008177E0">
                                    <w:pPr>
                                      <w:rPr>
                                        <w:sz w:val="24"/>
                                        <w:szCs w:val="24"/>
                                      </w:rPr>
                                    </w:pPr>
                                  </w:p>
                                  <w:p w14:paraId="41C36C94" w14:textId="755889CF" w:rsidR="005A6C18" w:rsidRDefault="006E392E" w:rsidP="008177E0">
                                    <w:pPr>
                                      <w:rPr>
                                        <w:color w:val="FF0000"/>
                                        <w:sz w:val="24"/>
                                        <w:szCs w:val="24"/>
                                      </w:rPr>
                                    </w:pPr>
                                    <w:r w:rsidRPr="00E13904">
                                      <w:rPr>
                                        <w:b/>
                                        <w:bCs/>
                                        <w:sz w:val="24"/>
                                        <w:szCs w:val="24"/>
                                      </w:rPr>
                                      <w:t>The monovalent Moderna and Pfizer-BioNTech COVID-19 vaccines are no longer authorized for use in the United States.</w:t>
                                    </w:r>
                                    <w:r w:rsidR="00ED33A6" w:rsidRPr="00E13904">
                                      <w:rPr>
                                        <w:b/>
                                        <w:bCs/>
                                        <w:sz w:val="24"/>
                                        <w:szCs w:val="24"/>
                                      </w:rPr>
                                      <w:t xml:space="preserve"> </w:t>
                                    </w:r>
                                    <w:r w:rsidR="00ED33A6" w:rsidRPr="00E13904">
                                      <w:rPr>
                                        <w:color w:val="FF0000"/>
                                        <w:sz w:val="24"/>
                                        <w:szCs w:val="24"/>
                                      </w:rPr>
                                      <w:t xml:space="preserve">Administration of </w:t>
                                    </w:r>
                                    <w:r w:rsidR="005A6C18" w:rsidRPr="00E13904">
                                      <w:rPr>
                                        <w:color w:val="FF0000"/>
                                        <w:sz w:val="24"/>
                                        <w:szCs w:val="24"/>
                                      </w:rPr>
                                      <w:t xml:space="preserve">monovalent </w:t>
                                    </w:r>
                                    <w:r w:rsidR="002909BE" w:rsidRPr="00E13904">
                                      <w:rPr>
                                        <w:color w:val="FF0000"/>
                                        <w:sz w:val="24"/>
                                        <w:szCs w:val="24"/>
                                      </w:rPr>
                                      <w:t xml:space="preserve">Moderna and Pfizer-BioNTech </w:t>
                                    </w:r>
                                    <w:r w:rsidR="005A6C18" w:rsidRPr="00E13904">
                                      <w:rPr>
                                        <w:color w:val="FF0000"/>
                                        <w:sz w:val="24"/>
                                        <w:szCs w:val="24"/>
                                      </w:rPr>
                                      <w:t>COVID-19 vaccines must</w:t>
                                    </w:r>
                                    <w:r w:rsidR="00ED33A6" w:rsidRPr="00E13904">
                                      <w:rPr>
                                        <w:color w:val="FF0000"/>
                                        <w:sz w:val="24"/>
                                        <w:szCs w:val="24"/>
                                      </w:rPr>
                                      <w:t xml:space="preserve"> stop immediately.</w:t>
                                    </w:r>
                                  </w:p>
                                  <w:p w14:paraId="60ABB160" w14:textId="35C08E5C" w:rsidR="00DF6417" w:rsidRDefault="00DF6417" w:rsidP="008177E0">
                                    <w:pPr>
                                      <w:rPr>
                                        <w:color w:val="FF0000"/>
                                        <w:sz w:val="24"/>
                                        <w:szCs w:val="24"/>
                                      </w:rPr>
                                    </w:pPr>
                                  </w:p>
                                  <w:p w14:paraId="37223B23" w14:textId="181FCD57" w:rsidR="00DF6417" w:rsidRPr="009A4DB1" w:rsidRDefault="00DF6417" w:rsidP="00DF6417">
                                    <w:pPr>
                                      <w:rPr>
                                        <w:color w:val="FF0000"/>
                                        <w:sz w:val="24"/>
                                        <w:szCs w:val="24"/>
                                      </w:rPr>
                                    </w:pPr>
                                    <w:r w:rsidRPr="009A4DB1">
                                      <w:rPr>
                                        <w:color w:val="FF0000"/>
                                        <w:sz w:val="24"/>
                                        <w:szCs w:val="24"/>
                                      </w:rPr>
                                      <w:t>Monovalent COVID-19 vaccine is no longer available for ordering in the MIIS. All outstanding orders in the MIIS have been canceled. Further instructions on processing wastage will be forthcoming.</w:t>
                                    </w:r>
                                  </w:p>
                                  <w:p w14:paraId="507309BF" w14:textId="4270A329" w:rsidR="00A62473" w:rsidRPr="00E13904" w:rsidRDefault="00A62473" w:rsidP="008177E0">
                                    <w:pPr>
                                      <w:rPr>
                                        <w:color w:val="FF0000"/>
                                        <w:sz w:val="24"/>
                                        <w:szCs w:val="24"/>
                                      </w:rPr>
                                    </w:pPr>
                                  </w:p>
                                  <w:p w14:paraId="76303295" w14:textId="0FF4D382" w:rsidR="00A62473" w:rsidRPr="00E13904" w:rsidRDefault="00A62473" w:rsidP="008177E0">
                                    <w:pPr>
                                      <w:rPr>
                                        <w:b/>
                                        <w:bCs/>
                                        <w:sz w:val="24"/>
                                        <w:szCs w:val="24"/>
                                      </w:rPr>
                                    </w:pPr>
                                    <w:r w:rsidRPr="00E13904">
                                      <w:rPr>
                                        <w:b/>
                                        <w:bCs/>
                                        <w:sz w:val="24"/>
                                        <w:szCs w:val="24"/>
                                      </w:rPr>
                                      <w:t>ACIP is meeting tomorrow, April 19</w:t>
                                    </w:r>
                                    <w:r w:rsidRPr="00E13904">
                                      <w:rPr>
                                        <w:sz w:val="24"/>
                                        <w:szCs w:val="24"/>
                                      </w:rPr>
                                      <w:t xml:space="preserve">. We expect </w:t>
                                    </w:r>
                                    <w:r w:rsidR="00424E8C" w:rsidRPr="00E13904">
                                      <w:rPr>
                                        <w:sz w:val="24"/>
                                        <w:szCs w:val="24"/>
                                      </w:rPr>
                                      <w:t>significant more detail and clinical guidance following that meeting.</w:t>
                                    </w:r>
                                    <w:r w:rsidR="00EC6F01" w:rsidRPr="00E13904">
                                      <w:rPr>
                                        <w:sz w:val="24"/>
                                        <w:szCs w:val="24"/>
                                      </w:rPr>
                                      <w:t xml:space="preserve"> We will follow up with a</w:t>
                                    </w:r>
                                    <w:r w:rsidR="004D6473" w:rsidRPr="00E13904">
                                      <w:rPr>
                                        <w:sz w:val="24"/>
                                        <w:szCs w:val="24"/>
                                      </w:rPr>
                                      <w:t xml:space="preserve"> more detailed Provider Bulletin as quickly as we can.</w:t>
                                    </w:r>
                                  </w:p>
                                  <w:p w14:paraId="2C72F960" w14:textId="77777777" w:rsidR="006E392E" w:rsidRPr="00E13904" w:rsidRDefault="006E392E" w:rsidP="008177E0">
                                    <w:pPr>
                                      <w:rPr>
                                        <w:sz w:val="24"/>
                                        <w:szCs w:val="24"/>
                                      </w:rPr>
                                    </w:pPr>
                                  </w:p>
                                  <w:p w14:paraId="73286B99" w14:textId="7D74481A" w:rsidR="00FA3719" w:rsidRPr="00E13904" w:rsidRDefault="00AA46AD" w:rsidP="008177E0">
                                    <w:pPr>
                                      <w:rPr>
                                        <w:sz w:val="24"/>
                                        <w:szCs w:val="24"/>
                                      </w:rPr>
                                    </w:pPr>
                                    <w:r w:rsidRPr="00E13904">
                                      <w:rPr>
                                        <w:sz w:val="24"/>
                                        <w:szCs w:val="24"/>
                                      </w:rPr>
                                      <w:t>What we know</w:t>
                                    </w:r>
                                    <w:r w:rsidR="007373C8" w:rsidRPr="00E13904">
                                      <w:rPr>
                                        <w:sz w:val="24"/>
                                        <w:szCs w:val="24"/>
                                      </w:rPr>
                                      <w:t xml:space="preserve"> at present</w:t>
                                    </w:r>
                                    <w:r w:rsidR="00FA3719" w:rsidRPr="00E13904">
                                      <w:rPr>
                                        <w:sz w:val="24"/>
                                        <w:szCs w:val="24"/>
                                      </w:rPr>
                                      <w:t>:</w:t>
                                    </w:r>
                                  </w:p>
                                  <w:p w14:paraId="433D0AB6" w14:textId="0B8D904E" w:rsidR="00531AC6" w:rsidRPr="00E13904" w:rsidRDefault="00620FA4" w:rsidP="00531AC6">
                                    <w:pPr>
                                      <w:pStyle w:val="ListParagraph"/>
                                      <w:numPr>
                                        <w:ilvl w:val="0"/>
                                        <w:numId w:val="131"/>
                                      </w:numPr>
                                      <w:rPr>
                                        <w:sz w:val="24"/>
                                        <w:szCs w:val="24"/>
                                      </w:rPr>
                                    </w:pPr>
                                    <w:r w:rsidRPr="00E13904">
                                      <w:rPr>
                                        <w:sz w:val="24"/>
                                        <w:szCs w:val="24"/>
                                      </w:rPr>
                                      <w:t xml:space="preserve">Following the FDA’s actions, as clinicians we wait for </w:t>
                                    </w:r>
                                    <w:r w:rsidR="00CE66ED" w:rsidRPr="00E13904">
                                      <w:rPr>
                                        <w:sz w:val="24"/>
                                        <w:szCs w:val="24"/>
                                      </w:rPr>
                                      <w:t xml:space="preserve">approval from the CDC Director to </w:t>
                                    </w:r>
                                    <w:r w:rsidR="00BB7BBF" w:rsidRPr="00E13904">
                                      <w:rPr>
                                        <w:sz w:val="24"/>
                                        <w:szCs w:val="24"/>
                                      </w:rPr>
                                      <w:t>inform the clinical guidance</w:t>
                                    </w:r>
                                    <w:r w:rsidR="00BA0488" w:rsidRPr="00E13904">
                                      <w:rPr>
                                        <w:sz w:val="24"/>
                                        <w:szCs w:val="24"/>
                                      </w:rPr>
                                      <w:t xml:space="preserve"> and our clinical actions</w:t>
                                    </w:r>
                                    <w:r w:rsidR="00531AC6" w:rsidRPr="00E13904">
                                      <w:rPr>
                                        <w:sz w:val="24"/>
                                        <w:szCs w:val="24"/>
                                      </w:rPr>
                                      <w:t>.</w:t>
                                    </w:r>
                                  </w:p>
                                  <w:p w14:paraId="333CF34E" w14:textId="6BCB2F08" w:rsidR="00531AC6" w:rsidRPr="00E13904" w:rsidRDefault="004345EC" w:rsidP="00531AC6">
                                    <w:pPr>
                                      <w:pStyle w:val="ListParagraph"/>
                                      <w:numPr>
                                        <w:ilvl w:val="0"/>
                                        <w:numId w:val="131"/>
                                      </w:numPr>
                                      <w:rPr>
                                        <w:sz w:val="24"/>
                                        <w:szCs w:val="24"/>
                                      </w:rPr>
                                    </w:pPr>
                                    <w:r w:rsidRPr="00E13904">
                                      <w:rPr>
                                        <w:sz w:val="24"/>
                                        <w:szCs w:val="24"/>
                                      </w:rPr>
                                      <w:t xml:space="preserve">The FDA action is meant </w:t>
                                    </w:r>
                                    <w:r w:rsidR="00900A15" w:rsidRPr="00E13904">
                                      <w:rPr>
                                        <w:sz w:val="24"/>
                                        <w:szCs w:val="24"/>
                                      </w:rPr>
                                      <w:t>to simplify the vaccination schedule for most individuals</w:t>
                                    </w:r>
                                    <w:r w:rsidR="00531AC6" w:rsidRPr="00E13904">
                                      <w:rPr>
                                        <w:sz w:val="24"/>
                                        <w:szCs w:val="24"/>
                                      </w:rPr>
                                      <w:t xml:space="preserve">. </w:t>
                                    </w:r>
                                  </w:p>
                                  <w:p w14:paraId="6CD840DC" w14:textId="69CF3071" w:rsidR="00480809" w:rsidRPr="00E13904" w:rsidRDefault="00480809" w:rsidP="00480809">
                                    <w:pPr>
                                      <w:rPr>
                                        <w:sz w:val="24"/>
                                        <w:szCs w:val="24"/>
                                      </w:rPr>
                                    </w:pPr>
                                  </w:p>
                                  <w:p w14:paraId="315FB4FA" w14:textId="76DF6955" w:rsidR="007F1507" w:rsidRPr="00E13904" w:rsidRDefault="000E10DA" w:rsidP="007F1507">
                                    <w:pPr>
                                      <w:rPr>
                                        <w:sz w:val="24"/>
                                        <w:szCs w:val="24"/>
                                      </w:rPr>
                                    </w:pPr>
                                    <w:r w:rsidRPr="00E13904">
                                      <w:rPr>
                                        <w:sz w:val="24"/>
                                        <w:szCs w:val="24"/>
                                      </w:rPr>
                                      <w:t>P</w:t>
                                    </w:r>
                                    <w:r w:rsidR="00480809" w:rsidRPr="00E13904">
                                      <w:rPr>
                                        <w:sz w:val="24"/>
                                        <w:szCs w:val="24"/>
                                      </w:rPr>
                                      <w:t xml:space="preserve">ending </w:t>
                                    </w:r>
                                    <w:r w:rsidR="0068294E" w:rsidRPr="00E13904">
                                      <w:rPr>
                                        <w:sz w:val="24"/>
                                        <w:szCs w:val="24"/>
                                      </w:rPr>
                                      <w:t xml:space="preserve">recommendation by ACIP and approval </w:t>
                                    </w:r>
                                    <w:r w:rsidR="00480809" w:rsidRPr="00E13904">
                                      <w:rPr>
                                        <w:sz w:val="24"/>
                                        <w:szCs w:val="24"/>
                                      </w:rPr>
                                      <w:t xml:space="preserve">by </w:t>
                                    </w:r>
                                    <w:r w:rsidR="0068294E" w:rsidRPr="00E13904">
                                      <w:rPr>
                                        <w:sz w:val="24"/>
                                        <w:szCs w:val="24"/>
                                      </w:rPr>
                                      <w:t xml:space="preserve">the </w:t>
                                    </w:r>
                                    <w:r w:rsidR="00480809" w:rsidRPr="00E13904">
                                      <w:rPr>
                                        <w:sz w:val="24"/>
                                        <w:szCs w:val="24"/>
                                      </w:rPr>
                                      <w:t>CDC</w:t>
                                    </w:r>
                                    <w:r w:rsidR="0068294E" w:rsidRPr="00E13904">
                                      <w:rPr>
                                        <w:sz w:val="24"/>
                                        <w:szCs w:val="24"/>
                                      </w:rPr>
                                      <w:t xml:space="preserve">, </w:t>
                                    </w:r>
                                    <w:r w:rsidR="000246B2" w:rsidRPr="00E13904">
                                      <w:rPr>
                                        <w:sz w:val="24"/>
                                        <w:szCs w:val="24"/>
                                      </w:rPr>
                                      <w:t xml:space="preserve">today’s </w:t>
                                    </w:r>
                                    <w:r w:rsidR="0068294E" w:rsidRPr="00E13904">
                                      <w:rPr>
                                        <w:sz w:val="24"/>
                                        <w:szCs w:val="24"/>
                                      </w:rPr>
                                      <w:t xml:space="preserve">FDA </w:t>
                                    </w:r>
                                    <w:r w:rsidR="00D511AB" w:rsidRPr="00E13904">
                                      <w:rPr>
                                        <w:sz w:val="24"/>
                                        <w:szCs w:val="24"/>
                                      </w:rPr>
                                      <w:t>authoriz</w:t>
                                    </w:r>
                                    <w:r w:rsidR="00907CC0" w:rsidRPr="00E13904">
                                      <w:rPr>
                                        <w:sz w:val="24"/>
                                        <w:szCs w:val="24"/>
                                      </w:rPr>
                                      <w:t>ation includes:</w:t>
                                    </w:r>
                                  </w:p>
                                  <w:p w14:paraId="3FAEAED1" w14:textId="77777777" w:rsidR="007F1507" w:rsidRPr="00E13904" w:rsidRDefault="007F1507" w:rsidP="007F1507">
                                    <w:pPr>
                                      <w:numPr>
                                        <w:ilvl w:val="0"/>
                                        <w:numId w:val="132"/>
                                      </w:numPr>
                                      <w:rPr>
                                        <w:sz w:val="24"/>
                                        <w:szCs w:val="24"/>
                                      </w:rPr>
                                    </w:pPr>
                                    <w:r w:rsidRPr="00E13904">
                                      <w:rPr>
                                        <w:b/>
                                        <w:bCs/>
                                        <w:sz w:val="24"/>
                                        <w:szCs w:val="24"/>
                                      </w:rPr>
                                      <w:t>Most individuals, depending on age, previously vaccinated with a monovalent COVID-19 vaccine</w:t>
                                    </w:r>
                                    <w:r w:rsidRPr="00E13904">
                                      <w:rPr>
                                        <w:sz w:val="24"/>
                                        <w:szCs w:val="24"/>
                                      </w:rPr>
                                      <w:t> who have not yet received a dose of a bivalent vaccine may receive a single dose of a bivalent vaccine. </w:t>
                                    </w:r>
                                  </w:p>
                                  <w:p w14:paraId="2B755328" w14:textId="77777777" w:rsidR="007F1507" w:rsidRPr="00E13904" w:rsidRDefault="007F1507" w:rsidP="007F1507">
                                    <w:pPr>
                                      <w:numPr>
                                        <w:ilvl w:val="0"/>
                                        <w:numId w:val="132"/>
                                      </w:numPr>
                                      <w:rPr>
                                        <w:sz w:val="24"/>
                                        <w:szCs w:val="24"/>
                                      </w:rPr>
                                    </w:pPr>
                                    <w:r w:rsidRPr="00E13904">
                                      <w:rPr>
                                        <w:b/>
                                        <w:bCs/>
                                        <w:sz w:val="24"/>
                                        <w:szCs w:val="24"/>
                                      </w:rPr>
                                      <w:t>Most individuals who have already received a single dose of the bivalent vaccine</w:t>
                                    </w:r>
                                    <w:r w:rsidRPr="00E13904">
                                      <w:rPr>
                                        <w:sz w:val="24"/>
                                        <w:szCs w:val="24"/>
                                      </w:rPr>
                                      <w:t> are not currently eligible for another dose. The FDA intends to make decisions about future vaccination after receiving recommendations on the fall strain composition at an FDA advisory committee in June.</w:t>
                                    </w:r>
                                  </w:p>
                                  <w:p w14:paraId="4F03E718" w14:textId="77777777" w:rsidR="007F1507" w:rsidRPr="00E13904" w:rsidRDefault="007F1507" w:rsidP="007F1507">
                                    <w:pPr>
                                      <w:numPr>
                                        <w:ilvl w:val="0"/>
                                        <w:numId w:val="132"/>
                                      </w:numPr>
                                      <w:rPr>
                                        <w:sz w:val="24"/>
                                        <w:szCs w:val="24"/>
                                      </w:rPr>
                                    </w:pPr>
                                    <w:r w:rsidRPr="00E13904">
                                      <w:rPr>
                                        <w:b/>
                                        <w:bCs/>
                                        <w:sz w:val="24"/>
                                        <w:szCs w:val="24"/>
                                      </w:rPr>
                                      <w:t>Individuals 65 years of age and older who have received a single dose of a bivalent vaccine</w:t>
                                    </w:r>
                                    <w:r w:rsidRPr="00E13904">
                                      <w:rPr>
                                        <w:sz w:val="24"/>
                                        <w:szCs w:val="24"/>
                                      </w:rPr>
                                      <w:t> may receive one additional dose at least four months following their initial bivalent dose. </w:t>
                                    </w:r>
                                  </w:p>
                                  <w:p w14:paraId="63C55B15" w14:textId="77777777" w:rsidR="007F1507" w:rsidRPr="00E13904" w:rsidRDefault="007F1507" w:rsidP="007F1507">
                                    <w:pPr>
                                      <w:numPr>
                                        <w:ilvl w:val="0"/>
                                        <w:numId w:val="132"/>
                                      </w:numPr>
                                      <w:rPr>
                                        <w:sz w:val="24"/>
                                        <w:szCs w:val="24"/>
                                      </w:rPr>
                                    </w:pPr>
                                    <w:r w:rsidRPr="00E13904">
                                      <w:rPr>
                                        <w:b/>
                                        <w:bCs/>
                                        <w:sz w:val="24"/>
                                        <w:szCs w:val="24"/>
                                      </w:rPr>
                                      <w:lastRenderedPageBreak/>
                                      <w:t>Most individuals with certain kinds of immunocompromise who have received a bivalent COVID-19 vaccine</w:t>
                                    </w:r>
                                    <w:r w:rsidRPr="00E13904">
                                      <w:rPr>
                                        <w:sz w:val="24"/>
                                        <w:szCs w:val="24"/>
                                      </w:rPr>
                                      <w:t> may receive a single additional dose of a bivalent COVID-19 vaccine at least 2 months following a dose of a bivalent COVID-19 vaccine, and additional doses may be administered at the discretion of, and at intervals determined by, their healthcare provider. However, for immunocompromised individuals 6 months through 4 years of age, eligibility for additional doses will depend on the vaccine previously received. </w:t>
                                    </w:r>
                                  </w:p>
                                  <w:p w14:paraId="25442CE4" w14:textId="77777777" w:rsidR="007F1507" w:rsidRPr="00E13904" w:rsidRDefault="007F1507" w:rsidP="007F1507">
                                    <w:pPr>
                                      <w:numPr>
                                        <w:ilvl w:val="0"/>
                                        <w:numId w:val="132"/>
                                      </w:numPr>
                                      <w:rPr>
                                        <w:sz w:val="24"/>
                                        <w:szCs w:val="24"/>
                                      </w:rPr>
                                    </w:pPr>
                                    <w:r w:rsidRPr="00E13904">
                                      <w:rPr>
                                        <w:b/>
                                        <w:bCs/>
                                        <w:sz w:val="24"/>
                                        <w:szCs w:val="24"/>
                                      </w:rPr>
                                      <w:t>Most unvaccinated individuals</w:t>
                                    </w:r>
                                    <w:r w:rsidRPr="00E13904">
                                      <w:rPr>
                                        <w:sz w:val="24"/>
                                        <w:szCs w:val="24"/>
                                      </w:rPr>
                                      <w:t> may receive a single dose of a bivalent vaccine, rather than multiple doses of the original monovalent mRNA vaccines. </w:t>
                                    </w:r>
                                  </w:p>
                                  <w:p w14:paraId="437AEEC2" w14:textId="77777777" w:rsidR="007F1507" w:rsidRPr="00E13904" w:rsidRDefault="007F1507" w:rsidP="007F1507">
                                    <w:pPr>
                                      <w:numPr>
                                        <w:ilvl w:val="0"/>
                                        <w:numId w:val="132"/>
                                      </w:numPr>
                                      <w:rPr>
                                        <w:sz w:val="24"/>
                                        <w:szCs w:val="24"/>
                                      </w:rPr>
                                    </w:pPr>
                                    <w:r w:rsidRPr="00E13904">
                                      <w:rPr>
                                        <w:b/>
                                        <w:bCs/>
                                        <w:sz w:val="24"/>
                                        <w:szCs w:val="24"/>
                                      </w:rPr>
                                      <w:t>Children 6 months through 5 years of age who are unvaccinated</w:t>
                                    </w:r>
                                    <w:r w:rsidRPr="00E13904">
                                      <w:rPr>
                                        <w:sz w:val="24"/>
                                        <w:szCs w:val="24"/>
                                      </w:rPr>
                                      <w:t> may receive a two-dose series of the Moderna bivalent vaccine (6 months through 5 years of age) OR a three-dose series of the Pfizer-BioNTech bivalent vaccine (6 months through 4 years of age). Children who are 5 years of age may receive two doses of the Moderna bivalent vaccine or a single dose of the Pfizer-BioNTech bivalent vaccine. </w:t>
                                    </w:r>
                                  </w:p>
                                  <w:p w14:paraId="5E2670B3" w14:textId="77777777" w:rsidR="007F1507" w:rsidRPr="00E13904" w:rsidRDefault="007F1507" w:rsidP="007F1507">
                                    <w:pPr>
                                      <w:numPr>
                                        <w:ilvl w:val="0"/>
                                        <w:numId w:val="132"/>
                                      </w:numPr>
                                      <w:rPr>
                                        <w:sz w:val="24"/>
                                        <w:szCs w:val="24"/>
                                      </w:rPr>
                                    </w:pPr>
                                    <w:r w:rsidRPr="00E13904">
                                      <w:rPr>
                                        <w:b/>
                                        <w:bCs/>
                                        <w:sz w:val="24"/>
                                        <w:szCs w:val="24"/>
                                      </w:rPr>
                                      <w:t>Children 6 months through 5 years of age who have received one, two or three doses of a monovalent COVID-19 vaccine</w:t>
                                    </w:r>
                                    <w:r w:rsidRPr="00E13904">
                                      <w:rPr>
                                        <w:sz w:val="24"/>
                                        <w:szCs w:val="24"/>
                                      </w:rPr>
                                      <w:t> may receive a bivalent vaccine, but the number of doses that they receive will depend on the vaccine and their vaccination history.</w:t>
                                    </w:r>
                                  </w:p>
                                  <w:p w14:paraId="4C824C39" w14:textId="77777777" w:rsidR="00480809" w:rsidRPr="00480809" w:rsidRDefault="00480809" w:rsidP="00480809">
                                    <w:pPr>
                                      <w:rPr>
                                        <w:sz w:val="21"/>
                                        <w:szCs w:val="21"/>
                                      </w:rPr>
                                    </w:pPr>
                                  </w:p>
                                  <w:p w14:paraId="19DF7709" w14:textId="3B718E1F" w:rsidR="00100FCD" w:rsidRDefault="00100FCD" w:rsidP="00C41364">
                                    <w:pPr>
                                      <w:rPr>
                                        <w:rFonts w:asciiTheme="minorHAnsi" w:hAnsiTheme="minorHAnsi" w:cstheme="minorHAnsi"/>
                                        <w:color w:val="000000"/>
                                        <w:sz w:val="21"/>
                                        <w:szCs w:val="21"/>
                                      </w:rPr>
                                    </w:pPr>
                                  </w:p>
                                  <w:p w14:paraId="35009939" w14:textId="1723EB29" w:rsidR="005E0133" w:rsidRDefault="005E0133" w:rsidP="00AD7FF5">
                                    <w:pPr>
                                      <w:rPr>
                                        <w:b/>
                                        <w:bCs/>
                                        <w:color w:val="002060"/>
                                        <w:sz w:val="24"/>
                                        <w:szCs w:val="24"/>
                                      </w:rPr>
                                    </w:pP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5431ECCF" w14:textId="77777777" w:rsidR="00990DC0" w:rsidRDefault="00990DC0"/>
                                  <w:p w14:paraId="715E1A2A" w14:textId="77777777" w:rsidR="00536DA6" w:rsidRDefault="00536DA6" w:rsidP="00AF7481">
                                    <w:pP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240"/>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19382F90" w14:textId="77777777" w:rsidR="00536DA6" w:rsidRDefault="00536DA6" w:rsidP="00C41364">
                                    <w:pPr>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5"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6"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4"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1858E4"/>
    <w:multiLevelType w:val="multilevel"/>
    <w:tmpl w:val="F9BA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4"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BB7FDC"/>
    <w:multiLevelType w:val="hybridMultilevel"/>
    <w:tmpl w:val="8632C20A"/>
    <w:lvl w:ilvl="0" w:tplc="64208D26">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5"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58"/>
  </w:num>
  <w:num w:numId="3">
    <w:abstractNumId w:val="25"/>
  </w:num>
  <w:num w:numId="4">
    <w:abstractNumId w:val="34"/>
  </w:num>
  <w:num w:numId="5">
    <w:abstractNumId w:val="63"/>
  </w:num>
  <w:num w:numId="6">
    <w:abstractNumId w:val="13"/>
  </w:num>
  <w:num w:numId="7">
    <w:abstractNumId w:val="76"/>
  </w:num>
  <w:num w:numId="8">
    <w:abstractNumId w:val="121"/>
  </w:num>
  <w:num w:numId="9">
    <w:abstractNumId w:val="42"/>
  </w:num>
  <w:num w:numId="10">
    <w:abstractNumId w:val="91"/>
  </w:num>
  <w:num w:numId="11">
    <w:abstractNumId w:val="78"/>
  </w:num>
  <w:num w:numId="12">
    <w:abstractNumId w:val="1"/>
  </w:num>
  <w:num w:numId="13">
    <w:abstractNumId w:val="59"/>
  </w:num>
  <w:num w:numId="14">
    <w:abstractNumId w:val="45"/>
  </w:num>
  <w:num w:numId="15">
    <w:abstractNumId w:val="22"/>
  </w:num>
  <w:num w:numId="16">
    <w:abstractNumId w:val="44"/>
  </w:num>
  <w:num w:numId="17">
    <w:abstractNumId w:val="116"/>
  </w:num>
  <w:num w:numId="18">
    <w:abstractNumId w:val="38"/>
  </w:num>
  <w:num w:numId="19">
    <w:abstractNumId w:val="56"/>
  </w:num>
  <w:num w:numId="20">
    <w:abstractNumId w:val="5"/>
  </w:num>
  <w:num w:numId="21">
    <w:abstractNumId w:val="79"/>
  </w:num>
  <w:num w:numId="22">
    <w:abstractNumId w:val="39"/>
  </w:num>
  <w:num w:numId="23">
    <w:abstractNumId w:val="127"/>
  </w:num>
  <w:num w:numId="24">
    <w:abstractNumId w:val="47"/>
  </w:num>
  <w:num w:numId="25">
    <w:abstractNumId w:val="103"/>
  </w:num>
  <w:num w:numId="26">
    <w:abstractNumId w:val="10"/>
  </w:num>
  <w:num w:numId="27">
    <w:abstractNumId w:val="95"/>
  </w:num>
  <w:num w:numId="28">
    <w:abstractNumId w:val="126"/>
  </w:num>
  <w:num w:numId="29">
    <w:abstractNumId w:val="86"/>
  </w:num>
  <w:num w:numId="30">
    <w:abstractNumId w:val="130"/>
  </w:num>
  <w:num w:numId="31">
    <w:abstractNumId w:val="6"/>
  </w:num>
  <w:num w:numId="32">
    <w:abstractNumId w:val="119"/>
  </w:num>
  <w:num w:numId="33">
    <w:abstractNumId w:val="40"/>
  </w:num>
  <w:num w:numId="34">
    <w:abstractNumId w:val="11"/>
  </w:num>
  <w:num w:numId="35">
    <w:abstractNumId w:val="92"/>
  </w:num>
  <w:num w:numId="36">
    <w:abstractNumId w:val="83"/>
  </w:num>
  <w:num w:numId="37">
    <w:abstractNumId w:val="85"/>
  </w:num>
  <w:num w:numId="38">
    <w:abstractNumId w:val="50"/>
  </w:num>
  <w:num w:numId="39">
    <w:abstractNumId w:val="2"/>
  </w:num>
  <w:num w:numId="40">
    <w:abstractNumId w:val="3"/>
  </w:num>
  <w:num w:numId="41">
    <w:abstractNumId w:val="3"/>
  </w:num>
  <w:num w:numId="42">
    <w:abstractNumId w:val="97"/>
  </w:num>
  <w:num w:numId="43">
    <w:abstractNumId w:val="111"/>
  </w:num>
  <w:num w:numId="44">
    <w:abstractNumId w:val="125"/>
  </w:num>
  <w:num w:numId="45">
    <w:abstractNumId w:val="46"/>
  </w:num>
  <w:num w:numId="46">
    <w:abstractNumId w:val="27"/>
  </w:num>
  <w:num w:numId="47">
    <w:abstractNumId w:val="57"/>
  </w:num>
  <w:num w:numId="48">
    <w:abstractNumId w:val="98"/>
  </w:num>
  <w:num w:numId="49">
    <w:abstractNumId w:val="4"/>
  </w:num>
  <w:num w:numId="50">
    <w:abstractNumId w:val="107"/>
  </w:num>
  <w:num w:numId="51">
    <w:abstractNumId w:val="99"/>
  </w:num>
  <w:num w:numId="52">
    <w:abstractNumId w:val="72"/>
  </w:num>
  <w:num w:numId="53">
    <w:abstractNumId w:val="81"/>
  </w:num>
  <w:num w:numId="54">
    <w:abstractNumId w:val="96"/>
  </w:num>
  <w:num w:numId="55">
    <w:abstractNumId w:val="112"/>
  </w:num>
  <w:num w:numId="56">
    <w:abstractNumId w:val="117"/>
  </w:num>
  <w:num w:numId="57">
    <w:abstractNumId w:val="102"/>
  </w:num>
  <w:num w:numId="58">
    <w:abstractNumId w:val="65"/>
  </w:num>
  <w:num w:numId="59">
    <w:abstractNumId w:val="32"/>
  </w:num>
  <w:num w:numId="60">
    <w:abstractNumId w:val="48"/>
  </w:num>
  <w:num w:numId="61">
    <w:abstractNumId w:val="93"/>
  </w:num>
  <w:num w:numId="62">
    <w:abstractNumId w:val="90"/>
  </w:num>
  <w:num w:numId="63">
    <w:abstractNumId w:val="73"/>
  </w:num>
  <w:num w:numId="64">
    <w:abstractNumId w:val="43"/>
  </w:num>
  <w:num w:numId="65">
    <w:abstractNumId w:val="21"/>
  </w:num>
  <w:num w:numId="66">
    <w:abstractNumId w:val="54"/>
  </w:num>
  <w:num w:numId="67">
    <w:abstractNumId w:val="69"/>
  </w:num>
  <w:num w:numId="68">
    <w:abstractNumId w:val="7"/>
  </w:num>
  <w:num w:numId="69">
    <w:abstractNumId w:val="52"/>
  </w:num>
  <w:num w:numId="70">
    <w:abstractNumId w:val="19"/>
  </w:num>
  <w:num w:numId="71">
    <w:abstractNumId w:val="109"/>
  </w:num>
  <w:num w:numId="72">
    <w:abstractNumId w:val="49"/>
  </w:num>
  <w:num w:numId="73">
    <w:abstractNumId w:val="75"/>
  </w:num>
  <w:num w:numId="74">
    <w:abstractNumId w:val="36"/>
  </w:num>
  <w:num w:numId="75">
    <w:abstractNumId w:val="101"/>
  </w:num>
  <w:num w:numId="76">
    <w:abstractNumId w:val="8"/>
  </w:num>
  <w:num w:numId="77">
    <w:abstractNumId w:val="87"/>
  </w:num>
  <w:num w:numId="78">
    <w:abstractNumId w:val="89"/>
  </w:num>
  <w:num w:numId="79">
    <w:abstractNumId w:val="24"/>
  </w:num>
  <w:num w:numId="80">
    <w:abstractNumId w:val="113"/>
  </w:num>
  <w:num w:numId="81">
    <w:abstractNumId w:val="77"/>
  </w:num>
  <w:num w:numId="82">
    <w:abstractNumId w:val="88"/>
  </w:num>
  <w:num w:numId="83">
    <w:abstractNumId w:val="67"/>
  </w:num>
  <w:num w:numId="84">
    <w:abstractNumId w:val="94"/>
  </w:num>
  <w:num w:numId="85">
    <w:abstractNumId w:val="55"/>
  </w:num>
  <w:num w:numId="86">
    <w:abstractNumId w:val="80"/>
  </w:num>
  <w:num w:numId="87">
    <w:abstractNumId w:val="100"/>
  </w:num>
  <w:num w:numId="88">
    <w:abstractNumId w:val="30"/>
  </w:num>
  <w:num w:numId="89">
    <w:abstractNumId w:val="26"/>
  </w:num>
  <w:num w:numId="90">
    <w:abstractNumId w:val="106"/>
  </w:num>
  <w:num w:numId="91">
    <w:abstractNumId w:val="82"/>
  </w:num>
  <w:num w:numId="92">
    <w:abstractNumId w:val="70"/>
  </w:num>
  <w:num w:numId="93">
    <w:abstractNumId w:val="64"/>
  </w:num>
  <w:num w:numId="94">
    <w:abstractNumId w:val="62"/>
  </w:num>
  <w:num w:numId="95">
    <w:abstractNumId w:val="120"/>
  </w:num>
  <w:num w:numId="96">
    <w:abstractNumId w:val="23"/>
  </w:num>
  <w:num w:numId="97">
    <w:abstractNumId w:val="60"/>
  </w:num>
  <w:num w:numId="98">
    <w:abstractNumId w:val="9"/>
  </w:num>
  <w:num w:numId="99">
    <w:abstractNumId w:val="35"/>
  </w:num>
  <w:num w:numId="100">
    <w:abstractNumId w:val="16"/>
  </w:num>
  <w:num w:numId="101">
    <w:abstractNumId w:val="84"/>
  </w:num>
  <w:num w:numId="102">
    <w:abstractNumId w:val="68"/>
  </w:num>
  <w:num w:numId="103">
    <w:abstractNumId w:val="51"/>
  </w:num>
  <w:num w:numId="104">
    <w:abstractNumId w:val="14"/>
  </w:num>
  <w:num w:numId="105">
    <w:abstractNumId w:val="123"/>
  </w:num>
  <w:num w:numId="106">
    <w:abstractNumId w:val="124"/>
  </w:num>
  <w:num w:numId="107">
    <w:abstractNumId w:val="108"/>
  </w:num>
  <w:num w:numId="108">
    <w:abstractNumId w:val="129"/>
  </w:num>
  <w:num w:numId="109">
    <w:abstractNumId w:val="110"/>
  </w:num>
  <w:num w:numId="110">
    <w:abstractNumId w:val="37"/>
  </w:num>
  <w:num w:numId="111">
    <w:abstractNumId w:val="122"/>
  </w:num>
  <w:num w:numId="112">
    <w:abstractNumId w:val="29"/>
  </w:num>
  <w:num w:numId="113">
    <w:abstractNumId w:val="12"/>
  </w:num>
  <w:num w:numId="114">
    <w:abstractNumId w:val="118"/>
  </w:num>
  <w:num w:numId="115">
    <w:abstractNumId w:val="33"/>
  </w:num>
  <w:num w:numId="116">
    <w:abstractNumId w:val="15"/>
  </w:num>
  <w:num w:numId="117">
    <w:abstractNumId w:val="66"/>
  </w:num>
  <w:num w:numId="118">
    <w:abstractNumId w:val="17"/>
  </w:num>
  <w:num w:numId="119">
    <w:abstractNumId w:val="20"/>
  </w:num>
  <w:num w:numId="120">
    <w:abstractNumId w:val="28"/>
  </w:num>
  <w:num w:numId="121">
    <w:abstractNumId w:val="71"/>
  </w:num>
  <w:num w:numId="122">
    <w:abstractNumId w:val="128"/>
  </w:num>
  <w:num w:numId="123">
    <w:abstractNumId w:val="74"/>
  </w:num>
  <w:num w:numId="124">
    <w:abstractNumId w:val="0"/>
  </w:num>
  <w:num w:numId="125">
    <w:abstractNumId w:val="104"/>
  </w:num>
  <w:num w:numId="126">
    <w:abstractNumId w:val="105"/>
  </w:num>
  <w:num w:numId="127">
    <w:abstractNumId w:val="41"/>
  </w:num>
  <w:num w:numId="128">
    <w:abstractNumId w:val="18"/>
  </w:num>
  <w:num w:numId="129">
    <w:abstractNumId w:val="115"/>
  </w:num>
  <w:num w:numId="1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4"/>
  </w:num>
  <w:num w:numId="132">
    <w:abstractNumId w:val="6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ODWgBiEBMtLQAAAA=="/>
  </w:docVars>
  <w:rsids>
    <w:rsidRoot w:val="00961BF0"/>
    <w:rsid w:val="00000408"/>
    <w:rsid w:val="0000078F"/>
    <w:rsid w:val="00001673"/>
    <w:rsid w:val="0000405F"/>
    <w:rsid w:val="00004440"/>
    <w:rsid w:val="00005099"/>
    <w:rsid w:val="00005914"/>
    <w:rsid w:val="00007575"/>
    <w:rsid w:val="00010AB9"/>
    <w:rsid w:val="00010FB1"/>
    <w:rsid w:val="00011AD9"/>
    <w:rsid w:val="00015DCF"/>
    <w:rsid w:val="0001621A"/>
    <w:rsid w:val="000179E7"/>
    <w:rsid w:val="000200A0"/>
    <w:rsid w:val="00020312"/>
    <w:rsid w:val="0002072A"/>
    <w:rsid w:val="00021D79"/>
    <w:rsid w:val="000231DC"/>
    <w:rsid w:val="00023784"/>
    <w:rsid w:val="00023AC3"/>
    <w:rsid w:val="00023E0D"/>
    <w:rsid w:val="000246B2"/>
    <w:rsid w:val="00024789"/>
    <w:rsid w:val="0002548E"/>
    <w:rsid w:val="00025639"/>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CBD"/>
    <w:rsid w:val="000402E5"/>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1291"/>
    <w:rsid w:val="00073B5D"/>
    <w:rsid w:val="0007574A"/>
    <w:rsid w:val="00076B58"/>
    <w:rsid w:val="0008013B"/>
    <w:rsid w:val="00080DF5"/>
    <w:rsid w:val="000811FA"/>
    <w:rsid w:val="00081A73"/>
    <w:rsid w:val="00082C86"/>
    <w:rsid w:val="00085530"/>
    <w:rsid w:val="00085693"/>
    <w:rsid w:val="00085C81"/>
    <w:rsid w:val="00086441"/>
    <w:rsid w:val="000870C2"/>
    <w:rsid w:val="00090737"/>
    <w:rsid w:val="00092EC9"/>
    <w:rsid w:val="00093B87"/>
    <w:rsid w:val="00093D33"/>
    <w:rsid w:val="0009625E"/>
    <w:rsid w:val="00097FB9"/>
    <w:rsid w:val="000A0243"/>
    <w:rsid w:val="000A1EFF"/>
    <w:rsid w:val="000A24D8"/>
    <w:rsid w:val="000A400D"/>
    <w:rsid w:val="000A4ACB"/>
    <w:rsid w:val="000A53CB"/>
    <w:rsid w:val="000A7349"/>
    <w:rsid w:val="000B06DD"/>
    <w:rsid w:val="000B157C"/>
    <w:rsid w:val="000B2EFF"/>
    <w:rsid w:val="000B3C48"/>
    <w:rsid w:val="000B49F0"/>
    <w:rsid w:val="000B61AC"/>
    <w:rsid w:val="000B79B8"/>
    <w:rsid w:val="000C0F58"/>
    <w:rsid w:val="000C1454"/>
    <w:rsid w:val="000C1A03"/>
    <w:rsid w:val="000C1AE5"/>
    <w:rsid w:val="000C1FDF"/>
    <w:rsid w:val="000C3E25"/>
    <w:rsid w:val="000C43B4"/>
    <w:rsid w:val="000C5309"/>
    <w:rsid w:val="000C54D3"/>
    <w:rsid w:val="000C557B"/>
    <w:rsid w:val="000C5B86"/>
    <w:rsid w:val="000C5FD2"/>
    <w:rsid w:val="000D1E6A"/>
    <w:rsid w:val="000D2143"/>
    <w:rsid w:val="000D3747"/>
    <w:rsid w:val="000D4C85"/>
    <w:rsid w:val="000D4DF5"/>
    <w:rsid w:val="000D65B5"/>
    <w:rsid w:val="000D662C"/>
    <w:rsid w:val="000D67A6"/>
    <w:rsid w:val="000D68A5"/>
    <w:rsid w:val="000D7108"/>
    <w:rsid w:val="000D7193"/>
    <w:rsid w:val="000D7331"/>
    <w:rsid w:val="000D7B6F"/>
    <w:rsid w:val="000E10DA"/>
    <w:rsid w:val="000E31C9"/>
    <w:rsid w:val="000E44AA"/>
    <w:rsid w:val="000E4AD1"/>
    <w:rsid w:val="000E5219"/>
    <w:rsid w:val="000E63C3"/>
    <w:rsid w:val="000E6512"/>
    <w:rsid w:val="000E7A79"/>
    <w:rsid w:val="000F1211"/>
    <w:rsid w:val="000F2786"/>
    <w:rsid w:val="000F2871"/>
    <w:rsid w:val="000F2AB1"/>
    <w:rsid w:val="000F3A0A"/>
    <w:rsid w:val="000F3A97"/>
    <w:rsid w:val="000F6948"/>
    <w:rsid w:val="000F6E11"/>
    <w:rsid w:val="000F7683"/>
    <w:rsid w:val="001003BC"/>
    <w:rsid w:val="00100FCD"/>
    <w:rsid w:val="00101DEF"/>
    <w:rsid w:val="001031BF"/>
    <w:rsid w:val="00103874"/>
    <w:rsid w:val="001045EE"/>
    <w:rsid w:val="00105684"/>
    <w:rsid w:val="00107676"/>
    <w:rsid w:val="00107687"/>
    <w:rsid w:val="00107A9A"/>
    <w:rsid w:val="00110D5D"/>
    <w:rsid w:val="001113DA"/>
    <w:rsid w:val="00111E09"/>
    <w:rsid w:val="0011446C"/>
    <w:rsid w:val="00114F5B"/>
    <w:rsid w:val="00115052"/>
    <w:rsid w:val="001151EC"/>
    <w:rsid w:val="001157FC"/>
    <w:rsid w:val="00115EA6"/>
    <w:rsid w:val="00116EEE"/>
    <w:rsid w:val="001205C7"/>
    <w:rsid w:val="00120923"/>
    <w:rsid w:val="001234EE"/>
    <w:rsid w:val="00123C1C"/>
    <w:rsid w:val="001244A9"/>
    <w:rsid w:val="001253EC"/>
    <w:rsid w:val="00130144"/>
    <w:rsid w:val="00131364"/>
    <w:rsid w:val="0013177E"/>
    <w:rsid w:val="0013281A"/>
    <w:rsid w:val="00132B9D"/>
    <w:rsid w:val="00136236"/>
    <w:rsid w:val="00136258"/>
    <w:rsid w:val="001362BF"/>
    <w:rsid w:val="00136BC8"/>
    <w:rsid w:val="00142D63"/>
    <w:rsid w:val="00143AF0"/>
    <w:rsid w:val="00143B09"/>
    <w:rsid w:val="00143BF1"/>
    <w:rsid w:val="00143EC0"/>
    <w:rsid w:val="001441FE"/>
    <w:rsid w:val="00144630"/>
    <w:rsid w:val="0014543B"/>
    <w:rsid w:val="00150E0F"/>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4CB9"/>
    <w:rsid w:val="00166951"/>
    <w:rsid w:val="00167814"/>
    <w:rsid w:val="00167CB5"/>
    <w:rsid w:val="00172939"/>
    <w:rsid w:val="0017340D"/>
    <w:rsid w:val="001736AA"/>
    <w:rsid w:val="00173714"/>
    <w:rsid w:val="00173925"/>
    <w:rsid w:val="00175B75"/>
    <w:rsid w:val="001766E5"/>
    <w:rsid w:val="00177CB0"/>
    <w:rsid w:val="00180E9C"/>
    <w:rsid w:val="00181146"/>
    <w:rsid w:val="00181EFB"/>
    <w:rsid w:val="0018415D"/>
    <w:rsid w:val="001844F6"/>
    <w:rsid w:val="001848CB"/>
    <w:rsid w:val="00184B0C"/>
    <w:rsid w:val="001852DC"/>
    <w:rsid w:val="0018534A"/>
    <w:rsid w:val="0018669A"/>
    <w:rsid w:val="001903DF"/>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4EEE"/>
    <w:rsid w:val="001B654F"/>
    <w:rsid w:val="001B7936"/>
    <w:rsid w:val="001B7A0B"/>
    <w:rsid w:val="001C123A"/>
    <w:rsid w:val="001C26EC"/>
    <w:rsid w:val="001C2BD6"/>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6D2E"/>
    <w:rsid w:val="001E7062"/>
    <w:rsid w:val="001E7639"/>
    <w:rsid w:val="001F0B3B"/>
    <w:rsid w:val="001F1913"/>
    <w:rsid w:val="001F2950"/>
    <w:rsid w:val="001F3BE1"/>
    <w:rsid w:val="001F4B71"/>
    <w:rsid w:val="002006A4"/>
    <w:rsid w:val="00200DA9"/>
    <w:rsid w:val="00200F9A"/>
    <w:rsid w:val="0020550D"/>
    <w:rsid w:val="00205969"/>
    <w:rsid w:val="00206F39"/>
    <w:rsid w:val="00207F5D"/>
    <w:rsid w:val="002105E8"/>
    <w:rsid w:val="00210E1F"/>
    <w:rsid w:val="00211BCC"/>
    <w:rsid w:val="00211D9B"/>
    <w:rsid w:val="00211F69"/>
    <w:rsid w:val="00213D0C"/>
    <w:rsid w:val="00214CDE"/>
    <w:rsid w:val="002158DB"/>
    <w:rsid w:val="00216048"/>
    <w:rsid w:val="00216FA9"/>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0FF2"/>
    <w:rsid w:val="00241FAE"/>
    <w:rsid w:val="00242CF8"/>
    <w:rsid w:val="00243418"/>
    <w:rsid w:val="00246458"/>
    <w:rsid w:val="00246E7C"/>
    <w:rsid w:val="0024706E"/>
    <w:rsid w:val="00247776"/>
    <w:rsid w:val="002503CE"/>
    <w:rsid w:val="0025122F"/>
    <w:rsid w:val="00251782"/>
    <w:rsid w:val="00251AD9"/>
    <w:rsid w:val="00251AF7"/>
    <w:rsid w:val="00251CD4"/>
    <w:rsid w:val="00252059"/>
    <w:rsid w:val="00252460"/>
    <w:rsid w:val="002545C8"/>
    <w:rsid w:val="00254807"/>
    <w:rsid w:val="00254A01"/>
    <w:rsid w:val="00255F89"/>
    <w:rsid w:val="00257384"/>
    <w:rsid w:val="0025760C"/>
    <w:rsid w:val="00257689"/>
    <w:rsid w:val="00257EB2"/>
    <w:rsid w:val="00260355"/>
    <w:rsid w:val="00260A72"/>
    <w:rsid w:val="0026100B"/>
    <w:rsid w:val="0026196C"/>
    <w:rsid w:val="00261A28"/>
    <w:rsid w:val="00261AC1"/>
    <w:rsid w:val="002629E2"/>
    <w:rsid w:val="00262AB7"/>
    <w:rsid w:val="00264537"/>
    <w:rsid w:val="00264FA4"/>
    <w:rsid w:val="00272988"/>
    <w:rsid w:val="00273B31"/>
    <w:rsid w:val="002748F8"/>
    <w:rsid w:val="00275448"/>
    <w:rsid w:val="00275A63"/>
    <w:rsid w:val="00275FD1"/>
    <w:rsid w:val="002765EF"/>
    <w:rsid w:val="002770C3"/>
    <w:rsid w:val="002773B7"/>
    <w:rsid w:val="00280940"/>
    <w:rsid w:val="00280A0C"/>
    <w:rsid w:val="00280E36"/>
    <w:rsid w:val="00282C13"/>
    <w:rsid w:val="00283517"/>
    <w:rsid w:val="00284002"/>
    <w:rsid w:val="002840C1"/>
    <w:rsid w:val="00286FD1"/>
    <w:rsid w:val="002871A4"/>
    <w:rsid w:val="002879DE"/>
    <w:rsid w:val="00287F67"/>
    <w:rsid w:val="002909BE"/>
    <w:rsid w:val="00290A64"/>
    <w:rsid w:val="00290CC6"/>
    <w:rsid w:val="00291094"/>
    <w:rsid w:val="00291953"/>
    <w:rsid w:val="002928B2"/>
    <w:rsid w:val="0029339E"/>
    <w:rsid w:val="002936A3"/>
    <w:rsid w:val="00293C65"/>
    <w:rsid w:val="00294578"/>
    <w:rsid w:val="002964B5"/>
    <w:rsid w:val="00297B3C"/>
    <w:rsid w:val="00297B9C"/>
    <w:rsid w:val="002A1434"/>
    <w:rsid w:val="002A164A"/>
    <w:rsid w:val="002A21DE"/>
    <w:rsid w:val="002A4881"/>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2525"/>
    <w:rsid w:val="002C3EA0"/>
    <w:rsid w:val="002C406B"/>
    <w:rsid w:val="002C4635"/>
    <w:rsid w:val="002C52B5"/>
    <w:rsid w:val="002C6DDD"/>
    <w:rsid w:val="002C7B8A"/>
    <w:rsid w:val="002D0553"/>
    <w:rsid w:val="002D0F3B"/>
    <w:rsid w:val="002D1B9F"/>
    <w:rsid w:val="002D2062"/>
    <w:rsid w:val="002D231F"/>
    <w:rsid w:val="002D4BCA"/>
    <w:rsid w:val="002D4D08"/>
    <w:rsid w:val="002D568E"/>
    <w:rsid w:val="002D7BE8"/>
    <w:rsid w:val="002E0C11"/>
    <w:rsid w:val="002E0CE3"/>
    <w:rsid w:val="002E12F2"/>
    <w:rsid w:val="002E13BE"/>
    <w:rsid w:val="002E19C4"/>
    <w:rsid w:val="002E23BB"/>
    <w:rsid w:val="002E3D23"/>
    <w:rsid w:val="002E4475"/>
    <w:rsid w:val="002E5114"/>
    <w:rsid w:val="002E53BD"/>
    <w:rsid w:val="002E5475"/>
    <w:rsid w:val="002E6B85"/>
    <w:rsid w:val="002E6FAE"/>
    <w:rsid w:val="002E753E"/>
    <w:rsid w:val="002E755B"/>
    <w:rsid w:val="002F0264"/>
    <w:rsid w:val="002F1A46"/>
    <w:rsid w:val="002F40C6"/>
    <w:rsid w:val="002F5764"/>
    <w:rsid w:val="002F6624"/>
    <w:rsid w:val="00300A90"/>
    <w:rsid w:val="00304A9A"/>
    <w:rsid w:val="0030535D"/>
    <w:rsid w:val="00305FBB"/>
    <w:rsid w:val="0030678E"/>
    <w:rsid w:val="00306796"/>
    <w:rsid w:val="00307422"/>
    <w:rsid w:val="00312C5A"/>
    <w:rsid w:val="00320058"/>
    <w:rsid w:val="003227CE"/>
    <w:rsid w:val="00323045"/>
    <w:rsid w:val="00323225"/>
    <w:rsid w:val="00323611"/>
    <w:rsid w:val="003236AD"/>
    <w:rsid w:val="0032383D"/>
    <w:rsid w:val="00325C6F"/>
    <w:rsid w:val="00327C1B"/>
    <w:rsid w:val="0033279F"/>
    <w:rsid w:val="00335328"/>
    <w:rsid w:val="003363ED"/>
    <w:rsid w:val="00336986"/>
    <w:rsid w:val="00337213"/>
    <w:rsid w:val="00337575"/>
    <w:rsid w:val="00340049"/>
    <w:rsid w:val="003410C7"/>
    <w:rsid w:val="00343472"/>
    <w:rsid w:val="0034418B"/>
    <w:rsid w:val="00344312"/>
    <w:rsid w:val="00345B50"/>
    <w:rsid w:val="003468DE"/>
    <w:rsid w:val="003469FB"/>
    <w:rsid w:val="00347561"/>
    <w:rsid w:val="003477D5"/>
    <w:rsid w:val="0035018D"/>
    <w:rsid w:val="00350F14"/>
    <w:rsid w:val="003510E1"/>
    <w:rsid w:val="003513C9"/>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07D"/>
    <w:rsid w:val="00373ACC"/>
    <w:rsid w:val="00376897"/>
    <w:rsid w:val="0037752E"/>
    <w:rsid w:val="00381A87"/>
    <w:rsid w:val="003820C3"/>
    <w:rsid w:val="003828AF"/>
    <w:rsid w:val="003830AA"/>
    <w:rsid w:val="00383CB1"/>
    <w:rsid w:val="00385015"/>
    <w:rsid w:val="003853FE"/>
    <w:rsid w:val="00385A0A"/>
    <w:rsid w:val="003862D0"/>
    <w:rsid w:val="00387D9A"/>
    <w:rsid w:val="00391781"/>
    <w:rsid w:val="00391AA3"/>
    <w:rsid w:val="003923FA"/>
    <w:rsid w:val="00393D9E"/>
    <w:rsid w:val="00394B58"/>
    <w:rsid w:val="00396394"/>
    <w:rsid w:val="0039673D"/>
    <w:rsid w:val="00397901"/>
    <w:rsid w:val="00397A3D"/>
    <w:rsid w:val="00397A95"/>
    <w:rsid w:val="003A0443"/>
    <w:rsid w:val="003A048C"/>
    <w:rsid w:val="003A0F22"/>
    <w:rsid w:val="003A366C"/>
    <w:rsid w:val="003A36B9"/>
    <w:rsid w:val="003A4A02"/>
    <w:rsid w:val="003A553C"/>
    <w:rsid w:val="003B063D"/>
    <w:rsid w:val="003B0CF4"/>
    <w:rsid w:val="003B2DB2"/>
    <w:rsid w:val="003B3B4D"/>
    <w:rsid w:val="003B537E"/>
    <w:rsid w:val="003B5723"/>
    <w:rsid w:val="003B6D35"/>
    <w:rsid w:val="003B71A5"/>
    <w:rsid w:val="003C1838"/>
    <w:rsid w:val="003C3A21"/>
    <w:rsid w:val="003C61D4"/>
    <w:rsid w:val="003C7AAA"/>
    <w:rsid w:val="003D1A9E"/>
    <w:rsid w:val="003D1C94"/>
    <w:rsid w:val="003D2435"/>
    <w:rsid w:val="003D2818"/>
    <w:rsid w:val="003D2F12"/>
    <w:rsid w:val="003D3A3E"/>
    <w:rsid w:val="003D3C0F"/>
    <w:rsid w:val="003D4868"/>
    <w:rsid w:val="003D52B1"/>
    <w:rsid w:val="003D6B47"/>
    <w:rsid w:val="003D70CA"/>
    <w:rsid w:val="003E068D"/>
    <w:rsid w:val="003E0952"/>
    <w:rsid w:val="003E2553"/>
    <w:rsid w:val="003E26AB"/>
    <w:rsid w:val="003E2BD4"/>
    <w:rsid w:val="003E3B36"/>
    <w:rsid w:val="003E4D43"/>
    <w:rsid w:val="003E54B1"/>
    <w:rsid w:val="003E680D"/>
    <w:rsid w:val="003E6FA8"/>
    <w:rsid w:val="003F2399"/>
    <w:rsid w:val="003F2586"/>
    <w:rsid w:val="003F322E"/>
    <w:rsid w:val="003F45DD"/>
    <w:rsid w:val="003F5609"/>
    <w:rsid w:val="003F667E"/>
    <w:rsid w:val="003F7098"/>
    <w:rsid w:val="003F7B12"/>
    <w:rsid w:val="00400863"/>
    <w:rsid w:val="00400CEB"/>
    <w:rsid w:val="00401A99"/>
    <w:rsid w:val="00402162"/>
    <w:rsid w:val="004021B7"/>
    <w:rsid w:val="00407252"/>
    <w:rsid w:val="0040787D"/>
    <w:rsid w:val="004107C5"/>
    <w:rsid w:val="00410DCF"/>
    <w:rsid w:val="00410DDD"/>
    <w:rsid w:val="004115FA"/>
    <w:rsid w:val="00412304"/>
    <w:rsid w:val="004128F1"/>
    <w:rsid w:val="00413A36"/>
    <w:rsid w:val="00414145"/>
    <w:rsid w:val="0041594C"/>
    <w:rsid w:val="00416571"/>
    <w:rsid w:val="00417C3D"/>
    <w:rsid w:val="0042149A"/>
    <w:rsid w:val="00423129"/>
    <w:rsid w:val="00424E8C"/>
    <w:rsid w:val="004252A4"/>
    <w:rsid w:val="004262E0"/>
    <w:rsid w:val="00426663"/>
    <w:rsid w:val="00426FB1"/>
    <w:rsid w:val="004279D8"/>
    <w:rsid w:val="0043073E"/>
    <w:rsid w:val="0043117A"/>
    <w:rsid w:val="0043120F"/>
    <w:rsid w:val="0043360D"/>
    <w:rsid w:val="004341D2"/>
    <w:rsid w:val="004343F4"/>
    <w:rsid w:val="004345EC"/>
    <w:rsid w:val="0043562F"/>
    <w:rsid w:val="004366FB"/>
    <w:rsid w:val="0044265B"/>
    <w:rsid w:val="00443CB1"/>
    <w:rsid w:val="00444EA5"/>
    <w:rsid w:val="004463A0"/>
    <w:rsid w:val="00447595"/>
    <w:rsid w:val="00450012"/>
    <w:rsid w:val="00451159"/>
    <w:rsid w:val="004517ED"/>
    <w:rsid w:val="004531F3"/>
    <w:rsid w:val="0045369B"/>
    <w:rsid w:val="00453E4A"/>
    <w:rsid w:val="00454B4C"/>
    <w:rsid w:val="0045633F"/>
    <w:rsid w:val="00456732"/>
    <w:rsid w:val="00456A22"/>
    <w:rsid w:val="00457FD4"/>
    <w:rsid w:val="00460F62"/>
    <w:rsid w:val="00461229"/>
    <w:rsid w:val="00463264"/>
    <w:rsid w:val="004633F1"/>
    <w:rsid w:val="0046380E"/>
    <w:rsid w:val="00465815"/>
    <w:rsid w:val="00466C54"/>
    <w:rsid w:val="00467F81"/>
    <w:rsid w:val="00470769"/>
    <w:rsid w:val="00470E92"/>
    <w:rsid w:val="00470F95"/>
    <w:rsid w:val="00471D8D"/>
    <w:rsid w:val="0047271F"/>
    <w:rsid w:val="00472EE8"/>
    <w:rsid w:val="004731EA"/>
    <w:rsid w:val="00473BFF"/>
    <w:rsid w:val="00473D41"/>
    <w:rsid w:val="00473F12"/>
    <w:rsid w:val="00480809"/>
    <w:rsid w:val="00481916"/>
    <w:rsid w:val="00482112"/>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537F"/>
    <w:rsid w:val="0049541E"/>
    <w:rsid w:val="00495F4A"/>
    <w:rsid w:val="004963A9"/>
    <w:rsid w:val="00497330"/>
    <w:rsid w:val="00497525"/>
    <w:rsid w:val="00497AC5"/>
    <w:rsid w:val="00497BCC"/>
    <w:rsid w:val="004A273A"/>
    <w:rsid w:val="004A556E"/>
    <w:rsid w:val="004A7726"/>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473"/>
    <w:rsid w:val="004D6EBD"/>
    <w:rsid w:val="004D77EC"/>
    <w:rsid w:val="004E025C"/>
    <w:rsid w:val="004E3098"/>
    <w:rsid w:val="004E3A2C"/>
    <w:rsid w:val="004E525D"/>
    <w:rsid w:val="004E612F"/>
    <w:rsid w:val="004F0D1A"/>
    <w:rsid w:val="004F25E4"/>
    <w:rsid w:val="004F2B64"/>
    <w:rsid w:val="004F7627"/>
    <w:rsid w:val="005036CD"/>
    <w:rsid w:val="005036DE"/>
    <w:rsid w:val="00503DA0"/>
    <w:rsid w:val="005062CE"/>
    <w:rsid w:val="005065BE"/>
    <w:rsid w:val="00510431"/>
    <w:rsid w:val="00510EAB"/>
    <w:rsid w:val="005110FD"/>
    <w:rsid w:val="005116CB"/>
    <w:rsid w:val="00513C6F"/>
    <w:rsid w:val="00513DB2"/>
    <w:rsid w:val="00515364"/>
    <w:rsid w:val="00520342"/>
    <w:rsid w:val="00520A65"/>
    <w:rsid w:val="00521053"/>
    <w:rsid w:val="005216D0"/>
    <w:rsid w:val="005229A1"/>
    <w:rsid w:val="0052366F"/>
    <w:rsid w:val="00523A2B"/>
    <w:rsid w:val="00527018"/>
    <w:rsid w:val="00527C80"/>
    <w:rsid w:val="00531010"/>
    <w:rsid w:val="0053154B"/>
    <w:rsid w:val="00531AC6"/>
    <w:rsid w:val="005321E7"/>
    <w:rsid w:val="00532DDB"/>
    <w:rsid w:val="005344A3"/>
    <w:rsid w:val="00536548"/>
    <w:rsid w:val="00536DA6"/>
    <w:rsid w:val="00537560"/>
    <w:rsid w:val="0054076F"/>
    <w:rsid w:val="00541835"/>
    <w:rsid w:val="0054395B"/>
    <w:rsid w:val="005441EA"/>
    <w:rsid w:val="00545F5D"/>
    <w:rsid w:val="00547141"/>
    <w:rsid w:val="00550E11"/>
    <w:rsid w:val="00550F6C"/>
    <w:rsid w:val="00552148"/>
    <w:rsid w:val="005522DF"/>
    <w:rsid w:val="0055309D"/>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708"/>
    <w:rsid w:val="00563AF5"/>
    <w:rsid w:val="005649EB"/>
    <w:rsid w:val="00564E7D"/>
    <w:rsid w:val="005670D8"/>
    <w:rsid w:val="005676A9"/>
    <w:rsid w:val="00567ACE"/>
    <w:rsid w:val="005833E9"/>
    <w:rsid w:val="005834B9"/>
    <w:rsid w:val="005869BF"/>
    <w:rsid w:val="005912C1"/>
    <w:rsid w:val="0059175B"/>
    <w:rsid w:val="00591DCB"/>
    <w:rsid w:val="00592AF9"/>
    <w:rsid w:val="005934FB"/>
    <w:rsid w:val="00594D11"/>
    <w:rsid w:val="00594ED0"/>
    <w:rsid w:val="0059532C"/>
    <w:rsid w:val="005966AE"/>
    <w:rsid w:val="00597AA9"/>
    <w:rsid w:val="00597C9A"/>
    <w:rsid w:val="00597F30"/>
    <w:rsid w:val="005A329D"/>
    <w:rsid w:val="005A38FD"/>
    <w:rsid w:val="005A390E"/>
    <w:rsid w:val="005A5FC2"/>
    <w:rsid w:val="005A60CC"/>
    <w:rsid w:val="005A6C18"/>
    <w:rsid w:val="005A6DED"/>
    <w:rsid w:val="005B0C36"/>
    <w:rsid w:val="005B0E5D"/>
    <w:rsid w:val="005B0F74"/>
    <w:rsid w:val="005B1B24"/>
    <w:rsid w:val="005B1E39"/>
    <w:rsid w:val="005B1FBB"/>
    <w:rsid w:val="005B25EE"/>
    <w:rsid w:val="005B28C9"/>
    <w:rsid w:val="005B2AD6"/>
    <w:rsid w:val="005B3534"/>
    <w:rsid w:val="005B566A"/>
    <w:rsid w:val="005B61B5"/>
    <w:rsid w:val="005B7011"/>
    <w:rsid w:val="005C1B1D"/>
    <w:rsid w:val="005C1F75"/>
    <w:rsid w:val="005C2EFB"/>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57EE"/>
    <w:rsid w:val="005E734A"/>
    <w:rsid w:val="005E7B08"/>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523A"/>
    <w:rsid w:val="00605FC0"/>
    <w:rsid w:val="00606E0E"/>
    <w:rsid w:val="0060702C"/>
    <w:rsid w:val="00607551"/>
    <w:rsid w:val="0061003C"/>
    <w:rsid w:val="006123E4"/>
    <w:rsid w:val="006137A9"/>
    <w:rsid w:val="00620FA4"/>
    <w:rsid w:val="00621929"/>
    <w:rsid w:val="006228CF"/>
    <w:rsid w:val="00622D39"/>
    <w:rsid w:val="00623163"/>
    <w:rsid w:val="006241F4"/>
    <w:rsid w:val="0062554C"/>
    <w:rsid w:val="00625608"/>
    <w:rsid w:val="00625905"/>
    <w:rsid w:val="00625FE7"/>
    <w:rsid w:val="00626E52"/>
    <w:rsid w:val="00627F61"/>
    <w:rsid w:val="00631375"/>
    <w:rsid w:val="00640A1B"/>
    <w:rsid w:val="00641198"/>
    <w:rsid w:val="00641B88"/>
    <w:rsid w:val="006420A1"/>
    <w:rsid w:val="0064285A"/>
    <w:rsid w:val="0064554F"/>
    <w:rsid w:val="0064562A"/>
    <w:rsid w:val="00645E02"/>
    <w:rsid w:val="0065005A"/>
    <w:rsid w:val="00650557"/>
    <w:rsid w:val="00652215"/>
    <w:rsid w:val="00652414"/>
    <w:rsid w:val="00652606"/>
    <w:rsid w:val="00653639"/>
    <w:rsid w:val="0065380A"/>
    <w:rsid w:val="00653DAC"/>
    <w:rsid w:val="00654A0D"/>
    <w:rsid w:val="00655868"/>
    <w:rsid w:val="006562BF"/>
    <w:rsid w:val="006621D8"/>
    <w:rsid w:val="006626E5"/>
    <w:rsid w:val="0066308B"/>
    <w:rsid w:val="006631B6"/>
    <w:rsid w:val="006633DA"/>
    <w:rsid w:val="00663D70"/>
    <w:rsid w:val="00664245"/>
    <w:rsid w:val="0066547D"/>
    <w:rsid w:val="00666467"/>
    <w:rsid w:val="0066712A"/>
    <w:rsid w:val="006676DF"/>
    <w:rsid w:val="00670319"/>
    <w:rsid w:val="00670842"/>
    <w:rsid w:val="00670C0E"/>
    <w:rsid w:val="00671E76"/>
    <w:rsid w:val="0067257E"/>
    <w:rsid w:val="0067444F"/>
    <w:rsid w:val="0067665E"/>
    <w:rsid w:val="006779D1"/>
    <w:rsid w:val="00677A5E"/>
    <w:rsid w:val="0068210C"/>
    <w:rsid w:val="0068294E"/>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4063"/>
    <w:rsid w:val="006A547D"/>
    <w:rsid w:val="006A763D"/>
    <w:rsid w:val="006A7980"/>
    <w:rsid w:val="006B0C2B"/>
    <w:rsid w:val="006B12DF"/>
    <w:rsid w:val="006B12ED"/>
    <w:rsid w:val="006B27E6"/>
    <w:rsid w:val="006B6711"/>
    <w:rsid w:val="006B688E"/>
    <w:rsid w:val="006C1224"/>
    <w:rsid w:val="006C19D0"/>
    <w:rsid w:val="006C1F08"/>
    <w:rsid w:val="006C2C38"/>
    <w:rsid w:val="006C3125"/>
    <w:rsid w:val="006C376D"/>
    <w:rsid w:val="006C3BB3"/>
    <w:rsid w:val="006C44E4"/>
    <w:rsid w:val="006C52F1"/>
    <w:rsid w:val="006C6BCB"/>
    <w:rsid w:val="006C7469"/>
    <w:rsid w:val="006D125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392E"/>
    <w:rsid w:val="006E44F2"/>
    <w:rsid w:val="006E52BC"/>
    <w:rsid w:val="006E56E9"/>
    <w:rsid w:val="006E6D93"/>
    <w:rsid w:val="006E74D4"/>
    <w:rsid w:val="006F111C"/>
    <w:rsid w:val="006F11FB"/>
    <w:rsid w:val="006F1A51"/>
    <w:rsid w:val="006F1B75"/>
    <w:rsid w:val="006F1F57"/>
    <w:rsid w:val="006F1FD4"/>
    <w:rsid w:val="006F4537"/>
    <w:rsid w:val="006F47D5"/>
    <w:rsid w:val="006F6CBF"/>
    <w:rsid w:val="006F7759"/>
    <w:rsid w:val="006F7B37"/>
    <w:rsid w:val="00701BDF"/>
    <w:rsid w:val="00703F8D"/>
    <w:rsid w:val="0070528F"/>
    <w:rsid w:val="00705AF4"/>
    <w:rsid w:val="00711369"/>
    <w:rsid w:val="00713D2E"/>
    <w:rsid w:val="007155E6"/>
    <w:rsid w:val="00715E70"/>
    <w:rsid w:val="007162EF"/>
    <w:rsid w:val="00717F86"/>
    <w:rsid w:val="00720227"/>
    <w:rsid w:val="00720CD2"/>
    <w:rsid w:val="00723089"/>
    <w:rsid w:val="00723B68"/>
    <w:rsid w:val="00730601"/>
    <w:rsid w:val="00731C32"/>
    <w:rsid w:val="0073433A"/>
    <w:rsid w:val="00734EE1"/>
    <w:rsid w:val="007373C8"/>
    <w:rsid w:val="00741D11"/>
    <w:rsid w:val="00745298"/>
    <w:rsid w:val="0074628D"/>
    <w:rsid w:val="0074643D"/>
    <w:rsid w:val="00746FAA"/>
    <w:rsid w:val="007477FA"/>
    <w:rsid w:val="00752D2D"/>
    <w:rsid w:val="00754C9C"/>
    <w:rsid w:val="007550BD"/>
    <w:rsid w:val="00756F1E"/>
    <w:rsid w:val="00761933"/>
    <w:rsid w:val="00762250"/>
    <w:rsid w:val="00763BC1"/>
    <w:rsid w:val="00766FE5"/>
    <w:rsid w:val="007702A7"/>
    <w:rsid w:val="007705DD"/>
    <w:rsid w:val="00770E69"/>
    <w:rsid w:val="00772D8A"/>
    <w:rsid w:val="0077305E"/>
    <w:rsid w:val="00774104"/>
    <w:rsid w:val="00775DCC"/>
    <w:rsid w:val="007777B5"/>
    <w:rsid w:val="007779D0"/>
    <w:rsid w:val="00780C8F"/>
    <w:rsid w:val="00781812"/>
    <w:rsid w:val="007824E9"/>
    <w:rsid w:val="00782598"/>
    <w:rsid w:val="00782C36"/>
    <w:rsid w:val="00783E83"/>
    <w:rsid w:val="0078468D"/>
    <w:rsid w:val="007868EF"/>
    <w:rsid w:val="007870A4"/>
    <w:rsid w:val="00790712"/>
    <w:rsid w:val="00791B7E"/>
    <w:rsid w:val="00792133"/>
    <w:rsid w:val="00792BE3"/>
    <w:rsid w:val="00793A82"/>
    <w:rsid w:val="0079407D"/>
    <w:rsid w:val="00794ECE"/>
    <w:rsid w:val="00795B10"/>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C07BA"/>
    <w:rsid w:val="007C0977"/>
    <w:rsid w:val="007C0F8F"/>
    <w:rsid w:val="007C172A"/>
    <w:rsid w:val="007C2917"/>
    <w:rsid w:val="007C29B8"/>
    <w:rsid w:val="007C3A87"/>
    <w:rsid w:val="007C3EA9"/>
    <w:rsid w:val="007C420B"/>
    <w:rsid w:val="007C426D"/>
    <w:rsid w:val="007C426F"/>
    <w:rsid w:val="007C6D33"/>
    <w:rsid w:val="007D3083"/>
    <w:rsid w:val="007D3936"/>
    <w:rsid w:val="007D3B4A"/>
    <w:rsid w:val="007D4FC9"/>
    <w:rsid w:val="007D7027"/>
    <w:rsid w:val="007E130E"/>
    <w:rsid w:val="007E1A2F"/>
    <w:rsid w:val="007E1C7C"/>
    <w:rsid w:val="007E278B"/>
    <w:rsid w:val="007E31D6"/>
    <w:rsid w:val="007E4477"/>
    <w:rsid w:val="007E59DB"/>
    <w:rsid w:val="007F09A2"/>
    <w:rsid w:val="007F117B"/>
    <w:rsid w:val="007F1507"/>
    <w:rsid w:val="007F3049"/>
    <w:rsid w:val="007F6D39"/>
    <w:rsid w:val="00800E11"/>
    <w:rsid w:val="00800F30"/>
    <w:rsid w:val="00801247"/>
    <w:rsid w:val="0080200E"/>
    <w:rsid w:val="00804128"/>
    <w:rsid w:val="008046D4"/>
    <w:rsid w:val="00804893"/>
    <w:rsid w:val="00804C2B"/>
    <w:rsid w:val="00804C7A"/>
    <w:rsid w:val="00806CC8"/>
    <w:rsid w:val="0081017E"/>
    <w:rsid w:val="008113BD"/>
    <w:rsid w:val="00811B12"/>
    <w:rsid w:val="00811C2D"/>
    <w:rsid w:val="00811E27"/>
    <w:rsid w:val="008120A3"/>
    <w:rsid w:val="00812811"/>
    <w:rsid w:val="0081337C"/>
    <w:rsid w:val="00813419"/>
    <w:rsid w:val="008137E5"/>
    <w:rsid w:val="008143FA"/>
    <w:rsid w:val="00814C2B"/>
    <w:rsid w:val="0081573C"/>
    <w:rsid w:val="00816B4E"/>
    <w:rsid w:val="008177E0"/>
    <w:rsid w:val="008202D1"/>
    <w:rsid w:val="00824CDF"/>
    <w:rsid w:val="00827A12"/>
    <w:rsid w:val="00830F97"/>
    <w:rsid w:val="0083150E"/>
    <w:rsid w:val="00831BB3"/>
    <w:rsid w:val="00832D32"/>
    <w:rsid w:val="00833A4F"/>
    <w:rsid w:val="00833CAA"/>
    <w:rsid w:val="00834F0C"/>
    <w:rsid w:val="008357B1"/>
    <w:rsid w:val="0084038F"/>
    <w:rsid w:val="008405ED"/>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619"/>
    <w:rsid w:val="0086474B"/>
    <w:rsid w:val="008650E3"/>
    <w:rsid w:val="00866AD5"/>
    <w:rsid w:val="00866FEA"/>
    <w:rsid w:val="00867105"/>
    <w:rsid w:val="00867CF6"/>
    <w:rsid w:val="00870000"/>
    <w:rsid w:val="00871CF0"/>
    <w:rsid w:val="00873013"/>
    <w:rsid w:val="00874091"/>
    <w:rsid w:val="00874AC0"/>
    <w:rsid w:val="008754BE"/>
    <w:rsid w:val="008756E2"/>
    <w:rsid w:val="0087693B"/>
    <w:rsid w:val="00881396"/>
    <w:rsid w:val="00881877"/>
    <w:rsid w:val="00881EAF"/>
    <w:rsid w:val="00882010"/>
    <w:rsid w:val="008833D2"/>
    <w:rsid w:val="00885308"/>
    <w:rsid w:val="00885E66"/>
    <w:rsid w:val="00886E59"/>
    <w:rsid w:val="00886FF8"/>
    <w:rsid w:val="0088740E"/>
    <w:rsid w:val="00887551"/>
    <w:rsid w:val="0088797A"/>
    <w:rsid w:val="00887DE1"/>
    <w:rsid w:val="00892B6E"/>
    <w:rsid w:val="008938FF"/>
    <w:rsid w:val="0089408A"/>
    <w:rsid w:val="008944CB"/>
    <w:rsid w:val="0089450C"/>
    <w:rsid w:val="008976F2"/>
    <w:rsid w:val="008A0A44"/>
    <w:rsid w:val="008A3015"/>
    <w:rsid w:val="008A3902"/>
    <w:rsid w:val="008A7555"/>
    <w:rsid w:val="008A78DC"/>
    <w:rsid w:val="008A7A19"/>
    <w:rsid w:val="008B2558"/>
    <w:rsid w:val="008B306D"/>
    <w:rsid w:val="008B388D"/>
    <w:rsid w:val="008B4E8F"/>
    <w:rsid w:val="008B6499"/>
    <w:rsid w:val="008B6ABE"/>
    <w:rsid w:val="008B6D0F"/>
    <w:rsid w:val="008C0DB9"/>
    <w:rsid w:val="008C270B"/>
    <w:rsid w:val="008C2D55"/>
    <w:rsid w:val="008C2DE5"/>
    <w:rsid w:val="008C3324"/>
    <w:rsid w:val="008C3D44"/>
    <w:rsid w:val="008C4349"/>
    <w:rsid w:val="008C498F"/>
    <w:rsid w:val="008C5588"/>
    <w:rsid w:val="008C5C56"/>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95B"/>
    <w:rsid w:val="008E7C96"/>
    <w:rsid w:val="008F1526"/>
    <w:rsid w:val="008F19E2"/>
    <w:rsid w:val="008F3029"/>
    <w:rsid w:val="008F333A"/>
    <w:rsid w:val="008F5ECC"/>
    <w:rsid w:val="008F6EE2"/>
    <w:rsid w:val="008F6EF5"/>
    <w:rsid w:val="008F76C8"/>
    <w:rsid w:val="008F7996"/>
    <w:rsid w:val="008F7D42"/>
    <w:rsid w:val="0090075F"/>
    <w:rsid w:val="00900A15"/>
    <w:rsid w:val="009014CD"/>
    <w:rsid w:val="00901EAC"/>
    <w:rsid w:val="00901EE9"/>
    <w:rsid w:val="00902581"/>
    <w:rsid w:val="0090308E"/>
    <w:rsid w:val="00903772"/>
    <w:rsid w:val="00905459"/>
    <w:rsid w:val="00905885"/>
    <w:rsid w:val="009064C3"/>
    <w:rsid w:val="00906A12"/>
    <w:rsid w:val="00907C3C"/>
    <w:rsid w:val="00907CC0"/>
    <w:rsid w:val="00910078"/>
    <w:rsid w:val="0091323D"/>
    <w:rsid w:val="0091490E"/>
    <w:rsid w:val="00914BCC"/>
    <w:rsid w:val="00915DBF"/>
    <w:rsid w:val="009162A5"/>
    <w:rsid w:val="00916317"/>
    <w:rsid w:val="00921198"/>
    <w:rsid w:val="00921A2F"/>
    <w:rsid w:val="0092223B"/>
    <w:rsid w:val="0092287B"/>
    <w:rsid w:val="00923253"/>
    <w:rsid w:val="00923C8D"/>
    <w:rsid w:val="00924D53"/>
    <w:rsid w:val="00924F16"/>
    <w:rsid w:val="00925FB4"/>
    <w:rsid w:val="009260CC"/>
    <w:rsid w:val="00926830"/>
    <w:rsid w:val="00926B34"/>
    <w:rsid w:val="00926BFD"/>
    <w:rsid w:val="00931A76"/>
    <w:rsid w:val="009327CC"/>
    <w:rsid w:val="00932A8A"/>
    <w:rsid w:val="00934552"/>
    <w:rsid w:val="00935717"/>
    <w:rsid w:val="00935AD1"/>
    <w:rsid w:val="00936C95"/>
    <w:rsid w:val="0094155E"/>
    <w:rsid w:val="0094272B"/>
    <w:rsid w:val="00944277"/>
    <w:rsid w:val="0094620B"/>
    <w:rsid w:val="00950A62"/>
    <w:rsid w:val="00951D7A"/>
    <w:rsid w:val="0095323C"/>
    <w:rsid w:val="009553A5"/>
    <w:rsid w:val="009554A6"/>
    <w:rsid w:val="0095567E"/>
    <w:rsid w:val="00956716"/>
    <w:rsid w:val="00957715"/>
    <w:rsid w:val="00961BF0"/>
    <w:rsid w:val="00961F5E"/>
    <w:rsid w:val="00962608"/>
    <w:rsid w:val="00962A3E"/>
    <w:rsid w:val="009640BB"/>
    <w:rsid w:val="00964C8F"/>
    <w:rsid w:val="00965436"/>
    <w:rsid w:val="00966B22"/>
    <w:rsid w:val="009676BA"/>
    <w:rsid w:val="00967F04"/>
    <w:rsid w:val="009704FC"/>
    <w:rsid w:val="00970BA6"/>
    <w:rsid w:val="009713C8"/>
    <w:rsid w:val="00971D55"/>
    <w:rsid w:val="00973425"/>
    <w:rsid w:val="009738E2"/>
    <w:rsid w:val="00973E34"/>
    <w:rsid w:val="009740BF"/>
    <w:rsid w:val="00974856"/>
    <w:rsid w:val="00975748"/>
    <w:rsid w:val="00977050"/>
    <w:rsid w:val="00977C20"/>
    <w:rsid w:val="0098052A"/>
    <w:rsid w:val="00982B1C"/>
    <w:rsid w:val="00984EB8"/>
    <w:rsid w:val="009850E7"/>
    <w:rsid w:val="0098530E"/>
    <w:rsid w:val="009875AB"/>
    <w:rsid w:val="00987CA6"/>
    <w:rsid w:val="00990DC0"/>
    <w:rsid w:val="00991422"/>
    <w:rsid w:val="00991EB4"/>
    <w:rsid w:val="009924A2"/>
    <w:rsid w:val="00992A03"/>
    <w:rsid w:val="0099320C"/>
    <w:rsid w:val="00995165"/>
    <w:rsid w:val="0099651A"/>
    <w:rsid w:val="00996E93"/>
    <w:rsid w:val="00997F96"/>
    <w:rsid w:val="009A0762"/>
    <w:rsid w:val="009A0C4B"/>
    <w:rsid w:val="009A10D3"/>
    <w:rsid w:val="009A125D"/>
    <w:rsid w:val="009A1340"/>
    <w:rsid w:val="009A245A"/>
    <w:rsid w:val="009A2E07"/>
    <w:rsid w:val="009A433C"/>
    <w:rsid w:val="009A4DB1"/>
    <w:rsid w:val="009A5024"/>
    <w:rsid w:val="009A5BE9"/>
    <w:rsid w:val="009A67B8"/>
    <w:rsid w:val="009B14CC"/>
    <w:rsid w:val="009B2261"/>
    <w:rsid w:val="009B25CF"/>
    <w:rsid w:val="009B3894"/>
    <w:rsid w:val="009B3AF7"/>
    <w:rsid w:val="009B42C7"/>
    <w:rsid w:val="009B7F9F"/>
    <w:rsid w:val="009C01AA"/>
    <w:rsid w:val="009C0414"/>
    <w:rsid w:val="009C09FC"/>
    <w:rsid w:val="009C1157"/>
    <w:rsid w:val="009C1200"/>
    <w:rsid w:val="009C1520"/>
    <w:rsid w:val="009C1799"/>
    <w:rsid w:val="009C2CF3"/>
    <w:rsid w:val="009C35E0"/>
    <w:rsid w:val="009C58D1"/>
    <w:rsid w:val="009C5ACE"/>
    <w:rsid w:val="009C63C8"/>
    <w:rsid w:val="009C662D"/>
    <w:rsid w:val="009D0BD4"/>
    <w:rsid w:val="009D0C7C"/>
    <w:rsid w:val="009D11F1"/>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E0DB8"/>
    <w:rsid w:val="009E3001"/>
    <w:rsid w:val="009E300E"/>
    <w:rsid w:val="009E34DE"/>
    <w:rsid w:val="009E3B23"/>
    <w:rsid w:val="009E3EF0"/>
    <w:rsid w:val="009E47AF"/>
    <w:rsid w:val="009E48A4"/>
    <w:rsid w:val="009E5BC1"/>
    <w:rsid w:val="009E61D2"/>
    <w:rsid w:val="009E74FB"/>
    <w:rsid w:val="009F5B8A"/>
    <w:rsid w:val="009F6463"/>
    <w:rsid w:val="009F7191"/>
    <w:rsid w:val="009F7EDE"/>
    <w:rsid w:val="00A0014C"/>
    <w:rsid w:val="00A00369"/>
    <w:rsid w:val="00A01D4E"/>
    <w:rsid w:val="00A01E58"/>
    <w:rsid w:val="00A02D66"/>
    <w:rsid w:val="00A03AE9"/>
    <w:rsid w:val="00A04715"/>
    <w:rsid w:val="00A0797A"/>
    <w:rsid w:val="00A11EF5"/>
    <w:rsid w:val="00A1228F"/>
    <w:rsid w:val="00A12369"/>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83B"/>
    <w:rsid w:val="00A32933"/>
    <w:rsid w:val="00A32B30"/>
    <w:rsid w:val="00A32D04"/>
    <w:rsid w:val="00A3362B"/>
    <w:rsid w:val="00A33BD0"/>
    <w:rsid w:val="00A35391"/>
    <w:rsid w:val="00A362CF"/>
    <w:rsid w:val="00A37905"/>
    <w:rsid w:val="00A40877"/>
    <w:rsid w:val="00A42EE4"/>
    <w:rsid w:val="00A43301"/>
    <w:rsid w:val="00A4381B"/>
    <w:rsid w:val="00A43C7A"/>
    <w:rsid w:val="00A43CC6"/>
    <w:rsid w:val="00A445B1"/>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14A5"/>
    <w:rsid w:val="00A62473"/>
    <w:rsid w:val="00A62BE3"/>
    <w:rsid w:val="00A62C00"/>
    <w:rsid w:val="00A638CB"/>
    <w:rsid w:val="00A656C6"/>
    <w:rsid w:val="00A664D4"/>
    <w:rsid w:val="00A66609"/>
    <w:rsid w:val="00A66A0F"/>
    <w:rsid w:val="00A67FC7"/>
    <w:rsid w:val="00A7093E"/>
    <w:rsid w:val="00A71E1A"/>
    <w:rsid w:val="00A72562"/>
    <w:rsid w:val="00A735FD"/>
    <w:rsid w:val="00A745A0"/>
    <w:rsid w:val="00A74FF6"/>
    <w:rsid w:val="00A7539E"/>
    <w:rsid w:val="00A82A6E"/>
    <w:rsid w:val="00A83469"/>
    <w:rsid w:val="00A834B2"/>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97E6E"/>
    <w:rsid w:val="00AA06C3"/>
    <w:rsid w:val="00AA1945"/>
    <w:rsid w:val="00AA2D4B"/>
    <w:rsid w:val="00AA3532"/>
    <w:rsid w:val="00AA3F45"/>
    <w:rsid w:val="00AA46AD"/>
    <w:rsid w:val="00AA4C6A"/>
    <w:rsid w:val="00AA5692"/>
    <w:rsid w:val="00AA7591"/>
    <w:rsid w:val="00AB0ED4"/>
    <w:rsid w:val="00AB1123"/>
    <w:rsid w:val="00AB2EB3"/>
    <w:rsid w:val="00AB31AA"/>
    <w:rsid w:val="00AB3369"/>
    <w:rsid w:val="00AB35EE"/>
    <w:rsid w:val="00AB424A"/>
    <w:rsid w:val="00AB44FF"/>
    <w:rsid w:val="00AB49EF"/>
    <w:rsid w:val="00AB533E"/>
    <w:rsid w:val="00AC06CE"/>
    <w:rsid w:val="00AC0875"/>
    <w:rsid w:val="00AC0B9A"/>
    <w:rsid w:val="00AC15AD"/>
    <w:rsid w:val="00AC27AF"/>
    <w:rsid w:val="00AC2B05"/>
    <w:rsid w:val="00AC445F"/>
    <w:rsid w:val="00AC5595"/>
    <w:rsid w:val="00AC6B9F"/>
    <w:rsid w:val="00AC7782"/>
    <w:rsid w:val="00AC78BC"/>
    <w:rsid w:val="00AD24AF"/>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2B69"/>
    <w:rsid w:val="00AF3A4D"/>
    <w:rsid w:val="00AF5AC2"/>
    <w:rsid w:val="00AF6377"/>
    <w:rsid w:val="00AF6972"/>
    <w:rsid w:val="00AF7343"/>
    <w:rsid w:val="00AF7481"/>
    <w:rsid w:val="00B00D89"/>
    <w:rsid w:val="00B040C0"/>
    <w:rsid w:val="00B0421B"/>
    <w:rsid w:val="00B04674"/>
    <w:rsid w:val="00B046B8"/>
    <w:rsid w:val="00B054CF"/>
    <w:rsid w:val="00B07223"/>
    <w:rsid w:val="00B07DE2"/>
    <w:rsid w:val="00B106A2"/>
    <w:rsid w:val="00B11043"/>
    <w:rsid w:val="00B115BB"/>
    <w:rsid w:val="00B12312"/>
    <w:rsid w:val="00B134BD"/>
    <w:rsid w:val="00B13C90"/>
    <w:rsid w:val="00B13DF3"/>
    <w:rsid w:val="00B14B6A"/>
    <w:rsid w:val="00B16790"/>
    <w:rsid w:val="00B1690B"/>
    <w:rsid w:val="00B16AFE"/>
    <w:rsid w:val="00B203F5"/>
    <w:rsid w:val="00B20C71"/>
    <w:rsid w:val="00B2146B"/>
    <w:rsid w:val="00B2285C"/>
    <w:rsid w:val="00B22980"/>
    <w:rsid w:val="00B229D6"/>
    <w:rsid w:val="00B22A7B"/>
    <w:rsid w:val="00B23D77"/>
    <w:rsid w:val="00B25C6C"/>
    <w:rsid w:val="00B25E20"/>
    <w:rsid w:val="00B26600"/>
    <w:rsid w:val="00B26712"/>
    <w:rsid w:val="00B30885"/>
    <w:rsid w:val="00B33023"/>
    <w:rsid w:val="00B3597A"/>
    <w:rsid w:val="00B368D6"/>
    <w:rsid w:val="00B36DE3"/>
    <w:rsid w:val="00B40E9D"/>
    <w:rsid w:val="00B41E15"/>
    <w:rsid w:val="00B46205"/>
    <w:rsid w:val="00B46ED0"/>
    <w:rsid w:val="00B47706"/>
    <w:rsid w:val="00B47B31"/>
    <w:rsid w:val="00B50D72"/>
    <w:rsid w:val="00B5159B"/>
    <w:rsid w:val="00B52439"/>
    <w:rsid w:val="00B5708B"/>
    <w:rsid w:val="00B57F6C"/>
    <w:rsid w:val="00B632A6"/>
    <w:rsid w:val="00B63B30"/>
    <w:rsid w:val="00B63CE9"/>
    <w:rsid w:val="00B65E0B"/>
    <w:rsid w:val="00B6658B"/>
    <w:rsid w:val="00B66EBD"/>
    <w:rsid w:val="00B66F66"/>
    <w:rsid w:val="00B66F96"/>
    <w:rsid w:val="00B67569"/>
    <w:rsid w:val="00B6795A"/>
    <w:rsid w:val="00B70319"/>
    <w:rsid w:val="00B712EB"/>
    <w:rsid w:val="00B71AAE"/>
    <w:rsid w:val="00B730EF"/>
    <w:rsid w:val="00B73DFE"/>
    <w:rsid w:val="00B73E55"/>
    <w:rsid w:val="00B74870"/>
    <w:rsid w:val="00B769A5"/>
    <w:rsid w:val="00B76DA6"/>
    <w:rsid w:val="00B8057D"/>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6D7"/>
    <w:rsid w:val="00B92AFB"/>
    <w:rsid w:val="00B94A90"/>
    <w:rsid w:val="00B96787"/>
    <w:rsid w:val="00B96ACE"/>
    <w:rsid w:val="00B97113"/>
    <w:rsid w:val="00B97BA0"/>
    <w:rsid w:val="00BA0488"/>
    <w:rsid w:val="00BA0E20"/>
    <w:rsid w:val="00BA3EC9"/>
    <w:rsid w:val="00BA3F12"/>
    <w:rsid w:val="00BA4FE3"/>
    <w:rsid w:val="00BA679B"/>
    <w:rsid w:val="00BA7931"/>
    <w:rsid w:val="00BA7AE4"/>
    <w:rsid w:val="00BB0750"/>
    <w:rsid w:val="00BB0814"/>
    <w:rsid w:val="00BB1B01"/>
    <w:rsid w:val="00BB20B1"/>
    <w:rsid w:val="00BB25DE"/>
    <w:rsid w:val="00BB38DF"/>
    <w:rsid w:val="00BB3D24"/>
    <w:rsid w:val="00BB4917"/>
    <w:rsid w:val="00BB57B6"/>
    <w:rsid w:val="00BB6338"/>
    <w:rsid w:val="00BB6418"/>
    <w:rsid w:val="00BB6980"/>
    <w:rsid w:val="00BB7BBF"/>
    <w:rsid w:val="00BC100B"/>
    <w:rsid w:val="00BC1C6E"/>
    <w:rsid w:val="00BC3D02"/>
    <w:rsid w:val="00BC5370"/>
    <w:rsid w:val="00BC5DD9"/>
    <w:rsid w:val="00BC628B"/>
    <w:rsid w:val="00BC6C16"/>
    <w:rsid w:val="00BC7138"/>
    <w:rsid w:val="00BD1E75"/>
    <w:rsid w:val="00BD23BB"/>
    <w:rsid w:val="00BD303D"/>
    <w:rsid w:val="00BD36B2"/>
    <w:rsid w:val="00BD4CFA"/>
    <w:rsid w:val="00BD5A2C"/>
    <w:rsid w:val="00BD6E41"/>
    <w:rsid w:val="00BD7D74"/>
    <w:rsid w:val="00BE173B"/>
    <w:rsid w:val="00BE2550"/>
    <w:rsid w:val="00BE2A2C"/>
    <w:rsid w:val="00BE2A49"/>
    <w:rsid w:val="00BE2A8D"/>
    <w:rsid w:val="00BE2C6A"/>
    <w:rsid w:val="00BE2D38"/>
    <w:rsid w:val="00BE3317"/>
    <w:rsid w:val="00BE37D7"/>
    <w:rsid w:val="00BE38B5"/>
    <w:rsid w:val="00BE46C3"/>
    <w:rsid w:val="00BE59F7"/>
    <w:rsid w:val="00BE61AD"/>
    <w:rsid w:val="00BE652A"/>
    <w:rsid w:val="00BE72E0"/>
    <w:rsid w:val="00BE7BC2"/>
    <w:rsid w:val="00BE7BF2"/>
    <w:rsid w:val="00BF0EC2"/>
    <w:rsid w:val="00BF15AE"/>
    <w:rsid w:val="00BF1DE2"/>
    <w:rsid w:val="00BF2432"/>
    <w:rsid w:val="00BF6ADA"/>
    <w:rsid w:val="00C00876"/>
    <w:rsid w:val="00C014B7"/>
    <w:rsid w:val="00C01613"/>
    <w:rsid w:val="00C01D8C"/>
    <w:rsid w:val="00C0214E"/>
    <w:rsid w:val="00C021EF"/>
    <w:rsid w:val="00C02207"/>
    <w:rsid w:val="00C023EF"/>
    <w:rsid w:val="00C05535"/>
    <w:rsid w:val="00C055E4"/>
    <w:rsid w:val="00C065DA"/>
    <w:rsid w:val="00C07A57"/>
    <w:rsid w:val="00C07D85"/>
    <w:rsid w:val="00C108F1"/>
    <w:rsid w:val="00C12378"/>
    <w:rsid w:val="00C12C29"/>
    <w:rsid w:val="00C1354B"/>
    <w:rsid w:val="00C13C23"/>
    <w:rsid w:val="00C1411B"/>
    <w:rsid w:val="00C149B0"/>
    <w:rsid w:val="00C152A6"/>
    <w:rsid w:val="00C155A6"/>
    <w:rsid w:val="00C15604"/>
    <w:rsid w:val="00C16019"/>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322F"/>
    <w:rsid w:val="00C44560"/>
    <w:rsid w:val="00C4588F"/>
    <w:rsid w:val="00C50D8B"/>
    <w:rsid w:val="00C50F13"/>
    <w:rsid w:val="00C51307"/>
    <w:rsid w:val="00C519D4"/>
    <w:rsid w:val="00C524E7"/>
    <w:rsid w:val="00C56CF6"/>
    <w:rsid w:val="00C57935"/>
    <w:rsid w:val="00C63570"/>
    <w:rsid w:val="00C64368"/>
    <w:rsid w:val="00C65FAE"/>
    <w:rsid w:val="00C660B9"/>
    <w:rsid w:val="00C66207"/>
    <w:rsid w:val="00C726AA"/>
    <w:rsid w:val="00C73D21"/>
    <w:rsid w:val="00C74068"/>
    <w:rsid w:val="00C7544B"/>
    <w:rsid w:val="00C75AD5"/>
    <w:rsid w:val="00C75F79"/>
    <w:rsid w:val="00C760A7"/>
    <w:rsid w:val="00C84937"/>
    <w:rsid w:val="00C87023"/>
    <w:rsid w:val="00C8739E"/>
    <w:rsid w:val="00C8743E"/>
    <w:rsid w:val="00C877F2"/>
    <w:rsid w:val="00C8780B"/>
    <w:rsid w:val="00C90486"/>
    <w:rsid w:val="00C904E9"/>
    <w:rsid w:val="00C90E40"/>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441E"/>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43CE"/>
    <w:rsid w:val="00CE5426"/>
    <w:rsid w:val="00CE5E8C"/>
    <w:rsid w:val="00CE66ED"/>
    <w:rsid w:val="00CE7EA9"/>
    <w:rsid w:val="00CF0E0A"/>
    <w:rsid w:val="00CF2A89"/>
    <w:rsid w:val="00CF46F2"/>
    <w:rsid w:val="00CF5351"/>
    <w:rsid w:val="00CF7B7A"/>
    <w:rsid w:val="00D0004E"/>
    <w:rsid w:val="00D03203"/>
    <w:rsid w:val="00D03D3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6316"/>
    <w:rsid w:val="00D20889"/>
    <w:rsid w:val="00D2120E"/>
    <w:rsid w:val="00D212C8"/>
    <w:rsid w:val="00D22C7F"/>
    <w:rsid w:val="00D23115"/>
    <w:rsid w:val="00D248F8"/>
    <w:rsid w:val="00D2514C"/>
    <w:rsid w:val="00D252D5"/>
    <w:rsid w:val="00D258A9"/>
    <w:rsid w:val="00D26782"/>
    <w:rsid w:val="00D31158"/>
    <w:rsid w:val="00D31297"/>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47C92"/>
    <w:rsid w:val="00D50E05"/>
    <w:rsid w:val="00D511AB"/>
    <w:rsid w:val="00D5127A"/>
    <w:rsid w:val="00D51547"/>
    <w:rsid w:val="00D527F8"/>
    <w:rsid w:val="00D5294E"/>
    <w:rsid w:val="00D537F7"/>
    <w:rsid w:val="00D53938"/>
    <w:rsid w:val="00D53AC6"/>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19BE"/>
    <w:rsid w:val="00D8247D"/>
    <w:rsid w:val="00D83CF0"/>
    <w:rsid w:val="00D84B3B"/>
    <w:rsid w:val="00D84C04"/>
    <w:rsid w:val="00D8678F"/>
    <w:rsid w:val="00D87048"/>
    <w:rsid w:val="00D91349"/>
    <w:rsid w:val="00D9140C"/>
    <w:rsid w:val="00D9331A"/>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1B2C"/>
    <w:rsid w:val="00DB1B58"/>
    <w:rsid w:val="00DB301A"/>
    <w:rsid w:val="00DB3B80"/>
    <w:rsid w:val="00DB3CDA"/>
    <w:rsid w:val="00DB4C8C"/>
    <w:rsid w:val="00DB56E2"/>
    <w:rsid w:val="00DB7180"/>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3767"/>
    <w:rsid w:val="00DE530C"/>
    <w:rsid w:val="00DE6711"/>
    <w:rsid w:val="00DE7992"/>
    <w:rsid w:val="00DE7F92"/>
    <w:rsid w:val="00DF2F4F"/>
    <w:rsid w:val="00DF4239"/>
    <w:rsid w:val="00DF6417"/>
    <w:rsid w:val="00DF7014"/>
    <w:rsid w:val="00DF75B4"/>
    <w:rsid w:val="00DF7E34"/>
    <w:rsid w:val="00E01614"/>
    <w:rsid w:val="00E01B11"/>
    <w:rsid w:val="00E01BE4"/>
    <w:rsid w:val="00E04B95"/>
    <w:rsid w:val="00E06F13"/>
    <w:rsid w:val="00E1137B"/>
    <w:rsid w:val="00E11B04"/>
    <w:rsid w:val="00E13904"/>
    <w:rsid w:val="00E13D63"/>
    <w:rsid w:val="00E15C02"/>
    <w:rsid w:val="00E16242"/>
    <w:rsid w:val="00E16627"/>
    <w:rsid w:val="00E16B58"/>
    <w:rsid w:val="00E20EFB"/>
    <w:rsid w:val="00E21DBD"/>
    <w:rsid w:val="00E21DEF"/>
    <w:rsid w:val="00E22278"/>
    <w:rsid w:val="00E2506B"/>
    <w:rsid w:val="00E2539D"/>
    <w:rsid w:val="00E2734D"/>
    <w:rsid w:val="00E30C56"/>
    <w:rsid w:val="00E3141C"/>
    <w:rsid w:val="00E318E7"/>
    <w:rsid w:val="00E33A90"/>
    <w:rsid w:val="00E35DB0"/>
    <w:rsid w:val="00E376EE"/>
    <w:rsid w:val="00E4066C"/>
    <w:rsid w:val="00E43085"/>
    <w:rsid w:val="00E44CD2"/>
    <w:rsid w:val="00E45BD4"/>
    <w:rsid w:val="00E469A7"/>
    <w:rsid w:val="00E46DBB"/>
    <w:rsid w:val="00E477F3"/>
    <w:rsid w:val="00E517CA"/>
    <w:rsid w:val="00E53934"/>
    <w:rsid w:val="00E5440F"/>
    <w:rsid w:val="00E55072"/>
    <w:rsid w:val="00E555DF"/>
    <w:rsid w:val="00E56081"/>
    <w:rsid w:val="00E56BA0"/>
    <w:rsid w:val="00E56E96"/>
    <w:rsid w:val="00E573C9"/>
    <w:rsid w:val="00E61C66"/>
    <w:rsid w:val="00E61F8A"/>
    <w:rsid w:val="00E61FB5"/>
    <w:rsid w:val="00E62552"/>
    <w:rsid w:val="00E64137"/>
    <w:rsid w:val="00E64B11"/>
    <w:rsid w:val="00E6505B"/>
    <w:rsid w:val="00E65196"/>
    <w:rsid w:val="00E66903"/>
    <w:rsid w:val="00E67794"/>
    <w:rsid w:val="00E7071D"/>
    <w:rsid w:val="00E70C88"/>
    <w:rsid w:val="00E70DF5"/>
    <w:rsid w:val="00E70F38"/>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4C82"/>
    <w:rsid w:val="00E84F06"/>
    <w:rsid w:val="00E85A77"/>
    <w:rsid w:val="00E85C86"/>
    <w:rsid w:val="00E9072E"/>
    <w:rsid w:val="00E908C6"/>
    <w:rsid w:val="00E92105"/>
    <w:rsid w:val="00E92C3A"/>
    <w:rsid w:val="00E93532"/>
    <w:rsid w:val="00E952AA"/>
    <w:rsid w:val="00E95C0C"/>
    <w:rsid w:val="00E977C6"/>
    <w:rsid w:val="00E97F3B"/>
    <w:rsid w:val="00EA05C2"/>
    <w:rsid w:val="00EA0F2D"/>
    <w:rsid w:val="00EA1A83"/>
    <w:rsid w:val="00EA1FF0"/>
    <w:rsid w:val="00EA231C"/>
    <w:rsid w:val="00EA4B19"/>
    <w:rsid w:val="00EA4F03"/>
    <w:rsid w:val="00EA53EB"/>
    <w:rsid w:val="00EA5687"/>
    <w:rsid w:val="00EA6DCE"/>
    <w:rsid w:val="00EA7751"/>
    <w:rsid w:val="00EB0E27"/>
    <w:rsid w:val="00EB1AC9"/>
    <w:rsid w:val="00EB286A"/>
    <w:rsid w:val="00EB2C8B"/>
    <w:rsid w:val="00EB30CC"/>
    <w:rsid w:val="00EB36C6"/>
    <w:rsid w:val="00EB44C5"/>
    <w:rsid w:val="00EB4EDD"/>
    <w:rsid w:val="00EB5684"/>
    <w:rsid w:val="00EB70F6"/>
    <w:rsid w:val="00EB7BFC"/>
    <w:rsid w:val="00EC0DCE"/>
    <w:rsid w:val="00EC1001"/>
    <w:rsid w:val="00EC1B6E"/>
    <w:rsid w:val="00EC1E9D"/>
    <w:rsid w:val="00EC3B64"/>
    <w:rsid w:val="00EC3D90"/>
    <w:rsid w:val="00EC3FAC"/>
    <w:rsid w:val="00EC6196"/>
    <w:rsid w:val="00EC6F01"/>
    <w:rsid w:val="00ED0C20"/>
    <w:rsid w:val="00ED1785"/>
    <w:rsid w:val="00ED189A"/>
    <w:rsid w:val="00ED1A5E"/>
    <w:rsid w:val="00ED2762"/>
    <w:rsid w:val="00ED33A6"/>
    <w:rsid w:val="00ED519C"/>
    <w:rsid w:val="00ED60C1"/>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F06C3"/>
    <w:rsid w:val="00EF10D1"/>
    <w:rsid w:val="00EF1B65"/>
    <w:rsid w:val="00EF1C6C"/>
    <w:rsid w:val="00EF2388"/>
    <w:rsid w:val="00EF40FD"/>
    <w:rsid w:val="00EF5D08"/>
    <w:rsid w:val="00EF614C"/>
    <w:rsid w:val="00EF6774"/>
    <w:rsid w:val="00EF7147"/>
    <w:rsid w:val="00F00438"/>
    <w:rsid w:val="00F02D62"/>
    <w:rsid w:val="00F0410C"/>
    <w:rsid w:val="00F04F2E"/>
    <w:rsid w:val="00F05926"/>
    <w:rsid w:val="00F064A5"/>
    <w:rsid w:val="00F0657B"/>
    <w:rsid w:val="00F07E09"/>
    <w:rsid w:val="00F11402"/>
    <w:rsid w:val="00F1273D"/>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47F0B"/>
    <w:rsid w:val="00F5060D"/>
    <w:rsid w:val="00F51260"/>
    <w:rsid w:val="00F531A5"/>
    <w:rsid w:val="00F537D3"/>
    <w:rsid w:val="00F5434E"/>
    <w:rsid w:val="00F543FB"/>
    <w:rsid w:val="00F6115E"/>
    <w:rsid w:val="00F611D4"/>
    <w:rsid w:val="00F61A18"/>
    <w:rsid w:val="00F61E80"/>
    <w:rsid w:val="00F623DC"/>
    <w:rsid w:val="00F62CD4"/>
    <w:rsid w:val="00F63BEE"/>
    <w:rsid w:val="00F641EC"/>
    <w:rsid w:val="00F665B9"/>
    <w:rsid w:val="00F679FF"/>
    <w:rsid w:val="00F67ACB"/>
    <w:rsid w:val="00F67CF5"/>
    <w:rsid w:val="00F70BC1"/>
    <w:rsid w:val="00F71625"/>
    <w:rsid w:val="00F73424"/>
    <w:rsid w:val="00F759AB"/>
    <w:rsid w:val="00F767F0"/>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719"/>
    <w:rsid w:val="00FA3969"/>
    <w:rsid w:val="00FA481D"/>
    <w:rsid w:val="00FA4AD2"/>
    <w:rsid w:val="00FA52F8"/>
    <w:rsid w:val="00FA60DC"/>
    <w:rsid w:val="00FA63C3"/>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C6643"/>
    <w:rsid w:val="00FD057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4939"/>
    <w:rsid w:val="00FE6079"/>
    <w:rsid w:val="00FE63A5"/>
    <w:rsid w:val="00FE64FE"/>
    <w:rsid w:val="00FF02AB"/>
    <w:rsid w:val="00FF03FD"/>
    <w:rsid w:val="00FF28E2"/>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54576226">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493763635">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da.gov/news-events/press-announcements/coronavirus-covid-19-update-fda-authorizes-changes-simplify-use-bivalent-mrna-covid-19-vacci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5</cp:revision>
  <cp:lastPrinted>2022-09-26T19:00:00Z</cp:lastPrinted>
  <dcterms:created xsi:type="dcterms:W3CDTF">2023-04-18T18:22:00Z</dcterms:created>
  <dcterms:modified xsi:type="dcterms:W3CDTF">2023-04-19T14:53:00Z</dcterms:modified>
</cp:coreProperties>
</file>