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81E0B" w14:textId="77777777" w:rsidR="008C360C" w:rsidRDefault="002A0B22">
      <w:pPr>
        <w:tabs>
          <w:tab w:val="right" w:pos="9360"/>
        </w:tabs>
        <w:spacing w:before="16" w:after="489" w:line="229" w:lineRule="exact"/>
        <w:textAlignment w:val="baseline"/>
        <w:rPr>
          <w:rFonts w:ascii="Verdana" w:eastAsia="Verdana" w:hAnsi="Verdana"/>
          <w:color w:val="000000"/>
          <w:sz w:val="19"/>
        </w:rPr>
      </w:pPr>
      <w:r>
        <w:rPr>
          <w:rFonts w:ascii="Verdana" w:eastAsia="Verdana" w:hAnsi="Verdana"/>
          <w:color w:val="000000"/>
          <w:sz w:val="19"/>
        </w:rPr>
        <w:t>Greater Boston Urology, LLC</w:t>
      </w:r>
      <w:r>
        <w:rPr>
          <w:rFonts w:ascii="Verdana" w:eastAsia="Verdana" w:hAnsi="Verdana"/>
          <w:color w:val="000000"/>
          <w:sz w:val="19"/>
        </w:rPr>
        <w:tab/>
        <w:t>DON Application # GBU-25090411-RE</w:t>
      </w:r>
    </w:p>
    <w:p w14:paraId="6C381E0C" w14:textId="77777777" w:rsidR="008C360C" w:rsidRDefault="008C360C">
      <w:pPr>
        <w:spacing w:before="16" w:after="489" w:line="229" w:lineRule="exact"/>
        <w:sectPr w:rsidR="008C360C">
          <w:pgSz w:w="12240" w:h="15840"/>
          <w:pgMar w:top="720" w:right="1430" w:bottom="13744" w:left="1450" w:header="720" w:footer="720" w:gutter="0"/>
          <w:cols w:space="720"/>
        </w:sectPr>
      </w:pPr>
    </w:p>
    <w:p w14:paraId="6C381E0D" w14:textId="13B699ED" w:rsidR="008C360C" w:rsidRPr="00FA1470" w:rsidRDefault="00FA1470" w:rsidP="00FA1470">
      <w:pPr>
        <w:pStyle w:val="Heading1"/>
      </w:pPr>
      <w:r w:rsidRPr="00FA1470">
        <w:t xml:space="preserve">Exhibit </w:t>
      </w:r>
      <w:proofErr w:type="gramStart"/>
      <w:r w:rsidRPr="00FA1470">
        <w:t>B(</w:t>
      </w:r>
      <w:proofErr w:type="gramEnd"/>
      <w:r w:rsidRPr="00FA1470">
        <w:t>7) – Independent Certified Public Accountant Report</w:t>
      </w:r>
    </w:p>
    <w:p w14:paraId="6C381E0E" w14:textId="77777777" w:rsidR="008C360C" w:rsidRDefault="008C360C">
      <w:pPr>
        <w:sectPr w:rsidR="008C360C">
          <w:type w:val="continuous"/>
          <w:pgSz w:w="12240" w:h="15840"/>
          <w:pgMar w:top="720" w:right="1430" w:bottom="13744" w:left="1450" w:header="720" w:footer="720" w:gutter="0"/>
          <w:cols w:space="720"/>
        </w:sectPr>
      </w:pPr>
    </w:p>
    <w:p w14:paraId="6C381E0F" w14:textId="77777777" w:rsidR="008C360C" w:rsidRDefault="002A0B22">
      <w:pPr>
        <w:spacing w:before="8" w:line="374" w:lineRule="exact"/>
        <w:textAlignment w:val="baseline"/>
        <w:rPr>
          <w:rFonts w:ascii="Tahoma" w:eastAsia="Tahoma" w:hAnsi="Tahoma"/>
          <w:b/>
          <w:color w:val="000000"/>
          <w:spacing w:val="15"/>
          <w:sz w:val="30"/>
        </w:rPr>
      </w:pPr>
      <w:r>
        <w:rPr>
          <w:rFonts w:ascii="Tahoma" w:eastAsia="Tahoma" w:hAnsi="Tahoma"/>
          <w:b/>
          <w:color w:val="000000"/>
          <w:spacing w:val="15"/>
          <w:sz w:val="30"/>
        </w:rPr>
        <w:lastRenderedPageBreak/>
        <w:t>Analysis of the Reasonableness of</w:t>
      </w:r>
    </w:p>
    <w:p w14:paraId="6C381E10" w14:textId="77777777" w:rsidR="008C360C" w:rsidRDefault="002A0B22">
      <w:pPr>
        <w:spacing w:line="374" w:lineRule="exact"/>
        <w:textAlignment w:val="baseline"/>
        <w:rPr>
          <w:rFonts w:ascii="Tahoma" w:eastAsia="Tahoma" w:hAnsi="Tahoma"/>
          <w:b/>
          <w:color w:val="000000"/>
          <w:spacing w:val="-2"/>
          <w:sz w:val="30"/>
        </w:rPr>
      </w:pPr>
      <w:r>
        <w:rPr>
          <w:rFonts w:ascii="Tahoma" w:eastAsia="Tahoma" w:hAnsi="Tahoma"/>
          <w:b/>
          <w:color w:val="000000"/>
          <w:spacing w:val="-2"/>
          <w:sz w:val="30"/>
        </w:rPr>
        <w:t>Assumptions Used For and</w:t>
      </w:r>
    </w:p>
    <w:p w14:paraId="6C381E11" w14:textId="77777777" w:rsidR="008C360C" w:rsidRDefault="002A0B22">
      <w:pPr>
        <w:spacing w:line="374" w:lineRule="exact"/>
        <w:textAlignment w:val="baseline"/>
        <w:rPr>
          <w:rFonts w:ascii="Tahoma" w:eastAsia="Tahoma" w:hAnsi="Tahoma"/>
          <w:b/>
          <w:color w:val="000000"/>
          <w:sz w:val="30"/>
        </w:rPr>
      </w:pPr>
      <w:r>
        <w:rPr>
          <w:rFonts w:ascii="Tahoma" w:eastAsia="Tahoma" w:hAnsi="Tahoma"/>
          <w:b/>
          <w:color w:val="000000"/>
          <w:sz w:val="30"/>
        </w:rPr>
        <w:t>Feasibility of Projected Financials of:</w:t>
      </w:r>
    </w:p>
    <w:p w14:paraId="6C381E12" w14:textId="77777777" w:rsidR="008C360C" w:rsidRDefault="002A0B22">
      <w:pPr>
        <w:spacing w:before="370" w:line="322" w:lineRule="exact"/>
        <w:textAlignment w:val="baseline"/>
        <w:rPr>
          <w:rFonts w:ascii="Verdana" w:eastAsia="Verdana" w:hAnsi="Verdana"/>
          <w:color w:val="000000"/>
          <w:spacing w:val="-6"/>
          <w:sz w:val="26"/>
        </w:rPr>
      </w:pPr>
      <w:r>
        <w:rPr>
          <w:rFonts w:ascii="Verdana" w:eastAsia="Verdana" w:hAnsi="Verdana"/>
          <w:color w:val="000000"/>
          <w:spacing w:val="-6"/>
          <w:sz w:val="26"/>
        </w:rPr>
        <w:t>Greater Boston Urology, LLC</w:t>
      </w:r>
    </w:p>
    <w:p w14:paraId="6C381E13" w14:textId="77777777" w:rsidR="008C360C" w:rsidRDefault="002A0B22">
      <w:pPr>
        <w:spacing w:before="5" w:after="2030" w:line="278" w:lineRule="exact"/>
        <w:ind w:right="1368"/>
        <w:textAlignment w:val="baseline"/>
        <w:rPr>
          <w:rFonts w:ascii="Verdana" w:eastAsia="Verdana" w:hAnsi="Verdana"/>
          <w:color w:val="000000"/>
        </w:rPr>
      </w:pPr>
      <w:r>
        <w:rPr>
          <w:rFonts w:ascii="Verdana" w:eastAsia="Verdana" w:hAnsi="Verdana"/>
          <w:color w:val="000000"/>
        </w:rPr>
        <w:t xml:space="preserve">For the Years Ending December 31, </w:t>
      </w:r>
      <w:proofErr w:type="gramStart"/>
      <w:r>
        <w:rPr>
          <w:rFonts w:ascii="Verdana" w:eastAsia="Verdana" w:hAnsi="Verdana"/>
          <w:color w:val="000000"/>
        </w:rPr>
        <w:t>2025</w:t>
      </w:r>
      <w:proofErr w:type="gramEnd"/>
      <w:r>
        <w:rPr>
          <w:rFonts w:ascii="Verdana" w:eastAsia="Verdana" w:hAnsi="Verdana"/>
          <w:color w:val="000000"/>
        </w:rPr>
        <w:t xml:space="preserve"> Through December 31, 2030</w:t>
      </w:r>
    </w:p>
    <w:p w14:paraId="6C381E14" w14:textId="77777777" w:rsidR="008C360C" w:rsidRDefault="008C360C">
      <w:pPr>
        <w:spacing w:before="5" w:after="2030" w:line="278" w:lineRule="exact"/>
        <w:sectPr w:rsidR="008C360C">
          <w:pgSz w:w="12240" w:h="15840"/>
          <w:pgMar w:top="4860" w:right="572" w:bottom="0" w:left="5904" w:header="720" w:footer="720" w:gutter="0"/>
          <w:cols w:space="720"/>
        </w:sectPr>
      </w:pPr>
    </w:p>
    <w:p w14:paraId="6C381E15" w14:textId="3E8A0912" w:rsidR="008C360C" w:rsidRDefault="00000000">
      <w:pPr>
        <w:spacing w:before="4667" w:after="51" w:line="168" w:lineRule="exact"/>
        <w:ind w:right="72"/>
        <w:jc w:val="both"/>
        <w:textAlignment w:val="baseline"/>
        <w:rPr>
          <w:rFonts w:ascii="Tahoma" w:eastAsia="Tahoma" w:hAnsi="Tahoma"/>
          <w:color w:val="000000"/>
          <w:sz w:val="10"/>
        </w:rPr>
      </w:pPr>
      <w:r>
        <w:pict w14:anchorId="6A8DE406">
          <v:shapetype id="_x0000_t202" coordsize="21600,21600" o:spt="202" path="m,l,21600r21600,l21600,xe">
            <v:stroke joinstyle="miter"/>
            <v:path gradientshapeok="t" o:connecttype="rect"/>
          </v:shapetype>
          <v:shape id="_x0000_s0" o:spid="_x0000_s2055" type="#_x0000_t202" style="position:absolute;left:0;text-align:left;margin-left:291.85pt;margin-top:463.7pt;width:14.4pt;height:326.4pt;z-index:-251658752;mso-wrap-distance-left:0;mso-wrap-distance-right:0;mso-position-horizontal-relative:page;mso-position-vertical-relative:page" fillcolor="#cf113f" stroked="f">
            <v:textbox style="mso-next-textbox:#_x0000_s0" inset="0,0,0,0">
              <w:txbxContent>
                <w:p w14:paraId="6C381FC3" w14:textId="18567705" w:rsidR="005F0117" w:rsidRDefault="00181696">
                  <w:r w:rsidRPr="00181696">
                    <w:rPr>
                      <w:noProof/>
                    </w:rPr>
                    <w:drawing>
                      <wp:inline distT="0" distB="0" distL="0" distR="0" wp14:anchorId="519DA625" wp14:editId="08092E22">
                        <wp:extent cx="182880" cy="8890"/>
                        <wp:effectExtent l="0" t="0" r="0" b="0"/>
                        <wp:docPr id="20853450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345030" name="Pictur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8890"/>
                                </a:xfrm>
                                <a:prstGeom prst="rect">
                                  <a:avLst/>
                                </a:prstGeom>
                                <a:noFill/>
                                <a:ln>
                                  <a:noFill/>
                                </a:ln>
                              </pic:spPr>
                            </pic:pic>
                          </a:graphicData>
                        </a:graphic>
                      </wp:inline>
                    </w:drawing>
                  </w:r>
                </w:p>
              </w:txbxContent>
            </v:textbox>
            <w10:wrap type="square" anchorx="page" anchory="page"/>
          </v:shape>
        </w:pict>
      </w:r>
      <w:r w:rsidR="002A0B22">
        <w:rPr>
          <w:rFonts w:ascii="Tahoma" w:eastAsia="Tahoma" w:hAnsi="Tahoma"/>
          <w:color w:val="000000"/>
          <w:sz w:val="10"/>
        </w:rPr>
        <w:t>This report was issued by BDO USA, P.C., a Virginia professional corpora</w:t>
      </w:r>
      <w:r w:rsidR="00277BC5">
        <w:rPr>
          <w:rFonts w:ascii="Tahoma" w:eastAsia="Tahoma" w:hAnsi="Tahoma"/>
          <w:color w:val="000000"/>
          <w:sz w:val="10"/>
        </w:rPr>
        <w:t>ti</w:t>
      </w:r>
      <w:r w:rsidR="002A0B22">
        <w:rPr>
          <w:rFonts w:ascii="Tahoma" w:eastAsia="Tahoma" w:hAnsi="Tahoma"/>
          <w:color w:val="000000"/>
          <w:sz w:val="10"/>
        </w:rPr>
        <w:t xml:space="preserve">on and the U.S. member of BDO </w:t>
      </w:r>
      <w:r w:rsidR="00664E3B">
        <w:rPr>
          <w:rFonts w:ascii="Tahoma" w:eastAsia="Tahoma" w:hAnsi="Tahoma"/>
          <w:color w:val="000000"/>
          <w:sz w:val="10"/>
        </w:rPr>
        <w:t>International</w:t>
      </w:r>
      <w:r w:rsidR="002A0B22">
        <w:rPr>
          <w:rFonts w:ascii="Tahoma" w:eastAsia="Tahoma" w:hAnsi="Tahoma"/>
          <w:color w:val="000000"/>
          <w:sz w:val="10"/>
        </w:rPr>
        <w:t xml:space="preserve"> Limited, a UK company limited by guarantee.</w:t>
      </w:r>
    </w:p>
    <w:p w14:paraId="6C381E16" w14:textId="77777777" w:rsidR="008C360C" w:rsidRDefault="008C360C">
      <w:pPr>
        <w:spacing w:before="4667" w:after="51" w:line="168" w:lineRule="exact"/>
        <w:sectPr w:rsidR="008C360C">
          <w:type w:val="continuous"/>
          <w:pgSz w:w="12240" w:h="15840"/>
          <w:pgMar w:top="4860" w:right="6864" w:bottom="0" w:left="1056" w:header="720" w:footer="720" w:gutter="0"/>
          <w:cols w:space="720"/>
        </w:sectPr>
      </w:pPr>
    </w:p>
    <w:p w14:paraId="6C381E18" w14:textId="124AAD3C" w:rsidR="008C360C" w:rsidRDefault="00083534">
      <w:pPr>
        <w:sectPr w:rsidR="008C360C">
          <w:headerReference w:type="default" r:id="rId10"/>
          <w:type w:val="continuous"/>
          <w:pgSz w:w="12240" w:h="15840"/>
          <w:pgMar w:top="4860" w:right="572" w:bottom="0" w:left="10128" w:header="720" w:footer="720" w:gutter="0"/>
          <w:cols w:space="720"/>
        </w:sectPr>
      </w:pPr>
      <w:r>
        <w:rPr>
          <w:noProof/>
        </w:rPr>
        <w:drawing>
          <wp:inline distT="0" distB="0" distL="0" distR="0" wp14:anchorId="55E4A326" wp14:editId="5260C517">
            <wp:extent cx="977900" cy="375387"/>
            <wp:effectExtent l="0" t="0" r="0" b="5715"/>
            <wp:docPr id="265543065" name="Picture" descr="BDO logo"/>
            <wp:cNvGraphicFramePr/>
            <a:graphic xmlns:a="http://schemas.openxmlformats.org/drawingml/2006/main">
              <a:graphicData uri="http://schemas.openxmlformats.org/drawingml/2006/picture">
                <pic:pic xmlns:pic="http://schemas.openxmlformats.org/drawingml/2006/picture">
                  <pic:nvPicPr>
                    <pic:cNvPr id="265543065" name="Picture" descr="BDO logo"/>
                    <pic:cNvPicPr/>
                  </pic:nvPicPr>
                  <pic:blipFill>
                    <a:blip r:embed="rId11"/>
                    <a:stretch>
                      <a:fillRect/>
                    </a:stretch>
                  </pic:blipFill>
                  <pic:spPr>
                    <a:xfrm>
                      <a:off x="0" y="0"/>
                      <a:ext cx="977900" cy="375387"/>
                    </a:xfrm>
                    <a:prstGeom prst="rect">
                      <a:avLst/>
                    </a:prstGeom>
                  </pic:spPr>
                </pic:pic>
              </a:graphicData>
            </a:graphic>
          </wp:inline>
        </w:drawing>
      </w:r>
    </w:p>
    <w:p w14:paraId="1FB98494" w14:textId="026F8788" w:rsidR="00863E1B" w:rsidRDefault="00863E1B" w:rsidP="00863E1B">
      <w:pPr>
        <w:pStyle w:val="Header"/>
        <w:tabs>
          <w:tab w:val="left" w:pos="7470"/>
        </w:tabs>
        <w:rPr>
          <w:rFonts w:ascii="Arial" w:eastAsia="Arial" w:hAnsi="Arial"/>
          <w:b/>
          <w:color w:val="000000"/>
          <w:sz w:val="16"/>
        </w:rPr>
      </w:pPr>
      <w:r>
        <w:rPr>
          <w:noProof/>
        </w:rPr>
        <w:lastRenderedPageBreak/>
        <w:drawing>
          <wp:inline distT="0" distB="0" distL="0" distR="0" wp14:anchorId="257F8EB8" wp14:editId="540BD041">
            <wp:extent cx="984250" cy="377825"/>
            <wp:effectExtent l="0" t="0" r="0" b="0"/>
            <wp:docPr id="1409910807" name="Picture" descr="BDO logo"/>
            <wp:cNvGraphicFramePr/>
            <a:graphic xmlns:a="http://schemas.openxmlformats.org/drawingml/2006/main">
              <a:graphicData uri="http://schemas.openxmlformats.org/drawingml/2006/picture">
                <pic:pic xmlns:pic="http://schemas.openxmlformats.org/drawingml/2006/picture">
                  <pic:nvPicPr>
                    <pic:cNvPr id="1409910807" name="Picture" descr="BDO logo"/>
                    <pic:cNvPicPr/>
                  </pic:nvPicPr>
                  <pic:blipFill>
                    <a:blip r:embed="rId11"/>
                    <a:stretch>
                      <a:fillRect/>
                    </a:stretch>
                  </pic:blipFill>
                  <pic:spPr>
                    <a:xfrm>
                      <a:off x="0" y="0"/>
                      <a:ext cx="984250" cy="377825"/>
                    </a:xfrm>
                    <a:prstGeom prst="rect">
                      <a:avLst/>
                    </a:prstGeom>
                  </pic:spPr>
                </pic:pic>
              </a:graphicData>
            </a:graphic>
          </wp:inline>
        </w:drawing>
      </w:r>
      <w:r w:rsidRPr="00D26EC5">
        <w:rPr>
          <w:rFonts w:ascii="Arial" w:eastAsia="Arial" w:hAnsi="Arial"/>
          <w:b/>
          <w:color w:val="000000"/>
          <w:spacing w:val="-3"/>
          <w:sz w:val="16"/>
        </w:rPr>
        <w:t xml:space="preserve"> </w:t>
      </w:r>
      <w:r>
        <w:rPr>
          <w:rFonts w:ascii="Arial" w:eastAsia="Arial" w:hAnsi="Arial"/>
          <w:b/>
          <w:color w:val="000000"/>
          <w:spacing w:val="-3"/>
          <w:sz w:val="16"/>
        </w:rPr>
        <w:tab/>
        <w:t xml:space="preserve">Tel: 617-422-0700 Fax: 617-422-0909 </w:t>
      </w:r>
      <w:hyperlink r:id="rId12" w:history="1">
        <w:r w:rsidRPr="00387ED4">
          <w:rPr>
            <w:rStyle w:val="Hyperlink"/>
            <w:rFonts w:ascii="Arial" w:eastAsia="Arial" w:hAnsi="Arial"/>
            <w:b/>
            <w:spacing w:val="-3"/>
            <w:sz w:val="16"/>
          </w:rPr>
          <w:t>www.bdo.com</w:t>
        </w:r>
      </w:hyperlink>
      <w:r>
        <w:rPr>
          <w:rFonts w:ascii="Arial" w:eastAsia="Arial" w:hAnsi="Arial"/>
          <w:b/>
          <w:color w:val="0000FF"/>
          <w:spacing w:val="-3"/>
          <w:sz w:val="16"/>
          <w:u w:val="single"/>
        </w:rPr>
        <w:tab/>
      </w:r>
      <w:r>
        <w:rPr>
          <w:rFonts w:ascii="Arial" w:eastAsia="Arial" w:hAnsi="Arial"/>
          <w:b/>
          <w:color w:val="000000"/>
          <w:sz w:val="16"/>
        </w:rPr>
        <w:t>BDO USA, P.C.</w:t>
      </w:r>
    </w:p>
    <w:p w14:paraId="2B1FF1F1" w14:textId="77777777" w:rsidR="00863E1B" w:rsidRDefault="00863E1B" w:rsidP="00863E1B">
      <w:pPr>
        <w:pStyle w:val="Header"/>
        <w:tabs>
          <w:tab w:val="clear" w:pos="4680"/>
          <w:tab w:val="left" w:pos="7470"/>
          <w:tab w:val="left" w:pos="8190"/>
        </w:tabs>
        <w:rPr>
          <w:rFonts w:ascii="Arial" w:eastAsia="Arial" w:hAnsi="Arial"/>
          <w:b/>
          <w:color w:val="000000"/>
          <w:sz w:val="16"/>
        </w:rPr>
      </w:pPr>
      <w:r>
        <w:rPr>
          <w:rFonts w:ascii="Arial" w:eastAsia="Arial" w:hAnsi="Arial"/>
          <w:b/>
          <w:color w:val="000000"/>
          <w:sz w:val="16"/>
        </w:rPr>
        <w:tab/>
        <w:t>One International Place</w:t>
      </w:r>
    </w:p>
    <w:p w14:paraId="03916BAB" w14:textId="77777777" w:rsidR="00863E1B" w:rsidRDefault="00863E1B" w:rsidP="00863E1B">
      <w:pPr>
        <w:pStyle w:val="Header"/>
        <w:tabs>
          <w:tab w:val="clear" w:pos="4680"/>
          <w:tab w:val="left" w:pos="7470"/>
          <w:tab w:val="left" w:pos="8190"/>
        </w:tabs>
        <w:rPr>
          <w:rFonts w:ascii="Arial" w:eastAsia="Arial" w:hAnsi="Arial"/>
          <w:b/>
          <w:color w:val="000000"/>
          <w:spacing w:val="-3"/>
          <w:sz w:val="16"/>
        </w:rPr>
      </w:pPr>
      <w:r>
        <w:rPr>
          <w:rFonts w:ascii="Arial" w:eastAsia="Arial" w:hAnsi="Arial"/>
          <w:b/>
          <w:color w:val="000000"/>
          <w:sz w:val="16"/>
        </w:rPr>
        <w:tab/>
        <w:t>Fourth Floor</w:t>
      </w:r>
    </w:p>
    <w:p w14:paraId="6C381E20" w14:textId="2F623502" w:rsidR="008C360C" w:rsidRDefault="00863E1B" w:rsidP="00FF70A7">
      <w:pPr>
        <w:pStyle w:val="Header"/>
        <w:tabs>
          <w:tab w:val="clear" w:pos="4680"/>
          <w:tab w:val="left" w:pos="7470"/>
          <w:tab w:val="left" w:pos="8190"/>
        </w:tabs>
      </w:pPr>
      <w:r>
        <w:rPr>
          <w:rFonts w:ascii="Arial" w:eastAsia="Arial" w:hAnsi="Arial"/>
          <w:b/>
          <w:color w:val="000000"/>
          <w:spacing w:val="-3"/>
          <w:sz w:val="16"/>
        </w:rPr>
        <w:tab/>
      </w:r>
      <w:r>
        <w:rPr>
          <w:rFonts w:ascii="Arial" w:eastAsia="Arial" w:hAnsi="Arial"/>
          <w:b/>
          <w:color w:val="000000"/>
          <w:sz w:val="16"/>
        </w:rPr>
        <w:t>Boston, MA 02110</w:t>
      </w:r>
    </w:p>
    <w:p w14:paraId="1E4C2B15" w14:textId="77777777" w:rsidR="00FF70A7" w:rsidRDefault="00FF70A7">
      <w:pPr>
        <w:spacing w:before="2" w:line="250" w:lineRule="exact"/>
        <w:ind w:left="288"/>
        <w:textAlignment w:val="baseline"/>
        <w:rPr>
          <w:rFonts w:ascii="Arial" w:eastAsia="Arial" w:hAnsi="Arial"/>
          <w:b/>
          <w:color w:val="000000"/>
          <w:spacing w:val="-5"/>
        </w:rPr>
      </w:pPr>
    </w:p>
    <w:p w14:paraId="6C381E21" w14:textId="65984998" w:rsidR="008C360C" w:rsidRDefault="002A0B22">
      <w:pPr>
        <w:spacing w:before="2" w:line="250" w:lineRule="exact"/>
        <w:ind w:left="288"/>
        <w:textAlignment w:val="baseline"/>
        <w:rPr>
          <w:rFonts w:ascii="Arial" w:eastAsia="Arial" w:hAnsi="Arial"/>
          <w:b/>
          <w:color w:val="000000"/>
          <w:spacing w:val="-5"/>
        </w:rPr>
      </w:pPr>
      <w:r>
        <w:rPr>
          <w:rFonts w:ascii="Arial" w:eastAsia="Arial" w:hAnsi="Arial"/>
          <w:b/>
          <w:color w:val="000000"/>
          <w:spacing w:val="-5"/>
        </w:rPr>
        <w:t>February 25, 2026</w:t>
      </w:r>
    </w:p>
    <w:p w14:paraId="6C381E22" w14:textId="77777777" w:rsidR="008C360C" w:rsidRDefault="002A0B22">
      <w:pPr>
        <w:spacing w:before="514" w:line="250" w:lineRule="exact"/>
        <w:ind w:left="288"/>
        <w:textAlignment w:val="baseline"/>
        <w:rPr>
          <w:rFonts w:ascii="Arial" w:eastAsia="Arial" w:hAnsi="Arial"/>
          <w:b/>
          <w:color w:val="000000"/>
          <w:spacing w:val="-10"/>
        </w:rPr>
      </w:pPr>
      <w:r>
        <w:rPr>
          <w:rFonts w:ascii="Arial" w:eastAsia="Arial" w:hAnsi="Arial"/>
          <w:b/>
          <w:color w:val="000000"/>
          <w:spacing w:val="-10"/>
        </w:rPr>
        <w:t>Mandy Lawrence</w:t>
      </w:r>
    </w:p>
    <w:p w14:paraId="6C381E23" w14:textId="77777777" w:rsidR="008C360C" w:rsidRDefault="002A0B22">
      <w:pPr>
        <w:spacing w:before="9" w:line="250" w:lineRule="exact"/>
        <w:ind w:left="288"/>
        <w:textAlignment w:val="baseline"/>
        <w:rPr>
          <w:rFonts w:ascii="Arial" w:eastAsia="Arial" w:hAnsi="Arial"/>
          <w:b/>
          <w:color w:val="000000"/>
          <w:spacing w:val="-5"/>
        </w:rPr>
      </w:pPr>
      <w:r>
        <w:rPr>
          <w:rFonts w:ascii="Arial" w:eastAsia="Arial" w:hAnsi="Arial"/>
          <w:b/>
          <w:color w:val="000000"/>
          <w:spacing w:val="-5"/>
        </w:rPr>
        <w:t>Chief Operating Officer</w:t>
      </w:r>
    </w:p>
    <w:p w14:paraId="6C381E24" w14:textId="77777777" w:rsidR="008C360C" w:rsidRDefault="002A0B22">
      <w:pPr>
        <w:spacing w:before="4" w:line="250" w:lineRule="exact"/>
        <w:ind w:left="288"/>
        <w:textAlignment w:val="baseline"/>
        <w:rPr>
          <w:rFonts w:ascii="Arial" w:eastAsia="Arial" w:hAnsi="Arial"/>
          <w:b/>
          <w:color w:val="000000"/>
          <w:spacing w:val="-8"/>
        </w:rPr>
      </w:pPr>
      <w:r>
        <w:rPr>
          <w:rFonts w:ascii="Arial" w:eastAsia="Arial" w:hAnsi="Arial"/>
          <w:b/>
          <w:color w:val="000000"/>
          <w:spacing w:val="-8"/>
        </w:rPr>
        <w:t>U.S. Urology Partners Holdings, LLC</w:t>
      </w:r>
    </w:p>
    <w:p w14:paraId="6C381E25" w14:textId="77777777" w:rsidR="008C360C" w:rsidRDefault="002A0B22">
      <w:pPr>
        <w:spacing w:before="9" w:line="250" w:lineRule="exact"/>
        <w:ind w:left="288"/>
        <w:textAlignment w:val="baseline"/>
        <w:rPr>
          <w:rFonts w:ascii="Arial" w:eastAsia="Arial" w:hAnsi="Arial"/>
          <w:b/>
          <w:color w:val="000000"/>
          <w:spacing w:val="-8"/>
        </w:rPr>
      </w:pPr>
      <w:r>
        <w:rPr>
          <w:rFonts w:ascii="Arial" w:eastAsia="Arial" w:hAnsi="Arial"/>
          <w:b/>
          <w:color w:val="000000"/>
          <w:spacing w:val="-8"/>
        </w:rPr>
        <w:t>6688 Nolensville Road</w:t>
      </w:r>
    </w:p>
    <w:p w14:paraId="6C381E26" w14:textId="77777777" w:rsidR="008C360C" w:rsidRDefault="002A0B22">
      <w:pPr>
        <w:spacing w:before="5" w:line="250" w:lineRule="exact"/>
        <w:ind w:left="288"/>
        <w:textAlignment w:val="baseline"/>
        <w:rPr>
          <w:rFonts w:ascii="Arial" w:eastAsia="Arial" w:hAnsi="Arial"/>
          <w:b/>
          <w:color w:val="000000"/>
          <w:spacing w:val="-6"/>
        </w:rPr>
      </w:pPr>
      <w:r>
        <w:rPr>
          <w:rFonts w:ascii="Arial" w:eastAsia="Arial" w:hAnsi="Arial"/>
          <w:b/>
          <w:color w:val="000000"/>
          <w:spacing w:val="-6"/>
        </w:rPr>
        <w:t>Suite 108, Box #86</w:t>
      </w:r>
    </w:p>
    <w:p w14:paraId="6C381E27" w14:textId="77777777" w:rsidR="008C360C" w:rsidRDefault="002A0B22">
      <w:pPr>
        <w:spacing w:before="4" w:line="250" w:lineRule="exact"/>
        <w:ind w:left="288"/>
        <w:textAlignment w:val="baseline"/>
        <w:rPr>
          <w:rFonts w:ascii="Arial" w:eastAsia="Arial" w:hAnsi="Arial"/>
          <w:b/>
          <w:color w:val="000000"/>
          <w:spacing w:val="-6"/>
        </w:rPr>
      </w:pPr>
      <w:r>
        <w:rPr>
          <w:rFonts w:ascii="Arial" w:eastAsia="Arial" w:hAnsi="Arial"/>
          <w:b/>
          <w:color w:val="000000"/>
          <w:spacing w:val="-6"/>
        </w:rPr>
        <w:t>Brentwood, TN 37027</w:t>
      </w:r>
    </w:p>
    <w:p w14:paraId="6C381E28" w14:textId="77777777" w:rsidR="008C360C" w:rsidRDefault="002A0B22">
      <w:pPr>
        <w:spacing w:before="505" w:line="278" w:lineRule="exact"/>
        <w:ind w:left="720" w:hanging="432"/>
        <w:textAlignment w:val="baseline"/>
        <w:rPr>
          <w:rFonts w:ascii="Arial" w:eastAsia="Arial" w:hAnsi="Arial"/>
          <w:b/>
          <w:color w:val="000000"/>
        </w:rPr>
      </w:pPr>
      <w:r>
        <w:rPr>
          <w:rFonts w:ascii="Arial" w:eastAsia="Arial" w:hAnsi="Arial"/>
          <w:b/>
          <w:color w:val="000000"/>
        </w:rPr>
        <w:t>RE: Project Financial Feasibility Services Associated with Department of Public Health Determination of Need Factor 4</w:t>
      </w:r>
    </w:p>
    <w:p w14:paraId="6C381E29" w14:textId="77777777" w:rsidR="008C360C" w:rsidRDefault="002A0B22">
      <w:pPr>
        <w:spacing w:before="768" w:line="250" w:lineRule="exact"/>
        <w:ind w:left="288"/>
        <w:textAlignment w:val="baseline"/>
        <w:rPr>
          <w:rFonts w:ascii="Arial" w:eastAsia="Arial" w:hAnsi="Arial"/>
          <w:b/>
          <w:color w:val="000000"/>
          <w:spacing w:val="-8"/>
        </w:rPr>
      </w:pPr>
      <w:r>
        <w:rPr>
          <w:rFonts w:ascii="Arial" w:eastAsia="Arial" w:hAnsi="Arial"/>
          <w:b/>
          <w:color w:val="000000"/>
          <w:spacing w:val="-8"/>
        </w:rPr>
        <w:t>Dear Ms. Lawrence:</w:t>
      </w:r>
    </w:p>
    <w:p w14:paraId="6C381E2A" w14:textId="77777777" w:rsidR="008C360C" w:rsidRDefault="002A0B22">
      <w:pPr>
        <w:spacing w:before="508" w:line="256" w:lineRule="exact"/>
        <w:ind w:left="1008"/>
        <w:textAlignment w:val="baseline"/>
        <w:rPr>
          <w:rFonts w:ascii="Arial" w:eastAsia="Arial" w:hAnsi="Arial"/>
          <w:b/>
          <w:color w:val="000000"/>
          <w:spacing w:val="-8"/>
        </w:rPr>
      </w:pPr>
      <w:r>
        <w:rPr>
          <w:rFonts w:ascii="Arial" w:eastAsia="Arial" w:hAnsi="Arial"/>
          <w:b/>
          <w:color w:val="000000"/>
          <w:spacing w:val="-8"/>
        </w:rPr>
        <w:t xml:space="preserve">Enclosed is </w:t>
      </w:r>
      <w:r>
        <w:rPr>
          <w:rFonts w:ascii="Arial" w:eastAsia="Arial" w:hAnsi="Arial"/>
          <w:color w:val="000000"/>
          <w:spacing w:val="-8"/>
        </w:rPr>
        <w:t xml:space="preserve">a </w:t>
      </w:r>
      <w:r>
        <w:rPr>
          <w:rFonts w:ascii="Arial" w:eastAsia="Arial" w:hAnsi="Arial"/>
          <w:b/>
          <w:color w:val="000000"/>
          <w:spacing w:val="-8"/>
        </w:rPr>
        <w:t>copy of our report on the reasonableness of assumptions used for and feasibility of the financial projections for Greater Boston Urology, LLC. Please contact me to discuss this report once you have had an opportunity to review.</w:t>
      </w:r>
    </w:p>
    <w:p w14:paraId="6C381E2B" w14:textId="77777777" w:rsidR="008C360C" w:rsidRDefault="002A0B22">
      <w:pPr>
        <w:spacing w:before="768" w:after="278" w:line="250" w:lineRule="exact"/>
        <w:ind w:left="288"/>
        <w:textAlignment w:val="baseline"/>
        <w:rPr>
          <w:rFonts w:ascii="Arial" w:eastAsia="Arial" w:hAnsi="Arial"/>
          <w:b/>
          <w:color w:val="000000"/>
          <w:spacing w:val="-8"/>
        </w:rPr>
      </w:pPr>
      <w:r>
        <w:rPr>
          <w:rFonts w:ascii="Arial" w:eastAsia="Arial" w:hAnsi="Arial"/>
          <w:b/>
          <w:color w:val="000000"/>
          <w:spacing w:val="-8"/>
        </w:rPr>
        <w:t>Sincerely,</w:t>
      </w:r>
    </w:p>
    <w:p w14:paraId="6C381E2C" w14:textId="77777777" w:rsidR="008C360C" w:rsidRDefault="002A0B22">
      <w:pPr>
        <w:spacing w:after="4585"/>
        <w:ind w:right="6795"/>
        <w:textAlignment w:val="baseline"/>
      </w:pPr>
      <w:r>
        <w:rPr>
          <w:noProof/>
        </w:rPr>
        <w:drawing>
          <wp:inline distT="0" distB="0" distL="0" distR="0" wp14:anchorId="2BFD06DE" wp14:editId="6CCBF0CB">
            <wp:extent cx="1679575" cy="313690"/>
            <wp:effectExtent l="0" t="0" r="0" b="0"/>
            <wp:docPr id="2" name="Picture" descr="BDO USA, P.C."/>
            <wp:cNvGraphicFramePr/>
            <a:graphic xmlns:a="http://schemas.openxmlformats.org/drawingml/2006/main">
              <a:graphicData uri="http://schemas.openxmlformats.org/drawingml/2006/picture">
                <pic:pic xmlns:pic="http://schemas.openxmlformats.org/drawingml/2006/picture">
                  <pic:nvPicPr>
                    <pic:cNvPr id="2" name="Picture" descr="BDO USA, P.C."/>
                    <pic:cNvPicPr/>
                  </pic:nvPicPr>
                  <pic:blipFill>
                    <a:blip r:embed="rId13"/>
                    <a:stretch>
                      <a:fillRect/>
                    </a:stretch>
                  </pic:blipFill>
                  <pic:spPr>
                    <a:xfrm>
                      <a:off x="0" y="0"/>
                      <a:ext cx="1679575" cy="313690"/>
                    </a:xfrm>
                    <a:prstGeom prst="rect">
                      <a:avLst/>
                    </a:prstGeom>
                  </pic:spPr>
                </pic:pic>
              </a:graphicData>
            </a:graphic>
          </wp:inline>
        </w:drawing>
      </w:r>
    </w:p>
    <w:p w14:paraId="6C381E2D" w14:textId="77777777" w:rsidR="008C360C" w:rsidRDefault="002A0B22">
      <w:pPr>
        <w:spacing w:line="136" w:lineRule="exact"/>
        <w:ind w:left="288" w:right="504"/>
        <w:textAlignment w:val="baseline"/>
        <w:rPr>
          <w:rFonts w:ascii="Arial" w:eastAsia="Arial" w:hAnsi="Arial"/>
          <w:b/>
          <w:color w:val="000000"/>
          <w:sz w:val="11"/>
        </w:rPr>
      </w:pPr>
      <w:r>
        <w:rPr>
          <w:rFonts w:ascii="Arial" w:eastAsia="Arial" w:hAnsi="Arial"/>
          <w:b/>
          <w:color w:val="000000"/>
          <w:sz w:val="11"/>
        </w:rPr>
        <w:t xml:space="preserve">BDO USA, P.C., </w:t>
      </w:r>
      <w:r>
        <w:rPr>
          <w:rFonts w:ascii="Arial" w:eastAsia="Arial" w:hAnsi="Arial"/>
          <w:color w:val="000000"/>
          <w:sz w:val="11"/>
        </w:rPr>
        <w:t xml:space="preserve">a </w:t>
      </w:r>
      <w:r>
        <w:rPr>
          <w:rFonts w:ascii="Arial" w:eastAsia="Arial" w:hAnsi="Arial"/>
          <w:b/>
          <w:color w:val="000000"/>
          <w:sz w:val="11"/>
        </w:rPr>
        <w:t xml:space="preserve">Delaware limited liability partnership, is the U.S. member of BDO International Limited, </w:t>
      </w:r>
      <w:r>
        <w:rPr>
          <w:rFonts w:ascii="Arial" w:eastAsia="Arial" w:hAnsi="Arial"/>
          <w:color w:val="000000"/>
          <w:sz w:val="11"/>
        </w:rPr>
        <w:t xml:space="preserve">a </w:t>
      </w:r>
      <w:r>
        <w:rPr>
          <w:rFonts w:ascii="Arial" w:eastAsia="Arial" w:hAnsi="Arial"/>
          <w:b/>
          <w:color w:val="000000"/>
          <w:sz w:val="11"/>
        </w:rPr>
        <w:t>UK company limited by guarantee, and forms part of the international BDO network of independent member firms.</w:t>
      </w:r>
    </w:p>
    <w:p w14:paraId="6C381E2E" w14:textId="77777777" w:rsidR="008C360C" w:rsidRDefault="002A0B22">
      <w:pPr>
        <w:spacing w:before="87" w:line="134" w:lineRule="exact"/>
        <w:ind w:left="288"/>
        <w:textAlignment w:val="baseline"/>
        <w:rPr>
          <w:rFonts w:ascii="Arial" w:eastAsia="Arial" w:hAnsi="Arial"/>
          <w:b/>
          <w:color w:val="000000"/>
          <w:sz w:val="11"/>
        </w:rPr>
      </w:pPr>
      <w:r>
        <w:rPr>
          <w:rFonts w:ascii="Arial" w:eastAsia="Arial" w:hAnsi="Arial"/>
          <w:b/>
          <w:color w:val="000000"/>
          <w:sz w:val="11"/>
        </w:rPr>
        <w:t>BDO is the brand name for the BDO network and for each of the BDO Member Firms.</w:t>
      </w:r>
    </w:p>
    <w:p w14:paraId="6C381E2F" w14:textId="77777777" w:rsidR="008C360C" w:rsidRDefault="008C360C">
      <w:pPr>
        <w:sectPr w:rsidR="008C360C" w:rsidSect="00FF70A7">
          <w:headerReference w:type="default" r:id="rId14"/>
          <w:pgSz w:w="12240" w:h="15840"/>
          <w:pgMar w:top="540" w:right="1427" w:bottom="304" w:left="1373" w:header="720" w:footer="720" w:gutter="0"/>
          <w:cols w:space="720"/>
        </w:sectPr>
      </w:pPr>
    </w:p>
    <w:p w14:paraId="6C381E30" w14:textId="6FFE05D6" w:rsidR="008C360C" w:rsidRDefault="00F017B9">
      <w:pPr>
        <w:spacing w:before="24" w:after="281" w:line="255" w:lineRule="exact"/>
        <w:jc w:val="center"/>
        <w:textAlignment w:val="baseline"/>
        <w:rPr>
          <w:rFonts w:ascii="Tahoma" w:eastAsia="Tahoma" w:hAnsi="Tahoma"/>
          <w:b/>
          <w:color w:val="000000"/>
          <w:spacing w:val="-11"/>
        </w:rPr>
      </w:pPr>
      <w:r>
        <w:rPr>
          <w:rFonts w:ascii="Tahoma" w:eastAsia="Tahoma" w:hAnsi="Tahoma"/>
          <w:b/>
          <w:color w:val="000000"/>
          <w:spacing w:val="-11"/>
        </w:rPr>
        <w:lastRenderedPageBreak/>
        <w:t>Table Of Contents</w:t>
      </w:r>
    </w:p>
    <w:p w14:paraId="6C381E31" w14:textId="77777777" w:rsidR="008C360C" w:rsidRDefault="008C360C">
      <w:pPr>
        <w:spacing w:before="52" w:line="20" w:lineRule="exact"/>
      </w:pPr>
    </w:p>
    <w:tbl>
      <w:tblPr>
        <w:tblW w:w="0" w:type="auto"/>
        <w:tblLayout w:type="fixed"/>
        <w:tblCellMar>
          <w:left w:w="0" w:type="dxa"/>
          <w:right w:w="0" w:type="dxa"/>
        </w:tblCellMar>
        <w:tblLook w:val="0000" w:firstRow="0" w:lastRow="0" w:firstColumn="0" w:lastColumn="0" w:noHBand="0" w:noVBand="0"/>
      </w:tblPr>
      <w:tblGrid>
        <w:gridCol w:w="725"/>
        <w:gridCol w:w="8477"/>
        <w:gridCol w:w="638"/>
      </w:tblGrid>
      <w:tr w:rsidR="001F2353" w14:paraId="6C381E35" w14:textId="77777777">
        <w:trPr>
          <w:trHeight w:hRule="exact" w:val="897"/>
        </w:trPr>
        <w:tc>
          <w:tcPr>
            <w:tcW w:w="725" w:type="dxa"/>
          </w:tcPr>
          <w:p w14:paraId="6C381E32" w14:textId="77777777" w:rsidR="008C360C" w:rsidRDefault="002A0B22">
            <w:pPr>
              <w:textAlignment w:val="baseline"/>
              <w:rPr>
                <w:rFonts w:ascii="Tahoma" w:eastAsia="Tahoma" w:hAnsi="Tahoma"/>
                <w:color w:val="000000"/>
                <w:sz w:val="24"/>
              </w:rPr>
            </w:pPr>
            <w:r>
              <w:rPr>
                <w:rFonts w:ascii="Tahoma" w:eastAsia="Tahoma" w:hAnsi="Tahoma"/>
                <w:color w:val="000000"/>
                <w:sz w:val="24"/>
              </w:rPr>
              <w:t xml:space="preserve"> </w:t>
            </w:r>
          </w:p>
        </w:tc>
        <w:tc>
          <w:tcPr>
            <w:tcW w:w="8477" w:type="dxa"/>
          </w:tcPr>
          <w:p w14:paraId="6C381E33" w14:textId="77777777" w:rsidR="008C360C" w:rsidRDefault="002A0B22">
            <w:pPr>
              <w:textAlignment w:val="baseline"/>
              <w:rPr>
                <w:rFonts w:ascii="Tahoma" w:eastAsia="Tahoma" w:hAnsi="Tahoma"/>
                <w:color w:val="000000"/>
                <w:sz w:val="24"/>
              </w:rPr>
            </w:pPr>
            <w:r>
              <w:rPr>
                <w:rFonts w:ascii="Tahoma" w:eastAsia="Tahoma" w:hAnsi="Tahoma"/>
                <w:color w:val="000000"/>
                <w:sz w:val="24"/>
              </w:rPr>
              <w:t xml:space="preserve"> </w:t>
            </w:r>
          </w:p>
        </w:tc>
        <w:tc>
          <w:tcPr>
            <w:tcW w:w="638" w:type="dxa"/>
            <w:vAlign w:val="center"/>
          </w:tcPr>
          <w:p w14:paraId="6C381E34" w14:textId="77777777" w:rsidR="008C360C" w:rsidRDefault="002A0B22">
            <w:pPr>
              <w:spacing w:before="404" w:after="235" w:line="258" w:lineRule="exact"/>
              <w:ind w:right="90"/>
              <w:jc w:val="right"/>
              <w:textAlignment w:val="baseline"/>
              <w:rPr>
                <w:rFonts w:ascii="Tahoma" w:eastAsia="Tahoma" w:hAnsi="Tahoma"/>
                <w:color w:val="000000"/>
              </w:rPr>
            </w:pPr>
            <w:r>
              <w:rPr>
                <w:rFonts w:ascii="Tahoma" w:eastAsia="Tahoma" w:hAnsi="Tahoma"/>
                <w:color w:val="000000"/>
              </w:rPr>
              <w:t>Page</w:t>
            </w:r>
          </w:p>
        </w:tc>
      </w:tr>
      <w:tr w:rsidR="001F2353" w14:paraId="6C381E39" w14:textId="77777777">
        <w:trPr>
          <w:trHeight w:hRule="exact" w:val="734"/>
        </w:trPr>
        <w:tc>
          <w:tcPr>
            <w:tcW w:w="725" w:type="dxa"/>
            <w:vAlign w:val="center"/>
          </w:tcPr>
          <w:p w14:paraId="6C381E36" w14:textId="77777777" w:rsidR="008C360C" w:rsidRDefault="002A0B22">
            <w:pPr>
              <w:spacing w:before="241" w:after="221" w:line="258" w:lineRule="exact"/>
              <w:jc w:val="center"/>
              <w:textAlignment w:val="baseline"/>
              <w:rPr>
                <w:rFonts w:ascii="Tahoma" w:eastAsia="Tahoma" w:hAnsi="Tahoma"/>
                <w:color w:val="000000"/>
              </w:rPr>
            </w:pPr>
            <w:r>
              <w:rPr>
                <w:rFonts w:ascii="Tahoma" w:eastAsia="Tahoma" w:hAnsi="Tahoma"/>
                <w:color w:val="000000"/>
              </w:rPr>
              <w:t>I.</w:t>
            </w:r>
          </w:p>
        </w:tc>
        <w:tc>
          <w:tcPr>
            <w:tcW w:w="8477" w:type="dxa"/>
            <w:vAlign w:val="center"/>
          </w:tcPr>
          <w:p w14:paraId="6C381E37" w14:textId="5A9E7940" w:rsidR="008C360C" w:rsidRDefault="00F017B9">
            <w:pPr>
              <w:tabs>
                <w:tab w:val="right" w:leader="dot" w:pos="8496"/>
              </w:tabs>
              <w:spacing w:before="241" w:after="221" w:line="258" w:lineRule="exact"/>
              <w:ind w:left="245"/>
              <w:textAlignment w:val="baseline"/>
              <w:rPr>
                <w:rFonts w:ascii="Tahoma" w:eastAsia="Tahoma" w:hAnsi="Tahoma"/>
                <w:color w:val="000000"/>
              </w:rPr>
            </w:pPr>
            <w:r>
              <w:rPr>
                <w:rFonts w:ascii="Tahoma" w:eastAsia="Tahoma" w:hAnsi="Tahoma"/>
                <w:color w:val="000000"/>
              </w:rPr>
              <w:t>Executive Summary</w:t>
            </w:r>
            <w:r w:rsidR="002A0B22">
              <w:rPr>
                <w:rFonts w:ascii="Tahoma" w:eastAsia="Tahoma" w:hAnsi="Tahoma"/>
                <w:color w:val="000000"/>
              </w:rPr>
              <w:tab/>
              <w:t xml:space="preserve"> </w:t>
            </w:r>
          </w:p>
        </w:tc>
        <w:tc>
          <w:tcPr>
            <w:tcW w:w="638" w:type="dxa"/>
            <w:vAlign w:val="center"/>
          </w:tcPr>
          <w:p w14:paraId="6C381E38" w14:textId="77777777" w:rsidR="008C360C" w:rsidRDefault="002A0B22">
            <w:pPr>
              <w:spacing w:before="241" w:after="221" w:line="258" w:lineRule="exact"/>
              <w:ind w:right="90"/>
              <w:jc w:val="right"/>
              <w:textAlignment w:val="baseline"/>
              <w:rPr>
                <w:rFonts w:ascii="Tahoma" w:eastAsia="Tahoma" w:hAnsi="Tahoma"/>
                <w:color w:val="000000"/>
              </w:rPr>
            </w:pPr>
            <w:r>
              <w:rPr>
                <w:rFonts w:ascii="Tahoma" w:eastAsia="Tahoma" w:hAnsi="Tahoma"/>
                <w:color w:val="000000"/>
              </w:rPr>
              <w:t>1</w:t>
            </w:r>
          </w:p>
        </w:tc>
      </w:tr>
      <w:tr w:rsidR="001F2353" w14:paraId="6C381E3D" w14:textId="77777777">
        <w:trPr>
          <w:trHeight w:hRule="exact" w:val="734"/>
        </w:trPr>
        <w:tc>
          <w:tcPr>
            <w:tcW w:w="725" w:type="dxa"/>
            <w:vAlign w:val="center"/>
          </w:tcPr>
          <w:p w14:paraId="6C381E3A" w14:textId="77777777" w:rsidR="008C360C" w:rsidRDefault="002A0B22">
            <w:pPr>
              <w:spacing w:before="242" w:after="220" w:line="258" w:lineRule="exact"/>
              <w:jc w:val="center"/>
              <w:textAlignment w:val="baseline"/>
              <w:rPr>
                <w:rFonts w:ascii="Tahoma" w:eastAsia="Tahoma" w:hAnsi="Tahoma"/>
                <w:color w:val="000000"/>
              </w:rPr>
            </w:pPr>
            <w:r>
              <w:rPr>
                <w:rFonts w:ascii="Tahoma" w:eastAsia="Tahoma" w:hAnsi="Tahoma"/>
                <w:color w:val="000000"/>
              </w:rPr>
              <w:t>II.</w:t>
            </w:r>
          </w:p>
        </w:tc>
        <w:tc>
          <w:tcPr>
            <w:tcW w:w="8477" w:type="dxa"/>
            <w:vAlign w:val="center"/>
          </w:tcPr>
          <w:p w14:paraId="6C381E3B" w14:textId="32CDDCE4" w:rsidR="008C360C" w:rsidRDefault="00F017B9">
            <w:pPr>
              <w:tabs>
                <w:tab w:val="right" w:leader="dot" w:pos="8496"/>
              </w:tabs>
              <w:spacing w:before="242" w:after="220" w:line="258" w:lineRule="exact"/>
              <w:ind w:left="245"/>
              <w:textAlignment w:val="baseline"/>
              <w:rPr>
                <w:rFonts w:ascii="Tahoma" w:eastAsia="Tahoma" w:hAnsi="Tahoma"/>
                <w:color w:val="000000"/>
              </w:rPr>
            </w:pPr>
            <w:r>
              <w:rPr>
                <w:rFonts w:ascii="Tahoma" w:eastAsia="Tahoma" w:hAnsi="Tahoma"/>
                <w:color w:val="000000"/>
              </w:rPr>
              <w:t>Relevant Background Information</w:t>
            </w:r>
            <w:r w:rsidR="002A0B22">
              <w:rPr>
                <w:rFonts w:ascii="Tahoma" w:eastAsia="Tahoma" w:hAnsi="Tahoma"/>
                <w:color w:val="000000"/>
              </w:rPr>
              <w:tab/>
              <w:t xml:space="preserve"> </w:t>
            </w:r>
          </w:p>
        </w:tc>
        <w:tc>
          <w:tcPr>
            <w:tcW w:w="638" w:type="dxa"/>
            <w:vAlign w:val="center"/>
          </w:tcPr>
          <w:p w14:paraId="6C381E3C" w14:textId="77777777" w:rsidR="008C360C" w:rsidRDefault="002A0B22">
            <w:pPr>
              <w:spacing w:before="242" w:after="220" w:line="258" w:lineRule="exact"/>
              <w:ind w:right="90"/>
              <w:jc w:val="right"/>
              <w:textAlignment w:val="baseline"/>
              <w:rPr>
                <w:rFonts w:ascii="Tahoma" w:eastAsia="Tahoma" w:hAnsi="Tahoma"/>
                <w:color w:val="000000"/>
              </w:rPr>
            </w:pPr>
            <w:r>
              <w:rPr>
                <w:rFonts w:ascii="Tahoma" w:eastAsia="Tahoma" w:hAnsi="Tahoma"/>
                <w:color w:val="000000"/>
              </w:rPr>
              <w:t>2</w:t>
            </w:r>
          </w:p>
        </w:tc>
      </w:tr>
      <w:tr w:rsidR="001F2353" w14:paraId="6C381E41" w14:textId="77777777">
        <w:trPr>
          <w:trHeight w:hRule="exact" w:val="735"/>
        </w:trPr>
        <w:tc>
          <w:tcPr>
            <w:tcW w:w="725" w:type="dxa"/>
            <w:vAlign w:val="center"/>
          </w:tcPr>
          <w:p w14:paraId="6C381E3E" w14:textId="77777777" w:rsidR="008C360C" w:rsidRDefault="002A0B22">
            <w:pPr>
              <w:spacing w:before="242" w:after="220" w:line="258" w:lineRule="exact"/>
              <w:jc w:val="center"/>
              <w:textAlignment w:val="baseline"/>
              <w:rPr>
                <w:rFonts w:ascii="Tahoma" w:eastAsia="Tahoma" w:hAnsi="Tahoma"/>
                <w:color w:val="000000"/>
              </w:rPr>
            </w:pPr>
            <w:r>
              <w:rPr>
                <w:rFonts w:ascii="Tahoma" w:eastAsia="Tahoma" w:hAnsi="Tahoma"/>
                <w:color w:val="000000"/>
              </w:rPr>
              <w:t>III.</w:t>
            </w:r>
          </w:p>
        </w:tc>
        <w:tc>
          <w:tcPr>
            <w:tcW w:w="8477" w:type="dxa"/>
            <w:vAlign w:val="center"/>
          </w:tcPr>
          <w:p w14:paraId="6C381E3F" w14:textId="3D1EE58B" w:rsidR="008C360C" w:rsidRDefault="00F017B9">
            <w:pPr>
              <w:tabs>
                <w:tab w:val="right" w:leader="dot" w:pos="8496"/>
              </w:tabs>
              <w:spacing w:before="242" w:after="220" w:line="258" w:lineRule="exact"/>
              <w:ind w:left="245"/>
              <w:textAlignment w:val="baseline"/>
              <w:rPr>
                <w:rFonts w:ascii="Tahoma" w:eastAsia="Tahoma" w:hAnsi="Tahoma"/>
                <w:color w:val="000000"/>
              </w:rPr>
            </w:pPr>
            <w:r>
              <w:rPr>
                <w:rFonts w:ascii="Tahoma" w:eastAsia="Tahoma" w:hAnsi="Tahoma"/>
                <w:color w:val="000000"/>
              </w:rPr>
              <w:t>Scope of Report</w:t>
            </w:r>
            <w:r w:rsidR="002A0B22">
              <w:rPr>
                <w:rFonts w:ascii="Tahoma" w:eastAsia="Tahoma" w:hAnsi="Tahoma"/>
                <w:color w:val="000000"/>
              </w:rPr>
              <w:tab/>
              <w:t xml:space="preserve"> </w:t>
            </w:r>
          </w:p>
        </w:tc>
        <w:tc>
          <w:tcPr>
            <w:tcW w:w="638" w:type="dxa"/>
            <w:vAlign w:val="center"/>
          </w:tcPr>
          <w:p w14:paraId="6C381E40" w14:textId="77777777" w:rsidR="008C360C" w:rsidRDefault="002A0B22">
            <w:pPr>
              <w:spacing w:before="242" w:after="220" w:line="258" w:lineRule="exact"/>
              <w:ind w:right="90"/>
              <w:jc w:val="right"/>
              <w:textAlignment w:val="baseline"/>
              <w:rPr>
                <w:rFonts w:ascii="Tahoma" w:eastAsia="Tahoma" w:hAnsi="Tahoma"/>
                <w:color w:val="000000"/>
              </w:rPr>
            </w:pPr>
            <w:r>
              <w:rPr>
                <w:rFonts w:ascii="Tahoma" w:eastAsia="Tahoma" w:hAnsi="Tahoma"/>
                <w:color w:val="000000"/>
              </w:rPr>
              <w:t>6</w:t>
            </w:r>
          </w:p>
        </w:tc>
      </w:tr>
      <w:tr w:rsidR="001F2353" w14:paraId="6C381E45" w14:textId="77777777">
        <w:trPr>
          <w:trHeight w:hRule="exact" w:val="734"/>
        </w:trPr>
        <w:tc>
          <w:tcPr>
            <w:tcW w:w="725" w:type="dxa"/>
            <w:vAlign w:val="center"/>
          </w:tcPr>
          <w:p w14:paraId="6C381E42" w14:textId="77777777" w:rsidR="008C360C" w:rsidRDefault="002A0B22">
            <w:pPr>
              <w:spacing w:before="241" w:after="221" w:line="258" w:lineRule="exact"/>
              <w:jc w:val="center"/>
              <w:textAlignment w:val="baseline"/>
              <w:rPr>
                <w:rFonts w:ascii="Tahoma" w:eastAsia="Tahoma" w:hAnsi="Tahoma"/>
                <w:color w:val="000000"/>
              </w:rPr>
            </w:pPr>
            <w:r>
              <w:rPr>
                <w:rFonts w:ascii="Tahoma" w:eastAsia="Tahoma" w:hAnsi="Tahoma"/>
                <w:color w:val="000000"/>
              </w:rPr>
              <w:t>IV.</w:t>
            </w:r>
          </w:p>
        </w:tc>
        <w:tc>
          <w:tcPr>
            <w:tcW w:w="8477" w:type="dxa"/>
            <w:vAlign w:val="center"/>
          </w:tcPr>
          <w:p w14:paraId="6C381E43" w14:textId="1E572E16" w:rsidR="008C360C" w:rsidRDefault="00F017B9">
            <w:pPr>
              <w:tabs>
                <w:tab w:val="right" w:leader="dot" w:pos="8496"/>
              </w:tabs>
              <w:spacing w:before="241" w:after="221" w:line="258" w:lineRule="exact"/>
              <w:ind w:left="245"/>
              <w:textAlignment w:val="baseline"/>
              <w:rPr>
                <w:rFonts w:ascii="Tahoma" w:eastAsia="Tahoma" w:hAnsi="Tahoma"/>
                <w:color w:val="000000"/>
              </w:rPr>
            </w:pPr>
            <w:r>
              <w:rPr>
                <w:rFonts w:ascii="Tahoma" w:eastAsia="Tahoma" w:hAnsi="Tahoma"/>
                <w:color w:val="000000"/>
              </w:rPr>
              <w:t>Sources of Information Utilized</w:t>
            </w:r>
            <w:r w:rsidR="002A0B22">
              <w:rPr>
                <w:rFonts w:ascii="Tahoma" w:eastAsia="Tahoma" w:hAnsi="Tahoma"/>
                <w:color w:val="000000"/>
              </w:rPr>
              <w:t xml:space="preserve"> </w:t>
            </w:r>
            <w:r w:rsidR="002A0B22">
              <w:rPr>
                <w:rFonts w:ascii="Tahoma" w:eastAsia="Tahoma" w:hAnsi="Tahoma"/>
                <w:color w:val="000000"/>
              </w:rPr>
              <w:tab/>
              <w:t xml:space="preserve"> </w:t>
            </w:r>
          </w:p>
        </w:tc>
        <w:tc>
          <w:tcPr>
            <w:tcW w:w="638" w:type="dxa"/>
            <w:vAlign w:val="center"/>
          </w:tcPr>
          <w:p w14:paraId="6C381E44" w14:textId="77777777" w:rsidR="008C360C" w:rsidRDefault="002A0B22">
            <w:pPr>
              <w:spacing w:before="241" w:after="221" w:line="258" w:lineRule="exact"/>
              <w:ind w:right="90"/>
              <w:jc w:val="right"/>
              <w:textAlignment w:val="baseline"/>
              <w:rPr>
                <w:rFonts w:ascii="Tahoma" w:eastAsia="Tahoma" w:hAnsi="Tahoma"/>
                <w:color w:val="000000"/>
              </w:rPr>
            </w:pPr>
            <w:r>
              <w:rPr>
                <w:rFonts w:ascii="Tahoma" w:eastAsia="Tahoma" w:hAnsi="Tahoma"/>
                <w:color w:val="000000"/>
              </w:rPr>
              <w:t>7</w:t>
            </w:r>
          </w:p>
        </w:tc>
      </w:tr>
      <w:tr w:rsidR="001F2353" w14:paraId="6C381E49" w14:textId="77777777">
        <w:trPr>
          <w:trHeight w:hRule="exact" w:val="739"/>
        </w:trPr>
        <w:tc>
          <w:tcPr>
            <w:tcW w:w="725" w:type="dxa"/>
            <w:vAlign w:val="center"/>
          </w:tcPr>
          <w:p w14:paraId="6C381E46" w14:textId="77777777" w:rsidR="008C360C" w:rsidRDefault="002A0B22">
            <w:pPr>
              <w:spacing w:before="247" w:after="230" w:line="258" w:lineRule="exact"/>
              <w:jc w:val="center"/>
              <w:textAlignment w:val="baseline"/>
              <w:rPr>
                <w:rFonts w:ascii="Tahoma" w:eastAsia="Tahoma" w:hAnsi="Tahoma"/>
                <w:color w:val="000000"/>
              </w:rPr>
            </w:pPr>
            <w:r>
              <w:rPr>
                <w:rFonts w:ascii="Tahoma" w:eastAsia="Tahoma" w:hAnsi="Tahoma"/>
                <w:color w:val="000000"/>
              </w:rPr>
              <w:t>V.</w:t>
            </w:r>
          </w:p>
        </w:tc>
        <w:tc>
          <w:tcPr>
            <w:tcW w:w="8477" w:type="dxa"/>
            <w:vAlign w:val="center"/>
          </w:tcPr>
          <w:p w14:paraId="6C381E47" w14:textId="1575BC84" w:rsidR="008C360C" w:rsidRDefault="00F017B9">
            <w:pPr>
              <w:tabs>
                <w:tab w:val="right" w:leader="dot" w:pos="8496"/>
              </w:tabs>
              <w:spacing w:before="247" w:after="230" w:line="258" w:lineRule="exact"/>
              <w:ind w:left="245"/>
              <w:textAlignment w:val="baseline"/>
              <w:rPr>
                <w:rFonts w:ascii="Tahoma" w:eastAsia="Tahoma" w:hAnsi="Tahoma"/>
                <w:color w:val="000000"/>
              </w:rPr>
            </w:pPr>
            <w:r>
              <w:rPr>
                <w:rFonts w:ascii="Tahoma" w:eastAsia="Tahoma" w:hAnsi="Tahoma"/>
                <w:color w:val="000000"/>
              </w:rPr>
              <w:t>Review of the Projections</w:t>
            </w:r>
            <w:r w:rsidR="002A0B22">
              <w:rPr>
                <w:rFonts w:ascii="Tahoma" w:eastAsia="Tahoma" w:hAnsi="Tahoma"/>
                <w:color w:val="000000"/>
              </w:rPr>
              <w:tab/>
              <w:t xml:space="preserve"> </w:t>
            </w:r>
          </w:p>
        </w:tc>
        <w:tc>
          <w:tcPr>
            <w:tcW w:w="638" w:type="dxa"/>
            <w:vAlign w:val="center"/>
          </w:tcPr>
          <w:p w14:paraId="6C381E48" w14:textId="77777777" w:rsidR="008C360C" w:rsidRDefault="002A0B22">
            <w:pPr>
              <w:spacing w:before="247" w:after="230" w:line="258" w:lineRule="exact"/>
              <w:ind w:right="90"/>
              <w:jc w:val="right"/>
              <w:textAlignment w:val="baseline"/>
              <w:rPr>
                <w:rFonts w:ascii="Tahoma" w:eastAsia="Tahoma" w:hAnsi="Tahoma"/>
                <w:color w:val="000000"/>
              </w:rPr>
            </w:pPr>
            <w:r>
              <w:rPr>
                <w:rFonts w:ascii="Tahoma" w:eastAsia="Tahoma" w:hAnsi="Tahoma"/>
                <w:color w:val="000000"/>
              </w:rPr>
              <w:t>7</w:t>
            </w:r>
          </w:p>
        </w:tc>
      </w:tr>
      <w:tr w:rsidR="001F2353" w14:paraId="6C381E4D" w14:textId="77777777">
        <w:trPr>
          <w:trHeight w:hRule="exact" w:val="504"/>
        </w:trPr>
        <w:tc>
          <w:tcPr>
            <w:tcW w:w="725" w:type="dxa"/>
          </w:tcPr>
          <w:p w14:paraId="6C381E4A" w14:textId="77777777" w:rsidR="008C360C" w:rsidRDefault="002A0B22">
            <w:pPr>
              <w:spacing w:before="242" w:line="258" w:lineRule="exact"/>
              <w:jc w:val="center"/>
              <w:textAlignment w:val="baseline"/>
              <w:rPr>
                <w:rFonts w:ascii="Tahoma" w:eastAsia="Tahoma" w:hAnsi="Tahoma"/>
                <w:color w:val="000000"/>
              </w:rPr>
            </w:pPr>
            <w:r>
              <w:rPr>
                <w:rFonts w:ascii="Tahoma" w:eastAsia="Tahoma" w:hAnsi="Tahoma"/>
                <w:color w:val="000000"/>
              </w:rPr>
              <w:t>VI.</w:t>
            </w:r>
          </w:p>
        </w:tc>
        <w:tc>
          <w:tcPr>
            <w:tcW w:w="8477" w:type="dxa"/>
          </w:tcPr>
          <w:p w14:paraId="6C381E4B" w14:textId="50CD5F9E" w:rsidR="008C360C" w:rsidRDefault="00F017B9">
            <w:pPr>
              <w:tabs>
                <w:tab w:val="right" w:leader="dot" w:pos="8496"/>
              </w:tabs>
              <w:spacing w:before="242" w:line="258" w:lineRule="exact"/>
              <w:ind w:left="245"/>
              <w:textAlignment w:val="baseline"/>
              <w:rPr>
                <w:rFonts w:ascii="Tahoma" w:eastAsia="Tahoma" w:hAnsi="Tahoma"/>
                <w:color w:val="000000"/>
              </w:rPr>
            </w:pPr>
            <w:r>
              <w:rPr>
                <w:rFonts w:ascii="Tahoma" w:eastAsia="Tahoma" w:hAnsi="Tahoma"/>
                <w:color w:val="000000"/>
              </w:rPr>
              <w:t>Feasibility</w:t>
            </w:r>
            <w:r w:rsidR="002A0B22">
              <w:rPr>
                <w:rFonts w:ascii="Tahoma" w:eastAsia="Tahoma" w:hAnsi="Tahoma"/>
                <w:color w:val="000000"/>
              </w:rPr>
              <w:tab/>
              <w:t xml:space="preserve"> </w:t>
            </w:r>
          </w:p>
        </w:tc>
        <w:tc>
          <w:tcPr>
            <w:tcW w:w="638" w:type="dxa"/>
          </w:tcPr>
          <w:p w14:paraId="6C381E4C" w14:textId="77777777" w:rsidR="008C360C" w:rsidRDefault="002A0B22">
            <w:pPr>
              <w:spacing w:before="242" w:line="258" w:lineRule="exact"/>
              <w:ind w:right="90"/>
              <w:jc w:val="right"/>
              <w:textAlignment w:val="baseline"/>
              <w:rPr>
                <w:rFonts w:ascii="Tahoma" w:eastAsia="Tahoma" w:hAnsi="Tahoma"/>
                <w:color w:val="000000"/>
              </w:rPr>
            </w:pPr>
            <w:r>
              <w:rPr>
                <w:rFonts w:ascii="Tahoma" w:eastAsia="Tahoma" w:hAnsi="Tahoma"/>
                <w:color w:val="000000"/>
              </w:rPr>
              <w:t>15</w:t>
            </w:r>
          </w:p>
        </w:tc>
      </w:tr>
    </w:tbl>
    <w:p w14:paraId="6C381E4E" w14:textId="77777777" w:rsidR="008C360C" w:rsidRDefault="008C360C">
      <w:pPr>
        <w:sectPr w:rsidR="008C360C">
          <w:pgSz w:w="12240" w:h="15840"/>
          <w:pgMar w:top="2420" w:right="1200" w:bottom="7304" w:left="1200" w:header="720" w:footer="720" w:gutter="0"/>
          <w:cols w:space="720"/>
        </w:sectPr>
      </w:pPr>
    </w:p>
    <w:p w14:paraId="242994D8" w14:textId="77777777" w:rsidR="00766F10" w:rsidRDefault="00766F10" w:rsidP="00766F10">
      <w:pPr>
        <w:pStyle w:val="Header"/>
        <w:tabs>
          <w:tab w:val="left" w:pos="7470"/>
        </w:tabs>
        <w:rPr>
          <w:rFonts w:ascii="Arial" w:eastAsia="Arial" w:hAnsi="Arial"/>
          <w:b/>
          <w:color w:val="000000"/>
          <w:sz w:val="16"/>
        </w:rPr>
      </w:pPr>
      <w:r>
        <w:rPr>
          <w:noProof/>
        </w:rPr>
        <w:lastRenderedPageBreak/>
        <w:drawing>
          <wp:inline distT="0" distB="0" distL="0" distR="0" wp14:anchorId="134AA2AD" wp14:editId="5A7BB677">
            <wp:extent cx="984250" cy="377825"/>
            <wp:effectExtent l="0" t="0" r="0" b="0"/>
            <wp:docPr id="939109696" name="Picture" descr="BDO logo"/>
            <wp:cNvGraphicFramePr/>
            <a:graphic xmlns:a="http://schemas.openxmlformats.org/drawingml/2006/main">
              <a:graphicData uri="http://schemas.openxmlformats.org/drawingml/2006/picture">
                <pic:pic xmlns:pic="http://schemas.openxmlformats.org/drawingml/2006/picture">
                  <pic:nvPicPr>
                    <pic:cNvPr id="939109696" name="Picture" descr="BDO logo"/>
                    <pic:cNvPicPr/>
                  </pic:nvPicPr>
                  <pic:blipFill>
                    <a:blip r:embed="rId11"/>
                    <a:stretch>
                      <a:fillRect/>
                    </a:stretch>
                  </pic:blipFill>
                  <pic:spPr>
                    <a:xfrm>
                      <a:off x="0" y="0"/>
                      <a:ext cx="984250" cy="377825"/>
                    </a:xfrm>
                    <a:prstGeom prst="rect">
                      <a:avLst/>
                    </a:prstGeom>
                  </pic:spPr>
                </pic:pic>
              </a:graphicData>
            </a:graphic>
          </wp:inline>
        </w:drawing>
      </w:r>
      <w:r w:rsidRPr="00D26EC5">
        <w:rPr>
          <w:rFonts w:ascii="Arial" w:eastAsia="Arial" w:hAnsi="Arial"/>
          <w:b/>
          <w:color w:val="000000"/>
          <w:spacing w:val="-3"/>
          <w:sz w:val="16"/>
        </w:rPr>
        <w:t xml:space="preserve"> </w:t>
      </w:r>
      <w:r>
        <w:rPr>
          <w:rFonts w:ascii="Arial" w:eastAsia="Arial" w:hAnsi="Arial"/>
          <w:b/>
          <w:color w:val="000000"/>
          <w:spacing w:val="-3"/>
          <w:sz w:val="16"/>
        </w:rPr>
        <w:tab/>
        <w:t xml:space="preserve">Tel: 617-422-0700 Fax: 617-422-0909 </w:t>
      </w:r>
      <w:hyperlink r:id="rId15" w:history="1">
        <w:r w:rsidRPr="00387ED4">
          <w:rPr>
            <w:rStyle w:val="Hyperlink"/>
            <w:rFonts w:ascii="Arial" w:eastAsia="Arial" w:hAnsi="Arial"/>
            <w:b/>
            <w:spacing w:val="-3"/>
            <w:sz w:val="16"/>
          </w:rPr>
          <w:t>www.bdo.com</w:t>
        </w:r>
      </w:hyperlink>
      <w:r>
        <w:rPr>
          <w:rFonts w:ascii="Arial" w:eastAsia="Arial" w:hAnsi="Arial"/>
          <w:b/>
          <w:color w:val="0000FF"/>
          <w:spacing w:val="-3"/>
          <w:sz w:val="16"/>
          <w:u w:val="single"/>
        </w:rPr>
        <w:tab/>
      </w:r>
      <w:r>
        <w:rPr>
          <w:rFonts w:ascii="Arial" w:eastAsia="Arial" w:hAnsi="Arial"/>
          <w:b/>
          <w:color w:val="000000"/>
          <w:sz w:val="16"/>
        </w:rPr>
        <w:t>BDO USA, P.C.</w:t>
      </w:r>
    </w:p>
    <w:p w14:paraId="6A3FDF4F" w14:textId="77777777" w:rsidR="00766F10" w:rsidRDefault="00766F10" w:rsidP="00766F10">
      <w:pPr>
        <w:pStyle w:val="Header"/>
        <w:tabs>
          <w:tab w:val="clear" w:pos="4680"/>
          <w:tab w:val="left" w:pos="7470"/>
          <w:tab w:val="left" w:pos="8190"/>
        </w:tabs>
        <w:rPr>
          <w:rFonts w:ascii="Arial" w:eastAsia="Arial" w:hAnsi="Arial"/>
          <w:b/>
          <w:color w:val="000000"/>
          <w:sz w:val="16"/>
        </w:rPr>
      </w:pPr>
      <w:r>
        <w:rPr>
          <w:rFonts w:ascii="Arial" w:eastAsia="Arial" w:hAnsi="Arial"/>
          <w:b/>
          <w:color w:val="000000"/>
          <w:sz w:val="16"/>
        </w:rPr>
        <w:tab/>
        <w:t>One International Place</w:t>
      </w:r>
    </w:p>
    <w:p w14:paraId="2F66C66C" w14:textId="77777777" w:rsidR="00766F10" w:rsidRDefault="00766F10" w:rsidP="00766F10">
      <w:pPr>
        <w:pStyle w:val="Header"/>
        <w:tabs>
          <w:tab w:val="clear" w:pos="4680"/>
          <w:tab w:val="left" w:pos="7470"/>
          <w:tab w:val="left" w:pos="8190"/>
        </w:tabs>
        <w:rPr>
          <w:rFonts w:ascii="Arial" w:eastAsia="Arial" w:hAnsi="Arial"/>
          <w:b/>
          <w:color w:val="000000"/>
          <w:spacing w:val="-3"/>
          <w:sz w:val="16"/>
        </w:rPr>
      </w:pPr>
      <w:r>
        <w:rPr>
          <w:rFonts w:ascii="Arial" w:eastAsia="Arial" w:hAnsi="Arial"/>
          <w:b/>
          <w:color w:val="000000"/>
          <w:sz w:val="16"/>
        </w:rPr>
        <w:tab/>
        <w:t>Fourth Floor</w:t>
      </w:r>
    </w:p>
    <w:p w14:paraId="14D6E638" w14:textId="77777777" w:rsidR="00766F10" w:rsidRDefault="00766F10" w:rsidP="00766F10">
      <w:pPr>
        <w:pStyle w:val="Header"/>
        <w:tabs>
          <w:tab w:val="clear" w:pos="4680"/>
          <w:tab w:val="left" w:pos="7470"/>
          <w:tab w:val="left" w:pos="8190"/>
        </w:tabs>
      </w:pPr>
      <w:r>
        <w:rPr>
          <w:rFonts w:ascii="Arial" w:eastAsia="Arial" w:hAnsi="Arial"/>
          <w:b/>
          <w:color w:val="000000"/>
          <w:spacing w:val="-3"/>
          <w:sz w:val="16"/>
        </w:rPr>
        <w:tab/>
      </w:r>
      <w:r>
        <w:rPr>
          <w:rFonts w:ascii="Arial" w:eastAsia="Arial" w:hAnsi="Arial"/>
          <w:b/>
          <w:color w:val="000000"/>
          <w:sz w:val="16"/>
        </w:rPr>
        <w:t>Boston, MA 02110</w:t>
      </w:r>
    </w:p>
    <w:p w14:paraId="4A0D0879" w14:textId="77777777" w:rsidR="00D37BB6" w:rsidRDefault="00D37BB6" w:rsidP="00766F10">
      <w:pPr>
        <w:spacing w:before="10" w:line="258" w:lineRule="exact"/>
        <w:textAlignment w:val="baseline"/>
      </w:pPr>
    </w:p>
    <w:p w14:paraId="4933C1E5" w14:textId="77777777" w:rsidR="00D37BB6" w:rsidRDefault="00D37BB6" w:rsidP="00766F10">
      <w:pPr>
        <w:spacing w:before="10" w:line="258" w:lineRule="exact"/>
        <w:textAlignment w:val="baseline"/>
      </w:pPr>
    </w:p>
    <w:p w14:paraId="6C381E57" w14:textId="710ADFAC" w:rsidR="008C360C" w:rsidRDefault="002A0B22" w:rsidP="00D37BB6">
      <w:pPr>
        <w:spacing w:before="10" w:line="258" w:lineRule="exact"/>
        <w:ind w:left="180"/>
        <w:textAlignment w:val="baseline"/>
        <w:rPr>
          <w:rFonts w:ascii="Tahoma" w:eastAsia="Tahoma" w:hAnsi="Tahoma"/>
          <w:color w:val="000000"/>
          <w:spacing w:val="-1"/>
        </w:rPr>
      </w:pPr>
      <w:r>
        <w:rPr>
          <w:rFonts w:ascii="Tahoma" w:eastAsia="Tahoma" w:hAnsi="Tahoma"/>
          <w:color w:val="000000"/>
          <w:spacing w:val="-1"/>
        </w:rPr>
        <w:t>February 25, 2026</w:t>
      </w:r>
    </w:p>
    <w:p w14:paraId="6C381E58" w14:textId="77777777" w:rsidR="008C360C" w:rsidRDefault="002A0B22">
      <w:pPr>
        <w:spacing w:before="506" w:line="258" w:lineRule="exact"/>
        <w:ind w:left="144"/>
        <w:textAlignment w:val="baseline"/>
        <w:rPr>
          <w:rFonts w:ascii="Tahoma" w:eastAsia="Tahoma" w:hAnsi="Tahoma"/>
          <w:color w:val="000000"/>
        </w:rPr>
      </w:pPr>
      <w:r>
        <w:rPr>
          <w:rFonts w:ascii="Tahoma" w:eastAsia="Tahoma" w:hAnsi="Tahoma"/>
          <w:color w:val="000000"/>
        </w:rPr>
        <w:t>Mandy Lawrence</w:t>
      </w:r>
    </w:p>
    <w:p w14:paraId="6C381E59" w14:textId="77777777" w:rsidR="008C360C" w:rsidRDefault="002A0B22">
      <w:pPr>
        <w:spacing w:before="1" w:line="256" w:lineRule="exact"/>
        <w:ind w:left="144"/>
        <w:textAlignment w:val="baseline"/>
        <w:rPr>
          <w:rFonts w:ascii="Tahoma" w:eastAsia="Tahoma" w:hAnsi="Tahoma"/>
          <w:color w:val="000000"/>
        </w:rPr>
      </w:pPr>
      <w:r>
        <w:rPr>
          <w:rFonts w:ascii="Tahoma" w:eastAsia="Tahoma" w:hAnsi="Tahoma"/>
          <w:color w:val="000000"/>
        </w:rPr>
        <w:t>Chief Operating Officer</w:t>
      </w:r>
    </w:p>
    <w:p w14:paraId="6C381E5A" w14:textId="77777777" w:rsidR="008C360C" w:rsidRDefault="002A0B22">
      <w:pPr>
        <w:spacing w:line="256" w:lineRule="exact"/>
        <w:ind w:left="144"/>
        <w:textAlignment w:val="baseline"/>
        <w:rPr>
          <w:rFonts w:ascii="Tahoma" w:eastAsia="Tahoma" w:hAnsi="Tahoma"/>
          <w:color w:val="000000"/>
        </w:rPr>
      </w:pPr>
      <w:r>
        <w:rPr>
          <w:rFonts w:ascii="Tahoma" w:eastAsia="Tahoma" w:hAnsi="Tahoma"/>
          <w:color w:val="000000"/>
        </w:rPr>
        <w:t>U.S. Urology Partners Holdings, LLC</w:t>
      </w:r>
    </w:p>
    <w:p w14:paraId="6C381E5B" w14:textId="77777777" w:rsidR="008C360C" w:rsidRDefault="002A0B22">
      <w:pPr>
        <w:spacing w:before="1" w:line="256" w:lineRule="exact"/>
        <w:ind w:left="144"/>
        <w:textAlignment w:val="baseline"/>
        <w:rPr>
          <w:rFonts w:ascii="Tahoma" w:eastAsia="Tahoma" w:hAnsi="Tahoma"/>
          <w:color w:val="000000"/>
        </w:rPr>
      </w:pPr>
      <w:r>
        <w:rPr>
          <w:rFonts w:ascii="Tahoma" w:eastAsia="Tahoma" w:hAnsi="Tahoma"/>
          <w:color w:val="000000"/>
        </w:rPr>
        <w:t>6688 Nolensville Road</w:t>
      </w:r>
    </w:p>
    <w:p w14:paraId="6C381E5C" w14:textId="77777777" w:rsidR="008C360C" w:rsidRDefault="002A0B22">
      <w:pPr>
        <w:spacing w:line="254" w:lineRule="exact"/>
        <w:ind w:left="144"/>
        <w:textAlignment w:val="baseline"/>
        <w:rPr>
          <w:rFonts w:ascii="Tahoma" w:eastAsia="Tahoma" w:hAnsi="Tahoma"/>
          <w:color w:val="000000"/>
          <w:spacing w:val="-3"/>
        </w:rPr>
      </w:pPr>
      <w:r>
        <w:rPr>
          <w:rFonts w:ascii="Tahoma" w:eastAsia="Tahoma" w:hAnsi="Tahoma"/>
          <w:color w:val="000000"/>
          <w:spacing w:val="-3"/>
        </w:rPr>
        <w:t>Suite 108, Box #86</w:t>
      </w:r>
    </w:p>
    <w:p w14:paraId="6C381E5D" w14:textId="77777777" w:rsidR="008C360C" w:rsidRDefault="002A0B22">
      <w:pPr>
        <w:spacing w:line="256" w:lineRule="exact"/>
        <w:ind w:left="144"/>
        <w:textAlignment w:val="baseline"/>
        <w:rPr>
          <w:rFonts w:ascii="Tahoma" w:eastAsia="Tahoma" w:hAnsi="Tahoma"/>
          <w:color w:val="000000"/>
        </w:rPr>
      </w:pPr>
      <w:r>
        <w:rPr>
          <w:rFonts w:ascii="Tahoma" w:eastAsia="Tahoma" w:hAnsi="Tahoma"/>
          <w:color w:val="000000"/>
        </w:rPr>
        <w:t>Brentwood, TN 37027</w:t>
      </w:r>
    </w:p>
    <w:p w14:paraId="6C381E5E" w14:textId="77777777" w:rsidR="008C360C" w:rsidRDefault="002A0B22">
      <w:pPr>
        <w:tabs>
          <w:tab w:val="left" w:pos="864"/>
        </w:tabs>
        <w:spacing w:before="509" w:line="255" w:lineRule="exact"/>
        <w:ind w:left="864" w:right="144" w:hanging="720"/>
        <w:jc w:val="both"/>
        <w:textAlignment w:val="baseline"/>
        <w:rPr>
          <w:rFonts w:ascii="Tahoma" w:eastAsia="Tahoma" w:hAnsi="Tahoma"/>
          <w:b/>
          <w:color w:val="000000"/>
        </w:rPr>
      </w:pPr>
      <w:r>
        <w:rPr>
          <w:rFonts w:ascii="Tahoma" w:eastAsia="Tahoma" w:hAnsi="Tahoma"/>
          <w:b/>
          <w:color w:val="000000"/>
        </w:rPr>
        <w:t>RE:</w:t>
      </w:r>
      <w:r>
        <w:rPr>
          <w:rFonts w:ascii="Tahoma" w:eastAsia="Tahoma" w:hAnsi="Tahoma"/>
          <w:b/>
          <w:color w:val="000000"/>
        </w:rPr>
        <w:tab/>
        <w:t>Project Financial Feasibility Services Associated with Department of Public Health Determination of Need Factor 4</w:t>
      </w:r>
    </w:p>
    <w:p w14:paraId="6C381E5F" w14:textId="77777777" w:rsidR="008C360C" w:rsidRDefault="002A0B22">
      <w:pPr>
        <w:spacing w:before="515" w:line="257" w:lineRule="exact"/>
        <w:ind w:left="144"/>
        <w:textAlignment w:val="baseline"/>
        <w:rPr>
          <w:rFonts w:ascii="Tahoma" w:eastAsia="Tahoma" w:hAnsi="Tahoma"/>
          <w:color w:val="000000"/>
          <w:spacing w:val="-1"/>
        </w:rPr>
      </w:pPr>
      <w:r>
        <w:rPr>
          <w:rFonts w:ascii="Tahoma" w:eastAsia="Tahoma" w:hAnsi="Tahoma"/>
          <w:color w:val="000000"/>
          <w:spacing w:val="-1"/>
        </w:rPr>
        <w:t>Dear Ms. Lawrence:</w:t>
      </w:r>
    </w:p>
    <w:p w14:paraId="6C381E60" w14:textId="77777777" w:rsidR="008C360C" w:rsidRDefault="002A0B22">
      <w:pPr>
        <w:spacing w:before="265" w:line="510" w:lineRule="exact"/>
        <w:ind w:left="144" w:right="144"/>
        <w:jc w:val="both"/>
        <w:textAlignment w:val="baseline"/>
        <w:rPr>
          <w:rFonts w:ascii="Tahoma" w:eastAsia="Tahoma" w:hAnsi="Tahoma"/>
          <w:color w:val="000000"/>
        </w:rPr>
      </w:pPr>
      <w:r>
        <w:rPr>
          <w:rFonts w:ascii="Tahoma" w:eastAsia="Tahoma" w:hAnsi="Tahoma"/>
          <w:color w:val="000000"/>
        </w:rPr>
        <w:t xml:space="preserve">We have performed an analysis related to the reasonableness and feasibility of the financial projections (the “Projections”) of Greater Boston Urology, LLC (“GBU” or the “Applicant”), related to the proposed project as detailed further below (the “Proposed Project”). This report details our analysis and findings </w:t>
      </w:r>
      <w:proofErr w:type="gramStart"/>
      <w:r>
        <w:rPr>
          <w:rFonts w:ascii="Tahoma" w:eastAsia="Tahoma" w:hAnsi="Tahoma"/>
          <w:color w:val="000000"/>
        </w:rPr>
        <w:t>with regard to</w:t>
      </w:r>
      <w:proofErr w:type="gramEnd"/>
      <w:r>
        <w:rPr>
          <w:rFonts w:ascii="Tahoma" w:eastAsia="Tahoma" w:hAnsi="Tahoma"/>
          <w:color w:val="000000"/>
        </w:rPr>
        <w:t xml:space="preserve"> the reasonableness of assumptions used in the preparation of the Projections and feasibility of the projected financial results prepared by the management of GBU (“Management”). This report is to be used by GBU in connection with its Determination of Need (“DON”) Application – Factor 4(a) and should not be distributed or relied upon for any other purpose.</w:t>
      </w:r>
    </w:p>
    <w:p w14:paraId="6C381E61" w14:textId="635D1E01" w:rsidR="008C360C" w:rsidRDefault="002A0B22" w:rsidP="00F017B9">
      <w:pPr>
        <w:pStyle w:val="Heading2"/>
      </w:pPr>
      <w:r w:rsidRPr="005656AB">
        <w:rPr>
          <w:u w:val="none"/>
        </w:rPr>
        <w:t>I.</w:t>
      </w:r>
      <w:r w:rsidRPr="005656AB">
        <w:rPr>
          <w:u w:val="none"/>
        </w:rPr>
        <w:tab/>
      </w:r>
      <w:r w:rsidR="005656AB">
        <w:t>Executive Summary</w:t>
      </w:r>
    </w:p>
    <w:p w14:paraId="6C381E62" w14:textId="77777777" w:rsidR="008C360C" w:rsidRDefault="002A0B22">
      <w:pPr>
        <w:spacing w:before="253" w:line="511" w:lineRule="exact"/>
        <w:ind w:left="144" w:right="144"/>
        <w:jc w:val="both"/>
        <w:textAlignment w:val="baseline"/>
        <w:rPr>
          <w:rFonts w:ascii="Tahoma" w:eastAsia="Tahoma" w:hAnsi="Tahoma"/>
          <w:color w:val="000000"/>
          <w:spacing w:val="-2"/>
        </w:rPr>
      </w:pPr>
      <w:r>
        <w:rPr>
          <w:rFonts w:ascii="Tahoma" w:eastAsia="Tahoma" w:hAnsi="Tahoma"/>
          <w:color w:val="000000"/>
          <w:spacing w:val="-2"/>
        </w:rPr>
        <w:t xml:space="preserve">The scope of our review was limited to an analysis of the consolidated six-year financial Projections for the Applicant for the fiscal years ending December 31, </w:t>
      </w:r>
      <w:proofErr w:type="gramStart"/>
      <w:r>
        <w:rPr>
          <w:rFonts w:ascii="Tahoma" w:eastAsia="Tahoma" w:hAnsi="Tahoma"/>
          <w:color w:val="000000"/>
          <w:spacing w:val="-2"/>
        </w:rPr>
        <w:t>2025</w:t>
      </w:r>
      <w:proofErr w:type="gramEnd"/>
      <w:r>
        <w:rPr>
          <w:rFonts w:ascii="Tahoma" w:eastAsia="Tahoma" w:hAnsi="Tahoma"/>
          <w:color w:val="000000"/>
          <w:spacing w:val="-2"/>
        </w:rPr>
        <w:t xml:space="preserve"> through December 31, </w:t>
      </w:r>
      <w:proofErr w:type="gramStart"/>
      <w:r>
        <w:rPr>
          <w:rFonts w:ascii="Tahoma" w:eastAsia="Tahoma" w:hAnsi="Tahoma"/>
          <w:color w:val="000000"/>
          <w:spacing w:val="-2"/>
        </w:rPr>
        <w:t>2030</w:t>
      </w:r>
      <w:proofErr w:type="gramEnd"/>
      <w:r>
        <w:rPr>
          <w:rFonts w:ascii="Tahoma" w:eastAsia="Tahoma" w:hAnsi="Tahoma"/>
          <w:color w:val="000000"/>
          <w:spacing w:val="-2"/>
        </w:rPr>
        <w:t xml:space="preserve"> prepared by Management and the supporting documentation to render a conclusion</w:t>
      </w:r>
    </w:p>
    <w:p w14:paraId="6C381E63" w14:textId="77777777" w:rsidR="008C360C" w:rsidRDefault="002A0B22">
      <w:pPr>
        <w:spacing w:before="705" w:line="144" w:lineRule="exact"/>
        <w:ind w:left="144" w:right="360"/>
        <w:textAlignment w:val="baseline"/>
        <w:rPr>
          <w:rFonts w:ascii="Verdana" w:eastAsia="Verdana" w:hAnsi="Verdana"/>
          <w:color w:val="000000"/>
          <w:sz w:val="11"/>
        </w:rPr>
      </w:pPr>
      <w:r>
        <w:rPr>
          <w:rFonts w:ascii="Verdana" w:eastAsia="Verdana" w:hAnsi="Verdana"/>
          <w:color w:val="000000"/>
          <w:sz w:val="11"/>
        </w:rPr>
        <w:t>BDO USA, P.C., a Delaware limited liability partnership, is the U.S. member of BDO International Limited, a UK company limited by guarantee, and forms part of the international BDO network of independent member firms.</w:t>
      </w:r>
    </w:p>
    <w:p w14:paraId="6C381E64" w14:textId="77777777" w:rsidR="008C360C" w:rsidRDefault="002A0B22">
      <w:pPr>
        <w:spacing w:before="151" w:line="137" w:lineRule="exact"/>
        <w:ind w:left="144"/>
        <w:textAlignment w:val="baseline"/>
        <w:rPr>
          <w:rFonts w:ascii="Verdana" w:eastAsia="Verdana" w:hAnsi="Verdana"/>
          <w:color w:val="000000"/>
          <w:spacing w:val="-2"/>
          <w:sz w:val="11"/>
        </w:rPr>
      </w:pPr>
      <w:r>
        <w:rPr>
          <w:rFonts w:ascii="Verdana" w:eastAsia="Verdana" w:hAnsi="Verdana"/>
          <w:color w:val="000000"/>
          <w:spacing w:val="-2"/>
          <w:sz w:val="11"/>
        </w:rPr>
        <w:t>BDO is the brand name for the BDO network and for each of the BDO Member Firms.</w:t>
      </w:r>
    </w:p>
    <w:p w14:paraId="6C381E65" w14:textId="77777777" w:rsidR="008C360C" w:rsidRDefault="008C360C">
      <w:pPr>
        <w:sectPr w:rsidR="008C360C">
          <w:headerReference w:type="default" r:id="rId16"/>
          <w:pgSz w:w="12240" w:h="15840"/>
          <w:pgMar w:top="760" w:right="1301" w:bottom="324" w:left="1499" w:header="720" w:footer="720" w:gutter="0"/>
          <w:cols w:space="720"/>
        </w:sectPr>
      </w:pPr>
    </w:p>
    <w:p w14:paraId="6C381E69" w14:textId="77777777" w:rsidR="008C360C" w:rsidRDefault="008C360C">
      <w:pPr>
        <w:spacing w:after="772" w:line="20" w:lineRule="exact"/>
      </w:pPr>
    </w:p>
    <w:p w14:paraId="6C381E6A" w14:textId="77777777" w:rsidR="008C360C" w:rsidRDefault="002A0B22">
      <w:pPr>
        <w:spacing w:line="509" w:lineRule="exact"/>
        <w:ind w:left="144" w:right="144"/>
        <w:jc w:val="both"/>
        <w:textAlignment w:val="baseline"/>
        <w:rPr>
          <w:rFonts w:ascii="Tahoma" w:eastAsia="Tahoma" w:hAnsi="Tahoma"/>
          <w:color w:val="000000"/>
        </w:rPr>
      </w:pPr>
      <w:r>
        <w:rPr>
          <w:rFonts w:ascii="Tahoma" w:eastAsia="Tahoma" w:hAnsi="Tahoma"/>
          <w:color w:val="000000"/>
        </w:rPr>
        <w:t>as to the reasonableness of assumptions used in the preparation and feasibility of the Projections.</w:t>
      </w:r>
    </w:p>
    <w:p w14:paraId="6C381E6B" w14:textId="359F86F3" w:rsidR="008C360C" w:rsidRDefault="002A0B22">
      <w:pPr>
        <w:spacing w:before="8" w:line="510" w:lineRule="exact"/>
        <w:ind w:left="144" w:right="144"/>
        <w:jc w:val="both"/>
        <w:textAlignment w:val="baseline"/>
        <w:rPr>
          <w:rFonts w:ascii="Tahoma" w:eastAsia="Tahoma" w:hAnsi="Tahoma"/>
          <w:color w:val="000000"/>
        </w:rPr>
      </w:pPr>
      <w:r>
        <w:rPr>
          <w:rFonts w:ascii="Tahoma" w:eastAsia="Tahoma" w:hAnsi="Tahoma"/>
          <w:color w:val="000000"/>
        </w:rPr>
        <w:t>The Projections reflect a cumulative operating EBITD</w:t>
      </w:r>
      <w:r w:rsidR="0026545C">
        <w:rPr>
          <w:rFonts w:ascii="Tahoma" w:eastAsia="Tahoma" w:hAnsi="Tahoma"/>
          <w:color w:val="000000"/>
        </w:rPr>
        <w:t>A</w:t>
      </w:r>
      <w:r w:rsidR="0026545C">
        <w:rPr>
          <w:rStyle w:val="FootnoteReference"/>
          <w:rFonts w:ascii="Tahoma" w:eastAsia="Tahoma" w:hAnsi="Tahoma"/>
          <w:color w:val="000000"/>
        </w:rPr>
        <w:footnoteReference w:id="1"/>
      </w:r>
      <w:r>
        <w:rPr>
          <w:rFonts w:ascii="Tahoma" w:eastAsia="Tahoma" w:hAnsi="Tahoma"/>
          <w:color w:val="000000"/>
        </w:rPr>
        <w:t xml:space="preserve"> surplus of approximately 29.9 percent of the Clients cumulative projected net revenue over the six-year period from fiscal year (“FY”) 2025 through 2030. Based upon our review of the relevant documents and analysis of the Projections, we determined the anticipated operating EBITDA surplus is a reasonable expectation, supported by feasible financial assumptions. Accordingly, we determined that the Projections are both reasonable and feasible, and not likely to negatively impact the Applicant’s patient panel or result in a liquidation of GBU’s assets. A detailed explanation of the basis for our determination of reasonableness and feasibility is contained within this report.</w:t>
      </w:r>
    </w:p>
    <w:p w14:paraId="6C381E6C" w14:textId="5E05FF92" w:rsidR="008C360C" w:rsidRDefault="002A0B22" w:rsidP="00735ECF">
      <w:pPr>
        <w:pStyle w:val="Heading2"/>
      </w:pPr>
      <w:r w:rsidRPr="00735ECF">
        <w:rPr>
          <w:u w:val="none"/>
        </w:rPr>
        <w:t>II.</w:t>
      </w:r>
      <w:r w:rsidRPr="00735ECF">
        <w:rPr>
          <w:u w:val="none"/>
        </w:rPr>
        <w:tab/>
      </w:r>
      <w:r w:rsidR="00735ECF">
        <w:t>Relevant Background Information</w:t>
      </w:r>
      <w:r w:rsidR="00355BBC">
        <w:rPr>
          <w:rStyle w:val="FootnoteReference"/>
        </w:rPr>
        <w:footnoteReference w:id="2"/>
      </w:r>
      <w:r w:rsidR="00735ECF">
        <w:rPr>
          <w:rFonts w:ascii="Arial" w:eastAsia="Arial" w:hAnsi="Arial"/>
          <w:sz w:val="15"/>
        </w:rPr>
        <w:t xml:space="preserve"> </w:t>
      </w:r>
    </w:p>
    <w:p w14:paraId="6C381E6D" w14:textId="77777777" w:rsidR="008C360C" w:rsidRDefault="002A0B22">
      <w:pPr>
        <w:spacing w:before="5" w:after="1094" w:line="510" w:lineRule="exact"/>
        <w:ind w:left="144" w:right="144"/>
        <w:jc w:val="both"/>
        <w:textAlignment w:val="baseline"/>
        <w:rPr>
          <w:rFonts w:ascii="Tahoma" w:eastAsia="Tahoma" w:hAnsi="Tahoma"/>
          <w:color w:val="000000"/>
        </w:rPr>
      </w:pPr>
      <w:r>
        <w:rPr>
          <w:rFonts w:ascii="Tahoma" w:eastAsia="Tahoma" w:hAnsi="Tahoma"/>
          <w:color w:val="000000"/>
        </w:rPr>
        <w:t>The Applicant is a Massachusetts limited liability company and physician practice with nine locations across Eastern Massachusetts. The Applicant provides integrated urology and urogynecology services, including medical evaluation, diagnostics, interventional radiology, laboratory services, procedures and surgeries, and chronic care management. The Applicant maintains a significant urologic pathology and oncology-focused practice and treats patients using advanced technologies for prostate cancer, bladder cancer, kidney cancer, testicular cancer, and other diagnoses.</w:t>
      </w:r>
    </w:p>
    <w:p w14:paraId="6C381E70" w14:textId="77777777" w:rsidR="008C360C" w:rsidRDefault="008C360C">
      <w:pPr>
        <w:sectPr w:rsidR="008C360C" w:rsidSect="00106533">
          <w:headerReference w:type="default" r:id="rId17"/>
          <w:pgSz w:w="12240" w:h="15840"/>
          <w:pgMar w:top="780" w:right="1292" w:bottom="1024" w:left="1508" w:header="720" w:footer="720" w:gutter="0"/>
          <w:pgNumType w:start="2"/>
          <w:cols w:space="720"/>
        </w:sectPr>
      </w:pPr>
    </w:p>
    <w:p w14:paraId="6C381E74" w14:textId="77777777" w:rsidR="008C360C" w:rsidRDefault="008C360C">
      <w:pPr>
        <w:spacing w:after="772" w:line="20" w:lineRule="exact"/>
      </w:pPr>
    </w:p>
    <w:p w14:paraId="6C381E75" w14:textId="77777777" w:rsidR="008C360C" w:rsidRDefault="002A0B22">
      <w:pPr>
        <w:spacing w:line="510" w:lineRule="exact"/>
        <w:ind w:left="144" w:right="144"/>
        <w:jc w:val="both"/>
        <w:textAlignment w:val="baseline"/>
        <w:rPr>
          <w:rFonts w:ascii="Verdana" w:eastAsia="Verdana" w:hAnsi="Verdana"/>
          <w:color w:val="000000"/>
          <w:spacing w:val="-8"/>
          <w:sz w:val="21"/>
        </w:rPr>
      </w:pPr>
      <w:r>
        <w:rPr>
          <w:rFonts w:ascii="Verdana" w:eastAsia="Verdana" w:hAnsi="Verdana"/>
          <w:color w:val="000000"/>
          <w:spacing w:val="-8"/>
          <w:sz w:val="21"/>
        </w:rPr>
        <w:t>The Proposed Project is the operation of a mobile Positron Emission Tomography/Computed Tomography diagnostic imaging unit (together, “PET/CT”) during the Applicant’s weekday hours of operation at three existing practice sites on a weekly rotation basis: Greater Boston Urology Dedham Care Center, 910 Washington Street, Dedham, MA 02026; Greater Boston Urology Framingham Care Center, 161 Worcester Road #601, Framingham, MA 01701; and Greater Boston Urology Plymouth Care Center, 45 Home Depot Drive, Plymouth, MA 02360 (the “Proposed Project”). The Applicant is filing a Determination of Need Application (the “Application”) with the Massachusetts Department of Public Health (“DPH”) in connection with the Proposed Project.</w:t>
      </w:r>
    </w:p>
    <w:p w14:paraId="6C381E76" w14:textId="77777777" w:rsidR="008C360C" w:rsidRDefault="002A0B22">
      <w:pPr>
        <w:spacing w:before="511" w:line="511" w:lineRule="exact"/>
        <w:ind w:left="144" w:right="144"/>
        <w:jc w:val="both"/>
        <w:textAlignment w:val="baseline"/>
        <w:rPr>
          <w:rFonts w:ascii="Verdana" w:eastAsia="Verdana" w:hAnsi="Verdana"/>
          <w:color w:val="000000"/>
          <w:spacing w:val="-10"/>
          <w:sz w:val="21"/>
        </w:rPr>
      </w:pPr>
      <w:r>
        <w:rPr>
          <w:rFonts w:ascii="Verdana" w:eastAsia="Verdana" w:hAnsi="Verdana"/>
          <w:color w:val="000000"/>
          <w:spacing w:val="-10"/>
          <w:sz w:val="21"/>
        </w:rPr>
        <w:t>The Applicant seeks to undertake the Proposed Project to expand timely access to advanced cancer diagnostics for its patient panel, improve quality through integrated and precise imaging, promote cost containment by shifting services to a lower cost site of care, and advance health equity for populations disproportionately affected by prostate cancer. The Applicant’s principal intended use of the PET/CT unit is to provide Prostate-Specific Membrane Antigen (“PSMA”) PET/CT imaging for the diagnosis, staging, treatment planning, and management of prostate cancer. The Applicant will lease the PET/CT unit on a full-time and exclusive basis but proposes operating the unit on weekdays during the Applicant’s hours of operation based on patient needs. The PET/CT unit will be housed in a mobile trailer and transported among the Proposed Project sites in accordance with a weekly rotation schedule.</w:t>
      </w:r>
    </w:p>
    <w:p w14:paraId="6C381E77" w14:textId="77777777" w:rsidR="008C360C" w:rsidRDefault="002A0B22">
      <w:pPr>
        <w:spacing w:before="509" w:line="511" w:lineRule="exact"/>
        <w:ind w:left="144" w:right="144"/>
        <w:jc w:val="both"/>
        <w:textAlignment w:val="baseline"/>
        <w:rPr>
          <w:rFonts w:ascii="Verdana" w:eastAsia="Verdana" w:hAnsi="Verdana"/>
          <w:color w:val="000000"/>
          <w:spacing w:val="-10"/>
          <w:sz w:val="21"/>
        </w:rPr>
      </w:pPr>
      <w:r>
        <w:rPr>
          <w:rFonts w:ascii="Verdana" w:eastAsia="Verdana" w:hAnsi="Verdana"/>
          <w:color w:val="000000"/>
          <w:spacing w:val="-10"/>
          <w:sz w:val="21"/>
        </w:rPr>
        <w:t>Prostate cancer is the most prevalent cancer in males in the United States (other than skin cancer) and commonly occurs in patients over age 65. PSMA PET/CT technology represents a</w:t>
      </w:r>
    </w:p>
    <w:p w14:paraId="6C381E78" w14:textId="77777777" w:rsidR="008C360C" w:rsidRDefault="008C360C">
      <w:pPr>
        <w:sectPr w:rsidR="008C360C">
          <w:pgSz w:w="12240" w:h="15840"/>
          <w:pgMar w:top="780" w:right="1292" w:bottom="1344" w:left="1508" w:header="720" w:footer="720" w:gutter="0"/>
          <w:cols w:space="720"/>
        </w:sectPr>
      </w:pPr>
    </w:p>
    <w:p w14:paraId="6C381E7C" w14:textId="77777777" w:rsidR="008C360C" w:rsidRDefault="008C360C">
      <w:pPr>
        <w:spacing w:after="772" w:line="20" w:lineRule="exact"/>
      </w:pPr>
    </w:p>
    <w:p w14:paraId="6C381E7D" w14:textId="77777777" w:rsidR="008C360C" w:rsidRDefault="002A0B22">
      <w:pPr>
        <w:spacing w:before="1" w:line="510" w:lineRule="exact"/>
        <w:ind w:left="144" w:right="144"/>
        <w:jc w:val="both"/>
        <w:textAlignment w:val="baseline"/>
        <w:rPr>
          <w:rFonts w:ascii="Verdana" w:eastAsia="Verdana" w:hAnsi="Verdana"/>
          <w:color w:val="000000"/>
          <w:spacing w:val="-9"/>
          <w:sz w:val="21"/>
        </w:rPr>
      </w:pPr>
      <w:r>
        <w:rPr>
          <w:rFonts w:ascii="Verdana" w:eastAsia="Verdana" w:hAnsi="Verdana"/>
          <w:color w:val="000000"/>
          <w:spacing w:val="-9"/>
          <w:sz w:val="21"/>
        </w:rPr>
        <w:t xml:space="preserve">significant advancement over traditional imaging modalities, such as MRI, CT, and bone scans, because it enables highly sensitive and specific molecular-level detection of prostate cancer, including small-volume, early-stage, or otherwise occult lesions and metastatic disease that may not be detected using conventional imaging. </w:t>
      </w:r>
      <w:proofErr w:type="gramStart"/>
      <w:r>
        <w:rPr>
          <w:rFonts w:ascii="Verdana" w:eastAsia="Verdana" w:hAnsi="Verdana"/>
          <w:color w:val="000000"/>
          <w:spacing w:val="-9"/>
          <w:sz w:val="21"/>
        </w:rPr>
        <w:t>In light of</w:t>
      </w:r>
      <w:proofErr w:type="gramEnd"/>
      <w:r>
        <w:rPr>
          <w:rFonts w:ascii="Verdana" w:eastAsia="Verdana" w:hAnsi="Verdana"/>
          <w:color w:val="000000"/>
          <w:spacing w:val="-9"/>
          <w:sz w:val="21"/>
        </w:rPr>
        <w:t xml:space="preserve"> the growing volume of the Applicant’s prostate cancer patient population, rising clinical acuity among newly diagnosed cases, and demographic trends associated with an aging population, the Applicant believes there is a sustained and increasing need within its patient panel for timely access to PSMA PET/CT imaging.</w:t>
      </w:r>
    </w:p>
    <w:p w14:paraId="6C381E7E" w14:textId="77777777" w:rsidR="008C360C" w:rsidRDefault="002A0B22">
      <w:pPr>
        <w:spacing w:before="520" w:line="510" w:lineRule="exact"/>
        <w:ind w:left="144" w:right="144"/>
        <w:jc w:val="both"/>
        <w:textAlignment w:val="baseline"/>
        <w:rPr>
          <w:rFonts w:ascii="Verdana" w:eastAsia="Verdana" w:hAnsi="Verdana"/>
          <w:color w:val="000000"/>
          <w:spacing w:val="-9"/>
          <w:sz w:val="21"/>
        </w:rPr>
      </w:pPr>
      <w:r>
        <w:rPr>
          <w:rFonts w:ascii="Verdana" w:eastAsia="Verdana" w:hAnsi="Verdana"/>
          <w:color w:val="000000"/>
          <w:spacing w:val="-9"/>
          <w:sz w:val="21"/>
        </w:rPr>
        <w:t>At present, the Applicant’s prostate cancer patients typically obtain PSMA PET/CT imaging through external providers, including hospital-based imaging departments and independent diagnostic testing facilities. In these settings, imaging capacity is shared among patients with diverse diagnostic needs, and the Applicant’s patients often face scheduling constraints and delays that can extend for weeks. Such delays can impose clinical, logistical, and emotional burdens on patients managing new or progressive prostate cancer diagnoses and may hinder timely treatment decision-making.</w:t>
      </w:r>
    </w:p>
    <w:p w14:paraId="6C381E7F" w14:textId="77777777" w:rsidR="008C360C" w:rsidRDefault="002A0B22">
      <w:pPr>
        <w:spacing w:before="516" w:line="510" w:lineRule="exact"/>
        <w:ind w:left="144" w:right="144"/>
        <w:jc w:val="both"/>
        <w:textAlignment w:val="baseline"/>
        <w:rPr>
          <w:rFonts w:ascii="Verdana" w:eastAsia="Verdana" w:hAnsi="Verdana"/>
          <w:color w:val="000000"/>
          <w:spacing w:val="-7"/>
          <w:sz w:val="21"/>
        </w:rPr>
      </w:pPr>
      <w:r>
        <w:rPr>
          <w:rFonts w:ascii="Verdana" w:eastAsia="Verdana" w:hAnsi="Verdana"/>
          <w:color w:val="000000"/>
          <w:spacing w:val="-7"/>
          <w:sz w:val="21"/>
        </w:rPr>
        <w:t xml:space="preserve">The Applicant believes the Proposed Project will reduce these delays and improve care coordination by integrating PSMA PET/CT imaging within the Applicant’s community-based physician practice setting, thereby aligning diagnostic imaging directly with the patients’ treating clinicians and care teams. The mobile model is intended to distribute diagnostic capacity efficiently by rotating the unit across three high-volume sites located to serve the </w:t>
      </w:r>
      <w:proofErr w:type="gramStart"/>
      <w:r>
        <w:rPr>
          <w:rFonts w:ascii="Verdana" w:eastAsia="Verdana" w:hAnsi="Verdana"/>
          <w:color w:val="000000"/>
          <w:spacing w:val="-7"/>
          <w:sz w:val="21"/>
        </w:rPr>
        <w:t>Boston-area</w:t>
      </w:r>
      <w:proofErr w:type="gramEnd"/>
      <w:r>
        <w:rPr>
          <w:rFonts w:ascii="Verdana" w:eastAsia="Verdana" w:hAnsi="Verdana"/>
          <w:color w:val="000000"/>
          <w:spacing w:val="-7"/>
          <w:sz w:val="21"/>
        </w:rPr>
        <w:t>, MetroWest, and Southeastern regions from which the Applicant draws a</w:t>
      </w:r>
    </w:p>
    <w:p w14:paraId="6C381E80" w14:textId="77777777" w:rsidR="008C360C" w:rsidRDefault="008C360C">
      <w:pPr>
        <w:sectPr w:rsidR="008C360C">
          <w:pgSz w:w="12240" w:h="15840"/>
          <w:pgMar w:top="780" w:right="1287" w:bottom="1344" w:left="1513" w:header="720" w:footer="720" w:gutter="0"/>
          <w:cols w:space="720"/>
        </w:sectPr>
      </w:pPr>
    </w:p>
    <w:p w14:paraId="6C381E84" w14:textId="77777777" w:rsidR="008C360C" w:rsidRDefault="008C360C">
      <w:pPr>
        <w:spacing w:after="772" w:line="20" w:lineRule="exact"/>
      </w:pPr>
    </w:p>
    <w:p w14:paraId="6C381E85" w14:textId="77777777" w:rsidR="008C360C" w:rsidRDefault="002A0B22">
      <w:pPr>
        <w:spacing w:line="510" w:lineRule="exact"/>
        <w:ind w:left="144" w:right="144"/>
        <w:jc w:val="both"/>
        <w:textAlignment w:val="baseline"/>
        <w:rPr>
          <w:rFonts w:ascii="Tahoma" w:eastAsia="Tahoma" w:hAnsi="Tahoma"/>
          <w:color w:val="000000"/>
        </w:rPr>
      </w:pPr>
      <w:r>
        <w:rPr>
          <w:rFonts w:ascii="Tahoma" w:eastAsia="Tahoma" w:hAnsi="Tahoma"/>
          <w:color w:val="000000"/>
        </w:rPr>
        <w:t>substantial portion of its patient panel. The Applicant also anticipates that the Proposed Project may reduce demand pressures on hospital outpatient departments and independent diagnostic testing facilities by shifting a portion of the Applicant’s imaging volume to the physician office setting.</w:t>
      </w:r>
    </w:p>
    <w:p w14:paraId="6C381E86" w14:textId="77777777" w:rsidR="008C360C" w:rsidRDefault="002A0B22">
      <w:pPr>
        <w:spacing w:before="511" w:line="511" w:lineRule="exact"/>
        <w:ind w:left="144" w:right="144"/>
        <w:jc w:val="both"/>
        <w:textAlignment w:val="baseline"/>
        <w:rPr>
          <w:rFonts w:ascii="Tahoma" w:eastAsia="Tahoma" w:hAnsi="Tahoma"/>
          <w:color w:val="000000"/>
        </w:rPr>
      </w:pPr>
      <w:r>
        <w:rPr>
          <w:rFonts w:ascii="Tahoma" w:eastAsia="Tahoma" w:hAnsi="Tahoma"/>
          <w:color w:val="000000"/>
        </w:rPr>
        <w:t>The Applicant further believes the Proposed Project will provide cost containment benefits to the Commonwealth. Imaging delivered in hospital outpatient departments is often reimbursed at higher rates and includes facility fees and other overhead-related charges not typically present in physician office settings. By providing PSMA PET/CT imaging in a lower cost physician practice environment, the Proposed Project is intended to deliver high-quality diagnostics while reducing avoidable systemwide spending and minimizing patient out-of-pocket costs. In addition, the mobile unit model is expected to enhance financial efficiency by avoiding significant construction, renovation, or other fixed-site capital expenditures.</w:t>
      </w:r>
    </w:p>
    <w:p w14:paraId="6C381E87" w14:textId="77777777" w:rsidR="008C360C" w:rsidRDefault="002A0B22">
      <w:pPr>
        <w:spacing w:line="510" w:lineRule="exact"/>
        <w:ind w:left="144" w:right="144"/>
        <w:jc w:val="both"/>
        <w:textAlignment w:val="baseline"/>
        <w:rPr>
          <w:rFonts w:ascii="Tahoma" w:eastAsia="Tahoma" w:hAnsi="Tahoma"/>
          <w:color w:val="000000"/>
        </w:rPr>
      </w:pPr>
      <w:r>
        <w:rPr>
          <w:rFonts w:ascii="Tahoma" w:eastAsia="Tahoma" w:hAnsi="Tahoma"/>
          <w:color w:val="000000"/>
        </w:rPr>
        <w:t xml:space="preserve">Importantly, the Applicant believes the Proposed Project advances the Commonwealth’s health equity priorities. Prostate cancer disproportionately affects Black males, who experience higher incidence and mortality rates, in part due to delayed access to early detection and systemic barriers to care. By locating PSMA PET/CT services within accessible community-based practice sites and providing support through trusted clinicians and nurse navigators, the Proposed Project is intended to reduce logistical and economic barriers to </w:t>
      </w:r>
      <w:proofErr w:type="gramStart"/>
      <w:r>
        <w:rPr>
          <w:rFonts w:ascii="Tahoma" w:eastAsia="Tahoma" w:hAnsi="Tahoma"/>
          <w:color w:val="000000"/>
        </w:rPr>
        <w:t>care</w:t>
      </w:r>
      <w:proofErr w:type="gramEnd"/>
      <w:r>
        <w:rPr>
          <w:rFonts w:ascii="Tahoma" w:eastAsia="Tahoma" w:hAnsi="Tahoma"/>
          <w:color w:val="000000"/>
        </w:rPr>
        <w:t xml:space="preserve"> and improve timely diagnostic access for historically underserved populations within reasonable travel distance of the Proposed Project sites.</w:t>
      </w:r>
    </w:p>
    <w:p w14:paraId="6C381E88" w14:textId="77777777" w:rsidR="008C360C" w:rsidRDefault="008C360C">
      <w:pPr>
        <w:sectPr w:rsidR="008C360C">
          <w:pgSz w:w="12240" w:h="15840"/>
          <w:pgMar w:top="780" w:right="1287" w:bottom="2364" w:left="1513" w:header="720" w:footer="720" w:gutter="0"/>
          <w:cols w:space="720"/>
        </w:sectPr>
      </w:pPr>
    </w:p>
    <w:p w14:paraId="6C381E8D" w14:textId="28E8086C" w:rsidR="008C360C" w:rsidRDefault="002A0B22" w:rsidP="00EA1B2F">
      <w:pPr>
        <w:pStyle w:val="Heading2"/>
        <w:rPr>
          <w:rFonts w:ascii="Arial" w:eastAsia="Arial" w:hAnsi="Arial"/>
          <w:sz w:val="23"/>
        </w:rPr>
      </w:pPr>
      <w:r w:rsidRPr="00EA1B2F">
        <w:rPr>
          <w:rFonts w:ascii="Arial" w:eastAsia="Arial" w:hAnsi="Arial"/>
          <w:sz w:val="23"/>
          <w:u w:val="none"/>
        </w:rPr>
        <w:lastRenderedPageBreak/>
        <w:t>III.</w:t>
      </w:r>
      <w:r w:rsidRPr="00EA1B2F">
        <w:rPr>
          <w:rFonts w:ascii="Arial" w:eastAsia="Arial" w:hAnsi="Arial"/>
          <w:sz w:val="23"/>
          <w:u w:val="none"/>
        </w:rPr>
        <w:tab/>
      </w:r>
      <w:r w:rsidR="006D63FC">
        <w:t>Scope of Report</w:t>
      </w:r>
    </w:p>
    <w:p w14:paraId="6C381E8E" w14:textId="77777777" w:rsidR="008C360C" w:rsidRDefault="002A0B22">
      <w:pPr>
        <w:spacing w:before="242" w:line="511" w:lineRule="exact"/>
        <w:ind w:left="144" w:right="144"/>
        <w:jc w:val="both"/>
        <w:textAlignment w:val="baseline"/>
        <w:rPr>
          <w:rFonts w:ascii="Tahoma" w:eastAsia="Tahoma" w:hAnsi="Tahoma"/>
          <w:color w:val="000000"/>
        </w:rPr>
      </w:pPr>
      <w:r>
        <w:rPr>
          <w:rFonts w:ascii="Tahoma" w:eastAsia="Tahoma" w:hAnsi="Tahoma"/>
          <w:color w:val="000000"/>
        </w:rPr>
        <w:t xml:space="preserve">The scope of this report is limited </w:t>
      </w:r>
      <w:proofErr w:type="gramStart"/>
      <w:r>
        <w:rPr>
          <w:rFonts w:ascii="Tahoma" w:eastAsia="Tahoma" w:hAnsi="Tahoma"/>
          <w:color w:val="000000"/>
        </w:rPr>
        <w:t>on</w:t>
      </w:r>
      <w:proofErr w:type="gramEnd"/>
      <w:r>
        <w:rPr>
          <w:rFonts w:ascii="Tahoma" w:eastAsia="Tahoma" w:hAnsi="Tahoma"/>
          <w:color w:val="000000"/>
        </w:rPr>
        <w:t xml:space="preserve"> evaluating the six-year Projections for the fiscal years ending December 31, </w:t>
      </w:r>
      <w:proofErr w:type="gramStart"/>
      <w:r>
        <w:rPr>
          <w:rFonts w:ascii="Tahoma" w:eastAsia="Tahoma" w:hAnsi="Tahoma"/>
          <w:color w:val="000000"/>
        </w:rPr>
        <w:t>2025</w:t>
      </w:r>
      <w:proofErr w:type="gramEnd"/>
      <w:r>
        <w:rPr>
          <w:rFonts w:ascii="Tahoma" w:eastAsia="Tahoma" w:hAnsi="Tahoma"/>
          <w:color w:val="000000"/>
        </w:rPr>
        <w:t xml:space="preserve"> through 2030, as prepared by Management. The analysis includes a review of the supporting documentation to render a conclusion as to the reasonableness of assumptions used in the preparation and feasibility of the Projections. </w:t>
      </w:r>
      <w:proofErr w:type="gramStart"/>
      <w:r>
        <w:rPr>
          <w:rFonts w:ascii="Tahoma" w:eastAsia="Tahoma" w:hAnsi="Tahoma"/>
          <w:color w:val="000000"/>
        </w:rPr>
        <w:t>For the purpose of</w:t>
      </w:r>
      <w:proofErr w:type="gramEnd"/>
      <w:r>
        <w:rPr>
          <w:rFonts w:ascii="Tahoma" w:eastAsia="Tahoma" w:hAnsi="Tahoma"/>
          <w:color w:val="000000"/>
        </w:rPr>
        <w:t xml:space="preserve"> this report, </w:t>
      </w:r>
      <w:r>
        <w:rPr>
          <w:rFonts w:ascii="Tahoma" w:eastAsia="Tahoma" w:hAnsi="Tahoma"/>
          <w:i/>
          <w:color w:val="000000"/>
        </w:rPr>
        <w:t xml:space="preserve">reasonableness </w:t>
      </w:r>
      <w:r>
        <w:rPr>
          <w:rFonts w:ascii="Tahoma" w:eastAsia="Tahoma" w:hAnsi="Tahoma"/>
          <w:color w:val="000000"/>
        </w:rPr>
        <w:t xml:space="preserve">is defined as assumptions that are supportable and appropriate, given the available information. </w:t>
      </w:r>
      <w:r>
        <w:rPr>
          <w:rFonts w:ascii="Tahoma" w:eastAsia="Tahoma" w:hAnsi="Tahoma"/>
          <w:i/>
          <w:color w:val="000000"/>
        </w:rPr>
        <w:t xml:space="preserve">Feasibility </w:t>
      </w:r>
      <w:r>
        <w:rPr>
          <w:rFonts w:ascii="Tahoma" w:eastAsia="Tahoma" w:hAnsi="Tahoma"/>
          <w:color w:val="000000"/>
        </w:rPr>
        <w:t>is defined as the likelihood that, based on the assumptions used, the Proposed Project will not likely result in a liquidation of the underlying assets or necessitate a financial reorganization.</w:t>
      </w:r>
    </w:p>
    <w:p w14:paraId="6C381E8F" w14:textId="77777777" w:rsidR="008C360C" w:rsidRDefault="002A0B22">
      <w:pPr>
        <w:spacing w:before="513" w:line="511" w:lineRule="exact"/>
        <w:ind w:left="144" w:right="144"/>
        <w:jc w:val="both"/>
        <w:textAlignment w:val="baseline"/>
        <w:rPr>
          <w:rFonts w:ascii="Tahoma" w:eastAsia="Tahoma" w:hAnsi="Tahoma"/>
          <w:color w:val="000000"/>
        </w:rPr>
      </w:pPr>
      <w:r>
        <w:rPr>
          <w:rFonts w:ascii="Tahoma" w:eastAsia="Tahoma" w:hAnsi="Tahoma"/>
          <w:color w:val="000000"/>
        </w:rPr>
        <w:t xml:space="preserve">This report is based on prospective financial information provided to us by Management. BDO understands the prospective financial information was developed as of October 21, </w:t>
      </w:r>
      <w:proofErr w:type="gramStart"/>
      <w:r>
        <w:rPr>
          <w:rFonts w:ascii="Tahoma" w:eastAsia="Tahoma" w:hAnsi="Tahoma"/>
          <w:color w:val="000000"/>
        </w:rPr>
        <w:t>2025</w:t>
      </w:r>
      <w:proofErr w:type="gramEnd"/>
      <w:r>
        <w:rPr>
          <w:rFonts w:ascii="Tahoma" w:eastAsia="Tahoma" w:hAnsi="Tahoma"/>
          <w:color w:val="000000"/>
        </w:rPr>
        <w:t xml:space="preserve"> and is still representative of Management’s expectations as of the drafting of this report. BDO has not audited or performed any other form of attestation services on the projected financial information related to the operations of GBU.</w:t>
      </w:r>
    </w:p>
    <w:p w14:paraId="6C381E90" w14:textId="77777777" w:rsidR="008C360C" w:rsidRDefault="002A0B22">
      <w:pPr>
        <w:spacing w:before="510" w:line="511" w:lineRule="exact"/>
        <w:ind w:left="144" w:right="144"/>
        <w:jc w:val="both"/>
        <w:textAlignment w:val="baseline"/>
        <w:rPr>
          <w:rFonts w:ascii="Tahoma" w:eastAsia="Tahoma" w:hAnsi="Tahoma"/>
          <w:color w:val="000000"/>
        </w:rPr>
      </w:pPr>
      <w:r>
        <w:rPr>
          <w:rFonts w:ascii="Tahoma" w:eastAsia="Tahoma" w:hAnsi="Tahoma"/>
          <w:color w:val="000000"/>
        </w:rPr>
        <w:t>If BDO had audited the underlying data, matters may have come to our attention that would have resulted in our using amounts that differ from those provided. Accordingly, we do not express an opinion or any other assurances on the underlying data or projections presented or relied upon in this report. We do not provide assurance on the achievability of the results forecasted by the Applicant because events and circumstances frequently do not occur as expected, and the achievement of the forecasted results is dependent on the actions, plans,</w:t>
      </w:r>
    </w:p>
    <w:p w14:paraId="6C381E91" w14:textId="77777777" w:rsidR="008C360C" w:rsidRDefault="008C360C">
      <w:pPr>
        <w:sectPr w:rsidR="008C360C">
          <w:pgSz w:w="12240" w:h="15840"/>
          <w:pgMar w:top="780" w:right="1284" w:bottom="1604" w:left="1516" w:header="720" w:footer="720" w:gutter="0"/>
          <w:cols w:space="720"/>
        </w:sectPr>
      </w:pPr>
    </w:p>
    <w:p w14:paraId="6C381E95" w14:textId="77777777" w:rsidR="008C360C" w:rsidRDefault="008C360C">
      <w:pPr>
        <w:spacing w:after="772" w:line="20" w:lineRule="exact"/>
      </w:pPr>
    </w:p>
    <w:p w14:paraId="6C381E96" w14:textId="77777777" w:rsidR="008C360C" w:rsidRDefault="002A0B22">
      <w:pPr>
        <w:spacing w:line="510" w:lineRule="exact"/>
        <w:ind w:left="144" w:right="144"/>
        <w:textAlignment w:val="baseline"/>
        <w:rPr>
          <w:rFonts w:ascii="Tahoma" w:eastAsia="Tahoma" w:hAnsi="Tahoma"/>
          <w:color w:val="000000"/>
        </w:rPr>
      </w:pPr>
      <w:r>
        <w:rPr>
          <w:rFonts w:ascii="Tahoma" w:eastAsia="Tahoma" w:hAnsi="Tahoma"/>
          <w:color w:val="000000"/>
        </w:rPr>
        <w:t>and assumptions of Management. We reserve the right to update our analysis in the event we are provided with additional information.</w:t>
      </w:r>
    </w:p>
    <w:p w14:paraId="6C381E97" w14:textId="63CF851B" w:rsidR="008C360C" w:rsidRPr="00571463" w:rsidRDefault="002A0B22" w:rsidP="00571463">
      <w:pPr>
        <w:pStyle w:val="Heading2"/>
        <w:rPr>
          <w:b w:val="0"/>
          <w:bCs/>
          <w:spacing w:val="-10"/>
        </w:rPr>
      </w:pPr>
      <w:r w:rsidRPr="00571463">
        <w:rPr>
          <w:spacing w:val="-10"/>
          <w:u w:val="none"/>
        </w:rPr>
        <w:t>IV.</w:t>
      </w:r>
      <w:r w:rsidRPr="00571463">
        <w:rPr>
          <w:spacing w:val="-10"/>
          <w:u w:val="none"/>
        </w:rPr>
        <w:tab/>
      </w:r>
      <w:r w:rsidR="00571463" w:rsidRPr="00571463">
        <w:rPr>
          <w:spacing w:val="-10"/>
        </w:rPr>
        <w:t>So</w:t>
      </w:r>
      <w:r w:rsidR="00571463" w:rsidRPr="00571463">
        <w:rPr>
          <w:rStyle w:val="Heading2Char"/>
          <w:b/>
          <w:bCs/>
        </w:rPr>
        <w:t xml:space="preserve">urces </w:t>
      </w:r>
      <w:r w:rsidR="00571463">
        <w:rPr>
          <w:rStyle w:val="Heading2Char"/>
          <w:b/>
          <w:bCs/>
        </w:rPr>
        <w:t>o</w:t>
      </w:r>
      <w:r w:rsidR="00571463" w:rsidRPr="00571463">
        <w:rPr>
          <w:rStyle w:val="Heading2Char"/>
          <w:b/>
          <w:bCs/>
        </w:rPr>
        <w:t>f Information Utilized</w:t>
      </w:r>
      <w:r w:rsidRPr="00571463">
        <w:rPr>
          <w:rStyle w:val="Heading2Char"/>
          <w:b/>
          <w:bCs/>
        </w:rPr>
        <w:t xml:space="preserve"> </w:t>
      </w:r>
    </w:p>
    <w:p w14:paraId="6C381E98" w14:textId="77777777" w:rsidR="008C360C" w:rsidRDefault="002A0B22">
      <w:pPr>
        <w:spacing w:before="2" w:line="511" w:lineRule="exact"/>
        <w:ind w:left="144" w:right="144"/>
        <w:textAlignment w:val="baseline"/>
        <w:rPr>
          <w:rFonts w:ascii="Tahoma" w:eastAsia="Tahoma" w:hAnsi="Tahoma"/>
          <w:color w:val="000000"/>
          <w:spacing w:val="-1"/>
        </w:rPr>
      </w:pPr>
      <w:r>
        <w:rPr>
          <w:rFonts w:ascii="Tahoma" w:eastAsia="Tahoma" w:hAnsi="Tahoma"/>
          <w:color w:val="000000"/>
          <w:spacing w:val="-1"/>
        </w:rPr>
        <w:t>In formulating our conclusions contained in this report, we reviewed documents produced by Management as well as third party industry data sources. The documents and information upon which we relied are identified below or are otherwise referenced in this report:</w:t>
      </w:r>
    </w:p>
    <w:p w14:paraId="6C381E99" w14:textId="77777777" w:rsidR="008C360C" w:rsidRDefault="002A0B22">
      <w:pPr>
        <w:numPr>
          <w:ilvl w:val="0"/>
          <w:numId w:val="1"/>
        </w:numPr>
        <w:tabs>
          <w:tab w:val="clear" w:pos="360"/>
          <w:tab w:val="left" w:pos="864"/>
        </w:tabs>
        <w:spacing w:before="512" w:line="511" w:lineRule="exact"/>
        <w:ind w:left="864" w:right="144" w:hanging="360"/>
        <w:textAlignment w:val="baseline"/>
        <w:rPr>
          <w:rFonts w:ascii="Tahoma" w:eastAsia="Tahoma" w:hAnsi="Tahoma"/>
          <w:color w:val="000000"/>
        </w:rPr>
      </w:pPr>
      <w:r>
        <w:rPr>
          <w:rFonts w:ascii="Tahoma" w:eastAsia="Tahoma" w:hAnsi="Tahoma"/>
          <w:color w:val="000000"/>
        </w:rPr>
        <w:t xml:space="preserve">Financial Model for Client for the periods ending December 31, </w:t>
      </w:r>
      <w:proofErr w:type="gramStart"/>
      <w:r>
        <w:rPr>
          <w:rFonts w:ascii="Tahoma" w:eastAsia="Tahoma" w:hAnsi="Tahoma"/>
          <w:color w:val="000000"/>
        </w:rPr>
        <w:t>2023</w:t>
      </w:r>
      <w:proofErr w:type="gramEnd"/>
      <w:r>
        <w:rPr>
          <w:rFonts w:ascii="Tahoma" w:eastAsia="Tahoma" w:hAnsi="Tahoma"/>
          <w:color w:val="000000"/>
        </w:rPr>
        <w:t xml:space="preserve"> through December 31, </w:t>
      </w:r>
      <w:proofErr w:type="gramStart"/>
      <w:r>
        <w:rPr>
          <w:rFonts w:ascii="Tahoma" w:eastAsia="Tahoma" w:hAnsi="Tahoma"/>
          <w:color w:val="000000"/>
        </w:rPr>
        <w:t>2030;</w:t>
      </w:r>
      <w:proofErr w:type="gramEnd"/>
    </w:p>
    <w:p w14:paraId="6C381E9A" w14:textId="77777777" w:rsidR="008C360C" w:rsidRDefault="002A0B22">
      <w:pPr>
        <w:numPr>
          <w:ilvl w:val="0"/>
          <w:numId w:val="1"/>
        </w:numPr>
        <w:tabs>
          <w:tab w:val="clear" w:pos="360"/>
          <w:tab w:val="left" w:pos="864"/>
        </w:tabs>
        <w:spacing w:line="508" w:lineRule="exact"/>
        <w:ind w:left="864" w:right="144" w:hanging="360"/>
        <w:textAlignment w:val="baseline"/>
        <w:rPr>
          <w:rFonts w:ascii="Tahoma" w:eastAsia="Tahoma" w:hAnsi="Tahoma"/>
          <w:color w:val="000000"/>
        </w:rPr>
      </w:pPr>
      <w:r>
        <w:rPr>
          <w:rFonts w:ascii="Tahoma" w:eastAsia="Tahoma" w:hAnsi="Tahoma"/>
          <w:color w:val="000000"/>
        </w:rPr>
        <w:t xml:space="preserve">Financial Statements for Greater Boston Urology, LLC for Fiscal Years Ended December 31, </w:t>
      </w:r>
      <w:proofErr w:type="gramStart"/>
      <w:r>
        <w:rPr>
          <w:rFonts w:ascii="Tahoma" w:eastAsia="Tahoma" w:hAnsi="Tahoma"/>
          <w:color w:val="000000"/>
        </w:rPr>
        <w:t>2023</w:t>
      </w:r>
      <w:proofErr w:type="gramEnd"/>
      <w:r>
        <w:rPr>
          <w:rFonts w:ascii="Tahoma" w:eastAsia="Tahoma" w:hAnsi="Tahoma"/>
          <w:color w:val="000000"/>
        </w:rPr>
        <w:t xml:space="preserve"> and </w:t>
      </w:r>
      <w:proofErr w:type="gramStart"/>
      <w:r>
        <w:rPr>
          <w:rFonts w:ascii="Tahoma" w:eastAsia="Tahoma" w:hAnsi="Tahoma"/>
          <w:color w:val="000000"/>
        </w:rPr>
        <w:t>2024;</w:t>
      </w:r>
      <w:proofErr w:type="gramEnd"/>
    </w:p>
    <w:p w14:paraId="6C381E9B" w14:textId="77777777" w:rsidR="008C360C" w:rsidRDefault="002A0B22">
      <w:pPr>
        <w:numPr>
          <w:ilvl w:val="0"/>
          <w:numId w:val="1"/>
        </w:numPr>
        <w:tabs>
          <w:tab w:val="clear" w:pos="360"/>
          <w:tab w:val="left" w:pos="864"/>
        </w:tabs>
        <w:spacing w:before="258" w:line="258" w:lineRule="exact"/>
        <w:ind w:left="864" w:hanging="360"/>
        <w:textAlignment w:val="baseline"/>
        <w:rPr>
          <w:rFonts w:ascii="Tahoma" w:eastAsia="Tahoma" w:hAnsi="Tahoma"/>
          <w:color w:val="000000"/>
        </w:rPr>
      </w:pPr>
      <w:r>
        <w:rPr>
          <w:rFonts w:ascii="Tahoma" w:eastAsia="Tahoma" w:hAnsi="Tahoma"/>
          <w:color w:val="000000"/>
        </w:rPr>
        <w:t xml:space="preserve">Integra Reports, published by </w:t>
      </w:r>
      <w:proofErr w:type="spellStart"/>
      <w:r>
        <w:rPr>
          <w:rFonts w:ascii="Tahoma" w:eastAsia="Tahoma" w:hAnsi="Tahoma"/>
          <w:color w:val="000000"/>
        </w:rPr>
        <w:t>MicroBilt</w:t>
      </w:r>
      <w:proofErr w:type="spellEnd"/>
      <w:r>
        <w:rPr>
          <w:rFonts w:ascii="Tahoma" w:eastAsia="Tahoma" w:hAnsi="Tahoma"/>
          <w:color w:val="000000"/>
        </w:rPr>
        <w:t xml:space="preserve"> Corporation as of October </w:t>
      </w:r>
      <w:proofErr w:type="gramStart"/>
      <w:r>
        <w:rPr>
          <w:rFonts w:ascii="Tahoma" w:eastAsia="Tahoma" w:hAnsi="Tahoma"/>
          <w:color w:val="000000"/>
        </w:rPr>
        <w:t>2025;</w:t>
      </w:r>
      <w:proofErr w:type="gramEnd"/>
    </w:p>
    <w:p w14:paraId="6C381E9C" w14:textId="77777777" w:rsidR="008C360C" w:rsidRDefault="002A0B22">
      <w:pPr>
        <w:numPr>
          <w:ilvl w:val="0"/>
          <w:numId w:val="1"/>
        </w:numPr>
        <w:tabs>
          <w:tab w:val="clear" w:pos="360"/>
          <w:tab w:val="left" w:pos="864"/>
        </w:tabs>
        <w:spacing w:before="251" w:line="258" w:lineRule="exact"/>
        <w:ind w:left="864" w:hanging="360"/>
        <w:textAlignment w:val="baseline"/>
        <w:rPr>
          <w:rFonts w:ascii="Tahoma" w:eastAsia="Tahoma" w:hAnsi="Tahoma"/>
          <w:color w:val="000000"/>
        </w:rPr>
      </w:pPr>
      <w:r>
        <w:rPr>
          <w:rFonts w:ascii="Tahoma" w:eastAsia="Tahoma" w:hAnsi="Tahoma"/>
          <w:color w:val="000000"/>
        </w:rPr>
        <w:t>Definitive Healthcare data as of January 2024; and</w:t>
      </w:r>
    </w:p>
    <w:p w14:paraId="6C381E9D" w14:textId="77777777" w:rsidR="008C360C" w:rsidRDefault="002A0B22">
      <w:pPr>
        <w:numPr>
          <w:ilvl w:val="0"/>
          <w:numId w:val="1"/>
        </w:numPr>
        <w:tabs>
          <w:tab w:val="clear" w:pos="360"/>
          <w:tab w:val="left" w:pos="864"/>
        </w:tabs>
        <w:spacing w:before="250" w:line="258" w:lineRule="exact"/>
        <w:ind w:left="864" w:hanging="360"/>
        <w:textAlignment w:val="baseline"/>
        <w:rPr>
          <w:rFonts w:ascii="Tahoma" w:eastAsia="Tahoma" w:hAnsi="Tahoma"/>
          <w:color w:val="000000"/>
        </w:rPr>
      </w:pPr>
      <w:r>
        <w:rPr>
          <w:rFonts w:ascii="Tahoma" w:eastAsia="Tahoma" w:hAnsi="Tahoma"/>
          <w:color w:val="000000"/>
        </w:rPr>
        <w:t>IBISWorld Industry Report, Hospitals in the US, dated March 2025.</w:t>
      </w:r>
    </w:p>
    <w:p w14:paraId="6C381E9E" w14:textId="41EF2102" w:rsidR="008C360C" w:rsidRDefault="002A0B22" w:rsidP="00D0492C">
      <w:pPr>
        <w:pStyle w:val="Heading2"/>
      </w:pPr>
      <w:r w:rsidRPr="00D0492C">
        <w:rPr>
          <w:u w:val="none"/>
        </w:rPr>
        <w:t>V.</w:t>
      </w:r>
      <w:r w:rsidRPr="00D0492C">
        <w:rPr>
          <w:u w:val="none"/>
        </w:rPr>
        <w:tab/>
      </w:r>
      <w:r w:rsidR="00D0492C">
        <w:t xml:space="preserve">Review of the Projections </w:t>
      </w:r>
    </w:p>
    <w:p w14:paraId="6C381E9F" w14:textId="77777777" w:rsidR="008C360C" w:rsidRDefault="002A0B22">
      <w:pPr>
        <w:spacing w:before="253" w:line="258" w:lineRule="exact"/>
        <w:ind w:left="144"/>
        <w:textAlignment w:val="baseline"/>
        <w:rPr>
          <w:rFonts w:ascii="Tahoma" w:eastAsia="Tahoma" w:hAnsi="Tahoma"/>
          <w:color w:val="000000"/>
          <w:spacing w:val="3"/>
        </w:rPr>
      </w:pPr>
      <w:r>
        <w:rPr>
          <w:rFonts w:ascii="Tahoma" w:eastAsia="Tahoma" w:hAnsi="Tahoma"/>
          <w:color w:val="000000"/>
          <w:spacing w:val="3"/>
        </w:rPr>
        <w:t>This section of our report summarizes our review of the reasonableness of the assumptions</w:t>
      </w:r>
    </w:p>
    <w:p w14:paraId="6C381EA0" w14:textId="77777777" w:rsidR="008C360C" w:rsidRDefault="002A0B22">
      <w:pPr>
        <w:spacing w:before="256" w:line="258" w:lineRule="exact"/>
        <w:ind w:left="144"/>
        <w:textAlignment w:val="baseline"/>
        <w:rPr>
          <w:rFonts w:ascii="Tahoma" w:eastAsia="Tahoma" w:hAnsi="Tahoma"/>
          <w:color w:val="000000"/>
        </w:rPr>
      </w:pPr>
      <w:r>
        <w:rPr>
          <w:rFonts w:ascii="Tahoma" w:eastAsia="Tahoma" w:hAnsi="Tahoma"/>
          <w:color w:val="000000"/>
        </w:rPr>
        <w:t>used and feasibility of the Projections.</w:t>
      </w:r>
    </w:p>
    <w:p w14:paraId="6C381EA1" w14:textId="77777777" w:rsidR="008C360C" w:rsidRDefault="002A0B22">
      <w:pPr>
        <w:spacing w:before="509" w:line="511" w:lineRule="exact"/>
        <w:ind w:left="144" w:right="144"/>
        <w:textAlignment w:val="baseline"/>
        <w:rPr>
          <w:rFonts w:ascii="Tahoma" w:eastAsia="Tahoma" w:hAnsi="Tahoma"/>
          <w:color w:val="000000"/>
        </w:rPr>
      </w:pPr>
      <w:r>
        <w:rPr>
          <w:rFonts w:ascii="Tahoma" w:eastAsia="Tahoma" w:hAnsi="Tahoma"/>
          <w:color w:val="000000"/>
        </w:rPr>
        <w:t>The following table presents the key metrics (“Key Metrics”), as defined below, which compare the forecasted operating results of GBU to historical results for the Applicant and</w:t>
      </w:r>
    </w:p>
    <w:p w14:paraId="6C381EA2" w14:textId="77777777" w:rsidR="008C360C" w:rsidRDefault="008C360C">
      <w:pPr>
        <w:sectPr w:rsidR="008C360C">
          <w:pgSz w:w="12240" w:h="15840"/>
          <w:pgMar w:top="780" w:right="1289" w:bottom="1844" w:left="1511" w:header="720" w:footer="720" w:gutter="0"/>
          <w:cols w:space="720"/>
        </w:sectPr>
      </w:pPr>
    </w:p>
    <w:p w14:paraId="6C381EA6" w14:textId="77777777" w:rsidR="008C360C" w:rsidRDefault="008C360C">
      <w:pPr>
        <w:spacing w:after="772" w:line="20" w:lineRule="exact"/>
      </w:pPr>
    </w:p>
    <w:p w14:paraId="6C381EA7" w14:textId="77777777" w:rsidR="008C360C" w:rsidRDefault="002A0B22">
      <w:pPr>
        <w:spacing w:before="1" w:after="240" w:line="508" w:lineRule="exact"/>
        <w:ind w:left="144" w:right="144"/>
        <w:jc w:val="both"/>
        <w:textAlignment w:val="baseline"/>
        <w:rPr>
          <w:rFonts w:ascii="Tahoma" w:eastAsia="Tahoma" w:hAnsi="Tahoma"/>
          <w:color w:val="000000"/>
        </w:rPr>
      </w:pPr>
      <w:r>
        <w:rPr>
          <w:rFonts w:ascii="Tahoma" w:eastAsia="Tahoma" w:hAnsi="Tahoma"/>
          <w:color w:val="000000"/>
        </w:rPr>
        <w:t>market information from Integra Data, IBISWorld, and Definitive Healthcare to assess the reasonableness of the Projections.</w:t>
      </w:r>
    </w:p>
    <w:tbl>
      <w:tblPr>
        <w:tblW w:w="0" w:type="auto"/>
        <w:tblInd w:w="436" w:type="dxa"/>
        <w:tblLayout w:type="fixed"/>
        <w:tblCellMar>
          <w:left w:w="0" w:type="dxa"/>
          <w:right w:w="0" w:type="dxa"/>
        </w:tblCellMar>
        <w:tblLook w:val="0000" w:firstRow="0" w:lastRow="0" w:firstColumn="0" w:lastColumn="0" w:noHBand="0" w:noVBand="0"/>
        <w:tblCaption w:val="Key Metrics 2023-2030"/>
      </w:tblPr>
      <w:tblGrid>
        <w:gridCol w:w="2074"/>
        <w:gridCol w:w="801"/>
        <w:gridCol w:w="811"/>
        <w:gridCol w:w="812"/>
        <w:gridCol w:w="806"/>
        <w:gridCol w:w="811"/>
        <w:gridCol w:w="903"/>
        <w:gridCol w:w="897"/>
        <w:gridCol w:w="648"/>
      </w:tblGrid>
      <w:tr w:rsidR="001F2353" w14:paraId="6C381EB1" w14:textId="77777777" w:rsidTr="00C57386">
        <w:trPr>
          <w:cantSplit/>
          <w:trHeight w:hRule="exact" w:val="427"/>
          <w:tblHeader/>
        </w:trPr>
        <w:tc>
          <w:tcPr>
            <w:tcW w:w="2074" w:type="dxa"/>
            <w:tcBorders>
              <w:top w:val="single" w:sz="5" w:space="0" w:color="000000"/>
              <w:left w:val="single" w:sz="5" w:space="0" w:color="000000"/>
              <w:bottom w:val="single" w:sz="5" w:space="0" w:color="000000"/>
              <w:right w:val="single" w:sz="5" w:space="0" w:color="000000"/>
            </w:tcBorders>
          </w:tcPr>
          <w:p w14:paraId="6C381EA8" w14:textId="77777777" w:rsidR="008C360C" w:rsidRDefault="002A0B22">
            <w:pPr>
              <w:spacing w:after="15" w:line="187" w:lineRule="exact"/>
              <w:ind w:left="108" w:right="252"/>
              <w:textAlignment w:val="baseline"/>
              <w:rPr>
                <w:rFonts w:ascii="Arial" w:eastAsia="Arial" w:hAnsi="Arial"/>
                <w:color w:val="000000"/>
                <w:w w:val="95"/>
                <w:sz w:val="16"/>
              </w:rPr>
            </w:pPr>
            <w:r>
              <w:rPr>
                <w:rFonts w:ascii="Arial" w:eastAsia="Arial" w:hAnsi="Arial"/>
                <w:color w:val="000000"/>
                <w:w w:val="95"/>
                <w:sz w:val="16"/>
              </w:rPr>
              <w:t>Greater Boston Urology, LLC</w:t>
            </w:r>
          </w:p>
        </w:tc>
        <w:tc>
          <w:tcPr>
            <w:tcW w:w="801" w:type="dxa"/>
            <w:tcBorders>
              <w:top w:val="single" w:sz="5" w:space="0" w:color="000000"/>
              <w:left w:val="single" w:sz="5" w:space="0" w:color="000000"/>
              <w:bottom w:val="single" w:sz="5" w:space="0" w:color="000000"/>
              <w:right w:val="single" w:sz="5" w:space="0" w:color="000000"/>
            </w:tcBorders>
            <w:vAlign w:val="center"/>
          </w:tcPr>
          <w:p w14:paraId="6C381EA9" w14:textId="77777777" w:rsidR="008C360C" w:rsidRDefault="002A0B22">
            <w:pPr>
              <w:spacing w:before="130" w:after="106" w:line="182" w:lineRule="exact"/>
              <w:ind w:right="202"/>
              <w:jc w:val="right"/>
              <w:textAlignment w:val="baseline"/>
              <w:rPr>
                <w:rFonts w:ascii="Arial" w:eastAsia="Arial" w:hAnsi="Arial"/>
                <w:color w:val="000000"/>
                <w:sz w:val="16"/>
              </w:rPr>
            </w:pPr>
            <w:r>
              <w:rPr>
                <w:rFonts w:ascii="Arial" w:eastAsia="Arial" w:hAnsi="Arial"/>
                <w:color w:val="000000"/>
                <w:sz w:val="16"/>
              </w:rPr>
              <w:t>2023</w:t>
            </w:r>
          </w:p>
        </w:tc>
        <w:tc>
          <w:tcPr>
            <w:tcW w:w="811" w:type="dxa"/>
            <w:tcBorders>
              <w:top w:val="single" w:sz="5" w:space="0" w:color="000000"/>
              <w:left w:val="single" w:sz="5" w:space="0" w:color="000000"/>
              <w:bottom w:val="single" w:sz="5" w:space="0" w:color="000000"/>
              <w:right w:val="single" w:sz="5" w:space="0" w:color="000000"/>
            </w:tcBorders>
            <w:vAlign w:val="center"/>
          </w:tcPr>
          <w:p w14:paraId="6C381EAA" w14:textId="77777777" w:rsidR="008C360C" w:rsidRDefault="002A0B22">
            <w:pPr>
              <w:spacing w:before="130" w:after="106" w:line="182" w:lineRule="exact"/>
              <w:jc w:val="center"/>
              <w:textAlignment w:val="baseline"/>
              <w:rPr>
                <w:rFonts w:ascii="Arial" w:eastAsia="Arial" w:hAnsi="Arial"/>
                <w:color w:val="000000"/>
                <w:sz w:val="16"/>
              </w:rPr>
            </w:pPr>
            <w:r>
              <w:rPr>
                <w:rFonts w:ascii="Arial" w:eastAsia="Arial" w:hAnsi="Arial"/>
                <w:color w:val="000000"/>
                <w:sz w:val="16"/>
              </w:rPr>
              <w:t>2024</w:t>
            </w:r>
          </w:p>
        </w:tc>
        <w:tc>
          <w:tcPr>
            <w:tcW w:w="812" w:type="dxa"/>
            <w:tcBorders>
              <w:top w:val="single" w:sz="5" w:space="0" w:color="000000"/>
              <w:left w:val="single" w:sz="5" w:space="0" w:color="000000"/>
              <w:bottom w:val="single" w:sz="5" w:space="0" w:color="000000"/>
              <w:right w:val="single" w:sz="5" w:space="0" w:color="000000"/>
            </w:tcBorders>
            <w:vAlign w:val="center"/>
          </w:tcPr>
          <w:p w14:paraId="6C381EAB" w14:textId="77777777" w:rsidR="008C360C" w:rsidRDefault="002A0B22">
            <w:pPr>
              <w:spacing w:before="130" w:after="106" w:line="182" w:lineRule="exact"/>
              <w:jc w:val="center"/>
              <w:textAlignment w:val="baseline"/>
              <w:rPr>
                <w:rFonts w:ascii="Arial" w:eastAsia="Arial" w:hAnsi="Arial"/>
                <w:color w:val="000000"/>
                <w:sz w:val="16"/>
              </w:rPr>
            </w:pPr>
            <w:r>
              <w:rPr>
                <w:rFonts w:ascii="Arial" w:eastAsia="Arial" w:hAnsi="Arial"/>
                <w:color w:val="000000"/>
                <w:sz w:val="16"/>
              </w:rPr>
              <w:t>2025</w:t>
            </w:r>
          </w:p>
        </w:tc>
        <w:tc>
          <w:tcPr>
            <w:tcW w:w="806" w:type="dxa"/>
            <w:tcBorders>
              <w:top w:val="single" w:sz="5" w:space="0" w:color="000000"/>
              <w:left w:val="single" w:sz="5" w:space="0" w:color="000000"/>
              <w:bottom w:val="single" w:sz="5" w:space="0" w:color="000000"/>
              <w:right w:val="single" w:sz="5" w:space="0" w:color="000000"/>
            </w:tcBorders>
            <w:vAlign w:val="center"/>
          </w:tcPr>
          <w:p w14:paraId="6C381EAC" w14:textId="77777777" w:rsidR="008C360C" w:rsidRDefault="002A0B22">
            <w:pPr>
              <w:spacing w:before="130" w:after="106" w:line="182" w:lineRule="exact"/>
              <w:jc w:val="center"/>
              <w:textAlignment w:val="baseline"/>
              <w:rPr>
                <w:rFonts w:ascii="Arial" w:eastAsia="Arial" w:hAnsi="Arial"/>
                <w:color w:val="000000"/>
                <w:sz w:val="16"/>
              </w:rPr>
            </w:pPr>
            <w:r>
              <w:rPr>
                <w:rFonts w:ascii="Arial" w:eastAsia="Arial" w:hAnsi="Arial"/>
                <w:color w:val="000000"/>
                <w:sz w:val="16"/>
              </w:rPr>
              <w:t>2026</w:t>
            </w:r>
          </w:p>
        </w:tc>
        <w:tc>
          <w:tcPr>
            <w:tcW w:w="811" w:type="dxa"/>
            <w:tcBorders>
              <w:top w:val="single" w:sz="5" w:space="0" w:color="000000"/>
              <w:left w:val="single" w:sz="5" w:space="0" w:color="000000"/>
              <w:bottom w:val="single" w:sz="5" w:space="0" w:color="000000"/>
              <w:right w:val="single" w:sz="5" w:space="0" w:color="000000"/>
            </w:tcBorders>
            <w:vAlign w:val="center"/>
          </w:tcPr>
          <w:p w14:paraId="6C381EAD" w14:textId="77777777" w:rsidR="008C360C" w:rsidRDefault="002A0B22">
            <w:pPr>
              <w:spacing w:before="130" w:after="106" w:line="182" w:lineRule="exact"/>
              <w:jc w:val="center"/>
              <w:textAlignment w:val="baseline"/>
              <w:rPr>
                <w:rFonts w:ascii="Arial" w:eastAsia="Arial" w:hAnsi="Arial"/>
                <w:color w:val="000000"/>
                <w:sz w:val="16"/>
              </w:rPr>
            </w:pPr>
            <w:r>
              <w:rPr>
                <w:rFonts w:ascii="Arial" w:eastAsia="Arial" w:hAnsi="Arial"/>
                <w:color w:val="000000"/>
                <w:sz w:val="16"/>
              </w:rPr>
              <w:t>2027</w:t>
            </w:r>
          </w:p>
        </w:tc>
        <w:tc>
          <w:tcPr>
            <w:tcW w:w="903" w:type="dxa"/>
            <w:tcBorders>
              <w:top w:val="single" w:sz="5" w:space="0" w:color="000000"/>
              <w:left w:val="single" w:sz="5" w:space="0" w:color="000000"/>
              <w:bottom w:val="single" w:sz="5" w:space="0" w:color="000000"/>
              <w:right w:val="single" w:sz="5" w:space="0" w:color="000000"/>
            </w:tcBorders>
            <w:vAlign w:val="center"/>
          </w:tcPr>
          <w:p w14:paraId="6C381EAE" w14:textId="77777777" w:rsidR="008C360C" w:rsidRDefault="002A0B22">
            <w:pPr>
              <w:spacing w:before="130" w:after="106" w:line="182" w:lineRule="exact"/>
              <w:jc w:val="center"/>
              <w:textAlignment w:val="baseline"/>
              <w:rPr>
                <w:rFonts w:ascii="Arial" w:eastAsia="Arial" w:hAnsi="Arial"/>
                <w:color w:val="000000"/>
                <w:sz w:val="16"/>
              </w:rPr>
            </w:pPr>
            <w:r>
              <w:rPr>
                <w:rFonts w:ascii="Arial" w:eastAsia="Arial" w:hAnsi="Arial"/>
                <w:color w:val="000000"/>
                <w:sz w:val="16"/>
              </w:rPr>
              <w:t>2028</w:t>
            </w:r>
          </w:p>
        </w:tc>
        <w:tc>
          <w:tcPr>
            <w:tcW w:w="897" w:type="dxa"/>
            <w:tcBorders>
              <w:top w:val="single" w:sz="5" w:space="0" w:color="000000"/>
              <w:left w:val="single" w:sz="5" w:space="0" w:color="000000"/>
              <w:bottom w:val="single" w:sz="5" w:space="0" w:color="000000"/>
              <w:right w:val="single" w:sz="5" w:space="0" w:color="000000"/>
            </w:tcBorders>
            <w:vAlign w:val="center"/>
          </w:tcPr>
          <w:p w14:paraId="6C381EAF" w14:textId="77777777" w:rsidR="008C360C" w:rsidRDefault="002A0B22">
            <w:pPr>
              <w:spacing w:before="130" w:after="106" w:line="182" w:lineRule="exact"/>
              <w:jc w:val="center"/>
              <w:textAlignment w:val="baseline"/>
              <w:rPr>
                <w:rFonts w:ascii="Arial" w:eastAsia="Arial" w:hAnsi="Arial"/>
                <w:color w:val="000000"/>
                <w:sz w:val="16"/>
              </w:rPr>
            </w:pPr>
            <w:r>
              <w:rPr>
                <w:rFonts w:ascii="Arial" w:eastAsia="Arial" w:hAnsi="Arial"/>
                <w:color w:val="000000"/>
                <w:sz w:val="16"/>
              </w:rPr>
              <w:t>2029</w:t>
            </w:r>
          </w:p>
        </w:tc>
        <w:tc>
          <w:tcPr>
            <w:tcW w:w="648" w:type="dxa"/>
            <w:tcBorders>
              <w:top w:val="single" w:sz="5" w:space="0" w:color="000000"/>
              <w:left w:val="single" w:sz="5" w:space="0" w:color="000000"/>
              <w:bottom w:val="single" w:sz="5" w:space="0" w:color="000000"/>
              <w:right w:val="single" w:sz="5" w:space="0" w:color="000000"/>
            </w:tcBorders>
            <w:vAlign w:val="center"/>
          </w:tcPr>
          <w:p w14:paraId="6C381EB0" w14:textId="77777777" w:rsidR="008C360C" w:rsidRDefault="002A0B22">
            <w:pPr>
              <w:spacing w:before="130" w:after="106" w:line="182" w:lineRule="exact"/>
              <w:ind w:right="100"/>
              <w:jc w:val="right"/>
              <w:textAlignment w:val="baseline"/>
              <w:rPr>
                <w:rFonts w:ascii="Arial" w:eastAsia="Arial" w:hAnsi="Arial"/>
                <w:color w:val="000000"/>
                <w:sz w:val="16"/>
              </w:rPr>
            </w:pPr>
            <w:r>
              <w:rPr>
                <w:rFonts w:ascii="Arial" w:eastAsia="Arial" w:hAnsi="Arial"/>
                <w:color w:val="000000"/>
                <w:sz w:val="16"/>
              </w:rPr>
              <w:t>2030</w:t>
            </w:r>
          </w:p>
        </w:tc>
      </w:tr>
      <w:tr w:rsidR="001F2353" w14:paraId="6C381EBB" w14:textId="77777777" w:rsidTr="004F0647">
        <w:trPr>
          <w:cantSplit/>
          <w:trHeight w:hRule="exact" w:val="427"/>
        </w:trPr>
        <w:tc>
          <w:tcPr>
            <w:tcW w:w="2074" w:type="dxa"/>
            <w:tcBorders>
              <w:top w:val="single" w:sz="5" w:space="0" w:color="000000"/>
              <w:left w:val="single" w:sz="5" w:space="0" w:color="000000"/>
              <w:bottom w:val="single" w:sz="5" w:space="0" w:color="000000"/>
              <w:right w:val="single" w:sz="5" w:space="0" w:color="000000"/>
            </w:tcBorders>
          </w:tcPr>
          <w:p w14:paraId="6C381EB2" w14:textId="77777777" w:rsidR="008C360C" w:rsidRDefault="002A0B22">
            <w:pPr>
              <w:spacing w:before="39" w:after="20" w:line="182" w:lineRule="exact"/>
              <w:ind w:left="108"/>
              <w:textAlignment w:val="baseline"/>
              <w:rPr>
                <w:rFonts w:ascii="Arial" w:eastAsia="Arial" w:hAnsi="Arial"/>
                <w:color w:val="000000"/>
                <w:sz w:val="16"/>
              </w:rPr>
            </w:pPr>
            <w:r>
              <w:rPr>
                <w:rFonts w:ascii="Arial" w:eastAsia="Arial" w:hAnsi="Arial"/>
                <w:color w:val="000000"/>
                <w:sz w:val="16"/>
              </w:rPr>
              <w:t>Profitability: Operating Margin (%)</w:t>
            </w:r>
          </w:p>
        </w:tc>
        <w:tc>
          <w:tcPr>
            <w:tcW w:w="801" w:type="dxa"/>
            <w:tcBorders>
              <w:top w:val="single" w:sz="5" w:space="0" w:color="000000"/>
              <w:left w:val="single" w:sz="5" w:space="0" w:color="000000"/>
              <w:bottom w:val="single" w:sz="5" w:space="0" w:color="000000"/>
              <w:right w:val="single" w:sz="5" w:space="0" w:color="000000"/>
            </w:tcBorders>
            <w:vAlign w:val="center"/>
          </w:tcPr>
          <w:p w14:paraId="6C381EB3" w14:textId="77777777" w:rsidR="008C360C" w:rsidRDefault="002A0B22">
            <w:pPr>
              <w:spacing w:before="130" w:after="111" w:line="182" w:lineRule="exact"/>
              <w:ind w:right="202"/>
              <w:jc w:val="right"/>
              <w:textAlignment w:val="baseline"/>
              <w:rPr>
                <w:rFonts w:ascii="Arial" w:eastAsia="Arial" w:hAnsi="Arial"/>
                <w:color w:val="000000"/>
                <w:sz w:val="16"/>
              </w:rPr>
            </w:pPr>
            <w:r>
              <w:rPr>
                <w:rFonts w:ascii="Arial" w:eastAsia="Arial" w:hAnsi="Arial"/>
                <w:color w:val="000000"/>
                <w:sz w:val="16"/>
              </w:rPr>
              <w:t>27.1%</w:t>
            </w:r>
          </w:p>
        </w:tc>
        <w:tc>
          <w:tcPr>
            <w:tcW w:w="811" w:type="dxa"/>
            <w:tcBorders>
              <w:top w:val="single" w:sz="5" w:space="0" w:color="000000"/>
              <w:left w:val="single" w:sz="5" w:space="0" w:color="000000"/>
              <w:bottom w:val="single" w:sz="5" w:space="0" w:color="000000"/>
              <w:right w:val="single" w:sz="5" w:space="0" w:color="000000"/>
            </w:tcBorders>
            <w:vAlign w:val="center"/>
          </w:tcPr>
          <w:p w14:paraId="6C381EB4" w14:textId="77777777" w:rsidR="008C360C" w:rsidRDefault="002A0B22">
            <w:pPr>
              <w:spacing w:before="130" w:after="111" w:line="182" w:lineRule="exact"/>
              <w:jc w:val="center"/>
              <w:textAlignment w:val="baseline"/>
              <w:rPr>
                <w:rFonts w:ascii="Arial" w:eastAsia="Arial" w:hAnsi="Arial"/>
                <w:color w:val="000000"/>
                <w:sz w:val="16"/>
              </w:rPr>
            </w:pPr>
            <w:r>
              <w:rPr>
                <w:rFonts w:ascii="Arial" w:eastAsia="Arial" w:hAnsi="Arial"/>
                <w:color w:val="000000"/>
                <w:sz w:val="16"/>
              </w:rPr>
              <w:t>26.1%</w:t>
            </w:r>
          </w:p>
        </w:tc>
        <w:tc>
          <w:tcPr>
            <w:tcW w:w="812" w:type="dxa"/>
            <w:tcBorders>
              <w:top w:val="single" w:sz="5" w:space="0" w:color="000000"/>
              <w:left w:val="single" w:sz="5" w:space="0" w:color="000000"/>
              <w:bottom w:val="single" w:sz="5" w:space="0" w:color="000000"/>
              <w:right w:val="single" w:sz="5" w:space="0" w:color="000000"/>
            </w:tcBorders>
            <w:vAlign w:val="center"/>
          </w:tcPr>
          <w:p w14:paraId="6C381EB5" w14:textId="77777777" w:rsidR="008C360C" w:rsidRDefault="002A0B22">
            <w:pPr>
              <w:spacing w:before="130" w:after="111" w:line="182" w:lineRule="exact"/>
              <w:jc w:val="center"/>
              <w:textAlignment w:val="baseline"/>
              <w:rPr>
                <w:rFonts w:ascii="Arial" w:eastAsia="Arial" w:hAnsi="Arial"/>
                <w:color w:val="000000"/>
                <w:sz w:val="16"/>
              </w:rPr>
            </w:pPr>
            <w:r>
              <w:rPr>
                <w:rFonts w:ascii="Arial" w:eastAsia="Arial" w:hAnsi="Arial"/>
                <w:color w:val="000000"/>
                <w:sz w:val="16"/>
              </w:rPr>
              <w:t>23.8%</w:t>
            </w:r>
          </w:p>
        </w:tc>
        <w:tc>
          <w:tcPr>
            <w:tcW w:w="806" w:type="dxa"/>
            <w:tcBorders>
              <w:top w:val="single" w:sz="5" w:space="0" w:color="000000"/>
              <w:left w:val="single" w:sz="5" w:space="0" w:color="000000"/>
              <w:bottom w:val="single" w:sz="5" w:space="0" w:color="000000"/>
              <w:right w:val="single" w:sz="5" w:space="0" w:color="000000"/>
            </w:tcBorders>
            <w:vAlign w:val="center"/>
          </w:tcPr>
          <w:p w14:paraId="6C381EB6" w14:textId="77777777" w:rsidR="008C360C" w:rsidRDefault="002A0B22">
            <w:pPr>
              <w:spacing w:before="130" w:after="111" w:line="182" w:lineRule="exact"/>
              <w:jc w:val="center"/>
              <w:textAlignment w:val="baseline"/>
              <w:rPr>
                <w:rFonts w:ascii="Arial" w:eastAsia="Arial" w:hAnsi="Arial"/>
                <w:color w:val="000000"/>
                <w:sz w:val="16"/>
              </w:rPr>
            </w:pPr>
            <w:r>
              <w:rPr>
                <w:rFonts w:ascii="Arial" w:eastAsia="Arial" w:hAnsi="Arial"/>
                <w:color w:val="000000"/>
                <w:sz w:val="16"/>
              </w:rPr>
              <w:t>30.4%</w:t>
            </w:r>
          </w:p>
        </w:tc>
        <w:tc>
          <w:tcPr>
            <w:tcW w:w="811" w:type="dxa"/>
            <w:tcBorders>
              <w:top w:val="single" w:sz="5" w:space="0" w:color="000000"/>
              <w:left w:val="single" w:sz="5" w:space="0" w:color="000000"/>
              <w:bottom w:val="single" w:sz="5" w:space="0" w:color="000000"/>
              <w:right w:val="single" w:sz="5" w:space="0" w:color="000000"/>
            </w:tcBorders>
            <w:vAlign w:val="center"/>
          </w:tcPr>
          <w:p w14:paraId="6C381EB7" w14:textId="77777777" w:rsidR="008C360C" w:rsidRDefault="002A0B22">
            <w:pPr>
              <w:spacing w:before="130" w:after="111" w:line="182" w:lineRule="exact"/>
              <w:jc w:val="center"/>
              <w:textAlignment w:val="baseline"/>
              <w:rPr>
                <w:rFonts w:ascii="Arial" w:eastAsia="Arial" w:hAnsi="Arial"/>
                <w:color w:val="000000"/>
                <w:sz w:val="16"/>
              </w:rPr>
            </w:pPr>
            <w:r>
              <w:rPr>
                <w:rFonts w:ascii="Arial" w:eastAsia="Arial" w:hAnsi="Arial"/>
                <w:color w:val="000000"/>
                <w:sz w:val="16"/>
              </w:rPr>
              <w:t>31.2%</w:t>
            </w:r>
          </w:p>
        </w:tc>
        <w:tc>
          <w:tcPr>
            <w:tcW w:w="903" w:type="dxa"/>
            <w:tcBorders>
              <w:top w:val="single" w:sz="5" w:space="0" w:color="000000"/>
              <w:left w:val="single" w:sz="5" w:space="0" w:color="000000"/>
              <w:bottom w:val="single" w:sz="5" w:space="0" w:color="000000"/>
              <w:right w:val="single" w:sz="5" w:space="0" w:color="000000"/>
            </w:tcBorders>
            <w:vAlign w:val="center"/>
          </w:tcPr>
          <w:p w14:paraId="6C381EB8" w14:textId="77777777" w:rsidR="008C360C" w:rsidRDefault="002A0B22">
            <w:pPr>
              <w:spacing w:before="130" w:after="111" w:line="182" w:lineRule="exact"/>
              <w:jc w:val="center"/>
              <w:textAlignment w:val="baseline"/>
              <w:rPr>
                <w:rFonts w:ascii="Arial" w:eastAsia="Arial" w:hAnsi="Arial"/>
                <w:color w:val="000000"/>
                <w:sz w:val="16"/>
              </w:rPr>
            </w:pPr>
            <w:r>
              <w:rPr>
                <w:rFonts w:ascii="Arial" w:eastAsia="Arial" w:hAnsi="Arial"/>
                <w:color w:val="000000"/>
                <w:sz w:val="16"/>
              </w:rPr>
              <w:t>31.2%</w:t>
            </w:r>
          </w:p>
        </w:tc>
        <w:tc>
          <w:tcPr>
            <w:tcW w:w="897" w:type="dxa"/>
            <w:tcBorders>
              <w:top w:val="single" w:sz="5" w:space="0" w:color="000000"/>
              <w:left w:val="single" w:sz="5" w:space="0" w:color="000000"/>
              <w:bottom w:val="single" w:sz="5" w:space="0" w:color="000000"/>
              <w:right w:val="single" w:sz="5" w:space="0" w:color="000000"/>
            </w:tcBorders>
            <w:vAlign w:val="center"/>
          </w:tcPr>
          <w:p w14:paraId="6C381EB9" w14:textId="77777777" w:rsidR="008C360C" w:rsidRDefault="002A0B22">
            <w:pPr>
              <w:spacing w:before="130" w:after="111" w:line="182" w:lineRule="exact"/>
              <w:jc w:val="center"/>
              <w:textAlignment w:val="baseline"/>
              <w:rPr>
                <w:rFonts w:ascii="Arial" w:eastAsia="Arial" w:hAnsi="Arial"/>
                <w:color w:val="000000"/>
                <w:sz w:val="16"/>
              </w:rPr>
            </w:pPr>
            <w:r>
              <w:rPr>
                <w:rFonts w:ascii="Arial" w:eastAsia="Arial" w:hAnsi="Arial"/>
                <w:color w:val="000000"/>
                <w:sz w:val="16"/>
              </w:rPr>
              <w:t>30.9%</w:t>
            </w:r>
          </w:p>
        </w:tc>
        <w:tc>
          <w:tcPr>
            <w:tcW w:w="648" w:type="dxa"/>
            <w:tcBorders>
              <w:top w:val="single" w:sz="5" w:space="0" w:color="000000"/>
              <w:left w:val="single" w:sz="5" w:space="0" w:color="000000"/>
              <w:bottom w:val="single" w:sz="5" w:space="0" w:color="000000"/>
              <w:right w:val="single" w:sz="5" w:space="0" w:color="000000"/>
            </w:tcBorders>
            <w:vAlign w:val="center"/>
          </w:tcPr>
          <w:p w14:paraId="6C381EBA" w14:textId="77777777" w:rsidR="008C360C" w:rsidRDefault="002A0B22">
            <w:pPr>
              <w:spacing w:before="130" w:after="111" w:line="182" w:lineRule="exact"/>
              <w:ind w:right="100"/>
              <w:jc w:val="right"/>
              <w:textAlignment w:val="baseline"/>
              <w:rPr>
                <w:rFonts w:ascii="Arial" w:eastAsia="Arial" w:hAnsi="Arial"/>
                <w:color w:val="000000"/>
                <w:sz w:val="16"/>
              </w:rPr>
            </w:pPr>
            <w:r>
              <w:rPr>
                <w:rFonts w:ascii="Arial" w:eastAsia="Arial" w:hAnsi="Arial"/>
                <w:color w:val="000000"/>
                <w:sz w:val="16"/>
              </w:rPr>
              <w:t>30.5%</w:t>
            </w:r>
          </w:p>
        </w:tc>
      </w:tr>
      <w:tr w:rsidR="001F2353" w14:paraId="6C381EC5" w14:textId="77777777" w:rsidTr="004F0647">
        <w:trPr>
          <w:cantSplit/>
          <w:trHeight w:hRule="exact" w:val="428"/>
        </w:trPr>
        <w:tc>
          <w:tcPr>
            <w:tcW w:w="2074" w:type="dxa"/>
            <w:tcBorders>
              <w:top w:val="single" w:sz="5" w:space="0" w:color="000000"/>
              <w:left w:val="single" w:sz="5" w:space="0" w:color="000000"/>
              <w:bottom w:val="single" w:sz="5" w:space="0" w:color="000000"/>
              <w:right w:val="single" w:sz="5" w:space="0" w:color="000000"/>
            </w:tcBorders>
          </w:tcPr>
          <w:p w14:paraId="6C381EBC" w14:textId="77777777" w:rsidR="008C360C" w:rsidRDefault="002A0B22">
            <w:pPr>
              <w:spacing w:after="24" w:line="188" w:lineRule="exact"/>
              <w:ind w:left="108"/>
              <w:textAlignment w:val="baseline"/>
              <w:rPr>
                <w:rFonts w:ascii="Arial" w:eastAsia="Arial" w:hAnsi="Arial"/>
                <w:color w:val="000000"/>
                <w:sz w:val="16"/>
              </w:rPr>
            </w:pPr>
            <w:r>
              <w:rPr>
                <w:rFonts w:ascii="Arial" w:eastAsia="Arial" w:hAnsi="Arial"/>
                <w:color w:val="000000"/>
                <w:sz w:val="16"/>
              </w:rPr>
              <w:t>Profitability: Operating Excess Margin (%)</w:t>
            </w:r>
          </w:p>
        </w:tc>
        <w:tc>
          <w:tcPr>
            <w:tcW w:w="801" w:type="dxa"/>
            <w:tcBorders>
              <w:top w:val="single" w:sz="5" w:space="0" w:color="000000"/>
              <w:left w:val="single" w:sz="5" w:space="0" w:color="000000"/>
              <w:bottom w:val="single" w:sz="5" w:space="0" w:color="000000"/>
              <w:right w:val="single" w:sz="5" w:space="0" w:color="000000"/>
            </w:tcBorders>
            <w:vAlign w:val="center"/>
          </w:tcPr>
          <w:p w14:paraId="6C381EBD" w14:textId="77777777" w:rsidR="008C360C" w:rsidRDefault="002A0B22">
            <w:pPr>
              <w:spacing w:before="130" w:after="116" w:line="182" w:lineRule="exact"/>
              <w:ind w:right="202"/>
              <w:jc w:val="right"/>
              <w:textAlignment w:val="baseline"/>
              <w:rPr>
                <w:rFonts w:ascii="Arial" w:eastAsia="Arial" w:hAnsi="Arial"/>
                <w:color w:val="000000"/>
                <w:sz w:val="16"/>
              </w:rPr>
            </w:pPr>
            <w:r>
              <w:rPr>
                <w:rFonts w:ascii="Arial" w:eastAsia="Arial" w:hAnsi="Arial"/>
                <w:color w:val="000000"/>
                <w:sz w:val="16"/>
              </w:rPr>
              <w:t>5.0%</w:t>
            </w:r>
          </w:p>
        </w:tc>
        <w:tc>
          <w:tcPr>
            <w:tcW w:w="811" w:type="dxa"/>
            <w:tcBorders>
              <w:top w:val="single" w:sz="5" w:space="0" w:color="000000"/>
              <w:left w:val="single" w:sz="5" w:space="0" w:color="000000"/>
              <w:bottom w:val="single" w:sz="5" w:space="0" w:color="000000"/>
              <w:right w:val="single" w:sz="5" w:space="0" w:color="000000"/>
            </w:tcBorders>
            <w:vAlign w:val="center"/>
          </w:tcPr>
          <w:p w14:paraId="6C381EBE" w14:textId="77777777" w:rsidR="008C360C" w:rsidRDefault="002A0B22">
            <w:pPr>
              <w:spacing w:before="130" w:after="116" w:line="182" w:lineRule="exact"/>
              <w:jc w:val="center"/>
              <w:textAlignment w:val="baseline"/>
              <w:rPr>
                <w:rFonts w:ascii="Arial" w:eastAsia="Arial" w:hAnsi="Arial"/>
                <w:color w:val="000000"/>
                <w:sz w:val="16"/>
              </w:rPr>
            </w:pPr>
            <w:r>
              <w:rPr>
                <w:rFonts w:ascii="Arial" w:eastAsia="Arial" w:hAnsi="Arial"/>
                <w:color w:val="000000"/>
                <w:sz w:val="16"/>
              </w:rPr>
              <w:t>-1.3%</w:t>
            </w:r>
          </w:p>
        </w:tc>
        <w:tc>
          <w:tcPr>
            <w:tcW w:w="812" w:type="dxa"/>
            <w:tcBorders>
              <w:top w:val="single" w:sz="5" w:space="0" w:color="000000"/>
              <w:left w:val="single" w:sz="5" w:space="0" w:color="000000"/>
              <w:bottom w:val="single" w:sz="5" w:space="0" w:color="000000"/>
              <w:right w:val="single" w:sz="5" w:space="0" w:color="000000"/>
            </w:tcBorders>
            <w:vAlign w:val="center"/>
          </w:tcPr>
          <w:p w14:paraId="6C381EBF" w14:textId="77777777" w:rsidR="008C360C" w:rsidRDefault="002A0B22">
            <w:pPr>
              <w:spacing w:before="130" w:after="116" w:line="182" w:lineRule="exact"/>
              <w:jc w:val="center"/>
              <w:textAlignment w:val="baseline"/>
              <w:rPr>
                <w:rFonts w:ascii="Arial" w:eastAsia="Arial" w:hAnsi="Arial"/>
                <w:color w:val="000000"/>
                <w:sz w:val="16"/>
              </w:rPr>
            </w:pPr>
            <w:r>
              <w:rPr>
                <w:rFonts w:ascii="Arial" w:eastAsia="Arial" w:hAnsi="Arial"/>
                <w:color w:val="000000"/>
                <w:sz w:val="16"/>
              </w:rPr>
              <w:t>-1.1%</w:t>
            </w:r>
          </w:p>
        </w:tc>
        <w:tc>
          <w:tcPr>
            <w:tcW w:w="806" w:type="dxa"/>
            <w:tcBorders>
              <w:top w:val="single" w:sz="5" w:space="0" w:color="000000"/>
              <w:left w:val="single" w:sz="5" w:space="0" w:color="000000"/>
              <w:bottom w:val="single" w:sz="5" w:space="0" w:color="000000"/>
              <w:right w:val="single" w:sz="5" w:space="0" w:color="000000"/>
            </w:tcBorders>
            <w:vAlign w:val="center"/>
          </w:tcPr>
          <w:p w14:paraId="6C381EC0" w14:textId="77777777" w:rsidR="008C360C" w:rsidRDefault="002A0B22">
            <w:pPr>
              <w:spacing w:before="130" w:after="116" w:line="182" w:lineRule="exact"/>
              <w:jc w:val="center"/>
              <w:textAlignment w:val="baseline"/>
              <w:rPr>
                <w:rFonts w:ascii="Arial" w:eastAsia="Arial" w:hAnsi="Arial"/>
                <w:color w:val="000000"/>
                <w:sz w:val="16"/>
              </w:rPr>
            </w:pPr>
            <w:r>
              <w:rPr>
                <w:rFonts w:ascii="Arial" w:eastAsia="Arial" w:hAnsi="Arial"/>
                <w:color w:val="000000"/>
                <w:sz w:val="16"/>
              </w:rPr>
              <w:t>3.5%</w:t>
            </w:r>
          </w:p>
        </w:tc>
        <w:tc>
          <w:tcPr>
            <w:tcW w:w="811" w:type="dxa"/>
            <w:tcBorders>
              <w:top w:val="single" w:sz="5" w:space="0" w:color="000000"/>
              <w:left w:val="single" w:sz="5" w:space="0" w:color="000000"/>
              <w:bottom w:val="single" w:sz="5" w:space="0" w:color="000000"/>
              <w:right w:val="single" w:sz="5" w:space="0" w:color="000000"/>
            </w:tcBorders>
            <w:vAlign w:val="center"/>
          </w:tcPr>
          <w:p w14:paraId="6C381EC1" w14:textId="77777777" w:rsidR="008C360C" w:rsidRDefault="002A0B22">
            <w:pPr>
              <w:spacing w:before="130" w:after="116" w:line="182" w:lineRule="exact"/>
              <w:jc w:val="center"/>
              <w:textAlignment w:val="baseline"/>
              <w:rPr>
                <w:rFonts w:ascii="Arial" w:eastAsia="Arial" w:hAnsi="Arial"/>
                <w:color w:val="000000"/>
                <w:sz w:val="16"/>
              </w:rPr>
            </w:pPr>
            <w:r>
              <w:rPr>
                <w:rFonts w:ascii="Arial" w:eastAsia="Arial" w:hAnsi="Arial"/>
                <w:color w:val="000000"/>
                <w:sz w:val="16"/>
              </w:rPr>
              <w:t>4.0%</w:t>
            </w:r>
          </w:p>
        </w:tc>
        <w:tc>
          <w:tcPr>
            <w:tcW w:w="903" w:type="dxa"/>
            <w:tcBorders>
              <w:top w:val="single" w:sz="5" w:space="0" w:color="000000"/>
              <w:left w:val="single" w:sz="5" w:space="0" w:color="000000"/>
              <w:bottom w:val="single" w:sz="5" w:space="0" w:color="000000"/>
              <w:right w:val="single" w:sz="5" w:space="0" w:color="000000"/>
            </w:tcBorders>
            <w:vAlign w:val="center"/>
          </w:tcPr>
          <w:p w14:paraId="6C381EC2" w14:textId="77777777" w:rsidR="008C360C" w:rsidRDefault="002A0B22">
            <w:pPr>
              <w:spacing w:before="130" w:after="116" w:line="182" w:lineRule="exact"/>
              <w:jc w:val="center"/>
              <w:textAlignment w:val="baseline"/>
              <w:rPr>
                <w:rFonts w:ascii="Arial" w:eastAsia="Arial" w:hAnsi="Arial"/>
                <w:color w:val="000000"/>
                <w:sz w:val="16"/>
              </w:rPr>
            </w:pPr>
            <w:r>
              <w:rPr>
                <w:rFonts w:ascii="Arial" w:eastAsia="Arial" w:hAnsi="Arial"/>
                <w:color w:val="000000"/>
                <w:sz w:val="16"/>
              </w:rPr>
              <w:t>3.9%</w:t>
            </w:r>
          </w:p>
        </w:tc>
        <w:tc>
          <w:tcPr>
            <w:tcW w:w="897" w:type="dxa"/>
            <w:tcBorders>
              <w:top w:val="single" w:sz="5" w:space="0" w:color="000000"/>
              <w:left w:val="single" w:sz="5" w:space="0" w:color="000000"/>
              <w:bottom w:val="single" w:sz="5" w:space="0" w:color="000000"/>
              <w:right w:val="single" w:sz="5" w:space="0" w:color="000000"/>
            </w:tcBorders>
            <w:vAlign w:val="center"/>
          </w:tcPr>
          <w:p w14:paraId="6C381EC3" w14:textId="77777777" w:rsidR="008C360C" w:rsidRDefault="002A0B22">
            <w:pPr>
              <w:spacing w:before="130" w:after="116" w:line="182" w:lineRule="exact"/>
              <w:jc w:val="center"/>
              <w:textAlignment w:val="baseline"/>
              <w:rPr>
                <w:rFonts w:ascii="Arial" w:eastAsia="Arial" w:hAnsi="Arial"/>
                <w:color w:val="000000"/>
                <w:sz w:val="16"/>
              </w:rPr>
            </w:pPr>
            <w:r>
              <w:rPr>
                <w:rFonts w:ascii="Arial" w:eastAsia="Arial" w:hAnsi="Arial"/>
                <w:color w:val="000000"/>
                <w:sz w:val="16"/>
              </w:rPr>
              <w:t>3.8%</w:t>
            </w:r>
          </w:p>
        </w:tc>
        <w:tc>
          <w:tcPr>
            <w:tcW w:w="648" w:type="dxa"/>
            <w:tcBorders>
              <w:top w:val="single" w:sz="5" w:space="0" w:color="000000"/>
              <w:left w:val="single" w:sz="5" w:space="0" w:color="000000"/>
              <w:bottom w:val="single" w:sz="5" w:space="0" w:color="000000"/>
              <w:right w:val="single" w:sz="5" w:space="0" w:color="000000"/>
            </w:tcBorders>
            <w:vAlign w:val="center"/>
          </w:tcPr>
          <w:p w14:paraId="6C381EC4" w14:textId="77777777" w:rsidR="008C360C" w:rsidRDefault="002A0B22">
            <w:pPr>
              <w:spacing w:before="130" w:after="116" w:line="182" w:lineRule="exact"/>
              <w:ind w:right="100"/>
              <w:jc w:val="right"/>
              <w:textAlignment w:val="baseline"/>
              <w:rPr>
                <w:rFonts w:ascii="Arial" w:eastAsia="Arial" w:hAnsi="Arial"/>
                <w:color w:val="000000"/>
                <w:sz w:val="16"/>
              </w:rPr>
            </w:pPr>
            <w:r>
              <w:rPr>
                <w:rFonts w:ascii="Arial" w:eastAsia="Arial" w:hAnsi="Arial"/>
                <w:color w:val="000000"/>
                <w:sz w:val="16"/>
              </w:rPr>
              <w:t>3.6%</w:t>
            </w:r>
          </w:p>
        </w:tc>
      </w:tr>
      <w:tr w:rsidR="001F2353" w14:paraId="6C381ECF" w14:textId="77777777" w:rsidTr="004F0647">
        <w:trPr>
          <w:cantSplit/>
          <w:trHeight w:hRule="exact" w:val="201"/>
        </w:trPr>
        <w:tc>
          <w:tcPr>
            <w:tcW w:w="2074" w:type="dxa"/>
            <w:tcBorders>
              <w:top w:val="single" w:sz="5" w:space="0" w:color="000000"/>
              <w:left w:val="single" w:sz="5" w:space="0" w:color="000000"/>
              <w:right w:val="single" w:sz="5" w:space="0" w:color="000000"/>
            </w:tcBorders>
            <w:vAlign w:val="center"/>
          </w:tcPr>
          <w:p w14:paraId="6C381EC6" w14:textId="77777777" w:rsidR="008C360C" w:rsidRDefault="002A0B22">
            <w:pPr>
              <w:spacing w:line="177" w:lineRule="exact"/>
              <w:ind w:left="115"/>
              <w:textAlignment w:val="baseline"/>
              <w:rPr>
                <w:rFonts w:ascii="Arial" w:eastAsia="Arial" w:hAnsi="Arial"/>
                <w:color w:val="000000"/>
                <w:sz w:val="16"/>
              </w:rPr>
            </w:pPr>
            <w:r>
              <w:rPr>
                <w:rFonts w:ascii="Arial" w:eastAsia="Arial" w:hAnsi="Arial"/>
                <w:color w:val="000000"/>
                <w:sz w:val="16"/>
              </w:rPr>
              <w:t>Liquidity: Days Available</w:t>
            </w:r>
          </w:p>
        </w:tc>
        <w:tc>
          <w:tcPr>
            <w:tcW w:w="801" w:type="dxa"/>
            <w:tcBorders>
              <w:top w:val="single" w:sz="5" w:space="0" w:color="000000"/>
              <w:left w:val="single" w:sz="5" w:space="0" w:color="000000"/>
              <w:right w:val="single" w:sz="5" w:space="0" w:color="000000"/>
            </w:tcBorders>
          </w:tcPr>
          <w:p w14:paraId="6C381EC7" w14:textId="77777777" w:rsidR="008C360C" w:rsidRDefault="002A0B22">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right w:val="single" w:sz="5" w:space="0" w:color="000000"/>
            </w:tcBorders>
          </w:tcPr>
          <w:p w14:paraId="6C381EC8" w14:textId="77777777" w:rsidR="008C360C" w:rsidRDefault="002A0B22">
            <w:pPr>
              <w:textAlignment w:val="baseline"/>
              <w:rPr>
                <w:rFonts w:ascii="Arial" w:eastAsia="Arial" w:hAnsi="Arial"/>
                <w:color w:val="000000"/>
                <w:sz w:val="24"/>
              </w:rPr>
            </w:pPr>
            <w:r>
              <w:rPr>
                <w:rFonts w:ascii="Arial" w:eastAsia="Arial" w:hAnsi="Arial"/>
                <w:color w:val="000000"/>
                <w:sz w:val="24"/>
              </w:rPr>
              <w:t xml:space="preserve"> </w:t>
            </w:r>
          </w:p>
        </w:tc>
        <w:tc>
          <w:tcPr>
            <w:tcW w:w="812" w:type="dxa"/>
            <w:tcBorders>
              <w:top w:val="single" w:sz="5" w:space="0" w:color="000000"/>
              <w:left w:val="single" w:sz="5" w:space="0" w:color="000000"/>
              <w:right w:val="single" w:sz="5" w:space="0" w:color="000000"/>
            </w:tcBorders>
          </w:tcPr>
          <w:p w14:paraId="6C381EC9" w14:textId="77777777" w:rsidR="008C360C" w:rsidRDefault="002A0B22">
            <w:pPr>
              <w:textAlignment w:val="baseline"/>
              <w:rPr>
                <w:rFonts w:ascii="Arial" w:eastAsia="Arial" w:hAnsi="Arial"/>
                <w:color w:val="000000"/>
                <w:sz w:val="24"/>
              </w:rPr>
            </w:pPr>
            <w:r>
              <w:rPr>
                <w:rFonts w:ascii="Arial" w:eastAsia="Arial" w:hAnsi="Arial"/>
                <w:color w:val="000000"/>
                <w:sz w:val="24"/>
              </w:rPr>
              <w:t xml:space="preserve"> </w:t>
            </w:r>
          </w:p>
        </w:tc>
        <w:tc>
          <w:tcPr>
            <w:tcW w:w="806" w:type="dxa"/>
            <w:tcBorders>
              <w:top w:val="single" w:sz="5" w:space="0" w:color="000000"/>
              <w:left w:val="single" w:sz="5" w:space="0" w:color="000000"/>
              <w:right w:val="single" w:sz="5" w:space="0" w:color="000000"/>
            </w:tcBorders>
          </w:tcPr>
          <w:p w14:paraId="6C381ECA" w14:textId="77777777" w:rsidR="008C360C" w:rsidRDefault="002A0B22">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right w:val="single" w:sz="5" w:space="0" w:color="000000"/>
            </w:tcBorders>
          </w:tcPr>
          <w:p w14:paraId="6C381ECB" w14:textId="77777777" w:rsidR="008C360C" w:rsidRDefault="002A0B2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right w:val="single" w:sz="5" w:space="0" w:color="000000"/>
            </w:tcBorders>
          </w:tcPr>
          <w:p w14:paraId="6C381ECC" w14:textId="77777777" w:rsidR="008C360C" w:rsidRDefault="002A0B2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right w:val="single" w:sz="5" w:space="0" w:color="000000"/>
            </w:tcBorders>
          </w:tcPr>
          <w:p w14:paraId="6C381ECD" w14:textId="77777777" w:rsidR="008C360C" w:rsidRDefault="002A0B22">
            <w:pPr>
              <w:textAlignment w:val="baseline"/>
              <w:rPr>
                <w:rFonts w:ascii="Arial" w:eastAsia="Arial" w:hAnsi="Arial"/>
                <w:color w:val="000000"/>
                <w:sz w:val="24"/>
              </w:rPr>
            </w:pPr>
            <w:r>
              <w:rPr>
                <w:rFonts w:ascii="Arial" w:eastAsia="Arial" w:hAnsi="Arial"/>
                <w:color w:val="000000"/>
                <w:sz w:val="24"/>
              </w:rPr>
              <w:t xml:space="preserve"> </w:t>
            </w:r>
          </w:p>
        </w:tc>
        <w:tc>
          <w:tcPr>
            <w:tcW w:w="648" w:type="dxa"/>
            <w:tcBorders>
              <w:top w:val="single" w:sz="5" w:space="0" w:color="000000"/>
              <w:left w:val="single" w:sz="5" w:space="0" w:color="000000"/>
              <w:right w:val="single" w:sz="5" w:space="0" w:color="000000"/>
            </w:tcBorders>
          </w:tcPr>
          <w:p w14:paraId="6C381ECE" w14:textId="77777777" w:rsidR="008C360C" w:rsidRDefault="002A0B22">
            <w:pPr>
              <w:textAlignment w:val="baseline"/>
              <w:rPr>
                <w:rFonts w:ascii="Arial" w:eastAsia="Arial" w:hAnsi="Arial"/>
                <w:color w:val="000000"/>
                <w:sz w:val="24"/>
              </w:rPr>
            </w:pPr>
            <w:r>
              <w:rPr>
                <w:rFonts w:ascii="Arial" w:eastAsia="Arial" w:hAnsi="Arial"/>
                <w:color w:val="000000"/>
                <w:sz w:val="24"/>
              </w:rPr>
              <w:t xml:space="preserve"> </w:t>
            </w:r>
          </w:p>
        </w:tc>
      </w:tr>
      <w:tr w:rsidR="001F2353" w14:paraId="6C381ED9" w14:textId="77777777" w:rsidTr="004F0647">
        <w:trPr>
          <w:cantSplit/>
          <w:trHeight w:hRule="exact" w:val="168"/>
        </w:trPr>
        <w:tc>
          <w:tcPr>
            <w:tcW w:w="2074" w:type="dxa"/>
            <w:tcBorders>
              <w:left w:val="single" w:sz="5" w:space="0" w:color="000000"/>
              <w:right w:val="single" w:sz="5" w:space="0" w:color="000000"/>
            </w:tcBorders>
            <w:vAlign w:val="center"/>
          </w:tcPr>
          <w:p w14:paraId="6C381ED0" w14:textId="77777777" w:rsidR="008C360C" w:rsidRDefault="002A0B22">
            <w:pPr>
              <w:spacing w:line="159" w:lineRule="exact"/>
              <w:ind w:left="115"/>
              <w:textAlignment w:val="baseline"/>
              <w:rPr>
                <w:rFonts w:ascii="Arial" w:eastAsia="Arial" w:hAnsi="Arial"/>
                <w:color w:val="000000"/>
                <w:sz w:val="16"/>
              </w:rPr>
            </w:pPr>
            <w:r>
              <w:rPr>
                <w:rFonts w:ascii="Arial" w:eastAsia="Arial" w:hAnsi="Arial"/>
                <w:color w:val="000000"/>
                <w:sz w:val="16"/>
              </w:rPr>
              <w:t>Cash and Investments on</w:t>
            </w:r>
          </w:p>
        </w:tc>
        <w:tc>
          <w:tcPr>
            <w:tcW w:w="801" w:type="dxa"/>
            <w:tcBorders>
              <w:left w:val="single" w:sz="5" w:space="0" w:color="000000"/>
              <w:right w:val="single" w:sz="5" w:space="0" w:color="000000"/>
            </w:tcBorders>
            <w:vAlign w:val="center"/>
          </w:tcPr>
          <w:p w14:paraId="6C381ED1" w14:textId="77777777" w:rsidR="008C360C" w:rsidRDefault="002A0B22">
            <w:pPr>
              <w:spacing w:line="159" w:lineRule="exact"/>
              <w:ind w:right="202"/>
              <w:jc w:val="right"/>
              <w:textAlignment w:val="baseline"/>
              <w:rPr>
                <w:rFonts w:ascii="Arial" w:eastAsia="Arial" w:hAnsi="Arial"/>
                <w:color w:val="000000"/>
                <w:sz w:val="16"/>
              </w:rPr>
            </w:pPr>
            <w:r>
              <w:rPr>
                <w:rFonts w:ascii="Arial" w:eastAsia="Arial" w:hAnsi="Arial"/>
                <w:color w:val="000000"/>
                <w:sz w:val="16"/>
              </w:rPr>
              <w:t>NA</w:t>
            </w:r>
          </w:p>
        </w:tc>
        <w:tc>
          <w:tcPr>
            <w:tcW w:w="811" w:type="dxa"/>
            <w:tcBorders>
              <w:left w:val="single" w:sz="5" w:space="0" w:color="000000"/>
              <w:right w:val="single" w:sz="5" w:space="0" w:color="000000"/>
            </w:tcBorders>
            <w:vAlign w:val="center"/>
          </w:tcPr>
          <w:p w14:paraId="6C381ED2" w14:textId="77777777" w:rsidR="008C360C" w:rsidRDefault="002A0B22">
            <w:pPr>
              <w:spacing w:line="159" w:lineRule="exact"/>
              <w:jc w:val="center"/>
              <w:textAlignment w:val="baseline"/>
              <w:rPr>
                <w:rFonts w:ascii="Arial" w:eastAsia="Arial" w:hAnsi="Arial"/>
                <w:color w:val="000000"/>
                <w:sz w:val="16"/>
              </w:rPr>
            </w:pPr>
            <w:r>
              <w:rPr>
                <w:rFonts w:ascii="Arial" w:eastAsia="Arial" w:hAnsi="Arial"/>
                <w:color w:val="000000"/>
                <w:sz w:val="16"/>
              </w:rPr>
              <w:t>179</w:t>
            </w:r>
          </w:p>
        </w:tc>
        <w:tc>
          <w:tcPr>
            <w:tcW w:w="812" w:type="dxa"/>
            <w:tcBorders>
              <w:left w:val="single" w:sz="5" w:space="0" w:color="000000"/>
              <w:right w:val="single" w:sz="5" w:space="0" w:color="000000"/>
            </w:tcBorders>
            <w:vAlign w:val="center"/>
          </w:tcPr>
          <w:p w14:paraId="6C381ED3" w14:textId="77777777" w:rsidR="008C360C" w:rsidRDefault="002A0B22">
            <w:pPr>
              <w:spacing w:line="159" w:lineRule="exact"/>
              <w:jc w:val="center"/>
              <w:textAlignment w:val="baseline"/>
              <w:rPr>
                <w:rFonts w:ascii="Arial" w:eastAsia="Arial" w:hAnsi="Arial"/>
                <w:color w:val="000000"/>
                <w:sz w:val="16"/>
              </w:rPr>
            </w:pPr>
            <w:r>
              <w:rPr>
                <w:rFonts w:ascii="Arial" w:eastAsia="Arial" w:hAnsi="Arial"/>
                <w:color w:val="000000"/>
                <w:sz w:val="16"/>
              </w:rPr>
              <w:t>240</w:t>
            </w:r>
          </w:p>
        </w:tc>
        <w:tc>
          <w:tcPr>
            <w:tcW w:w="806" w:type="dxa"/>
            <w:tcBorders>
              <w:left w:val="single" w:sz="5" w:space="0" w:color="000000"/>
              <w:right w:val="single" w:sz="5" w:space="0" w:color="000000"/>
            </w:tcBorders>
            <w:vAlign w:val="center"/>
          </w:tcPr>
          <w:p w14:paraId="6C381ED4" w14:textId="77777777" w:rsidR="008C360C" w:rsidRDefault="002A0B22">
            <w:pPr>
              <w:spacing w:line="159" w:lineRule="exact"/>
              <w:jc w:val="center"/>
              <w:textAlignment w:val="baseline"/>
              <w:rPr>
                <w:rFonts w:ascii="Arial" w:eastAsia="Arial" w:hAnsi="Arial"/>
                <w:color w:val="000000"/>
                <w:sz w:val="16"/>
              </w:rPr>
            </w:pPr>
            <w:r>
              <w:rPr>
                <w:rFonts w:ascii="Arial" w:eastAsia="Arial" w:hAnsi="Arial"/>
                <w:color w:val="000000"/>
                <w:sz w:val="16"/>
              </w:rPr>
              <w:t>320</w:t>
            </w:r>
          </w:p>
        </w:tc>
        <w:tc>
          <w:tcPr>
            <w:tcW w:w="811" w:type="dxa"/>
            <w:tcBorders>
              <w:left w:val="single" w:sz="5" w:space="0" w:color="000000"/>
              <w:right w:val="single" w:sz="5" w:space="0" w:color="000000"/>
            </w:tcBorders>
            <w:vAlign w:val="center"/>
          </w:tcPr>
          <w:p w14:paraId="6C381ED5" w14:textId="77777777" w:rsidR="008C360C" w:rsidRDefault="002A0B22">
            <w:pPr>
              <w:spacing w:line="159" w:lineRule="exact"/>
              <w:jc w:val="center"/>
              <w:textAlignment w:val="baseline"/>
              <w:rPr>
                <w:rFonts w:ascii="Arial" w:eastAsia="Arial" w:hAnsi="Arial"/>
                <w:color w:val="000000"/>
                <w:sz w:val="16"/>
              </w:rPr>
            </w:pPr>
            <w:r>
              <w:rPr>
                <w:rFonts w:ascii="Arial" w:eastAsia="Arial" w:hAnsi="Arial"/>
                <w:color w:val="000000"/>
                <w:sz w:val="16"/>
              </w:rPr>
              <w:t>429</w:t>
            </w:r>
          </w:p>
        </w:tc>
        <w:tc>
          <w:tcPr>
            <w:tcW w:w="903" w:type="dxa"/>
            <w:tcBorders>
              <w:left w:val="single" w:sz="5" w:space="0" w:color="000000"/>
              <w:right w:val="single" w:sz="5" w:space="0" w:color="000000"/>
            </w:tcBorders>
            <w:vAlign w:val="center"/>
          </w:tcPr>
          <w:p w14:paraId="6C381ED6" w14:textId="77777777" w:rsidR="008C360C" w:rsidRDefault="002A0B22">
            <w:pPr>
              <w:spacing w:line="159" w:lineRule="exact"/>
              <w:jc w:val="center"/>
              <w:textAlignment w:val="baseline"/>
              <w:rPr>
                <w:rFonts w:ascii="Arial" w:eastAsia="Arial" w:hAnsi="Arial"/>
                <w:color w:val="000000"/>
                <w:sz w:val="16"/>
              </w:rPr>
            </w:pPr>
            <w:r>
              <w:rPr>
                <w:rFonts w:ascii="Arial" w:eastAsia="Arial" w:hAnsi="Arial"/>
                <w:color w:val="000000"/>
                <w:sz w:val="16"/>
              </w:rPr>
              <w:t>538</w:t>
            </w:r>
          </w:p>
        </w:tc>
        <w:tc>
          <w:tcPr>
            <w:tcW w:w="897" w:type="dxa"/>
            <w:tcBorders>
              <w:left w:val="single" w:sz="5" w:space="0" w:color="000000"/>
              <w:right w:val="single" w:sz="5" w:space="0" w:color="000000"/>
            </w:tcBorders>
            <w:vAlign w:val="center"/>
          </w:tcPr>
          <w:p w14:paraId="6C381ED7" w14:textId="77777777" w:rsidR="008C360C" w:rsidRDefault="002A0B22">
            <w:pPr>
              <w:spacing w:line="159" w:lineRule="exact"/>
              <w:jc w:val="center"/>
              <w:textAlignment w:val="baseline"/>
              <w:rPr>
                <w:rFonts w:ascii="Arial" w:eastAsia="Arial" w:hAnsi="Arial"/>
                <w:color w:val="000000"/>
                <w:sz w:val="16"/>
              </w:rPr>
            </w:pPr>
            <w:r>
              <w:rPr>
                <w:rFonts w:ascii="Arial" w:eastAsia="Arial" w:hAnsi="Arial"/>
                <w:color w:val="000000"/>
                <w:sz w:val="16"/>
              </w:rPr>
              <w:t>648</w:t>
            </w:r>
          </w:p>
        </w:tc>
        <w:tc>
          <w:tcPr>
            <w:tcW w:w="648" w:type="dxa"/>
            <w:tcBorders>
              <w:left w:val="single" w:sz="5" w:space="0" w:color="000000"/>
              <w:right w:val="single" w:sz="5" w:space="0" w:color="000000"/>
            </w:tcBorders>
            <w:vAlign w:val="center"/>
          </w:tcPr>
          <w:p w14:paraId="6C381ED8" w14:textId="77777777" w:rsidR="008C360C" w:rsidRDefault="002A0B22">
            <w:pPr>
              <w:spacing w:line="159" w:lineRule="exact"/>
              <w:ind w:right="100"/>
              <w:jc w:val="right"/>
              <w:textAlignment w:val="baseline"/>
              <w:rPr>
                <w:rFonts w:ascii="Arial" w:eastAsia="Arial" w:hAnsi="Arial"/>
                <w:color w:val="000000"/>
                <w:sz w:val="16"/>
              </w:rPr>
            </w:pPr>
            <w:r>
              <w:rPr>
                <w:rFonts w:ascii="Arial" w:eastAsia="Arial" w:hAnsi="Arial"/>
                <w:color w:val="000000"/>
                <w:sz w:val="16"/>
              </w:rPr>
              <w:t>743</w:t>
            </w:r>
          </w:p>
        </w:tc>
      </w:tr>
      <w:tr w:rsidR="001F2353" w14:paraId="6C381EE3" w14:textId="77777777" w:rsidTr="004F0647">
        <w:trPr>
          <w:cantSplit/>
          <w:trHeight w:hRule="exact" w:val="197"/>
        </w:trPr>
        <w:tc>
          <w:tcPr>
            <w:tcW w:w="2074" w:type="dxa"/>
            <w:tcBorders>
              <w:left w:val="single" w:sz="5" w:space="0" w:color="000000"/>
              <w:bottom w:val="single" w:sz="5" w:space="0" w:color="000000"/>
              <w:right w:val="single" w:sz="5" w:space="0" w:color="000000"/>
            </w:tcBorders>
            <w:vAlign w:val="center"/>
          </w:tcPr>
          <w:p w14:paraId="6C381EDA" w14:textId="77777777" w:rsidR="008C360C" w:rsidRDefault="002A0B22">
            <w:pPr>
              <w:spacing w:line="182" w:lineRule="exact"/>
              <w:ind w:left="115"/>
              <w:textAlignment w:val="baseline"/>
              <w:rPr>
                <w:rFonts w:ascii="Arial" w:eastAsia="Arial" w:hAnsi="Arial"/>
                <w:color w:val="000000"/>
                <w:sz w:val="16"/>
              </w:rPr>
            </w:pPr>
            <w:proofErr w:type="gramStart"/>
            <w:r>
              <w:rPr>
                <w:rFonts w:ascii="Arial" w:eastAsia="Arial" w:hAnsi="Arial"/>
                <w:color w:val="000000"/>
                <w:sz w:val="16"/>
              </w:rPr>
              <w:t>Hand (#</w:t>
            </w:r>
            <w:proofErr w:type="gramEnd"/>
            <w:r>
              <w:rPr>
                <w:rFonts w:ascii="Arial" w:eastAsia="Arial" w:hAnsi="Arial"/>
                <w:color w:val="000000"/>
                <w:sz w:val="16"/>
              </w:rPr>
              <w:t>)</w:t>
            </w:r>
          </w:p>
        </w:tc>
        <w:tc>
          <w:tcPr>
            <w:tcW w:w="801" w:type="dxa"/>
            <w:tcBorders>
              <w:left w:val="single" w:sz="5" w:space="0" w:color="000000"/>
              <w:bottom w:val="single" w:sz="5" w:space="0" w:color="000000"/>
              <w:right w:val="single" w:sz="5" w:space="0" w:color="000000"/>
            </w:tcBorders>
          </w:tcPr>
          <w:p w14:paraId="6C381EDB" w14:textId="77777777" w:rsidR="008C360C" w:rsidRDefault="002A0B22">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left w:val="single" w:sz="5" w:space="0" w:color="000000"/>
              <w:bottom w:val="single" w:sz="5" w:space="0" w:color="000000"/>
              <w:right w:val="single" w:sz="5" w:space="0" w:color="000000"/>
            </w:tcBorders>
          </w:tcPr>
          <w:p w14:paraId="6C381EDC" w14:textId="77777777" w:rsidR="008C360C" w:rsidRDefault="002A0B22">
            <w:pPr>
              <w:textAlignment w:val="baseline"/>
              <w:rPr>
                <w:rFonts w:ascii="Arial" w:eastAsia="Arial" w:hAnsi="Arial"/>
                <w:color w:val="000000"/>
                <w:sz w:val="24"/>
              </w:rPr>
            </w:pPr>
            <w:r>
              <w:rPr>
                <w:rFonts w:ascii="Arial" w:eastAsia="Arial" w:hAnsi="Arial"/>
                <w:color w:val="000000"/>
                <w:sz w:val="24"/>
              </w:rPr>
              <w:t xml:space="preserve"> </w:t>
            </w:r>
          </w:p>
        </w:tc>
        <w:tc>
          <w:tcPr>
            <w:tcW w:w="812" w:type="dxa"/>
            <w:tcBorders>
              <w:left w:val="single" w:sz="5" w:space="0" w:color="000000"/>
              <w:bottom w:val="single" w:sz="5" w:space="0" w:color="000000"/>
              <w:right w:val="single" w:sz="5" w:space="0" w:color="000000"/>
            </w:tcBorders>
          </w:tcPr>
          <w:p w14:paraId="6C381EDD" w14:textId="77777777" w:rsidR="008C360C" w:rsidRDefault="002A0B22">
            <w:pPr>
              <w:textAlignment w:val="baseline"/>
              <w:rPr>
                <w:rFonts w:ascii="Arial" w:eastAsia="Arial" w:hAnsi="Arial"/>
                <w:color w:val="000000"/>
                <w:sz w:val="24"/>
              </w:rPr>
            </w:pPr>
            <w:r>
              <w:rPr>
                <w:rFonts w:ascii="Arial" w:eastAsia="Arial" w:hAnsi="Arial"/>
                <w:color w:val="000000"/>
                <w:sz w:val="24"/>
              </w:rPr>
              <w:t xml:space="preserve"> </w:t>
            </w:r>
          </w:p>
        </w:tc>
        <w:tc>
          <w:tcPr>
            <w:tcW w:w="806" w:type="dxa"/>
            <w:tcBorders>
              <w:left w:val="single" w:sz="5" w:space="0" w:color="000000"/>
              <w:bottom w:val="single" w:sz="5" w:space="0" w:color="000000"/>
              <w:right w:val="single" w:sz="5" w:space="0" w:color="000000"/>
            </w:tcBorders>
          </w:tcPr>
          <w:p w14:paraId="6C381EDE" w14:textId="77777777" w:rsidR="008C360C" w:rsidRDefault="002A0B22">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left w:val="single" w:sz="5" w:space="0" w:color="000000"/>
              <w:bottom w:val="single" w:sz="5" w:space="0" w:color="000000"/>
              <w:right w:val="single" w:sz="5" w:space="0" w:color="000000"/>
            </w:tcBorders>
          </w:tcPr>
          <w:p w14:paraId="6C381EDF" w14:textId="77777777" w:rsidR="008C360C" w:rsidRDefault="002A0B2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left w:val="single" w:sz="5" w:space="0" w:color="000000"/>
              <w:bottom w:val="single" w:sz="5" w:space="0" w:color="000000"/>
              <w:right w:val="single" w:sz="5" w:space="0" w:color="000000"/>
            </w:tcBorders>
          </w:tcPr>
          <w:p w14:paraId="6C381EE0" w14:textId="77777777" w:rsidR="008C360C" w:rsidRDefault="002A0B2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left w:val="single" w:sz="5" w:space="0" w:color="000000"/>
              <w:bottom w:val="single" w:sz="5" w:space="0" w:color="000000"/>
              <w:right w:val="single" w:sz="5" w:space="0" w:color="000000"/>
            </w:tcBorders>
          </w:tcPr>
          <w:p w14:paraId="6C381EE1" w14:textId="77777777" w:rsidR="008C360C" w:rsidRDefault="002A0B22">
            <w:pPr>
              <w:textAlignment w:val="baseline"/>
              <w:rPr>
                <w:rFonts w:ascii="Arial" w:eastAsia="Arial" w:hAnsi="Arial"/>
                <w:color w:val="000000"/>
                <w:sz w:val="24"/>
              </w:rPr>
            </w:pPr>
            <w:r>
              <w:rPr>
                <w:rFonts w:ascii="Arial" w:eastAsia="Arial" w:hAnsi="Arial"/>
                <w:color w:val="000000"/>
                <w:sz w:val="24"/>
              </w:rPr>
              <w:t xml:space="preserve"> </w:t>
            </w:r>
          </w:p>
        </w:tc>
        <w:tc>
          <w:tcPr>
            <w:tcW w:w="648" w:type="dxa"/>
            <w:tcBorders>
              <w:left w:val="single" w:sz="5" w:space="0" w:color="000000"/>
              <w:bottom w:val="single" w:sz="5" w:space="0" w:color="000000"/>
              <w:right w:val="single" w:sz="5" w:space="0" w:color="000000"/>
            </w:tcBorders>
          </w:tcPr>
          <w:p w14:paraId="6C381EE2" w14:textId="77777777" w:rsidR="008C360C" w:rsidRDefault="002A0B22">
            <w:pPr>
              <w:textAlignment w:val="baseline"/>
              <w:rPr>
                <w:rFonts w:ascii="Arial" w:eastAsia="Arial" w:hAnsi="Arial"/>
                <w:color w:val="000000"/>
                <w:sz w:val="24"/>
              </w:rPr>
            </w:pPr>
            <w:r>
              <w:rPr>
                <w:rFonts w:ascii="Arial" w:eastAsia="Arial" w:hAnsi="Arial"/>
                <w:color w:val="000000"/>
                <w:sz w:val="24"/>
              </w:rPr>
              <w:t xml:space="preserve"> </w:t>
            </w:r>
          </w:p>
        </w:tc>
      </w:tr>
      <w:tr w:rsidR="001F2353" w14:paraId="6C381EED" w14:textId="77777777" w:rsidTr="004F0647">
        <w:trPr>
          <w:cantSplit/>
          <w:trHeight w:hRule="exact" w:val="427"/>
        </w:trPr>
        <w:tc>
          <w:tcPr>
            <w:tcW w:w="2074" w:type="dxa"/>
            <w:tcBorders>
              <w:top w:val="single" w:sz="5" w:space="0" w:color="000000"/>
              <w:left w:val="single" w:sz="5" w:space="0" w:color="000000"/>
              <w:bottom w:val="single" w:sz="5" w:space="0" w:color="000000"/>
              <w:right w:val="single" w:sz="5" w:space="0" w:color="000000"/>
            </w:tcBorders>
          </w:tcPr>
          <w:p w14:paraId="6C381EE4" w14:textId="77777777" w:rsidR="008C360C" w:rsidRDefault="002A0B22">
            <w:pPr>
              <w:spacing w:after="10" w:line="187" w:lineRule="exact"/>
              <w:ind w:left="108" w:right="468"/>
              <w:textAlignment w:val="baseline"/>
              <w:rPr>
                <w:rFonts w:ascii="Arial" w:eastAsia="Arial" w:hAnsi="Arial"/>
                <w:color w:val="000000"/>
                <w:sz w:val="16"/>
              </w:rPr>
            </w:pPr>
            <w:r>
              <w:rPr>
                <w:rFonts w:ascii="Arial" w:eastAsia="Arial" w:hAnsi="Arial"/>
                <w:color w:val="000000"/>
                <w:sz w:val="16"/>
              </w:rPr>
              <w:t>Liquidity: Operating Cash Flow (%)</w:t>
            </w:r>
          </w:p>
        </w:tc>
        <w:tc>
          <w:tcPr>
            <w:tcW w:w="801" w:type="dxa"/>
            <w:tcBorders>
              <w:top w:val="single" w:sz="5" w:space="0" w:color="000000"/>
              <w:left w:val="single" w:sz="5" w:space="0" w:color="000000"/>
              <w:bottom w:val="single" w:sz="5" w:space="0" w:color="000000"/>
              <w:right w:val="single" w:sz="5" w:space="0" w:color="000000"/>
            </w:tcBorders>
            <w:vAlign w:val="center"/>
          </w:tcPr>
          <w:p w14:paraId="6C381EE5" w14:textId="77777777" w:rsidR="008C360C" w:rsidRDefault="002A0B22">
            <w:pPr>
              <w:spacing w:before="130" w:after="101" w:line="182" w:lineRule="exact"/>
              <w:ind w:right="202"/>
              <w:jc w:val="right"/>
              <w:textAlignment w:val="baseline"/>
              <w:rPr>
                <w:rFonts w:ascii="Arial" w:eastAsia="Arial" w:hAnsi="Arial"/>
                <w:color w:val="000000"/>
                <w:sz w:val="16"/>
              </w:rPr>
            </w:pPr>
            <w:r>
              <w:rPr>
                <w:rFonts w:ascii="Arial" w:eastAsia="Arial" w:hAnsi="Arial"/>
                <w:color w:val="000000"/>
                <w:sz w:val="16"/>
              </w:rPr>
              <w:t>NA</w:t>
            </w:r>
          </w:p>
        </w:tc>
        <w:tc>
          <w:tcPr>
            <w:tcW w:w="811" w:type="dxa"/>
            <w:tcBorders>
              <w:top w:val="single" w:sz="5" w:space="0" w:color="000000"/>
              <w:left w:val="single" w:sz="5" w:space="0" w:color="000000"/>
              <w:bottom w:val="single" w:sz="5" w:space="0" w:color="000000"/>
              <w:right w:val="single" w:sz="5" w:space="0" w:color="000000"/>
            </w:tcBorders>
            <w:vAlign w:val="center"/>
          </w:tcPr>
          <w:p w14:paraId="6C381EE6" w14:textId="77777777" w:rsidR="008C360C" w:rsidRDefault="002A0B22">
            <w:pPr>
              <w:spacing w:before="130" w:after="101" w:line="182" w:lineRule="exact"/>
              <w:jc w:val="center"/>
              <w:textAlignment w:val="baseline"/>
              <w:rPr>
                <w:rFonts w:ascii="Arial" w:eastAsia="Arial" w:hAnsi="Arial"/>
                <w:color w:val="000000"/>
                <w:sz w:val="16"/>
              </w:rPr>
            </w:pPr>
            <w:r>
              <w:rPr>
                <w:rFonts w:ascii="Arial" w:eastAsia="Arial" w:hAnsi="Arial"/>
                <w:color w:val="000000"/>
                <w:sz w:val="16"/>
              </w:rPr>
              <w:t>23.9%</w:t>
            </w:r>
          </w:p>
        </w:tc>
        <w:tc>
          <w:tcPr>
            <w:tcW w:w="812" w:type="dxa"/>
            <w:tcBorders>
              <w:top w:val="single" w:sz="5" w:space="0" w:color="000000"/>
              <w:left w:val="single" w:sz="5" w:space="0" w:color="000000"/>
              <w:bottom w:val="single" w:sz="5" w:space="0" w:color="000000"/>
              <w:right w:val="single" w:sz="5" w:space="0" w:color="000000"/>
            </w:tcBorders>
            <w:vAlign w:val="center"/>
          </w:tcPr>
          <w:p w14:paraId="6C381EE7" w14:textId="77777777" w:rsidR="008C360C" w:rsidRDefault="002A0B22">
            <w:pPr>
              <w:spacing w:before="130" w:after="101" w:line="182" w:lineRule="exact"/>
              <w:jc w:val="center"/>
              <w:textAlignment w:val="baseline"/>
              <w:rPr>
                <w:rFonts w:ascii="Arial" w:eastAsia="Arial" w:hAnsi="Arial"/>
                <w:color w:val="000000"/>
                <w:sz w:val="16"/>
              </w:rPr>
            </w:pPr>
            <w:r>
              <w:rPr>
                <w:rFonts w:ascii="Arial" w:eastAsia="Arial" w:hAnsi="Arial"/>
                <w:color w:val="000000"/>
                <w:sz w:val="16"/>
              </w:rPr>
              <w:t>22.1%</w:t>
            </w:r>
          </w:p>
        </w:tc>
        <w:tc>
          <w:tcPr>
            <w:tcW w:w="806" w:type="dxa"/>
            <w:tcBorders>
              <w:top w:val="single" w:sz="5" w:space="0" w:color="000000"/>
              <w:left w:val="single" w:sz="5" w:space="0" w:color="000000"/>
              <w:bottom w:val="single" w:sz="5" w:space="0" w:color="000000"/>
              <w:right w:val="single" w:sz="5" w:space="0" w:color="000000"/>
            </w:tcBorders>
            <w:vAlign w:val="center"/>
          </w:tcPr>
          <w:p w14:paraId="6C381EE8" w14:textId="77777777" w:rsidR="008C360C" w:rsidRDefault="002A0B22">
            <w:pPr>
              <w:spacing w:before="130" w:after="101" w:line="182" w:lineRule="exact"/>
              <w:jc w:val="center"/>
              <w:textAlignment w:val="baseline"/>
              <w:rPr>
                <w:rFonts w:ascii="Arial" w:eastAsia="Arial" w:hAnsi="Arial"/>
                <w:color w:val="000000"/>
                <w:sz w:val="16"/>
              </w:rPr>
            </w:pPr>
            <w:r>
              <w:rPr>
                <w:rFonts w:ascii="Arial" w:eastAsia="Arial" w:hAnsi="Arial"/>
                <w:color w:val="000000"/>
                <w:sz w:val="16"/>
              </w:rPr>
              <w:t>29.7%</w:t>
            </w:r>
          </w:p>
        </w:tc>
        <w:tc>
          <w:tcPr>
            <w:tcW w:w="811" w:type="dxa"/>
            <w:tcBorders>
              <w:top w:val="single" w:sz="5" w:space="0" w:color="000000"/>
              <w:left w:val="single" w:sz="5" w:space="0" w:color="000000"/>
              <w:bottom w:val="single" w:sz="5" w:space="0" w:color="000000"/>
              <w:right w:val="single" w:sz="5" w:space="0" w:color="000000"/>
            </w:tcBorders>
            <w:vAlign w:val="center"/>
          </w:tcPr>
          <w:p w14:paraId="6C381EE9" w14:textId="77777777" w:rsidR="008C360C" w:rsidRDefault="002A0B22">
            <w:pPr>
              <w:spacing w:before="130" w:after="101" w:line="182" w:lineRule="exact"/>
              <w:jc w:val="center"/>
              <w:textAlignment w:val="baseline"/>
              <w:rPr>
                <w:rFonts w:ascii="Arial" w:eastAsia="Arial" w:hAnsi="Arial"/>
                <w:color w:val="000000"/>
                <w:sz w:val="16"/>
              </w:rPr>
            </w:pPr>
            <w:r>
              <w:rPr>
                <w:rFonts w:ascii="Arial" w:eastAsia="Arial" w:hAnsi="Arial"/>
                <w:color w:val="000000"/>
                <w:sz w:val="16"/>
              </w:rPr>
              <w:t>31.1%</w:t>
            </w:r>
          </w:p>
        </w:tc>
        <w:tc>
          <w:tcPr>
            <w:tcW w:w="903" w:type="dxa"/>
            <w:tcBorders>
              <w:top w:val="single" w:sz="5" w:space="0" w:color="000000"/>
              <w:left w:val="single" w:sz="5" w:space="0" w:color="000000"/>
              <w:bottom w:val="single" w:sz="5" w:space="0" w:color="000000"/>
              <w:right w:val="single" w:sz="5" w:space="0" w:color="000000"/>
            </w:tcBorders>
            <w:vAlign w:val="center"/>
          </w:tcPr>
          <w:p w14:paraId="6C381EEA" w14:textId="77777777" w:rsidR="008C360C" w:rsidRDefault="002A0B22">
            <w:pPr>
              <w:spacing w:before="130" w:after="101" w:line="182" w:lineRule="exact"/>
              <w:jc w:val="center"/>
              <w:textAlignment w:val="baseline"/>
              <w:rPr>
                <w:rFonts w:ascii="Arial" w:eastAsia="Arial" w:hAnsi="Arial"/>
                <w:color w:val="000000"/>
                <w:sz w:val="16"/>
              </w:rPr>
            </w:pPr>
            <w:r>
              <w:rPr>
                <w:rFonts w:ascii="Arial" w:eastAsia="Arial" w:hAnsi="Arial"/>
                <w:color w:val="000000"/>
                <w:sz w:val="16"/>
              </w:rPr>
              <w:t>31.1%</w:t>
            </w:r>
          </w:p>
        </w:tc>
        <w:tc>
          <w:tcPr>
            <w:tcW w:w="897" w:type="dxa"/>
            <w:tcBorders>
              <w:top w:val="single" w:sz="5" w:space="0" w:color="000000"/>
              <w:left w:val="single" w:sz="5" w:space="0" w:color="000000"/>
              <w:bottom w:val="single" w:sz="5" w:space="0" w:color="000000"/>
              <w:right w:val="single" w:sz="5" w:space="0" w:color="000000"/>
            </w:tcBorders>
            <w:vAlign w:val="center"/>
          </w:tcPr>
          <w:p w14:paraId="6C381EEB" w14:textId="77777777" w:rsidR="008C360C" w:rsidRDefault="002A0B22">
            <w:pPr>
              <w:spacing w:before="130" w:after="101" w:line="182" w:lineRule="exact"/>
              <w:jc w:val="center"/>
              <w:textAlignment w:val="baseline"/>
              <w:rPr>
                <w:rFonts w:ascii="Arial" w:eastAsia="Arial" w:hAnsi="Arial"/>
                <w:color w:val="000000"/>
                <w:sz w:val="16"/>
              </w:rPr>
            </w:pPr>
            <w:r>
              <w:rPr>
                <w:rFonts w:ascii="Arial" w:eastAsia="Arial" w:hAnsi="Arial"/>
                <w:color w:val="000000"/>
                <w:sz w:val="16"/>
              </w:rPr>
              <w:t>30.8%</w:t>
            </w:r>
          </w:p>
        </w:tc>
        <w:tc>
          <w:tcPr>
            <w:tcW w:w="648" w:type="dxa"/>
            <w:tcBorders>
              <w:top w:val="single" w:sz="5" w:space="0" w:color="000000"/>
              <w:left w:val="single" w:sz="5" w:space="0" w:color="000000"/>
              <w:bottom w:val="single" w:sz="5" w:space="0" w:color="000000"/>
              <w:right w:val="single" w:sz="5" w:space="0" w:color="000000"/>
            </w:tcBorders>
            <w:vAlign w:val="center"/>
          </w:tcPr>
          <w:p w14:paraId="6C381EEC" w14:textId="77777777" w:rsidR="008C360C" w:rsidRDefault="002A0B22">
            <w:pPr>
              <w:spacing w:before="130" w:after="101" w:line="182" w:lineRule="exact"/>
              <w:ind w:right="100"/>
              <w:jc w:val="right"/>
              <w:textAlignment w:val="baseline"/>
              <w:rPr>
                <w:rFonts w:ascii="Arial" w:eastAsia="Arial" w:hAnsi="Arial"/>
                <w:color w:val="000000"/>
                <w:sz w:val="16"/>
              </w:rPr>
            </w:pPr>
            <w:r>
              <w:rPr>
                <w:rFonts w:ascii="Arial" w:eastAsia="Arial" w:hAnsi="Arial"/>
                <w:color w:val="000000"/>
                <w:sz w:val="16"/>
              </w:rPr>
              <w:t>30.5%</w:t>
            </w:r>
          </w:p>
        </w:tc>
      </w:tr>
      <w:tr w:rsidR="001F2353" w14:paraId="6C381EF7" w14:textId="77777777" w:rsidTr="004F0647">
        <w:trPr>
          <w:cantSplit/>
          <w:trHeight w:hRule="exact" w:val="427"/>
        </w:trPr>
        <w:tc>
          <w:tcPr>
            <w:tcW w:w="2074" w:type="dxa"/>
            <w:tcBorders>
              <w:top w:val="single" w:sz="5" w:space="0" w:color="000000"/>
              <w:left w:val="single" w:sz="5" w:space="0" w:color="000000"/>
              <w:bottom w:val="single" w:sz="5" w:space="0" w:color="000000"/>
              <w:right w:val="single" w:sz="5" w:space="0" w:color="000000"/>
            </w:tcBorders>
          </w:tcPr>
          <w:p w14:paraId="6C381EEE" w14:textId="77777777" w:rsidR="008C360C" w:rsidRDefault="002A0B22">
            <w:pPr>
              <w:spacing w:after="15" w:line="187" w:lineRule="exact"/>
              <w:ind w:left="108" w:right="216"/>
              <w:textAlignment w:val="baseline"/>
              <w:rPr>
                <w:rFonts w:ascii="Arial" w:eastAsia="Arial" w:hAnsi="Arial"/>
                <w:color w:val="000000"/>
                <w:sz w:val="16"/>
              </w:rPr>
            </w:pPr>
            <w:r>
              <w:rPr>
                <w:rFonts w:ascii="Arial" w:eastAsia="Arial" w:hAnsi="Arial"/>
                <w:color w:val="000000"/>
                <w:sz w:val="16"/>
              </w:rPr>
              <w:t>Solvency: Current Ratio (x)</w:t>
            </w:r>
          </w:p>
        </w:tc>
        <w:tc>
          <w:tcPr>
            <w:tcW w:w="801" w:type="dxa"/>
            <w:tcBorders>
              <w:top w:val="single" w:sz="5" w:space="0" w:color="000000"/>
              <w:left w:val="single" w:sz="5" w:space="0" w:color="000000"/>
              <w:bottom w:val="single" w:sz="5" w:space="0" w:color="000000"/>
              <w:right w:val="single" w:sz="5" w:space="0" w:color="000000"/>
            </w:tcBorders>
            <w:vAlign w:val="center"/>
          </w:tcPr>
          <w:p w14:paraId="6C381EEF" w14:textId="77777777" w:rsidR="008C360C" w:rsidRDefault="002A0B22">
            <w:pPr>
              <w:spacing w:before="125" w:after="111" w:line="182" w:lineRule="exact"/>
              <w:ind w:right="202"/>
              <w:jc w:val="right"/>
              <w:textAlignment w:val="baseline"/>
              <w:rPr>
                <w:rFonts w:ascii="Arial" w:eastAsia="Arial" w:hAnsi="Arial"/>
                <w:color w:val="000000"/>
                <w:sz w:val="16"/>
              </w:rPr>
            </w:pPr>
            <w:r>
              <w:rPr>
                <w:rFonts w:ascii="Arial" w:eastAsia="Arial" w:hAnsi="Arial"/>
                <w:color w:val="000000"/>
                <w:sz w:val="16"/>
              </w:rPr>
              <w:t>1.05x</w:t>
            </w:r>
          </w:p>
        </w:tc>
        <w:tc>
          <w:tcPr>
            <w:tcW w:w="811" w:type="dxa"/>
            <w:tcBorders>
              <w:top w:val="single" w:sz="5" w:space="0" w:color="000000"/>
              <w:left w:val="single" w:sz="5" w:space="0" w:color="000000"/>
              <w:bottom w:val="single" w:sz="5" w:space="0" w:color="000000"/>
              <w:right w:val="single" w:sz="5" w:space="0" w:color="000000"/>
            </w:tcBorders>
            <w:vAlign w:val="center"/>
          </w:tcPr>
          <w:p w14:paraId="6C381EF0" w14:textId="77777777" w:rsidR="008C360C" w:rsidRDefault="002A0B22">
            <w:pPr>
              <w:spacing w:before="125" w:after="111" w:line="182" w:lineRule="exact"/>
              <w:jc w:val="center"/>
              <w:textAlignment w:val="baseline"/>
              <w:rPr>
                <w:rFonts w:ascii="Arial" w:eastAsia="Arial" w:hAnsi="Arial"/>
                <w:color w:val="000000"/>
                <w:sz w:val="16"/>
              </w:rPr>
            </w:pPr>
            <w:r>
              <w:rPr>
                <w:rFonts w:ascii="Arial" w:eastAsia="Arial" w:hAnsi="Arial"/>
                <w:color w:val="000000"/>
                <w:sz w:val="16"/>
              </w:rPr>
              <w:t>2.33x</w:t>
            </w:r>
          </w:p>
        </w:tc>
        <w:tc>
          <w:tcPr>
            <w:tcW w:w="812" w:type="dxa"/>
            <w:tcBorders>
              <w:top w:val="single" w:sz="5" w:space="0" w:color="000000"/>
              <w:left w:val="single" w:sz="5" w:space="0" w:color="000000"/>
              <w:bottom w:val="single" w:sz="5" w:space="0" w:color="000000"/>
              <w:right w:val="single" w:sz="5" w:space="0" w:color="000000"/>
            </w:tcBorders>
            <w:vAlign w:val="center"/>
          </w:tcPr>
          <w:p w14:paraId="6C381EF1" w14:textId="77777777" w:rsidR="008C360C" w:rsidRDefault="002A0B22">
            <w:pPr>
              <w:spacing w:before="125" w:after="111" w:line="182" w:lineRule="exact"/>
              <w:jc w:val="center"/>
              <w:textAlignment w:val="baseline"/>
              <w:rPr>
                <w:rFonts w:ascii="Arial" w:eastAsia="Arial" w:hAnsi="Arial"/>
                <w:color w:val="000000"/>
                <w:sz w:val="16"/>
              </w:rPr>
            </w:pPr>
            <w:r>
              <w:rPr>
                <w:rFonts w:ascii="Arial" w:eastAsia="Arial" w:hAnsi="Arial"/>
                <w:color w:val="000000"/>
                <w:sz w:val="16"/>
              </w:rPr>
              <w:t>3.08x</w:t>
            </w:r>
          </w:p>
        </w:tc>
        <w:tc>
          <w:tcPr>
            <w:tcW w:w="806" w:type="dxa"/>
            <w:tcBorders>
              <w:top w:val="single" w:sz="5" w:space="0" w:color="000000"/>
              <w:left w:val="single" w:sz="5" w:space="0" w:color="000000"/>
              <w:bottom w:val="single" w:sz="5" w:space="0" w:color="000000"/>
              <w:right w:val="single" w:sz="5" w:space="0" w:color="000000"/>
            </w:tcBorders>
            <w:vAlign w:val="center"/>
          </w:tcPr>
          <w:p w14:paraId="6C381EF2" w14:textId="77777777" w:rsidR="008C360C" w:rsidRDefault="002A0B22">
            <w:pPr>
              <w:spacing w:before="125" w:after="111" w:line="182" w:lineRule="exact"/>
              <w:jc w:val="center"/>
              <w:textAlignment w:val="baseline"/>
              <w:rPr>
                <w:rFonts w:ascii="Arial" w:eastAsia="Arial" w:hAnsi="Arial"/>
                <w:color w:val="000000"/>
                <w:sz w:val="16"/>
              </w:rPr>
            </w:pPr>
            <w:r>
              <w:rPr>
                <w:rFonts w:ascii="Arial" w:eastAsia="Arial" w:hAnsi="Arial"/>
                <w:color w:val="000000"/>
                <w:sz w:val="16"/>
              </w:rPr>
              <w:t>3.63x</w:t>
            </w:r>
          </w:p>
        </w:tc>
        <w:tc>
          <w:tcPr>
            <w:tcW w:w="811" w:type="dxa"/>
            <w:tcBorders>
              <w:top w:val="single" w:sz="5" w:space="0" w:color="000000"/>
              <w:left w:val="single" w:sz="5" w:space="0" w:color="000000"/>
              <w:bottom w:val="single" w:sz="5" w:space="0" w:color="000000"/>
              <w:right w:val="single" w:sz="5" w:space="0" w:color="000000"/>
            </w:tcBorders>
            <w:vAlign w:val="center"/>
          </w:tcPr>
          <w:p w14:paraId="6C381EF3" w14:textId="77777777" w:rsidR="008C360C" w:rsidRDefault="002A0B22">
            <w:pPr>
              <w:spacing w:before="125" w:after="111" w:line="182" w:lineRule="exact"/>
              <w:jc w:val="center"/>
              <w:textAlignment w:val="baseline"/>
              <w:rPr>
                <w:rFonts w:ascii="Arial" w:eastAsia="Arial" w:hAnsi="Arial"/>
                <w:color w:val="000000"/>
                <w:sz w:val="16"/>
              </w:rPr>
            </w:pPr>
            <w:r>
              <w:rPr>
                <w:rFonts w:ascii="Arial" w:eastAsia="Arial" w:hAnsi="Arial"/>
                <w:color w:val="000000"/>
                <w:sz w:val="16"/>
              </w:rPr>
              <w:t>4.47x</w:t>
            </w:r>
          </w:p>
        </w:tc>
        <w:tc>
          <w:tcPr>
            <w:tcW w:w="903" w:type="dxa"/>
            <w:tcBorders>
              <w:top w:val="single" w:sz="5" w:space="0" w:color="000000"/>
              <w:left w:val="single" w:sz="5" w:space="0" w:color="000000"/>
              <w:bottom w:val="single" w:sz="5" w:space="0" w:color="000000"/>
              <w:right w:val="single" w:sz="5" w:space="0" w:color="000000"/>
            </w:tcBorders>
            <w:vAlign w:val="center"/>
          </w:tcPr>
          <w:p w14:paraId="6C381EF4" w14:textId="77777777" w:rsidR="008C360C" w:rsidRDefault="002A0B22">
            <w:pPr>
              <w:spacing w:before="125" w:after="111" w:line="182" w:lineRule="exact"/>
              <w:jc w:val="center"/>
              <w:textAlignment w:val="baseline"/>
              <w:rPr>
                <w:rFonts w:ascii="Arial" w:eastAsia="Arial" w:hAnsi="Arial"/>
                <w:color w:val="000000"/>
                <w:sz w:val="16"/>
              </w:rPr>
            </w:pPr>
            <w:r>
              <w:rPr>
                <w:rFonts w:ascii="Arial" w:eastAsia="Arial" w:hAnsi="Arial"/>
                <w:color w:val="000000"/>
                <w:sz w:val="16"/>
              </w:rPr>
              <w:t>5.34x</w:t>
            </w:r>
          </w:p>
        </w:tc>
        <w:tc>
          <w:tcPr>
            <w:tcW w:w="897" w:type="dxa"/>
            <w:tcBorders>
              <w:top w:val="single" w:sz="5" w:space="0" w:color="000000"/>
              <w:left w:val="single" w:sz="5" w:space="0" w:color="000000"/>
              <w:bottom w:val="single" w:sz="5" w:space="0" w:color="000000"/>
              <w:right w:val="single" w:sz="5" w:space="0" w:color="000000"/>
            </w:tcBorders>
            <w:vAlign w:val="center"/>
          </w:tcPr>
          <w:p w14:paraId="6C381EF5" w14:textId="77777777" w:rsidR="008C360C" w:rsidRDefault="002A0B22">
            <w:pPr>
              <w:spacing w:before="125" w:after="111" w:line="182" w:lineRule="exact"/>
              <w:jc w:val="center"/>
              <w:textAlignment w:val="baseline"/>
              <w:rPr>
                <w:rFonts w:ascii="Arial" w:eastAsia="Arial" w:hAnsi="Arial"/>
                <w:color w:val="000000"/>
                <w:sz w:val="16"/>
              </w:rPr>
            </w:pPr>
            <w:r>
              <w:rPr>
                <w:rFonts w:ascii="Arial" w:eastAsia="Arial" w:hAnsi="Arial"/>
                <w:color w:val="000000"/>
                <w:sz w:val="16"/>
              </w:rPr>
              <w:t>6.20x</w:t>
            </w:r>
          </w:p>
        </w:tc>
        <w:tc>
          <w:tcPr>
            <w:tcW w:w="648" w:type="dxa"/>
            <w:tcBorders>
              <w:top w:val="single" w:sz="5" w:space="0" w:color="000000"/>
              <w:left w:val="single" w:sz="5" w:space="0" w:color="000000"/>
              <w:bottom w:val="single" w:sz="5" w:space="0" w:color="000000"/>
              <w:right w:val="single" w:sz="5" w:space="0" w:color="000000"/>
            </w:tcBorders>
            <w:vAlign w:val="center"/>
          </w:tcPr>
          <w:p w14:paraId="6C381EF6" w14:textId="77777777" w:rsidR="008C360C" w:rsidRDefault="002A0B22">
            <w:pPr>
              <w:spacing w:before="125" w:after="111" w:line="182" w:lineRule="exact"/>
              <w:ind w:right="100"/>
              <w:jc w:val="right"/>
              <w:textAlignment w:val="baseline"/>
              <w:rPr>
                <w:rFonts w:ascii="Arial" w:eastAsia="Arial" w:hAnsi="Arial"/>
                <w:color w:val="000000"/>
                <w:sz w:val="16"/>
              </w:rPr>
            </w:pPr>
            <w:r>
              <w:rPr>
                <w:rFonts w:ascii="Arial" w:eastAsia="Arial" w:hAnsi="Arial"/>
                <w:color w:val="000000"/>
                <w:sz w:val="16"/>
              </w:rPr>
              <w:t>7.03x</w:t>
            </w:r>
          </w:p>
        </w:tc>
      </w:tr>
      <w:tr w:rsidR="001F2353" w14:paraId="6C381F01" w14:textId="77777777" w:rsidTr="004F0647">
        <w:trPr>
          <w:cantSplit/>
          <w:trHeight w:hRule="exact" w:val="433"/>
        </w:trPr>
        <w:tc>
          <w:tcPr>
            <w:tcW w:w="2074" w:type="dxa"/>
            <w:tcBorders>
              <w:top w:val="single" w:sz="5" w:space="0" w:color="000000"/>
              <w:left w:val="single" w:sz="5" w:space="0" w:color="000000"/>
              <w:bottom w:val="single" w:sz="5" w:space="0" w:color="000000"/>
              <w:right w:val="single" w:sz="5" w:space="0" w:color="000000"/>
            </w:tcBorders>
          </w:tcPr>
          <w:p w14:paraId="6C381EF8" w14:textId="77777777" w:rsidR="008C360C" w:rsidRDefault="002A0B22">
            <w:pPr>
              <w:spacing w:after="24" w:line="187" w:lineRule="exact"/>
              <w:ind w:left="108"/>
              <w:textAlignment w:val="baseline"/>
              <w:rPr>
                <w:rFonts w:ascii="Arial" w:eastAsia="Arial" w:hAnsi="Arial"/>
                <w:color w:val="000000"/>
                <w:sz w:val="16"/>
              </w:rPr>
            </w:pPr>
            <w:r>
              <w:rPr>
                <w:rFonts w:ascii="Arial" w:eastAsia="Arial" w:hAnsi="Arial"/>
                <w:color w:val="000000"/>
                <w:sz w:val="16"/>
              </w:rPr>
              <w:t xml:space="preserve">Solvency: Total Net </w:t>
            </w:r>
            <w:r>
              <w:rPr>
                <w:rFonts w:ascii="Arial" w:eastAsia="Arial" w:hAnsi="Arial"/>
                <w:color w:val="000000"/>
                <w:sz w:val="16"/>
              </w:rPr>
              <w:br/>
              <w:t>Assets ($ in million)</w:t>
            </w:r>
          </w:p>
        </w:tc>
        <w:tc>
          <w:tcPr>
            <w:tcW w:w="801" w:type="dxa"/>
            <w:tcBorders>
              <w:top w:val="single" w:sz="5" w:space="0" w:color="000000"/>
              <w:left w:val="single" w:sz="5" w:space="0" w:color="000000"/>
              <w:bottom w:val="single" w:sz="5" w:space="0" w:color="000000"/>
              <w:right w:val="single" w:sz="5" w:space="0" w:color="000000"/>
            </w:tcBorders>
            <w:vAlign w:val="center"/>
          </w:tcPr>
          <w:p w14:paraId="6C381EF9" w14:textId="77777777" w:rsidR="008C360C" w:rsidRDefault="002A0B22">
            <w:pPr>
              <w:spacing w:before="126" w:after="115" w:line="182" w:lineRule="exact"/>
              <w:ind w:right="202"/>
              <w:jc w:val="right"/>
              <w:textAlignment w:val="baseline"/>
              <w:rPr>
                <w:rFonts w:ascii="Arial" w:eastAsia="Arial" w:hAnsi="Arial"/>
                <w:color w:val="000000"/>
                <w:sz w:val="16"/>
              </w:rPr>
            </w:pPr>
            <w:r>
              <w:rPr>
                <w:rFonts w:ascii="Arial" w:eastAsia="Arial" w:hAnsi="Arial"/>
                <w:color w:val="000000"/>
                <w:sz w:val="16"/>
              </w:rPr>
              <w:t>$49.9</w:t>
            </w:r>
          </w:p>
        </w:tc>
        <w:tc>
          <w:tcPr>
            <w:tcW w:w="811" w:type="dxa"/>
            <w:tcBorders>
              <w:top w:val="single" w:sz="5" w:space="0" w:color="000000"/>
              <w:left w:val="single" w:sz="5" w:space="0" w:color="000000"/>
              <w:bottom w:val="single" w:sz="5" w:space="0" w:color="000000"/>
              <w:right w:val="single" w:sz="5" w:space="0" w:color="000000"/>
            </w:tcBorders>
            <w:vAlign w:val="center"/>
          </w:tcPr>
          <w:p w14:paraId="6C381EFA" w14:textId="77777777" w:rsidR="008C360C" w:rsidRDefault="002A0B22">
            <w:pPr>
              <w:spacing w:before="126" w:after="115" w:line="182" w:lineRule="exact"/>
              <w:jc w:val="center"/>
              <w:textAlignment w:val="baseline"/>
              <w:rPr>
                <w:rFonts w:ascii="Arial" w:eastAsia="Arial" w:hAnsi="Arial"/>
                <w:color w:val="000000"/>
                <w:sz w:val="16"/>
              </w:rPr>
            </w:pPr>
            <w:r>
              <w:rPr>
                <w:rFonts w:ascii="Arial" w:eastAsia="Arial" w:hAnsi="Arial"/>
                <w:color w:val="000000"/>
                <w:sz w:val="16"/>
              </w:rPr>
              <w:t>$49.3</w:t>
            </w:r>
          </w:p>
        </w:tc>
        <w:tc>
          <w:tcPr>
            <w:tcW w:w="812" w:type="dxa"/>
            <w:tcBorders>
              <w:top w:val="single" w:sz="5" w:space="0" w:color="000000"/>
              <w:left w:val="single" w:sz="5" w:space="0" w:color="000000"/>
              <w:bottom w:val="single" w:sz="5" w:space="0" w:color="000000"/>
              <w:right w:val="single" w:sz="5" w:space="0" w:color="000000"/>
            </w:tcBorders>
            <w:vAlign w:val="center"/>
          </w:tcPr>
          <w:p w14:paraId="6C381EFB" w14:textId="77777777" w:rsidR="008C360C" w:rsidRDefault="002A0B22">
            <w:pPr>
              <w:spacing w:before="126" w:after="115" w:line="182" w:lineRule="exact"/>
              <w:jc w:val="center"/>
              <w:textAlignment w:val="baseline"/>
              <w:rPr>
                <w:rFonts w:ascii="Arial" w:eastAsia="Arial" w:hAnsi="Arial"/>
                <w:color w:val="000000"/>
                <w:sz w:val="16"/>
              </w:rPr>
            </w:pPr>
            <w:r>
              <w:rPr>
                <w:rFonts w:ascii="Arial" w:eastAsia="Arial" w:hAnsi="Arial"/>
                <w:color w:val="000000"/>
                <w:sz w:val="16"/>
              </w:rPr>
              <w:t>$48.8</w:t>
            </w:r>
          </w:p>
        </w:tc>
        <w:tc>
          <w:tcPr>
            <w:tcW w:w="806" w:type="dxa"/>
            <w:tcBorders>
              <w:top w:val="single" w:sz="5" w:space="0" w:color="000000"/>
              <w:left w:val="single" w:sz="5" w:space="0" w:color="000000"/>
              <w:bottom w:val="single" w:sz="5" w:space="0" w:color="000000"/>
              <w:right w:val="single" w:sz="5" w:space="0" w:color="000000"/>
            </w:tcBorders>
            <w:vAlign w:val="center"/>
          </w:tcPr>
          <w:p w14:paraId="6C381EFC" w14:textId="77777777" w:rsidR="008C360C" w:rsidRDefault="002A0B22">
            <w:pPr>
              <w:spacing w:before="126" w:after="115" w:line="182" w:lineRule="exact"/>
              <w:jc w:val="center"/>
              <w:textAlignment w:val="baseline"/>
              <w:rPr>
                <w:rFonts w:ascii="Arial" w:eastAsia="Arial" w:hAnsi="Arial"/>
                <w:color w:val="000000"/>
                <w:sz w:val="16"/>
              </w:rPr>
            </w:pPr>
            <w:r>
              <w:rPr>
                <w:rFonts w:ascii="Arial" w:eastAsia="Arial" w:hAnsi="Arial"/>
                <w:color w:val="000000"/>
                <w:sz w:val="16"/>
              </w:rPr>
              <w:t>$51.0</w:t>
            </w:r>
          </w:p>
        </w:tc>
        <w:tc>
          <w:tcPr>
            <w:tcW w:w="811" w:type="dxa"/>
            <w:tcBorders>
              <w:top w:val="single" w:sz="5" w:space="0" w:color="000000"/>
              <w:left w:val="single" w:sz="5" w:space="0" w:color="000000"/>
              <w:bottom w:val="single" w:sz="5" w:space="0" w:color="000000"/>
              <w:right w:val="single" w:sz="5" w:space="0" w:color="000000"/>
            </w:tcBorders>
            <w:vAlign w:val="center"/>
          </w:tcPr>
          <w:p w14:paraId="6C381EFD" w14:textId="77777777" w:rsidR="008C360C" w:rsidRDefault="002A0B22">
            <w:pPr>
              <w:spacing w:before="126" w:after="115" w:line="182" w:lineRule="exact"/>
              <w:jc w:val="center"/>
              <w:textAlignment w:val="baseline"/>
              <w:rPr>
                <w:rFonts w:ascii="Arial" w:eastAsia="Arial" w:hAnsi="Arial"/>
                <w:color w:val="000000"/>
                <w:sz w:val="16"/>
              </w:rPr>
            </w:pPr>
            <w:r>
              <w:rPr>
                <w:rFonts w:ascii="Arial" w:eastAsia="Arial" w:hAnsi="Arial"/>
                <w:color w:val="000000"/>
                <w:sz w:val="16"/>
              </w:rPr>
              <w:t>$53.6</w:t>
            </w:r>
          </w:p>
        </w:tc>
        <w:tc>
          <w:tcPr>
            <w:tcW w:w="903" w:type="dxa"/>
            <w:tcBorders>
              <w:top w:val="single" w:sz="5" w:space="0" w:color="000000"/>
              <w:left w:val="single" w:sz="5" w:space="0" w:color="000000"/>
              <w:bottom w:val="single" w:sz="5" w:space="0" w:color="000000"/>
              <w:right w:val="single" w:sz="5" w:space="0" w:color="000000"/>
            </w:tcBorders>
            <w:vAlign w:val="center"/>
          </w:tcPr>
          <w:p w14:paraId="6C381EFE" w14:textId="77777777" w:rsidR="008C360C" w:rsidRDefault="002A0B22">
            <w:pPr>
              <w:spacing w:before="126" w:after="115" w:line="182" w:lineRule="exact"/>
              <w:jc w:val="center"/>
              <w:textAlignment w:val="baseline"/>
              <w:rPr>
                <w:rFonts w:ascii="Arial" w:eastAsia="Arial" w:hAnsi="Arial"/>
                <w:color w:val="000000"/>
                <w:sz w:val="16"/>
              </w:rPr>
            </w:pPr>
            <w:r>
              <w:rPr>
                <w:rFonts w:ascii="Arial" w:eastAsia="Arial" w:hAnsi="Arial"/>
                <w:color w:val="000000"/>
                <w:sz w:val="16"/>
              </w:rPr>
              <w:t>$56.1</w:t>
            </w:r>
          </w:p>
        </w:tc>
        <w:tc>
          <w:tcPr>
            <w:tcW w:w="897" w:type="dxa"/>
            <w:tcBorders>
              <w:top w:val="single" w:sz="5" w:space="0" w:color="000000"/>
              <w:left w:val="single" w:sz="5" w:space="0" w:color="000000"/>
              <w:bottom w:val="single" w:sz="5" w:space="0" w:color="000000"/>
              <w:right w:val="single" w:sz="5" w:space="0" w:color="000000"/>
            </w:tcBorders>
            <w:vAlign w:val="center"/>
          </w:tcPr>
          <w:p w14:paraId="6C381EFF" w14:textId="77777777" w:rsidR="008C360C" w:rsidRDefault="002A0B22">
            <w:pPr>
              <w:spacing w:before="126" w:after="115" w:line="182" w:lineRule="exact"/>
              <w:jc w:val="center"/>
              <w:textAlignment w:val="baseline"/>
              <w:rPr>
                <w:rFonts w:ascii="Arial" w:eastAsia="Arial" w:hAnsi="Arial"/>
                <w:color w:val="000000"/>
                <w:sz w:val="16"/>
              </w:rPr>
            </w:pPr>
            <w:r>
              <w:rPr>
                <w:rFonts w:ascii="Arial" w:eastAsia="Arial" w:hAnsi="Arial"/>
                <w:color w:val="000000"/>
                <w:sz w:val="16"/>
              </w:rPr>
              <w:t>$58.7</w:t>
            </w:r>
          </w:p>
        </w:tc>
        <w:tc>
          <w:tcPr>
            <w:tcW w:w="648" w:type="dxa"/>
            <w:tcBorders>
              <w:top w:val="single" w:sz="5" w:space="0" w:color="000000"/>
              <w:left w:val="single" w:sz="5" w:space="0" w:color="000000"/>
              <w:bottom w:val="single" w:sz="5" w:space="0" w:color="000000"/>
              <w:right w:val="single" w:sz="5" w:space="0" w:color="000000"/>
            </w:tcBorders>
            <w:vAlign w:val="center"/>
          </w:tcPr>
          <w:p w14:paraId="6C381F00" w14:textId="77777777" w:rsidR="008C360C" w:rsidRDefault="002A0B22">
            <w:pPr>
              <w:spacing w:before="126" w:after="115" w:line="182" w:lineRule="exact"/>
              <w:ind w:right="100"/>
              <w:jc w:val="right"/>
              <w:textAlignment w:val="baseline"/>
              <w:rPr>
                <w:rFonts w:ascii="Arial" w:eastAsia="Arial" w:hAnsi="Arial"/>
                <w:color w:val="000000"/>
                <w:sz w:val="16"/>
              </w:rPr>
            </w:pPr>
            <w:r>
              <w:rPr>
                <w:rFonts w:ascii="Arial" w:eastAsia="Arial" w:hAnsi="Arial"/>
                <w:color w:val="000000"/>
                <w:sz w:val="16"/>
              </w:rPr>
              <w:t>$61.3</w:t>
            </w:r>
          </w:p>
        </w:tc>
      </w:tr>
    </w:tbl>
    <w:p w14:paraId="6C381F02" w14:textId="77777777" w:rsidR="008C360C" w:rsidRDefault="008C360C">
      <w:pPr>
        <w:spacing w:after="475" w:line="20" w:lineRule="exact"/>
      </w:pPr>
    </w:p>
    <w:tbl>
      <w:tblPr>
        <w:tblW w:w="0" w:type="auto"/>
        <w:tblInd w:w="455" w:type="dxa"/>
        <w:tblLayout w:type="fixed"/>
        <w:tblCellMar>
          <w:left w:w="0" w:type="dxa"/>
          <w:right w:w="0" w:type="dxa"/>
        </w:tblCellMar>
        <w:tblLook w:val="0000" w:firstRow="0" w:lastRow="0" w:firstColumn="0" w:lastColumn="0" w:noHBand="0" w:noVBand="0"/>
        <w:tblCaption w:val="Key Metrics"/>
      </w:tblPr>
      <w:tblGrid>
        <w:gridCol w:w="2078"/>
        <w:gridCol w:w="783"/>
        <w:gridCol w:w="782"/>
        <w:gridCol w:w="1623"/>
        <w:gridCol w:w="1617"/>
        <w:gridCol w:w="1632"/>
      </w:tblGrid>
      <w:tr w:rsidR="001F2353" w14:paraId="6C381F09" w14:textId="77777777" w:rsidTr="00CA646D">
        <w:trPr>
          <w:cantSplit/>
          <w:trHeight w:hRule="exact" w:val="758"/>
        </w:trPr>
        <w:tc>
          <w:tcPr>
            <w:tcW w:w="2078" w:type="dxa"/>
            <w:tcBorders>
              <w:top w:val="single" w:sz="5" w:space="0" w:color="000000"/>
              <w:left w:val="single" w:sz="5" w:space="0" w:color="000000"/>
              <w:bottom w:val="single" w:sz="5" w:space="0" w:color="000000"/>
              <w:right w:val="single" w:sz="5" w:space="0" w:color="000000"/>
            </w:tcBorders>
            <w:vAlign w:val="center"/>
          </w:tcPr>
          <w:p w14:paraId="6C381F03" w14:textId="77777777" w:rsidR="008C360C" w:rsidRDefault="002A0B22">
            <w:pPr>
              <w:spacing w:before="196" w:after="178" w:line="187" w:lineRule="exact"/>
              <w:ind w:left="108" w:right="252"/>
              <w:textAlignment w:val="baseline"/>
              <w:rPr>
                <w:rFonts w:ascii="Arial" w:eastAsia="Arial" w:hAnsi="Arial"/>
                <w:color w:val="000000"/>
                <w:w w:val="95"/>
                <w:sz w:val="16"/>
              </w:rPr>
            </w:pPr>
            <w:r>
              <w:rPr>
                <w:rFonts w:ascii="Arial" w:eastAsia="Arial" w:hAnsi="Arial"/>
                <w:color w:val="000000"/>
                <w:w w:val="95"/>
                <w:sz w:val="16"/>
              </w:rPr>
              <w:t>Greater Boston Urology, LLC</w:t>
            </w:r>
          </w:p>
        </w:tc>
        <w:tc>
          <w:tcPr>
            <w:tcW w:w="783" w:type="dxa"/>
            <w:tcBorders>
              <w:top w:val="single" w:sz="5" w:space="0" w:color="000000"/>
              <w:left w:val="single" w:sz="5" w:space="0" w:color="000000"/>
              <w:bottom w:val="single" w:sz="5" w:space="0" w:color="000000"/>
              <w:right w:val="single" w:sz="5" w:space="0" w:color="000000"/>
            </w:tcBorders>
            <w:vAlign w:val="center"/>
          </w:tcPr>
          <w:p w14:paraId="6C381F04" w14:textId="77777777" w:rsidR="008C360C" w:rsidRDefault="002A0B22">
            <w:pPr>
              <w:spacing w:before="292" w:after="274" w:line="182" w:lineRule="exact"/>
              <w:ind w:right="187"/>
              <w:jc w:val="right"/>
              <w:textAlignment w:val="baseline"/>
              <w:rPr>
                <w:rFonts w:ascii="Arial" w:eastAsia="Arial" w:hAnsi="Arial"/>
                <w:color w:val="000000"/>
                <w:sz w:val="16"/>
              </w:rPr>
            </w:pPr>
            <w:r>
              <w:rPr>
                <w:rFonts w:ascii="Arial" w:eastAsia="Arial" w:hAnsi="Arial"/>
                <w:color w:val="000000"/>
                <w:sz w:val="16"/>
              </w:rPr>
              <w:t>2023</w:t>
            </w:r>
          </w:p>
        </w:tc>
        <w:tc>
          <w:tcPr>
            <w:tcW w:w="782" w:type="dxa"/>
            <w:tcBorders>
              <w:top w:val="single" w:sz="5" w:space="0" w:color="000000"/>
              <w:left w:val="single" w:sz="5" w:space="0" w:color="000000"/>
              <w:bottom w:val="single" w:sz="5" w:space="0" w:color="000000"/>
              <w:right w:val="single" w:sz="5" w:space="0" w:color="000000"/>
            </w:tcBorders>
            <w:vAlign w:val="center"/>
          </w:tcPr>
          <w:p w14:paraId="6C381F05" w14:textId="77777777" w:rsidR="008C360C" w:rsidRDefault="002A0B22">
            <w:pPr>
              <w:spacing w:before="292" w:after="274" w:line="182" w:lineRule="exact"/>
              <w:ind w:right="192"/>
              <w:jc w:val="right"/>
              <w:textAlignment w:val="baseline"/>
              <w:rPr>
                <w:rFonts w:ascii="Arial" w:eastAsia="Arial" w:hAnsi="Arial"/>
                <w:color w:val="000000"/>
                <w:sz w:val="16"/>
              </w:rPr>
            </w:pPr>
            <w:r>
              <w:rPr>
                <w:rFonts w:ascii="Arial" w:eastAsia="Arial" w:hAnsi="Arial"/>
                <w:color w:val="000000"/>
                <w:sz w:val="16"/>
              </w:rPr>
              <w:t>2024</w:t>
            </w:r>
          </w:p>
        </w:tc>
        <w:tc>
          <w:tcPr>
            <w:tcW w:w="1623" w:type="dxa"/>
            <w:tcBorders>
              <w:top w:val="single" w:sz="5" w:space="0" w:color="000000"/>
              <w:left w:val="single" w:sz="5" w:space="0" w:color="000000"/>
              <w:bottom w:val="single" w:sz="5" w:space="0" w:color="000000"/>
              <w:right w:val="single" w:sz="5" w:space="0" w:color="000000"/>
            </w:tcBorders>
          </w:tcPr>
          <w:p w14:paraId="6C381F06" w14:textId="77777777" w:rsidR="008C360C" w:rsidRDefault="002A0B22">
            <w:pPr>
              <w:spacing w:line="183" w:lineRule="exact"/>
              <w:jc w:val="center"/>
              <w:textAlignment w:val="baseline"/>
              <w:rPr>
                <w:rFonts w:ascii="Arial" w:eastAsia="Arial" w:hAnsi="Arial"/>
                <w:color w:val="000000"/>
                <w:sz w:val="16"/>
              </w:rPr>
            </w:pPr>
            <w:r>
              <w:rPr>
                <w:rFonts w:ascii="Arial" w:eastAsia="Arial" w:hAnsi="Arial"/>
                <w:color w:val="000000"/>
                <w:sz w:val="16"/>
              </w:rPr>
              <w:t xml:space="preserve">Integra - General </w:t>
            </w:r>
            <w:r>
              <w:rPr>
                <w:rFonts w:ascii="Arial" w:eastAsia="Arial" w:hAnsi="Arial"/>
                <w:color w:val="000000"/>
                <w:sz w:val="16"/>
              </w:rPr>
              <w:br/>
              <w:t xml:space="preserve">Medical and </w:t>
            </w:r>
            <w:r>
              <w:rPr>
                <w:rFonts w:ascii="Arial" w:eastAsia="Arial" w:hAnsi="Arial"/>
                <w:color w:val="000000"/>
                <w:sz w:val="16"/>
              </w:rPr>
              <w:br/>
              <w:t xml:space="preserve">Surgical Hospitals </w:t>
            </w:r>
            <w:r>
              <w:rPr>
                <w:rFonts w:ascii="Arial" w:eastAsia="Arial" w:hAnsi="Arial"/>
                <w:color w:val="000000"/>
                <w:sz w:val="16"/>
              </w:rPr>
              <w:br/>
              <w:t>(5-year average)</w:t>
            </w:r>
          </w:p>
        </w:tc>
        <w:tc>
          <w:tcPr>
            <w:tcW w:w="1617" w:type="dxa"/>
            <w:tcBorders>
              <w:top w:val="single" w:sz="5" w:space="0" w:color="000000"/>
              <w:left w:val="single" w:sz="5" w:space="0" w:color="000000"/>
              <w:bottom w:val="single" w:sz="5" w:space="0" w:color="000000"/>
              <w:right w:val="single" w:sz="5" w:space="0" w:color="000000"/>
            </w:tcBorders>
            <w:vAlign w:val="center"/>
          </w:tcPr>
          <w:p w14:paraId="6C381F07" w14:textId="77777777" w:rsidR="008C360C" w:rsidRDefault="002A0B22">
            <w:pPr>
              <w:spacing w:before="196" w:after="178" w:line="187" w:lineRule="exact"/>
              <w:jc w:val="center"/>
              <w:textAlignment w:val="baseline"/>
              <w:rPr>
                <w:rFonts w:ascii="Arial" w:eastAsia="Arial" w:hAnsi="Arial"/>
                <w:color w:val="000000"/>
                <w:sz w:val="16"/>
              </w:rPr>
            </w:pPr>
            <w:r>
              <w:rPr>
                <w:rFonts w:ascii="Arial" w:eastAsia="Arial" w:hAnsi="Arial"/>
                <w:color w:val="000000"/>
                <w:sz w:val="16"/>
              </w:rPr>
              <w:t xml:space="preserve">IBIS - Hospitals </w:t>
            </w:r>
            <w:r>
              <w:rPr>
                <w:rFonts w:ascii="Arial" w:eastAsia="Arial" w:hAnsi="Arial"/>
                <w:color w:val="000000"/>
                <w:sz w:val="16"/>
              </w:rPr>
              <w:br/>
              <w:t>in the US (3-year)</w:t>
            </w:r>
          </w:p>
        </w:tc>
        <w:tc>
          <w:tcPr>
            <w:tcW w:w="1632" w:type="dxa"/>
            <w:tcBorders>
              <w:top w:val="single" w:sz="5" w:space="0" w:color="000000"/>
              <w:left w:val="single" w:sz="5" w:space="0" w:color="000000"/>
              <w:bottom w:val="single" w:sz="5" w:space="0" w:color="000000"/>
              <w:right w:val="single" w:sz="5" w:space="0" w:color="000000"/>
            </w:tcBorders>
            <w:vAlign w:val="center"/>
          </w:tcPr>
          <w:p w14:paraId="6C381F08" w14:textId="77777777" w:rsidR="008C360C" w:rsidRDefault="002A0B22">
            <w:pPr>
              <w:spacing w:before="196" w:after="178" w:line="187" w:lineRule="exact"/>
              <w:jc w:val="center"/>
              <w:textAlignment w:val="baseline"/>
              <w:rPr>
                <w:rFonts w:ascii="Arial" w:eastAsia="Arial" w:hAnsi="Arial"/>
                <w:color w:val="000000"/>
                <w:sz w:val="16"/>
              </w:rPr>
            </w:pPr>
            <w:r>
              <w:rPr>
                <w:rFonts w:ascii="Arial" w:eastAsia="Arial" w:hAnsi="Arial"/>
                <w:color w:val="000000"/>
                <w:sz w:val="16"/>
              </w:rPr>
              <w:t xml:space="preserve">Definitive </w:t>
            </w:r>
            <w:r>
              <w:rPr>
                <w:rFonts w:ascii="Arial" w:eastAsia="Arial" w:hAnsi="Arial"/>
                <w:color w:val="000000"/>
                <w:sz w:val="16"/>
              </w:rPr>
              <w:br/>
              <w:t>Healthcare</w:t>
            </w:r>
          </w:p>
        </w:tc>
      </w:tr>
      <w:tr w:rsidR="001F2353" w14:paraId="6C381F10" w14:textId="77777777">
        <w:trPr>
          <w:trHeight w:hRule="exact" w:val="533"/>
        </w:trPr>
        <w:tc>
          <w:tcPr>
            <w:tcW w:w="2078" w:type="dxa"/>
            <w:tcBorders>
              <w:top w:val="single" w:sz="5" w:space="0" w:color="000000"/>
              <w:left w:val="single" w:sz="5" w:space="0" w:color="000000"/>
              <w:bottom w:val="single" w:sz="5" w:space="0" w:color="000000"/>
              <w:right w:val="single" w:sz="5" w:space="0" w:color="000000"/>
            </w:tcBorders>
          </w:tcPr>
          <w:p w14:paraId="6C381F0A" w14:textId="77777777" w:rsidR="008C360C" w:rsidRDefault="002A0B22">
            <w:pPr>
              <w:spacing w:before="80" w:after="67" w:line="188" w:lineRule="exact"/>
              <w:ind w:left="108"/>
              <w:textAlignment w:val="baseline"/>
              <w:rPr>
                <w:rFonts w:ascii="Arial" w:eastAsia="Arial" w:hAnsi="Arial"/>
                <w:color w:val="000000"/>
                <w:sz w:val="16"/>
              </w:rPr>
            </w:pPr>
            <w:r>
              <w:rPr>
                <w:rFonts w:ascii="Arial" w:eastAsia="Arial" w:hAnsi="Arial"/>
                <w:color w:val="000000"/>
                <w:sz w:val="16"/>
              </w:rPr>
              <w:t>Profitability: Operating Margin (%)</w:t>
            </w:r>
          </w:p>
        </w:tc>
        <w:tc>
          <w:tcPr>
            <w:tcW w:w="783" w:type="dxa"/>
            <w:tcBorders>
              <w:top w:val="single" w:sz="5" w:space="0" w:color="000000"/>
              <w:left w:val="single" w:sz="5" w:space="0" w:color="000000"/>
              <w:bottom w:val="single" w:sz="5" w:space="0" w:color="000000"/>
              <w:right w:val="single" w:sz="5" w:space="0" w:color="000000"/>
            </w:tcBorders>
            <w:vAlign w:val="center"/>
          </w:tcPr>
          <w:p w14:paraId="6C381F0B" w14:textId="77777777" w:rsidR="008C360C" w:rsidRDefault="002A0B22">
            <w:pPr>
              <w:spacing w:before="178" w:after="163" w:line="182" w:lineRule="exact"/>
              <w:ind w:right="187"/>
              <w:jc w:val="right"/>
              <w:textAlignment w:val="baseline"/>
              <w:rPr>
                <w:rFonts w:ascii="Arial" w:eastAsia="Arial" w:hAnsi="Arial"/>
                <w:color w:val="000000"/>
                <w:sz w:val="16"/>
              </w:rPr>
            </w:pPr>
            <w:r>
              <w:rPr>
                <w:rFonts w:ascii="Arial" w:eastAsia="Arial" w:hAnsi="Arial"/>
                <w:color w:val="000000"/>
                <w:sz w:val="16"/>
              </w:rPr>
              <w:t>27.1%</w:t>
            </w:r>
          </w:p>
        </w:tc>
        <w:tc>
          <w:tcPr>
            <w:tcW w:w="782" w:type="dxa"/>
            <w:tcBorders>
              <w:top w:val="single" w:sz="5" w:space="0" w:color="000000"/>
              <w:left w:val="single" w:sz="5" w:space="0" w:color="000000"/>
              <w:bottom w:val="single" w:sz="5" w:space="0" w:color="000000"/>
              <w:right w:val="single" w:sz="5" w:space="0" w:color="000000"/>
            </w:tcBorders>
            <w:vAlign w:val="center"/>
          </w:tcPr>
          <w:p w14:paraId="6C381F0C" w14:textId="77777777" w:rsidR="008C360C" w:rsidRDefault="002A0B22">
            <w:pPr>
              <w:spacing w:before="178" w:after="163" w:line="182" w:lineRule="exact"/>
              <w:ind w:right="192"/>
              <w:jc w:val="right"/>
              <w:textAlignment w:val="baseline"/>
              <w:rPr>
                <w:rFonts w:ascii="Arial" w:eastAsia="Arial" w:hAnsi="Arial"/>
                <w:color w:val="000000"/>
                <w:sz w:val="16"/>
              </w:rPr>
            </w:pPr>
            <w:r>
              <w:rPr>
                <w:rFonts w:ascii="Arial" w:eastAsia="Arial" w:hAnsi="Arial"/>
                <w:color w:val="000000"/>
                <w:sz w:val="16"/>
              </w:rPr>
              <w:t>26.1%</w:t>
            </w:r>
          </w:p>
        </w:tc>
        <w:tc>
          <w:tcPr>
            <w:tcW w:w="1623" w:type="dxa"/>
            <w:tcBorders>
              <w:top w:val="single" w:sz="5" w:space="0" w:color="000000"/>
              <w:left w:val="single" w:sz="5" w:space="0" w:color="000000"/>
              <w:bottom w:val="single" w:sz="5" w:space="0" w:color="000000"/>
              <w:right w:val="single" w:sz="5" w:space="0" w:color="000000"/>
            </w:tcBorders>
            <w:vAlign w:val="center"/>
          </w:tcPr>
          <w:p w14:paraId="6C381F0D" w14:textId="77777777" w:rsidR="008C360C" w:rsidRDefault="002A0B22">
            <w:pPr>
              <w:spacing w:before="178" w:after="163" w:line="182" w:lineRule="exact"/>
              <w:jc w:val="center"/>
              <w:textAlignment w:val="baseline"/>
              <w:rPr>
                <w:rFonts w:ascii="Arial" w:eastAsia="Arial" w:hAnsi="Arial"/>
                <w:color w:val="000000"/>
                <w:sz w:val="16"/>
              </w:rPr>
            </w:pPr>
            <w:r>
              <w:rPr>
                <w:rFonts w:ascii="Arial" w:eastAsia="Arial" w:hAnsi="Arial"/>
                <w:color w:val="000000"/>
                <w:sz w:val="16"/>
              </w:rPr>
              <w:t>1.4%</w:t>
            </w:r>
          </w:p>
        </w:tc>
        <w:tc>
          <w:tcPr>
            <w:tcW w:w="1617" w:type="dxa"/>
            <w:tcBorders>
              <w:top w:val="single" w:sz="5" w:space="0" w:color="000000"/>
              <w:left w:val="single" w:sz="5" w:space="0" w:color="000000"/>
              <w:bottom w:val="single" w:sz="5" w:space="0" w:color="000000"/>
              <w:right w:val="single" w:sz="5" w:space="0" w:color="000000"/>
            </w:tcBorders>
            <w:vAlign w:val="center"/>
          </w:tcPr>
          <w:p w14:paraId="6C381F0E" w14:textId="77777777" w:rsidR="008C360C" w:rsidRDefault="002A0B22">
            <w:pPr>
              <w:spacing w:before="178" w:after="163" w:line="182" w:lineRule="exact"/>
              <w:jc w:val="center"/>
              <w:textAlignment w:val="baseline"/>
              <w:rPr>
                <w:rFonts w:ascii="Arial" w:eastAsia="Arial" w:hAnsi="Arial"/>
                <w:color w:val="000000"/>
                <w:sz w:val="16"/>
              </w:rPr>
            </w:pPr>
            <w:r>
              <w:rPr>
                <w:rFonts w:ascii="Arial" w:eastAsia="Arial" w:hAnsi="Arial"/>
                <w:color w:val="000000"/>
                <w:sz w:val="16"/>
              </w:rPr>
              <w:t>30.1%</w:t>
            </w:r>
          </w:p>
        </w:tc>
        <w:tc>
          <w:tcPr>
            <w:tcW w:w="1632" w:type="dxa"/>
            <w:tcBorders>
              <w:top w:val="single" w:sz="5" w:space="0" w:color="000000"/>
              <w:left w:val="single" w:sz="5" w:space="0" w:color="000000"/>
              <w:bottom w:val="single" w:sz="5" w:space="0" w:color="000000"/>
              <w:right w:val="single" w:sz="5" w:space="0" w:color="000000"/>
            </w:tcBorders>
            <w:vAlign w:val="center"/>
          </w:tcPr>
          <w:p w14:paraId="6C381F0F" w14:textId="77777777" w:rsidR="008C360C" w:rsidRDefault="002A0B22">
            <w:pPr>
              <w:spacing w:before="178" w:after="163" w:line="182" w:lineRule="exact"/>
              <w:jc w:val="center"/>
              <w:textAlignment w:val="baseline"/>
              <w:rPr>
                <w:rFonts w:ascii="Arial" w:eastAsia="Arial" w:hAnsi="Arial"/>
                <w:color w:val="000000"/>
                <w:sz w:val="16"/>
              </w:rPr>
            </w:pPr>
            <w:r>
              <w:rPr>
                <w:rFonts w:ascii="Arial" w:eastAsia="Arial" w:hAnsi="Arial"/>
                <w:color w:val="000000"/>
                <w:sz w:val="16"/>
              </w:rPr>
              <w:t>-10.7%</w:t>
            </w:r>
          </w:p>
        </w:tc>
      </w:tr>
      <w:tr w:rsidR="001F2353" w14:paraId="6C381F17" w14:textId="77777777">
        <w:trPr>
          <w:trHeight w:hRule="exact" w:val="533"/>
        </w:trPr>
        <w:tc>
          <w:tcPr>
            <w:tcW w:w="2078" w:type="dxa"/>
            <w:tcBorders>
              <w:top w:val="single" w:sz="5" w:space="0" w:color="000000"/>
              <w:left w:val="single" w:sz="5" w:space="0" w:color="000000"/>
              <w:bottom w:val="single" w:sz="5" w:space="0" w:color="000000"/>
              <w:right w:val="single" w:sz="5" w:space="0" w:color="000000"/>
            </w:tcBorders>
          </w:tcPr>
          <w:p w14:paraId="6C381F11" w14:textId="77777777" w:rsidR="008C360C" w:rsidRDefault="002A0B22">
            <w:pPr>
              <w:spacing w:before="85" w:after="72" w:line="183" w:lineRule="exact"/>
              <w:ind w:left="108"/>
              <w:textAlignment w:val="baseline"/>
              <w:rPr>
                <w:rFonts w:ascii="Arial" w:eastAsia="Arial" w:hAnsi="Arial"/>
                <w:color w:val="000000"/>
                <w:sz w:val="16"/>
              </w:rPr>
            </w:pPr>
            <w:r>
              <w:rPr>
                <w:rFonts w:ascii="Arial" w:eastAsia="Arial" w:hAnsi="Arial"/>
                <w:color w:val="000000"/>
                <w:sz w:val="16"/>
              </w:rPr>
              <w:t>Profitability: Operating Excess Margin (%)</w:t>
            </w:r>
          </w:p>
        </w:tc>
        <w:tc>
          <w:tcPr>
            <w:tcW w:w="783" w:type="dxa"/>
            <w:tcBorders>
              <w:top w:val="single" w:sz="5" w:space="0" w:color="000000"/>
              <w:left w:val="single" w:sz="5" w:space="0" w:color="000000"/>
              <w:bottom w:val="single" w:sz="5" w:space="0" w:color="000000"/>
              <w:right w:val="single" w:sz="5" w:space="0" w:color="000000"/>
            </w:tcBorders>
            <w:vAlign w:val="center"/>
          </w:tcPr>
          <w:p w14:paraId="6C381F12" w14:textId="77777777" w:rsidR="008C360C" w:rsidRDefault="002A0B22">
            <w:pPr>
              <w:spacing w:before="177" w:after="164" w:line="182" w:lineRule="exact"/>
              <w:ind w:right="187"/>
              <w:jc w:val="right"/>
              <w:textAlignment w:val="baseline"/>
              <w:rPr>
                <w:rFonts w:ascii="Arial" w:eastAsia="Arial" w:hAnsi="Arial"/>
                <w:color w:val="000000"/>
                <w:sz w:val="16"/>
              </w:rPr>
            </w:pPr>
            <w:r>
              <w:rPr>
                <w:rFonts w:ascii="Arial" w:eastAsia="Arial" w:hAnsi="Arial"/>
                <w:color w:val="000000"/>
                <w:sz w:val="16"/>
              </w:rPr>
              <w:t>5.0%</w:t>
            </w:r>
          </w:p>
        </w:tc>
        <w:tc>
          <w:tcPr>
            <w:tcW w:w="782" w:type="dxa"/>
            <w:tcBorders>
              <w:top w:val="single" w:sz="5" w:space="0" w:color="000000"/>
              <w:left w:val="single" w:sz="5" w:space="0" w:color="000000"/>
              <w:bottom w:val="single" w:sz="5" w:space="0" w:color="000000"/>
              <w:right w:val="single" w:sz="5" w:space="0" w:color="000000"/>
            </w:tcBorders>
            <w:vAlign w:val="center"/>
          </w:tcPr>
          <w:p w14:paraId="6C381F13" w14:textId="77777777" w:rsidR="008C360C" w:rsidRDefault="002A0B22">
            <w:pPr>
              <w:spacing w:before="177" w:after="164" w:line="182" w:lineRule="exact"/>
              <w:ind w:right="192"/>
              <w:jc w:val="right"/>
              <w:textAlignment w:val="baseline"/>
              <w:rPr>
                <w:rFonts w:ascii="Arial" w:eastAsia="Arial" w:hAnsi="Arial"/>
                <w:color w:val="000000"/>
                <w:sz w:val="16"/>
              </w:rPr>
            </w:pPr>
            <w:r>
              <w:rPr>
                <w:rFonts w:ascii="Arial" w:eastAsia="Arial" w:hAnsi="Arial"/>
                <w:color w:val="000000"/>
                <w:sz w:val="16"/>
              </w:rPr>
              <w:t>-1.3%</w:t>
            </w:r>
          </w:p>
        </w:tc>
        <w:tc>
          <w:tcPr>
            <w:tcW w:w="1623" w:type="dxa"/>
            <w:tcBorders>
              <w:top w:val="single" w:sz="5" w:space="0" w:color="000000"/>
              <w:left w:val="single" w:sz="5" w:space="0" w:color="000000"/>
              <w:bottom w:val="single" w:sz="5" w:space="0" w:color="000000"/>
              <w:right w:val="single" w:sz="5" w:space="0" w:color="000000"/>
            </w:tcBorders>
            <w:vAlign w:val="center"/>
          </w:tcPr>
          <w:p w14:paraId="6C381F14" w14:textId="77777777" w:rsidR="008C360C" w:rsidRDefault="002A0B22">
            <w:pPr>
              <w:spacing w:before="177" w:after="164" w:line="182" w:lineRule="exact"/>
              <w:jc w:val="center"/>
              <w:textAlignment w:val="baseline"/>
              <w:rPr>
                <w:rFonts w:ascii="Arial" w:eastAsia="Arial" w:hAnsi="Arial"/>
                <w:color w:val="000000"/>
                <w:sz w:val="16"/>
              </w:rPr>
            </w:pPr>
            <w:r>
              <w:rPr>
                <w:rFonts w:ascii="Arial" w:eastAsia="Arial" w:hAnsi="Arial"/>
                <w:color w:val="000000"/>
                <w:sz w:val="16"/>
              </w:rPr>
              <w:t>0.2%</w:t>
            </w:r>
          </w:p>
        </w:tc>
        <w:tc>
          <w:tcPr>
            <w:tcW w:w="1617" w:type="dxa"/>
            <w:tcBorders>
              <w:top w:val="single" w:sz="5" w:space="0" w:color="000000"/>
              <w:left w:val="single" w:sz="5" w:space="0" w:color="000000"/>
              <w:bottom w:val="single" w:sz="5" w:space="0" w:color="000000"/>
              <w:right w:val="single" w:sz="5" w:space="0" w:color="000000"/>
            </w:tcBorders>
            <w:vAlign w:val="center"/>
          </w:tcPr>
          <w:p w14:paraId="6C381F15" w14:textId="77777777" w:rsidR="008C360C" w:rsidRDefault="002A0B22">
            <w:pPr>
              <w:spacing w:before="177" w:after="164" w:line="182" w:lineRule="exact"/>
              <w:jc w:val="center"/>
              <w:textAlignment w:val="baseline"/>
              <w:rPr>
                <w:rFonts w:ascii="Arial" w:eastAsia="Arial" w:hAnsi="Arial"/>
                <w:color w:val="000000"/>
                <w:sz w:val="16"/>
              </w:rPr>
            </w:pPr>
            <w:r>
              <w:rPr>
                <w:rFonts w:ascii="Arial" w:eastAsia="Arial" w:hAnsi="Arial"/>
                <w:color w:val="000000"/>
                <w:sz w:val="16"/>
              </w:rPr>
              <w:t>NA</w:t>
            </w:r>
          </w:p>
        </w:tc>
        <w:tc>
          <w:tcPr>
            <w:tcW w:w="1632" w:type="dxa"/>
            <w:tcBorders>
              <w:top w:val="single" w:sz="5" w:space="0" w:color="000000"/>
              <w:left w:val="single" w:sz="5" w:space="0" w:color="000000"/>
              <w:bottom w:val="single" w:sz="5" w:space="0" w:color="000000"/>
              <w:right w:val="single" w:sz="5" w:space="0" w:color="000000"/>
            </w:tcBorders>
            <w:vAlign w:val="center"/>
          </w:tcPr>
          <w:p w14:paraId="6C381F16" w14:textId="77777777" w:rsidR="008C360C" w:rsidRDefault="002A0B22">
            <w:pPr>
              <w:spacing w:before="177" w:after="164" w:line="182" w:lineRule="exact"/>
              <w:jc w:val="center"/>
              <w:textAlignment w:val="baseline"/>
              <w:rPr>
                <w:rFonts w:ascii="Arial" w:eastAsia="Arial" w:hAnsi="Arial"/>
                <w:color w:val="000000"/>
                <w:sz w:val="16"/>
              </w:rPr>
            </w:pPr>
            <w:r>
              <w:rPr>
                <w:rFonts w:ascii="Arial" w:eastAsia="Arial" w:hAnsi="Arial"/>
                <w:color w:val="000000"/>
                <w:sz w:val="16"/>
              </w:rPr>
              <w:t>-3.7%</w:t>
            </w:r>
          </w:p>
        </w:tc>
      </w:tr>
      <w:tr w:rsidR="001F2353" w14:paraId="6C381F1E" w14:textId="77777777">
        <w:trPr>
          <w:trHeight w:hRule="exact" w:val="566"/>
        </w:trPr>
        <w:tc>
          <w:tcPr>
            <w:tcW w:w="2078" w:type="dxa"/>
            <w:tcBorders>
              <w:top w:val="single" w:sz="5" w:space="0" w:color="000000"/>
              <w:left w:val="single" w:sz="5" w:space="0" w:color="000000"/>
              <w:bottom w:val="single" w:sz="5" w:space="0" w:color="000000"/>
              <w:right w:val="single" w:sz="5" w:space="0" w:color="000000"/>
            </w:tcBorders>
          </w:tcPr>
          <w:p w14:paraId="6C381F18" w14:textId="77777777" w:rsidR="008C360C" w:rsidRDefault="002A0B22">
            <w:pPr>
              <w:spacing w:after="5" w:line="185" w:lineRule="exact"/>
              <w:ind w:left="108"/>
              <w:textAlignment w:val="baseline"/>
              <w:rPr>
                <w:rFonts w:ascii="Arial" w:eastAsia="Arial" w:hAnsi="Arial"/>
                <w:color w:val="000000"/>
                <w:sz w:val="16"/>
              </w:rPr>
            </w:pPr>
            <w:r>
              <w:rPr>
                <w:rFonts w:ascii="Arial" w:eastAsia="Arial" w:hAnsi="Arial"/>
                <w:color w:val="000000"/>
                <w:sz w:val="16"/>
              </w:rPr>
              <w:t xml:space="preserve">Liquidity: Days Available Cash and Investments on </w:t>
            </w:r>
            <w:proofErr w:type="gramStart"/>
            <w:r>
              <w:rPr>
                <w:rFonts w:ascii="Arial" w:eastAsia="Arial" w:hAnsi="Arial"/>
                <w:color w:val="000000"/>
                <w:sz w:val="16"/>
              </w:rPr>
              <w:t>Hand (#</w:t>
            </w:r>
            <w:proofErr w:type="gramEnd"/>
            <w:r>
              <w:rPr>
                <w:rFonts w:ascii="Arial" w:eastAsia="Arial" w:hAnsi="Arial"/>
                <w:color w:val="000000"/>
                <w:sz w:val="16"/>
              </w:rPr>
              <w:t>)</w:t>
            </w:r>
          </w:p>
        </w:tc>
        <w:tc>
          <w:tcPr>
            <w:tcW w:w="783" w:type="dxa"/>
            <w:tcBorders>
              <w:top w:val="single" w:sz="5" w:space="0" w:color="000000"/>
              <w:left w:val="single" w:sz="5" w:space="0" w:color="000000"/>
              <w:bottom w:val="single" w:sz="5" w:space="0" w:color="000000"/>
              <w:right w:val="single" w:sz="5" w:space="0" w:color="000000"/>
            </w:tcBorders>
            <w:vAlign w:val="center"/>
          </w:tcPr>
          <w:p w14:paraId="6C381F19" w14:textId="77777777" w:rsidR="008C360C" w:rsidRDefault="002A0B22">
            <w:pPr>
              <w:spacing w:before="196" w:after="188" w:line="182" w:lineRule="exact"/>
              <w:ind w:right="187"/>
              <w:jc w:val="right"/>
              <w:textAlignment w:val="baseline"/>
              <w:rPr>
                <w:rFonts w:ascii="Arial" w:eastAsia="Arial" w:hAnsi="Arial"/>
                <w:color w:val="000000"/>
                <w:sz w:val="16"/>
              </w:rPr>
            </w:pPr>
            <w:r>
              <w:rPr>
                <w:rFonts w:ascii="Arial" w:eastAsia="Arial" w:hAnsi="Arial"/>
                <w:color w:val="000000"/>
                <w:sz w:val="16"/>
              </w:rPr>
              <w:t>NA</w:t>
            </w:r>
          </w:p>
        </w:tc>
        <w:tc>
          <w:tcPr>
            <w:tcW w:w="782" w:type="dxa"/>
            <w:tcBorders>
              <w:top w:val="single" w:sz="5" w:space="0" w:color="000000"/>
              <w:left w:val="single" w:sz="5" w:space="0" w:color="000000"/>
              <w:bottom w:val="single" w:sz="5" w:space="0" w:color="000000"/>
              <w:right w:val="single" w:sz="5" w:space="0" w:color="000000"/>
            </w:tcBorders>
            <w:vAlign w:val="center"/>
          </w:tcPr>
          <w:p w14:paraId="6C381F1A" w14:textId="77777777" w:rsidR="008C360C" w:rsidRDefault="002A0B22">
            <w:pPr>
              <w:spacing w:before="196" w:after="188" w:line="182" w:lineRule="exact"/>
              <w:ind w:right="192"/>
              <w:jc w:val="right"/>
              <w:textAlignment w:val="baseline"/>
              <w:rPr>
                <w:rFonts w:ascii="Arial" w:eastAsia="Arial" w:hAnsi="Arial"/>
                <w:color w:val="000000"/>
                <w:sz w:val="16"/>
              </w:rPr>
            </w:pPr>
            <w:r>
              <w:rPr>
                <w:rFonts w:ascii="Arial" w:eastAsia="Arial" w:hAnsi="Arial"/>
                <w:color w:val="000000"/>
                <w:sz w:val="16"/>
              </w:rPr>
              <w:t>179</w:t>
            </w:r>
          </w:p>
        </w:tc>
        <w:tc>
          <w:tcPr>
            <w:tcW w:w="1623" w:type="dxa"/>
            <w:tcBorders>
              <w:top w:val="single" w:sz="5" w:space="0" w:color="000000"/>
              <w:left w:val="single" w:sz="5" w:space="0" w:color="000000"/>
              <w:bottom w:val="single" w:sz="5" w:space="0" w:color="000000"/>
              <w:right w:val="single" w:sz="5" w:space="0" w:color="000000"/>
            </w:tcBorders>
            <w:vAlign w:val="center"/>
          </w:tcPr>
          <w:p w14:paraId="6C381F1B" w14:textId="77777777" w:rsidR="008C360C" w:rsidRDefault="002A0B22">
            <w:pPr>
              <w:spacing w:before="196" w:after="188" w:line="182" w:lineRule="exact"/>
              <w:jc w:val="center"/>
              <w:textAlignment w:val="baseline"/>
              <w:rPr>
                <w:rFonts w:ascii="Arial" w:eastAsia="Arial" w:hAnsi="Arial"/>
                <w:color w:val="000000"/>
                <w:sz w:val="16"/>
              </w:rPr>
            </w:pPr>
            <w:r>
              <w:rPr>
                <w:rFonts w:ascii="Arial" w:eastAsia="Arial" w:hAnsi="Arial"/>
                <w:color w:val="000000"/>
                <w:sz w:val="16"/>
              </w:rPr>
              <w:t>32.2</w:t>
            </w:r>
          </w:p>
        </w:tc>
        <w:tc>
          <w:tcPr>
            <w:tcW w:w="1617" w:type="dxa"/>
            <w:tcBorders>
              <w:top w:val="single" w:sz="5" w:space="0" w:color="000000"/>
              <w:left w:val="single" w:sz="5" w:space="0" w:color="000000"/>
              <w:bottom w:val="single" w:sz="5" w:space="0" w:color="000000"/>
              <w:right w:val="single" w:sz="5" w:space="0" w:color="000000"/>
            </w:tcBorders>
            <w:vAlign w:val="center"/>
          </w:tcPr>
          <w:p w14:paraId="6C381F1C" w14:textId="77777777" w:rsidR="008C360C" w:rsidRDefault="002A0B22">
            <w:pPr>
              <w:spacing w:before="196" w:after="188" w:line="182" w:lineRule="exact"/>
              <w:jc w:val="center"/>
              <w:textAlignment w:val="baseline"/>
              <w:rPr>
                <w:rFonts w:ascii="Arial" w:eastAsia="Arial" w:hAnsi="Arial"/>
                <w:color w:val="000000"/>
                <w:sz w:val="16"/>
              </w:rPr>
            </w:pPr>
            <w:r>
              <w:rPr>
                <w:rFonts w:ascii="Arial" w:eastAsia="Arial" w:hAnsi="Arial"/>
                <w:color w:val="000000"/>
                <w:sz w:val="16"/>
              </w:rPr>
              <w:t>NA</w:t>
            </w:r>
          </w:p>
        </w:tc>
        <w:tc>
          <w:tcPr>
            <w:tcW w:w="1632" w:type="dxa"/>
            <w:tcBorders>
              <w:top w:val="single" w:sz="5" w:space="0" w:color="000000"/>
              <w:left w:val="single" w:sz="5" w:space="0" w:color="000000"/>
              <w:bottom w:val="single" w:sz="5" w:space="0" w:color="000000"/>
              <w:right w:val="single" w:sz="5" w:space="0" w:color="000000"/>
            </w:tcBorders>
            <w:vAlign w:val="center"/>
          </w:tcPr>
          <w:p w14:paraId="6C381F1D" w14:textId="77777777" w:rsidR="008C360C" w:rsidRDefault="002A0B22">
            <w:pPr>
              <w:spacing w:before="196" w:after="188" w:line="182" w:lineRule="exact"/>
              <w:jc w:val="center"/>
              <w:textAlignment w:val="baseline"/>
              <w:rPr>
                <w:rFonts w:ascii="Arial" w:eastAsia="Arial" w:hAnsi="Arial"/>
                <w:color w:val="000000"/>
                <w:sz w:val="16"/>
              </w:rPr>
            </w:pPr>
            <w:r>
              <w:rPr>
                <w:rFonts w:ascii="Arial" w:eastAsia="Arial" w:hAnsi="Arial"/>
                <w:color w:val="000000"/>
                <w:sz w:val="16"/>
              </w:rPr>
              <w:t>NA</w:t>
            </w:r>
          </w:p>
        </w:tc>
      </w:tr>
      <w:tr w:rsidR="001F2353" w14:paraId="6C381F25" w14:textId="77777777">
        <w:trPr>
          <w:trHeight w:hRule="exact" w:val="533"/>
        </w:trPr>
        <w:tc>
          <w:tcPr>
            <w:tcW w:w="2078" w:type="dxa"/>
            <w:tcBorders>
              <w:top w:val="single" w:sz="5" w:space="0" w:color="000000"/>
              <w:left w:val="single" w:sz="5" w:space="0" w:color="000000"/>
              <w:bottom w:val="single" w:sz="5" w:space="0" w:color="000000"/>
              <w:right w:val="single" w:sz="5" w:space="0" w:color="000000"/>
            </w:tcBorders>
          </w:tcPr>
          <w:p w14:paraId="6C381F1F" w14:textId="77777777" w:rsidR="008C360C" w:rsidRDefault="002A0B22">
            <w:pPr>
              <w:spacing w:before="80" w:after="76" w:line="188" w:lineRule="exact"/>
              <w:ind w:left="108" w:right="468"/>
              <w:textAlignment w:val="baseline"/>
              <w:rPr>
                <w:rFonts w:ascii="Arial" w:eastAsia="Arial" w:hAnsi="Arial"/>
                <w:color w:val="000000"/>
                <w:sz w:val="16"/>
              </w:rPr>
            </w:pPr>
            <w:r>
              <w:rPr>
                <w:rFonts w:ascii="Arial" w:eastAsia="Arial" w:hAnsi="Arial"/>
                <w:color w:val="000000"/>
                <w:sz w:val="16"/>
              </w:rPr>
              <w:t>Liquidity: Operating Cash Flow (%)</w:t>
            </w:r>
          </w:p>
        </w:tc>
        <w:tc>
          <w:tcPr>
            <w:tcW w:w="783" w:type="dxa"/>
            <w:tcBorders>
              <w:top w:val="single" w:sz="5" w:space="0" w:color="000000"/>
              <w:left w:val="single" w:sz="5" w:space="0" w:color="000000"/>
              <w:bottom w:val="single" w:sz="5" w:space="0" w:color="000000"/>
              <w:right w:val="single" w:sz="5" w:space="0" w:color="000000"/>
            </w:tcBorders>
            <w:vAlign w:val="center"/>
          </w:tcPr>
          <w:p w14:paraId="6C381F20" w14:textId="77777777" w:rsidR="008C360C" w:rsidRDefault="002A0B22">
            <w:pPr>
              <w:spacing w:before="182" w:after="168" w:line="182" w:lineRule="exact"/>
              <w:ind w:right="187"/>
              <w:jc w:val="right"/>
              <w:textAlignment w:val="baseline"/>
              <w:rPr>
                <w:rFonts w:ascii="Arial" w:eastAsia="Arial" w:hAnsi="Arial"/>
                <w:color w:val="000000"/>
                <w:sz w:val="16"/>
              </w:rPr>
            </w:pPr>
            <w:r>
              <w:rPr>
                <w:rFonts w:ascii="Arial" w:eastAsia="Arial" w:hAnsi="Arial"/>
                <w:color w:val="000000"/>
                <w:sz w:val="16"/>
              </w:rPr>
              <w:t>NA</w:t>
            </w:r>
          </w:p>
        </w:tc>
        <w:tc>
          <w:tcPr>
            <w:tcW w:w="782" w:type="dxa"/>
            <w:tcBorders>
              <w:top w:val="single" w:sz="5" w:space="0" w:color="000000"/>
              <w:left w:val="single" w:sz="5" w:space="0" w:color="000000"/>
              <w:bottom w:val="single" w:sz="5" w:space="0" w:color="000000"/>
              <w:right w:val="single" w:sz="5" w:space="0" w:color="000000"/>
            </w:tcBorders>
            <w:vAlign w:val="center"/>
          </w:tcPr>
          <w:p w14:paraId="6C381F21" w14:textId="77777777" w:rsidR="008C360C" w:rsidRDefault="002A0B22">
            <w:pPr>
              <w:spacing w:before="182" w:after="168" w:line="182" w:lineRule="exact"/>
              <w:ind w:right="192"/>
              <w:jc w:val="right"/>
              <w:textAlignment w:val="baseline"/>
              <w:rPr>
                <w:rFonts w:ascii="Arial" w:eastAsia="Arial" w:hAnsi="Arial"/>
                <w:color w:val="000000"/>
                <w:sz w:val="16"/>
              </w:rPr>
            </w:pPr>
            <w:r>
              <w:rPr>
                <w:rFonts w:ascii="Arial" w:eastAsia="Arial" w:hAnsi="Arial"/>
                <w:color w:val="000000"/>
                <w:sz w:val="16"/>
              </w:rPr>
              <w:t>23.9%</w:t>
            </w:r>
          </w:p>
        </w:tc>
        <w:tc>
          <w:tcPr>
            <w:tcW w:w="1623" w:type="dxa"/>
            <w:tcBorders>
              <w:top w:val="single" w:sz="5" w:space="0" w:color="000000"/>
              <w:left w:val="single" w:sz="5" w:space="0" w:color="000000"/>
              <w:bottom w:val="single" w:sz="5" w:space="0" w:color="000000"/>
              <w:right w:val="single" w:sz="5" w:space="0" w:color="000000"/>
            </w:tcBorders>
            <w:vAlign w:val="center"/>
          </w:tcPr>
          <w:p w14:paraId="6C381F22" w14:textId="77777777" w:rsidR="008C360C" w:rsidRDefault="002A0B22">
            <w:pPr>
              <w:spacing w:before="182" w:after="168" w:line="182" w:lineRule="exact"/>
              <w:jc w:val="center"/>
              <w:textAlignment w:val="baseline"/>
              <w:rPr>
                <w:rFonts w:ascii="Arial" w:eastAsia="Arial" w:hAnsi="Arial"/>
                <w:color w:val="000000"/>
                <w:sz w:val="16"/>
              </w:rPr>
            </w:pPr>
            <w:r>
              <w:rPr>
                <w:rFonts w:ascii="Arial" w:eastAsia="Arial" w:hAnsi="Arial"/>
                <w:color w:val="000000"/>
                <w:sz w:val="16"/>
              </w:rPr>
              <w:t>3.2%</w:t>
            </w:r>
          </w:p>
        </w:tc>
        <w:tc>
          <w:tcPr>
            <w:tcW w:w="1617" w:type="dxa"/>
            <w:tcBorders>
              <w:top w:val="single" w:sz="5" w:space="0" w:color="000000"/>
              <w:left w:val="single" w:sz="5" w:space="0" w:color="000000"/>
              <w:bottom w:val="single" w:sz="5" w:space="0" w:color="000000"/>
              <w:right w:val="single" w:sz="5" w:space="0" w:color="000000"/>
            </w:tcBorders>
            <w:vAlign w:val="center"/>
          </w:tcPr>
          <w:p w14:paraId="6C381F23" w14:textId="77777777" w:rsidR="008C360C" w:rsidRDefault="002A0B22">
            <w:pPr>
              <w:spacing w:before="182" w:after="168" w:line="182" w:lineRule="exact"/>
              <w:jc w:val="center"/>
              <w:textAlignment w:val="baseline"/>
              <w:rPr>
                <w:rFonts w:ascii="Arial" w:eastAsia="Arial" w:hAnsi="Arial"/>
                <w:color w:val="000000"/>
                <w:sz w:val="16"/>
              </w:rPr>
            </w:pPr>
            <w:r>
              <w:rPr>
                <w:rFonts w:ascii="Arial" w:eastAsia="Arial" w:hAnsi="Arial"/>
                <w:color w:val="000000"/>
                <w:sz w:val="16"/>
              </w:rPr>
              <w:t>49.6%</w:t>
            </w:r>
          </w:p>
        </w:tc>
        <w:tc>
          <w:tcPr>
            <w:tcW w:w="1632" w:type="dxa"/>
            <w:tcBorders>
              <w:top w:val="single" w:sz="5" w:space="0" w:color="000000"/>
              <w:left w:val="single" w:sz="5" w:space="0" w:color="000000"/>
              <w:bottom w:val="single" w:sz="5" w:space="0" w:color="000000"/>
              <w:right w:val="single" w:sz="5" w:space="0" w:color="000000"/>
            </w:tcBorders>
            <w:vAlign w:val="center"/>
          </w:tcPr>
          <w:p w14:paraId="6C381F24" w14:textId="77777777" w:rsidR="008C360C" w:rsidRDefault="002A0B22">
            <w:pPr>
              <w:spacing w:before="182" w:after="168" w:line="182" w:lineRule="exact"/>
              <w:jc w:val="center"/>
              <w:textAlignment w:val="baseline"/>
              <w:rPr>
                <w:rFonts w:ascii="Arial" w:eastAsia="Arial" w:hAnsi="Arial"/>
                <w:color w:val="000000"/>
                <w:sz w:val="16"/>
              </w:rPr>
            </w:pPr>
            <w:r>
              <w:rPr>
                <w:rFonts w:ascii="Arial" w:eastAsia="Arial" w:hAnsi="Arial"/>
                <w:color w:val="000000"/>
                <w:sz w:val="16"/>
              </w:rPr>
              <w:t>NA</w:t>
            </w:r>
          </w:p>
        </w:tc>
      </w:tr>
      <w:tr w:rsidR="001F2353" w14:paraId="6C381F2C" w14:textId="77777777">
        <w:trPr>
          <w:trHeight w:hRule="exact" w:val="533"/>
        </w:trPr>
        <w:tc>
          <w:tcPr>
            <w:tcW w:w="2078" w:type="dxa"/>
            <w:tcBorders>
              <w:top w:val="single" w:sz="5" w:space="0" w:color="000000"/>
              <w:left w:val="single" w:sz="5" w:space="0" w:color="000000"/>
              <w:bottom w:val="single" w:sz="5" w:space="0" w:color="000000"/>
              <w:right w:val="single" w:sz="5" w:space="0" w:color="000000"/>
            </w:tcBorders>
          </w:tcPr>
          <w:p w14:paraId="6C381F26" w14:textId="77777777" w:rsidR="008C360C" w:rsidRDefault="002A0B22">
            <w:pPr>
              <w:spacing w:before="81" w:after="77" w:line="187" w:lineRule="exact"/>
              <w:ind w:left="108" w:right="216"/>
              <w:textAlignment w:val="baseline"/>
              <w:rPr>
                <w:rFonts w:ascii="Arial" w:eastAsia="Arial" w:hAnsi="Arial"/>
                <w:color w:val="000000"/>
                <w:sz w:val="16"/>
              </w:rPr>
            </w:pPr>
            <w:r>
              <w:rPr>
                <w:rFonts w:ascii="Arial" w:eastAsia="Arial" w:hAnsi="Arial"/>
                <w:color w:val="000000"/>
                <w:sz w:val="16"/>
              </w:rPr>
              <w:t>Solvency: Current Ratio (x)</w:t>
            </w:r>
          </w:p>
        </w:tc>
        <w:tc>
          <w:tcPr>
            <w:tcW w:w="783" w:type="dxa"/>
            <w:tcBorders>
              <w:top w:val="single" w:sz="5" w:space="0" w:color="000000"/>
              <w:left w:val="single" w:sz="5" w:space="0" w:color="000000"/>
              <w:bottom w:val="single" w:sz="5" w:space="0" w:color="000000"/>
              <w:right w:val="single" w:sz="5" w:space="0" w:color="000000"/>
            </w:tcBorders>
            <w:vAlign w:val="center"/>
          </w:tcPr>
          <w:p w14:paraId="6C381F27" w14:textId="77777777" w:rsidR="008C360C" w:rsidRDefault="002A0B22">
            <w:pPr>
              <w:spacing w:before="177" w:after="173" w:line="182" w:lineRule="exact"/>
              <w:ind w:right="187"/>
              <w:jc w:val="right"/>
              <w:textAlignment w:val="baseline"/>
              <w:rPr>
                <w:rFonts w:ascii="Arial" w:eastAsia="Arial" w:hAnsi="Arial"/>
                <w:color w:val="000000"/>
                <w:sz w:val="16"/>
              </w:rPr>
            </w:pPr>
            <w:r>
              <w:rPr>
                <w:rFonts w:ascii="Arial" w:eastAsia="Arial" w:hAnsi="Arial"/>
                <w:color w:val="000000"/>
                <w:sz w:val="16"/>
              </w:rPr>
              <w:t>1.05x</w:t>
            </w:r>
          </w:p>
        </w:tc>
        <w:tc>
          <w:tcPr>
            <w:tcW w:w="782" w:type="dxa"/>
            <w:tcBorders>
              <w:top w:val="single" w:sz="5" w:space="0" w:color="000000"/>
              <w:left w:val="single" w:sz="5" w:space="0" w:color="000000"/>
              <w:bottom w:val="single" w:sz="5" w:space="0" w:color="000000"/>
              <w:right w:val="single" w:sz="5" w:space="0" w:color="000000"/>
            </w:tcBorders>
            <w:vAlign w:val="center"/>
          </w:tcPr>
          <w:p w14:paraId="6C381F28" w14:textId="77777777" w:rsidR="008C360C" w:rsidRDefault="002A0B22">
            <w:pPr>
              <w:spacing w:before="177" w:after="173" w:line="182" w:lineRule="exact"/>
              <w:ind w:right="192"/>
              <w:jc w:val="right"/>
              <w:textAlignment w:val="baseline"/>
              <w:rPr>
                <w:rFonts w:ascii="Arial" w:eastAsia="Arial" w:hAnsi="Arial"/>
                <w:color w:val="000000"/>
                <w:sz w:val="16"/>
              </w:rPr>
            </w:pPr>
            <w:r>
              <w:rPr>
                <w:rFonts w:ascii="Arial" w:eastAsia="Arial" w:hAnsi="Arial"/>
                <w:color w:val="000000"/>
                <w:sz w:val="16"/>
              </w:rPr>
              <w:t>2.33x</w:t>
            </w:r>
          </w:p>
        </w:tc>
        <w:tc>
          <w:tcPr>
            <w:tcW w:w="1623" w:type="dxa"/>
            <w:tcBorders>
              <w:top w:val="single" w:sz="5" w:space="0" w:color="000000"/>
              <w:left w:val="single" w:sz="5" w:space="0" w:color="000000"/>
              <w:bottom w:val="single" w:sz="5" w:space="0" w:color="000000"/>
              <w:right w:val="single" w:sz="5" w:space="0" w:color="000000"/>
            </w:tcBorders>
            <w:vAlign w:val="center"/>
          </w:tcPr>
          <w:p w14:paraId="6C381F29" w14:textId="77777777" w:rsidR="008C360C" w:rsidRDefault="002A0B22">
            <w:pPr>
              <w:spacing w:before="177" w:after="173" w:line="182" w:lineRule="exact"/>
              <w:jc w:val="center"/>
              <w:textAlignment w:val="baseline"/>
              <w:rPr>
                <w:rFonts w:ascii="Arial" w:eastAsia="Arial" w:hAnsi="Arial"/>
                <w:color w:val="000000"/>
                <w:sz w:val="16"/>
              </w:rPr>
            </w:pPr>
            <w:r>
              <w:rPr>
                <w:rFonts w:ascii="Arial" w:eastAsia="Arial" w:hAnsi="Arial"/>
                <w:color w:val="000000"/>
                <w:sz w:val="16"/>
              </w:rPr>
              <w:t>2.1x</w:t>
            </w:r>
          </w:p>
        </w:tc>
        <w:tc>
          <w:tcPr>
            <w:tcW w:w="1617" w:type="dxa"/>
            <w:tcBorders>
              <w:top w:val="single" w:sz="5" w:space="0" w:color="000000"/>
              <w:left w:val="single" w:sz="5" w:space="0" w:color="000000"/>
              <w:bottom w:val="single" w:sz="5" w:space="0" w:color="000000"/>
              <w:right w:val="single" w:sz="5" w:space="0" w:color="000000"/>
            </w:tcBorders>
            <w:vAlign w:val="center"/>
          </w:tcPr>
          <w:p w14:paraId="6C381F2A" w14:textId="77777777" w:rsidR="008C360C" w:rsidRDefault="002A0B22">
            <w:pPr>
              <w:spacing w:before="177" w:after="173" w:line="182" w:lineRule="exact"/>
              <w:jc w:val="center"/>
              <w:textAlignment w:val="baseline"/>
              <w:rPr>
                <w:rFonts w:ascii="Arial" w:eastAsia="Arial" w:hAnsi="Arial"/>
                <w:color w:val="000000"/>
                <w:sz w:val="16"/>
              </w:rPr>
            </w:pPr>
            <w:r>
              <w:rPr>
                <w:rFonts w:ascii="Arial" w:eastAsia="Arial" w:hAnsi="Arial"/>
                <w:color w:val="000000"/>
                <w:sz w:val="16"/>
              </w:rPr>
              <w:t>1.30x</w:t>
            </w:r>
          </w:p>
        </w:tc>
        <w:tc>
          <w:tcPr>
            <w:tcW w:w="1632" w:type="dxa"/>
            <w:tcBorders>
              <w:top w:val="single" w:sz="5" w:space="0" w:color="000000"/>
              <w:left w:val="single" w:sz="5" w:space="0" w:color="000000"/>
              <w:bottom w:val="single" w:sz="5" w:space="0" w:color="000000"/>
              <w:right w:val="single" w:sz="5" w:space="0" w:color="000000"/>
            </w:tcBorders>
            <w:vAlign w:val="center"/>
          </w:tcPr>
          <w:p w14:paraId="6C381F2B" w14:textId="77777777" w:rsidR="008C360C" w:rsidRDefault="002A0B22">
            <w:pPr>
              <w:spacing w:before="177" w:after="173" w:line="182" w:lineRule="exact"/>
              <w:jc w:val="center"/>
              <w:textAlignment w:val="baseline"/>
              <w:rPr>
                <w:rFonts w:ascii="Arial" w:eastAsia="Arial" w:hAnsi="Arial"/>
                <w:color w:val="000000"/>
                <w:sz w:val="16"/>
              </w:rPr>
            </w:pPr>
            <w:r>
              <w:rPr>
                <w:rFonts w:ascii="Arial" w:eastAsia="Arial" w:hAnsi="Arial"/>
                <w:color w:val="000000"/>
                <w:sz w:val="16"/>
              </w:rPr>
              <w:t>NA</w:t>
            </w:r>
          </w:p>
        </w:tc>
      </w:tr>
      <w:tr w:rsidR="001F2353" w14:paraId="6C381F33" w14:textId="77777777">
        <w:trPr>
          <w:trHeight w:hRule="exact" w:val="542"/>
        </w:trPr>
        <w:tc>
          <w:tcPr>
            <w:tcW w:w="2078" w:type="dxa"/>
            <w:tcBorders>
              <w:top w:val="single" w:sz="5" w:space="0" w:color="000000"/>
              <w:left w:val="single" w:sz="5" w:space="0" w:color="000000"/>
              <w:bottom w:val="single" w:sz="5" w:space="0" w:color="000000"/>
              <w:right w:val="single" w:sz="5" w:space="0" w:color="000000"/>
            </w:tcBorders>
          </w:tcPr>
          <w:p w14:paraId="6C381F2D" w14:textId="77777777" w:rsidR="008C360C" w:rsidRDefault="002A0B22">
            <w:pPr>
              <w:spacing w:before="81" w:after="77" w:line="187" w:lineRule="exact"/>
              <w:ind w:left="108" w:right="288"/>
              <w:textAlignment w:val="baseline"/>
              <w:rPr>
                <w:rFonts w:ascii="Arial" w:eastAsia="Arial" w:hAnsi="Arial"/>
                <w:color w:val="000000"/>
                <w:spacing w:val="-3"/>
                <w:sz w:val="16"/>
              </w:rPr>
            </w:pPr>
            <w:r>
              <w:rPr>
                <w:rFonts w:ascii="Arial" w:eastAsia="Arial" w:hAnsi="Arial"/>
                <w:color w:val="000000"/>
                <w:spacing w:val="-3"/>
                <w:sz w:val="16"/>
              </w:rPr>
              <w:t>Solvency: Unrestricted Net Assets ($ in million)</w:t>
            </w:r>
          </w:p>
        </w:tc>
        <w:tc>
          <w:tcPr>
            <w:tcW w:w="783" w:type="dxa"/>
            <w:tcBorders>
              <w:top w:val="single" w:sz="5" w:space="0" w:color="000000"/>
              <w:left w:val="single" w:sz="5" w:space="0" w:color="000000"/>
              <w:bottom w:val="single" w:sz="5" w:space="0" w:color="000000"/>
              <w:right w:val="single" w:sz="5" w:space="0" w:color="000000"/>
            </w:tcBorders>
            <w:vAlign w:val="center"/>
          </w:tcPr>
          <w:p w14:paraId="6C381F2E" w14:textId="77777777" w:rsidR="008C360C" w:rsidRDefault="002A0B22">
            <w:pPr>
              <w:spacing w:before="182" w:after="168" w:line="182" w:lineRule="exact"/>
              <w:ind w:right="187"/>
              <w:jc w:val="right"/>
              <w:textAlignment w:val="baseline"/>
              <w:rPr>
                <w:rFonts w:ascii="Arial" w:eastAsia="Arial" w:hAnsi="Arial"/>
                <w:color w:val="000000"/>
                <w:sz w:val="16"/>
              </w:rPr>
            </w:pPr>
            <w:r>
              <w:rPr>
                <w:rFonts w:ascii="Arial" w:eastAsia="Arial" w:hAnsi="Arial"/>
                <w:color w:val="000000"/>
                <w:sz w:val="16"/>
              </w:rPr>
              <w:t>$49.9</w:t>
            </w:r>
          </w:p>
        </w:tc>
        <w:tc>
          <w:tcPr>
            <w:tcW w:w="782" w:type="dxa"/>
            <w:tcBorders>
              <w:top w:val="single" w:sz="5" w:space="0" w:color="000000"/>
              <w:left w:val="single" w:sz="5" w:space="0" w:color="000000"/>
              <w:bottom w:val="single" w:sz="5" w:space="0" w:color="000000"/>
              <w:right w:val="single" w:sz="5" w:space="0" w:color="000000"/>
            </w:tcBorders>
            <w:vAlign w:val="center"/>
          </w:tcPr>
          <w:p w14:paraId="6C381F2F" w14:textId="77777777" w:rsidR="008C360C" w:rsidRDefault="002A0B22">
            <w:pPr>
              <w:spacing w:before="182" w:after="168" w:line="182" w:lineRule="exact"/>
              <w:ind w:right="192"/>
              <w:jc w:val="right"/>
              <w:textAlignment w:val="baseline"/>
              <w:rPr>
                <w:rFonts w:ascii="Arial" w:eastAsia="Arial" w:hAnsi="Arial"/>
                <w:color w:val="000000"/>
                <w:sz w:val="16"/>
              </w:rPr>
            </w:pPr>
            <w:r>
              <w:rPr>
                <w:rFonts w:ascii="Arial" w:eastAsia="Arial" w:hAnsi="Arial"/>
                <w:color w:val="000000"/>
                <w:sz w:val="16"/>
              </w:rPr>
              <w:t>$49.3</w:t>
            </w:r>
          </w:p>
        </w:tc>
        <w:tc>
          <w:tcPr>
            <w:tcW w:w="1623" w:type="dxa"/>
            <w:tcBorders>
              <w:top w:val="single" w:sz="5" w:space="0" w:color="000000"/>
              <w:left w:val="single" w:sz="5" w:space="0" w:color="000000"/>
              <w:bottom w:val="single" w:sz="5" w:space="0" w:color="000000"/>
              <w:right w:val="single" w:sz="5" w:space="0" w:color="000000"/>
            </w:tcBorders>
            <w:vAlign w:val="center"/>
          </w:tcPr>
          <w:p w14:paraId="6C381F30" w14:textId="77777777" w:rsidR="008C360C" w:rsidRDefault="002A0B22">
            <w:pPr>
              <w:spacing w:before="182" w:after="168" w:line="182" w:lineRule="exact"/>
              <w:jc w:val="center"/>
              <w:textAlignment w:val="baseline"/>
              <w:rPr>
                <w:rFonts w:ascii="Arial" w:eastAsia="Arial" w:hAnsi="Arial"/>
                <w:color w:val="000000"/>
                <w:sz w:val="16"/>
              </w:rPr>
            </w:pPr>
            <w:r>
              <w:rPr>
                <w:rFonts w:ascii="Arial" w:eastAsia="Arial" w:hAnsi="Arial"/>
                <w:color w:val="000000"/>
                <w:sz w:val="16"/>
              </w:rPr>
              <w:t>NA</w:t>
            </w:r>
          </w:p>
        </w:tc>
        <w:tc>
          <w:tcPr>
            <w:tcW w:w="1617" w:type="dxa"/>
            <w:tcBorders>
              <w:top w:val="single" w:sz="5" w:space="0" w:color="000000"/>
              <w:left w:val="single" w:sz="5" w:space="0" w:color="000000"/>
              <w:bottom w:val="single" w:sz="5" w:space="0" w:color="000000"/>
              <w:right w:val="single" w:sz="5" w:space="0" w:color="000000"/>
            </w:tcBorders>
            <w:vAlign w:val="center"/>
          </w:tcPr>
          <w:p w14:paraId="6C381F31" w14:textId="77777777" w:rsidR="008C360C" w:rsidRDefault="002A0B22">
            <w:pPr>
              <w:spacing w:before="182" w:after="168" w:line="182" w:lineRule="exact"/>
              <w:jc w:val="center"/>
              <w:textAlignment w:val="baseline"/>
              <w:rPr>
                <w:rFonts w:ascii="Arial" w:eastAsia="Arial" w:hAnsi="Arial"/>
                <w:color w:val="000000"/>
                <w:sz w:val="16"/>
              </w:rPr>
            </w:pPr>
            <w:r>
              <w:rPr>
                <w:rFonts w:ascii="Arial" w:eastAsia="Arial" w:hAnsi="Arial"/>
                <w:color w:val="000000"/>
                <w:sz w:val="16"/>
              </w:rPr>
              <w:t>NA</w:t>
            </w:r>
          </w:p>
        </w:tc>
        <w:tc>
          <w:tcPr>
            <w:tcW w:w="1632" w:type="dxa"/>
            <w:tcBorders>
              <w:top w:val="single" w:sz="5" w:space="0" w:color="000000"/>
              <w:left w:val="single" w:sz="5" w:space="0" w:color="000000"/>
              <w:bottom w:val="single" w:sz="5" w:space="0" w:color="000000"/>
              <w:right w:val="single" w:sz="5" w:space="0" w:color="000000"/>
            </w:tcBorders>
            <w:vAlign w:val="center"/>
          </w:tcPr>
          <w:p w14:paraId="6C381F32" w14:textId="77777777" w:rsidR="008C360C" w:rsidRDefault="002A0B22">
            <w:pPr>
              <w:spacing w:before="182" w:after="168" w:line="182" w:lineRule="exact"/>
              <w:jc w:val="center"/>
              <w:textAlignment w:val="baseline"/>
              <w:rPr>
                <w:rFonts w:ascii="Arial" w:eastAsia="Arial" w:hAnsi="Arial"/>
                <w:color w:val="000000"/>
                <w:sz w:val="16"/>
              </w:rPr>
            </w:pPr>
            <w:r>
              <w:rPr>
                <w:rFonts w:ascii="Arial" w:eastAsia="Arial" w:hAnsi="Arial"/>
                <w:color w:val="000000"/>
                <w:sz w:val="16"/>
              </w:rPr>
              <w:t>NA</w:t>
            </w:r>
          </w:p>
        </w:tc>
      </w:tr>
    </w:tbl>
    <w:p w14:paraId="6C381F34" w14:textId="77777777" w:rsidR="008C360C" w:rsidRDefault="008C360C">
      <w:pPr>
        <w:spacing w:after="296" w:line="20" w:lineRule="exact"/>
      </w:pPr>
    </w:p>
    <w:p w14:paraId="6C381F35" w14:textId="77777777" w:rsidR="008C360C" w:rsidRDefault="002A0B22">
      <w:pPr>
        <w:spacing w:before="6" w:line="163" w:lineRule="exact"/>
        <w:ind w:left="144"/>
        <w:textAlignment w:val="baseline"/>
        <w:rPr>
          <w:rFonts w:ascii="Tahoma" w:eastAsia="Tahoma" w:hAnsi="Tahoma"/>
          <w:color w:val="000000"/>
          <w:spacing w:val="-2"/>
          <w:sz w:val="14"/>
          <w:u w:val="single"/>
        </w:rPr>
      </w:pPr>
      <w:r>
        <w:rPr>
          <w:rFonts w:ascii="Tahoma" w:eastAsia="Tahoma" w:hAnsi="Tahoma"/>
          <w:color w:val="000000"/>
          <w:spacing w:val="-2"/>
          <w:sz w:val="14"/>
          <w:u w:val="single"/>
        </w:rPr>
        <w:t xml:space="preserve">Footnotes: </w:t>
      </w:r>
      <w:r>
        <w:rPr>
          <w:rFonts w:ascii="Tahoma" w:eastAsia="Tahoma" w:hAnsi="Tahoma"/>
          <w:color w:val="000000"/>
          <w:spacing w:val="-2"/>
          <w:sz w:val="14"/>
        </w:rPr>
        <w:t xml:space="preserve"> </w:t>
      </w:r>
    </w:p>
    <w:p w14:paraId="6C381F36" w14:textId="2A08FC77" w:rsidR="008C360C" w:rsidRPr="00D11901" w:rsidRDefault="002A0B22" w:rsidP="00D11901">
      <w:pPr>
        <w:pStyle w:val="ListParagraph"/>
        <w:numPr>
          <w:ilvl w:val="0"/>
          <w:numId w:val="2"/>
        </w:numPr>
        <w:tabs>
          <w:tab w:val="left" w:pos="1008"/>
        </w:tabs>
        <w:spacing w:line="163" w:lineRule="exact"/>
        <w:ind w:right="504"/>
        <w:textAlignment w:val="baseline"/>
        <w:rPr>
          <w:rFonts w:ascii="Tahoma" w:eastAsia="Tahoma" w:hAnsi="Tahoma"/>
          <w:color w:val="000000"/>
          <w:sz w:val="14"/>
        </w:rPr>
      </w:pPr>
      <w:r w:rsidRPr="00D11901">
        <w:rPr>
          <w:rFonts w:ascii="Tahoma" w:eastAsia="Tahoma" w:hAnsi="Tahoma"/>
          <w:color w:val="000000"/>
          <w:sz w:val="14"/>
        </w:rPr>
        <w:t>Industry data metrics based on each data source's respective definitions and may differ from the ratio definitions listed below. Further, we note industry metrics only include hospitals and do not reflect health systems, including physician organizations.</w:t>
      </w:r>
    </w:p>
    <w:p w14:paraId="6C381F37" w14:textId="03431CBF" w:rsidR="008C360C" w:rsidRPr="00D11901" w:rsidRDefault="002A0B22" w:rsidP="00D11901">
      <w:pPr>
        <w:pStyle w:val="ListParagraph"/>
        <w:numPr>
          <w:ilvl w:val="0"/>
          <w:numId w:val="2"/>
        </w:numPr>
        <w:tabs>
          <w:tab w:val="left" w:pos="1008"/>
        </w:tabs>
        <w:spacing w:line="159" w:lineRule="exact"/>
        <w:textAlignment w:val="baseline"/>
        <w:rPr>
          <w:rFonts w:ascii="Tahoma" w:eastAsia="Tahoma" w:hAnsi="Tahoma"/>
          <w:color w:val="000000"/>
          <w:sz w:val="14"/>
        </w:rPr>
      </w:pPr>
      <w:r w:rsidRPr="00D11901">
        <w:rPr>
          <w:rFonts w:ascii="Tahoma" w:eastAsia="Tahoma" w:hAnsi="Tahoma"/>
          <w:color w:val="000000"/>
          <w:sz w:val="14"/>
        </w:rPr>
        <w:t xml:space="preserve">Net income margin from Integra and Definitive Healthcare data </w:t>
      </w:r>
      <w:proofErr w:type="gramStart"/>
      <w:r w:rsidRPr="00D11901">
        <w:rPr>
          <w:rFonts w:ascii="Tahoma" w:eastAsia="Tahoma" w:hAnsi="Tahoma"/>
          <w:color w:val="000000"/>
          <w:sz w:val="14"/>
        </w:rPr>
        <w:t>treated</w:t>
      </w:r>
      <w:proofErr w:type="gramEnd"/>
      <w:r w:rsidRPr="00D11901">
        <w:rPr>
          <w:rFonts w:ascii="Tahoma" w:eastAsia="Tahoma" w:hAnsi="Tahoma"/>
          <w:color w:val="000000"/>
          <w:sz w:val="14"/>
        </w:rPr>
        <w:t xml:space="preserve"> as an equivalent to excess margin.</w:t>
      </w:r>
    </w:p>
    <w:p w14:paraId="6C381F38" w14:textId="514F955B" w:rsidR="008C360C" w:rsidRPr="00D11901" w:rsidRDefault="002A0B22" w:rsidP="00D11901">
      <w:pPr>
        <w:pStyle w:val="ListParagraph"/>
        <w:numPr>
          <w:ilvl w:val="0"/>
          <w:numId w:val="2"/>
        </w:numPr>
        <w:tabs>
          <w:tab w:val="left" w:pos="1008"/>
        </w:tabs>
        <w:spacing w:line="163" w:lineRule="exact"/>
        <w:ind w:right="144"/>
        <w:jc w:val="both"/>
        <w:textAlignment w:val="baseline"/>
        <w:rPr>
          <w:rFonts w:ascii="Tahoma" w:eastAsia="Tahoma" w:hAnsi="Tahoma"/>
          <w:color w:val="000000"/>
          <w:sz w:val="14"/>
        </w:rPr>
      </w:pPr>
      <w:r w:rsidRPr="00D11901">
        <w:rPr>
          <w:rFonts w:ascii="Tahoma" w:eastAsia="Tahoma" w:hAnsi="Tahoma"/>
          <w:color w:val="000000"/>
          <w:sz w:val="14"/>
        </w:rPr>
        <w:t xml:space="preserve">Since GBU currently has no debt at the entity level and does not expect to have debt </w:t>
      </w:r>
      <w:proofErr w:type="gramStart"/>
      <w:r w:rsidRPr="00D11901">
        <w:rPr>
          <w:rFonts w:ascii="Tahoma" w:eastAsia="Tahoma" w:hAnsi="Tahoma"/>
          <w:color w:val="000000"/>
          <w:sz w:val="14"/>
        </w:rPr>
        <w:t>in the near future</w:t>
      </w:r>
      <w:proofErr w:type="gramEnd"/>
      <w:r w:rsidRPr="00D11901">
        <w:rPr>
          <w:rFonts w:ascii="Tahoma" w:eastAsia="Tahoma" w:hAnsi="Tahoma"/>
          <w:color w:val="000000"/>
          <w:sz w:val="14"/>
        </w:rPr>
        <w:t>, leverage ratios such as the Debt Service Coverage Ratio, Ratio of Long-Term Debt to Total Capitalization, and Ratio of Cash Flow to Long-Term Debt have been excluded from the analysis.</w:t>
      </w:r>
    </w:p>
    <w:p w14:paraId="6C381F39" w14:textId="77777777" w:rsidR="008C360C" w:rsidRDefault="002A0B22">
      <w:pPr>
        <w:spacing w:line="480" w:lineRule="exact"/>
        <w:ind w:left="144" w:right="144"/>
        <w:jc w:val="both"/>
        <w:textAlignment w:val="baseline"/>
        <w:rPr>
          <w:rFonts w:ascii="Tahoma" w:eastAsia="Tahoma" w:hAnsi="Tahoma"/>
          <w:color w:val="000000"/>
        </w:rPr>
      </w:pPr>
      <w:r>
        <w:rPr>
          <w:rFonts w:ascii="Tahoma" w:eastAsia="Tahoma" w:hAnsi="Tahoma"/>
          <w:color w:val="000000"/>
        </w:rPr>
        <w:t>The Key Metrics fall into three primary categories: profitability, liquidity, and solvency. Profitability metrics are used in the evaluation of management performance in how efficiently resources are utilized. Liquidity metrics, including common ratios such as “days</w:t>
      </w:r>
    </w:p>
    <w:p w14:paraId="6C381F3A" w14:textId="77777777" w:rsidR="008C360C" w:rsidRDefault="008C360C">
      <w:pPr>
        <w:sectPr w:rsidR="008C360C">
          <w:pgSz w:w="12240" w:h="15840"/>
          <w:pgMar w:top="780" w:right="1287" w:bottom="1264" w:left="1513" w:header="720" w:footer="720" w:gutter="0"/>
          <w:cols w:space="720"/>
        </w:sectPr>
      </w:pPr>
    </w:p>
    <w:p w14:paraId="6C381F3E" w14:textId="77777777" w:rsidR="008C360C" w:rsidRDefault="008C360C">
      <w:pPr>
        <w:spacing w:after="772" w:line="20" w:lineRule="exact"/>
      </w:pPr>
    </w:p>
    <w:p w14:paraId="6C381F3F" w14:textId="77777777" w:rsidR="008C360C" w:rsidRDefault="002A0B22">
      <w:pPr>
        <w:spacing w:before="1" w:after="226" w:line="510" w:lineRule="exact"/>
        <w:ind w:left="144" w:right="144"/>
        <w:jc w:val="both"/>
        <w:textAlignment w:val="baseline"/>
        <w:rPr>
          <w:rFonts w:ascii="Tahoma" w:eastAsia="Tahoma" w:hAnsi="Tahoma"/>
          <w:color w:val="000000"/>
        </w:rPr>
      </w:pPr>
      <w:r>
        <w:rPr>
          <w:rFonts w:ascii="Tahoma" w:eastAsia="Tahoma" w:hAnsi="Tahoma"/>
          <w:color w:val="000000"/>
        </w:rPr>
        <w:t>of available cash and investments on hand”, measure the quality and adequacy of assets to meet current obligations as they come due. Solvency metrics measure the company’s ability to take on and service debt obligations. Additionally, certain metrics can be applicable to multiple categories. The table below shows how each of the Key Metrics is calculated.</w:t>
      </w:r>
    </w:p>
    <w:tbl>
      <w:tblPr>
        <w:tblW w:w="0" w:type="auto"/>
        <w:tblInd w:w="140" w:type="dxa"/>
        <w:tblLayout w:type="fixed"/>
        <w:tblCellMar>
          <w:left w:w="0" w:type="dxa"/>
          <w:right w:w="0" w:type="dxa"/>
        </w:tblCellMar>
        <w:tblLook w:val="0000" w:firstRow="0" w:lastRow="0" w:firstColumn="0" w:lastColumn="0" w:noHBand="0" w:noVBand="0"/>
        <w:tblCaption w:val="Key Metric calculations"/>
      </w:tblPr>
      <w:tblGrid>
        <w:gridCol w:w="4579"/>
        <w:gridCol w:w="4580"/>
      </w:tblGrid>
      <w:tr w:rsidR="001F2353" w14:paraId="6C381F42" w14:textId="77777777" w:rsidTr="00523F10">
        <w:trPr>
          <w:cantSplit/>
          <w:trHeight w:hRule="exact" w:val="226"/>
          <w:tblHeader/>
        </w:trPr>
        <w:tc>
          <w:tcPr>
            <w:tcW w:w="4579" w:type="dxa"/>
            <w:tcBorders>
              <w:top w:val="single" w:sz="5" w:space="0" w:color="000000"/>
              <w:left w:val="single" w:sz="5" w:space="0" w:color="000000"/>
              <w:bottom w:val="single" w:sz="5" w:space="0" w:color="000000"/>
              <w:right w:val="single" w:sz="5" w:space="0" w:color="000000"/>
            </w:tcBorders>
            <w:vAlign w:val="center"/>
          </w:tcPr>
          <w:p w14:paraId="6C381F40" w14:textId="77777777" w:rsidR="008C360C" w:rsidRDefault="002A0B22">
            <w:pPr>
              <w:spacing w:after="3" w:line="205" w:lineRule="exact"/>
              <w:ind w:left="2015"/>
              <w:textAlignment w:val="baseline"/>
              <w:rPr>
                <w:rFonts w:ascii="Tahoma" w:eastAsia="Tahoma" w:hAnsi="Tahoma"/>
                <w:color w:val="000000"/>
                <w:sz w:val="17"/>
              </w:rPr>
            </w:pPr>
            <w:r>
              <w:rPr>
                <w:rFonts w:ascii="Tahoma" w:eastAsia="Tahoma" w:hAnsi="Tahoma"/>
                <w:color w:val="000000"/>
                <w:sz w:val="17"/>
              </w:rPr>
              <w:t>Ratio</w:t>
            </w:r>
          </w:p>
        </w:tc>
        <w:tc>
          <w:tcPr>
            <w:tcW w:w="4580" w:type="dxa"/>
            <w:tcBorders>
              <w:top w:val="single" w:sz="5" w:space="0" w:color="000000"/>
              <w:left w:val="single" w:sz="5" w:space="0" w:color="000000"/>
              <w:bottom w:val="single" w:sz="5" w:space="0" w:color="000000"/>
              <w:right w:val="single" w:sz="5" w:space="0" w:color="000000"/>
            </w:tcBorders>
            <w:vAlign w:val="center"/>
          </w:tcPr>
          <w:p w14:paraId="6C381F41" w14:textId="77777777" w:rsidR="008C360C" w:rsidRDefault="002A0B22">
            <w:pPr>
              <w:spacing w:after="3" w:line="205" w:lineRule="exact"/>
              <w:jc w:val="center"/>
              <w:textAlignment w:val="baseline"/>
              <w:rPr>
                <w:rFonts w:ascii="Tahoma" w:eastAsia="Tahoma" w:hAnsi="Tahoma"/>
                <w:color w:val="000000"/>
                <w:sz w:val="17"/>
              </w:rPr>
            </w:pPr>
            <w:r>
              <w:rPr>
                <w:rFonts w:ascii="Tahoma" w:eastAsia="Tahoma" w:hAnsi="Tahoma"/>
                <w:color w:val="000000"/>
                <w:sz w:val="17"/>
              </w:rPr>
              <w:t>Definitions</w:t>
            </w:r>
          </w:p>
        </w:tc>
      </w:tr>
      <w:tr w:rsidR="001F2353" w14:paraId="6C381F45" w14:textId="77777777" w:rsidTr="00523F10">
        <w:trPr>
          <w:cantSplit/>
          <w:trHeight w:hRule="exact" w:val="196"/>
        </w:trPr>
        <w:tc>
          <w:tcPr>
            <w:tcW w:w="4579" w:type="dxa"/>
            <w:tcBorders>
              <w:top w:val="single" w:sz="5" w:space="0" w:color="000000"/>
              <w:left w:val="single" w:sz="5" w:space="0" w:color="000000"/>
              <w:bottom w:val="single" w:sz="5" w:space="0" w:color="000000"/>
              <w:right w:val="single" w:sz="5" w:space="0" w:color="000000"/>
            </w:tcBorders>
            <w:vAlign w:val="center"/>
          </w:tcPr>
          <w:p w14:paraId="6C381F43" w14:textId="77777777" w:rsidR="008C360C" w:rsidRDefault="002A0B22">
            <w:pPr>
              <w:spacing w:line="182" w:lineRule="exact"/>
              <w:ind w:left="125"/>
              <w:textAlignment w:val="baseline"/>
              <w:rPr>
                <w:rFonts w:ascii="Verdana" w:eastAsia="Verdana" w:hAnsi="Verdana"/>
                <w:b/>
                <w:color w:val="000000"/>
                <w:sz w:val="15"/>
              </w:rPr>
            </w:pPr>
            <w:r>
              <w:rPr>
                <w:rFonts w:ascii="Verdana" w:eastAsia="Verdana" w:hAnsi="Verdana"/>
                <w:b/>
                <w:color w:val="000000"/>
                <w:sz w:val="15"/>
              </w:rPr>
              <w:t>Profitability</w:t>
            </w:r>
            <w:r>
              <w:rPr>
                <w:rFonts w:ascii="Verdana" w:eastAsia="Verdana" w:hAnsi="Verdana"/>
                <w:color w:val="000000"/>
                <w:sz w:val="15"/>
              </w:rPr>
              <w:t>: Operating Margin (%)</w:t>
            </w:r>
          </w:p>
        </w:tc>
        <w:tc>
          <w:tcPr>
            <w:tcW w:w="4580" w:type="dxa"/>
            <w:tcBorders>
              <w:top w:val="single" w:sz="5" w:space="0" w:color="000000"/>
              <w:left w:val="single" w:sz="5" w:space="0" w:color="000000"/>
              <w:bottom w:val="single" w:sz="5" w:space="0" w:color="000000"/>
              <w:right w:val="single" w:sz="5" w:space="0" w:color="000000"/>
            </w:tcBorders>
            <w:vAlign w:val="center"/>
          </w:tcPr>
          <w:p w14:paraId="6C381F44" w14:textId="77777777" w:rsidR="008C360C" w:rsidRDefault="002A0B22">
            <w:pPr>
              <w:spacing w:line="182" w:lineRule="exact"/>
              <w:ind w:left="111"/>
              <w:textAlignment w:val="baseline"/>
              <w:rPr>
                <w:rFonts w:ascii="Verdana" w:eastAsia="Verdana" w:hAnsi="Verdana"/>
                <w:color w:val="000000"/>
                <w:sz w:val="15"/>
              </w:rPr>
            </w:pPr>
            <w:r>
              <w:rPr>
                <w:rFonts w:ascii="Verdana" w:eastAsia="Verdana" w:hAnsi="Verdana"/>
                <w:color w:val="000000"/>
                <w:sz w:val="15"/>
              </w:rPr>
              <w:t>Operating Profit (Loss) Divided by Net Revenue</w:t>
            </w:r>
          </w:p>
        </w:tc>
      </w:tr>
      <w:tr w:rsidR="001F2353" w14:paraId="6C381F48" w14:textId="77777777" w:rsidTr="00523F10">
        <w:trPr>
          <w:cantSplit/>
          <w:trHeight w:hRule="exact" w:val="380"/>
        </w:trPr>
        <w:tc>
          <w:tcPr>
            <w:tcW w:w="4579" w:type="dxa"/>
            <w:tcBorders>
              <w:top w:val="single" w:sz="5" w:space="0" w:color="000000"/>
              <w:left w:val="single" w:sz="5" w:space="0" w:color="000000"/>
              <w:bottom w:val="single" w:sz="5" w:space="0" w:color="000000"/>
              <w:right w:val="single" w:sz="5" w:space="0" w:color="000000"/>
            </w:tcBorders>
            <w:vAlign w:val="center"/>
          </w:tcPr>
          <w:p w14:paraId="6C381F46" w14:textId="77777777" w:rsidR="008C360C" w:rsidRDefault="002A0B22">
            <w:pPr>
              <w:spacing w:before="92" w:after="95" w:line="187" w:lineRule="exact"/>
              <w:ind w:left="125"/>
              <w:textAlignment w:val="baseline"/>
              <w:rPr>
                <w:rFonts w:ascii="Verdana" w:eastAsia="Verdana" w:hAnsi="Verdana"/>
                <w:b/>
                <w:color w:val="000000"/>
                <w:sz w:val="15"/>
              </w:rPr>
            </w:pPr>
            <w:r>
              <w:rPr>
                <w:rFonts w:ascii="Verdana" w:eastAsia="Verdana" w:hAnsi="Verdana"/>
                <w:b/>
                <w:color w:val="000000"/>
                <w:sz w:val="15"/>
              </w:rPr>
              <w:t>Profitability</w:t>
            </w:r>
            <w:r>
              <w:rPr>
                <w:rFonts w:ascii="Verdana" w:eastAsia="Verdana" w:hAnsi="Verdana"/>
                <w:color w:val="000000"/>
                <w:sz w:val="15"/>
              </w:rPr>
              <w:t>: Excess Margin (%)</w:t>
            </w:r>
          </w:p>
        </w:tc>
        <w:tc>
          <w:tcPr>
            <w:tcW w:w="4580" w:type="dxa"/>
            <w:tcBorders>
              <w:top w:val="single" w:sz="5" w:space="0" w:color="000000"/>
              <w:left w:val="single" w:sz="5" w:space="0" w:color="000000"/>
              <w:bottom w:val="single" w:sz="5" w:space="0" w:color="000000"/>
              <w:right w:val="single" w:sz="5" w:space="0" w:color="000000"/>
            </w:tcBorders>
          </w:tcPr>
          <w:p w14:paraId="6C381F47" w14:textId="77777777" w:rsidR="008C360C" w:rsidRDefault="002A0B22">
            <w:pPr>
              <w:spacing w:line="187" w:lineRule="exact"/>
              <w:ind w:left="108" w:right="108"/>
              <w:jc w:val="both"/>
              <w:textAlignment w:val="baseline"/>
              <w:rPr>
                <w:rFonts w:ascii="Verdana" w:eastAsia="Verdana" w:hAnsi="Verdana"/>
                <w:color w:val="000000"/>
                <w:sz w:val="15"/>
              </w:rPr>
            </w:pPr>
            <w:r>
              <w:rPr>
                <w:rFonts w:ascii="Verdana" w:eastAsia="Verdana" w:hAnsi="Verdana"/>
                <w:color w:val="000000"/>
                <w:sz w:val="15"/>
              </w:rPr>
              <w:t>Net Income After Partner Compensation Divided by Net Revenue</w:t>
            </w:r>
          </w:p>
        </w:tc>
      </w:tr>
      <w:tr w:rsidR="001F2353" w14:paraId="6C381F4B" w14:textId="77777777" w:rsidTr="00523F10">
        <w:trPr>
          <w:cantSplit/>
          <w:trHeight w:hRule="exact" w:val="571"/>
        </w:trPr>
        <w:tc>
          <w:tcPr>
            <w:tcW w:w="4579" w:type="dxa"/>
            <w:tcBorders>
              <w:top w:val="single" w:sz="5" w:space="0" w:color="000000"/>
              <w:left w:val="single" w:sz="5" w:space="0" w:color="000000"/>
              <w:bottom w:val="single" w:sz="5" w:space="0" w:color="000000"/>
              <w:right w:val="single" w:sz="5" w:space="0" w:color="000000"/>
            </w:tcBorders>
            <w:vAlign w:val="center"/>
          </w:tcPr>
          <w:p w14:paraId="6C381F49" w14:textId="77777777" w:rsidR="008C360C" w:rsidRDefault="002A0B22">
            <w:pPr>
              <w:spacing w:before="187" w:after="196" w:line="187" w:lineRule="exact"/>
              <w:ind w:left="125"/>
              <w:textAlignment w:val="baseline"/>
              <w:rPr>
                <w:rFonts w:ascii="Verdana" w:eastAsia="Verdana" w:hAnsi="Verdana"/>
                <w:b/>
                <w:color w:val="000000"/>
                <w:spacing w:val="-6"/>
                <w:sz w:val="15"/>
              </w:rPr>
            </w:pPr>
            <w:r>
              <w:rPr>
                <w:rFonts w:ascii="Verdana" w:eastAsia="Verdana" w:hAnsi="Verdana"/>
                <w:b/>
                <w:color w:val="000000"/>
                <w:spacing w:val="-6"/>
                <w:sz w:val="15"/>
              </w:rPr>
              <w:t>Liquidity</w:t>
            </w:r>
            <w:r>
              <w:rPr>
                <w:rFonts w:ascii="Verdana" w:eastAsia="Verdana" w:hAnsi="Verdana"/>
                <w:color w:val="000000"/>
                <w:spacing w:val="-6"/>
                <w:sz w:val="15"/>
              </w:rPr>
              <w:t xml:space="preserve">: Days Available Cash and Investments on </w:t>
            </w:r>
            <w:proofErr w:type="gramStart"/>
            <w:r>
              <w:rPr>
                <w:rFonts w:ascii="Verdana" w:eastAsia="Verdana" w:hAnsi="Verdana"/>
                <w:color w:val="000000"/>
                <w:spacing w:val="-6"/>
                <w:sz w:val="15"/>
              </w:rPr>
              <w:t>Hand (#</w:t>
            </w:r>
            <w:proofErr w:type="gramEnd"/>
            <w:r>
              <w:rPr>
                <w:rFonts w:ascii="Verdana" w:eastAsia="Verdana" w:hAnsi="Verdana"/>
                <w:color w:val="000000"/>
                <w:spacing w:val="-6"/>
                <w:sz w:val="15"/>
              </w:rPr>
              <w:t>)</w:t>
            </w:r>
          </w:p>
        </w:tc>
        <w:tc>
          <w:tcPr>
            <w:tcW w:w="4580" w:type="dxa"/>
            <w:tcBorders>
              <w:top w:val="single" w:sz="5" w:space="0" w:color="000000"/>
              <w:left w:val="single" w:sz="5" w:space="0" w:color="000000"/>
              <w:bottom w:val="single" w:sz="5" w:space="0" w:color="000000"/>
              <w:right w:val="single" w:sz="5" w:space="0" w:color="000000"/>
            </w:tcBorders>
          </w:tcPr>
          <w:p w14:paraId="6C381F4A" w14:textId="77777777" w:rsidR="008C360C" w:rsidRDefault="002A0B22">
            <w:pPr>
              <w:spacing w:after="9" w:line="187" w:lineRule="exact"/>
              <w:ind w:left="108" w:right="108"/>
              <w:jc w:val="both"/>
              <w:textAlignment w:val="baseline"/>
              <w:rPr>
                <w:rFonts w:ascii="Verdana" w:eastAsia="Verdana" w:hAnsi="Verdana"/>
                <w:color w:val="000000"/>
                <w:sz w:val="15"/>
              </w:rPr>
            </w:pPr>
            <w:r>
              <w:rPr>
                <w:rFonts w:ascii="Verdana" w:eastAsia="Verdana" w:hAnsi="Verdana"/>
                <w:color w:val="000000"/>
                <w:sz w:val="15"/>
              </w:rPr>
              <w:t>(Cash and Cash Equivalents) Multiplied by 365 Divided by (Total Operating Expenses excluding Depreciation and Amortization)</w:t>
            </w:r>
          </w:p>
        </w:tc>
      </w:tr>
      <w:tr w:rsidR="001F2353" w14:paraId="6C381F4E" w14:textId="77777777" w:rsidTr="00523F10">
        <w:trPr>
          <w:cantSplit/>
          <w:trHeight w:hRule="exact" w:val="379"/>
        </w:trPr>
        <w:tc>
          <w:tcPr>
            <w:tcW w:w="4579" w:type="dxa"/>
            <w:tcBorders>
              <w:top w:val="single" w:sz="5" w:space="0" w:color="000000"/>
              <w:left w:val="single" w:sz="5" w:space="0" w:color="000000"/>
              <w:bottom w:val="single" w:sz="5" w:space="0" w:color="000000"/>
              <w:right w:val="single" w:sz="5" w:space="0" w:color="000000"/>
            </w:tcBorders>
            <w:vAlign w:val="center"/>
          </w:tcPr>
          <w:p w14:paraId="6C381F4C" w14:textId="77777777" w:rsidR="008C360C" w:rsidRDefault="002A0B22">
            <w:pPr>
              <w:spacing w:before="96" w:after="91" w:line="187" w:lineRule="exact"/>
              <w:ind w:left="125"/>
              <w:textAlignment w:val="baseline"/>
              <w:rPr>
                <w:rFonts w:ascii="Verdana" w:eastAsia="Verdana" w:hAnsi="Verdana"/>
                <w:b/>
                <w:color w:val="000000"/>
                <w:sz w:val="15"/>
              </w:rPr>
            </w:pPr>
            <w:r>
              <w:rPr>
                <w:rFonts w:ascii="Verdana" w:eastAsia="Verdana" w:hAnsi="Verdana"/>
                <w:b/>
                <w:color w:val="000000"/>
                <w:sz w:val="15"/>
              </w:rPr>
              <w:t>Liquidity</w:t>
            </w:r>
            <w:r>
              <w:rPr>
                <w:rFonts w:ascii="Verdana" w:eastAsia="Verdana" w:hAnsi="Verdana"/>
                <w:color w:val="000000"/>
                <w:sz w:val="15"/>
              </w:rPr>
              <w:t>: Operating Cash Flow (%)</w:t>
            </w:r>
          </w:p>
        </w:tc>
        <w:tc>
          <w:tcPr>
            <w:tcW w:w="4580" w:type="dxa"/>
            <w:tcBorders>
              <w:top w:val="single" w:sz="5" w:space="0" w:color="000000"/>
              <w:left w:val="single" w:sz="5" w:space="0" w:color="000000"/>
              <w:bottom w:val="single" w:sz="5" w:space="0" w:color="000000"/>
              <w:right w:val="single" w:sz="5" w:space="0" w:color="000000"/>
            </w:tcBorders>
          </w:tcPr>
          <w:p w14:paraId="6C381F4D" w14:textId="77777777" w:rsidR="008C360C" w:rsidRDefault="002A0B22">
            <w:pPr>
              <w:spacing w:line="187" w:lineRule="exact"/>
              <w:ind w:left="108" w:right="144"/>
              <w:jc w:val="both"/>
              <w:textAlignment w:val="baseline"/>
              <w:rPr>
                <w:rFonts w:ascii="Verdana" w:eastAsia="Verdana" w:hAnsi="Verdana"/>
                <w:color w:val="000000"/>
                <w:sz w:val="15"/>
              </w:rPr>
            </w:pPr>
            <w:r>
              <w:rPr>
                <w:rFonts w:ascii="Verdana" w:eastAsia="Verdana" w:hAnsi="Verdana"/>
                <w:color w:val="000000"/>
                <w:sz w:val="15"/>
              </w:rPr>
              <w:t>(EBITDA - Changes in working capital, excluding cash and operating leases) Divided by Net Revenue</w:t>
            </w:r>
          </w:p>
        </w:tc>
      </w:tr>
      <w:tr w:rsidR="001F2353" w14:paraId="6C381F51" w14:textId="77777777" w:rsidTr="00523F10">
        <w:trPr>
          <w:cantSplit/>
          <w:trHeight w:hRule="exact" w:val="197"/>
        </w:trPr>
        <w:tc>
          <w:tcPr>
            <w:tcW w:w="4579" w:type="dxa"/>
            <w:tcBorders>
              <w:top w:val="single" w:sz="5" w:space="0" w:color="000000"/>
              <w:left w:val="single" w:sz="5" w:space="0" w:color="000000"/>
              <w:bottom w:val="single" w:sz="5" w:space="0" w:color="000000"/>
              <w:right w:val="single" w:sz="5" w:space="0" w:color="000000"/>
            </w:tcBorders>
            <w:vAlign w:val="center"/>
          </w:tcPr>
          <w:p w14:paraId="6C381F4F" w14:textId="77777777" w:rsidR="008C360C" w:rsidRDefault="002A0B22">
            <w:pPr>
              <w:spacing w:after="4" w:line="187" w:lineRule="exact"/>
              <w:ind w:left="125"/>
              <w:textAlignment w:val="baseline"/>
              <w:rPr>
                <w:rFonts w:ascii="Verdana" w:eastAsia="Verdana" w:hAnsi="Verdana"/>
                <w:b/>
                <w:color w:val="000000"/>
                <w:sz w:val="15"/>
              </w:rPr>
            </w:pPr>
            <w:r>
              <w:rPr>
                <w:rFonts w:ascii="Verdana" w:eastAsia="Verdana" w:hAnsi="Verdana"/>
                <w:b/>
                <w:color w:val="000000"/>
                <w:sz w:val="15"/>
              </w:rPr>
              <w:t xml:space="preserve">Solvency: </w:t>
            </w:r>
            <w:r>
              <w:rPr>
                <w:rFonts w:ascii="Verdana" w:eastAsia="Verdana" w:hAnsi="Verdana"/>
                <w:color w:val="000000"/>
                <w:sz w:val="15"/>
              </w:rPr>
              <w:t>Current Ratio (x)</w:t>
            </w:r>
          </w:p>
        </w:tc>
        <w:tc>
          <w:tcPr>
            <w:tcW w:w="4580" w:type="dxa"/>
            <w:tcBorders>
              <w:top w:val="single" w:sz="5" w:space="0" w:color="000000"/>
              <w:left w:val="single" w:sz="5" w:space="0" w:color="000000"/>
              <w:bottom w:val="single" w:sz="5" w:space="0" w:color="000000"/>
              <w:right w:val="single" w:sz="5" w:space="0" w:color="000000"/>
            </w:tcBorders>
            <w:vAlign w:val="center"/>
          </w:tcPr>
          <w:p w14:paraId="6C381F50" w14:textId="77777777" w:rsidR="008C360C" w:rsidRDefault="002A0B22">
            <w:pPr>
              <w:spacing w:after="4" w:line="187" w:lineRule="exact"/>
              <w:ind w:left="111"/>
              <w:textAlignment w:val="baseline"/>
              <w:rPr>
                <w:rFonts w:ascii="Verdana" w:eastAsia="Verdana" w:hAnsi="Verdana"/>
                <w:color w:val="000000"/>
                <w:sz w:val="15"/>
              </w:rPr>
            </w:pPr>
            <w:r>
              <w:rPr>
                <w:rFonts w:ascii="Verdana" w:eastAsia="Verdana" w:hAnsi="Verdana"/>
                <w:color w:val="000000"/>
                <w:sz w:val="15"/>
              </w:rPr>
              <w:t>Current Assets Divided by Current Liabilities</w:t>
            </w:r>
          </w:p>
        </w:tc>
      </w:tr>
      <w:tr w:rsidR="001F2353" w14:paraId="6C381F54" w14:textId="77777777" w:rsidTr="00523F10">
        <w:trPr>
          <w:cantSplit/>
          <w:trHeight w:hRule="exact" w:val="206"/>
        </w:trPr>
        <w:tc>
          <w:tcPr>
            <w:tcW w:w="4579" w:type="dxa"/>
            <w:tcBorders>
              <w:top w:val="single" w:sz="5" w:space="0" w:color="000000"/>
              <w:left w:val="single" w:sz="5" w:space="0" w:color="000000"/>
              <w:bottom w:val="single" w:sz="5" w:space="0" w:color="000000"/>
              <w:right w:val="single" w:sz="5" w:space="0" w:color="000000"/>
            </w:tcBorders>
            <w:vAlign w:val="center"/>
          </w:tcPr>
          <w:p w14:paraId="6C381F52" w14:textId="77777777" w:rsidR="008C360C" w:rsidRDefault="002A0B22">
            <w:pPr>
              <w:spacing w:after="14" w:line="187" w:lineRule="exact"/>
              <w:ind w:left="125"/>
              <w:textAlignment w:val="baseline"/>
              <w:rPr>
                <w:rFonts w:ascii="Verdana" w:eastAsia="Verdana" w:hAnsi="Verdana"/>
                <w:b/>
                <w:color w:val="000000"/>
                <w:sz w:val="15"/>
              </w:rPr>
            </w:pPr>
            <w:r>
              <w:rPr>
                <w:rFonts w:ascii="Verdana" w:eastAsia="Verdana" w:hAnsi="Verdana"/>
                <w:b/>
                <w:color w:val="000000"/>
                <w:sz w:val="15"/>
              </w:rPr>
              <w:t xml:space="preserve">Solvency: Total Net Assets </w:t>
            </w:r>
            <w:r>
              <w:rPr>
                <w:rFonts w:ascii="Verdana" w:eastAsia="Verdana" w:hAnsi="Verdana"/>
                <w:color w:val="000000"/>
                <w:sz w:val="15"/>
              </w:rPr>
              <w:t>($ in million)</w:t>
            </w:r>
          </w:p>
        </w:tc>
        <w:tc>
          <w:tcPr>
            <w:tcW w:w="4580" w:type="dxa"/>
            <w:tcBorders>
              <w:top w:val="single" w:sz="5" w:space="0" w:color="000000"/>
              <w:left w:val="single" w:sz="5" w:space="0" w:color="000000"/>
              <w:bottom w:val="single" w:sz="5" w:space="0" w:color="000000"/>
              <w:right w:val="single" w:sz="5" w:space="0" w:color="000000"/>
            </w:tcBorders>
            <w:vAlign w:val="center"/>
          </w:tcPr>
          <w:p w14:paraId="6C381F53" w14:textId="77777777" w:rsidR="008C360C" w:rsidRDefault="002A0B22">
            <w:pPr>
              <w:spacing w:after="15" w:line="186" w:lineRule="exact"/>
              <w:ind w:left="111"/>
              <w:textAlignment w:val="baseline"/>
              <w:rPr>
                <w:rFonts w:ascii="Verdana" w:eastAsia="Verdana" w:hAnsi="Verdana"/>
                <w:color w:val="000000"/>
                <w:sz w:val="15"/>
              </w:rPr>
            </w:pPr>
            <w:r>
              <w:rPr>
                <w:rFonts w:ascii="Verdana" w:eastAsia="Verdana" w:hAnsi="Verdana"/>
                <w:color w:val="000000"/>
                <w:sz w:val="15"/>
              </w:rPr>
              <w:t>Total Net Assets</w:t>
            </w:r>
          </w:p>
        </w:tc>
      </w:tr>
    </w:tbl>
    <w:p w14:paraId="6C381F55" w14:textId="77777777" w:rsidR="008C360C" w:rsidRDefault="008C360C">
      <w:pPr>
        <w:spacing w:after="475" w:line="20" w:lineRule="exact"/>
      </w:pPr>
    </w:p>
    <w:p w14:paraId="6C381F56" w14:textId="77777777" w:rsidR="008C360C" w:rsidRDefault="002A0B22" w:rsidP="00095B95">
      <w:pPr>
        <w:pStyle w:val="Heading3"/>
      </w:pPr>
      <w:r>
        <w:t>1. Revenue</w:t>
      </w:r>
    </w:p>
    <w:p w14:paraId="6C381F57" w14:textId="77777777" w:rsidR="008C360C" w:rsidRDefault="002A0B22">
      <w:pPr>
        <w:spacing w:before="263" w:line="510" w:lineRule="exact"/>
        <w:ind w:left="144" w:right="144"/>
        <w:jc w:val="both"/>
        <w:textAlignment w:val="baseline"/>
        <w:rPr>
          <w:rFonts w:ascii="Tahoma" w:eastAsia="Tahoma" w:hAnsi="Tahoma"/>
          <w:color w:val="000000"/>
        </w:rPr>
      </w:pPr>
      <w:r>
        <w:rPr>
          <w:rFonts w:ascii="Tahoma" w:eastAsia="Tahoma" w:hAnsi="Tahoma"/>
          <w:color w:val="000000"/>
        </w:rPr>
        <w:t>Net revenue is projected to grow by 20.2 percent in fiscal year 2025, 24.6 percent in fiscal year 2026, and 4.1 percent in fiscal year 2027. From fiscal year 2028 through fiscal year 2030, net revenue is expected to stabilize, with annual growth rates ranging from 1.7 percent to 1.9 percent.</w:t>
      </w:r>
    </w:p>
    <w:p w14:paraId="6C381F58" w14:textId="77777777" w:rsidR="008C360C" w:rsidRDefault="002A0B22">
      <w:pPr>
        <w:spacing w:before="517" w:line="510" w:lineRule="exact"/>
        <w:ind w:left="144" w:right="144"/>
        <w:jc w:val="both"/>
        <w:textAlignment w:val="baseline"/>
        <w:rPr>
          <w:rFonts w:ascii="Tahoma" w:eastAsia="Tahoma" w:hAnsi="Tahoma"/>
          <w:color w:val="000000"/>
        </w:rPr>
      </w:pPr>
      <w:r>
        <w:rPr>
          <w:rFonts w:ascii="Tahoma" w:eastAsia="Tahoma" w:hAnsi="Tahoma"/>
          <w:color w:val="000000"/>
        </w:rPr>
        <w:t xml:space="preserve">We analyzed the revenue forecasts included in the Applicant’s </w:t>
      </w:r>
      <w:r>
        <w:rPr>
          <w:rFonts w:ascii="Tahoma" w:eastAsia="Tahoma" w:hAnsi="Tahoma"/>
          <w:color w:val="0000FF"/>
          <w:u w:val="single"/>
        </w:rPr>
        <w:t>Projections. Net</w:t>
      </w:r>
      <w:r>
        <w:rPr>
          <w:rFonts w:ascii="Tahoma" w:eastAsia="Tahoma" w:hAnsi="Tahoma"/>
          <w:color w:val="000000"/>
        </w:rPr>
        <w:t xml:space="preserve"> revenue comprises anticipated contributions from Positron Emission Tomography-Computed Tomography operation, Interventional Radiology (IR), and other historical revenue streams. These projections reflect expected growth from new providers, expanded service lines, and the overall strategic expansion of the practice.</w:t>
      </w:r>
    </w:p>
    <w:p w14:paraId="6C381F59" w14:textId="77777777" w:rsidR="008C360C" w:rsidRDefault="008C360C">
      <w:pPr>
        <w:sectPr w:rsidR="008C360C">
          <w:pgSz w:w="12240" w:h="15840"/>
          <w:pgMar w:top="780" w:right="1294" w:bottom="2504" w:left="1506" w:header="720" w:footer="720" w:gutter="0"/>
          <w:cols w:space="720"/>
        </w:sectPr>
      </w:pPr>
    </w:p>
    <w:p w14:paraId="6C381F5D" w14:textId="77777777" w:rsidR="008C360C" w:rsidRDefault="008C360C">
      <w:pPr>
        <w:spacing w:after="772" w:line="20" w:lineRule="exact"/>
      </w:pPr>
    </w:p>
    <w:p w14:paraId="6C381F5E" w14:textId="77777777" w:rsidR="008C360C" w:rsidRDefault="002A0B22">
      <w:pPr>
        <w:spacing w:before="9" w:line="510" w:lineRule="exact"/>
        <w:ind w:left="144" w:right="144"/>
        <w:jc w:val="both"/>
        <w:textAlignment w:val="baseline"/>
        <w:rPr>
          <w:rFonts w:ascii="Tahoma" w:eastAsia="Tahoma" w:hAnsi="Tahoma"/>
          <w:color w:val="000000"/>
        </w:rPr>
      </w:pPr>
      <w:r>
        <w:rPr>
          <w:rFonts w:ascii="Tahoma" w:eastAsia="Tahoma" w:hAnsi="Tahoma"/>
          <w:color w:val="000000"/>
        </w:rPr>
        <w:t xml:space="preserve">Based on discussions with Management, the substantial growth forecasted for fiscal year 2025 is primarily driven by the recruitment of additional providers and the opening of new locations in Attleboro and Leominster. Management has indicated that the practice is actively pursuing opportunities to expand its geographic footprint and increase patient access by establishing clinics in underserved areas. The addition of new providers is expected to enhance the practice’s capacity to serve a broader patient base, diversify service offerings, and support the launch of new initiatives such as the men’s health service line. These efforts are anticipated to generate increased </w:t>
      </w:r>
      <w:proofErr w:type="gramStart"/>
      <w:r>
        <w:rPr>
          <w:rFonts w:ascii="Tahoma" w:eastAsia="Tahoma" w:hAnsi="Tahoma"/>
          <w:color w:val="000000"/>
        </w:rPr>
        <w:t>clinic</w:t>
      </w:r>
      <w:proofErr w:type="gramEnd"/>
      <w:r>
        <w:rPr>
          <w:rFonts w:ascii="Tahoma" w:eastAsia="Tahoma" w:hAnsi="Tahoma"/>
          <w:color w:val="000000"/>
        </w:rPr>
        <w:t xml:space="preserve"> revenues and strengthen the practice’s market position. Further growth in fiscal year 2026 is attributed to the continued expansion of the organization, with plans to bring in additional providers and open new locations. Management has emphasized the importance of strategic recruitment and location selection to meet rising patient demand and capitalize on emerging market opportunities. The integration of new providers is expected to support higher patient volumes, improve operational efficiency, and contribute to sustained revenue growth.</w:t>
      </w:r>
    </w:p>
    <w:p w14:paraId="6C381F5F" w14:textId="77777777" w:rsidR="008C360C" w:rsidRDefault="002A0B22">
      <w:pPr>
        <w:spacing w:before="264" w:line="510" w:lineRule="exact"/>
        <w:ind w:left="144" w:right="216"/>
        <w:textAlignment w:val="baseline"/>
        <w:rPr>
          <w:rFonts w:ascii="Tahoma" w:eastAsia="Tahoma" w:hAnsi="Tahoma"/>
          <w:color w:val="000000"/>
        </w:rPr>
      </w:pPr>
      <w:r>
        <w:rPr>
          <w:rFonts w:ascii="Tahoma" w:eastAsia="Tahoma" w:hAnsi="Tahoma"/>
          <w:color w:val="000000"/>
        </w:rPr>
        <w:t>A key contributor to overall revenue growth is the Interventional Radiology service line, which is projected to increase by 12.9 percent, or $11.6 million, in fiscal year 2025, and by 47.1 percent, or $17.1 million, in fiscal year 2026. Management has noted that a second IR location was briefly operational in early 2025 but was closed following the departure of an interventional radiologist. With the recent recruitment of a new physician, the center is expected to reopen in late 2025. The anticipated surge in IR revenue is primarily driven by the reopening of this second location, which will expand service capacity and patient access, supporting sustained growth in this area. Additionally, the PET/CT operation is</w:t>
      </w:r>
    </w:p>
    <w:p w14:paraId="6C381F60" w14:textId="77777777" w:rsidR="008C360C" w:rsidRDefault="008C360C">
      <w:pPr>
        <w:sectPr w:rsidR="008C360C">
          <w:pgSz w:w="12240" w:h="15840"/>
          <w:pgMar w:top="780" w:right="1287" w:bottom="1604" w:left="1513" w:header="720" w:footer="720" w:gutter="0"/>
          <w:cols w:space="720"/>
        </w:sectPr>
      </w:pPr>
    </w:p>
    <w:p w14:paraId="6C381F65" w14:textId="77777777" w:rsidR="008C360C" w:rsidRDefault="002A0B22">
      <w:pPr>
        <w:spacing w:line="509" w:lineRule="exact"/>
        <w:ind w:left="144" w:right="648"/>
        <w:textAlignment w:val="baseline"/>
        <w:rPr>
          <w:rFonts w:ascii="Tahoma" w:eastAsia="Tahoma" w:hAnsi="Tahoma"/>
          <w:color w:val="000000"/>
        </w:rPr>
      </w:pPr>
      <w:r>
        <w:rPr>
          <w:rFonts w:ascii="Tahoma" w:eastAsia="Tahoma" w:hAnsi="Tahoma"/>
          <w:color w:val="000000"/>
        </w:rPr>
        <w:lastRenderedPageBreak/>
        <w:t>expected to contribute $3.2 million to net revenue in fiscal year 2026, representing 5.1 percent of the GBU’s projected net revenue of $62.8 million for that year.</w:t>
      </w:r>
    </w:p>
    <w:p w14:paraId="6C381F66" w14:textId="77777777" w:rsidR="008C360C" w:rsidRDefault="002A0B22">
      <w:pPr>
        <w:spacing w:before="520" w:after="239" w:line="510" w:lineRule="exact"/>
        <w:ind w:left="144" w:right="144"/>
        <w:jc w:val="both"/>
        <w:textAlignment w:val="baseline"/>
        <w:rPr>
          <w:rFonts w:ascii="Tahoma" w:eastAsia="Tahoma" w:hAnsi="Tahoma"/>
          <w:color w:val="000000"/>
          <w:spacing w:val="-1"/>
        </w:rPr>
      </w:pPr>
      <w:r>
        <w:rPr>
          <w:rFonts w:ascii="Tahoma" w:eastAsia="Tahoma" w:hAnsi="Tahoma"/>
          <w:color w:val="000000"/>
          <w:spacing w:val="-1"/>
        </w:rPr>
        <w:t xml:space="preserve">To assess the reasonableness of the projected revenue, we reviewed the underlying assumptions provided by Management. As discussed above, these projections are informed by historical operating results, anticipated demographic trends within GBU’s service area, and planned expansion </w:t>
      </w:r>
      <w:proofErr w:type="gramStart"/>
      <w:r>
        <w:rPr>
          <w:rFonts w:ascii="Tahoma" w:eastAsia="Tahoma" w:hAnsi="Tahoma"/>
          <w:color w:val="000000"/>
          <w:spacing w:val="-1"/>
        </w:rPr>
        <w:t>initiatives—</w:t>
      </w:r>
      <w:proofErr w:type="gramEnd"/>
      <w:r>
        <w:rPr>
          <w:rFonts w:ascii="Tahoma" w:eastAsia="Tahoma" w:hAnsi="Tahoma"/>
          <w:color w:val="000000"/>
          <w:spacing w:val="-1"/>
        </w:rPr>
        <w:t>including the addition of new providers, locations, and service lines such as Interventional Radiology and PET/CT operations. Our review indicates that the compounded annual revenue growth rate between fiscal years 2024 and 2030 aligns with the most recent historical annual growth rates observed between fiscal years 2023 and 2024.</w:t>
      </w:r>
    </w:p>
    <w:tbl>
      <w:tblPr>
        <w:tblW w:w="0" w:type="auto"/>
        <w:tblInd w:w="930" w:type="dxa"/>
        <w:tblLayout w:type="fixed"/>
        <w:tblCellMar>
          <w:left w:w="0" w:type="dxa"/>
          <w:right w:w="0" w:type="dxa"/>
        </w:tblCellMar>
        <w:tblLook w:val="0000" w:firstRow="0" w:lastRow="0" w:firstColumn="0" w:lastColumn="0" w:noHBand="0" w:noVBand="0"/>
      </w:tblPr>
      <w:tblGrid>
        <w:gridCol w:w="2072"/>
        <w:gridCol w:w="2382"/>
        <w:gridCol w:w="3253"/>
      </w:tblGrid>
      <w:tr w:rsidR="002664E9" w14:paraId="6C381F69" w14:textId="77777777" w:rsidTr="00EE1D2C">
        <w:trPr>
          <w:trHeight w:hRule="exact" w:val="543"/>
        </w:trPr>
        <w:tc>
          <w:tcPr>
            <w:tcW w:w="2072" w:type="dxa"/>
            <w:shd w:val="clear" w:color="00B0F0" w:fill="00B0F0"/>
          </w:tcPr>
          <w:p w14:paraId="3B6F230D" w14:textId="5125A41D" w:rsidR="002664E9" w:rsidRDefault="001C4E55" w:rsidP="001C4E55">
            <w:pPr>
              <w:tabs>
                <w:tab w:val="left" w:pos="2078"/>
                <w:tab w:val="left" w:pos="5256"/>
              </w:tabs>
              <w:spacing w:line="260" w:lineRule="exact"/>
              <w:ind w:left="2304"/>
              <w:textAlignment w:val="baseline"/>
              <w:rPr>
                <w:rFonts w:ascii="Tahoma" w:eastAsia="Tahoma" w:hAnsi="Tahoma"/>
                <w:color w:val="FFFFFF"/>
                <w:spacing w:val="-2"/>
              </w:rPr>
            </w:pPr>
            <w:r>
              <w:rPr>
                <w:rFonts w:ascii="Tahoma" w:eastAsia="Tahoma" w:hAnsi="Tahoma"/>
                <w:color w:val="0E2841" w:themeColor="text2"/>
                <w:spacing w:val="-2"/>
              </w:rPr>
              <w:t>NA</w:t>
            </w:r>
          </w:p>
        </w:tc>
        <w:tc>
          <w:tcPr>
            <w:tcW w:w="2382" w:type="dxa"/>
            <w:shd w:val="clear" w:color="00B0F0" w:fill="00B0F0"/>
          </w:tcPr>
          <w:p w14:paraId="344A1901" w14:textId="77777777" w:rsidR="002664E9" w:rsidRDefault="002664E9" w:rsidP="002664E9">
            <w:pPr>
              <w:tabs>
                <w:tab w:val="left" w:pos="4392"/>
              </w:tabs>
              <w:spacing w:line="249" w:lineRule="exact"/>
              <w:ind w:left="54"/>
              <w:jc w:val="center"/>
              <w:textAlignment w:val="baseline"/>
              <w:rPr>
                <w:rFonts w:ascii="Tahoma" w:eastAsia="Tahoma" w:hAnsi="Tahoma"/>
                <w:color w:val="0E2841" w:themeColor="text2"/>
              </w:rPr>
            </w:pPr>
            <w:r w:rsidRPr="00BA54D3">
              <w:rPr>
                <w:rFonts w:ascii="Tahoma" w:eastAsia="Tahoma" w:hAnsi="Tahoma"/>
                <w:color w:val="0E2841" w:themeColor="text2"/>
              </w:rPr>
              <w:t>Revenue Growth</w:t>
            </w:r>
          </w:p>
          <w:p w14:paraId="31A082F7" w14:textId="5641C5B2" w:rsidR="002664E9" w:rsidRDefault="002664E9" w:rsidP="002664E9">
            <w:pPr>
              <w:tabs>
                <w:tab w:val="left" w:pos="4392"/>
              </w:tabs>
              <w:spacing w:line="249" w:lineRule="exact"/>
              <w:ind w:left="54"/>
              <w:jc w:val="center"/>
              <w:textAlignment w:val="baseline"/>
              <w:rPr>
                <w:rFonts w:ascii="Tahoma" w:eastAsia="Tahoma" w:hAnsi="Tahoma"/>
                <w:color w:val="FFFFFF"/>
                <w:spacing w:val="-2"/>
              </w:rPr>
            </w:pPr>
            <w:r w:rsidRPr="00BA54D3">
              <w:rPr>
                <w:rFonts w:ascii="Tahoma" w:eastAsia="Tahoma" w:hAnsi="Tahoma"/>
                <w:color w:val="0E2841" w:themeColor="text2"/>
                <w:spacing w:val="-2"/>
              </w:rPr>
              <w:t>(2023 – 2024)</w:t>
            </w:r>
          </w:p>
        </w:tc>
        <w:tc>
          <w:tcPr>
            <w:tcW w:w="3253" w:type="dxa"/>
            <w:shd w:val="clear" w:color="00B0F0" w:fill="00B0F0"/>
          </w:tcPr>
          <w:p w14:paraId="3957913D" w14:textId="77777777" w:rsidR="002664E9" w:rsidRDefault="002664E9" w:rsidP="00092205">
            <w:pPr>
              <w:tabs>
                <w:tab w:val="left" w:pos="4392"/>
              </w:tabs>
              <w:spacing w:line="249" w:lineRule="exact"/>
              <w:jc w:val="center"/>
              <w:textAlignment w:val="baseline"/>
              <w:rPr>
                <w:rFonts w:ascii="Tahoma" w:eastAsia="Tahoma" w:hAnsi="Tahoma"/>
                <w:color w:val="000000"/>
                <w:spacing w:val="-4"/>
              </w:rPr>
            </w:pPr>
            <w:r w:rsidRPr="00BA54D3">
              <w:rPr>
                <w:rFonts w:ascii="Tahoma" w:eastAsia="Tahoma" w:hAnsi="Tahoma"/>
                <w:color w:val="0E2841" w:themeColor="text2"/>
              </w:rPr>
              <w:t>Compounded Annual Growth</w:t>
            </w:r>
            <w:r w:rsidRPr="00BA54D3">
              <w:rPr>
                <w:rFonts w:ascii="Tahoma" w:eastAsia="Tahoma" w:hAnsi="Tahoma"/>
                <w:color w:val="0E2841" w:themeColor="text2"/>
                <w:spacing w:val="-2"/>
              </w:rPr>
              <w:t xml:space="preserve"> (2024-2030)</w:t>
            </w:r>
          </w:p>
          <w:p w14:paraId="6C381F68" w14:textId="1145BCF8" w:rsidR="002664E9" w:rsidRDefault="002664E9" w:rsidP="00092205">
            <w:pPr>
              <w:tabs>
                <w:tab w:val="left" w:pos="5256"/>
              </w:tabs>
              <w:spacing w:line="260" w:lineRule="exact"/>
              <w:ind w:left="45"/>
              <w:jc w:val="center"/>
              <w:textAlignment w:val="baseline"/>
              <w:rPr>
                <w:rFonts w:ascii="Tahoma" w:eastAsia="Tahoma" w:hAnsi="Tahoma"/>
                <w:color w:val="FFFFFF"/>
                <w:spacing w:val="-2"/>
              </w:rPr>
            </w:pPr>
          </w:p>
        </w:tc>
      </w:tr>
      <w:tr w:rsidR="00092205" w14:paraId="07E98FA9" w14:textId="77777777" w:rsidTr="00EE1D2C">
        <w:trPr>
          <w:trHeight w:hRule="exact" w:val="411"/>
        </w:trPr>
        <w:tc>
          <w:tcPr>
            <w:tcW w:w="2072" w:type="dxa"/>
            <w:tcBorders>
              <w:bottom w:val="single" w:sz="4" w:space="0" w:color="0070C0"/>
            </w:tcBorders>
            <w:shd w:val="clear" w:color="auto" w:fill="FFFFFF" w:themeFill="background1"/>
          </w:tcPr>
          <w:p w14:paraId="4B1F14E7" w14:textId="2A00ED3D" w:rsidR="00092205" w:rsidRDefault="00092205" w:rsidP="00BD7736">
            <w:pPr>
              <w:tabs>
                <w:tab w:val="left" w:pos="4392"/>
              </w:tabs>
              <w:spacing w:line="249" w:lineRule="exact"/>
              <w:jc w:val="center"/>
              <w:textAlignment w:val="baseline"/>
              <w:rPr>
                <w:rFonts w:ascii="Tahoma" w:eastAsia="Tahoma" w:hAnsi="Tahoma"/>
                <w:color w:val="FFFFFF"/>
              </w:rPr>
            </w:pPr>
            <w:r>
              <w:rPr>
                <w:rFonts w:ascii="Tahoma" w:eastAsia="Tahoma" w:hAnsi="Tahoma"/>
                <w:color w:val="000000"/>
                <w:spacing w:val="-4"/>
              </w:rPr>
              <w:t>Net Revenue</w:t>
            </w:r>
          </w:p>
        </w:tc>
        <w:tc>
          <w:tcPr>
            <w:tcW w:w="2382" w:type="dxa"/>
            <w:tcBorders>
              <w:bottom w:val="single" w:sz="4" w:space="0" w:color="0070C0"/>
            </w:tcBorders>
            <w:shd w:val="clear" w:color="auto" w:fill="FFFFFF" w:themeFill="background1"/>
          </w:tcPr>
          <w:p w14:paraId="0271AC2D" w14:textId="009A0F5C" w:rsidR="00092205" w:rsidRDefault="00092205" w:rsidP="00BD7736">
            <w:pPr>
              <w:tabs>
                <w:tab w:val="left" w:pos="4392"/>
              </w:tabs>
              <w:spacing w:line="249" w:lineRule="exact"/>
              <w:jc w:val="center"/>
              <w:textAlignment w:val="baseline"/>
              <w:rPr>
                <w:rFonts w:ascii="Tahoma" w:eastAsia="Tahoma" w:hAnsi="Tahoma"/>
                <w:color w:val="FFFFFF"/>
              </w:rPr>
            </w:pPr>
            <w:r>
              <w:rPr>
                <w:rFonts w:ascii="Tahoma" w:eastAsia="Tahoma" w:hAnsi="Tahoma"/>
                <w:color w:val="000000"/>
                <w:spacing w:val="-4"/>
              </w:rPr>
              <w:t>10.2%</w:t>
            </w:r>
          </w:p>
        </w:tc>
        <w:tc>
          <w:tcPr>
            <w:tcW w:w="3253" w:type="dxa"/>
            <w:tcBorders>
              <w:bottom w:val="single" w:sz="4" w:space="0" w:color="0070C0"/>
            </w:tcBorders>
            <w:shd w:val="clear" w:color="auto" w:fill="FFFFFF" w:themeFill="background1"/>
          </w:tcPr>
          <w:p w14:paraId="7EA7D6D4" w14:textId="5B5169D9" w:rsidR="00092205" w:rsidRDefault="00092205" w:rsidP="00BD7736">
            <w:pPr>
              <w:tabs>
                <w:tab w:val="left" w:pos="4392"/>
              </w:tabs>
              <w:spacing w:line="249" w:lineRule="exact"/>
              <w:jc w:val="center"/>
              <w:textAlignment w:val="baseline"/>
              <w:rPr>
                <w:rFonts w:ascii="Tahoma" w:eastAsia="Tahoma" w:hAnsi="Tahoma"/>
                <w:color w:val="FFFFFF"/>
              </w:rPr>
            </w:pPr>
            <w:r>
              <w:rPr>
                <w:rFonts w:ascii="Tahoma" w:eastAsia="Tahoma" w:hAnsi="Tahoma"/>
                <w:color w:val="000000"/>
                <w:spacing w:val="-4"/>
              </w:rPr>
              <w:t>8.7%</w:t>
            </w:r>
          </w:p>
        </w:tc>
      </w:tr>
    </w:tbl>
    <w:p w14:paraId="6C381F6A" w14:textId="1B40BA47" w:rsidR="008C360C" w:rsidRDefault="008C360C" w:rsidP="00EE1D2C">
      <w:pPr>
        <w:tabs>
          <w:tab w:val="left" w:pos="3600"/>
          <w:tab w:val="left" w:pos="6552"/>
        </w:tabs>
        <w:spacing w:line="234" w:lineRule="exact"/>
        <w:textAlignment w:val="baseline"/>
        <w:rPr>
          <w:rFonts w:ascii="Tahoma" w:eastAsia="Tahoma" w:hAnsi="Tahoma"/>
          <w:color w:val="000000"/>
          <w:spacing w:val="-4"/>
        </w:rPr>
      </w:pPr>
    </w:p>
    <w:p w14:paraId="4B2266B0" w14:textId="77777777" w:rsidR="00313D43" w:rsidRDefault="002A0B22" w:rsidP="00313D43">
      <w:pPr>
        <w:spacing w:before="277" w:line="510" w:lineRule="exact"/>
        <w:ind w:left="144" w:right="144"/>
        <w:jc w:val="both"/>
        <w:textAlignment w:val="baseline"/>
        <w:rPr>
          <w:rFonts w:ascii="Tahoma" w:eastAsia="Tahoma" w:hAnsi="Tahoma"/>
          <w:color w:val="000000"/>
        </w:rPr>
      </w:pPr>
      <w:r>
        <w:rPr>
          <w:rFonts w:ascii="Tahoma" w:eastAsia="Tahoma" w:hAnsi="Tahoma"/>
          <w:color w:val="000000"/>
        </w:rPr>
        <w:t>Furthermore, based on information provided by Management, we note that as of the end of the third quarter of fiscal year 2025, GBU has already achieved 72 percent of its total expected net revenue for the year. With one quarter remaining, Management is on track to meet the anticipated revenue forecast for fiscal year 2025.</w:t>
      </w:r>
    </w:p>
    <w:p w14:paraId="6C381F6C" w14:textId="05A94E02" w:rsidR="008C360C" w:rsidRDefault="002A0B22" w:rsidP="00313D43">
      <w:pPr>
        <w:spacing w:before="277" w:line="510" w:lineRule="exact"/>
        <w:ind w:left="144" w:right="144"/>
        <w:jc w:val="both"/>
        <w:textAlignment w:val="baseline"/>
        <w:rPr>
          <w:rFonts w:ascii="Tahoma" w:eastAsia="Tahoma" w:hAnsi="Tahoma"/>
          <w:color w:val="000000"/>
        </w:rPr>
      </w:pPr>
      <w:r>
        <w:rPr>
          <w:rFonts w:ascii="Tahoma" w:eastAsia="Tahoma" w:hAnsi="Tahoma"/>
          <w:color w:val="000000"/>
        </w:rPr>
        <w:t>Based upon the foregoing, it is our opinion that the revenue growth projected by Management reflects a reasonable estimation of future revenue of GBU.</w:t>
      </w:r>
    </w:p>
    <w:p w14:paraId="6C381F6D" w14:textId="77777777" w:rsidR="008C360C" w:rsidRDefault="008C360C">
      <w:pPr>
        <w:sectPr w:rsidR="008C360C">
          <w:pgSz w:w="12240" w:h="15840"/>
          <w:pgMar w:top="780" w:right="1287" w:bottom="3124" w:left="1513" w:header="720" w:footer="720" w:gutter="0"/>
          <w:cols w:space="720"/>
        </w:sectPr>
      </w:pPr>
    </w:p>
    <w:p w14:paraId="6C381F71" w14:textId="77777777" w:rsidR="008C360C" w:rsidRDefault="008C360C">
      <w:pPr>
        <w:spacing w:after="988" w:line="20" w:lineRule="exact"/>
      </w:pPr>
    </w:p>
    <w:p w14:paraId="6C381F72" w14:textId="77777777" w:rsidR="008C360C" w:rsidRDefault="002A0B22" w:rsidP="00DA5641">
      <w:pPr>
        <w:pStyle w:val="Heading3"/>
      </w:pPr>
      <w:r>
        <w:t>2. Total Operating Expenses</w:t>
      </w:r>
    </w:p>
    <w:p w14:paraId="6C381F73" w14:textId="77777777" w:rsidR="008C360C" w:rsidRDefault="002A0B22">
      <w:pPr>
        <w:spacing w:before="249" w:line="511" w:lineRule="exact"/>
        <w:ind w:left="144" w:right="144"/>
        <w:jc w:val="both"/>
        <w:textAlignment w:val="baseline"/>
        <w:rPr>
          <w:rFonts w:ascii="Tahoma" w:eastAsia="Tahoma" w:hAnsi="Tahoma"/>
          <w:color w:val="000000"/>
          <w:spacing w:val="-2"/>
        </w:rPr>
      </w:pPr>
      <w:r>
        <w:rPr>
          <w:rFonts w:ascii="Tahoma" w:eastAsia="Tahoma" w:hAnsi="Tahoma"/>
          <w:color w:val="000000"/>
          <w:spacing w:val="-2"/>
        </w:rPr>
        <w:t>We performed a review of the categorized operating expenses for fiscal year 2024 to evaluate their reasonableness and feasibility. The total direct expenses for 2024 were allocated across several key categories. Clinic wages and benefits represented 23.9 percent of net revenue. Non-partner physician compensation accounted for 5.5 percent of net revenue, while medical supplies and the cost of drugs comprised 14.4 percent. Other direct expenses contributed 3.1 percent of net revenue. In addition to direct expenses, administrative wages and benefits were 4.3 percent of net revenue. Facilities expenses accounted for 6.4 percent of net revenue, and other operating expenses represented 16.3 percent, capturing a range of ancillary costs necessary for ongoing operations.</w:t>
      </w:r>
    </w:p>
    <w:p w14:paraId="6C381F74" w14:textId="77777777" w:rsidR="008C360C" w:rsidRDefault="002A0B22">
      <w:pPr>
        <w:spacing w:before="516" w:line="511" w:lineRule="exact"/>
        <w:ind w:left="144" w:right="144"/>
        <w:jc w:val="both"/>
        <w:textAlignment w:val="baseline"/>
        <w:rPr>
          <w:rFonts w:ascii="Tahoma" w:eastAsia="Tahoma" w:hAnsi="Tahoma"/>
          <w:color w:val="000000"/>
        </w:rPr>
      </w:pPr>
      <w:r>
        <w:rPr>
          <w:rFonts w:ascii="Tahoma" w:eastAsia="Tahoma" w:hAnsi="Tahoma"/>
          <w:color w:val="000000"/>
        </w:rPr>
        <w:t>Corresponding to the projected net revenue growth in fiscal years 2025 and 2026, total operating expenses are expected to increase by 24.1 percent and 13.8 percent, respectively. The three major expense categories highlighted in the previous section, which include clinic wages and benefits, medical supplies and the cost of drugs, and other operating expenses, are also anticipated to experience significant growth during this period. Clinic wages and benefits are projected to grow by 9.4 percent in 2025 and 7.9 percent in 2026. Medical supplies and the cost of drugs are expected to increase substantially, with growth rates of 58.4 percent in 2025 and 25.4 percent in 2026, which aligns with the anticipated rise in service volumes and the introduction of new service lines. Other operating expenses are forecasted to grow by 19.1 percent in 2025 and 14.9 percent in 2026.</w:t>
      </w:r>
    </w:p>
    <w:p w14:paraId="6C381F75" w14:textId="77777777" w:rsidR="008C360C" w:rsidRDefault="008C360C">
      <w:pPr>
        <w:sectPr w:rsidR="008C360C">
          <w:pgSz w:w="12240" w:h="15840"/>
          <w:pgMar w:top="780" w:right="1289" w:bottom="2104" w:left="1511" w:header="720" w:footer="720" w:gutter="0"/>
          <w:cols w:space="720"/>
        </w:sectPr>
      </w:pPr>
    </w:p>
    <w:p w14:paraId="6C381F79" w14:textId="77777777" w:rsidR="008C360C" w:rsidRDefault="008C360C">
      <w:pPr>
        <w:spacing w:after="1024" w:line="20" w:lineRule="exact"/>
      </w:pPr>
    </w:p>
    <w:p w14:paraId="6C381F7A" w14:textId="77777777" w:rsidR="008C360C" w:rsidRDefault="002A0B22">
      <w:pPr>
        <w:spacing w:line="479" w:lineRule="exact"/>
        <w:ind w:left="144" w:right="144"/>
        <w:jc w:val="both"/>
        <w:textAlignment w:val="baseline"/>
        <w:rPr>
          <w:rFonts w:ascii="Tahoma" w:eastAsia="Tahoma" w:hAnsi="Tahoma"/>
          <w:color w:val="000000"/>
        </w:rPr>
      </w:pPr>
      <w:r>
        <w:rPr>
          <w:rFonts w:ascii="Tahoma" w:eastAsia="Tahoma" w:hAnsi="Tahoma"/>
          <w:color w:val="000000"/>
        </w:rPr>
        <w:t>In addition, administrative wages and benefits and facilities expenses are projected to grow by 30.3 percent and 22.9 percent, respectively, in 2025. These increases reflect the additional resources required to support organizational expansion and the opening of new locations. After the significant increases in 2025 and 2026, the growth rate of total operating expenses is expected to moderate, with annual increases trending between 2.0 percent and 2.9 percent in the projected years. This trend reflects Management’s expectation that, after the initial phase of expansion, operating costs will stabilize in line with the organization’s ongoing operational needs.</w:t>
      </w:r>
    </w:p>
    <w:p w14:paraId="6C381F7B" w14:textId="77777777" w:rsidR="008C360C" w:rsidRDefault="002A0B22">
      <w:pPr>
        <w:spacing w:before="519" w:after="235" w:line="510" w:lineRule="exact"/>
        <w:ind w:left="144" w:right="144"/>
        <w:jc w:val="both"/>
        <w:textAlignment w:val="baseline"/>
        <w:rPr>
          <w:rFonts w:ascii="Tahoma" w:eastAsia="Tahoma" w:hAnsi="Tahoma"/>
          <w:color w:val="000000"/>
        </w:rPr>
      </w:pPr>
      <w:r>
        <w:rPr>
          <w:rFonts w:ascii="Tahoma" w:eastAsia="Tahoma" w:hAnsi="Tahoma"/>
          <w:color w:val="000000"/>
        </w:rPr>
        <w:t>The table below illustrates that the projected annual growth rates for total operating expenses, ranging from 2.0 percent to 24.1 percent, and the compounded annual growth rate of 7.6 percent over the projection period, are reasonable when compared to the historical annual growth rate of 11.7 percent observed in fiscal year 2024.</w:t>
      </w:r>
    </w:p>
    <w:tbl>
      <w:tblPr>
        <w:tblW w:w="10131" w:type="dxa"/>
        <w:tblLayout w:type="fixed"/>
        <w:tblCellMar>
          <w:left w:w="0" w:type="dxa"/>
          <w:right w:w="0" w:type="dxa"/>
        </w:tblCellMar>
        <w:tblLook w:val="0000" w:firstRow="0" w:lastRow="0" w:firstColumn="0" w:lastColumn="0" w:noHBand="0" w:noVBand="0"/>
      </w:tblPr>
      <w:tblGrid>
        <w:gridCol w:w="1915"/>
        <w:gridCol w:w="2202"/>
        <w:gridCol w:w="3007"/>
        <w:gridCol w:w="3007"/>
      </w:tblGrid>
      <w:tr w:rsidR="008B713B" w14:paraId="3325C7BF" w14:textId="77777777" w:rsidTr="008B713B">
        <w:trPr>
          <w:trHeight w:hRule="exact" w:val="629"/>
        </w:trPr>
        <w:tc>
          <w:tcPr>
            <w:tcW w:w="1915" w:type="dxa"/>
            <w:shd w:val="clear" w:color="00B0F0" w:fill="00B0F0"/>
          </w:tcPr>
          <w:p w14:paraId="79AB323E" w14:textId="77777777" w:rsidR="008B713B" w:rsidRDefault="008B713B" w:rsidP="00545470">
            <w:pPr>
              <w:tabs>
                <w:tab w:val="left" w:pos="2078"/>
                <w:tab w:val="left" w:pos="5256"/>
              </w:tabs>
              <w:spacing w:line="260" w:lineRule="exact"/>
              <w:ind w:left="2304"/>
              <w:textAlignment w:val="baseline"/>
              <w:rPr>
                <w:rFonts w:ascii="Tahoma" w:eastAsia="Tahoma" w:hAnsi="Tahoma"/>
                <w:color w:val="FFFFFF"/>
                <w:spacing w:val="-2"/>
              </w:rPr>
            </w:pPr>
            <w:r>
              <w:rPr>
                <w:rFonts w:ascii="Tahoma" w:eastAsia="Tahoma" w:hAnsi="Tahoma"/>
                <w:color w:val="0E2841" w:themeColor="text2"/>
                <w:spacing w:val="-2"/>
              </w:rPr>
              <w:t>NA</w:t>
            </w:r>
          </w:p>
        </w:tc>
        <w:tc>
          <w:tcPr>
            <w:tcW w:w="2202" w:type="dxa"/>
            <w:shd w:val="clear" w:color="00B0F0" w:fill="00B0F0"/>
          </w:tcPr>
          <w:p w14:paraId="37B35EFF" w14:textId="1BD960BA" w:rsidR="008B713B" w:rsidRDefault="00077590" w:rsidP="00545470">
            <w:pPr>
              <w:tabs>
                <w:tab w:val="left" w:pos="4392"/>
              </w:tabs>
              <w:spacing w:line="249" w:lineRule="exact"/>
              <w:ind w:left="54"/>
              <w:jc w:val="center"/>
              <w:textAlignment w:val="baseline"/>
              <w:rPr>
                <w:rFonts w:ascii="Tahoma" w:eastAsia="Tahoma" w:hAnsi="Tahoma"/>
                <w:color w:val="0E2841" w:themeColor="text2"/>
              </w:rPr>
            </w:pPr>
            <w:r>
              <w:rPr>
                <w:rFonts w:ascii="Tahoma" w:eastAsia="Tahoma" w:hAnsi="Tahoma"/>
                <w:color w:val="0E2841" w:themeColor="text2"/>
              </w:rPr>
              <w:t>Annual</w:t>
            </w:r>
            <w:r w:rsidR="008B713B" w:rsidRPr="00BA54D3">
              <w:rPr>
                <w:rFonts w:ascii="Tahoma" w:eastAsia="Tahoma" w:hAnsi="Tahoma"/>
                <w:color w:val="0E2841" w:themeColor="text2"/>
              </w:rPr>
              <w:t xml:space="preserve"> Growth</w:t>
            </w:r>
          </w:p>
          <w:p w14:paraId="77503AD2" w14:textId="77777777" w:rsidR="008B713B" w:rsidRDefault="008B713B" w:rsidP="00545470">
            <w:pPr>
              <w:tabs>
                <w:tab w:val="left" w:pos="4392"/>
              </w:tabs>
              <w:spacing w:line="249" w:lineRule="exact"/>
              <w:ind w:left="54"/>
              <w:jc w:val="center"/>
              <w:textAlignment w:val="baseline"/>
              <w:rPr>
                <w:rFonts w:ascii="Tahoma" w:eastAsia="Tahoma" w:hAnsi="Tahoma"/>
                <w:color w:val="FFFFFF"/>
                <w:spacing w:val="-2"/>
              </w:rPr>
            </w:pPr>
            <w:r w:rsidRPr="00BA54D3">
              <w:rPr>
                <w:rFonts w:ascii="Tahoma" w:eastAsia="Tahoma" w:hAnsi="Tahoma"/>
                <w:color w:val="0E2841" w:themeColor="text2"/>
                <w:spacing w:val="-2"/>
              </w:rPr>
              <w:t>(2023 – 2024)</w:t>
            </w:r>
          </w:p>
        </w:tc>
        <w:tc>
          <w:tcPr>
            <w:tcW w:w="3007" w:type="dxa"/>
            <w:shd w:val="clear" w:color="00B0F0" w:fill="00B0F0"/>
          </w:tcPr>
          <w:p w14:paraId="25B6AF12" w14:textId="77777777" w:rsidR="008B713B" w:rsidRDefault="00077590" w:rsidP="00545470">
            <w:pPr>
              <w:tabs>
                <w:tab w:val="left" w:pos="4392"/>
              </w:tabs>
              <w:spacing w:line="249" w:lineRule="exact"/>
              <w:jc w:val="center"/>
              <w:textAlignment w:val="baseline"/>
              <w:rPr>
                <w:rFonts w:ascii="Tahoma" w:eastAsia="Tahoma" w:hAnsi="Tahoma"/>
                <w:color w:val="0E2841" w:themeColor="text2"/>
              </w:rPr>
            </w:pPr>
            <w:r w:rsidRPr="00077590">
              <w:rPr>
                <w:rFonts w:ascii="Tahoma" w:eastAsia="Tahoma" w:hAnsi="Tahoma"/>
                <w:color w:val="0E2841" w:themeColor="text2"/>
              </w:rPr>
              <w:t>Projected Annual</w:t>
            </w:r>
            <w:r>
              <w:rPr>
                <w:rFonts w:ascii="Tahoma" w:eastAsia="Tahoma" w:hAnsi="Tahoma"/>
                <w:color w:val="0E2841" w:themeColor="text2"/>
              </w:rPr>
              <w:t xml:space="preserve"> </w:t>
            </w:r>
            <w:r w:rsidRPr="00077590">
              <w:rPr>
                <w:rFonts w:ascii="Tahoma" w:eastAsia="Tahoma" w:hAnsi="Tahoma"/>
                <w:color w:val="0E2841" w:themeColor="text2"/>
              </w:rPr>
              <w:t>Growth</w:t>
            </w:r>
          </w:p>
          <w:p w14:paraId="61078400" w14:textId="0AF670E4" w:rsidR="00077590" w:rsidRPr="00BA54D3" w:rsidRDefault="00077590" w:rsidP="00545470">
            <w:pPr>
              <w:tabs>
                <w:tab w:val="left" w:pos="4392"/>
              </w:tabs>
              <w:spacing w:line="249" w:lineRule="exact"/>
              <w:jc w:val="center"/>
              <w:textAlignment w:val="baseline"/>
              <w:rPr>
                <w:rFonts w:ascii="Tahoma" w:eastAsia="Tahoma" w:hAnsi="Tahoma"/>
                <w:color w:val="0E2841" w:themeColor="text2"/>
              </w:rPr>
            </w:pPr>
            <w:r w:rsidRPr="00077590">
              <w:rPr>
                <w:rFonts w:ascii="Tahoma" w:eastAsia="Tahoma" w:hAnsi="Tahoma"/>
                <w:color w:val="0E2841" w:themeColor="text2"/>
              </w:rPr>
              <w:t>(2024 – 2030)</w:t>
            </w:r>
          </w:p>
        </w:tc>
        <w:tc>
          <w:tcPr>
            <w:tcW w:w="3007" w:type="dxa"/>
            <w:shd w:val="clear" w:color="00B0F0" w:fill="00B0F0"/>
          </w:tcPr>
          <w:p w14:paraId="5BED707D" w14:textId="14D596D1" w:rsidR="008B713B" w:rsidRDefault="008B713B" w:rsidP="00545470">
            <w:pPr>
              <w:tabs>
                <w:tab w:val="left" w:pos="4392"/>
              </w:tabs>
              <w:spacing w:line="249" w:lineRule="exact"/>
              <w:jc w:val="center"/>
              <w:textAlignment w:val="baseline"/>
              <w:rPr>
                <w:rFonts w:ascii="Tahoma" w:eastAsia="Tahoma" w:hAnsi="Tahoma"/>
                <w:color w:val="000000"/>
                <w:spacing w:val="-4"/>
              </w:rPr>
            </w:pPr>
            <w:r w:rsidRPr="00BA54D3">
              <w:rPr>
                <w:rFonts w:ascii="Tahoma" w:eastAsia="Tahoma" w:hAnsi="Tahoma"/>
                <w:color w:val="0E2841" w:themeColor="text2"/>
              </w:rPr>
              <w:t>Compounded Annual Growth</w:t>
            </w:r>
            <w:r w:rsidRPr="00BA54D3">
              <w:rPr>
                <w:rFonts w:ascii="Tahoma" w:eastAsia="Tahoma" w:hAnsi="Tahoma"/>
                <w:color w:val="0E2841" w:themeColor="text2"/>
                <w:spacing w:val="-2"/>
              </w:rPr>
              <w:t xml:space="preserve"> (2024-2030)</w:t>
            </w:r>
          </w:p>
          <w:p w14:paraId="3F016252" w14:textId="77777777" w:rsidR="008B713B" w:rsidRDefault="008B713B" w:rsidP="00545470">
            <w:pPr>
              <w:tabs>
                <w:tab w:val="left" w:pos="5256"/>
              </w:tabs>
              <w:spacing w:line="260" w:lineRule="exact"/>
              <w:ind w:left="45"/>
              <w:jc w:val="center"/>
              <w:textAlignment w:val="baseline"/>
              <w:rPr>
                <w:rFonts w:ascii="Tahoma" w:eastAsia="Tahoma" w:hAnsi="Tahoma"/>
                <w:color w:val="FFFFFF"/>
                <w:spacing w:val="-2"/>
              </w:rPr>
            </w:pPr>
          </w:p>
        </w:tc>
      </w:tr>
      <w:tr w:rsidR="008B713B" w14:paraId="2CE178F5" w14:textId="77777777" w:rsidTr="008B713B">
        <w:trPr>
          <w:trHeight w:hRule="exact" w:val="476"/>
        </w:trPr>
        <w:tc>
          <w:tcPr>
            <w:tcW w:w="1915" w:type="dxa"/>
            <w:tcBorders>
              <w:bottom w:val="single" w:sz="4" w:space="0" w:color="0070C0"/>
            </w:tcBorders>
            <w:shd w:val="clear" w:color="auto" w:fill="FFFFFF" w:themeFill="background1"/>
          </w:tcPr>
          <w:p w14:paraId="7E3C2635" w14:textId="77777777" w:rsidR="00077590" w:rsidRDefault="00077590" w:rsidP="00077590">
            <w:pPr>
              <w:spacing w:after="4" w:line="216" w:lineRule="exact"/>
              <w:textAlignment w:val="baseline"/>
              <w:rPr>
                <w:rFonts w:ascii="Tahoma" w:eastAsia="Tahoma" w:hAnsi="Tahoma"/>
                <w:color w:val="000000"/>
                <w:spacing w:val="-4"/>
              </w:rPr>
            </w:pPr>
            <w:r w:rsidRPr="00077590">
              <w:rPr>
                <w:rFonts w:ascii="Tahoma" w:eastAsia="Tahoma" w:hAnsi="Tahoma"/>
                <w:color w:val="000000"/>
                <w:spacing w:val="-4"/>
              </w:rPr>
              <w:t>Total Operating</w:t>
            </w:r>
            <w:r>
              <w:rPr>
                <w:rFonts w:ascii="Tahoma" w:eastAsia="Tahoma" w:hAnsi="Tahoma"/>
                <w:color w:val="000000"/>
                <w:spacing w:val="-4"/>
              </w:rPr>
              <w:t xml:space="preserve"> </w:t>
            </w:r>
            <w:r>
              <w:rPr>
                <w:rFonts w:ascii="Tahoma" w:eastAsia="Tahoma" w:hAnsi="Tahoma"/>
                <w:color w:val="000000"/>
                <w:spacing w:val="-4"/>
              </w:rPr>
              <w:t>Expenses</w:t>
            </w:r>
          </w:p>
          <w:p w14:paraId="4B6CA9B3" w14:textId="6492A8E7" w:rsidR="008B713B" w:rsidRDefault="008B713B" w:rsidP="00545470">
            <w:pPr>
              <w:tabs>
                <w:tab w:val="left" w:pos="4392"/>
              </w:tabs>
              <w:spacing w:line="249" w:lineRule="exact"/>
              <w:jc w:val="center"/>
              <w:textAlignment w:val="baseline"/>
              <w:rPr>
                <w:rFonts w:ascii="Tahoma" w:eastAsia="Tahoma" w:hAnsi="Tahoma"/>
                <w:color w:val="FFFFFF"/>
              </w:rPr>
            </w:pPr>
          </w:p>
        </w:tc>
        <w:tc>
          <w:tcPr>
            <w:tcW w:w="2202" w:type="dxa"/>
            <w:tcBorders>
              <w:bottom w:val="single" w:sz="4" w:space="0" w:color="0070C0"/>
            </w:tcBorders>
            <w:shd w:val="clear" w:color="auto" w:fill="FFFFFF" w:themeFill="background1"/>
          </w:tcPr>
          <w:p w14:paraId="22B72487" w14:textId="013F4B28" w:rsidR="008B713B" w:rsidRDefault="005B4521" w:rsidP="00545470">
            <w:pPr>
              <w:tabs>
                <w:tab w:val="left" w:pos="4392"/>
              </w:tabs>
              <w:spacing w:line="249" w:lineRule="exact"/>
              <w:jc w:val="center"/>
              <w:textAlignment w:val="baseline"/>
              <w:rPr>
                <w:rFonts w:ascii="Tahoma" w:eastAsia="Tahoma" w:hAnsi="Tahoma"/>
                <w:color w:val="FFFFFF"/>
              </w:rPr>
            </w:pPr>
            <w:r>
              <w:rPr>
                <w:rFonts w:ascii="Tahoma" w:eastAsia="Tahoma" w:hAnsi="Tahoma"/>
                <w:color w:val="000000"/>
                <w:spacing w:val="-3"/>
              </w:rPr>
              <w:t>11.7%</w:t>
            </w:r>
          </w:p>
        </w:tc>
        <w:tc>
          <w:tcPr>
            <w:tcW w:w="3007" w:type="dxa"/>
            <w:tcBorders>
              <w:bottom w:val="single" w:sz="4" w:space="0" w:color="0070C0"/>
            </w:tcBorders>
            <w:shd w:val="clear" w:color="auto" w:fill="FFFFFF" w:themeFill="background1"/>
          </w:tcPr>
          <w:p w14:paraId="5ABEA19C" w14:textId="334F0975" w:rsidR="008B713B" w:rsidRDefault="005B4521" w:rsidP="00545470">
            <w:pPr>
              <w:tabs>
                <w:tab w:val="left" w:pos="4392"/>
              </w:tabs>
              <w:spacing w:line="249" w:lineRule="exact"/>
              <w:jc w:val="center"/>
              <w:textAlignment w:val="baseline"/>
              <w:rPr>
                <w:rFonts w:ascii="Tahoma" w:eastAsia="Tahoma" w:hAnsi="Tahoma"/>
                <w:color w:val="000000"/>
                <w:spacing w:val="-4"/>
              </w:rPr>
            </w:pPr>
            <w:r>
              <w:rPr>
                <w:rFonts w:ascii="Tahoma" w:eastAsia="Tahoma" w:hAnsi="Tahoma"/>
                <w:color w:val="000000"/>
                <w:spacing w:val="-3"/>
              </w:rPr>
              <w:t>2.0% - 24.1%</w:t>
            </w:r>
          </w:p>
        </w:tc>
        <w:tc>
          <w:tcPr>
            <w:tcW w:w="3007" w:type="dxa"/>
            <w:tcBorders>
              <w:bottom w:val="single" w:sz="4" w:space="0" w:color="0070C0"/>
            </w:tcBorders>
            <w:shd w:val="clear" w:color="auto" w:fill="FFFFFF" w:themeFill="background1"/>
          </w:tcPr>
          <w:p w14:paraId="6701031E" w14:textId="78EF3611" w:rsidR="008B713B" w:rsidRDefault="005B4521" w:rsidP="00545470">
            <w:pPr>
              <w:tabs>
                <w:tab w:val="left" w:pos="4392"/>
              </w:tabs>
              <w:spacing w:line="249" w:lineRule="exact"/>
              <w:jc w:val="center"/>
              <w:textAlignment w:val="baseline"/>
              <w:rPr>
                <w:rFonts w:ascii="Tahoma" w:eastAsia="Tahoma" w:hAnsi="Tahoma"/>
                <w:color w:val="FFFFFF"/>
              </w:rPr>
            </w:pPr>
            <w:r>
              <w:rPr>
                <w:rFonts w:ascii="Tahoma" w:eastAsia="Tahoma" w:hAnsi="Tahoma"/>
                <w:color w:val="000000"/>
                <w:spacing w:val="-3"/>
              </w:rPr>
              <w:t>7.6%</w:t>
            </w:r>
          </w:p>
        </w:tc>
      </w:tr>
    </w:tbl>
    <w:p w14:paraId="6C381F80" w14:textId="61B88575" w:rsidR="008C360C" w:rsidRDefault="002A0B22">
      <w:pPr>
        <w:spacing w:before="273" w:line="511" w:lineRule="exact"/>
        <w:ind w:left="144" w:right="144"/>
        <w:jc w:val="both"/>
        <w:textAlignment w:val="baseline"/>
        <w:rPr>
          <w:rFonts w:ascii="Tahoma" w:eastAsia="Tahoma" w:hAnsi="Tahoma"/>
          <w:color w:val="000000"/>
          <w:spacing w:val="6"/>
        </w:rPr>
      </w:pPr>
      <w:r>
        <w:rPr>
          <w:rFonts w:ascii="Tahoma" w:eastAsia="Tahoma" w:hAnsi="Tahoma"/>
          <w:color w:val="000000"/>
          <w:spacing w:val="6"/>
        </w:rPr>
        <w:t>Based upon the foregoing, it is our opinion that the total operating expenses within the Projections reflect a reasonable estimation of future expenses of the Applicant. The projected increases in total operating expenses for fiscal years 2025 and 2026 reflect anticipated expansion and higher service volumes, while the subsequent moderation in growth rates aligns with Management’s expectation of normalized operations and cost management initiatives. The projected annual and compounded growth rates for total</w:t>
      </w:r>
    </w:p>
    <w:p w14:paraId="6C381F81" w14:textId="77777777" w:rsidR="008C360C" w:rsidRDefault="008C360C">
      <w:pPr>
        <w:sectPr w:rsidR="008C360C">
          <w:pgSz w:w="12240" w:h="15840"/>
          <w:pgMar w:top="780" w:right="1284" w:bottom="1764" w:left="1516" w:header="720" w:footer="720" w:gutter="0"/>
          <w:cols w:space="720"/>
        </w:sectPr>
      </w:pPr>
    </w:p>
    <w:p w14:paraId="6C381F85" w14:textId="77777777" w:rsidR="008C360C" w:rsidRDefault="008C360C">
      <w:pPr>
        <w:spacing w:after="772" w:line="20" w:lineRule="exact"/>
      </w:pPr>
    </w:p>
    <w:p w14:paraId="6C381F86" w14:textId="77777777" w:rsidR="008C360C" w:rsidRDefault="002A0B22">
      <w:pPr>
        <w:spacing w:line="510" w:lineRule="exact"/>
        <w:ind w:left="144" w:right="144"/>
        <w:jc w:val="both"/>
        <w:textAlignment w:val="baseline"/>
        <w:rPr>
          <w:rFonts w:ascii="Tahoma" w:eastAsia="Tahoma" w:hAnsi="Tahoma"/>
          <w:color w:val="000000"/>
        </w:rPr>
      </w:pPr>
      <w:r>
        <w:rPr>
          <w:rFonts w:ascii="Tahoma" w:eastAsia="Tahoma" w:hAnsi="Tahoma"/>
          <w:color w:val="000000"/>
        </w:rPr>
        <w:t>operating expenses are supported by historical trends, providing a sound basis for the Applicant’s future financial outlook.</w:t>
      </w:r>
    </w:p>
    <w:p w14:paraId="39549141" w14:textId="77777777" w:rsidR="00E31A1C" w:rsidRDefault="00E31A1C">
      <w:pPr>
        <w:spacing w:line="510" w:lineRule="exact"/>
        <w:ind w:left="144" w:right="144"/>
        <w:jc w:val="both"/>
        <w:textAlignment w:val="baseline"/>
        <w:rPr>
          <w:rFonts w:ascii="Tahoma" w:eastAsia="Tahoma" w:hAnsi="Tahoma"/>
          <w:color w:val="000000"/>
        </w:rPr>
      </w:pPr>
    </w:p>
    <w:p w14:paraId="6C381F87" w14:textId="77777777" w:rsidR="008C360C" w:rsidRDefault="002A0B22" w:rsidP="00E31A1C">
      <w:pPr>
        <w:pStyle w:val="Heading3"/>
      </w:pPr>
      <w:r>
        <w:t>3. Capital Expenditures and Proposed Project Financing</w:t>
      </w:r>
    </w:p>
    <w:p w14:paraId="6C381F88" w14:textId="77777777" w:rsidR="008C360C" w:rsidRDefault="002A0B22">
      <w:pPr>
        <w:spacing w:line="510" w:lineRule="exact"/>
        <w:ind w:left="144" w:right="144"/>
        <w:jc w:val="both"/>
        <w:textAlignment w:val="baseline"/>
        <w:rPr>
          <w:rFonts w:ascii="Tahoma" w:eastAsia="Tahoma" w:hAnsi="Tahoma"/>
          <w:color w:val="000000"/>
        </w:rPr>
      </w:pPr>
      <w:r>
        <w:rPr>
          <w:rFonts w:ascii="Tahoma" w:eastAsia="Tahoma" w:hAnsi="Tahoma"/>
          <w:color w:val="000000"/>
        </w:rPr>
        <w:t>We have reviewed the capital expenditure requirements and related financing arrangements for the Proposed Project. Based on our understanding, the machine’s purchase cost is estimated at approximately $1,000,000. However, the Applicant plans to lease the equipment for $30,000 per month, which is equivalent to $360,000 annually. To accommodate the equipment, anticipated construction related costs, including facility area improvements, electrical upgrades, and other related items, are estimated at $337,500. In addition, project related consulting fees are expected to total $127,665.</w:t>
      </w:r>
    </w:p>
    <w:p w14:paraId="6C381F89" w14:textId="77777777" w:rsidR="008C360C" w:rsidRDefault="002A0B22">
      <w:pPr>
        <w:spacing w:before="513" w:line="511" w:lineRule="exact"/>
        <w:ind w:left="144" w:right="144"/>
        <w:jc w:val="both"/>
        <w:textAlignment w:val="baseline"/>
        <w:rPr>
          <w:rFonts w:ascii="Tahoma" w:eastAsia="Tahoma" w:hAnsi="Tahoma"/>
          <w:color w:val="000000"/>
          <w:spacing w:val="2"/>
        </w:rPr>
      </w:pPr>
      <w:r>
        <w:rPr>
          <w:rFonts w:ascii="Tahoma" w:eastAsia="Tahoma" w:hAnsi="Tahoma"/>
          <w:color w:val="000000"/>
          <w:spacing w:val="2"/>
        </w:rPr>
        <w:t>As of the third quarter of 2025, the company reported a cash balance of $6.1 million and is projected to maintain cash reserves ranging from $9.1 million to $35.7 million over the forecast period. This strong liquidity position indicates that the company has sufficient internal resources to fund the required construction costs without the need for external financing.</w:t>
      </w:r>
    </w:p>
    <w:p w14:paraId="6C381F8A" w14:textId="77777777" w:rsidR="008C360C" w:rsidRDefault="002A0B22">
      <w:pPr>
        <w:spacing w:before="507" w:line="511" w:lineRule="exact"/>
        <w:ind w:left="144" w:right="144"/>
        <w:jc w:val="both"/>
        <w:textAlignment w:val="baseline"/>
        <w:rPr>
          <w:rFonts w:ascii="Tahoma" w:eastAsia="Tahoma" w:hAnsi="Tahoma"/>
          <w:color w:val="000000"/>
        </w:rPr>
      </w:pPr>
      <w:r>
        <w:rPr>
          <w:rFonts w:ascii="Tahoma" w:eastAsia="Tahoma" w:hAnsi="Tahoma"/>
          <w:color w:val="000000"/>
        </w:rPr>
        <w:t>Additionally, we have reviewed the pro-forma financial statements for the PET/CT operations. Beginning with the commencement of operations in 2026, the project is expected to generate positive net income, averaging approximately $504 thousand annually between 2026 and 2030.</w:t>
      </w:r>
    </w:p>
    <w:p w14:paraId="6C381F8B" w14:textId="77777777" w:rsidR="008C360C" w:rsidRDefault="008C360C">
      <w:pPr>
        <w:sectPr w:rsidR="008C360C">
          <w:pgSz w:w="12240" w:h="15840"/>
          <w:pgMar w:top="780" w:right="1287" w:bottom="1864" w:left="1513" w:header="720" w:footer="720" w:gutter="0"/>
          <w:cols w:space="720"/>
        </w:sectPr>
      </w:pPr>
    </w:p>
    <w:p w14:paraId="6C381F8F" w14:textId="77777777" w:rsidR="008C360C" w:rsidRDefault="008C360C">
      <w:pPr>
        <w:spacing w:after="772" w:line="20" w:lineRule="exact"/>
      </w:pPr>
    </w:p>
    <w:p w14:paraId="6C381F90" w14:textId="77777777" w:rsidR="008C360C" w:rsidRDefault="002A0B22">
      <w:pPr>
        <w:spacing w:line="510" w:lineRule="exact"/>
        <w:ind w:left="144" w:right="72"/>
        <w:jc w:val="both"/>
        <w:textAlignment w:val="baseline"/>
        <w:rPr>
          <w:rFonts w:ascii="Tahoma" w:eastAsia="Tahoma" w:hAnsi="Tahoma"/>
          <w:color w:val="000000"/>
        </w:rPr>
      </w:pPr>
      <w:r>
        <w:rPr>
          <w:rFonts w:ascii="Tahoma" w:eastAsia="Tahoma" w:hAnsi="Tahoma"/>
          <w:color w:val="000000"/>
        </w:rPr>
        <w:t>Based on our review, the company appears to be well-positioned to support the Proposed Project from both an operational and financial perspective.</w:t>
      </w:r>
    </w:p>
    <w:p w14:paraId="6C381F91" w14:textId="39B5985C" w:rsidR="008C360C" w:rsidRDefault="002A0B22" w:rsidP="00B46E46">
      <w:pPr>
        <w:pStyle w:val="Heading2"/>
      </w:pPr>
      <w:r w:rsidRPr="00B46E46">
        <w:rPr>
          <w:u w:val="none"/>
        </w:rPr>
        <w:t>VI.</w:t>
      </w:r>
      <w:r w:rsidRPr="00B46E46">
        <w:rPr>
          <w:u w:val="none"/>
        </w:rPr>
        <w:tab/>
      </w:r>
      <w:r w:rsidR="00B46E46">
        <w:t xml:space="preserve">Feasibility </w:t>
      </w:r>
    </w:p>
    <w:p w14:paraId="6C381F92" w14:textId="77777777" w:rsidR="008C360C" w:rsidRDefault="002A0B22">
      <w:pPr>
        <w:spacing w:before="513" w:line="511" w:lineRule="exact"/>
        <w:ind w:left="144" w:right="72"/>
        <w:jc w:val="both"/>
        <w:textAlignment w:val="baseline"/>
        <w:rPr>
          <w:rFonts w:ascii="Tahoma" w:eastAsia="Tahoma" w:hAnsi="Tahoma"/>
          <w:color w:val="000000"/>
        </w:rPr>
      </w:pPr>
      <w:r>
        <w:rPr>
          <w:rFonts w:ascii="Tahoma" w:eastAsia="Tahoma" w:hAnsi="Tahoma"/>
          <w:color w:val="000000"/>
        </w:rPr>
        <w:t>We analyzed the Projections and Key Metrics for the Proposed Project. In preparing our analysis we considered multiple sources of information including industry metrics, historical results, and Management expectations. It is important to note that the Projections do not account for any anticipated changes in accounting standards. These standards, which may have a material impact on individual future years, are not anticipated to have a material impact on the aggregate Projections.</w:t>
      </w:r>
    </w:p>
    <w:p w14:paraId="6C381F93" w14:textId="77777777" w:rsidR="008C360C" w:rsidRDefault="002A0B22">
      <w:pPr>
        <w:spacing w:before="513" w:line="511" w:lineRule="exact"/>
        <w:ind w:left="144" w:right="72"/>
        <w:jc w:val="both"/>
        <w:textAlignment w:val="baseline"/>
        <w:rPr>
          <w:rFonts w:ascii="Tahoma" w:eastAsia="Tahoma" w:hAnsi="Tahoma"/>
          <w:color w:val="000000"/>
        </w:rPr>
      </w:pPr>
      <w:r>
        <w:rPr>
          <w:rFonts w:ascii="Tahoma" w:eastAsia="Tahoma" w:hAnsi="Tahoma"/>
          <w:color w:val="000000"/>
        </w:rPr>
        <w:t>Within the projected financial information, the Projections exhibit a cumulative EBITDA surplus of approximately 29.9 percent of cumulative projected net revenue for the six years from FY 2025 through FY 2030. Based upon our review of the relevant documents and analysis of the Projections, we determined the anticipated EBITDA surplus is a reasonable expectation and based upon feasible financial assumptions. Accordingly, we determined that the Projections are reasonable and feasible, and not likely to have a negative impact on the patient panel or result in a liquidation of assets of GBU.</w:t>
      </w:r>
    </w:p>
    <w:p w14:paraId="6C381F94" w14:textId="77777777" w:rsidR="008C360C" w:rsidRDefault="002A0B22">
      <w:pPr>
        <w:spacing w:before="760" w:after="138" w:line="258" w:lineRule="exact"/>
        <w:ind w:left="144" w:right="72"/>
        <w:textAlignment w:val="baseline"/>
        <w:rPr>
          <w:rFonts w:ascii="Tahoma" w:eastAsia="Tahoma" w:hAnsi="Tahoma"/>
          <w:color w:val="000000"/>
        </w:rPr>
      </w:pPr>
      <w:r>
        <w:rPr>
          <w:rFonts w:ascii="Tahoma" w:eastAsia="Tahoma" w:hAnsi="Tahoma"/>
          <w:color w:val="000000"/>
        </w:rPr>
        <w:t>Respectively submitted,</w:t>
      </w:r>
    </w:p>
    <w:p w14:paraId="6C381F95" w14:textId="77777777" w:rsidR="008C360C" w:rsidRDefault="002A0B22">
      <w:pPr>
        <w:ind w:left="116" w:right="7058"/>
        <w:textAlignment w:val="baseline"/>
      </w:pPr>
      <w:r>
        <w:rPr>
          <w:noProof/>
        </w:rPr>
        <w:drawing>
          <wp:inline distT="0" distB="0" distL="0" distR="0" wp14:anchorId="32223DC1" wp14:editId="3D8A96BD">
            <wp:extent cx="1438910" cy="265430"/>
            <wp:effectExtent l="0" t="0" r="8890" b="1270"/>
            <wp:docPr id="18" name="Picture" descr="BDO USA, P.C."/>
            <wp:cNvGraphicFramePr/>
            <a:graphic xmlns:a="http://schemas.openxmlformats.org/drawingml/2006/main">
              <a:graphicData uri="http://schemas.openxmlformats.org/drawingml/2006/picture">
                <pic:pic xmlns:pic="http://schemas.openxmlformats.org/drawingml/2006/picture">
                  <pic:nvPicPr>
                    <pic:cNvPr id="18" name="Picture" descr="BDO USA, P.C."/>
                    <pic:cNvPicPr/>
                  </pic:nvPicPr>
                  <pic:blipFill>
                    <a:blip r:embed="rId18"/>
                    <a:stretch>
                      <a:fillRect/>
                    </a:stretch>
                  </pic:blipFill>
                  <pic:spPr>
                    <a:xfrm>
                      <a:off x="0" y="0"/>
                      <a:ext cx="1438910" cy="265430"/>
                    </a:xfrm>
                    <a:prstGeom prst="rect">
                      <a:avLst/>
                    </a:prstGeom>
                  </pic:spPr>
                </pic:pic>
              </a:graphicData>
            </a:graphic>
          </wp:inline>
        </w:drawing>
      </w:r>
    </w:p>
    <w:sectPr w:rsidR="008C360C">
      <w:pgSz w:w="12240" w:h="15840"/>
      <w:pgMar w:top="780" w:right="1313" w:bottom="1804" w:left="14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4CA4A" w14:textId="77777777" w:rsidR="00BF20CE" w:rsidRDefault="00BF20CE" w:rsidP="003B0895">
      <w:r>
        <w:separator/>
      </w:r>
    </w:p>
  </w:endnote>
  <w:endnote w:type="continuationSeparator" w:id="0">
    <w:p w14:paraId="325AA3C3" w14:textId="77777777" w:rsidR="00BF20CE" w:rsidRDefault="00BF20CE" w:rsidP="003B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6EF67" w14:textId="77777777" w:rsidR="00BF20CE" w:rsidRDefault="00BF20CE" w:rsidP="003B0895">
      <w:r>
        <w:separator/>
      </w:r>
    </w:p>
  </w:footnote>
  <w:footnote w:type="continuationSeparator" w:id="0">
    <w:p w14:paraId="7FBC93D3" w14:textId="77777777" w:rsidR="00BF20CE" w:rsidRDefault="00BF20CE" w:rsidP="003B0895">
      <w:r>
        <w:continuationSeparator/>
      </w:r>
    </w:p>
  </w:footnote>
  <w:footnote w:id="1">
    <w:p w14:paraId="4408F1BE" w14:textId="3CF1B686" w:rsidR="0026545C" w:rsidRDefault="0026545C">
      <w:pPr>
        <w:pStyle w:val="FootnoteText"/>
      </w:pPr>
      <w:r>
        <w:rPr>
          <w:rStyle w:val="FootnoteReference"/>
        </w:rPr>
        <w:footnoteRef/>
      </w:r>
      <w:r>
        <w:t xml:space="preserve"> </w:t>
      </w:r>
      <w:r>
        <w:rPr>
          <w:rFonts w:ascii="Arial" w:eastAsia="Arial" w:hAnsi="Arial"/>
          <w:i/>
          <w:color w:val="000000"/>
          <w:sz w:val="18"/>
        </w:rPr>
        <w:t>EBITDA (“Earnings before Depreciation, Interest and Tax”)</w:t>
      </w:r>
    </w:p>
  </w:footnote>
  <w:footnote w:id="2">
    <w:p w14:paraId="272A5C02" w14:textId="3E16B771" w:rsidR="00355BBC" w:rsidRDefault="00355BBC">
      <w:pPr>
        <w:pStyle w:val="FootnoteText"/>
      </w:pPr>
      <w:r>
        <w:rPr>
          <w:rStyle w:val="FootnoteReference"/>
        </w:rPr>
        <w:footnoteRef/>
      </w:r>
      <w:r>
        <w:t xml:space="preserve"> </w:t>
      </w:r>
      <w:r>
        <w:rPr>
          <w:rFonts w:ascii="Arial" w:eastAsia="Arial" w:hAnsi="Arial"/>
          <w:i/>
          <w:color w:val="000000"/>
          <w:sz w:val="18"/>
        </w:rPr>
        <w:t>Portions of this section of the report were adapted directly from the Project Description section of the Application Form for DON Application as directed by the Applicant.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81DE" w14:textId="77777777" w:rsidR="00645AA2" w:rsidRDefault="00645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7D3C" w14:textId="42718B4D" w:rsidR="00B2027C" w:rsidRPr="00863E1B" w:rsidRDefault="00B2027C" w:rsidP="00863E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B7EE" w14:textId="77777777" w:rsidR="00BA28EF" w:rsidRPr="00863E1B" w:rsidRDefault="00BA28EF" w:rsidP="00863E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099637"/>
      <w:docPartObj>
        <w:docPartGallery w:val="Page Numbers (Top of Page)"/>
        <w:docPartUnique/>
      </w:docPartObj>
    </w:sdtPr>
    <w:sdtEndPr>
      <w:rPr>
        <w:rFonts w:ascii="Tahoma" w:eastAsia="Tahoma" w:hAnsi="Tahoma"/>
        <w:color w:val="000000"/>
        <w:spacing w:val="24"/>
        <w:sz w:val="16"/>
      </w:rPr>
    </w:sdtEndPr>
    <w:sdtContent>
      <w:p w14:paraId="04FF81C7" w14:textId="77777777" w:rsidR="00091826" w:rsidRDefault="00106533" w:rsidP="00F558C2">
        <w:pPr>
          <w:pStyle w:val="Header"/>
          <w:tabs>
            <w:tab w:val="clear" w:pos="4680"/>
            <w:tab w:val="clear" w:pos="9360"/>
            <w:tab w:val="left" w:pos="7740"/>
          </w:tabs>
          <w:rPr>
            <w:rFonts w:ascii="Tahoma" w:eastAsia="Tahoma" w:hAnsi="Tahoma"/>
            <w:color w:val="000000"/>
            <w:spacing w:val="24"/>
            <w:sz w:val="16"/>
          </w:rPr>
        </w:pPr>
        <w:r>
          <w:rPr>
            <w:noProof/>
          </w:rPr>
          <w:drawing>
            <wp:inline distT="0" distB="0" distL="0" distR="0" wp14:anchorId="203CF95E" wp14:editId="47C185D9">
              <wp:extent cx="984250" cy="377825"/>
              <wp:effectExtent l="0" t="0" r="0" b="0"/>
              <wp:docPr id="1446974904" name="Picture" descr="BDO"/>
              <wp:cNvGraphicFramePr/>
              <a:graphic xmlns:a="http://schemas.openxmlformats.org/drawingml/2006/main">
                <a:graphicData uri="http://schemas.openxmlformats.org/drawingml/2006/picture">
                  <pic:pic xmlns:pic="http://schemas.openxmlformats.org/drawingml/2006/picture">
                    <pic:nvPicPr>
                      <pic:cNvPr id="1446974904" name="Picture" descr="BDO"/>
                      <pic:cNvPicPr/>
                    </pic:nvPicPr>
                    <pic:blipFill>
                      <a:blip r:embed="rId1"/>
                      <a:stretch>
                        <a:fillRect/>
                      </a:stretch>
                    </pic:blipFill>
                    <pic:spPr>
                      <a:xfrm>
                        <a:off x="0" y="0"/>
                        <a:ext cx="984250" cy="377825"/>
                      </a:xfrm>
                      <a:prstGeom prst="rect">
                        <a:avLst/>
                      </a:prstGeom>
                    </pic:spPr>
                  </pic:pic>
                </a:graphicData>
              </a:graphic>
            </wp:inline>
          </w:drawing>
        </w:r>
        <w:r w:rsidRPr="0044663F">
          <w:rPr>
            <w:rFonts w:ascii="Tahoma" w:eastAsia="Tahoma" w:hAnsi="Tahoma"/>
            <w:color w:val="000000"/>
            <w:spacing w:val="24"/>
            <w:sz w:val="16"/>
          </w:rPr>
          <w:t xml:space="preserve"> </w:t>
        </w:r>
        <w:r w:rsidR="00AA0AF6">
          <w:rPr>
            <w:rFonts w:ascii="Tahoma" w:eastAsia="Tahoma" w:hAnsi="Tahoma"/>
            <w:color w:val="000000"/>
            <w:spacing w:val="24"/>
            <w:sz w:val="16"/>
          </w:rPr>
          <w:tab/>
        </w:r>
        <w:r>
          <w:rPr>
            <w:rFonts w:ascii="Tahoma" w:eastAsia="Tahoma" w:hAnsi="Tahoma"/>
            <w:color w:val="000000"/>
            <w:spacing w:val="24"/>
            <w:sz w:val="16"/>
          </w:rPr>
          <w:t>Mandy Lawrence</w:t>
        </w:r>
      </w:p>
      <w:p w14:paraId="1ECE1196" w14:textId="77777777" w:rsidR="00091826" w:rsidRDefault="00091826" w:rsidP="00091826">
        <w:pPr>
          <w:pStyle w:val="Header"/>
          <w:tabs>
            <w:tab w:val="clear" w:pos="4680"/>
            <w:tab w:val="left" w:pos="5760"/>
            <w:tab w:val="left" w:pos="6480"/>
          </w:tabs>
          <w:jc w:val="right"/>
          <w:rPr>
            <w:rFonts w:ascii="Tahoma" w:eastAsia="Tahoma" w:hAnsi="Tahoma"/>
            <w:color w:val="000000"/>
            <w:spacing w:val="24"/>
            <w:sz w:val="16"/>
          </w:rPr>
        </w:pPr>
        <w:r>
          <w:rPr>
            <w:rFonts w:ascii="Tahoma" w:eastAsia="Tahoma" w:hAnsi="Tahoma"/>
            <w:color w:val="000000"/>
            <w:spacing w:val="24"/>
            <w:sz w:val="16"/>
          </w:rPr>
          <w:tab/>
        </w:r>
        <w:r w:rsidR="00106533">
          <w:rPr>
            <w:rFonts w:ascii="Tahoma" w:eastAsia="Tahoma" w:hAnsi="Tahoma"/>
            <w:color w:val="000000"/>
            <w:spacing w:val="24"/>
            <w:sz w:val="16"/>
          </w:rPr>
          <w:t>U.S. Urology Partners</w:t>
        </w:r>
        <w:r>
          <w:rPr>
            <w:rFonts w:ascii="Tahoma" w:eastAsia="Tahoma" w:hAnsi="Tahoma"/>
            <w:color w:val="000000"/>
            <w:spacing w:val="24"/>
            <w:sz w:val="16"/>
          </w:rPr>
          <w:t xml:space="preserve"> </w:t>
        </w:r>
        <w:r w:rsidR="00106533">
          <w:rPr>
            <w:rFonts w:ascii="Tahoma" w:eastAsia="Tahoma" w:hAnsi="Tahoma"/>
            <w:color w:val="000000"/>
            <w:spacing w:val="24"/>
            <w:sz w:val="16"/>
          </w:rPr>
          <w:t>Holdings, LLC</w:t>
        </w:r>
      </w:p>
      <w:p w14:paraId="3720C929" w14:textId="77777777" w:rsidR="00091826" w:rsidRDefault="00091826" w:rsidP="00091826">
        <w:pPr>
          <w:pStyle w:val="Header"/>
          <w:tabs>
            <w:tab w:val="clear" w:pos="4680"/>
            <w:tab w:val="left" w:pos="5760"/>
            <w:tab w:val="left" w:pos="6480"/>
          </w:tabs>
          <w:jc w:val="right"/>
          <w:rPr>
            <w:rFonts w:ascii="Tahoma" w:eastAsia="Tahoma" w:hAnsi="Tahoma"/>
            <w:color w:val="000000"/>
            <w:spacing w:val="24"/>
            <w:sz w:val="16"/>
          </w:rPr>
        </w:pPr>
        <w:r>
          <w:rPr>
            <w:rFonts w:ascii="Tahoma" w:eastAsia="Tahoma" w:hAnsi="Tahoma"/>
            <w:color w:val="000000"/>
            <w:spacing w:val="24"/>
            <w:sz w:val="16"/>
          </w:rPr>
          <w:tab/>
        </w:r>
        <w:r w:rsidR="00106533">
          <w:rPr>
            <w:rFonts w:ascii="Tahoma" w:eastAsia="Tahoma" w:hAnsi="Tahoma"/>
            <w:color w:val="000000"/>
            <w:spacing w:val="24"/>
            <w:sz w:val="16"/>
          </w:rPr>
          <w:t xml:space="preserve">February 25, 2026 </w:t>
        </w:r>
      </w:p>
      <w:p w14:paraId="1A240BFC" w14:textId="59D299EF" w:rsidR="0044663F" w:rsidRPr="00106533" w:rsidRDefault="00091826" w:rsidP="00091826">
        <w:pPr>
          <w:pStyle w:val="Header"/>
          <w:tabs>
            <w:tab w:val="clear" w:pos="4680"/>
            <w:tab w:val="left" w:pos="5760"/>
            <w:tab w:val="left" w:pos="6480"/>
          </w:tabs>
          <w:jc w:val="right"/>
          <w:rPr>
            <w:rFonts w:ascii="Tahoma" w:eastAsia="Tahoma" w:hAnsi="Tahoma"/>
            <w:color w:val="000000"/>
            <w:spacing w:val="24"/>
            <w:sz w:val="16"/>
          </w:rPr>
        </w:pPr>
        <w:r>
          <w:rPr>
            <w:rFonts w:ascii="Tahoma" w:eastAsia="Tahoma" w:hAnsi="Tahoma"/>
            <w:color w:val="000000"/>
            <w:spacing w:val="24"/>
            <w:sz w:val="16"/>
          </w:rPr>
          <w:tab/>
        </w:r>
        <w:r w:rsidR="00106533">
          <w:rPr>
            <w:rFonts w:ascii="Tahoma" w:eastAsia="Tahoma" w:hAnsi="Tahoma"/>
            <w:color w:val="000000"/>
            <w:spacing w:val="24"/>
            <w:sz w:val="16"/>
          </w:rPr>
          <w:t xml:space="preserve">Page </w:t>
        </w:r>
        <w:r w:rsidR="0044663F" w:rsidRPr="00106533">
          <w:rPr>
            <w:rFonts w:ascii="Tahoma" w:eastAsia="Tahoma" w:hAnsi="Tahoma"/>
            <w:color w:val="000000"/>
            <w:spacing w:val="24"/>
            <w:sz w:val="16"/>
          </w:rPr>
          <w:fldChar w:fldCharType="begin"/>
        </w:r>
        <w:r w:rsidR="0044663F" w:rsidRPr="00106533">
          <w:rPr>
            <w:rFonts w:ascii="Tahoma" w:eastAsia="Tahoma" w:hAnsi="Tahoma"/>
            <w:color w:val="000000"/>
            <w:spacing w:val="24"/>
            <w:sz w:val="16"/>
          </w:rPr>
          <w:instrText xml:space="preserve"> PAGE   \* MERGEFORMAT </w:instrText>
        </w:r>
        <w:r w:rsidR="0044663F" w:rsidRPr="00106533">
          <w:rPr>
            <w:rFonts w:ascii="Tahoma" w:eastAsia="Tahoma" w:hAnsi="Tahoma"/>
            <w:color w:val="000000"/>
            <w:spacing w:val="24"/>
            <w:sz w:val="16"/>
          </w:rPr>
          <w:fldChar w:fldCharType="separate"/>
        </w:r>
        <w:r w:rsidR="0044663F" w:rsidRPr="00106533">
          <w:rPr>
            <w:rFonts w:ascii="Tahoma" w:eastAsia="Tahoma" w:hAnsi="Tahoma"/>
            <w:color w:val="000000"/>
            <w:spacing w:val="24"/>
            <w:sz w:val="16"/>
          </w:rPr>
          <w:t>2</w:t>
        </w:r>
        <w:r w:rsidR="0044663F" w:rsidRPr="00106533">
          <w:rPr>
            <w:rFonts w:ascii="Tahoma" w:eastAsia="Tahoma" w:hAnsi="Tahoma"/>
            <w:color w:val="000000"/>
            <w:spacing w:val="24"/>
            <w:sz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66D5"/>
    <w:multiLevelType w:val="hybridMultilevel"/>
    <w:tmpl w:val="44DE64FA"/>
    <w:lvl w:ilvl="0" w:tplc="F0FC986E">
      <w:numFmt w:val="bullet"/>
      <w:lvlText w:val="-"/>
      <w:lvlJc w:val="left"/>
      <w:pPr>
        <w:ind w:left="936" w:hanging="360"/>
      </w:pPr>
      <w:rPr>
        <w:rFonts w:ascii="Tahoma" w:eastAsia="Tahoma" w:hAnsi="Tahoma" w:cs="Tahoma"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15:restartNumberingAfterBreak="0">
    <w:nsid w:val="0C647D34"/>
    <w:multiLevelType w:val="hybridMultilevel"/>
    <w:tmpl w:val="0D26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E46031"/>
    <w:multiLevelType w:val="multilevel"/>
    <w:tmpl w:val="22B02652"/>
    <w:lvl w:ilvl="0">
      <w:start w:val="1"/>
      <w:numFmt w:val="decimal"/>
      <w:lvlText w:val="%1."/>
      <w:lvlJc w:val="left"/>
      <w:pPr>
        <w:tabs>
          <w:tab w:val="left" w:pos="360"/>
        </w:tabs>
      </w:pPr>
      <w:rPr>
        <w:rFonts w:ascii="Tahoma" w:eastAsia="Tahoma" w:hAnsi="Tahom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6794576">
    <w:abstractNumId w:val="2"/>
  </w:num>
  <w:num w:numId="2" w16cid:durableId="261500934">
    <w:abstractNumId w:val="1"/>
  </w:num>
  <w:num w:numId="3" w16cid:durableId="1661616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60C"/>
    <w:rsid w:val="00066758"/>
    <w:rsid w:val="00077590"/>
    <w:rsid w:val="00083534"/>
    <w:rsid w:val="00091826"/>
    <w:rsid w:val="00092205"/>
    <w:rsid w:val="00095B95"/>
    <w:rsid w:val="00106533"/>
    <w:rsid w:val="00107CD6"/>
    <w:rsid w:val="00181696"/>
    <w:rsid w:val="001C4E55"/>
    <w:rsid w:val="001F2353"/>
    <w:rsid w:val="0026545C"/>
    <w:rsid w:val="002664E9"/>
    <w:rsid w:val="00277BC5"/>
    <w:rsid w:val="002A0B22"/>
    <w:rsid w:val="002A3157"/>
    <w:rsid w:val="00313D43"/>
    <w:rsid w:val="00355BBC"/>
    <w:rsid w:val="003B0895"/>
    <w:rsid w:val="003F3E4E"/>
    <w:rsid w:val="0044663F"/>
    <w:rsid w:val="004F0647"/>
    <w:rsid w:val="005171D4"/>
    <w:rsid w:val="00523F10"/>
    <w:rsid w:val="005656AB"/>
    <w:rsid w:val="00571463"/>
    <w:rsid w:val="005B2DE1"/>
    <w:rsid w:val="005B4521"/>
    <w:rsid w:val="005D065E"/>
    <w:rsid w:val="005F0117"/>
    <w:rsid w:val="00645AA2"/>
    <w:rsid w:val="00664E3B"/>
    <w:rsid w:val="006D63FC"/>
    <w:rsid w:val="00735ECF"/>
    <w:rsid w:val="00766F10"/>
    <w:rsid w:val="00793C41"/>
    <w:rsid w:val="007B3AA4"/>
    <w:rsid w:val="007C768F"/>
    <w:rsid w:val="00863E1B"/>
    <w:rsid w:val="008B713B"/>
    <w:rsid w:val="008C360C"/>
    <w:rsid w:val="008C4C96"/>
    <w:rsid w:val="00986B22"/>
    <w:rsid w:val="009A2811"/>
    <w:rsid w:val="009C072D"/>
    <w:rsid w:val="009E63E6"/>
    <w:rsid w:val="009F0715"/>
    <w:rsid w:val="00AA0AF6"/>
    <w:rsid w:val="00B2027C"/>
    <w:rsid w:val="00B22440"/>
    <w:rsid w:val="00B46E46"/>
    <w:rsid w:val="00BA28EF"/>
    <w:rsid w:val="00BA54D3"/>
    <w:rsid w:val="00BD7736"/>
    <w:rsid w:val="00BF20CE"/>
    <w:rsid w:val="00C57386"/>
    <w:rsid w:val="00C66241"/>
    <w:rsid w:val="00CA646D"/>
    <w:rsid w:val="00CF72C1"/>
    <w:rsid w:val="00D0492C"/>
    <w:rsid w:val="00D11901"/>
    <w:rsid w:val="00D26EC5"/>
    <w:rsid w:val="00D37BB6"/>
    <w:rsid w:val="00D44F97"/>
    <w:rsid w:val="00DA5641"/>
    <w:rsid w:val="00DC5117"/>
    <w:rsid w:val="00DE4F13"/>
    <w:rsid w:val="00E02110"/>
    <w:rsid w:val="00E31A1C"/>
    <w:rsid w:val="00EA1B2F"/>
    <w:rsid w:val="00EE1D2C"/>
    <w:rsid w:val="00F017B9"/>
    <w:rsid w:val="00F558C2"/>
    <w:rsid w:val="00F7521C"/>
    <w:rsid w:val="00FA1470"/>
    <w:rsid w:val="00FA73EB"/>
    <w:rsid w:val="00FF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C381E0B"/>
  <w15:docId w15:val="{BA93087B-F841-4E23-A77F-0DB9FB2E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1470"/>
    <w:pPr>
      <w:spacing w:before="1" w:line="229" w:lineRule="exact"/>
      <w:jc w:val="center"/>
      <w:textAlignment w:val="baseline"/>
      <w:outlineLvl w:val="0"/>
    </w:pPr>
    <w:rPr>
      <w:rFonts w:ascii="Verdana" w:eastAsia="Verdana" w:hAnsi="Verdana"/>
      <w:b/>
      <w:color w:val="000000"/>
      <w:spacing w:val="-4"/>
      <w:w w:val="95"/>
      <w:sz w:val="19"/>
    </w:rPr>
  </w:style>
  <w:style w:type="paragraph" w:styleId="Heading2">
    <w:name w:val="heading 2"/>
    <w:basedOn w:val="Normal"/>
    <w:next w:val="Normal"/>
    <w:link w:val="Heading2Char"/>
    <w:uiPriority w:val="9"/>
    <w:unhideWhenUsed/>
    <w:qFormat/>
    <w:rsid w:val="00F017B9"/>
    <w:pPr>
      <w:tabs>
        <w:tab w:val="left" w:pos="864"/>
      </w:tabs>
      <w:spacing w:before="764" w:line="258" w:lineRule="exact"/>
      <w:ind w:left="144"/>
      <w:textAlignment w:val="baseline"/>
      <w:outlineLvl w:val="1"/>
    </w:pPr>
    <w:rPr>
      <w:rFonts w:ascii="Tahoma" w:eastAsia="Tahoma" w:hAnsi="Tahoma"/>
      <w:b/>
      <w:color w:val="000000"/>
      <w:spacing w:val="-8"/>
      <w:w w:val="95"/>
      <w:u w:val="single"/>
    </w:rPr>
  </w:style>
  <w:style w:type="paragraph" w:styleId="Heading3">
    <w:name w:val="heading 3"/>
    <w:basedOn w:val="Normal"/>
    <w:next w:val="Normal"/>
    <w:link w:val="Heading3Char"/>
    <w:uiPriority w:val="9"/>
    <w:unhideWhenUsed/>
    <w:qFormat/>
    <w:rsid w:val="00095B95"/>
    <w:pPr>
      <w:spacing w:before="10" w:line="255" w:lineRule="exact"/>
      <w:ind w:left="144"/>
      <w:textAlignment w:val="baseline"/>
      <w:outlineLvl w:val="2"/>
    </w:pPr>
    <w:rPr>
      <w:rFonts w:ascii="Tahoma" w:eastAsia="Tahoma" w:hAnsi="Tahoma"/>
      <w:b/>
      <w:color w:val="000000"/>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470"/>
    <w:rPr>
      <w:rFonts w:ascii="Verdana" w:eastAsia="Verdana" w:hAnsi="Verdana"/>
      <w:b/>
      <w:color w:val="000000"/>
      <w:spacing w:val="-4"/>
      <w:w w:val="95"/>
      <w:sz w:val="19"/>
    </w:rPr>
  </w:style>
  <w:style w:type="paragraph" w:styleId="Header">
    <w:name w:val="header"/>
    <w:basedOn w:val="Normal"/>
    <w:link w:val="HeaderChar"/>
    <w:uiPriority w:val="99"/>
    <w:unhideWhenUsed/>
    <w:rsid w:val="003B0895"/>
    <w:pPr>
      <w:tabs>
        <w:tab w:val="center" w:pos="4680"/>
        <w:tab w:val="right" w:pos="9360"/>
      </w:tabs>
    </w:pPr>
  </w:style>
  <w:style w:type="character" w:customStyle="1" w:styleId="HeaderChar">
    <w:name w:val="Header Char"/>
    <w:basedOn w:val="DefaultParagraphFont"/>
    <w:link w:val="Header"/>
    <w:uiPriority w:val="99"/>
    <w:rsid w:val="003B0895"/>
  </w:style>
  <w:style w:type="paragraph" w:styleId="Footer">
    <w:name w:val="footer"/>
    <w:basedOn w:val="Normal"/>
    <w:link w:val="FooterChar"/>
    <w:uiPriority w:val="99"/>
    <w:unhideWhenUsed/>
    <w:rsid w:val="003B0895"/>
    <w:pPr>
      <w:tabs>
        <w:tab w:val="center" w:pos="4680"/>
        <w:tab w:val="right" w:pos="9360"/>
      </w:tabs>
    </w:pPr>
  </w:style>
  <w:style w:type="character" w:customStyle="1" w:styleId="FooterChar">
    <w:name w:val="Footer Char"/>
    <w:basedOn w:val="DefaultParagraphFont"/>
    <w:link w:val="Footer"/>
    <w:uiPriority w:val="99"/>
    <w:rsid w:val="003B0895"/>
  </w:style>
  <w:style w:type="character" w:customStyle="1" w:styleId="Heading2Char">
    <w:name w:val="Heading 2 Char"/>
    <w:basedOn w:val="DefaultParagraphFont"/>
    <w:link w:val="Heading2"/>
    <w:uiPriority w:val="9"/>
    <w:rsid w:val="00F017B9"/>
    <w:rPr>
      <w:rFonts w:ascii="Tahoma" w:eastAsia="Tahoma" w:hAnsi="Tahoma"/>
      <w:b/>
      <w:color w:val="000000"/>
      <w:spacing w:val="-8"/>
      <w:w w:val="95"/>
      <w:u w:val="single"/>
    </w:rPr>
  </w:style>
  <w:style w:type="character" w:customStyle="1" w:styleId="Heading3Char">
    <w:name w:val="Heading 3 Char"/>
    <w:basedOn w:val="DefaultParagraphFont"/>
    <w:link w:val="Heading3"/>
    <w:uiPriority w:val="9"/>
    <w:rsid w:val="00095B95"/>
    <w:rPr>
      <w:rFonts w:ascii="Tahoma" w:eastAsia="Tahoma" w:hAnsi="Tahoma"/>
      <w:b/>
      <w:color w:val="000000"/>
      <w:spacing w:val="-1"/>
    </w:rPr>
  </w:style>
  <w:style w:type="character" w:styleId="Hyperlink">
    <w:name w:val="Hyperlink"/>
    <w:basedOn w:val="DefaultParagraphFont"/>
    <w:uiPriority w:val="99"/>
    <w:unhideWhenUsed/>
    <w:rsid w:val="00B2027C"/>
    <w:rPr>
      <w:color w:val="467886" w:themeColor="hyperlink"/>
      <w:u w:val="single"/>
    </w:rPr>
  </w:style>
  <w:style w:type="character" w:styleId="UnresolvedMention">
    <w:name w:val="Unresolved Mention"/>
    <w:basedOn w:val="DefaultParagraphFont"/>
    <w:uiPriority w:val="99"/>
    <w:rsid w:val="00B2027C"/>
    <w:rPr>
      <w:color w:val="605E5C"/>
      <w:shd w:val="clear" w:color="auto" w:fill="E1DFDD"/>
    </w:rPr>
  </w:style>
  <w:style w:type="paragraph" w:styleId="FootnoteText">
    <w:name w:val="footnote text"/>
    <w:basedOn w:val="Normal"/>
    <w:link w:val="FootnoteTextChar"/>
    <w:uiPriority w:val="99"/>
    <w:semiHidden/>
    <w:unhideWhenUsed/>
    <w:rsid w:val="0026545C"/>
    <w:rPr>
      <w:sz w:val="20"/>
      <w:szCs w:val="20"/>
    </w:rPr>
  </w:style>
  <w:style w:type="character" w:customStyle="1" w:styleId="FootnoteTextChar">
    <w:name w:val="Footnote Text Char"/>
    <w:basedOn w:val="DefaultParagraphFont"/>
    <w:link w:val="FootnoteText"/>
    <w:uiPriority w:val="99"/>
    <w:semiHidden/>
    <w:rsid w:val="0026545C"/>
    <w:rPr>
      <w:sz w:val="20"/>
      <w:szCs w:val="20"/>
    </w:rPr>
  </w:style>
  <w:style w:type="character" w:styleId="FootnoteReference">
    <w:name w:val="footnote reference"/>
    <w:basedOn w:val="DefaultParagraphFont"/>
    <w:uiPriority w:val="99"/>
    <w:semiHidden/>
    <w:unhideWhenUsed/>
    <w:rsid w:val="0026545C"/>
    <w:rPr>
      <w:vertAlign w:val="superscript"/>
    </w:rPr>
  </w:style>
  <w:style w:type="paragraph" w:styleId="ListParagraph">
    <w:name w:val="List Paragraph"/>
    <w:basedOn w:val="Normal"/>
    <w:uiPriority w:val="34"/>
    <w:qFormat/>
    <w:rsid w:val="00D11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do.com"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bdo.com"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DOCS!29468485.1</documentid>
  <senderid>AFERRER</senderid>
  <senderemail>AFERRER@VERRILL-LAW.COM</senderemail>
  <lastmodified>2026-02-27T14:01:00.0000000-05:00</lastmodified>
  <database>DOCS</database>
</properties>
</file>

<file path=customXml/itemProps1.xml><?xml version="1.0" encoding="utf-8"?>
<ds:datastoreItem xmlns:ds="http://schemas.openxmlformats.org/officeDocument/2006/customXml" ds:itemID="{DA991AC0-A02A-4FB5-98CF-A8ED47C998E1}">
  <ds:schemaRefs>
    <ds:schemaRef ds:uri="http://schemas.openxmlformats.org/officeDocument/2006/bibliography"/>
  </ds:schemaRefs>
</ds:datastoreItem>
</file>

<file path=customXml/itemProps2.xml><?xml version="1.0" encoding="utf-8"?>
<ds:datastoreItem xmlns:ds="http://schemas.openxmlformats.org/officeDocument/2006/customXml" ds:itemID="{FEEAB1C7-020E-4DF9-B151-63C12C527CEA}">
  <ds:schemaRefs>
    <ds:schemaRef ds:uri="http://www.imanage.com/work/xmlschema"/>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123</TotalTime>
  <Pages>19</Pages>
  <Words>3931</Words>
  <Characters>22408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Greater Boston Urology CPA Report</dc:title>
  <cp:lastModifiedBy>Marks, Brett (DPH)</cp:lastModifiedBy>
  <cp:revision>67</cp:revision>
  <dcterms:created xsi:type="dcterms:W3CDTF">2026-02-27T20:02:00Z</dcterms:created>
  <dcterms:modified xsi:type="dcterms:W3CDTF">2026-04-16T15:01:00Z</dcterms:modified>
</cp:coreProperties>
</file>