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over/Flysheet Client Name"/>
        <w:tag w:val="Cover/Flysheet Client Name"/>
        <w:id w:val="1699735212"/>
        <w:placeholder>
          <w:docPart w:val="DefaultPlaceholder_1081868574"/>
        </w:placeholder>
      </w:sdtPr>
      <w:sdtContent>
        <w:p w14:paraId="29FD0D1C" w14:textId="6E342399" w:rsidR="009A2BEA" w:rsidRPr="00721A34" w:rsidRDefault="00D3103D" w:rsidP="00721A34">
          <w:pPr>
            <w:pStyle w:val="Heading1"/>
            <w:rPr>
              <w:rFonts w:ascii="Trebuchet MS" w:eastAsiaTheme="minorHAnsi" w:hAnsi="Trebuchet MS" w:cstheme="minorBidi"/>
              <w:sz w:val="32"/>
              <w:szCs w:val="22"/>
              <w:u w:val="none"/>
            </w:rPr>
          </w:pPr>
          <w:r w:rsidRPr="00241E64">
            <w:rPr>
              <w:rFonts w:ascii="Trebuchet MS" w:eastAsiaTheme="minorHAnsi" w:hAnsi="Trebuchet MS" w:cstheme="minorBidi"/>
              <w:sz w:val="32"/>
              <w:szCs w:val="22"/>
              <w:u w:val="none"/>
            </w:rPr>
            <w:t xml:space="preserve">Analysis of the Reasonableness of Assumptions Used </w:t>
          </w:r>
          <w:proofErr w:type="gramStart"/>
          <w:r w:rsidRPr="00241E64">
            <w:rPr>
              <w:rFonts w:ascii="Trebuchet MS" w:eastAsiaTheme="minorHAnsi" w:hAnsi="Trebuchet MS" w:cstheme="minorBidi"/>
              <w:sz w:val="32"/>
              <w:szCs w:val="22"/>
              <w:u w:val="none"/>
            </w:rPr>
            <w:t>For</w:t>
          </w:r>
          <w:proofErr w:type="gramEnd"/>
          <w:r w:rsidRPr="00241E64">
            <w:rPr>
              <w:rFonts w:ascii="Trebuchet MS" w:eastAsiaTheme="minorHAnsi" w:hAnsi="Trebuchet MS" w:cstheme="minorBidi"/>
              <w:sz w:val="32"/>
              <w:szCs w:val="22"/>
              <w:u w:val="none"/>
            </w:rPr>
            <w:t xml:space="preserve"> and </w:t>
          </w:r>
          <w:r w:rsidRPr="00721A34">
            <w:rPr>
              <w:rFonts w:ascii="Trebuchet MS" w:eastAsiaTheme="minorHAnsi" w:hAnsi="Trebuchet MS" w:cstheme="minorBidi"/>
              <w:sz w:val="32"/>
              <w:szCs w:val="22"/>
              <w:u w:val="none"/>
            </w:rPr>
            <w:t>Feasibility of Projected Financials of:</w:t>
          </w:r>
        </w:p>
      </w:sdtContent>
    </w:sdt>
    <w:p w14:paraId="6BECA564" w14:textId="77777777" w:rsidR="009A2BEA" w:rsidRPr="000D36DA" w:rsidRDefault="009A2BEA">
      <w:pPr>
        <w:pStyle w:val="A-CoverTitle"/>
      </w:pPr>
    </w:p>
    <w:bookmarkStart w:id="0" w:name="_Hlk26365320" w:displacedByCustomXml="next"/>
    <w:sdt>
      <w:sdtPr>
        <w:rPr>
          <w:sz w:val="24"/>
        </w:rPr>
        <w:alias w:val="Cover/Flysheet Description"/>
        <w:tag w:val="Cover/Flysheet Description"/>
        <w:id w:val="1509566082"/>
        <w:placeholder>
          <w:docPart w:val="DefaultPlaceholder_1081868574"/>
        </w:placeholder>
      </w:sdtPr>
      <w:sdtEndPr>
        <w:rPr>
          <w:sz w:val="28"/>
        </w:rPr>
      </w:sdtEndPr>
      <w:sdtContent>
        <w:bookmarkEnd w:id="0" w:displacedByCustomXml="prev"/>
        <w:p w14:paraId="2458E55F" w14:textId="0A85F8E3" w:rsidR="009A2BEA" w:rsidRPr="000D36DA" w:rsidRDefault="007D17EE" w:rsidP="00CE574D">
          <w:pPr>
            <w:pStyle w:val="A-CoverDescription"/>
          </w:pPr>
          <w:r>
            <w:rPr>
              <w:szCs w:val="24"/>
            </w:rPr>
            <w:t>Blue Cloud Pediatric Surgery Centers, LLC</w:t>
          </w:r>
        </w:p>
      </w:sdtContent>
    </w:sdt>
    <w:sdt>
      <w:sdtPr>
        <w:alias w:val="Cover/Flysheet Year End"/>
        <w:tag w:val="Cover/Flysheet Year End"/>
        <w:id w:val="-1501266546"/>
        <w:placeholder>
          <w:docPart w:val="DefaultPlaceholder_1081868574"/>
        </w:placeholder>
      </w:sdtPr>
      <w:sdtContent>
        <w:p w14:paraId="0164372C" w14:textId="5E1809D4" w:rsidR="009A2BEA" w:rsidRPr="000D36DA" w:rsidRDefault="00D3103D">
          <w:pPr>
            <w:pStyle w:val="A-CoverYearEnd"/>
          </w:pPr>
          <w:r w:rsidRPr="000D36DA">
            <w:t xml:space="preserve">For the Years Ending </w:t>
          </w:r>
          <w:r w:rsidR="007D17EE">
            <w:t>December</w:t>
          </w:r>
          <w:r w:rsidR="00E62BE4">
            <w:t xml:space="preserve"> 3</w:t>
          </w:r>
          <w:r w:rsidR="007D17EE">
            <w:t>1</w:t>
          </w:r>
          <w:r w:rsidRPr="000D36DA">
            <w:t>, 202</w:t>
          </w:r>
          <w:r w:rsidR="00D4762C">
            <w:t>6</w:t>
          </w:r>
          <w:r w:rsidRPr="000D36DA">
            <w:t xml:space="preserve"> </w:t>
          </w:r>
          <w:r w:rsidR="00B94107">
            <w:tab/>
          </w:r>
        </w:p>
        <w:p w14:paraId="7CA5354C" w14:textId="20CA9FFF" w:rsidR="009A2BEA" w:rsidRPr="000D36DA" w:rsidRDefault="00D3103D">
          <w:pPr>
            <w:pStyle w:val="A-CoverYearEnd"/>
          </w:pPr>
          <w:r w:rsidRPr="000D36DA">
            <w:t xml:space="preserve">Through </w:t>
          </w:r>
          <w:r w:rsidR="007D17EE">
            <w:t>December</w:t>
          </w:r>
          <w:r w:rsidR="00E62BE4">
            <w:t xml:space="preserve"> </w:t>
          </w:r>
          <w:r w:rsidR="00B94107">
            <w:t>3</w:t>
          </w:r>
          <w:r w:rsidR="007D17EE">
            <w:t>1</w:t>
          </w:r>
          <w:r w:rsidRPr="000D36DA">
            <w:t xml:space="preserve">, </w:t>
          </w:r>
          <w:r w:rsidR="00691961" w:rsidRPr="000D36DA">
            <w:t>20</w:t>
          </w:r>
          <w:r w:rsidR="007D17EE">
            <w:t>3</w:t>
          </w:r>
          <w:r w:rsidR="007114E2">
            <w:t>1</w:t>
          </w:r>
        </w:p>
      </w:sdtContent>
    </w:sdt>
    <w:p w14:paraId="68FAAC27" w14:textId="77777777" w:rsidR="009A2BEA" w:rsidRPr="000D36DA" w:rsidRDefault="009A2BEA">
      <w:pPr>
        <w:pStyle w:val="A-CoverYearEnd"/>
      </w:pPr>
    </w:p>
    <w:p w14:paraId="73AB502C" w14:textId="77777777" w:rsidR="009A2BEA" w:rsidRPr="000D36DA" w:rsidRDefault="009A2BEA">
      <w:pPr>
        <w:pStyle w:val="A-CoverYearEnd"/>
        <w:rPr>
          <w:highlight w:val="yellow"/>
        </w:rPr>
        <w:sectPr w:rsidR="009A2BEA" w:rsidRPr="000D36DA">
          <w:headerReference w:type="first" r:id="rId11"/>
          <w:pgSz w:w="12240" w:h="15840"/>
          <w:pgMar w:top="4320" w:right="720" w:bottom="1440" w:left="5904" w:header="720" w:footer="720" w:gutter="0"/>
          <w:cols w:space="720"/>
          <w:titlePg/>
          <w:docGrid w:linePitch="360"/>
        </w:sectPr>
      </w:pPr>
    </w:p>
    <w:p w14:paraId="3B327E1C" w14:textId="24496774" w:rsidR="00C2558D" w:rsidRPr="004E5B7D" w:rsidRDefault="007D17EE" w:rsidP="00304B75">
      <w:pPr>
        <w:tabs>
          <w:tab w:val="left" w:pos="4590"/>
        </w:tabs>
        <w:jc w:val="both"/>
        <w:rPr>
          <w:rFonts w:ascii="Trebuchet MS" w:hAnsi="Trebuchet MS"/>
        </w:rPr>
      </w:pPr>
      <w:r w:rsidRPr="004E5B7D">
        <w:rPr>
          <w:rFonts w:ascii="Trebuchet MS" w:hAnsi="Trebuchet MS"/>
        </w:rPr>
        <w:lastRenderedPageBreak/>
        <w:t>Dennis Smythe</w:t>
      </w:r>
    </w:p>
    <w:p w14:paraId="594E90C0" w14:textId="62372616" w:rsidR="004A218A" w:rsidRPr="004E5B7D" w:rsidRDefault="007D17EE" w:rsidP="00304B75">
      <w:pPr>
        <w:tabs>
          <w:tab w:val="left" w:pos="4590"/>
        </w:tabs>
        <w:jc w:val="both"/>
        <w:rPr>
          <w:rFonts w:ascii="Trebuchet MS" w:hAnsi="Trebuchet MS"/>
        </w:rPr>
      </w:pPr>
      <w:r w:rsidRPr="004E5B7D">
        <w:rPr>
          <w:rFonts w:ascii="Trebuchet MS" w:hAnsi="Trebuchet MS"/>
        </w:rPr>
        <w:t>Chief Financial Officer</w:t>
      </w:r>
    </w:p>
    <w:p w14:paraId="1952D5C5" w14:textId="6A33EE4F" w:rsidR="000B22A3" w:rsidRPr="004E5B7D" w:rsidRDefault="007D17EE" w:rsidP="00304B75">
      <w:pPr>
        <w:tabs>
          <w:tab w:val="left" w:pos="4590"/>
        </w:tabs>
        <w:jc w:val="both"/>
        <w:rPr>
          <w:rFonts w:ascii="Trebuchet MS" w:hAnsi="Trebuchet MS"/>
        </w:rPr>
      </w:pPr>
      <w:r w:rsidRPr="004E5B7D">
        <w:rPr>
          <w:rFonts w:ascii="Trebuchet MS" w:hAnsi="Trebuchet MS"/>
        </w:rPr>
        <w:t>Blue Cloud Pediatric Surgery Centers, LLC</w:t>
      </w:r>
    </w:p>
    <w:p w14:paraId="4D8B9CB2" w14:textId="68402368" w:rsidR="007D17EE" w:rsidRPr="004E5B7D" w:rsidRDefault="007D17EE" w:rsidP="003A65D4">
      <w:pPr>
        <w:tabs>
          <w:tab w:val="left" w:pos="4590"/>
        </w:tabs>
        <w:jc w:val="both"/>
        <w:rPr>
          <w:rFonts w:ascii="Trebuchet MS" w:hAnsi="Trebuchet MS"/>
        </w:rPr>
      </w:pPr>
      <w:r w:rsidRPr="004E5B7D">
        <w:rPr>
          <w:rFonts w:ascii="Trebuchet MS" w:hAnsi="Trebuchet MS"/>
        </w:rPr>
        <w:t>9709 Lakeside Blvd, Suite 350</w:t>
      </w:r>
    </w:p>
    <w:p w14:paraId="2EAE1A4A" w14:textId="7B34EBFF" w:rsidR="006A537A" w:rsidRPr="004E5B7D" w:rsidRDefault="007D17EE" w:rsidP="006A537A">
      <w:pPr>
        <w:tabs>
          <w:tab w:val="left" w:pos="4590"/>
        </w:tabs>
        <w:jc w:val="both"/>
        <w:rPr>
          <w:rFonts w:ascii="Trebuchet MS" w:hAnsi="Trebuchet MS"/>
        </w:rPr>
      </w:pPr>
      <w:r w:rsidRPr="004E5B7D">
        <w:rPr>
          <w:rFonts w:ascii="Trebuchet MS" w:hAnsi="Trebuchet MS"/>
        </w:rPr>
        <w:t>The Woodlands, TX 77381</w:t>
      </w:r>
    </w:p>
    <w:p w14:paraId="1131B642" w14:textId="77777777" w:rsidR="009A2BEA" w:rsidRPr="004E5B7D" w:rsidRDefault="009A2BEA">
      <w:pPr>
        <w:jc w:val="both"/>
        <w:rPr>
          <w:rFonts w:ascii="Trebuchet MS" w:hAnsi="Trebuchet MS"/>
          <w:b/>
          <w:lang w:eastAsia="en-GB"/>
        </w:rPr>
      </w:pPr>
    </w:p>
    <w:p w14:paraId="2670D77A" w14:textId="3BCEEDE2" w:rsidR="000B22A3" w:rsidRPr="004E5B7D" w:rsidRDefault="00D3103D" w:rsidP="00D6680B">
      <w:pPr>
        <w:pStyle w:val="BDOBODY14ptleading"/>
        <w:ind w:left="720" w:hanging="720"/>
        <w:rPr>
          <w:b/>
          <w:sz w:val="24"/>
          <w:szCs w:val="24"/>
        </w:rPr>
      </w:pPr>
      <w:r w:rsidRPr="004E5B7D">
        <w:rPr>
          <w:b/>
          <w:sz w:val="24"/>
          <w:szCs w:val="24"/>
        </w:rPr>
        <w:t>RE:</w:t>
      </w:r>
      <w:r w:rsidRPr="004E5B7D">
        <w:rPr>
          <w:b/>
          <w:sz w:val="24"/>
          <w:szCs w:val="24"/>
        </w:rPr>
        <w:tab/>
      </w:r>
      <w:r w:rsidR="00DD088E" w:rsidRPr="004E5B7D">
        <w:rPr>
          <w:b/>
          <w:sz w:val="24"/>
          <w:szCs w:val="24"/>
        </w:rPr>
        <w:t xml:space="preserve">Analysis of the Reasonableness of Assumptions and Projections Used to </w:t>
      </w:r>
      <w:r w:rsidR="008E6FDF" w:rsidRPr="004E5B7D">
        <w:rPr>
          <w:b/>
          <w:sz w:val="24"/>
          <w:szCs w:val="24"/>
        </w:rPr>
        <w:t>Support Department of Public Health Determination of Need Factor 4</w:t>
      </w:r>
    </w:p>
    <w:p w14:paraId="4D02D3B4" w14:textId="520725EE" w:rsidR="009A2BEA" w:rsidRPr="004E5B7D" w:rsidRDefault="009A2BEA">
      <w:pPr>
        <w:tabs>
          <w:tab w:val="left" w:pos="720"/>
          <w:tab w:val="left" w:pos="1440"/>
          <w:tab w:val="left" w:pos="2160"/>
          <w:tab w:val="left" w:pos="2880"/>
          <w:tab w:val="left" w:pos="3600"/>
          <w:tab w:val="left" w:pos="4320"/>
          <w:tab w:val="left" w:pos="5040"/>
          <w:tab w:val="left" w:pos="5760"/>
          <w:tab w:val="left" w:pos="6127"/>
        </w:tabs>
        <w:ind w:left="720" w:hanging="720"/>
        <w:jc w:val="both"/>
        <w:rPr>
          <w:rFonts w:ascii="Trebuchet MS" w:hAnsi="Trebuchet MS"/>
        </w:rPr>
      </w:pPr>
    </w:p>
    <w:p w14:paraId="00808CF7" w14:textId="77777777" w:rsidR="009A2BEA" w:rsidRPr="004E5B7D" w:rsidRDefault="00D3103D">
      <w:pPr>
        <w:tabs>
          <w:tab w:val="left" w:pos="7383"/>
        </w:tabs>
        <w:jc w:val="both"/>
        <w:rPr>
          <w:rFonts w:ascii="Trebuchet MS" w:hAnsi="Trebuchet MS"/>
        </w:rPr>
      </w:pPr>
      <w:r w:rsidRPr="004E5B7D">
        <w:rPr>
          <w:rFonts w:ascii="Trebuchet MS" w:hAnsi="Trebuchet MS"/>
        </w:rPr>
        <w:tab/>
      </w:r>
    </w:p>
    <w:p w14:paraId="5EAC9AC6" w14:textId="24C46C0A" w:rsidR="009A2BEA" w:rsidRPr="004E5B7D" w:rsidRDefault="00D3103D">
      <w:pPr>
        <w:jc w:val="both"/>
        <w:rPr>
          <w:rFonts w:ascii="Trebuchet MS" w:hAnsi="Trebuchet MS"/>
        </w:rPr>
      </w:pPr>
      <w:r w:rsidRPr="004E5B7D">
        <w:rPr>
          <w:rFonts w:ascii="Trebuchet MS" w:hAnsi="Trebuchet MS"/>
        </w:rPr>
        <w:t xml:space="preserve">Dear </w:t>
      </w:r>
      <w:r w:rsidR="008E6FDF" w:rsidRPr="004E5B7D">
        <w:rPr>
          <w:rFonts w:ascii="Trebuchet MS" w:hAnsi="Trebuchet MS"/>
        </w:rPr>
        <w:t>Mr. Smythe</w:t>
      </w:r>
      <w:r w:rsidRPr="004E5B7D">
        <w:rPr>
          <w:rFonts w:ascii="Trebuchet MS" w:hAnsi="Trebuchet MS"/>
        </w:rPr>
        <w:t>:</w:t>
      </w:r>
    </w:p>
    <w:p w14:paraId="1EBA7CDE" w14:textId="77777777" w:rsidR="009A2BEA" w:rsidRPr="004E5B7D" w:rsidRDefault="009A2BEA">
      <w:pPr>
        <w:pStyle w:val="BodyText"/>
        <w:tabs>
          <w:tab w:val="clear" w:pos="-720"/>
          <w:tab w:val="clear" w:pos="0"/>
        </w:tabs>
        <w:suppressAutoHyphens w:val="0"/>
        <w:spacing w:line="240" w:lineRule="auto"/>
        <w:rPr>
          <w:rFonts w:ascii="Trebuchet MS" w:hAnsi="Trebuchet MS"/>
          <w:spacing w:val="0"/>
          <w:szCs w:val="24"/>
        </w:rPr>
      </w:pPr>
    </w:p>
    <w:p w14:paraId="735514E8" w14:textId="77777777" w:rsidR="009A2BEA" w:rsidRPr="004E5B7D" w:rsidRDefault="009A2BEA">
      <w:pPr>
        <w:pStyle w:val="BodyText"/>
        <w:tabs>
          <w:tab w:val="clear" w:pos="-720"/>
          <w:tab w:val="clear" w:pos="0"/>
        </w:tabs>
        <w:suppressAutoHyphens w:val="0"/>
        <w:spacing w:line="240" w:lineRule="auto"/>
        <w:rPr>
          <w:rFonts w:ascii="Trebuchet MS" w:hAnsi="Trebuchet MS"/>
          <w:spacing w:val="0"/>
          <w:szCs w:val="24"/>
        </w:rPr>
      </w:pPr>
    </w:p>
    <w:p w14:paraId="220FF454" w14:textId="4B143A7F" w:rsidR="009A2BEA" w:rsidRPr="004E5B7D" w:rsidRDefault="00D3103D">
      <w:pPr>
        <w:ind w:left="720"/>
        <w:jc w:val="both"/>
        <w:rPr>
          <w:rFonts w:ascii="Trebuchet MS" w:hAnsi="Trebuchet MS"/>
          <w:b/>
        </w:rPr>
      </w:pPr>
      <w:r w:rsidRPr="004E5B7D">
        <w:rPr>
          <w:rFonts w:ascii="Trebuchet MS" w:hAnsi="Trebuchet MS"/>
        </w:rPr>
        <w:t>Enclosed is a copy of our report on the reasonableness of assumptions used for and feasibility of the</w:t>
      </w:r>
      <w:r w:rsidR="00070E4D" w:rsidRPr="004E5B7D">
        <w:rPr>
          <w:rFonts w:ascii="Trebuchet MS" w:hAnsi="Trebuchet MS"/>
        </w:rPr>
        <w:t xml:space="preserve"> </w:t>
      </w:r>
      <w:r w:rsidRPr="004E5B7D">
        <w:rPr>
          <w:rFonts w:ascii="Trebuchet MS" w:hAnsi="Trebuchet MS"/>
        </w:rPr>
        <w:t>financial projections for</w:t>
      </w:r>
      <w:r w:rsidR="003A65D4" w:rsidRPr="004E5B7D">
        <w:rPr>
          <w:rFonts w:ascii="Trebuchet MS" w:hAnsi="Trebuchet MS"/>
        </w:rPr>
        <w:t xml:space="preserve"> </w:t>
      </w:r>
      <w:r w:rsidR="008E6FDF" w:rsidRPr="004E5B7D">
        <w:rPr>
          <w:rFonts w:ascii="Trebuchet MS" w:hAnsi="Trebuchet MS"/>
        </w:rPr>
        <w:t>Blue Cloud Pediatric Surgery Centers, LLC</w:t>
      </w:r>
      <w:r w:rsidR="004D057D" w:rsidRPr="004E5B7D">
        <w:rPr>
          <w:rFonts w:ascii="Trebuchet MS" w:hAnsi="Trebuchet MS"/>
        </w:rPr>
        <w:t>.</w:t>
      </w:r>
      <w:r w:rsidRPr="004E5B7D">
        <w:rPr>
          <w:rFonts w:ascii="Trebuchet MS" w:hAnsi="Trebuchet MS"/>
        </w:rPr>
        <w:t xml:space="preserve"> Please contact me to discuss this report once you have had an opportunity to review.</w:t>
      </w:r>
    </w:p>
    <w:p w14:paraId="591D11A8" w14:textId="77777777" w:rsidR="009A2BEA" w:rsidRPr="004E5B7D" w:rsidRDefault="009A2BEA">
      <w:pPr>
        <w:pStyle w:val="BodyText"/>
        <w:tabs>
          <w:tab w:val="clear" w:pos="-720"/>
          <w:tab w:val="clear" w:pos="0"/>
        </w:tabs>
        <w:suppressAutoHyphens w:val="0"/>
        <w:spacing w:line="240" w:lineRule="auto"/>
        <w:rPr>
          <w:rFonts w:ascii="Trebuchet MS" w:hAnsi="Trebuchet MS"/>
          <w:spacing w:val="0"/>
          <w:szCs w:val="24"/>
          <w:highlight w:val="yellow"/>
        </w:rPr>
      </w:pPr>
    </w:p>
    <w:p w14:paraId="4B3B3D63" w14:textId="77777777" w:rsidR="009A2BEA" w:rsidRPr="004E5B7D" w:rsidRDefault="009A2BEA">
      <w:pPr>
        <w:pStyle w:val="BodyText"/>
        <w:tabs>
          <w:tab w:val="clear" w:pos="-720"/>
          <w:tab w:val="clear" w:pos="0"/>
        </w:tabs>
        <w:suppressAutoHyphens w:val="0"/>
        <w:spacing w:line="240" w:lineRule="auto"/>
        <w:rPr>
          <w:rFonts w:ascii="Trebuchet MS" w:hAnsi="Trebuchet MS"/>
          <w:spacing w:val="0"/>
          <w:szCs w:val="24"/>
          <w:highlight w:val="yellow"/>
        </w:rPr>
      </w:pPr>
    </w:p>
    <w:p w14:paraId="3AAED343" w14:textId="77777777" w:rsidR="009A2BEA" w:rsidRPr="004E5B7D" w:rsidRDefault="009A2BEA">
      <w:pPr>
        <w:jc w:val="both"/>
        <w:rPr>
          <w:rFonts w:ascii="Trebuchet MS" w:hAnsi="Trebuchet MS"/>
        </w:rPr>
      </w:pPr>
    </w:p>
    <w:p w14:paraId="5FEB7214" w14:textId="77777777" w:rsidR="009A2BEA" w:rsidRPr="004E5B7D" w:rsidRDefault="00D3103D">
      <w:pPr>
        <w:jc w:val="both"/>
        <w:rPr>
          <w:rFonts w:ascii="Trebuchet MS" w:hAnsi="Trebuchet MS"/>
        </w:rPr>
      </w:pPr>
      <w:r w:rsidRPr="004E5B7D">
        <w:rPr>
          <w:rFonts w:ascii="Trebuchet MS" w:hAnsi="Trebuchet MS"/>
        </w:rPr>
        <w:t>Sincerely,</w:t>
      </w:r>
    </w:p>
    <w:p w14:paraId="7AB3389E" w14:textId="3B76F2FF" w:rsidR="009A2BEA" w:rsidRPr="004E5B7D" w:rsidRDefault="009A2BEA">
      <w:pPr>
        <w:tabs>
          <w:tab w:val="left" w:pos="4590"/>
        </w:tabs>
        <w:jc w:val="both"/>
        <w:rPr>
          <w:noProof/>
          <w:color w:val="FF0000"/>
          <w:sz w:val="28"/>
          <w:szCs w:val="28"/>
        </w:rPr>
      </w:pPr>
    </w:p>
    <w:p w14:paraId="6D109CA4" w14:textId="1D16462B" w:rsidR="00F3710B" w:rsidRPr="004E5B7D" w:rsidRDefault="00F3710B">
      <w:pPr>
        <w:tabs>
          <w:tab w:val="left" w:pos="4590"/>
        </w:tabs>
        <w:jc w:val="both"/>
        <w:rPr>
          <w:noProof/>
          <w:color w:val="FF0000"/>
          <w:sz w:val="28"/>
          <w:szCs w:val="28"/>
        </w:rPr>
      </w:pPr>
    </w:p>
    <w:p w14:paraId="54BA31BD" w14:textId="77777777" w:rsidR="006A537A" w:rsidRPr="004E5B7D" w:rsidRDefault="006A537A">
      <w:pPr>
        <w:tabs>
          <w:tab w:val="left" w:pos="4590"/>
        </w:tabs>
        <w:jc w:val="both"/>
        <w:rPr>
          <w:rFonts w:ascii="Trebuchet MS" w:hAnsi="Trebuchet MS"/>
          <w:color w:val="FF0000"/>
          <w:highlight w:val="yellow"/>
        </w:rPr>
      </w:pPr>
    </w:p>
    <w:p w14:paraId="488FEF92" w14:textId="43FB1E50" w:rsidR="009A2BEA" w:rsidRPr="004E5B7D" w:rsidRDefault="00F06254">
      <w:pPr>
        <w:tabs>
          <w:tab w:val="left" w:pos="4590"/>
        </w:tabs>
        <w:jc w:val="both"/>
        <w:rPr>
          <w:rFonts w:ascii="Trebuchet MS" w:hAnsi="Trebuchet MS"/>
        </w:rPr>
      </w:pPr>
      <w:r w:rsidRPr="004E5B7D">
        <w:rPr>
          <w:rFonts w:ascii="Trebuchet MS" w:hAnsi="Trebuchet MS"/>
        </w:rPr>
        <w:t>BDO USA</w:t>
      </w:r>
    </w:p>
    <w:p w14:paraId="54E69CB7" w14:textId="77777777" w:rsidR="009A2BEA" w:rsidRPr="000D36DA" w:rsidRDefault="009A2BEA">
      <w:pPr>
        <w:tabs>
          <w:tab w:val="left" w:pos="4590"/>
        </w:tabs>
        <w:jc w:val="both"/>
        <w:rPr>
          <w:rFonts w:ascii="Trebuchet MS" w:hAnsi="Trebuchet MS"/>
          <w:sz w:val="22"/>
          <w:szCs w:val="22"/>
          <w:highlight w:val="yellow"/>
        </w:rPr>
        <w:sectPr w:rsidR="009A2BEA" w:rsidRPr="000D36DA">
          <w:headerReference w:type="even" r:id="rId12"/>
          <w:headerReference w:type="default" r:id="rId13"/>
          <w:footerReference w:type="default" r:id="rId14"/>
          <w:headerReference w:type="first" r:id="rId15"/>
          <w:pgSz w:w="12240" w:h="15840"/>
          <w:pgMar w:top="2592" w:right="1440" w:bottom="1440" w:left="1656" w:header="792" w:footer="720" w:gutter="0"/>
          <w:cols w:space="720"/>
          <w:docGrid w:linePitch="360"/>
        </w:sectPr>
      </w:pPr>
    </w:p>
    <w:p w14:paraId="2E16E8CE" w14:textId="04A12E31" w:rsidR="009A2BEA" w:rsidRPr="00AB1180" w:rsidRDefault="00206DDB">
      <w:pPr>
        <w:tabs>
          <w:tab w:val="left" w:pos="-720"/>
        </w:tabs>
        <w:suppressAutoHyphens/>
        <w:jc w:val="center"/>
        <w:rPr>
          <w:rFonts w:ascii="Trebuchet MS" w:hAnsi="Trebuchet MS"/>
          <w:b/>
          <w:spacing w:val="-3"/>
        </w:rPr>
      </w:pPr>
      <w:r w:rsidRPr="00AB1180">
        <w:rPr>
          <w:rFonts w:ascii="Trebuchet MS" w:hAnsi="Trebuchet MS"/>
          <w:b/>
          <w:spacing w:val="-3"/>
        </w:rPr>
        <w:lastRenderedPageBreak/>
        <w:t>Table of Contents</w:t>
      </w:r>
    </w:p>
    <w:p w14:paraId="3FEDF5E3" w14:textId="77777777" w:rsidR="009A2BEA" w:rsidRPr="00AB1180" w:rsidRDefault="009A2BEA">
      <w:pPr>
        <w:tabs>
          <w:tab w:val="left" w:pos="-720"/>
        </w:tabs>
        <w:suppressAutoHyphens/>
        <w:jc w:val="center"/>
        <w:rPr>
          <w:rFonts w:ascii="Trebuchet MS" w:hAnsi="Trebuchet MS"/>
          <w:spacing w:val="-3"/>
          <w:highlight w:val="yellow"/>
        </w:rPr>
      </w:pPr>
    </w:p>
    <w:p w14:paraId="26FED125" w14:textId="77777777" w:rsidR="009A2BEA" w:rsidRPr="00AB1180" w:rsidRDefault="009A2BEA">
      <w:pPr>
        <w:tabs>
          <w:tab w:val="left" w:pos="-720"/>
        </w:tabs>
        <w:suppressAutoHyphens/>
        <w:jc w:val="center"/>
        <w:rPr>
          <w:rFonts w:ascii="Trebuchet MS" w:hAnsi="Trebuchet MS"/>
          <w:spacing w:val="-3"/>
          <w:highlight w:val="yellow"/>
        </w:rPr>
      </w:pPr>
    </w:p>
    <w:p w14:paraId="18AA3D74" w14:textId="77777777" w:rsidR="009A2BEA" w:rsidRPr="00AB1180" w:rsidRDefault="009A2BEA">
      <w:pPr>
        <w:tabs>
          <w:tab w:val="left" w:pos="-720"/>
        </w:tabs>
        <w:suppressAutoHyphens/>
        <w:jc w:val="center"/>
        <w:rPr>
          <w:rFonts w:ascii="Trebuchet MS" w:hAnsi="Trebuchet MS"/>
          <w:spacing w:val="-3"/>
          <w:highlight w:val="yellow"/>
        </w:rPr>
      </w:pPr>
    </w:p>
    <w:p w14:paraId="560449C8" w14:textId="77777777" w:rsidR="009A2BEA" w:rsidRPr="00AB1180" w:rsidRDefault="00D3103D">
      <w:pPr>
        <w:tabs>
          <w:tab w:val="left" w:pos="-720"/>
        </w:tabs>
        <w:suppressAutoHyphens/>
        <w:jc w:val="right"/>
        <w:rPr>
          <w:rFonts w:ascii="Trebuchet MS" w:hAnsi="Trebuchet MS"/>
          <w:spacing w:val="-3"/>
        </w:rPr>
      </w:pPr>
      <w:r w:rsidRPr="00AB1180">
        <w:rPr>
          <w:rFonts w:ascii="Trebuchet MS" w:hAnsi="Trebuchet MS"/>
          <w:spacing w:val="-3"/>
        </w:rPr>
        <w:t>Page</w:t>
      </w:r>
    </w:p>
    <w:p w14:paraId="7D8F51CC" w14:textId="5E1FF6FD" w:rsidR="009A2BEA" w:rsidRPr="00AB1180" w:rsidRDefault="00D3103D">
      <w:pPr>
        <w:tabs>
          <w:tab w:val="left" w:leader="dot" w:pos="9000"/>
          <w:tab w:val="right" w:pos="9360"/>
        </w:tabs>
        <w:suppressAutoHyphens/>
        <w:spacing w:before="480"/>
        <w:ind w:left="720" w:right="720" w:hanging="720"/>
        <w:rPr>
          <w:rFonts w:ascii="Trebuchet MS" w:hAnsi="Trebuchet MS"/>
          <w:spacing w:val="-3"/>
        </w:rPr>
      </w:pPr>
      <w:r w:rsidRPr="00AB1180">
        <w:rPr>
          <w:rFonts w:ascii="Trebuchet MS" w:hAnsi="Trebuchet MS"/>
          <w:spacing w:val="-3"/>
        </w:rPr>
        <w:t>I</w:t>
      </w:r>
      <w:proofErr w:type="gramStart"/>
      <w:r w:rsidRPr="00AB1180">
        <w:rPr>
          <w:rFonts w:ascii="Trebuchet MS" w:hAnsi="Trebuchet MS"/>
          <w:spacing w:val="-3"/>
        </w:rPr>
        <w:t xml:space="preserve">. </w:t>
      </w:r>
      <w:r w:rsidRPr="00AB1180">
        <w:rPr>
          <w:rFonts w:ascii="Trebuchet MS" w:hAnsi="Trebuchet MS"/>
          <w:spacing w:val="-3"/>
        </w:rPr>
        <w:tab/>
      </w:r>
      <w:r w:rsidR="00206DDB" w:rsidRPr="00AB1180">
        <w:rPr>
          <w:rFonts w:ascii="Trebuchet MS" w:hAnsi="Trebuchet MS"/>
          <w:spacing w:val="-3"/>
        </w:rPr>
        <w:t>Executive</w:t>
      </w:r>
      <w:proofErr w:type="gramEnd"/>
      <w:r w:rsidR="00206DDB" w:rsidRPr="00AB1180">
        <w:rPr>
          <w:rFonts w:ascii="Trebuchet MS" w:hAnsi="Trebuchet MS"/>
          <w:spacing w:val="-3"/>
        </w:rPr>
        <w:t xml:space="preserve"> Summary</w:t>
      </w:r>
      <w:r w:rsidRPr="00AB1180">
        <w:rPr>
          <w:rFonts w:ascii="Trebuchet MS" w:hAnsi="Trebuchet MS"/>
          <w:spacing w:val="-3"/>
        </w:rPr>
        <w:tab/>
      </w:r>
      <w:r w:rsidR="00E87302" w:rsidRPr="00AB1180">
        <w:rPr>
          <w:rFonts w:ascii="Trebuchet MS" w:hAnsi="Trebuchet MS"/>
          <w:spacing w:val="-3"/>
        </w:rPr>
        <w:t>1</w:t>
      </w:r>
    </w:p>
    <w:p w14:paraId="7E41FEA2" w14:textId="138F82E5" w:rsidR="009A2BEA" w:rsidRPr="00AB1180" w:rsidRDefault="00D3103D">
      <w:pPr>
        <w:tabs>
          <w:tab w:val="left" w:leader="dot" w:pos="9000"/>
          <w:tab w:val="right" w:pos="9360"/>
        </w:tabs>
        <w:suppressAutoHyphens/>
        <w:spacing w:before="480"/>
        <w:ind w:left="720" w:right="720" w:hanging="720"/>
        <w:rPr>
          <w:rFonts w:ascii="Trebuchet MS" w:hAnsi="Trebuchet MS"/>
          <w:spacing w:val="-3"/>
        </w:rPr>
      </w:pPr>
      <w:r w:rsidRPr="00AB1180">
        <w:rPr>
          <w:rFonts w:ascii="Trebuchet MS" w:hAnsi="Trebuchet MS"/>
        </w:rPr>
        <w:t>II</w:t>
      </w:r>
      <w:proofErr w:type="gramStart"/>
      <w:r w:rsidRPr="00AB1180">
        <w:rPr>
          <w:rFonts w:ascii="Trebuchet MS" w:hAnsi="Trebuchet MS"/>
        </w:rPr>
        <w:t xml:space="preserve">. </w:t>
      </w:r>
      <w:r w:rsidRPr="00AB1180">
        <w:rPr>
          <w:rFonts w:ascii="Trebuchet MS" w:hAnsi="Trebuchet MS"/>
        </w:rPr>
        <w:tab/>
      </w:r>
      <w:r w:rsidR="00206DDB" w:rsidRPr="00AB1180">
        <w:rPr>
          <w:rFonts w:ascii="Trebuchet MS" w:hAnsi="Trebuchet MS"/>
        </w:rPr>
        <w:t>Relevant</w:t>
      </w:r>
      <w:proofErr w:type="gramEnd"/>
      <w:r w:rsidR="00206DDB" w:rsidRPr="00AB1180">
        <w:rPr>
          <w:rFonts w:ascii="Trebuchet MS" w:hAnsi="Trebuchet MS"/>
        </w:rPr>
        <w:t xml:space="preserve"> Background Information</w:t>
      </w:r>
      <w:r w:rsidRPr="00AB1180">
        <w:rPr>
          <w:rFonts w:ascii="Trebuchet MS" w:hAnsi="Trebuchet MS"/>
          <w:spacing w:val="-3"/>
        </w:rPr>
        <w:tab/>
        <w:t>2</w:t>
      </w:r>
    </w:p>
    <w:p w14:paraId="44D2930C" w14:textId="67994CEB" w:rsidR="009A2BEA" w:rsidRPr="00AB1180" w:rsidRDefault="00D3103D">
      <w:pPr>
        <w:tabs>
          <w:tab w:val="left" w:leader="dot" w:pos="9000"/>
          <w:tab w:val="right" w:pos="9360"/>
        </w:tabs>
        <w:suppressAutoHyphens/>
        <w:spacing w:before="480"/>
        <w:ind w:left="720" w:right="720" w:hanging="720"/>
        <w:rPr>
          <w:rFonts w:ascii="Trebuchet MS" w:hAnsi="Trebuchet MS"/>
          <w:spacing w:val="-3"/>
        </w:rPr>
      </w:pPr>
      <w:r w:rsidRPr="00AB1180">
        <w:rPr>
          <w:rFonts w:ascii="Trebuchet MS" w:hAnsi="Trebuchet MS"/>
          <w:spacing w:val="-3"/>
        </w:rPr>
        <w:t>III</w:t>
      </w:r>
      <w:proofErr w:type="gramStart"/>
      <w:r w:rsidRPr="00AB1180">
        <w:rPr>
          <w:rFonts w:ascii="Trebuchet MS" w:hAnsi="Trebuchet MS"/>
          <w:spacing w:val="-3"/>
        </w:rPr>
        <w:t xml:space="preserve">. </w:t>
      </w:r>
      <w:r w:rsidRPr="00AB1180">
        <w:rPr>
          <w:rFonts w:ascii="Trebuchet MS" w:hAnsi="Trebuchet MS"/>
          <w:spacing w:val="-3"/>
        </w:rPr>
        <w:tab/>
      </w:r>
      <w:r w:rsidR="00206DDB" w:rsidRPr="00AB1180">
        <w:rPr>
          <w:rFonts w:ascii="Trebuchet MS" w:hAnsi="Trebuchet MS"/>
        </w:rPr>
        <w:t>Scope</w:t>
      </w:r>
      <w:proofErr w:type="gramEnd"/>
      <w:r w:rsidR="00206DDB" w:rsidRPr="00AB1180">
        <w:rPr>
          <w:rFonts w:ascii="Trebuchet MS" w:hAnsi="Trebuchet MS"/>
        </w:rPr>
        <w:t xml:space="preserve"> of Report</w:t>
      </w:r>
      <w:r w:rsidRPr="00AB1180">
        <w:rPr>
          <w:rFonts w:ascii="Trebuchet MS" w:hAnsi="Trebuchet MS"/>
          <w:spacing w:val="-3"/>
        </w:rPr>
        <w:tab/>
      </w:r>
      <w:r w:rsidR="00232A0F" w:rsidRPr="00AB1180">
        <w:rPr>
          <w:rFonts w:ascii="Trebuchet MS" w:hAnsi="Trebuchet MS"/>
          <w:spacing w:val="-3"/>
        </w:rPr>
        <w:t>4</w:t>
      </w:r>
    </w:p>
    <w:p w14:paraId="5D60197C" w14:textId="3AD99961" w:rsidR="009A2BEA" w:rsidRPr="00AB1180" w:rsidRDefault="00D3103D">
      <w:pPr>
        <w:tabs>
          <w:tab w:val="left" w:leader="dot" w:pos="9000"/>
          <w:tab w:val="right" w:pos="9360"/>
        </w:tabs>
        <w:suppressAutoHyphens/>
        <w:spacing w:before="480"/>
        <w:ind w:left="720" w:right="720" w:hanging="720"/>
        <w:rPr>
          <w:rFonts w:ascii="Trebuchet MS" w:hAnsi="Trebuchet MS"/>
          <w:spacing w:val="-3"/>
        </w:rPr>
      </w:pPr>
      <w:r w:rsidRPr="00AB1180">
        <w:rPr>
          <w:rFonts w:ascii="Trebuchet MS" w:hAnsi="Trebuchet MS"/>
          <w:spacing w:val="-3"/>
        </w:rPr>
        <w:t>IV</w:t>
      </w:r>
      <w:proofErr w:type="gramStart"/>
      <w:r w:rsidRPr="00AB1180">
        <w:rPr>
          <w:rFonts w:ascii="Trebuchet MS" w:hAnsi="Trebuchet MS"/>
          <w:spacing w:val="-3"/>
        </w:rPr>
        <w:t xml:space="preserve">. </w:t>
      </w:r>
      <w:r w:rsidRPr="00AB1180">
        <w:rPr>
          <w:rFonts w:ascii="Trebuchet MS" w:hAnsi="Trebuchet MS"/>
          <w:spacing w:val="-3"/>
        </w:rPr>
        <w:tab/>
      </w:r>
      <w:r w:rsidR="00206DDB" w:rsidRPr="00AB1180">
        <w:rPr>
          <w:rFonts w:ascii="Trebuchet MS" w:hAnsi="Trebuchet MS"/>
        </w:rPr>
        <w:t>Sources</w:t>
      </w:r>
      <w:proofErr w:type="gramEnd"/>
      <w:r w:rsidR="00206DDB" w:rsidRPr="00AB1180">
        <w:rPr>
          <w:rFonts w:ascii="Trebuchet MS" w:hAnsi="Trebuchet MS"/>
        </w:rPr>
        <w:t xml:space="preserve"> of Information Utilized</w:t>
      </w:r>
      <w:r w:rsidRPr="00AB1180">
        <w:rPr>
          <w:rFonts w:ascii="Trebuchet MS" w:hAnsi="Trebuchet MS"/>
          <w:spacing w:val="-3"/>
        </w:rPr>
        <w:tab/>
      </w:r>
      <w:r w:rsidR="00740D77" w:rsidRPr="00AB1180">
        <w:rPr>
          <w:rFonts w:ascii="Trebuchet MS" w:hAnsi="Trebuchet MS"/>
          <w:spacing w:val="-3"/>
        </w:rPr>
        <w:t>6</w:t>
      </w:r>
    </w:p>
    <w:p w14:paraId="4ABE99FD" w14:textId="4CF26C1C" w:rsidR="009A2BEA" w:rsidRPr="00AB1180" w:rsidRDefault="00D3103D">
      <w:pPr>
        <w:tabs>
          <w:tab w:val="left" w:leader="dot" w:pos="9000"/>
          <w:tab w:val="right" w:pos="9360"/>
        </w:tabs>
        <w:suppressAutoHyphens/>
        <w:spacing w:before="480"/>
        <w:ind w:left="720" w:right="720" w:hanging="720"/>
        <w:rPr>
          <w:rFonts w:ascii="Trebuchet MS" w:hAnsi="Trebuchet MS"/>
          <w:spacing w:val="-3"/>
        </w:rPr>
      </w:pPr>
      <w:r w:rsidRPr="00AB1180">
        <w:rPr>
          <w:rFonts w:ascii="Trebuchet MS" w:hAnsi="Trebuchet MS"/>
          <w:spacing w:val="-3"/>
        </w:rPr>
        <w:t>V</w:t>
      </w:r>
      <w:proofErr w:type="gramStart"/>
      <w:r w:rsidRPr="00AB1180">
        <w:rPr>
          <w:rFonts w:ascii="Trebuchet MS" w:hAnsi="Trebuchet MS"/>
          <w:spacing w:val="-3"/>
        </w:rPr>
        <w:t xml:space="preserve">. </w:t>
      </w:r>
      <w:r w:rsidRPr="00AB1180">
        <w:rPr>
          <w:rFonts w:ascii="Trebuchet MS" w:hAnsi="Trebuchet MS"/>
          <w:spacing w:val="-3"/>
        </w:rPr>
        <w:tab/>
      </w:r>
      <w:r w:rsidR="00C767B5" w:rsidRPr="00AB1180">
        <w:rPr>
          <w:rFonts w:ascii="Trebuchet MS" w:hAnsi="Trebuchet MS"/>
          <w:spacing w:val="-3"/>
        </w:rPr>
        <w:t>Review</w:t>
      </w:r>
      <w:proofErr w:type="gramEnd"/>
      <w:r w:rsidR="00C767B5" w:rsidRPr="00AB1180">
        <w:rPr>
          <w:rFonts w:ascii="Trebuchet MS" w:hAnsi="Trebuchet MS"/>
          <w:spacing w:val="-3"/>
        </w:rPr>
        <w:t xml:space="preserve"> of the Projections</w:t>
      </w:r>
      <w:r w:rsidRPr="00AB1180">
        <w:rPr>
          <w:rFonts w:ascii="Trebuchet MS" w:hAnsi="Trebuchet MS"/>
          <w:spacing w:val="-3"/>
        </w:rPr>
        <w:tab/>
      </w:r>
      <w:r w:rsidR="00740D77" w:rsidRPr="00AB1180">
        <w:rPr>
          <w:rFonts w:ascii="Trebuchet MS" w:hAnsi="Trebuchet MS"/>
          <w:spacing w:val="-3"/>
        </w:rPr>
        <w:t>7</w:t>
      </w:r>
    </w:p>
    <w:p w14:paraId="0D2666FD" w14:textId="433B5956" w:rsidR="009A2BEA" w:rsidRPr="00AB1180" w:rsidRDefault="00D3103D">
      <w:pPr>
        <w:tabs>
          <w:tab w:val="left" w:leader="dot" w:pos="9000"/>
          <w:tab w:val="right" w:pos="9360"/>
        </w:tabs>
        <w:suppressAutoHyphens/>
        <w:spacing w:before="480"/>
        <w:ind w:left="720" w:right="720" w:hanging="720"/>
        <w:rPr>
          <w:rFonts w:ascii="Trebuchet MS" w:hAnsi="Trebuchet MS"/>
          <w:spacing w:val="-3"/>
        </w:rPr>
      </w:pPr>
      <w:r w:rsidRPr="00AB1180">
        <w:rPr>
          <w:rFonts w:ascii="Trebuchet MS" w:hAnsi="Trebuchet MS"/>
          <w:spacing w:val="-3"/>
        </w:rPr>
        <w:t>VI</w:t>
      </w:r>
      <w:proofErr w:type="gramStart"/>
      <w:r w:rsidRPr="00AB1180">
        <w:rPr>
          <w:rFonts w:ascii="Trebuchet MS" w:hAnsi="Trebuchet MS"/>
          <w:spacing w:val="-3"/>
        </w:rPr>
        <w:t xml:space="preserve">. </w:t>
      </w:r>
      <w:r w:rsidRPr="00AB1180">
        <w:rPr>
          <w:rFonts w:ascii="Trebuchet MS" w:hAnsi="Trebuchet MS"/>
          <w:spacing w:val="-3"/>
        </w:rPr>
        <w:tab/>
      </w:r>
      <w:r w:rsidR="006C41E3" w:rsidRPr="00AB1180">
        <w:rPr>
          <w:rFonts w:ascii="Trebuchet MS" w:hAnsi="Trebuchet MS"/>
        </w:rPr>
        <w:t>Feasibility</w:t>
      </w:r>
      <w:proofErr w:type="gramEnd"/>
      <w:r w:rsidRPr="00AB1180">
        <w:rPr>
          <w:rFonts w:ascii="Trebuchet MS" w:hAnsi="Trebuchet MS"/>
          <w:spacing w:val="-3"/>
        </w:rPr>
        <w:tab/>
      </w:r>
      <w:r w:rsidR="00232A0F" w:rsidRPr="00AB1180">
        <w:rPr>
          <w:rFonts w:ascii="Trebuchet MS" w:hAnsi="Trebuchet MS"/>
          <w:spacing w:val="-3"/>
        </w:rPr>
        <w:t>15</w:t>
      </w:r>
    </w:p>
    <w:p w14:paraId="1549B6DA" w14:textId="77777777" w:rsidR="009A2BEA" w:rsidRPr="00AB1180" w:rsidRDefault="009A2BEA">
      <w:pPr>
        <w:tabs>
          <w:tab w:val="left" w:leader="dot" w:pos="9000"/>
          <w:tab w:val="right" w:pos="9360"/>
        </w:tabs>
        <w:suppressAutoHyphens/>
        <w:spacing w:before="480"/>
        <w:ind w:left="720" w:right="720" w:hanging="720"/>
        <w:rPr>
          <w:rFonts w:ascii="Trebuchet MS" w:hAnsi="Trebuchet MS"/>
          <w:spacing w:val="-3"/>
          <w:highlight w:val="yellow"/>
        </w:rPr>
      </w:pPr>
    </w:p>
    <w:p w14:paraId="47F892DA" w14:textId="77777777" w:rsidR="009A2BEA" w:rsidRPr="000D36DA" w:rsidRDefault="009A2BEA">
      <w:pPr>
        <w:tabs>
          <w:tab w:val="left" w:pos="-720"/>
        </w:tabs>
        <w:suppressAutoHyphens/>
        <w:rPr>
          <w:rFonts w:ascii="Trebuchet MS" w:hAnsi="Trebuchet MS"/>
          <w:b/>
          <w:spacing w:val="-3"/>
          <w:sz w:val="22"/>
          <w:szCs w:val="22"/>
          <w:highlight w:val="yellow"/>
        </w:rPr>
        <w:sectPr w:rsidR="009A2BEA" w:rsidRPr="000D36DA">
          <w:headerReference w:type="even" r:id="rId16"/>
          <w:headerReference w:type="default" r:id="rId17"/>
          <w:footerReference w:type="default" r:id="rId18"/>
          <w:headerReference w:type="first" r:id="rId19"/>
          <w:pgSz w:w="12240" w:h="15840"/>
          <w:pgMar w:top="2448" w:right="1440" w:bottom="1080" w:left="1440" w:header="720" w:footer="720" w:gutter="0"/>
          <w:pgNumType w:start="2"/>
          <w:cols w:space="720"/>
          <w:docGrid w:linePitch="360"/>
        </w:sectPr>
      </w:pPr>
    </w:p>
    <w:p w14:paraId="073669E4" w14:textId="3AAD54FC" w:rsidR="003A65D4" w:rsidRPr="006156AD" w:rsidRDefault="008E6FDF" w:rsidP="006A537A">
      <w:pPr>
        <w:tabs>
          <w:tab w:val="left" w:pos="4590"/>
        </w:tabs>
        <w:jc w:val="both"/>
        <w:rPr>
          <w:rFonts w:ascii="Trebuchet MS" w:hAnsi="Trebuchet MS"/>
        </w:rPr>
      </w:pPr>
      <w:bookmarkStart w:id="1" w:name="_Toc463886374"/>
      <w:bookmarkStart w:id="2" w:name="_Ref467150440"/>
      <w:r w:rsidRPr="006156AD">
        <w:rPr>
          <w:rFonts w:ascii="Trebuchet MS" w:hAnsi="Trebuchet MS"/>
        </w:rPr>
        <w:lastRenderedPageBreak/>
        <w:t>Dennis Smythe</w:t>
      </w:r>
    </w:p>
    <w:p w14:paraId="4C1453E6" w14:textId="52E92063" w:rsidR="003A65D4" w:rsidRPr="006156AD" w:rsidRDefault="008E6FDF" w:rsidP="006A537A">
      <w:pPr>
        <w:tabs>
          <w:tab w:val="left" w:pos="4590"/>
        </w:tabs>
        <w:jc w:val="both"/>
        <w:rPr>
          <w:rFonts w:ascii="Trebuchet MS" w:hAnsi="Trebuchet MS"/>
        </w:rPr>
      </w:pPr>
      <w:r w:rsidRPr="006156AD">
        <w:rPr>
          <w:rFonts w:ascii="Trebuchet MS" w:hAnsi="Trebuchet MS"/>
        </w:rPr>
        <w:t>Chief Financial Officer</w:t>
      </w:r>
      <w:r w:rsidR="003A65D4" w:rsidRPr="006156AD">
        <w:rPr>
          <w:rFonts w:ascii="Trebuchet MS" w:hAnsi="Trebuchet MS"/>
        </w:rPr>
        <w:t xml:space="preserve"> </w:t>
      </w:r>
    </w:p>
    <w:p w14:paraId="577AEB2A" w14:textId="391577E4" w:rsidR="003A65D4" w:rsidRPr="006156AD" w:rsidRDefault="008E6FDF" w:rsidP="006A537A">
      <w:pPr>
        <w:tabs>
          <w:tab w:val="left" w:pos="4590"/>
        </w:tabs>
        <w:jc w:val="both"/>
        <w:rPr>
          <w:rFonts w:ascii="Trebuchet MS" w:hAnsi="Trebuchet MS"/>
        </w:rPr>
      </w:pPr>
      <w:r w:rsidRPr="006156AD">
        <w:rPr>
          <w:rFonts w:ascii="Trebuchet MS" w:hAnsi="Trebuchet MS"/>
        </w:rPr>
        <w:t>Blue Cloud Pediatric Surgery Centers, LLC</w:t>
      </w:r>
    </w:p>
    <w:p w14:paraId="7FC12EF7" w14:textId="5986F66A" w:rsidR="008E6FDF" w:rsidRPr="006156AD" w:rsidRDefault="008E6FDF" w:rsidP="006A537A">
      <w:pPr>
        <w:tabs>
          <w:tab w:val="left" w:pos="4590"/>
        </w:tabs>
        <w:jc w:val="both"/>
        <w:rPr>
          <w:rFonts w:ascii="Trebuchet MS" w:hAnsi="Trebuchet MS"/>
        </w:rPr>
      </w:pPr>
      <w:r w:rsidRPr="006156AD">
        <w:rPr>
          <w:rFonts w:ascii="Trebuchet MS" w:hAnsi="Trebuchet MS"/>
        </w:rPr>
        <w:t>9709 Lakeside Blvd, Suite 350</w:t>
      </w:r>
    </w:p>
    <w:p w14:paraId="56D74033" w14:textId="4BFDBE77" w:rsidR="008E6FDF" w:rsidRPr="006156AD" w:rsidRDefault="008E6FDF" w:rsidP="006A537A">
      <w:pPr>
        <w:tabs>
          <w:tab w:val="left" w:pos="4590"/>
        </w:tabs>
        <w:jc w:val="both"/>
        <w:rPr>
          <w:rFonts w:ascii="Trebuchet MS" w:hAnsi="Trebuchet MS"/>
        </w:rPr>
      </w:pPr>
      <w:r w:rsidRPr="006156AD">
        <w:rPr>
          <w:rFonts w:ascii="Trebuchet MS" w:hAnsi="Trebuchet MS"/>
        </w:rPr>
        <w:t>The Woodlands, TX 77381</w:t>
      </w:r>
    </w:p>
    <w:p w14:paraId="35426892" w14:textId="77777777" w:rsidR="009A2BEA" w:rsidRPr="006156AD" w:rsidRDefault="009A2BEA">
      <w:pPr>
        <w:jc w:val="both"/>
        <w:rPr>
          <w:rFonts w:ascii="Trebuchet MS" w:hAnsi="Trebuchet MS"/>
        </w:rPr>
      </w:pPr>
    </w:p>
    <w:p w14:paraId="4FB28965" w14:textId="77777777" w:rsidR="009A2BEA" w:rsidRPr="006156AD" w:rsidRDefault="009A2BEA">
      <w:pPr>
        <w:jc w:val="both"/>
        <w:rPr>
          <w:rFonts w:ascii="Trebuchet MS" w:hAnsi="Trebuchet MS"/>
        </w:rPr>
      </w:pPr>
    </w:p>
    <w:p w14:paraId="0F4DD829" w14:textId="3573A570" w:rsidR="009A2BEA" w:rsidRPr="006156AD" w:rsidRDefault="00D3103D">
      <w:pPr>
        <w:tabs>
          <w:tab w:val="left" w:pos="720"/>
          <w:tab w:val="left" w:pos="1440"/>
          <w:tab w:val="left" w:pos="2160"/>
          <w:tab w:val="left" w:pos="2880"/>
          <w:tab w:val="left" w:pos="3600"/>
          <w:tab w:val="left" w:pos="4320"/>
          <w:tab w:val="left" w:pos="5040"/>
          <w:tab w:val="left" w:pos="5760"/>
          <w:tab w:val="left" w:pos="6127"/>
        </w:tabs>
        <w:ind w:left="720" w:hanging="720"/>
        <w:jc w:val="both"/>
        <w:rPr>
          <w:rFonts w:ascii="Trebuchet MS" w:hAnsi="Trebuchet MS"/>
          <w:b/>
        </w:rPr>
      </w:pPr>
      <w:r w:rsidRPr="006156AD">
        <w:rPr>
          <w:rFonts w:ascii="Trebuchet MS" w:hAnsi="Trebuchet MS"/>
          <w:b/>
        </w:rPr>
        <w:t>RE:</w:t>
      </w:r>
      <w:r w:rsidRPr="006156AD">
        <w:rPr>
          <w:rFonts w:ascii="Trebuchet MS" w:hAnsi="Trebuchet MS"/>
          <w:b/>
        </w:rPr>
        <w:tab/>
      </w:r>
      <w:r w:rsidR="00126CCA" w:rsidRPr="006156AD">
        <w:rPr>
          <w:rFonts w:ascii="Trebuchet MS" w:hAnsi="Trebuchet MS"/>
          <w:b/>
        </w:rPr>
        <w:t xml:space="preserve">Project Financial Feasibility Services Associated with DPH </w:t>
      </w:r>
      <w:proofErr w:type="spellStart"/>
      <w:r w:rsidR="00126CCA" w:rsidRPr="006156AD">
        <w:rPr>
          <w:rFonts w:ascii="Trebuchet MS" w:hAnsi="Trebuchet MS"/>
          <w:b/>
        </w:rPr>
        <w:t>D</w:t>
      </w:r>
      <w:r w:rsidR="004F1EBC" w:rsidRPr="006156AD">
        <w:rPr>
          <w:rFonts w:ascii="Trebuchet MS" w:hAnsi="Trebuchet MS"/>
          <w:b/>
        </w:rPr>
        <w:t>o</w:t>
      </w:r>
      <w:r w:rsidR="00126CCA" w:rsidRPr="006156AD">
        <w:rPr>
          <w:rFonts w:ascii="Trebuchet MS" w:hAnsi="Trebuchet MS"/>
          <w:b/>
        </w:rPr>
        <w:t>N</w:t>
      </w:r>
      <w:proofErr w:type="spellEnd"/>
      <w:r w:rsidR="00126CCA" w:rsidRPr="006156AD">
        <w:rPr>
          <w:rFonts w:ascii="Trebuchet MS" w:hAnsi="Trebuchet MS"/>
          <w:b/>
        </w:rPr>
        <w:t xml:space="preserve"> Factor 4</w:t>
      </w:r>
    </w:p>
    <w:p w14:paraId="386A6906" w14:textId="77777777" w:rsidR="009A2BEA" w:rsidRPr="006156AD" w:rsidRDefault="009A2BEA">
      <w:pPr>
        <w:tabs>
          <w:tab w:val="left" w:pos="7383"/>
        </w:tabs>
        <w:jc w:val="both"/>
        <w:rPr>
          <w:rFonts w:ascii="Trebuchet MS" w:hAnsi="Trebuchet MS"/>
        </w:rPr>
      </w:pPr>
    </w:p>
    <w:p w14:paraId="654BD3A2" w14:textId="77777777" w:rsidR="009A2BEA" w:rsidRPr="006156AD" w:rsidRDefault="009A2BEA">
      <w:pPr>
        <w:tabs>
          <w:tab w:val="left" w:pos="7383"/>
        </w:tabs>
        <w:jc w:val="both"/>
        <w:rPr>
          <w:rFonts w:ascii="Trebuchet MS" w:hAnsi="Trebuchet MS"/>
        </w:rPr>
      </w:pPr>
    </w:p>
    <w:p w14:paraId="2902E07E" w14:textId="4040E2E3" w:rsidR="009A2BEA" w:rsidRPr="006156AD" w:rsidRDefault="00D3103D">
      <w:pPr>
        <w:jc w:val="both"/>
        <w:rPr>
          <w:rFonts w:ascii="Trebuchet MS" w:hAnsi="Trebuchet MS"/>
        </w:rPr>
      </w:pPr>
      <w:r w:rsidRPr="006156AD">
        <w:rPr>
          <w:rFonts w:ascii="Trebuchet MS" w:hAnsi="Trebuchet MS"/>
        </w:rPr>
        <w:t>Dear M</w:t>
      </w:r>
      <w:r w:rsidR="008E6FDF" w:rsidRPr="006156AD">
        <w:rPr>
          <w:rFonts w:ascii="Trebuchet MS" w:hAnsi="Trebuchet MS"/>
        </w:rPr>
        <w:t>r. Smythe</w:t>
      </w:r>
      <w:r w:rsidRPr="006156AD">
        <w:rPr>
          <w:rFonts w:ascii="Trebuchet MS" w:hAnsi="Trebuchet MS"/>
        </w:rPr>
        <w:t>:</w:t>
      </w:r>
    </w:p>
    <w:p w14:paraId="6E6B182A" w14:textId="77777777" w:rsidR="009A2BEA" w:rsidRPr="006156AD" w:rsidRDefault="009A2BEA">
      <w:pPr>
        <w:jc w:val="both"/>
        <w:rPr>
          <w:rFonts w:ascii="Trebuchet MS" w:hAnsi="Trebuchet MS"/>
          <w:highlight w:val="yellow"/>
        </w:rPr>
      </w:pPr>
    </w:p>
    <w:p w14:paraId="1D8AEDA9" w14:textId="77777777" w:rsidR="009A2BEA" w:rsidRPr="006156AD" w:rsidRDefault="009A2BEA">
      <w:pPr>
        <w:jc w:val="both"/>
        <w:rPr>
          <w:rFonts w:ascii="Trebuchet MS" w:hAnsi="Trebuchet MS"/>
          <w:highlight w:val="yellow"/>
        </w:rPr>
      </w:pPr>
    </w:p>
    <w:p w14:paraId="75CC1D2B" w14:textId="42A13AC7" w:rsidR="009A2BEA" w:rsidRPr="006156AD" w:rsidRDefault="00D3103D" w:rsidP="004A20AF">
      <w:pPr>
        <w:spacing w:line="480" w:lineRule="auto"/>
        <w:jc w:val="both"/>
        <w:rPr>
          <w:rFonts w:ascii="Trebuchet MS" w:hAnsi="Trebuchet MS"/>
        </w:rPr>
      </w:pPr>
      <w:r w:rsidRPr="006156AD">
        <w:rPr>
          <w:rFonts w:ascii="Trebuchet MS" w:hAnsi="Trebuchet MS"/>
        </w:rPr>
        <w:t>We have performed an analysis related to the reasonableness and feasibility of the financial projections (the “Projections”)</w:t>
      </w:r>
      <w:r w:rsidR="00331462" w:rsidRPr="006156AD">
        <w:rPr>
          <w:rFonts w:ascii="Trebuchet MS" w:hAnsi="Trebuchet MS"/>
        </w:rPr>
        <w:t xml:space="preserve"> </w:t>
      </w:r>
      <w:r w:rsidRPr="006156AD">
        <w:rPr>
          <w:rFonts w:ascii="Trebuchet MS" w:hAnsi="Trebuchet MS"/>
        </w:rPr>
        <w:t>of</w:t>
      </w:r>
      <w:r w:rsidR="00331462" w:rsidRPr="006156AD">
        <w:rPr>
          <w:rFonts w:ascii="Trebuchet MS" w:hAnsi="Trebuchet MS"/>
        </w:rPr>
        <w:t xml:space="preserve"> </w:t>
      </w:r>
      <w:r w:rsidR="008E6FDF" w:rsidRPr="006156AD">
        <w:rPr>
          <w:rFonts w:ascii="Trebuchet MS" w:hAnsi="Trebuchet MS"/>
        </w:rPr>
        <w:t>Blue Cloud Pediatric Surgery Centers, LLC</w:t>
      </w:r>
      <w:r w:rsidR="000420D8" w:rsidRPr="006156AD">
        <w:rPr>
          <w:rFonts w:ascii="Trebuchet MS" w:hAnsi="Trebuchet MS"/>
        </w:rPr>
        <w:t xml:space="preserve"> </w:t>
      </w:r>
      <w:r w:rsidRPr="006156AD">
        <w:rPr>
          <w:rFonts w:ascii="Trebuchet MS" w:hAnsi="Trebuchet MS"/>
        </w:rPr>
        <w:t>(</w:t>
      </w:r>
      <w:r w:rsidR="00D25C0D" w:rsidRPr="006156AD">
        <w:rPr>
          <w:rFonts w:ascii="Trebuchet MS" w:hAnsi="Trebuchet MS"/>
        </w:rPr>
        <w:t>“</w:t>
      </w:r>
      <w:r w:rsidR="008E6FDF" w:rsidRPr="006156AD">
        <w:rPr>
          <w:rFonts w:ascii="Trebuchet MS" w:hAnsi="Trebuchet MS"/>
        </w:rPr>
        <w:t>Blue Cloud</w:t>
      </w:r>
      <w:r w:rsidR="00D25C0D" w:rsidRPr="006156AD">
        <w:rPr>
          <w:rFonts w:ascii="Trebuchet MS" w:hAnsi="Trebuchet MS"/>
        </w:rPr>
        <w:t>”</w:t>
      </w:r>
      <w:r w:rsidR="00F20428" w:rsidRPr="006156AD">
        <w:rPr>
          <w:rFonts w:ascii="Trebuchet MS" w:hAnsi="Trebuchet MS"/>
        </w:rPr>
        <w:t xml:space="preserve"> </w:t>
      </w:r>
      <w:r w:rsidRPr="006156AD">
        <w:rPr>
          <w:rFonts w:ascii="Trebuchet MS" w:hAnsi="Trebuchet MS"/>
        </w:rPr>
        <w:t xml:space="preserve">or the </w:t>
      </w:r>
      <w:r w:rsidR="00287E8A" w:rsidRPr="006156AD">
        <w:rPr>
          <w:rFonts w:ascii="Trebuchet MS" w:hAnsi="Trebuchet MS"/>
        </w:rPr>
        <w:t>“</w:t>
      </w:r>
      <w:r w:rsidRPr="006156AD">
        <w:rPr>
          <w:rFonts w:ascii="Trebuchet MS" w:hAnsi="Trebuchet MS"/>
        </w:rPr>
        <w:t>Applicant”)</w:t>
      </w:r>
      <w:r w:rsidR="00F93F12" w:rsidRPr="006156AD">
        <w:rPr>
          <w:rFonts w:ascii="Trebuchet MS" w:hAnsi="Trebuchet MS"/>
        </w:rPr>
        <w:t xml:space="preserve"> </w:t>
      </w:r>
      <w:r w:rsidRPr="006156AD">
        <w:rPr>
          <w:rFonts w:ascii="Trebuchet MS" w:hAnsi="Trebuchet MS"/>
        </w:rPr>
        <w:t xml:space="preserve">related to </w:t>
      </w:r>
      <w:r w:rsidR="006A44BA" w:rsidRPr="006156AD">
        <w:rPr>
          <w:rFonts w:ascii="Trebuchet MS" w:hAnsi="Trebuchet MS"/>
        </w:rPr>
        <w:t>its Determination of Need (“</w:t>
      </w:r>
      <w:proofErr w:type="spellStart"/>
      <w:r w:rsidR="00FA2477" w:rsidRPr="006156AD">
        <w:rPr>
          <w:rFonts w:ascii="Trebuchet MS" w:hAnsi="Trebuchet MS"/>
        </w:rPr>
        <w:t>DoN</w:t>
      </w:r>
      <w:proofErr w:type="spellEnd"/>
      <w:r w:rsidR="006A44BA" w:rsidRPr="006156AD">
        <w:rPr>
          <w:rFonts w:ascii="Trebuchet MS" w:hAnsi="Trebuchet MS"/>
        </w:rPr>
        <w:t xml:space="preserve">”) filing which </w:t>
      </w:r>
      <w:r w:rsidR="00FA2477" w:rsidRPr="006156AD">
        <w:rPr>
          <w:rFonts w:ascii="Trebuchet MS" w:hAnsi="Trebuchet MS"/>
        </w:rPr>
        <w:t xml:space="preserve">is </w:t>
      </w:r>
      <w:r w:rsidR="00631D72" w:rsidRPr="006156AD">
        <w:rPr>
          <w:rFonts w:ascii="Trebuchet MS" w:hAnsi="Trebuchet MS"/>
        </w:rPr>
        <w:t xml:space="preserve">related to </w:t>
      </w:r>
      <w:r w:rsidR="00186DF2" w:rsidRPr="006156AD">
        <w:rPr>
          <w:rFonts w:ascii="Trebuchet MS" w:hAnsi="Trebuchet MS"/>
        </w:rPr>
        <w:t xml:space="preserve">a </w:t>
      </w:r>
      <w:r w:rsidR="00A140E8" w:rsidRPr="006156AD">
        <w:rPr>
          <w:rFonts w:ascii="Trebuchet MS" w:hAnsi="Trebuchet MS"/>
        </w:rPr>
        <w:t>transfer</w:t>
      </w:r>
      <w:r w:rsidR="00186DF2" w:rsidRPr="006156AD">
        <w:rPr>
          <w:rFonts w:ascii="Trebuchet MS" w:hAnsi="Trebuchet MS"/>
        </w:rPr>
        <w:t xml:space="preserve"> of ownership of a freestanding ambulatory surgery center </w:t>
      </w:r>
      <w:r w:rsidR="00A140E8" w:rsidRPr="006156AD">
        <w:rPr>
          <w:rFonts w:ascii="Trebuchet MS" w:hAnsi="Trebuchet MS"/>
        </w:rPr>
        <w:t>to</w:t>
      </w:r>
      <w:r w:rsidR="00E60347" w:rsidRPr="006156AD">
        <w:rPr>
          <w:rFonts w:ascii="Trebuchet MS" w:hAnsi="Trebuchet MS"/>
        </w:rPr>
        <w:t xml:space="preserve"> the Applicant </w:t>
      </w:r>
      <w:r w:rsidR="006A44BA" w:rsidRPr="006156AD">
        <w:rPr>
          <w:rFonts w:ascii="Trebuchet MS" w:hAnsi="Trebuchet MS"/>
        </w:rPr>
        <w:t>(the “Proposed Project”), described further below</w:t>
      </w:r>
      <w:r w:rsidR="00D93ABC" w:rsidRPr="006156AD">
        <w:rPr>
          <w:rFonts w:ascii="Trebuchet MS" w:hAnsi="Trebuchet MS"/>
        </w:rPr>
        <w:t>.</w:t>
      </w:r>
      <w:r w:rsidR="00166607" w:rsidRPr="006156AD">
        <w:rPr>
          <w:rFonts w:ascii="Trebuchet MS" w:hAnsi="Trebuchet MS"/>
        </w:rPr>
        <w:t xml:space="preserve"> </w:t>
      </w:r>
      <w:r w:rsidR="00DB521B" w:rsidRPr="006156AD">
        <w:rPr>
          <w:rFonts w:ascii="Trebuchet MS" w:hAnsi="Trebuchet MS"/>
        </w:rPr>
        <w:t xml:space="preserve">This report details our analysis and findings </w:t>
      </w:r>
      <w:proofErr w:type="gramStart"/>
      <w:r w:rsidR="00DB521B" w:rsidRPr="006156AD">
        <w:rPr>
          <w:rFonts w:ascii="Trebuchet MS" w:hAnsi="Trebuchet MS"/>
        </w:rPr>
        <w:t>with regard to</w:t>
      </w:r>
      <w:proofErr w:type="gramEnd"/>
      <w:r w:rsidR="00DB521B" w:rsidRPr="006156AD">
        <w:rPr>
          <w:rFonts w:ascii="Trebuchet MS" w:hAnsi="Trebuchet MS"/>
        </w:rPr>
        <w:t xml:space="preserve"> the reasonableness of assumptions used in the preparation of the Projections and feasibility of the projected financial results prepared by the management of </w:t>
      </w:r>
      <w:r w:rsidR="008E6FDF" w:rsidRPr="006156AD">
        <w:rPr>
          <w:rFonts w:ascii="Trebuchet MS" w:hAnsi="Trebuchet MS"/>
        </w:rPr>
        <w:t>Blue Cloud</w:t>
      </w:r>
      <w:r w:rsidR="00DB521B" w:rsidRPr="006156AD">
        <w:rPr>
          <w:rFonts w:ascii="Trebuchet MS" w:hAnsi="Trebuchet MS"/>
        </w:rPr>
        <w:t xml:space="preserve"> (“Management”). This report is to be used by </w:t>
      </w:r>
      <w:r w:rsidR="008E6FDF" w:rsidRPr="006156AD">
        <w:rPr>
          <w:rFonts w:ascii="Trebuchet MS" w:hAnsi="Trebuchet MS"/>
        </w:rPr>
        <w:t>Blue Cloud</w:t>
      </w:r>
      <w:r w:rsidR="00DB521B" w:rsidRPr="006156AD">
        <w:rPr>
          <w:rFonts w:ascii="Trebuchet MS" w:hAnsi="Trebuchet MS"/>
        </w:rPr>
        <w:t xml:space="preserve"> in connection with its </w:t>
      </w:r>
      <w:proofErr w:type="spellStart"/>
      <w:r w:rsidR="00DB521B" w:rsidRPr="006156AD">
        <w:rPr>
          <w:rFonts w:ascii="Trebuchet MS" w:hAnsi="Trebuchet MS"/>
        </w:rPr>
        <w:t>DoN</w:t>
      </w:r>
      <w:proofErr w:type="spellEnd"/>
      <w:r w:rsidR="006A44BA" w:rsidRPr="006156AD">
        <w:rPr>
          <w:rFonts w:ascii="Trebuchet MS" w:hAnsi="Trebuchet MS"/>
        </w:rPr>
        <w:t xml:space="preserve"> </w:t>
      </w:r>
      <w:r w:rsidR="00DB521B" w:rsidRPr="006156AD">
        <w:rPr>
          <w:rFonts w:ascii="Trebuchet MS" w:hAnsi="Trebuchet MS"/>
        </w:rPr>
        <w:t>Application – Factor 4(a) and should not be distributed or relied upon for any other purpose.</w:t>
      </w:r>
    </w:p>
    <w:p w14:paraId="29B48B0C" w14:textId="77777777" w:rsidR="006A44BA" w:rsidRPr="006156AD" w:rsidRDefault="006A44BA" w:rsidP="004A20AF">
      <w:pPr>
        <w:spacing w:line="480" w:lineRule="auto"/>
        <w:jc w:val="both"/>
        <w:rPr>
          <w:rFonts w:ascii="Trebuchet MS" w:hAnsi="Trebuchet MS"/>
        </w:rPr>
      </w:pPr>
    </w:p>
    <w:p w14:paraId="271B520D" w14:textId="46020A18" w:rsidR="009A2BEA" w:rsidRPr="006C41E3" w:rsidRDefault="006C41E3" w:rsidP="00721A34">
      <w:pPr>
        <w:pStyle w:val="Heading2"/>
        <w:rPr>
          <w:sz w:val="24"/>
          <w:szCs w:val="24"/>
          <w:u w:val="none"/>
        </w:rPr>
      </w:pPr>
      <w:r w:rsidRPr="006C41E3">
        <w:rPr>
          <w:sz w:val="24"/>
          <w:szCs w:val="24"/>
          <w:u w:val="none"/>
        </w:rPr>
        <w:t>Executive Summary</w:t>
      </w:r>
    </w:p>
    <w:p w14:paraId="5E278B65" w14:textId="77777777" w:rsidR="009A2BEA" w:rsidRPr="006156AD" w:rsidRDefault="009A2BEA">
      <w:pPr>
        <w:rPr>
          <w:rFonts w:ascii="Trebuchet MS" w:hAnsi="Trebuchet MS"/>
          <w:highlight w:val="yellow"/>
        </w:rPr>
      </w:pPr>
    </w:p>
    <w:p w14:paraId="149180F5" w14:textId="27837068" w:rsidR="00DB521B" w:rsidRPr="006156AD" w:rsidRDefault="00DB521B" w:rsidP="00DB521B">
      <w:pPr>
        <w:spacing w:line="480" w:lineRule="auto"/>
        <w:jc w:val="both"/>
        <w:rPr>
          <w:rFonts w:ascii="Trebuchet MS" w:hAnsi="Trebuchet MS"/>
        </w:rPr>
      </w:pPr>
      <w:r w:rsidRPr="006156AD">
        <w:rPr>
          <w:rFonts w:ascii="Trebuchet MS" w:hAnsi="Trebuchet MS"/>
        </w:rPr>
        <w:lastRenderedPageBreak/>
        <w:t xml:space="preserve">The scope of our review was limited to an analysis of the consolidated </w:t>
      </w:r>
      <w:r w:rsidR="008E6FDF" w:rsidRPr="006156AD">
        <w:rPr>
          <w:rFonts w:ascii="Trebuchet MS" w:hAnsi="Trebuchet MS"/>
        </w:rPr>
        <w:t>Blue Cloud</w:t>
      </w:r>
      <w:r w:rsidR="008E6FDF" w:rsidRPr="006156AD" w:rsidDel="008E6FDF">
        <w:rPr>
          <w:rFonts w:ascii="Trebuchet MS" w:hAnsi="Trebuchet MS"/>
        </w:rPr>
        <w:t xml:space="preserve"> </w:t>
      </w:r>
      <w:r w:rsidR="000D25C0" w:rsidRPr="006156AD">
        <w:rPr>
          <w:rFonts w:ascii="Trebuchet MS" w:hAnsi="Trebuchet MS"/>
        </w:rPr>
        <w:t>six</w:t>
      </w:r>
      <w:r w:rsidRPr="006156AD">
        <w:rPr>
          <w:rFonts w:ascii="Trebuchet MS" w:hAnsi="Trebuchet MS"/>
        </w:rPr>
        <w:t xml:space="preserve">-year financial projections for the fiscal years ending </w:t>
      </w:r>
      <w:r w:rsidR="008E6FDF" w:rsidRPr="006156AD">
        <w:rPr>
          <w:rFonts w:ascii="Trebuchet MS" w:hAnsi="Trebuchet MS"/>
        </w:rPr>
        <w:t>December 31, 2026</w:t>
      </w:r>
      <w:r w:rsidRPr="006156AD">
        <w:rPr>
          <w:rFonts w:ascii="Trebuchet MS" w:hAnsi="Trebuchet MS"/>
        </w:rPr>
        <w:t xml:space="preserve">, through </w:t>
      </w:r>
      <w:r w:rsidR="008E6FDF" w:rsidRPr="006156AD">
        <w:rPr>
          <w:rFonts w:ascii="Trebuchet MS" w:hAnsi="Trebuchet MS"/>
        </w:rPr>
        <w:t xml:space="preserve">December 31, </w:t>
      </w:r>
      <w:proofErr w:type="gramStart"/>
      <w:r w:rsidRPr="006156AD">
        <w:rPr>
          <w:rFonts w:ascii="Trebuchet MS" w:hAnsi="Trebuchet MS"/>
        </w:rPr>
        <w:t>2</w:t>
      </w:r>
      <w:r w:rsidR="008E6FDF" w:rsidRPr="006156AD">
        <w:rPr>
          <w:rFonts w:ascii="Trebuchet MS" w:hAnsi="Trebuchet MS"/>
        </w:rPr>
        <w:t>03</w:t>
      </w:r>
      <w:r w:rsidR="007114E2" w:rsidRPr="006156AD">
        <w:rPr>
          <w:rFonts w:ascii="Trebuchet MS" w:hAnsi="Trebuchet MS"/>
        </w:rPr>
        <w:t>1</w:t>
      </w:r>
      <w:proofErr w:type="gramEnd"/>
      <w:r w:rsidRPr="006156AD">
        <w:rPr>
          <w:rFonts w:ascii="Trebuchet MS" w:hAnsi="Trebuchet MS"/>
        </w:rPr>
        <w:t xml:space="preserve"> prepared by Management and the supporting documentation to render an opinion as to the reasonableness of assumptions used in the preparation and feasibility of the Projections. The Applicant’s fiscal year is defined as </w:t>
      </w:r>
      <w:r w:rsidR="008E6FDF" w:rsidRPr="006156AD">
        <w:rPr>
          <w:rFonts w:ascii="Trebuchet MS" w:hAnsi="Trebuchet MS"/>
        </w:rPr>
        <w:t>January</w:t>
      </w:r>
      <w:r w:rsidRPr="006156AD">
        <w:rPr>
          <w:rFonts w:ascii="Trebuchet MS" w:hAnsi="Trebuchet MS"/>
        </w:rPr>
        <w:t xml:space="preserve"> 1 </w:t>
      </w:r>
      <w:r w:rsidR="004A218A" w:rsidRPr="006156AD">
        <w:rPr>
          <w:rFonts w:ascii="Trebuchet MS" w:hAnsi="Trebuchet MS"/>
        </w:rPr>
        <w:t>through</w:t>
      </w:r>
      <w:r w:rsidRPr="006156AD">
        <w:rPr>
          <w:rFonts w:ascii="Trebuchet MS" w:hAnsi="Trebuchet MS"/>
        </w:rPr>
        <w:t xml:space="preserve"> </w:t>
      </w:r>
      <w:r w:rsidR="008E6FDF" w:rsidRPr="006156AD">
        <w:rPr>
          <w:rFonts w:ascii="Trebuchet MS" w:hAnsi="Trebuchet MS"/>
        </w:rPr>
        <w:t>December</w:t>
      </w:r>
      <w:r w:rsidR="00D25C4C" w:rsidRPr="006156AD">
        <w:rPr>
          <w:rFonts w:ascii="Trebuchet MS" w:hAnsi="Trebuchet MS"/>
        </w:rPr>
        <w:t xml:space="preserve"> 31</w:t>
      </w:r>
      <w:r w:rsidRPr="006156AD">
        <w:rPr>
          <w:rFonts w:ascii="Trebuchet MS" w:hAnsi="Trebuchet MS"/>
        </w:rPr>
        <w:t xml:space="preserve"> throughout the entirety of this memo. Based upon our review of the relevant documents and analysis of the Projections, we determined that the anticipated operating </w:t>
      </w:r>
      <w:r w:rsidR="00E60347" w:rsidRPr="006156AD">
        <w:rPr>
          <w:rFonts w:ascii="Trebuchet MS" w:hAnsi="Trebuchet MS"/>
        </w:rPr>
        <w:t>Earnings before Interest, Tax, Depreciation, and Amortization (“</w:t>
      </w:r>
      <w:r w:rsidRPr="006156AD">
        <w:rPr>
          <w:rFonts w:ascii="Trebuchet MS" w:hAnsi="Trebuchet MS"/>
        </w:rPr>
        <w:t>EBI</w:t>
      </w:r>
      <w:r w:rsidR="00E60347" w:rsidRPr="006156AD">
        <w:rPr>
          <w:rFonts w:ascii="Trebuchet MS" w:hAnsi="Trebuchet MS"/>
        </w:rPr>
        <w:t>T</w:t>
      </w:r>
      <w:r w:rsidRPr="006156AD">
        <w:rPr>
          <w:rFonts w:ascii="Trebuchet MS" w:hAnsi="Trebuchet MS"/>
        </w:rPr>
        <w:t>DA</w:t>
      </w:r>
      <w:r w:rsidR="00E60347" w:rsidRPr="006156AD">
        <w:rPr>
          <w:rFonts w:ascii="Trebuchet MS" w:hAnsi="Trebuchet MS"/>
        </w:rPr>
        <w:t>”)</w:t>
      </w:r>
      <w:r w:rsidRPr="006156AD">
        <w:rPr>
          <w:rFonts w:ascii="Trebuchet MS" w:hAnsi="Trebuchet MS"/>
        </w:rPr>
        <w:t xml:space="preserve"> surplus </w:t>
      </w:r>
      <w:r w:rsidR="00E60347" w:rsidRPr="006156AD">
        <w:rPr>
          <w:rFonts w:ascii="Trebuchet MS" w:hAnsi="Trebuchet MS"/>
        </w:rPr>
        <w:t xml:space="preserve">of </w:t>
      </w:r>
      <w:r w:rsidR="00B774AB" w:rsidRPr="006156AD">
        <w:rPr>
          <w:rFonts w:ascii="Trebuchet MS" w:hAnsi="Trebuchet MS"/>
        </w:rPr>
        <w:t>26.</w:t>
      </w:r>
      <w:r w:rsidR="007114E2" w:rsidRPr="006156AD">
        <w:rPr>
          <w:rFonts w:ascii="Trebuchet MS" w:hAnsi="Trebuchet MS"/>
        </w:rPr>
        <w:t>3</w:t>
      </w:r>
      <w:r w:rsidR="00B774AB" w:rsidRPr="006156AD">
        <w:rPr>
          <w:rFonts w:ascii="Trebuchet MS" w:hAnsi="Trebuchet MS"/>
        </w:rPr>
        <w:t xml:space="preserve"> percent </w:t>
      </w:r>
      <w:r w:rsidRPr="006156AD">
        <w:rPr>
          <w:rFonts w:ascii="Trebuchet MS" w:hAnsi="Trebuchet MS"/>
        </w:rPr>
        <w:t xml:space="preserve">is a reasonable expectation and is based upon feasible financial assumptions. Accordingly, we determined that the Projections are reasonable and feasible, and not likely to have a negative impact on the Applicant’s patient panel or result in a liquidation of </w:t>
      </w:r>
      <w:r w:rsidR="00D25C4C" w:rsidRPr="006156AD">
        <w:rPr>
          <w:rFonts w:ascii="Trebuchet MS" w:hAnsi="Trebuchet MS"/>
        </w:rPr>
        <w:t>Blue Cloud</w:t>
      </w:r>
      <w:r w:rsidRPr="006156AD">
        <w:rPr>
          <w:rFonts w:ascii="Trebuchet MS" w:hAnsi="Trebuchet MS"/>
        </w:rPr>
        <w:t>’s assets. A detailed explanation regarding the basis for our determination of reasonableness and feasibility is contained within this report.</w:t>
      </w:r>
    </w:p>
    <w:p w14:paraId="5B840DBA" w14:textId="77777777" w:rsidR="00B423AF" w:rsidRPr="006156AD" w:rsidRDefault="00B423AF">
      <w:pPr>
        <w:spacing w:line="480" w:lineRule="auto"/>
        <w:jc w:val="both"/>
        <w:rPr>
          <w:rFonts w:ascii="Trebuchet MS" w:hAnsi="Trebuchet MS"/>
        </w:rPr>
      </w:pPr>
    </w:p>
    <w:p w14:paraId="43FDEB92" w14:textId="51B2B039" w:rsidR="00EF5377" w:rsidRPr="006C41E3" w:rsidRDefault="006C41E3" w:rsidP="00721A34">
      <w:pPr>
        <w:pStyle w:val="Heading2"/>
        <w:rPr>
          <w:sz w:val="24"/>
          <w:szCs w:val="24"/>
          <w:u w:val="none"/>
        </w:rPr>
      </w:pPr>
      <w:r w:rsidRPr="006C41E3">
        <w:rPr>
          <w:sz w:val="24"/>
          <w:szCs w:val="24"/>
          <w:u w:val="none"/>
        </w:rPr>
        <w:t>Relevant Background Information</w:t>
      </w:r>
    </w:p>
    <w:p w14:paraId="7F43288F" w14:textId="77777777" w:rsidR="00EF5377" w:rsidRPr="006156AD" w:rsidRDefault="00EF5377" w:rsidP="00A22182">
      <w:pPr>
        <w:jc w:val="both"/>
        <w:rPr>
          <w:rFonts w:ascii="Trebuchet MS" w:hAnsi="Trebuchet MS"/>
          <w:highlight w:val="yellow"/>
        </w:rPr>
      </w:pPr>
    </w:p>
    <w:p w14:paraId="657A5E5F" w14:textId="463401FE" w:rsidR="006F3AE3" w:rsidRPr="006156AD" w:rsidRDefault="001E49CC" w:rsidP="0020457C">
      <w:pPr>
        <w:spacing w:line="480" w:lineRule="auto"/>
        <w:jc w:val="both"/>
        <w:rPr>
          <w:rFonts w:ascii="Trebuchet MS" w:hAnsi="Trebuchet MS"/>
        </w:rPr>
      </w:pPr>
      <w:r w:rsidRPr="006156AD">
        <w:rPr>
          <w:rFonts w:ascii="Trebuchet MS" w:hAnsi="Trebuchet MS"/>
        </w:rPr>
        <w:t>The Applicant is a market</w:t>
      </w:r>
      <w:r w:rsidRPr="006156AD">
        <w:rPr>
          <w:rFonts w:ascii="Cambria Math" w:hAnsi="Cambria Math" w:cs="Cambria Math"/>
        </w:rPr>
        <w:t>‑</w:t>
      </w:r>
      <w:r w:rsidRPr="006156AD">
        <w:rPr>
          <w:rFonts w:ascii="Trebuchet MS" w:hAnsi="Trebuchet MS"/>
        </w:rPr>
        <w:t>leading operator of ambulatory surgery centers (</w:t>
      </w:r>
      <w:r w:rsidRPr="006156AD">
        <w:rPr>
          <w:rFonts w:ascii="Trebuchet MS" w:hAnsi="Trebuchet MS" w:cs="Trebuchet MS"/>
        </w:rPr>
        <w:t>“</w:t>
      </w:r>
      <w:r w:rsidRPr="006156AD">
        <w:rPr>
          <w:rFonts w:ascii="Trebuchet MS" w:hAnsi="Trebuchet MS"/>
        </w:rPr>
        <w:t>ASCs</w:t>
      </w:r>
      <w:r w:rsidRPr="006156AD">
        <w:rPr>
          <w:rFonts w:ascii="Trebuchet MS" w:hAnsi="Trebuchet MS" w:cs="Trebuchet MS"/>
        </w:rPr>
        <w:t>”</w:t>
      </w:r>
      <w:r w:rsidRPr="006156AD">
        <w:rPr>
          <w:rFonts w:ascii="Trebuchet MS" w:hAnsi="Trebuchet MS"/>
        </w:rPr>
        <w:t>) dedicated to providing high</w:t>
      </w:r>
      <w:r w:rsidRPr="006156AD">
        <w:rPr>
          <w:rFonts w:ascii="Cambria Math" w:hAnsi="Cambria Math" w:cs="Cambria Math"/>
        </w:rPr>
        <w:t>‑</w:t>
      </w:r>
      <w:r w:rsidRPr="006156AD">
        <w:rPr>
          <w:rFonts w:ascii="Trebuchet MS" w:hAnsi="Trebuchet MS"/>
        </w:rPr>
        <w:t xml:space="preserve">acuity dental surgery under general anesthesia for pediatric and special needs patients who are not well served in traditional dental offices or hospital operating rooms. The Applicant established its first ASC in 2010 and currently operates ASCs across 15 states, collectively performing approximately </w:t>
      </w:r>
      <w:r w:rsidRPr="006156AD">
        <w:rPr>
          <w:rFonts w:ascii="Trebuchet MS" w:hAnsi="Trebuchet MS"/>
        </w:rPr>
        <w:lastRenderedPageBreak/>
        <w:t>300 cases per day on average. The Applicant</w:t>
      </w:r>
      <w:r w:rsidRPr="006156AD">
        <w:rPr>
          <w:rFonts w:ascii="Trebuchet MS" w:hAnsi="Trebuchet MS" w:cs="Trebuchet MS"/>
        </w:rPr>
        <w:t>’</w:t>
      </w:r>
      <w:r w:rsidRPr="006156AD">
        <w:rPr>
          <w:rFonts w:ascii="Trebuchet MS" w:hAnsi="Trebuchet MS"/>
        </w:rPr>
        <w:t>s mission is to expand access to high</w:t>
      </w:r>
      <w:r w:rsidRPr="006156AD">
        <w:rPr>
          <w:rFonts w:ascii="Cambria Math" w:hAnsi="Cambria Math" w:cs="Cambria Math"/>
        </w:rPr>
        <w:t>‑</w:t>
      </w:r>
      <w:r w:rsidRPr="006156AD">
        <w:rPr>
          <w:rFonts w:ascii="Trebuchet MS" w:hAnsi="Trebuchet MS"/>
        </w:rPr>
        <w:t>quality dental care for an underserved and historically overlooked patient population while reducing costs for patients, payors, and the health care system overall.</w:t>
      </w:r>
      <w:r w:rsidR="00AB07D6" w:rsidRPr="006156AD">
        <w:t xml:space="preserve"> </w:t>
      </w:r>
      <w:r w:rsidR="00AB07D6" w:rsidRPr="006156AD">
        <w:rPr>
          <w:rFonts w:ascii="Trebuchet MS" w:hAnsi="Trebuchet MS"/>
        </w:rPr>
        <w:t>The Applicant’s patient population aligns with this mission as its patients are predominately pediatric Medicaid patients, the majority of which are under the age of nine. The Applicant also serves a special needs population, which includes both children and adult patients.</w:t>
      </w:r>
      <w:r w:rsidR="00740D77" w:rsidRPr="006156AD">
        <w:rPr>
          <w:rFonts w:ascii="Trebuchet MS" w:hAnsi="Trebuchet MS"/>
        </w:rPr>
        <w:t xml:space="preserve"> </w:t>
      </w:r>
      <w:r w:rsidR="00AB07D6" w:rsidRPr="006156AD">
        <w:rPr>
          <w:rFonts w:ascii="Trebuchet MS" w:hAnsi="Trebuchet MS"/>
        </w:rPr>
        <w:t xml:space="preserve">Across all the Applicant’s ASCs, it serves a disproportionate share of Medicaid and Children Health Initiative Program (“CHIP”) beneficiaries - approximately 93 percent.  </w:t>
      </w:r>
    </w:p>
    <w:p w14:paraId="27FF0124" w14:textId="77777777" w:rsidR="00BD7120" w:rsidRPr="006156AD" w:rsidRDefault="00BD7120" w:rsidP="005C4CDA">
      <w:pPr>
        <w:spacing w:line="480" w:lineRule="auto"/>
        <w:jc w:val="both"/>
        <w:rPr>
          <w:rFonts w:ascii="Trebuchet MS" w:hAnsi="Trebuchet MS"/>
        </w:rPr>
      </w:pPr>
    </w:p>
    <w:p w14:paraId="35ADCDF4" w14:textId="5272FC88" w:rsidR="002541B2" w:rsidRPr="006156AD" w:rsidRDefault="001E49CC" w:rsidP="0049260C">
      <w:pPr>
        <w:spacing w:line="480" w:lineRule="auto"/>
        <w:jc w:val="both"/>
        <w:rPr>
          <w:rFonts w:ascii="Trebuchet MS" w:hAnsi="Trebuchet MS"/>
        </w:rPr>
      </w:pPr>
      <w:r w:rsidRPr="006156AD">
        <w:rPr>
          <w:rFonts w:ascii="Trebuchet MS" w:hAnsi="Trebuchet MS"/>
        </w:rPr>
        <w:t>The Applicant proposes to acquire Northeast Ambulatory Center, LLC, which owns and operates a free</w:t>
      </w:r>
      <w:r w:rsidRPr="006156AD">
        <w:rPr>
          <w:rFonts w:ascii="Cambria Math" w:hAnsi="Cambria Math" w:cs="Cambria Math"/>
        </w:rPr>
        <w:t>‑</w:t>
      </w:r>
      <w:r w:rsidRPr="006156AD">
        <w:rPr>
          <w:rFonts w:ascii="Trebuchet MS" w:hAnsi="Trebuchet MS"/>
        </w:rPr>
        <w:t xml:space="preserve">standing ambulatory surgery center located in Stoneham, Massachusetts (the </w:t>
      </w:r>
      <w:r w:rsidRPr="006156AD">
        <w:rPr>
          <w:rFonts w:ascii="Trebuchet MS" w:hAnsi="Trebuchet MS" w:cs="Trebuchet MS"/>
        </w:rPr>
        <w:t>“</w:t>
      </w:r>
      <w:r w:rsidRPr="006156AD">
        <w:rPr>
          <w:rFonts w:ascii="Trebuchet MS" w:hAnsi="Trebuchet MS"/>
        </w:rPr>
        <w:t>Center</w:t>
      </w:r>
      <w:r w:rsidRPr="006156AD">
        <w:rPr>
          <w:rFonts w:ascii="Trebuchet MS" w:hAnsi="Trebuchet MS" w:cs="Trebuchet MS"/>
        </w:rPr>
        <w:t>”</w:t>
      </w:r>
      <w:r w:rsidRPr="006156AD">
        <w:rPr>
          <w:rFonts w:ascii="Trebuchet MS" w:hAnsi="Trebuchet MS"/>
        </w:rPr>
        <w:t xml:space="preserve">). Pursuant to a Membership Interest Purchase Agreement to be entered into in 2026, the Applicant will acquire </w:t>
      </w:r>
      <w:proofErr w:type="gramStart"/>
      <w:r w:rsidRPr="006156AD">
        <w:rPr>
          <w:rFonts w:ascii="Trebuchet MS" w:hAnsi="Trebuchet MS"/>
        </w:rPr>
        <w:t>all of</w:t>
      </w:r>
      <w:proofErr w:type="gramEnd"/>
      <w:r w:rsidRPr="006156AD">
        <w:rPr>
          <w:rFonts w:ascii="Trebuchet MS" w:hAnsi="Trebuchet MS"/>
        </w:rPr>
        <w:t xml:space="preserve"> the equity interests in Northeast Ambulatory Center, LLC from its sole owner, Dr. Anil Kumar (the “Seller”). </w:t>
      </w:r>
      <w:r w:rsidR="00A140E8" w:rsidRPr="006156AD">
        <w:rPr>
          <w:rFonts w:ascii="Trebuchet MS" w:hAnsi="Trebuchet MS"/>
        </w:rPr>
        <w:t>The Seller, an anesthesiologist and pain medicine physician, established the Center in 1996 as a single-specialty pain management ASC. As the Seller has gradually wound down his medical practice in anticipation of retirement, the Center’s utilization has declined in recent years.</w:t>
      </w:r>
    </w:p>
    <w:p w14:paraId="1BEC7FE0" w14:textId="6021D622" w:rsidR="00814DA9" w:rsidRPr="006156AD" w:rsidRDefault="00814DA9" w:rsidP="0049260C">
      <w:pPr>
        <w:spacing w:line="480" w:lineRule="auto"/>
        <w:jc w:val="both"/>
        <w:rPr>
          <w:rFonts w:ascii="Trebuchet MS" w:hAnsi="Trebuchet MS"/>
        </w:rPr>
      </w:pPr>
    </w:p>
    <w:p w14:paraId="0D20CC98" w14:textId="543D5127" w:rsidR="00814DA9" w:rsidRPr="006156AD" w:rsidRDefault="001E49CC" w:rsidP="0049260C">
      <w:pPr>
        <w:spacing w:line="480" w:lineRule="auto"/>
        <w:jc w:val="both"/>
        <w:rPr>
          <w:rFonts w:ascii="Trebuchet MS" w:hAnsi="Trebuchet MS"/>
        </w:rPr>
      </w:pPr>
      <w:r w:rsidRPr="006156AD">
        <w:rPr>
          <w:rFonts w:ascii="Trebuchet MS" w:hAnsi="Trebuchet MS"/>
        </w:rPr>
        <w:lastRenderedPageBreak/>
        <w:t>Following the acquisition, the Applicant proposes to repurpose the Center from its current pain management use to provide high</w:t>
      </w:r>
      <w:r w:rsidRPr="006156AD">
        <w:rPr>
          <w:rFonts w:ascii="Cambria Math" w:hAnsi="Cambria Math" w:cs="Cambria Math"/>
        </w:rPr>
        <w:t>‑</w:t>
      </w:r>
      <w:r w:rsidRPr="006156AD">
        <w:rPr>
          <w:rFonts w:ascii="Trebuchet MS" w:hAnsi="Trebuchet MS"/>
        </w:rPr>
        <w:t xml:space="preserve">acuity dental surgery services for pediatric and special needs patients under general anesthesia. These services are medically necessary procedures that are often not appropriate for performance in a standard dental office and are frequently delayed or displaced </w:t>
      </w:r>
      <w:proofErr w:type="gramStart"/>
      <w:r w:rsidRPr="006156AD">
        <w:rPr>
          <w:rFonts w:ascii="Trebuchet MS" w:hAnsi="Trebuchet MS"/>
        </w:rPr>
        <w:t>to</w:t>
      </w:r>
      <w:proofErr w:type="gramEnd"/>
      <w:r w:rsidRPr="006156AD">
        <w:rPr>
          <w:rFonts w:ascii="Trebuchet MS" w:hAnsi="Trebuchet MS"/>
        </w:rPr>
        <w:t xml:space="preserve"> hospital operating rooms, where patients and families experience long wait times, higher costs, and care delivered in settings not designed specifically for this patient population.</w:t>
      </w:r>
    </w:p>
    <w:p w14:paraId="3329B3BB" w14:textId="77777777" w:rsidR="001E49CC" w:rsidRPr="006156AD" w:rsidRDefault="001E49CC" w:rsidP="0049260C">
      <w:pPr>
        <w:spacing w:line="480" w:lineRule="auto"/>
        <w:jc w:val="both"/>
        <w:rPr>
          <w:rFonts w:ascii="Trebuchet MS" w:hAnsi="Trebuchet MS"/>
        </w:rPr>
      </w:pPr>
    </w:p>
    <w:p w14:paraId="196DC96B" w14:textId="47E1B6C3" w:rsidR="006F3AE3" w:rsidRPr="006156AD" w:rsidRDefault="001E49CC" w:rsidP="0049260C">
      <w:pPr>
        <w:spacing w:line="480" w:lineRule="auto"/>
        <w:jc w:val="both"/>
        <w:rPr>
          <w:rFonts w:ascii="Trebuchet MS" w:hAnsi="Trebuchet MS"/>
        </w:rPr>
      </w:pPr>
      <w:r w:rsidRPr="006156AD">
        <w:rPr>
          <w:rFonts w:ascii="Trebuchet MS" w:hAnsi="Trebuchet MS"/>
        </w:rPr>
        <w:t>The Proposed Project represents a</w:t>
      </w:r>
      <w:r w:rsidR="00A140E8" w:rsidRPr="006156AD">
        <w:rPr>
          <w:rFonts w:ascii="Trebuchet MS" w:hAnsi="Trebuchet MS"/>
        </w:rPr>
        <w:t xml:space="preserve">n opportunity </w:t>
      </w:r>
      <w:r w:rsidRPr="006156AD">
        <w:rPr>
          <w:rFonts w:ascii="Trebuchet MS" w:hAnsi="Trebuchet MS"/>
        </w:rPr>
        <w:t>to revitalize an underutilized existing ASC and dedicate it to an underserved patient population. The Applicant will leverage its established operating model, specialized clinical protocols, anesthesia capabilities, staffing, equipment, and enhanced life safety infrastructure to deliver pediatric dental services in a setting purpose</w:t>
      </w:r>
      <w:r w:rsidRPr="006156AD">
        <w:rPr>
          <w:rFonts w:ascii="Cambria Math" w:hAnsi="Cambria Math" w:cs="Cambria Math"/>
        </w:rPr>
        <w:t>‑</w:t>
      </w:r>
      <w:r w:rsidRPr="006156AD">
        <w:rPr>
          <w:rFonts w:ascii="Trebuchet MS" w:hAnsi="Trebuchet MS"/>
        </w:rPr>
        <w:t>built for pediatric and special needs patients. The Applicant will partner with community health centers, pediatric dentists, and general dentists to ensure that only clinically appropriate dental services are performed at the Center, consistent with the Applicant’s approach at its other successful locations.</w:t>
      </w:r>
      <w:r w:rsidR="00A140E8" w:rsidRPr="006156AD">
        <w:rPr>
          <w:rFonts w:ascii="Trebuchet MS" w:hAnsi="Trebuchet MS"/>
        </w:rPr>
        <w:t xml:space="preserve"> </w:t>
      </w:r>
      <w:r w:rsidRPr="006156AD">
        <w:rPr>
          <w:rFonts w:ascii="Trebuchet MS" w:hAnsi="Trebuchet MS"/>
        </w:rPr>
        <w:t xml:space="preserve">According to the Applicant, the Proposed Project will significantly improve access, value, and health outcomes for the affected patient </w:t>
      </w:r>
      <w:r w:rsidR="006F3AE3" w:rsidRPr="006156AD">
        <w:rPr>
          <w:rFonts w:ascii="Trebuchet MS" w:hAnsi="Trebuchet MS"/>
        </w:rPr>
        <w:t>base</w:t>
      </w:r>
      <w:r w:rsidRPr="006156AD">
        <w:rPr>
          <w:rFonts w:ascii="Trebuchet MS" w:hAnsi="Trebuchet MS"/>
        </w:rPr>
        <w:t xml:space="preserve">. By transitioning these services from hospital outpatient departments to an ASC setting, the project will reduce overall costs to the Commonwealth while improving timeliness of care and the patient and family experience. The Massachusetts Health </w:t>
      </w:r>
      <w:r w:rsidRPr="006156AD">
        <w:rPr>
          <w:rFonts w:ascii="Trebuchet MS" w:hAnsi="Trebuchet MS"/>
        </w:rPr>
        <w:lastRenderedPageBreak/>
        <w:t>Policy Commission has identified that services performed in ASCs are generally far less expensive than those performed in hospital outpatient departments, and that Massachusetts has a relatively limited supply of ASCs compared to other states. The Proposed Project will therefore contribute to system</w:t>
      </w:r>
      <w:r w:rsidRPr="006156AD">
        <w:rPr>
          <w:rFonts w:ascii="Cambria Math" w:hAnsi="Cambria Math" w:cs="Cambria Math"/>
        </w:rPr>
        <w:t>‑</w:t>
      </w:r>
      <w:r w:rsidRPr="006156AD">
        <w:rPr>
          <w:rFonts w:ascii="Trebuchet MS" w:hAnsi="Trebuchet MS"/>
        </w:rPr>
        <w:t>wide cost containment while expanding access to needed oral health services.</w:t>
      </w:r>
      <w:r w:rsidR="00A140E8" w:rsidRPr="006156AD">
        <w:rPr>
          <w:rFonts w:ascii="Trebuchet MS" w:hAnsi="Trebuchet MS"/>
        </w:rPr>
        <w:t xml:space="preserve"> </w:t>
      </w:r>
      <w:r w:rsidR="006F3AE3" w:rsidRPr="006156AD">
        <w:rPr>
          <w:rFonts w:ascii="Trebuchet MS" w:hAnsi="Trebuchet MS"/>
        </w:rPr>
        <w:t>The Applicant asserts that timely access to high</w:t>
      </w:r>
      <w:r w:rsidR="006F3AE3" w:rsidRPr="006156AD">
        <w:rPr>
          <w:rFonts w:ascii="Cambria Math" w:hAnsi="Cambria Math" w:cs="Cambria Math"/>
        </w:rPr>
        <w:t>‑</w:t>
      </w:r>
      <w:r w:rsidR="006F3AE3" w:rsidRPr="006156AD">
        <w:rPr>
          <w:rFonts w:ascii="Trebuchet MS" w:hAnsi="Trebuchet MS"/>
        </w:rPr>
        <w:t>quality dental surgery for pediatric and special needs patients is critical to preventing adverse health outcomes, including speech impediments, dietary abnormalities, malnourishment, and broader impacts on confidence and quality of life. By revitalizing and repurposing the Center, the Proposed Project will address an identified area of unmet need, reduce health disparities in oral health care, and align with the Commonwealth</w:t>
      </w:r>
      <w:r w:rsidR="006F3AE3" w:rsidRPr="006156AD">
        <w:rPr>
          <w:rFonts w:ascii="Trebuchet MS" w:hAnsi="Trebuchet MS" w:cs="Trebuchet MS"/>
        </w:rPr>
        <w:t>’</w:t>
      </w:r>
      <w:r w:rsidR="006F3AE3" w:rsidRPr="006156AD">
        <w:rPr>
          <w:rFonts w:ascii="Trebuchet MS" w:hAnsi="Trebuchet MS"/>
        </w:rPr>
        <w:t>s goals related to access, affordability, quality, and improved population health outcomes.</w:t>
      </w:r>
    </w:p>
    <w:p w14:paraId="4788CEA9" w14:textId="77777777" w:rsidR="00740D77" w:rsidRPr="006156AD" w:rsidRDefault="00740D77" w:rsidP="0049260C">
      <w:pPr>
        <w:spacing w:line="480" w:lineRule="auto"/>
        <w:jc w:val="both"/>
        <w:rPr>
          <w:rFonts w:ascii="Trebuchet MS" w:hAnsi="Trebuchet MS"/>
        </w:rPr>
      </w:pPr>
    </w:p>
    <w:p w14:paraId="518527FB" w14:textId="0CF7DBF1" w:rsidR="000D17B6" w:rsidRPr="00F0010A" w:rsidRDefault="00F0010A" w:rsidP="00721A34">
      <w:pPr>
        <w:pStyle w:val="Heading2"/>
        <w:rPr>
          <w:sz w:val="24"/>
          <w:szCs w:val="24"/>
          <w:u w:val="none"/>
        </w:rPr>
      </w:pPr>
      <w:r w:rsidRPr="00F0010A">
        <w:rPr>
          <w:sz w:val="24"/>
          <w:szCs w:val="24"/>
          <w:u w:val="none"/>
        </w:rPr>
        <w:t>Scope of Report</w:t>
      </w:r>
    </w:p>
    <w:p w14:paraId="7C5BB700" w14:textId="77777777" w:rsidR="000D17B6" w:rsidRPr="006156AD" w:rsidRDefault="000D17B6" w:rsidP="00A22182">
      <w:pPr>
        <w:jc w:val="both"/>
        <w:rPr>
          <w:rFonts w:ascii="Trebuchet MS" w:hAnsi="Trebuchet MS"/>
          <w:b/>
          <w:u w:val="single"/>
        </w:rPr>
      </w:pPr>
    </w:p>
    <w:p w14:paraId="65886DA3" w14:textId="1A53246D" w:rsidR="000D17B6" w:rsidRPr="006156AD" w:rsidRDefault="000D17B6" w:rsidP="000D17B6">
      <w:pPr>
        <w:tabs>
          <w:tab w:val="left" w:pos="720"/>
        </w:tabs>
        <w:spacing w:line="480" w:lineRule="auto"/>
        <w:jc w:val="both"/>
        <w:rPr>
          <w:rFonts w:ascii="Trebuchet MS" w:hAnsi="Trebuchet MS"/>
        </w:rPr>
      </w:pPr>
      <w:r w:rsidRPr="006156AD">
        <w:rPr>
          <w:rFonts w:ascii="Trebuchet MS" w:hAnsi="Trebuchet MS"/>
        </w:rPr>
        <w:t xml:space="preserve">The scope of this report is limited to an analysis of the </w:t>
      </w:r>
      <w:r w:rsidR="000D25C0" w:rsidRPr="006156AD">
        <w:rPr>
          <w:rFonts w:ascii="Trebuchet MS" w:hAnsi="Trebuchet MS"/>
        </w:rPr>
        <w:t>six</w:t>
      </w:r>
      <w:r w:rsidRPr="006156AD">
        <w:rPr>
          <w:rFonts w:ascii="Trebuchet MS" w:hAnsi="Trebuchet MS"/>
        </w:rPr>
        <w:t xml:space="preserve">-year </w:t>
      </w:r>
      <w:r w:rsidR="003F6E53" w:rsidRPr="006156AD">
        <w:rPr>
          <w:rFonts w:ascii="Trebuchet MS" w:hAnsi="Trebuchet MS"/>
        </w:rPr>
        <w:t>Projection</w:t>
      </w:r>
      <w:r w:rsidR="00DC6493" w:rsidRPr="006156AD">
        <w:rPr>
          <w:rFonts w:ascii="Trebuchet MS" w:hAnsi="Trebuchet MS"/>
        </w:rPr>
        <w:t>s</w:t>
      </w:r>
      <w:r w:rsidR="003F6E53" w:rsidRPr="006156AD">
        <w:rPr>
          <w:rFonts w:ascii="Trebuchet MS" w:hAnsi="Trebuchet MS"/>
        </w:rPr>
        <w:t xml:space="preserve"> </w:t>
      </w:r>
      <w:r w:rsidRPr="006156AD">
        <w:rPr>
          <w:rFonts w:ascii="Trebuchet MS" w:hAnsi="Trebuchet MS"/>
        </w:rPr>
        <w:t xml:space="preserve">for the fiscal years ending </w:t>
      </w:r>
      <w:r w:rsidR="00D8508E" w:rsidRPr="006156AD">
        <w:rPr>
          <w:rFonts w:ascii="Trebuchet MS" w:hAnsi="Trebuchet MS"/>
        </w:rPr>
        <w:t>December 31</w:t>
      </w:r>
      <w:r w:rsidRPr="006156AD">
        <w:rPr>
          <w:rFonts w:ascii="Trebuchet MS" w:hAnsi="Trebuchet MS"/>
        </w:rPr>
        <w:t>,</w:t>
      </w:r>
      <w:r w:rsidR="003F53A3" w:rsidRPr="006156AD">
        <w:rPr>
          <w:rFonts w:ascii="Trebuchet MS" w:hAnsi="Trebuchet MS"/>
        </w:rPr>
        <w:t xml:space="preserve"> </w:t>
      </w:r>
      <w:proofErr w:type="gramStart"/>
      <w:r w:rsidR="009D5319" w:rsidRPr="006156AD">
        <w:rPr>
          <w:rFonts w:ascii="Trebuchet MS" w:hAnsi="Trebuchet MS"/>
        </w:rPr>
        <w:t>202</w:t>
      </w:r>
      <w:r w:rsidR="00D8508E" w:rsidRPr="006156AD">
        <w:rPr>
          <w:rFonts w:ascii="Trebuchet MS" w:hAnsi="Trebuchet MS"/>
        </w:rPr>
        <w:t>6</w:t>
      </w:r>
      <w:proofErr w:type="gramEnd"/>
      <w:r w:rsidRPr="006156AD">
        <w:rPr>
          <w:rFonts w:ascii="Trebuchet MS" w:hAnsi="Trebuchet MS"/>
        </w:rPr>
        <w:t xml:space="preserve"> through </w:t>
      </w:r>
      <w:r w:rsidR="00D8508E" w:rsidRPr="006156AD">
        <w:rPr>
          <w:rFonts w:ascii="Trebuchet MS" w:hAnsi="Trebuchet MS"/>
        </w:rPr>
        <w:t xml:space="preserve">December 31, </w:t>
      </w:r>
      <w:r w:rsidR="00691961" w:rsidRPr="006156AD">
        <w:rPr>
          <w:rFonts w:ascii="Trebuchet MS" w:hAnsi="Trebuchet MS"/>
        </w:rPr>
        <w:t>20</w:t>
      </w:r>
      <w:r w:rsidR="003808BD" w:rsidRPr="006156AD">
        <w:rPr>
          <w:rFonts w:ascii="Trebuchet MS" w:hAnsi="Trebuchet MS"/>
        </w:rPr>
        <w:t>3</w:t>
      </w:r>
      <w:r w:rsidR="007114E2" w:rsidRPr="006156AD">
        <w:rPr>
          <w:rFonts w:ascii="Trebuchet MS" w:hAnsi="Trebuchet MS"/>
        </w:rPr>
        <w:t>1</w:t>
      </w:r>
      <w:r w:rsidRPr="006156AD">
        <w:rPr>
          <w:rFonts w:ascii="Trebuchet MS" w:hAnsi="Trebuchet MS"/>
        </w:rPr>
        <w:t>, prepared by Management</w:t>
      </w:r>
      <w:r w:rsidR="003E38D4" w:rsidRPr="006156AD">
        <w:rPr>
          <w:rFonts w:ascii="Trebuchet MS" w:hAnsi="Trebuchet MS"/>
        </w:rPr>
        <w:t xml:space="preserve"> (the “Projection Period”)</w:t>
      </w:r>
      <w:r w:rsidRPr="006156AD">
        <w:rPr>
          <w:rFonts w:ascii="Trebuchet MS" w:hAnsi="Trebuchet MS"/>
        </w:rPr>
        <w:t xml:space="preserve">, and the supporting documentation </w:t>
      </w:r>
      <w:r w:rsidR="009D5319" w:rsidRPr="006156AD">
        <w:rPr>
          <w:rFonts w:ascii="Trebuchet MS" w:hAnsi="Trebuchet MS"/>
        </w:rPr>
        <w:t>to</w:t>
      </w:r>
      <w:r w:rsidRPr="006156AD">
        <w:rPr>
          <w:rFonts w:ascii="Trebuchet MS" w:hAnsi="Trebuchet MS"/>
        </w:rPr>
        <w:t xml:space="preserve"> render an opinion as to the reasonableness of assumptions used in the preparation and feasibility of the Projections. Reasonableness is defined within the context of this report as supportable and proper, given the underlying information. Feasibility is </w:t>
      </w:r>
      <w:r w:rsidRPr="006156AD">
        <w:rPr>
          <w:rFonts w:ascii="Trebuchet MS" w:hAnsi="Trebuchet MS"/>
        </w:rPr>
        <w:lastRenderedPageBreak/>
        <w:t xml:space="preserve">defined as based on the assumptions used, the Proposed Project </w:t>
      </w:r>
      <w:r w:rsidR="00814DA9" w:rsidRPr="006156AD">
        <w:rPr>
          <w:rFonts w:ascii="Trebuchet MS" w:hAnsi="Trebuchet MS"/>
        </w:rPr>
        <w:t xml:space="preserve">is </w:t>
      </w:r>
      <w:r w:rsidRPr="006156AD">
        <w:rPr>
          <w:rFonts w:ascii="Trebuchet MS" w:hAnsi="Trebuchet MS"/>
        </w:rPr>
        <w:t>not likely to result in a liquidation of the underlying assets or the need for reorganization.</w:t>
      </w:r>
    </w:p>
    <w:p w14:paraId="3DE3031F" w14:textId="77777777" w:rsidR="000D17B6" w:rsidRPr="006156AD" w:rsidRDefault="000D17B6" w:rsidP="000D17B6">
      <w:pPr>
        <w:tabs>
          <w:tab w:val="left" w:pos="720"/>
        </w:tabs>
        <w:spacing w:line="480" w:lineRule="auto"/>
        <w:jc w:val="both"/>
        <w:rPr>
          <w:rFonts w:ascii="Trebuchet MS" w:hAnsi="Trebuchet MS"/>
          <w:highlight w:val="yellow"/>
        </w:rPr>
      </w:pPr>
    </w:p>
    <w:p w14:paraId="48FB8E3C" w14:textId="02A9179C" w:rsidR="000D17B6" w:rsidRPr="006156AD" w:rsidRDefault="000D17B6" w:rsidP="000D17B6">
      <w:pPr>
        <w:tabs>
          <w:tab w:val="left" w:pos="720"/>
        </w:tabs>
        <w:spacing w:line="480" w:lineRule="auto"/>
        <w:jc w:val="both"/>
        <w:rPr>
          <w:rFonts w:ascii="Trebuchet MS" w:hAnsi="Trebuchet MS"/>
        </w:rPr>
      </w:pPr>
      <w:r w:rsidRPr="006156AD">
        <w:rPr>
          <w:rFonts w:ascii="Trebuchet MS" w:hAnsi="Trebuchet MS"/>
        </w:rPr>
        <w:t xml:space="preserve">This report is based on prospective financial information provided to us by Management. BDO understands the prospective financial information was developed as </w:t>
      </w:r>
      <w:r w:rsidR="00AA00BC" w:rsidRPr="006156AD">
        <w:rPr>
          <w:rFonts w:ascii="Trebuchet MS" w:hAnsi="Trebuchet MS"/>
        </w:rPr>
        <w:t xml:space="preserve">of </w:t>
      </w:r>
      <w:r w:rsidR="007114E2" w:rsidRPr="006156AD">
        <w:rPr>
          <w:rFonts w:ascii="Trebuchet MS" w:hAnsi="Trebuchet MS"/>
        </w:rPr>
        <w:t>June 11</w:t>
      </w:r>
      <w:r w:rsidR="00726930" w:rsidRPr="006156AD">
        <w:rPr>
          <w:rFonts w:ascii="Trebuchet MS" w:hAnsi="Trebuchet MS"/>
        </w:rPr>
        <w:t xml:space="preserve">, </w:t>
      </w:r>
      <w:r w:rsidR="00537ADC" w:rsidRPr="006156AD">
        <w:rPr>
          <w:rFonts w:ascii="Trebuchet MS" w:hAnsi="Trebuchet MS"/>
        </w:rPr>
        <w:t>2026,</w:t>
      </w:r>
      <w:r w:rsidR="00726930" w:rsidRPr="006156AD">
        <w:rPr>
          <w:rFonts w:ascii="Trebuchet MS" w:hAnsi="Trebuchet MS"/>
        </w:rPr>
        <w:t xml:space="preserve"> </w:t>
      </w:r>
      <w:r w:rsidR="009D5319" w:rsidRPr="006156AD">
        <w:rPr>
          <w:rFonts w:ascii="Trebuchet MS" w:hAnsi="Trebuchet MS"/>
        </w:rPr>
        <w:t>and</w:t>
      </w:r>
      <w:r w:rsidRPr="006156AD">
        <w:rPr>
          <w:rFonts w:ascii="Trebuchet MS" w:hAnsi="Trebuchet MS"/>
        </w:rPr>
        <w:t xml:space="preserve"> is representative of Management’s expectations as of the drafting of this report. BDO has not audited or performed any other form of attestation services on the projected financial information related to the operations of </w:t>
      </w:r>
      <w:r w:rsidR="00D8508E" w:rsidRPr="006156AD">
        <w:rPr>
          <w:rFonts w:ascii="Trebuchet MS" w:hAnsi="Trebuchet MS"/>
        </w:rPr>
        <w:t>Blue Cloud</w:t>
      </w:r>
      <w:r w:rsidRPr="006156AD">
        <w:rPr>
          <w:rFonts w:ascii="Trebuchet MS" w:hAnsi="Trebuchet MS"/>
        </w:rPr>
        <w:t>.</w:t>
      </w:r>
    </w:p>
    <w:p w14:paraId="758C62B2" w14:textId="77777777" w:rsidR="000D17B6" w:rsidRPr="006156AD" w:rsidRDefault="000D17B6" w:rsidP="000D17B6">
      <w:pPr>
        <w:tabs>
          <w:tab w:val="left" w:pos="720"/>
        </w:tabs>
        <w:spacing w:line="480" w:lineRule="auto"/>
        <w:jc w:val="both"/>
        <w:rPr>
          <w:rFonts w:ascii="Trebuchet MS" w:hAnsi="Trebuchet MS"/>
          <w:highlight w:val="yellow"/>
        </w:rPr>
      </w:pPr>
    </w:p>
    <w:p w14:paraId="0530DB6F" w14:textId="47F4823A" w:rsidR="009A2BEA" w:rsidRPr="006156AD" w:rsidRDefault="000D17B6">
      <w:pPr>
        <w:tabs>
          <w:tab w:val="left" w:pos="720"/>
        </w:tabs>
        <w:spacing w:line="480" w:lineRule="auto"/>
        <w:jc w:val="both"/>
        <w:rPr>
          <w:rFonts w:ascii="Trebuchet MS" w:hAnsi="Trebuchet MS"/>
        </w:rPr>
      </w:pPr>
      <w:r w:rsidRPr="006156AD">
        <w:rPr>
          <w:rFonts w:ascii="Trebuchet MS" w:hAnsi="Trebuchet MS"/>
        </w:rPr>
        <w:t xml:space="preserve">If BDO had audited the underlying data, matters may have come to our attention that would have resulted in our using amounts that differ from those provided. Accordingly, we do not express an opinion or any other assurances on the underlying data or projections presented or relied upon in this report. We do not provide assurance on the achievability of the results forecasted by the Applicant because events and circumstances frequently do not occur as expected, and the achievement of the forecasted results is dependent on the actions, plans, and assumptions of Management. We reserve the right to update our analysis </w:t>
      </w:r>
      <w:proofErr w:type="gramStart"/>
      <w:r w:rsidRPr="006156AD">
        <w:rPr>
          <w:rFonts w:ascii="Trebuchet MS" w:hAnsi="Trebuchet MS"/>
        </w:rPr>
        <w:t>in the event that</w:t>
      </w:r>
      <w:proofErr w:type="gramEnd"/>
      <w:r w:rsidRPr="006156AD">
        <w:rPr>
          <w:rFonts w:ascii="Trebuchet MS" w:hAnsi="Trebuchet MS"/>
        </w:rPr>
        <w:t xml:space="preserve"> we are provided with additional information. </w:t>
      </w:r>
      <w:bookmarkEnd w:id="1"/>
      <w:bookmarkEnd w:id="2"/>
    </w:p>
    <w:p w14:paraId="19DA7C2A" w14:textId="77777777" w:rsidR="00232A0F" w:rsidRPr="006156AD" w:rsidRDefault="00232A0F">
      <w:pPr>
        <w:tabs>
          <w:tab w:val="left" w:pos="720"/>
        </w:tabs>
        <w:spacing w:line="480" w:lineRule="auto"/>
        <w:jc w:val="both"/>
        <w:rPr>
          <w:rFonts w:ascii="Trebuchet MS" w:hAnsi="Trebuchet MS"/>
        </w:rPr>
      </w:pPr>
    </w:p>
    <w:p w14:paraId="60AF3595" w14:textId="77777777" w:rsidR="00232A0F" w:rsidRPr="006156AD" w:rsidRDefault="00232A0F">
      <w:pPr>
        <w:tabs>
          <w:tab w:val="left" w:pos="720"/>
        </w:tabs>
        <w:spacing w:line="480" w:lineRule="auto"/>
        <w:jc w:val="both"/>
        <w:rPr>
          <w:rFonts w:ascii="Trebuchet MS" w:hAnsi="Trebuchet MS"/>
        </w:rPr>
      </w:pPr>
    </w:p>
    <w:p w14:paraId="15424B73" w14:textId="77777777" w:rsidR="00232A0F" w:rsidRPr="006156AD" w:rsidRDefault="00232A0F">
      <w:pPr>
        <w:tabs>
          <w:tab w:val="left" w:pos="720"/>
        </w:tabs>
        <w:spacing w:line="480" w:lineRule="auto"/>
        <w:jc w:val="both"/>
        <w:rPr>
          <w:rFonts w:ascii="Trebuchet MS" w:hAnsi="Trebuchet MS"/>
        </w:rPr>
      </w:pPr>
    </w:p>
    <w:p w14:paraId="3E5EDD4F" w14:textId="073A0170" w:rsidR="009A2BEA" w:rsidRPr="00AF2C0F" w:rsidRDefault="00AF2C0F" w:rsidP="00721A34">
      <w:pPr>
        <w:pStyle w:val="Heading2"/>
        <w:rPr>
          <w:sz w:val="24"/>
          <w:szCs w:val="24"/>
          <w:u w:val="none"/>
        </w:rPr>
      </w:pPr>
      <w:bookmarkStart w:id="3" w:name="_Toc463886376"/>
      <w:bookmarkStart w:id="4" w:name="_Ref467150501"/>
      <w:r w:rsidRPr="00AF2C0F">
        <w:rPr>
          <w:sz w:val="24"/>
          <w:szCs w:val="24"/>
          <w:u w:val="none"/>
        </w:rPr>
        <w:t>Sources of Information Utilized</w:t>
      </w:r>
      <w:bookmarkEnd w:id="3"/>
      <w:bookmarkEnd w:id="4"/>
    </w:p>
    <w:p w14:paraId="17EF8755" w14:textId="217C3C98" w:rsidR="009A2BEA" w:rsidRPr="006156AD" w:rsidRDefault="00D3103D">
      <w:pPr>
        <w:spacing w:line="480" w:lineRule="auto"/>
        <w:jc w:val="both"/>
        <w:rPr>
          <w:rFonts w:ascii="Trebuchet MS" w:hAnsi="Trebuchet MS"/>
        </w:rPr>
      </w:pPr>
      <w:r w:rsidRPr="006156AD">
        <w:rPr>
          <w:rFonts w:ascii="Trebuchet MS" w:hAnsi="Trebuchet MS"/>
        </w:rPr>
        <w:t>In formulatin</w:t>
      </w:r>
      <w:r w:rsidR="00D31AC0" w:rsidRPr="006156AD">
        <w:rPr>
          <w:rFonts w:ascii="Trebuchet MS" w:hAnsi="Trebuchet MS"/>
        </w:rPr>
        <w:t>g</w:t>
      </w:r>
      <w:r w:rsidRPr="006156AD">
        <w:rPr>
          <w:rFonts w:ascii="Trebuchet MS" w:hAnsi="Trebuchet MS"/>
        </w:rPr>
        <w:t xml:space="preserve"> </w:t>
      </w:r>
      <w:r w:rsidR="00D31AC0" w:rsidRPr="006156AD">
        <w:rPr>
          <w:rFonts w:ascii="Trebuchet MS" w:hAnsi="Trebuchet MS"/>
        </w:rPr>
        <w:t>our</w:t>
      </w:r>
      <w:r w:rsidRPr="006156AD">
        <w:rPr>
          <w:rFonts w:ascii="Trebuchet MS" w:hAnsi="Trebuchet MS"/>
        </w:rPr>
        <w:t xml:space="preserve"> conclusions contained in this report, we reviewed documents produced by Management as well as third party industry data sources. The documents and information upon which we relied are identified below or are otherwise referenced in this report: </w:t>
      </w:r>
    </w:p>
    <w:p w14:paraId="5B277429" w14:textId="2BFB5D04" w:rsidR="009A2BEA" w:rsidRPr="006156AD" w:rsidRDefault="005876E8">
      <w:pPr>
        <w:numPr>
          <w:ilvl w:val="0"/>
          <w:numId w:val="2"/>
        </w:numPr>
        <w:spacing w:line="480" w:lineRule="auto"/>
        <w:jc w:val="both"/>
        <w:rPr>
          <w:rFonts w:ascii="Trebuchet MS" w:hAnsi="Trebuchet MS"/>
        </w:rPr>
      </w:pPr>
      <w:r w:rsidRPr="006156AD">
        <w:rPr>
          <w:rFonts w:ascii="Trebuchet MS" w:hAnsi="Trebuchet MS"/>
        </w:rPr>
        <w:t xml:space="preserve">Projected </w:t>
      </w:r>
      <w:r w:rsidR="00D3103D" w:rsidRPr="006156AD">
        <w:rPr>
          <w:rFonts w:ascii="Trebuchet MS" w:hAnsi="Trebuchet MS"/>
        </w:rPr>
        <w:t>Financial Model for</w:t>
      </w:r>
      <w:r w:rsidR="0014288E" w:rsidRPr="006156AD">
        <w:rPr>
          <w:rFonts w:ascii="Trebuchet MS" w:hAnsi="Trebuchet MS"/>
        </w:rPr>
        <w:t xml:space="preserve"> </w:t>
      </w:r>
      <w:r w:rsidR="00D8508E" w:rsidRPr="006156AD">
        <w:rPr>
          <w:rFonts w:ascii="Trebuchet MS" w:hAnsi="Trebuchet MS"/>
        </w:rPr>
        <w:t>Blue Cloud</w:t>
      </w:r>
      <w:r w:rsidR="00C34204" w:rsidRPr="006156AD">
        <w:rPr>
          <w:rFonts w:ascii="Trebuchet MS" w:hAnsi="Trebuchet MS"/>
        </w:rPr>
        <w:t xml:space="preserve"> </w:t>
      </w:r>
      <w:r w:rsidR="00D3103D" w:rsidRPr="006156AD">
        <w:rPr>
          <w:rFonts w:ascii="Trebuchet MS" w:hAnsi="Trebuchet MS"/>
        </w:rPr>
        <w:t xml:space="preserve">for the periods ending </w:t>
      </w:r>
      <w:r w:rsidR="00D8508E" w:rsidRPr="006156AD">
        <w:rPr>
          <w:rFonts w:ascii="Trebuchet MS" w:hAnsi="Trebuchet MS"/>
        </w:rPr>
        <w:t>December 31, 2026</w:t>
      </w:r>
      <w:r w:rsidR="009D5319" w:rsidRPr="006156AD">
        <w:rPr>
          <w:rFonts w:ascii="Trebuchet MS" w:hAnsi="Trebuchet MS"/>
        </w:rPr>
        <w:t>,</w:t>
      </w:r>
      <w:r w:rsidR="00D3103D" w:rsidRPr="006156AD">
        <w:rPr>
          <w:rFonts w:ascii="Trebuchet MS" w:hAnsi="Trebuchet MS"/>
        </w:rPr>
        <w:t xml:space="preserve"> through </w:t>
      </w:r>
      <w:r w:rsidR="00D8508E" w:rsidRPr="006156AD">
        <w:rPr>
          <w:rFonts w:ascii="Trebuchet MS" w:hAnsi="Trebuchet MS"/>
        </w:rPr>
        <w:t>December 31, 20</w:t>
      </w:r>
      <w:r w:rsidR="00441989" w:rsidRPr="006156AD">
        <w:rPr>
          <w:rFonts w:ascii="Trebuchet MS" w:hAnsi="Trebuchet MS"/>
        </w:rPr>
        <w:t>3</w:t>
      </w:r>
      <w:r w:rsidR="007114E2" w:rsidRPr="006156AD">
        <w:rPr>
          <w:rFonts w:ascii="Trebuchet MS" w:hAnsi="Trebuchet MS"/>
        </w:rPr>
        <w:t>1</w:t>
      </w:r>
      <w:r w:rsidR="00D3103D" w:rsidRPr="006156AD">
        <w:rPr>
          <w:rFonts w:ascii="Trebuchet MS" w:hAnsi="Trebuchet MS"/>
        </w:rPr>
        <w:t>;</w:t>
      </w:r>
    </w:p>
    <w:p w14:paraId="2A6A6342" w14:textId="65EF159E" w:rsidR="005876E8" w:rsidRPr="006156AD" w:rsidRDefault="00D3103D" w:rsidP="00393C4B">
      <w:pPr>
        <w:numPr>
          <w:ilvl w:val="0"/>
          <w:numId w:val="2"/>
        </w:numPr>
        <w:spacing w:line="480" w:lineRule="auto"/>
        <w:jc w:val="both"/>
        <w:rPr>
          <w:rFonts w:ascii="Trebuchet MS" w:hAnsi="Trebuchet MS"/>
        </w:rPr>
      </w:pPr>
      <w:r w:rsidRPr="006156AD">
        <w:rPr>
          <w:rFonts w:ascii="Trebuchet MS" w:hAnsi="Trebuchet MS"/>
        </w:rPr>
        <w:t>Audited Financial Statements for</w:t>
      </w:r>
      <w:bookmarkStart w:id="5" w:name="_Hlk57821392"/>
      <w:r w:rsidR="000E384B" w:rsidRPr="006156AD">
        <w:rPr>
          <w:rFonts w:ascii="Trebuchet MS" w:hAnsi="Trebuchet MS"/>
        </w:rPr>
        <w:t xml:space="preserve"> </w:t>
      </w:r>
      <w:r w:rsidR="00D8508E" w:rsidRPr="006156AD">
        <w:rPr>
          <w:rFonts w:ascii="Trebuchet MS" w:hAnsi="Trebuchet MS"/>
        </w:rPr>
        <w:t>Blue Cloud Pediatric Surgery Centers, LLC</w:t>
      </w:r>
      <w:r w:rsidR="00C34204" w:rsidRPr="006156AD">
        <w:rPr>
          <w:rFonts w:ascii="Trebuchet MS" w:hAnsi="Trebuchet MS"/>
        </w:rPr>
        <w:t xml:space="preserve"> and Subsidiaries</w:t>
      </w:r>
      <w:r w:rsidR="00D8508E" w:rsidRPr="006156AD">
        <w:rPr>
          <w:rFonts w:ascii="Trebuchet MS" w:hAnsi="Trebuchet MS"/>
        </w:rPr>
        <w:t xml:space="preserve"> and Affiliates</w:t>
      </w:r>
      <w:r w:rsidR="0014288E" w:rsidRPr="006156AD">
        <w:rPr>
          <w:rFonts w:ascii="Trebuchet MS" w:hAnsi="Trebuchet MS"/>
        </w:rPr>
        <w:t xml:space="preserve"> </w:t>
      </w:r>
      <w:bookmarkEnd w:id="5"/>
      <w:r w:rsidRPr="006156AD">
        <w:rPr>
          <w:rFonts w:ascii="Trebuchet MS" w:hAnsi="Trebuchet MS"/>
        </w:rPr>
        <w:t>for Fiscal Year</w:t>
      </w:r>
      <w:r w:rsidR="005765D8" w:rsidRPr="006156AD">
        <w:rPr>
          <w:rFonts w:ascii="Trebuchet MS" w:hAnsi="Trebuchet MS"/>
        </w:rPr>
        <w:t>s</w:t>
      </w:r>
      <w:r w:rsidRPr="006156AD">
        <w:rPr>
          <w:rFonts w:ascii="Trebuchet MS" w:hAnsi="Trebuchet MS"/>
        </w:rPr>
        <w:t xml:space="preserve"> </w:t>
      </w:r>
      <w:r w:rsidR="009F125A" w:rsidRPr="006156AD">
        <w:rPr>
          <w:rFonts w:ascii="Trebuchet MS" w:hAnsi="Trebuchet MS"/>
        </w:rPr>
        <w:t>Ended</w:t>
      </w:r>
      <w:r w:rsidR="004D057D" w:rsidRPr="006156AD">
        <w:rPr>
          <w:rFonts w:ascii="Trebuchet MS" w:hAnsi="Trebuchet MS"/>
        </w:rPr>
        <w:t xml:space="preserve"> </w:t>
      </w:r>
      <w:r w:rsidR="00D8508E" w:rsidRPr="006156AD">
        <w:rPr>
          <w:rFonts w:ascii="Trebuchet MS" w:hAnsi="Trebuchet MS"/>
        </w:rPr>
        <w:t xml:space="preserve">December 31, </w:t>
      </w:r>
      <w:proofErr w:type="gramStart"/>
      <w:r w:rsidR="00D8508E" w:rsidRPr="006156AD">
        <w:rPr>
          <w:rFonts w:ascii="Trebuchet MS" w:hAnsi="Trebuchet MS"/>
        </w:rPr>
        <w:t>2023</w:t>
      </w:r>
      <w:proofErr w:type="gramEnd"/>
      <w:r w:rsidR="00D8508E" w:rsidRPr="006156AD">
        <w:rPr>
          <w:rFonts w:ascii="Trebuchet MS" w:hAnsi="Trebuchet MS"/>
        </w:rPr>
        <w:t xml:space="preserve"> </w:t>
      </w:r>
      <w:r w:rsidR="00287E8A" w:rsidRPr="006156AD">
        <w:rPr>
          <w:rFonts w:ascii="Trebuchet MS" w:hAnsi="Trebuchet MS"/>
        </w:rPr>
        <w:t xml:space="preserve">through </w:t>
      </w:r>
      <w:r w:rsidR="00D8508E" w:rsidRPr="006156AD">
        <w:rPr>
          <w:rFonts w:ascii="Trebuchet MS" w:hAnsi="Trebuchet MS"/>
        </w:rPr>
        <w:t xml:space="preserve">December 31, </w:t>
      </w:r>
      <w:r w:rsidR="000E384B" w:rsidRPr="006156AD">
        <w:rPr>
          <w:rFonts w:ascii="Trebuchet MS" w:hAnsi="Trebuchet MS"/>
        </w:rPr>
        <w:t>20</w:t>
      </w:r>
      <w:r w:rsidR="00D8508E" w:rsidRPr="006156AD">
        <w:rPr>
          <w:rFonts w:ascii="Trebuchet MS" w:hAnsi="Trebuchet MS"/>
        </w:rPr>
        <w:t>24</w:t>
      </w:r>
      <w:r w:rsidRPr="006156AD">
        <w:rPr>
          <w:rFonts w:ascii="Trebuchet MS" w:hAnsi="Trebuchet MS"/>
        </w:rPr>
        <w:t>;</w:t>
      </w:r>
    </w:p>
    <w:p w14:paraId="203A3E3F" w14:textId="78E28E1C" w:rsidR="00805077" w:rsidRPr="006156AD" w:rsidRDefault="00AB4425" w:rsidP="00691528">
      <w:pPr>
        <w:numPr>
          <w:ilvl w:val="0"/>
          <w:numId w:val="2"/>
        </w:numPr>
        <w:spacing w:line="480" w:lineRule="auto"/>
        <w:jc w:val="both"/>
        <w:rPr>
          <w:rFonts w:ascii="Trebuchet MS" w:hAnsi="Trebuchet MS"/>
        </w:rPr>
      </w:pPr>
      <w:r w:rsidRPr="006156AD">
        <w:rPr>
          <w:rFonts w:ascii="Trebuchet MS" w:hAnsi="Trebuchet MS"/>
        </w:rPr>
        <w:t xml:space="preserve">Unaudited </w:t>
      </w:r>
      <w:r w:rsidR="00691528" w:rsidRPr="006156AD">
        <w:rPr>
          <w:rFonts w:ascii="Trebuchet MS" w:hAnsi="Trebuchet MS"/>
        </w:rPr>
        <w:t xml:space="preserve">Comparative Statement of Revenues and Expenses for </w:t>
      </w:r>
      <w:r w:rsidR="0055302A" w:rsidRPr="006156AD">
        <w:rPr>
          <w:rFonts w:ascii="Trebuchet MS" w:hAnsi="Trebuchet MS"/>
        </w:rPr>
        <w:t>Blue Cloud Pediatric Surgery Centers, LLC</w:t>
      </w:r>
      <w:r w:rsidR="00691528" w:rsidRPr="006156AD">
        <w:rPr>
          <w:rFonts w:ascii="Trebuchet MS" w:hAnsi="Trebuchet MS"/>
        </w:rPr>
        <w:t xml:space="preserve"> for the period ended </w:t>
      </w:r>
      <w:r w:rsidR="0055302A" w:rsidRPr="006156AD">
        <w:rPr>
          <w:rFonts w:ascii="Trebuchet MS" w:hAnsi="Trebuchet MS"/>
        </w:rPr>
        <w:t>December 31</w:t>
      </w:r>
      <w:r w:rsidR="00691528" w:rsidRPr="006156AD">
        <w:rPr>
          <w:rFonts w:ascii="Trebuchet MS" w:hAnsi="Trebuchet MS"/>
        </w:rPr>
        <w:t>, 202</w:t>
      </w:r>
      <w:r w:rsidR="0055302A" w:rsidRPr="006156AD">
        <w:rPr>
          <w:rFonts w:ascii="Trebuchet MS" w:hAnsi="Trebuchet MS"/>
        </w:rPr>
        <w:t>5</w:t>
      </w:r>
      <w:r w:rsidRPr="006156AD">
        <w:rPr>
          <w:rFonts w:ascii="Trebuchet MS" w:hAnsi="Trebuchet MS"/>
        </w:rPr>
        <w:t>;</w:t>
      </w:r>
      <w:r w:rsidR="00805077" w:rsidRPr="006156AD">
        <w:rPr>
          <w:rFonts w:ascii="Trebuchet MS" w:hAnsi="Trebuchet MS"/>
        </w:rPr>
        <w:t xml:space="preserve"> </w:t>
      </w:r>
    </w:p>
    <w:p w14:paraId="72752ADF" w14:textId="0DCDBEFE" w:rsidR="00393C4B" w:rsidRPr="006156AD" w:rsidRDefault="00393C4B" w:rsidP="00691528">
      <w:pPr>
        <w:numPr>
          <w:ilvl w:val="0"/>
          <w:numId w:val="2"/>
        </w:numPr>
        <w:spacing w:line="480" w:lineRule="auto"/>
        <w:jc w:val="both"/>
        <w:rPr>
          <w:rFonts w:ascii="Trebuchet MS" w:hAnsi="Trebuchet MS"/>
        </w:rPr>
      </w:pPr>
      <w:r w:rsidRPr="006156AD">
        <w:rPr>
          <w:rFonts w:ascii="Trebuchet MS" w:hAnsi="Trebuchet MS"/>
        </w:rPr>
        <w:t xml:space="preserve">Manager’s </w:t>
      </w:r>
      <w:r w:rsidR="0055302A" w:rsidRPr="006156AD">
        <w:rPr>
          <w:rFonts w:ascii="Trebuchet MS" w:hAnsi="Trebuchet MS"/>
        </w:rPr>
        <w:t xml:space="preserve">Monthly Operations Report (“MOR”) </w:t>
      </w:r>
      <w:r w:rsidRPr="006156AD">
        <w:rPr>
          <w:rFonts w:ascii="Trebuchet MS" w:hAnsi="Trebuchet MS"/>
        </w:rPr>
        <w:t xml:space="preserve">as of </w:t>
      </w:r>
      <w:r w:rsidR="0055302A" w:rsidRPr="006156AD">
        <w:rPr>
          <w:rFonts w:ascii="Trebuchet MS" w:hAnsi="Trebuchet MS"/>
        </w:rPr>
        <w:t>February 28</w:t>
      </w:r>
      <w:r w:rsidRPr="006156AD">
        <w:rPr>
          <w:rFonts w:ascii="Trebuchet MS" w:hAnsi="Trebuchet MS"/>
        </w:rPr>
        <w:t>, 202</w:t>
      </w:r>
      <w:r w:rsidR="0055302A" w:rsidRPr="006156AD">
        <w:rPr>
          <w:rFonts w:ascii="Trebuchet MS" w:hAnsi="Trebuchet MS"/>
        </w:rPr>
        <w:t>6</w:t>
      </w:r>
      <w:r w:rsidRPr="006156AD">
        <w:rPr>
          <w:rFonts w:ascii="Trebuchet MS" w:hAnsi="Trebuchet MS"/>
        </w:rPr>
        <w:t xml:space="preserve">; </w:t>
      </w:r>
    </w:p>
    <w:p w14:paraId="1539CC41" w14:textId="79F541E1" w:rsidR="00393C4B" w:rsidRPr="006156AD" w:rsidRDefault="0055302A" w:rsidP="00691528">
      <w:pPr>
        <w:numPr>
          <w:ilvl w:val="0"/>
          <w:numId w:val="2"/>
        </w:numPr>
        <w:spacing w:line="480" w:lineRule="auto"/>
        <w:jc w:val="both"/>
        <w:rPr>
          <w:rFonts w:ascii="Trebuchet MS" w:hAnsi="Trebuchet MS"/>
        </w:rPr>
      </w:pPr>
      <w:r w:rsidRPr="006156AD">
        <w:rPr>
          <w:rFonts w:ascii="Trebuchet MS" w:hAnsi="Trebuchet MS"/>
        </w:rPr>
        <w:t>Blue Cloud Pediatric Surgery Centers, LLC’s 2026 Budget developed as of January 6, 2026</w:t>
      </w:r>
      <w:r w:rsidR="00393C4B" w:rsidRPr="006156AD">
        <w:rPr>
          <w:rFonts w:ascii="Trebuchet MS" w:hAnsi="Trebuchet MS"/>
        </w:rPr>
        <w:t xml:space="preserve">; </w:t>
      </w:r>
    </w:p>
    <w:p w14:paraId="336B5B3F" w14:textId="0B768A90" w:rsidR="00D32910" w:rsidRPr="006156AD" w:rsidRDefault="0069639A" w:rsidP="00691528">
      <w:pPr>
        <w:numPr>
          <w:ilvl w:val="0"/>
          <w:numId w:val="2"/>
        </w:numPr>
        <w:spacing w:line="480" w:lineRule="auto"/>
        <w:jc w:val="both"/>
        <w:rPr>
          <w:rFonts w:ascii="Trebuchet MS" w:hAnsi="Trebuchet MS"/>
        </w:rPr>
      </w:pPr>
      <w:r w:rsidRPr="006156AD">
        <w:rPr>
          <w:rFonts w:ascii="Trebuchet MS" w:hAnsi="Trebuchet MS"/>
        </w:rPr>
        <w:t>Site Evaluation report prepared by Kadean Construction dated February 19,</w:t>
      </w:r>
      <w:r w:rsidR="00232A0F" w:rsidRPr="006156AD">
        <w:rPr>
          <w:rFonts w:ascii="Trebuchet MS" w:hAnsi="Trebuchet MS"/>
        </w:rPr>
        <w:t xml:space="preserve"> </w:t>
      </w:r>
      <w:r w:rsidRPr="006156AD">
        <w:rPr>
          <w:rFonts w:ascii="Trebuchet MS" w:hAnsi="Trebuchet MS"/>
        </w:rPr>
        <w:t>2026</w:t>
      </w:r>
      <w:r w:rsidR="00D32910" w:rsidRPr="006156AD">
        <w:rPr>
          <w:rFonts w:ascii="Trebuchet MS" w:hAnsi="Trebuchet MS"/>
        </w:rPr>
        <w:t xml:space="preserve">; </w:t>
      </w:r>
    </w:p>
    <w:p w14:paraId="2695AF33" w14:textId="3E58B896" w:rsidR="004270B5" w:rsidRPr="006156AD" w:rsidRDefault="004611E1">
      <w:pPr>
        <w:numPr>
          <w:ilvl w:val="0"/>
          <w:numId w:val="2"/>
        </w:numPr>
        <w:spacing w:line="480" w:lineRule="auto"/>
        <w:jc w:val="both"/>
        <w:rPr>
          <w:rFonts w:ascii="Trebuchet MS" w:hAnsi="Trebuchet MS"/>
        </w:rPr>
      </w:pPr>
      <w:r w:rsidRPr="006156AD">
        <w:rPr>
          <w:rFonts w:ascii="Trebuchet MS" w:hAnsi="Trebuchet MS"/>
        </w:rPr>
        <w:t xml:space="preserve">Data obtained from Integra Information, A Division of </w:t>
      </w:r>
      <w:proofErr w:type="spellStart"/>
      <w:r w:rsidRPr="006156AD">
        <w:rPr>
          <w:rFonts w:ascii="Trebuchet MS" w:hAnsi="Trebuchet MS"/>
        </w:rPr>
        <w:t>Microbilt</w:t>
      </w:r>
      <w:proofErr w:type="spellEnd"/>
      <w:r w:rsidRPr="006156AD">
        <w:rPr>
          <w:rFonts w:ascii="Trebuchet MS" w:hAnsi="Trebuchet MS"/>
        </w:rPr>
        <w:t xml:space="preserve"> Corporation</w:t>
      </w:r>
      <w:r w:rsidR="006C4C2B" w:rsidRPr="006156AD">
        <w:rPr>
          <w:rFonts w:ascii="Trebuchet MS" w:hAnsi="Trebuchet MS"/>
        </w:rPr>
        <w:t xml:space="preserve"> as of </w:t>
      </w:r>
      <w:r w:rsidR="00441989" w:rsidRPr="006156AD">
        <w:rPr>
          <w:rFonts w:ascii="Trebuchet MS" w:hAnsi="Trebuchet MS"/>
        </w:rPr>
        <w:t>April 7</w:t>
      </w:r>
      <w:r w:rsidR="006C4C2B" w:rsidRPr="006156AD">
        <w:rPr>
          <w:rFonts w:ascii="Trebuchet MS" w:hAnsi="Trebuchet MS"/>
        </w:rPr>
        <w:t>, 202</w:t>
      </w:r>
      <w:r w:rsidR="00441989" w:rsidRPr="006156AD">
        <w:rPr>
          <w:rFonts w:ascii="Trebuchet MS" w:hAnsi="Trebuchet MS"/>
        </w:rPr>
        <w:t>6</w:t>
      </w:r>
      <w:r w:rsidR="004270B5" w:rsidRPr="006156AD">
        <w:rPr>
          <w:rFonts w:ascii="Trebuchet MS" w:hAnsi="Trebuchet MS"/>
        </w:rPr>
        <w:t xml:space="preserve">;  </w:t>
      </w:r>
    </w:p>
    <w:p w14:paraId="757464A7" w14:textId="0E049880" w:rsidR="00A207D8" w:rsidRPr="006156AD" w:rsidRDefault="00A207D8">
      <w:pPr>
        <w:numPr>
          <w:ilvl w:val="0"/>
          <w:numId w:val="2"/>
        </w:numPr>
        <w:spacing w:line="480" w:lineRule="auto"/>
        <w:jc w:val="both"/>
        <w:rPr>
          <w:rFonts w:ascii="Trebuchet MS" w:hAnsi="Trebuchet MS"/>
        </w:rPr>
      </w:pPr>
      <w:proofErr w:type="spellStart"/>
      <w:r w:rsidRPr="006156AD">
        <w:rPr>
          <w:rFonts w:ascii="Trebuchet MS" w:hAnsi="Trebuchet MS"/>
        </w:rPr>
        <w:lastRenderedPageBreak/>
        <w:t>BizMiner</w:t>
      </w:r>
      <w:proofErr w:type="spellEnd"/>
      <w:r w:rsidRPr="006156AD">
        <w:rPr>
          <w:rFonts w:ascii="Trebuchet MS" w:hAnsi="Trebuchet MS"/>
        </w:rPr>
        <w:t xml:space="preserve"> Industry Financial Profile 621493: Freestanding Ambulatory Surgical &amp; Emergency Centers, release date December 2024</w:t>
      </w:r>
      <w:r w:rsidR="00232A0F" w:rsidRPr="006156AD">
        <w:rPr>
          <w:rFonts w:ascii="Trebuchet MS" w:hAnsi="Trebuchet MS"/>
        </w:rPr>
        <w:t>; and</w:t>
      </w:r>
      <w:r w:rsidRPr="006156AD">
        <w:rPr>
          <w:rFonts w:ascii="Trebuchet MS" w:hAnsi="Trebuchet MS"/>
        </w:rPr>
        <w:t xml:space="preserve"> </w:t>
      </w:r>
    </w:p>
    <w:p w14:paraId="5D1F679F" w14:textId="371732B6" w:rsidR="004A6767" w:rsidRPr="006156AD" w:rsidRDefault="00D3103D" w:rsidP="00A22182">
      <w:pPr>
        <w:numPr>
          <w:ilvl w:val="0"/>
          <w:numId w:val="2"/>
        </w:numPr>
        <w:spacing w:line="480" w:lineRule="auto"/>
        <w:jc w:val="both"/>
        <w:rPr>
          <w:rFonts w:ascii="Trebuchet MS" w:hAnsi="Trebuchet MS"/>
        </w:rPr>
      </w:pPr>
      <w:r w:rsidRPr="006156AD">
        <w:rPr>
          <w:rFonts w:ascii="Trebuchet MS" w:hAnsi="Trebuchet MS"/>
        </w:rPr>
        <w:t>IBISWorld Industry Report</w:t>
      </w:r>
      <w:r w:rsidR="00287E8A" w:rsidRPr="006156AD">
        <w:rPr>
          <w:rFonts w:ascii="Trebuchet MS" w:hAnsi="Trebuchet MS"/>
        </w:rPr>
        <w:t xml:space="preserve"> </w:t>
      </w:r>
      <w:r w:rsidR="000979F0" w:rsidRPr="006156AD">
        <w:rPr>
          <w:rFonts w:ascii="Trebuchet MS" w:hAnsi="Trebuchet MS"/>
        </w:rPr>
        <w:t>621493</w:t>
      </w:r>
      <w:r w:rsidR="00287E8A" w:rsidRPr="006156AD">
        <w:rPr>
          <w:rFonts w:ascii="Trebuchet MS" w:hAnsi="Trebuchet MS"/>
        </w:rPr>
        <w:t>:</w:t>
      </w:r>
      <w:r w:rsidR="000979F0" w:rsidRPr="006156AD">
        <w:rPr>
          <w:rFonts w:ascii="Trebuchet MS" w:hAnsi="Trebuchet MS"/>
        </w:rPr>
        <w:t xml:space="preserve"> Ambulatory Surgery Centers in the US</w:t>
      </w:r>
      <w:r w:rsidRPr="006156AD">
        <w:rPr>
          <w:rFonts w:ascii="Trebuchet MS" w:hAnsi="Trebuchet MS"/>
        </w:rPr>
        <w:t xml:space="preserve">, dated </w:t>
      </w:r>
      <w:r w:rsidR="000979F0" w:rsidRPr="006156AD">
        <w:rPr>
          <w:rFonts w:ascii="Trebuchet MS" w:hAnsi="Trebuchet MS"/>
        </w:rPr>
        <w:t>October 2025</w:t>
      </w:r>
      <w:r w:rsidR="00805077" w:rsidRPr="006156AD">
        <w:rPr>
          <w:rFonts w:ascii="Trebuchet MS" w:hAnsi="Trebuchet MS"/>
        </w:rPr>
        <w:t xml:space="preserve">. </w:t>
      </w:r>
    </w:p>
    <w:p w14:paraId="443138C9" w14:textId="77777777" w:rsidR="00232A0F" w:rsidRPr="006156AD" w:rsidRDefault="00232A0F" w:rsidP="002E238B">
      <w:pPr>
        <w:spacing w:line="480" w:lineRule="auto"/>
        <w:ind w:left="720"/>
        <w:jc w:val="both"/>
        <w:rPr>
          <w:rFonts w:ascii="Trebuchet MS" w:hAnsi="Trebuchet MS"/>
        </w:rPr>
      </w:pPr>
    </w:p>
    <w:p w14:paraId="33ACA851" w14:textId="20AE3ED9" w:rsidR="009A2BEA" w:rsidRPr="006156AD" w:rsidRDefault="007603B7" w:rsidP="00721A34">
      <w:pPr>
        <w:pStyle w:val="Heading2"/>
        <w:rPr>
          <w:sz w:val="24"/>
          <w:szCs w:val="24"/>
        </w:rPr>
      </w:pPr>
      <w:r w:rsidRPr="006156AD">
        <w:rPr>
          <w:sz w:val="24"/>
          <w:szCs w:val="24"/>
        </w:rPr>
        <w:t>Review of the Projections</w:t>
      </w:r>
    </w:p>
    <w:p w14:paraId="7235F4B6" w14:textId="76CC71A2" w:rsidR="00B26FD1" w:rsidRPr="006156AD" w:rsidRDefault="00B26FD1" w:rsidP="00B26FD1">
      <w:pPr>
        <w:tabs>
          <w:tab w:val="num" w:pos="1260"/>
        </w:tabs>
        <w:spacing w:line="480" w:lineRule="auto"/>
        <w:jc w:val="both"/>
        <w:rPr>
          <w:rFonts w:ascii="Trebuchet MS" w:hAnsi="Trebuchet MS"/>
        </w:rPr>
      </w:pPr>
      <w:r w:rsidRPr="006156AD">
        <w:rPr>
          <w:rFonts w:ascii="Trebuchet MS" w:hAnsi="Trebuchet MS"/>
        </w:rPr>
        <w:t xml:space="preserve">This section of our report summarizes our review of the reasonableness of the assumptions used and feasibility of the Projections. </w:t>
      </w:r>
    </w:p>
    <w:p w14:paraId="5F5A85D0" w14:textId="3CA37ADF" w:rsidR="00814DA9" w:rsidRPr="006156AD" w:rsidRDefault="00B26FD1" w:rsidP="00B26FD1">
      <w:pPr>
        <w:tabs>
          <w:tab w:val="num" w:pos="1260"/>
        </w:tabs>
        <w:spacing w:line="480" w:lineRule="auto"/>
        <w:jc w:val="both"/>
        <w:rPr>
          <w:rFonts w:ascii="Trebuchet MS" w:hAnsi="Trebuchet MS"/>
        </w:rPr>
      </w:pPr>
      <w:r w:rsidRPr="006156AD">
        <w:rPr>
          <w:rFonts w:ascii="Trebuchet MS" w:hAnsi="Trebuchet MS"/>
        </w:rPr>
        <w:t>The following tables present the Key Metrics, as defined below, which compare the operating results of the Projections to market information from Integra Reports (“Integra”)</w:t>
      </w:r>
      <w:r w:rsidR="00F76189" w:rsidRPr="006156AD">
        <w:rPr>
          <w:rFonts w:ascii="Trebuchet MS" w:hAnsi="Trebuchet MS"/>
        </w:rPr>
        <w:t xml:space="preserve"> and</w:t>
      </w:r>
      <w:r w:rsidRPr="006156AD">
        <w:rPr>
          <w:rFonts w:ascii="Trebuchet MS" w:hAnsi="Trebuchet MS"/>
        </w:rPr>
        <w:t xml:space="preserve"> IBISWorld as well as the Applicant’s historical performance, to assess the reasonableness of the projections.</w:t>
      </w:r>
    </w:p>
    <w:p w14:paraId="12133699" w14:textId="25CFCD0A" w:rsidR="00B97440" w:rsidRPr="006156AD" w:rsidRDefault="00675782" w:rsidP="00E6299B">
      <w:pPr>
        <w:tabs>
          <w:tab w:val="num" w:pos="1260"/>
        </w:tabs>
        <w:spacing w:line="480" w:lineRule="auto"/>
        <w:jc w:val="both"/>
        <w:rPr>
          <w:rFonts w:ascii="Trebuchet MS" w:hAnsi="Trebuchet MS"/>
          <w:b/>
          <w:bCs/>
        </w:rPr>
      </w:pPr>
      <w:r w:rsidRPr="006156AD">
        <w:rPr>
          <w:rFonts w:ascii="Trebuchet MS" w:hAnsi="Trebuchet MS"/>
          <w:b/>
          <w:bCs/>
        </w:rPr>
        <w:t xml:space="preserve">Projected </w:t>
      </w:r>
      <w:r w:rsidR="00211425" w:rsidRPr="006156AD">
        <w:rPr>
          <w:rFonts w:ascii="Trebuchet MS" w:hAnsi="Trebuchet MS"/>
          <w:b/>
          <w:bCs/>
        </w:rPr>
        <w:t>Key Financial Metrics and Ratios</w:t>
      </w:r>
    </w:p>
    <w:tbl>
      <w:tblPr>
        <w:tblStyle w:val="TableGrid"/>
        <w:tblW w:w="9615" w:type="dxa"/>
        <w:jc w:val="center"/>
        <w:tblLayout w:type="fixed"/>
        <w:tblLook w:val="04A0" w:firstRow="1" w:lastRow="0" w:firstColumn="1" w:lastColumn="0" w:noHBand="0" w:noVBand="1"/>
        <w:tblCaption w:val="Projected Key Financial Metrics and Ratios"/>
      </w:tblPr>
      <w:tblGrid>
        <w:gridCol w:w="2065"/>
        <w:gridCol w:w="805"/>
        <w:gridCol w:w="805"/>
        <w:gridCol w:w="810"/>
        <w:gridCol w:w="810"/>
        <w:gridCol w:w="810"/>
        <w:gridCol w:w="810"/>
        <w:gridCol w:w="900"/>
        <w:gridCol w:w="900"/>
        <w:gridCol w:w="900"/>
      </w:tblGrid>
      <w:tr w:rsidR="007114E2" w:rsidRPr="006156AD" w14:paraId="30598508" w14:textId="5946684A" w:rsidTr="00E067F9">
        <w:trPr>
          <w:cantSplit/>
          <w:trHeight w:val="416"/>
          <w:tblHeader/>
          <w:jc w:val="center"/>
        </w:trPr>
        <w:tc>
          <w:tcPr>
            <w:tcW w:w="2065" w:type="dxa"/>
            <w:shd w:val="clear" w:color="auto" w:fill="00B0F0"/>
            <w:vAlign w:val="center"/>
          </w:tcPr>
          <w:p w14:paraId="7AB9228A" w14:textId="347E768B" w:rsidR="007114E2" w:rsidRPr="006156AD" w:rsidRDefault="007114E2" w:rsidP="00C60C2E">
            <w:pPr>
              <w:tabs>
                <w:tab w:val="num" w:pos="1260"/>
              </w:tabs>
              <w:rPr>
                <w:rFonts w:ascii="Trebuchet MS" w:hAnsi="Trebuchet MS"/>
              </w:rPr>
            </w:pPr>
            <w:r w:rsidRPr="006156AD">
              <w:rPr>
                <w:rFonts w:ascii="Trebuchet MS" w:hAnsi="Trebuchet MS"/>
              </w:rPr>
              <w:t xml:space="preserve">Blue Cloud </w:t>
            </w:r>
          </w:p>
        </w:tc>
        <w:tc>
          <w:tcPr>
            <w:tcW w:w="805" w:type="dxa"/>
            <w:shd w:val="clear" w:color="auto" w:fill="00B0F0"/>
            <w:vAlign w:val="center"/>
          </w:tcPr>
          <w:p w14:paraId="7A99918E" w14:textId="66EC2EB4" w:rsidR="007114E2" w:rsidRPr="006156AD" w:rsidRDefault="007114E2" w:rsidP="00F430F0">
            <w:pPr>
              <w:tabs>
                <w:tab w:val="num" w:pos="1260"/>
              </w:tabs>
              <w:jc w:val="center"/>
              <w:rPr>
                <w:rFonts w:ascii="Trebuchet MS" w:hAnsi="Trebuchet MS"/>
              </w:rPr>
            </w:pPr>
            <w:r w:rsidRPr="006156AD">
              <w:rPr>
                <w:rFonts w:ascii="Trebuchet MS" w:hAnsi="Trebuchet MS"/>
              </w:rPr>
              <w:t>2023</w:t>
            </w:r>
          </w:p>
        </w:tc>
        <w:tc>
          <w:tcPr>
            <w:tcW w:w="805" w:type="dxa"/>
            <w:shd w:val="clear" w:color="auto" w:fill="00B0F0"/>
            <w:vAlign w:val="center"/>
          </w:tcPr>
          <w:p w14:paraId="2B6EF9E1" w14:textId="030BE695" w:rsidR="007114E2" w:rsidRPr="006156AD" w:rsidRDefault="007114E2" w:rsidP="00C60C2E">
            <w:pPr>
              <w:tabs>
                <w:tab w:val="num" w:pos="1260"/>
              </w:tabs>
              <w:jc w:val="center"/>
              <w:rPr>
                <w:rFonts w:ascii="Trebuchet MS" w:hAnsi="Trebuchet MS"/>
              </w:rPr>
            </w:pPr>
            <w:r w:rsidRPr="006156AD">
              <w:rPr>
                <w:rFonts w:ascii="Trebuchet MS" w:hAnsi="Trebuchet MS"/>
              </w:rPr>
              <w:t>2024</w:t>
            </w:r>
          </w:p>
        </w:tc>
        <w:tc>
          <w:tcPr>
            <w:tcW w:w="810" w:type="dxa"/>
            <w:shd w:val="clear" w:color="auto" w:fill="00B0F0"/>
            <w:vAlign w:val="center"/>
          </w:tcPr>
          <w:p w14:paraId="5B74ECF3" w14:textId="77777777" w:rsidR="007114E2" w:rsidRPr="006156AD" w:rsidRDefault="007114E2" w:rsidP="00C60C2E">
            <w:pPr>
              <w:tabs>
                <w:tab w:val="num" w:pos="1260"/>
              </w:tabs>
              <w:jc w:val="center"/>
              <w:rPr>
                <w:rFonts w:ascii="Trebuchet MS" w:hAnsi="Trebuchet MS"/>
              </w:rPr>
            </w:pPr>
            <w:r w:rsidRPr="006156AD">
              <w:rPr>
                <w:rFonts w:ascii="Trebuchet MS" w:hAnsi="Trebuchet MS"/>
              </w:rPr>
              <w:t>2025</w:t>
            </w:r>
          </w:p>
        </w:tc>
        <w:tc>
          <w:tcPr>
            <w:tcW w:w="810" w:type="dxa"/>
            <w:shd w:val="clear" w:color="auto" w:fill="00B0F0"/>
            <w:vAlign w:val="center"/>
          </w:tcPr>
          <w:p w14:paraId="2FB319AB" w14:textId="77777777" w:rsidR="007114E2" w:rsidRPr="006156AD" w:rsidRDefault="007114E2" w:rsidP="00C60C2E">
            <w:pPr>
              <w:tabs>
                <w:tab w:val="num" w:pos="1260"/>
              </w:tabs>
              <w:jc w:val="center"/>
              <w:rPr>
                <w:rFonts w:ascii="Trebuchet MS" w:hAnsi="Trebuchet MS"/>
              </w:rPr>
            </w:pPr>
            <w:r w:rsidRPr="006156AD">
              <w:rPr>
                <w:rFonts w:ascii="Trebuchet MS" w:hAnsi="Trebuchet MS"/>
              </w:rPr>
              <w:t>2026</w:t>
            </w:r>
          </w:p>
        </w:tc>
        <w:tc>
          <w:tcPr>
            <w:tcW w:w="810" w:type="dxa"/>
            <w:shd w:val="clear" w:color="auto" w:fill="00B0F0"/>
            <w:vAlign w:val="center"/>
          </w:tcPr>
          <w:p w14:paraId="04EC8479" w14:textId="77777777" w:rsidR="007114E2" w:rsidRPr="006156AD" w:rsidRDefault="007114E2" w:rsidP="00C60C2E">
            <w:pPr>
              <w:tabs>
                <w:tab w:val="num" w:pos="1260"/>
              </w:tabs>
              <w:jc w:val="center"/>
              <w:rPr>
                <w:rFonts w:ascii="Trebuchet MS" w:hAnsi="Trebuchet MS"/>
              </w:rPr>
            </w:pPr>
            <w:r w:rsidRPr="006156AD">
              <w:rPr>
                <w:rFonts w:ascii="Trebuchet MS" w:hAnsi="Trebuchet MS"/>
              </w:rPr>
              <w:t>2027</w:t>
            </w:r>
          </w:p>
        </w:tc>
        <w:tc>
          <w:tcPr>
            <w:tcW w:w="810" w:type="dxa"/>
            <w:shd w:val="clear" w:color="auto" w:fill="00B0F0"/>
            <w:vAlign w:val="center"/>
          </w:tcPr>
          <w:p w14:paraId="00A2D726" w14:textId="77777777" w:rsidR="007114E2" w:rsidRPr="006156AD" w:rsidRDefault="007114E2" w:rsidP="00C60C2E">
            <w:pPr>
              <w:tabs>
                <w:tab w:val="num" w:pos="1260"/>
              </w:tabs>
              <w:jc w:val="center"/>
              <w:rPr>
                <w:rFonts w:ascii="Trebuchet MS" w:hAnsi="Trebuchet MS"/>
              </w:rPr>
            </w:pPr>
            <w:r w:rsidRPr="006156AD">
              <w:rPr>
                <w:rFonts w:ascii="Trebuchet MS" w:hAnsi="Trebuchet MS"/>
              </w:rPr>
              <w:t>2028</w:t>
            </w:r>
          </w:p>
        </w:tc>
        <w:tc>
          <w:tcPr>
            <w:tcW w:w="900" w:type="dxa"/>
            <w:shd w:val="clear" w:color="auto" w:fill="00B0F0"/>
            <w:vAlign w:val="center"/>
          </w:tcPr>
          <w:p w14:paraId="02248155" w14:textId="77777777" w:rsidR="007114E2" w:rsidRPr="006156AD" w:rsidRDefault="007114E2" w:rsidP="00C60C2E">
            <w:pPr>
              <w:tabs>
                <w:tab w:val="num" w:pos="1260"/>
              </w:tabs>
              <w:jc w:val="center"/>
              <w:rPr>
                <w:rFonts w:ascii="Trebuchet MS" w:hAnsi="Trebuchet MS"/>
              </w:rPr>
            </w:pPr>
            <w:r w:rsidRPr="006156AD">
              <w:rPr>
                <w:rFonts w:ascii="Trebuchet MS" w:hAnsi="Trebuchet MS"/>
              </w:rPr>
              <w:t>2029</w:t>
            </w:r>
          </w:p>
        </w:tc>
        <w:tc>
          <w:tcPr>
            <w:tcW w:w="900" w:type="dxa"/>
            <w:shd w:val="clear" w:color="auto" w:fill="00B0F0"/>
            <w:vAlign w:val="center"/>
          </w:tcPr>
          <w:p w14:paraId="4D825A05" w14:textId="77777777" w:rsidR="007114E2" w:rsidRPr="006156AD" w:rsidRDefault="007114E2" w:rsidP="00C60C2E">
            <w:pPr>
              <w:tabs>
                <w:tab w:val="num" w:pos="1260"/>
              </w:tabs>
              <w:jc w:val="center"/>
              <w:rPr>
                <w:rFonts w:ascii="Trebuchet MS" w:hAnsi="Trebuchet MS"/>
              </w:rPr>
            </w:pPr>
            <w:r w:rsidRPr="006156AD">
              <w:rPr>
                <w:rFonts w:ascii="Trebuchet MS" w:hAnsi="Trebuchet MS"/>
              </w:rPr>
              <w:t>2030</w:t>
            </w:r>
          </w:p>
        </w:tc>
        <w:tc>
          <w:tcPr>
            <w:tcW w:w="900" w:type="dxa"/>
            <w:shd w:val="clear" w:color="auto" w:fill="00B0F0"/>
            <w:vAlign w:val="center"/>
          </w:tcPr>
          <w:p w14:paraId="7D1BD138" w14:textId="7D69F316" w:rsidR="007114E2" w:rsidRPr="006156AD" w:rsidRDefault="007114E2" w:rsidP="007114E2">
            <w:pPr>
              <w:tabs>
                <w:tab w:val="num" w:pos="1260"/>
              </w:tabs>
              <w:jc w:val="center"/>
              <w:rPr>
                <w:rFonts w:ascii="Trebuchet MS" w:hAnsi="Trebuchet MS"/>
              </w:rPr>
            </w:pPr>
            <w:r w:rsidRPr="006156AD">
              <w:rPr>
                <w:rFonts w:ascii="Trebuchet MS" w:hAnsi="Trebuchet MS"/>
              </w:rPr>
              <w:t>2031</w:t>
            </w:r>
          </w:p>
        </w:tc>
      </w:tr>
      <w:tr w:rsidR="007114E2" w:rsidRPr="006156AD" w14:paraId="05FF1D9E" w14:textId="2F365897" w:rsidTr="00E067F9">
        <w:trPr>
          <w:cantSplit/>
          <w:trHeight w:val="416"/>
          <w:jc w:val="center"/>
        </w:trPr>
        <w:tc>
          <w:tcPr>
            <w:tcW w:w="2065" w:type="dxa"/>
            <w:vAlign w:val="center"/>
          </w:tcPr>
          <w:p w14:paraId="75513E7F" w14:textId="61AB20D6" w:rsidR="007114E2" w:rsidRPr="006156AD" w:rsidRDefault="007114E2" w:rsidP="00C60C2E">
            <w:pPr>
              <w:tabs>
                <w:tab w:val="num" w:pos="1260"/>
              </w:tabs>
              <w:rPr>
                <w:rFonts w:ascii="Trebuchet MS" w:hAnsi="Trebuchet MS"/>
              </w:rPr>
            </w:pPr>
            <w:r w:rsidRPr="006156AD">
              <w:rPr>
                <w:rFonts w:ascii="Trebuchet MS" w:hAnsi="Trebuchet MS"/>
                <w:b/>
                <w:bCs/>
              </w:rPr>
              <w:t>Profitability</w:t>
            </w:r>
            <w:r w:rsidRPr="006156AD">
              <w:rPr>
                <w:rFonts w:ascii="Trebuchet MS" w:hAnsi="Trebuchet MS"/>
              </w:rPr>
              <w:t>: EBITDA Margin (%)</w:t>
            </w:r>
          </w:p>
        </w:tc>
        <w:tc>
          <w:tcPr>
            <w:tcW w:w="805" w:type="dxa"/>
            <w:vAlign w:val="center"/>
          </w:tcPr>
          <w:p w14:paraId="5EA9338E" w14:textId="770BC92A" w:rsidR="007114E2" w:rsidRPr="006156AD" w:rsidRDefault="007114E2" w:rsidP="009A0FF6">
            <w:pPr>
              <w:tabs>
                <w:tab w:val="num" w:pos="1260"/>
              </w:tabs>
              <w:jc w:val="center"/>
              <w:rPr>
                <w:rFonts w:ascii="Trebuchet MS" w:hAnsi="Trebuchet MS"/>
              </w:rPr>
            </w:pPr>
            <w:r w:rsidRPr="006156AD">
              <w:rPr>
                <w:rFonts w:ascii="Trebuchet MS" w:hAnsi="Trebuchet MS"/>
              </w:rPr>
              <w:t>12.0%</w:t>
            </w:r>
          </w:p>
        </w:tc>
        <w:tc>
          <w:tcPr>
            <w:tcW w:w="805" w:type="dxa"/>
            <w:vAlign w:val="center"/>
          </w:tcPr>
          <w:p w14:paraId="48D78FFD" w14:textId="4ADF7389" w:rsidR="007114E2" w:rsidRPr="006156AD" w:rsidRDefault="007114E2" w:rsidP="009A0FF6">
            <w:pPr>
              <w:tabs>
                <w:tab w:val="num" w:pos="1260"/>
              </w:tabs>
              <w:jc w:val="center"/>
              <w:rPr>
                <w:rFonts w:ascii="Trebuchet MS" w:hAnsi="Trebuchet MS"/>
              </w:rPr>
            </w:pPr>
            <w:r w:rsidRPr="006156AD">
              <w:rPr>
                <w:rFonts w:ascii="Trebuchet MS" w:hAnsi="Trebuchet MS"/>
              </w:rPr>
              <w:t>14.9%</w:t>
            </w:r>
          </w:p>
        </w:tc>
        <w:tc>
          <w:tcPr>
            <w:tcW w:w="810" w:type="dxa"/>
            <w:vAlign w:val="center"/>
          </w:tcPr>
          <w:p w14:paraId="10BBAE83" w14:textId="74FFC7C2" w:rsidR="007114E2" w:rsidRPr="006156AD" w:rsidRDefault="007114E2" w:rsidP="009A0FF6">
            <w:pPr>
              <w:tabs>
                <w:tab w:val="num" w:pos="1260"/>
              </w:tabs>
              <w:jc w:val="center"/>
              <w:rPr>
                <w:rFonts w:ascii="Trebuchet MS" w:hAnsi="Trebuchet MS"/>
              </w:rPr>
            </w:pPr>
            <w:r w:rsidRPr="006156AD">
              <w:rPr>
                <w:rFonts w:ascii="Trebuchet MS" w:hAnsi="Trebuchet MS"/>
              </w:rPr>
              <w:t>14.7%</w:t>
            </w:r>
          </w:p>
        </w:tc>
        <w:tc>
          <w:tcPr>
            <w:tcW w:w="810" w:type="dxa"/>
            <w:vAlign w:val="center"/>
          </w:tcPr>
          <w:p w14:paraId="0B2283A7" w14:textId="2DFAE3BD" w:rsidR="007114E2" w:rsidRPr="006156AD" w:rsidRDefault="007114E2" w:rsidP="009A0FF6">
            <w:pPr>
              <w:tabs>
                <w:tab w:val="num" w:pos="1260"/>
              </w:tabs>
              <w:jc w:val="center"/>
              <w:rPr>
                <w:rFonts w:ascii="Trebuchet MS" w:hAnsi="Trebuchet MS"/>
              </w:rPr>
            </w:pPr>
            <w:r w:rsidRPr="006156AD">
              <w:rPr>
                <w:rFonts w:ascii="Trebuchet MS" w:hAnsi="Trebuchet MS"/>
              </w:rPr>
              <w:t>26.6%</w:t>
            </w:r>
          </w:p>
        </w:tc>
        <w:tc>
          <w:tcPr>
            <w:tcW w:w="810" w:type="dxa"/>
            <w:vAlign w:val="center"/>
          </w:tcPr>
          <w:p w14:paraId="462149A7" w14:textId="42BFBEDB" w:rsidR="007114E2" w:rsidRPr="006156AD" w:rsidRDefault="007114E2" w:rsidP="009A0FF6">
            <w:pPr>
              <w:tabs>
                <w:tab w:val="num" w:pos="1260"/>
              </w:tabs>
              <w:jc w:val="center"/>
              <w:rPr>
                <w:rFonts w:ascii="Trebuchet MS" w:hAnsi="Trebuchet MS"/>
              </w:rPr>
            </w:pPr>
            <w:r w:rsidRPr="006156AD">
              <w:rPr>
                <w:rFonts w:ascii="Trebuchet MS" w:hAnsi="Trebuchet MS"/>
              </w:rPr>
              <w:t>26.5%</w:t>
            </w:r>
          </w:p>
        </w:tc>
        <w:tc>
          <w:tcPr>
            <w:tcW w:w="810" w:type="dxa"/>
            <w:vAlign w:val="center"/>
          </w:tcPr>
          <w:p w14:paraId="0613570D" w14:textId="6DA033D5" w:rsidR="007114E2" w:rsidRPr="006156AD" w:rsidRDefault="007114E2" w:rsidP="009A0FF6">
            <w:pPr>
              <w:tabs>
                <w:tab w:val="num" w:pos="1260"/>
              </w:tabs>
              <w:jc w:val="center"/>
              <w:rPr>
                <w:rFonts w:ascii="Trebuchet MS" w:hAnsi="Trebuchet MS"/>
              </w:rPr>
            </w:pPr>
            <w:r w:rsidRPr="006156AD">
              <w:rPr>
                <w:rFonts w:ascii="Trebuchet MS" w:hAnsi="Trebuchet MS"/>
              </w:rPr>
              <w:t>26.5%</w:t>
            </w:r>
          </w:p>
        </w:tc>
        <w:tc>
          <w:tcPr>
            <w:tcW w:w="900" w:type="dxa"/>
            <w:vAlign w:val="center"/>
          </w:tcPr>
          <w:p w14:paraId="2EFF36DC" w14:textId="2F688565" w:rsidR="007114E2" w:rsidRPr="006156AD" w:rsidRDefault="007114E2" w:rsidP="009A0FF6">
            <w:pPr>
              <w:tabs>
                <w:tab w:val="num" w:pos="1260"/>
              </w:tabs>
              <w:jc w:val="center"/>
              <w:rPr>
                <w:rFonts w:ascii="Trebuchet MS" w:hAnsi="Trebuchet MS"/>
              </w:rPr>
            </w:pPr>
            <w:r w:rsidRPr="006156AD">
              <w:rPr>
                <w:rFonts w:ascii="Trebuchet MS" w:hAnsi="Trebuchet MS"/>
              </w:rPr>
              <w:t>26.4%</w:t>
            </w:r>
          </w:p>
        </w:tc>
        <w:tc>
          <w:tcPr>
            <w:tcW w:w="900" w:type="dxa"/>
            <w:vAlign w:val="center"/>
          </w:tcPr>
          <w:p w14:paraId="0FE8650D" w14:textId="22D842EE" w:rsidR="007114E2" w:rsidRPr="006156AD" w:rsidRDefault="007114E2" w:rsidP="009A0FF6">
            <w:pPr>
              <w:tabs>
                <w:tab w:val="num" w:pos="1260"/>
              </w:tabs>
              <w:jc w:val="center"/>
              <w:rPr>
                <w:rFonts w:ascii="Trebuchet MS" w:hAnsi="Trebuchet MS"/>
              </w:rPr>
            </w:pPr>
            <w:r w:rsidRPr="006156AD">
              <w:rPr>
                <w:rFonts w:ascii="Trebuchet MS" w:hAnsi="Trebuchet MS"/>
              </w:rPr>
              <w:t>26.2%</w:t>
            </w:r>
          </w:p>
        </w:tc>
        <w:tc>
          <w:tcPr>
            <w:tcW w:w="900" w:type="dxa"/>
            <w:vAlign w:val="center"/>
          </w:tcPr>
          <w:p w14:paraId="52F16D73" w14:textId="529E3912" w:rsidR="007114E2" w:rsidRPr="006156AD" w:rsidRDefault="007114E2" w:rsidP="007114E2">
            <w:pPr>
              <w:tabs>
                <w:tab w:val="num" w:pos="1260"/>
              </w:tabs>
              <w:jc w:val="center"/>
              <w:rPr>
                <w:rFonts w:ascii="Trebuchet MS" w:hAnsi="Trebuchet MS"/>
              </w:rPr>
            </w:pPr>
            <w:r w:rsidRPr="006156AD">
              <w:rPr>
                <w:rFonts w:ascii="Trebuchet MS" w:hAnsi="Trebuchet MS"/>
              </w:rPr>
              <w:t>25.9%</w:t>
            </w:r>
          </w:p>
        </w:tc>
      </w:tr>
      <w:tr w:rsidR="007114E2" w:rsidRPr="006156AD" w14:paraId="226F4802" w14:textId="1300B164" w:rsidTr="00E067F9">
        <w:trPr>
          <w:cantSplit/>
          <w:trHeight w:val="416"/>
          <w:jc w:val="center"/>
        </w:trPr>
        <w:tc>
          <w:tcPr>
            <w:tcW w:w="2065" w:type="dxa"/>
            <w:vAlign w:val="center"/>
          </w:tcPr>
          <w:p w14:paraId="271FF56A" w14:textId="6494332A" w:rsidR="007114E2" w:rsidRPr="006156AD" w:rsidRDefault="007114E2" w:rsidP="00C60C2E">
            <w:pPr>
              <w:tabs>
                <w:tab w:val="num" w:pos="1260"/>
              </w:tabs>
              <w:rPr>
                <w:rFonts w:ascii="Trebuchet MS" w:hAnsi="Trebuchet MS"/>
                <w:b/>
                <w:bCs/>
              </w:rPr>
            </w:pPr>
            <w:r w:rsidRPr="006156AD">
              <w:rPr>
                <w:rFonts w:ascii="Trebuchet MS" w:hAnsi="Trebuchet MS"/>
                <w:b/>
                <w:bCs/>
              </w:rPr>
              <w:t>Profitability</w:t>
            </w:r>
            <w:r w:rsidRPr="006156AD">
              <w:rPr>
                <w:rFonts w:ascii="Trebuchet MS" w:hAnsi="Trebuchet MS"/>
              </w:rPr>
              <w:t>: Net Income (%)</w:t>
            </w:r>
          </w:p>
        </w:tc>
        <w:tc>
          <w:tcPr>
            <w:tcW w:w="805" w:type="dxa"/>
            <w:vAlign w:val="center"/>
          </w:tcPr>
          <w:p w14:paraId="5295A782" w14:textId="5D099ED5" w:rsidR="007114E2" w:rsidRPr="006156AD" w:rsidRDefault="007114E2" w:rsidP="009A0FF6">
            <w:pPr>
              <w:tabs>
                <w:tab w:val="num" w:pos="1260"/>
              </w:tabs>
              <w:jc w:val="center"/>
              <w:rPr>
                <w:rFonts w:ascii="Trebuchet MS" w:hAnsi="Trebuchet MS"/>
              </w:rPr>
            </w:pPr>
            <w:r w:rsidRPr="006156AD">
              <w:rPr>
                <w:rFonts w:ascii="Trebuchet MS" w:hAnsi="Trebuchet MS"/>
              </w:rPr>
              <w:t>-36.8%</w:t>
            </w:r>
          </w:p>
        </w:tc>
        <w:tc>
          <w:tcPr>
            <w:tcW w:w="805" w:type="dxa"/>
            <w:vAlign w:val="center"/>
          </w:tcPr>
          <w:p w14:paraId="1016B422" w14:textId="1C2BACEC" w:rsidR="007114E2" w:rsidRPr="006156AD" w:rsidRDefault="007114E2" w:rsidP="009A0FF6">
            <w:pPr>
              <w:tabs>
                <w:tab w:val="num" w:pos="1260"/>
              </w:tabs>
              <w:jc w:val="center"/>
              <w:rPr>
                <w:rFonts w:ascii="Trebuchet MS" w:hAnsi="Trebuchet MS"/>
              </w:rPr>
            </w:pPr>
            <w:r w:rsidRPr="006156AD">
              <w:rPr>
                <w:rFonts w:ascii="Trebuchet MS" w:hAnsi="Trebuchet MS"/>
              </w:rPr>
              <w:t>-21.2%</w:t>
            </w:r>
          </w:p>
        </w:tc>
        <w:tc>
          <w:tcPr>
            <w:tcW w:w="810" w:type="dxa"/>
            <w:vAlign w:val="center"/>
          </w:tcPr>
          <w:p w14:paraId="520940E9" w14:textId="370CCFE2" w:rsidR="007114E2" w:rsidRPr="006156AD" w:rsidRDefault="007114E2" w:rsidP="009A0FF6">
            <w:pPr>
              <w:tabs>
                <w:tab w:val="num" w:pos="1260"/>
              </w:tabs>
              <w:jc w:val="center"/>
              <w:rPr>
                <w:rFonts w:ascii="Trebuchet MS" w:hAnsi="Trebuchet MS"/>
              </w:rPr>
            </w:pPr>
            <w:r w:rsidRPr="006156AD">
              <w:rPr>
                <w:rFonts w:ascii="Trebuchet MS" w:hAnsi="Trebuchet MS"/>
              </w:rPr>
              <w:t>-22.6%</w:t>
            </w:r>
          </w:p>
        </w:tc>
        <w:tc>
          <w:tcPr>
            <w:tcW w:w="810" w:type="dxa"/>
            <w:vAlign w:val="center"/>
          </w:tcPr>
          <w:p w14:paraId="480C0C33" w14:textId="2C4A758A" w:rsidR="007114E2" w:rsidRPr="006156AD" w:rsidRDefault="007114E2" w:rsidP="009A0FF6">
            <w:pPr>
              <w:tabs>
                <w:tab w:val="num" w:pos="1260"/>
              </w:tabs>
              <w:jc w:val="center"/>
              <w:rPr>
                <w:rFonts w:ascii="Trebuchet MS" w:hAnsi="Trebuchet MS"/>
              </w:rPr>
            </w:pPr>
            <w:r w:rsidRPr="006156AD">
              <w:rPr>
                <w:rFonts w:ascii="Trebuchet MS" w:hAnsi="Trebuchet MS"/>
              </w:rPr>
              <w:t>-10.2%</w:t>
            </w:r>
          </w:p>
        </w:tc>
        <w:tc>
          <w:tcPr>
            <w:tcW w:w="810" w:type="dxa"/>
            <w:vAlign w:val="center"/>
          </w:tcPr>
          <w:p w14:paraId="113CED67" w14:textId="69A7DC69" w:rsidR="007114E2" w:rsidRPr="006156AD" w:rsidRDefault="007114E2" w:rsidP="009A0FF6">
            <w:pPr>
              <w:tabs>
                <w:tab w:val="num" w:pos="1260"/>
              </w:tabs>
              <w:jc w:val="center"/>
              <w:rPr>
                <w:rFonts w:ascii="Trebuchet MS" w:hAnsi="Trebuchet MS"/>
              </w:rPr>
            </w:pPr>
            <w:r w:rsidRPr="006156AD">
              <w:rPr>
                <w:rFonts w:ascii="Trebuchet MS" w:hAnsi="Trebuchet MS"/>
              </w:rPr>
              <w:t>-5.6%</w:t>
            </w:r>
          </w:p>
        </w:tc>
        <w:tc>
          <w:tcPr>
            <w:tcW w:w="810" w:type="dxa"/>
            <w:vAlign w:val="center"/>
          </w:tcPr>
          <w:p w14:paraId="696C38F8" w14:textId="78949625" w:rsidR="007114E2" w:rsidRPr="006156AD" w:rsidRDefault="007114E2" w:rsidP="009A0FF6">
            <w:pPr>
              <w:tabs>
                <w:tab w:val="num" w:pos="1260"/>
              </w:tabs>
              <w:jc w:val="center"/>
              <w:rPr>
                <w:rFonts w:ascii="Trebuchet MS" w:hAnsi="Trebuchet MS"/>
              </w:rPr>
            </w:pPr>
            <w:r w:rsidRPr="006156AD">
              <w:rPr>
                <w:rFonts w:ascii="Trebuchet MS" w:hAnsi="Trebuchet MS"/>
              </w:rPr>
              <w:t>-0.4%</w:t>
            </w:r>
          </w:p>
        </w:tc>
        <w:tc>
          <w:tcPr>
            <w:tcW w:w="900" w:type="dxa"/>
            <w:vAlign w:val="center"/>
          </w:tcPr>
          <w:p w14:paraId="77D276E7" w14:textId="3292C1A0" w:rsidR="007114E2" w:rsidRPr="006156AD" w:rsidRDefault="007114E2" w:rsidP="009A0FF6">
            <w:pPr>
              <w:tabs>
                <w:tab w:val="num" w:pos="1260"/>
              </w:tabs>
              <w:jc w:val="center"/>
              <w:rPr>
                <w:rFonts w:ascii="Trebuchet MS" w:hAnsi="Trebuchet MS"/>
              </w:rPr>
            </w:pPr>
            <w:r w:rsidRPr="006156AD">
              <w:rPr>
                <w:rFonts w:ascii="Trebuchet MS" w:hAnsi="Trebuchet MS"/>
              </w:rPr>
              <w:t>3.0%</w:t>
            </w:r>
          </w:p>
        </w:tc>
        <w:tc>
          <w:tcPr>
            <w:tcW w:w="900" w:type="dxa"/>
            <w:vAlign w:val="center"/>
          </w:tcPr>
          <w:p w14:paraId="602882F0" w14:textId="29C775CF" w:rsidR="007114E2" w:rsidRPr="006156AD" w:rsidRDefault="007114E2" w:rsidP="009A0FF6">
            <w:pPr>
              <w:tabs>
                <w:tab w:val="num" w:pos="1260"/>
              </w:tabs>
              <w:jc w:val="center"/>
              <w:rPr>
                <w:rFonts w:ascii="Trebuchet MS" w:hAnsi="Trebuchet MS"/>
              </w:rPr>
            </w:pPr>
            <w:r w:rsidRPr="006156AD">
              <w:rPr>
                <w:rFonts w:ascii="Trebuchet MS" w:hAnsi="Trebuchet MS"/>
              </w:rPr>
              <w:t>5.3%</w:t>
            </w:r>
          </w:p>
        </w:tc>
        <w:tc>
          <w:tcPr>
            <w:tcW w:w="900" w:type="dxa"/>
            <w:vAlign w:val="center"/>
          </w:tcPr>
          <w:p w14:paraId="1CA2104A" w14:textId="5B94AD3B" w:rsidR="007114E2" w:rsidRPr="006156AD" w:rsidRDefault="007114E2" w:rsidP="007114E2">
            <w:pPr>
              <w:tabs>
                <w:tab w:val="num" w:pos="1260"/>
              </w:tabs>
              <w:jc w:val="center"/>
              <w:rPr>
                <w:rFonts w:ascii="Trebuchet MS" w:hAnsi="Trebuchet MS"/>
              </w:rPr>
            </w:pPr>
            <w:r w:rsidRPr="006156AD">
              <w:rPr>
                <w:rFonts w:ascii="Trebuchet MS" w:hAnsi="Trebuchet MS"/>
              </w:rPr>
              <w:t>7.0%</w:t>
            </w:r>
          </w:p>
        </w:tc>
      </w:tr>
      <w:tr w:rsidR="007114E2" w:rsidRPr="006156AD" w14:paraId="75C1EB2F" w14:textId="10579AE3" w:rsidTr="00E067F9">
        <w:trPr>
          <w:cantSplit/>
          <w:trHeight w:val="416"/>
          <w:jc w:val="center"/>
        </w:trPr>
        <w:tc>
          <w:tcPr>
            <w:tcW w:w="2065" w:type="dxa"/>
            <w:vAlign w:val="center"/>
          </w:tcPr>
          <w:p w14:paraId="222A3671" w14:textId="77777777" w:rsidR="007114E2" w:rsidRPr="006156AD" w:rsidRDefault="007114E2" w:rsidP="00C60C2E">
            <w:pPr>
              <w:tabs>
                <w:tab w:val="num" w:pos="1260"/>
              </w:tabs>
              <w:rPr>
                <w:rFonts w:ascii="Trebuchet MS" w:hAnsi="Trebuchet MS"/>
              </w:rPr>
            </w:pPr>
            <w:r w:rsidRPr="006156AD">
              <w:rPr>
                <w:rFonts w:ascii="Trebuchet MS" w:hAnsi="Trebuchet MS"/>
                <w:b/>
                <w:bCs/>
              </w:rPr>
              <w:t>Liquidity</w:t>
            </w:r>
            <w:r w:rsidRPr="006156AD">
              <w:rPr>
                <w:rFonts w:ascii="Trebuchet MS" w:hAnsi="Trebuchet MS"/>
              </w:rPr>
              <w:t xml:space="preserve">: Days Available Liquidity on </w:t>
            </w:r>
            <w:proofErr w:type="gramStart"/>
            <w:r w:rsidRPr="006156AD">
              <w:rPr>
                <w:rFonts w:ascii="Trebuchet MS" w:hAnsi="Trebuchet MS"/>
              </w:rPr>
              <w:t>Hand (#</w:t>
            </w:r>
            <w:proofErr w:type="gramEnd"/>
            <w:r w:rsidRPr="006156AD">
              <w:rPr>
                <w:rFonts w:ascii="Trebuchet MS" w:hAnsi="Trebuchet MS"/>
              </w:rPr>
              <w:t>)</w:t>
            </w:r>
          </w:p>
        </w:tc>
        <w:tc>
          <w:tcPr>
            <w:tcW w:w="805" w:type="dxa"/>
            <w:vAlign w:val="center"/>
          </w:tcPr>
          <w:p w14:paraId="325679E5" w14:textId="652C35C6" w:rsidR="007114E2" w:rsidRPr="006156AD" w:rsidRDefault="007114E2" w:rsidP="000D25C0">
            <w:pPr>
              <w:tabs>
                <w:tab w:val="num" w:pos="1260"/>
              </w:tabs>
              <w:jc w:val="center"/>
              <w:rPr>
                <w:rFonts w:ascii="Trebuchet MS" w:hAnsi="Trebuchet MS"/>
              </w:rPr>
            </w:pPr>
            <w:r w:rsidRPr="006156AD">
              <w:rPr>
                <w:rFonts w:ascii="Trebuchet MS" w:hAnsi="Trebuchet MS"/>
              </w:rPr>
              <w:t>18</w:t>
            </w:r>
          </w:p>
        </w:tc>
        <w:tc>
          <w:tcPr>
            <w:tcW w:w="805" w:type="dxa"/>
            <w:vAlign w:val="center"/>
          </w:tcPr>
          <w:p w14:paraId="23AB18EE" w14:textId="5D8C7AB4" w:rsidR="007114E2" w:rsidRPr="006156AD" w:rsidRDefault="007114E2" w:rsidP="009A0FF6">
            <w:pPr>
              <w:tabs>
                <w:tab w:val="num" w:pos="1260"/>
              </w:tabs>
              <w:jc w:val="center"/>
              <w:rPr>
                <w:rFonts w:ascii="Trebuchet MS" w:hAnsi="Trebuchet MS"/>
              </w:rPr>
            </w:pPr>
            <w:r w:rsidRPr="006156AD">
              <w:rPr>
                <w:rFonts w:ascii="Trebuchet MS" w:hAnsi="Trebuchet MS"/>
              </w:rPr>
              <w:t>33</w:t>
            </w:r>
          </w:p>
        </w:tc>
        <w:tc>
          <w:tcPr>
            <w:tcW w:w="810" w:type="dxa"/>
            <w:vAlign w:val="center"/>
          </w:tcPr>
          <w:p w14:paraId="66CBE542" w14:textId="714C27D9" w:rsidR="007114E2" w:rsidRPr="006156AD" w:rsidRDefault="007114E2" w:rsidP="009A0FF6">
            <w:pPr>
              <w:tabs>
                <w:tab w:val="num" w:pos="1260"/>
              </w:tabs>
              <w:jc w:val="center"/>
              <w:rPr>
                <w:rFonts w:ascii="Trebuchet MS" w:hAnsi="Trebuchet MS"/>
              </w:rPr>
            </w:pPr>
            <w:r w:rsidRPr="006156AD">
              <w:rPr>
                <w:rFonts w:ascii="Trebuchet MS" w:hAnsi="Trebuchet MS"/>
              </w:rPr>
              <w:t>17</w:t>
            </w:r>
          </w:p>
        </w:tc>
        <w:tc>
          <w:tcPr>
            <w:tcW w:w="810" w:type="dxa"/>
            <w:vAlign w:val="center"/>
          </w:tcPr>
          <w:p w14:paraId="6F08B28A" w14:textId="11A1B595" w:rsidR="007114E2" w:rsidRPr="006156AD" w:rsidRDefault="007114E2" w:rsidP="009A0FF6">
            <w:pPr>
              <w:tabs>
                <w:tab w:val="num" w:pos="1260"/>
              </w:tabs>
              <w:jc w:val="center"/>
              <w:rPr>
                <w:rFonts w:ascii="Trebuchet MS" w:hAnsi="Trebuchet MS"/>
              </w:rPr>
            </w:pPr>
            <w:r w:rsidRPr="006156AD">
              <w:rPr>
                <w:rFonts w:ascii="Trebuchet MS" w:hAnsi="Trebuchet MS"/>
              </w:rPr>
              <w:t>23</w:t>
            </w:r>
          </w:p>
        </w:tc>
        <w:tc>
          <w:tcPr>
            <w:tcW w:w="810" w:type="dxa"/>
            <w:vAlign w:val="center"/>
          </w:tcPr>
          <w:p w14:paraId="5ACCCAFE" w14:textId="03BFD173" w:rsidR="007114E2" w:rsidRPr="006156AD" w:rsidRDefault="007114E2" w:rsidP="009A0FF6">
            <w:pPr>
              <w:tabs>
                <w:tab w:val="num" w:pos="1260"/>
              </w:tabs>
              <w:jc w:val="center"/>
              <w:rPr>
                <w:rFonts w:ascii="Trebuchet MS" w:hAnsi="Trebuchet MS"/>
              </w:rPr>
            </w:pPr>
            <w:r w:rsidRPr="006156AD">
              <w:rPr>
                <w:rFonts w:ascii="Trebuchet MS" w:hAnsi="Trebuchet MS"/>
              </w:rPr>
              <w:t>15</w:t>
            </w:r>
          </w:p>
        </w:tc>
        <w:tc>
          <w:tcPr>
            <w:tcW w:w="810" w:type="dxa"/>
            <w:vAlign w:val="center"/>
          </w:tcPr>
          <w:p w14:paraId="3DBFE021" w14:textId="6CE5F9E5" w:rsidR="007114E2" w:rsidRPr="006156AD" w:rsidRDefault="007114E2" w:rsidP="009A0FF6">
            <w:pPr>
              <w:tabs>
                <w:tab w:val="num" w:pos="1260"/>
              </w:tabs>
              <w:jc w:val="center"/>
              <w:rPr>
                <w:rFonts w:ascii="Trebuchet MS" w:hAnsi="Trebuchet MS"/>
              </w:rPr>
            </w:pPr>
            <w:r w:rsidRPr="006156AD">
              <w:rPr>
                <w:rFonts w:ascii="Trebuchet MS" w:hAnsi="Trebuchet MS"/>
              </w:rPr>
              <w:t>8</w:t>
            </w:r>
          </w:p>
        </w:tc>
        <w:tc>
          <w:tcPr>
            <w:tcW w:w="900" w:type="dxa"/>
            <w:vAlign w:val="center"/>
          </w:tcPr>
          <w:p w14:paraId="5875F991" w14:textId="0F92300A" w:rsidR="007114E2" w:rsidRPr="006156AD" w:rsidRDefault="007114E2" w:rsidP="009A0FF6">
            <w:pPr>
              <w:tabs>
                <w:tab w:val="num" w:pos="1260"/>
              </w:tabs>
              <w:jc w:val="center"/>
              <w:rPr>
                <w:rFonts w:ascii="Trebuchet MS" w:hAnsi="Trebuchet MS"/>
              </w:rPr>
            </w:pPr>
            <w:r w:rsidRPr="006156AD">
              <w:rPr>
                <w:rFonts w:ascii="Trebuchet MS" w:hAnsi="Trebuchet MS"/>
              </w:rPr>
              <w:t>44</w:t>
            </w:r>
          </w:p>
        </w:tc>
        <w:tc>
          <w:tcPr>
            <w:tcW w:w="900" w:type="dxa"/>
            <w:vAlign w:val="center"/>
          </w:tcPr>
          <w:p w14:paraId="6E5450A8" w14:textId="48008FD8" w:rsidR="007114E2" w:rsidRPr="006156AD" w:rsidRDefault="007114E2" w:rsidP="009A0FF6">
            <w:pPr>
              <w:tabs>
                <w:tab w:val="num" w:pos="1260"/>
              </w:tabs>
              <w:jc w:val="center"/>
              <w:rPr>
                <w:rFonts w:ascii="Trebuchet MS" w:hAnsi="Trebuchet MS"/>
              </w:rPr>
            </w:pPr>
            <w:r w:rsidRPr="006156AD">
              <w:rPr>
                <w:rFonts w:ascii="Trebuchet MS" w:hAnsi="Trebuchet MS"/>
              </w:rPr>
              <w:t>82</w:t>
            </w:r>
          </w:p>
        </w:tc>
        <w:tc>
          <w:tcPr>
            <w:tcW w:w="900" w:type="dxa"/>
            <w:vAlign w:val="center"/>
          </w:tcPr>
          <w:p w14:paraId="0BDDAC31" w14:textId="5BA13C9C" w:rsidR="007114E2" w:rsidRPr="006156AD" w:rsidRDefault="007114E2" w:rsidP="007114E2">
            <w:pPr>
              <w:tabs>
                <w:tab w:val="num" w:pos="1260"/>
              </w:tabs>
              <w:jc w:val="center"/>
              <w:rPr>
                <w:rFonts w:ascii="Trebuchet MS" w:hAnsi="Trebuchet MS"/>
              </w:rPr>
            </w:pPr>
            <w:r w:rsidRPr="006156AD">
              <w:rPr>
                <w:rFonts w:ascii="Trebuchet MS" w:hAnsi="Trebuchet MS"/>
              </w:rPr>
              <w:t>120</w:t>
            </w:r>
          </w:p>
        </w:tc>
      </w:tr>
      <w:tr w:rsidR="007114E2" w:rsidRPr="006156AD" w14:paraId="351787F0" w14:textId="52239058" w:rsidTr="00E067F9">
        <w:trPr>
          <w:cantSplit/>
          <w:trHeight w:val="416"/>
          <w:jc w:val="center"/>
        </w:trPr>
        <w:tc>
          <w:tcPr>
            <w:tcW w:w="2065" w:type="dxa"/>
            <w:vAlign w:val="center"/>
          </w:tcPr>
          <w:p w14:paraId="6CDDB661" w14:textId="4F77F49D" w:rsidR="007114E2" w:rsidRPr="006156AD" w:rsidRDefault="007114E2" w:rsidP="00C60C2E">
            <w:pPr>
              <w:tabs>
                <w:tab w:val="num" w:pos="1260"/>
              </w:tabs>
              <w:rPr>
                <w:rFonts w:ascii="Trebuchet MS" w:hAnsi="Trebuchet MS"/>
                <w:b/>
                <w:bCs/>
              </w:rPr>
            </w:pPr>
            <w:r w:rsidRPr="006156AD">
              <w:rPr>
                <w:rFonts w:ascii="Trebuchet MS" w:hAnsi="Trebuchet MS"/>
                <w:b/>
                <w:bCs/>
              </w:rPr>
              <w:t xml:space="preserve">Liquidity: </w:t>
            </w:r>
            <w:r w:rsidRPr="006156AD">
              <w:rPr>
                <w:rFonts w:ascii="Trebuchet MS" w:hAnsi="Trebuchet MS"/>
              </w:rPr>
              <w:t>Current Ratio (x)</w:t>
            </w:r>
          </w:p>
        </w:tc>
        <w:tc>
          <w:tcPr>
            <w:tcW w:w="805" w:type="dxa"/>
            <w:vAlign w:val="center"/>
          </w:tcPr>
          <w:p w14:paraId="20849C4E" w14:textId="427893F7" w:rsidR="007114E2" w:rsidRPr="006156AD" w:rsidRDefault="007114E2" w:rsidP="009A0FF6">
            <w:pPr>
              <w:tabs>
                <w:tab w:val="num" w:pos="1260"/>
              </w:tabs>
              <w:jc w:val="center"/>
              <w:rPr>
                <w:rFonts w:ascii="Trebuchet MS" w:hAnsi="Trebuchet MS" w:cs="Calibri"/>
                <w:color w:val="000000"/>
              </w:rPr>
            </w:pPr>
            <w:r w:rsidRPr="006156AD">
              <w:rPr>
                <w:rFonts w:ascii="Trebuchet MS" w:hAnsi="Trebuchet MS" w:cs="Calibri"/>
                <w:color w:val="000000"/>
              </w:rPr>
              <w:t>1.1x</w:t>
            </w:r>
          </w:p>
        </w:tc>
        <w:tc>
          <w:tcPr>
            <w:tcW w:w="805" w:type="dxa"/>
            <w:vAlign w:val="center"/>
          </w:tcPr>
          <w:p w14:paraId="10AA9862" w14:textId="3A8F24D4" w:rsidR="007114E2" w:rsidRPr="006156AD" w:rsidRDefault="007114E2" w:rsidP="009A0FF6">
            <w:pPr>
              <w:tabs>
                <w:tab w:val="num" w:pos="1260"/>
              </w:tabs>
              <w:jc w:val="center"/>
              <w:rPr>
                <w:rFonts w:ascii="Trebuchet MS" w:hAnsi="Trebuchet MS" w:cs="Calibri"/>
                <w:color w:val="000000"/>
              </w:rPr>
            </w:pPr>
            <w:r w:rsidRPr="006156AD">
              <w:rPr>
                <w:rFonts w:ascii="Trebuchet MS" w:hAnsi="Trebuchet MS" w:cs="Calibri"/>
                <w:color w:val="000000"/>
              </w:rPr>
              <w:t>1.4x</w:t>
            </w:r>
          </w:p>
        </w:tc>
        <w:tc>
          <w:tcPr>
            <w:tcW w:w="810" w:type="dxa"/>
            <w:vAlign w:val="center"/>
          </w:tcPr>
          <w:p w14:paraId="7BA4A5DD" w14:textId="7B1B8C25" w:rsidR="007114E2" w:rsidRPr="006156AD" w:rsidRDefault="007114E2" w:rsidP="009A0FF6">
            <w:pPr>
              <w:tabs>
                <w:tab w:val="num" w:pos="1260"/>
              </w:tabs>
              <w:jc w:val="center"/>
              <w:rPr>
                <w:rFonts w:ascii="Trebuchet MS" w:hAnsi="Trebuchet MS"/>
              </w:rPr>
            </w:pPr>
            <w:r w:rsidRPr="006156AD">
              <w:rPr>
                <w:rFonts w:ascii="Trebuchet MS" w:hAnsi="Trebuchet MS"/>
              </w:rPr>
              <w:t>1.0x</w:t>
            </w:r>
          </w:p>
        </w:tc>
        <w:tc>
          <w:tcPr>
            <w:tcW w:w="810" w:type="dxa"/>
            <w:vAlign w:val="center"/>
          </w:tcPr>
          <w:p w14:paraId="767C0D50" w14:textId="3F506245" w:rsidR="007114E2" w:rsidRPr="006156AD" w:rsidRDefault="007114E2" w:rsidP="009A0FF6">
            <w:pPr>
              <w:tabs>
                <w:tab w:val="num" w:pos="1260"/>
              </w:tabs>
              <w:jc w:val="center"/>
              <w:rPr>
                <w:rFonts w:ascii="Trebuchet MS" w:hAnsi="Trebuchet MS"/>
              </w:rPr>
            </w:pPr>
            <w:r w:rsidRPr="006156AD">
              <w:rPr>
                <w:rFonts w:ascii="Trebuchet MS" w:hAnsi="Trebuchet MS"/>
              </w:rPr>
              <w:t>1.6x</w:t>
            </w:r>
          </w:p>
        </w:tc>
        <w:tc>
          <w:tcPr>
            <w:tcW w:w="810" w:type="dxa"/>
            <w:vAlign w:val="center"/>
          </w:tcPr>
          <w:p w14:paraId="1017A3FC" w14:textId="018F624E" w:rsidR="007114E2" w:rsidRPr="006156AD" w:rsidRDefault="007114E2" w:rsidP="009A0FF6">
            <w:pPr>
              <w:tabs>
                <w:tab w:val="num" w:pos="1260"/>
              </w:tabs>
              <w:jc w:val="center"/>
              <w:rPr>
                <w:rFonts w:ascii="Trebuchet MS" w:hAnsi="Trebuchet MS"/>
              </w:rPr>
            </w:pPr>
            <w:r w:rsidRPr="006156AD">
              <w:rPr>
                <w:rFonts w:ascii="Trebuchet MS" w:hAnsi="Trebuchet MS"/>
              </w:rPr>
              <w:t>1.5x</w:t>
            </w:r>
          </w:p>
        </w:tc>
        <w:tc>
          <w:tcPr>
            <w:tcW w:w="810" w:type="dxa"/>
            <w:vAlign w:val="center"/>
          </w:tcPr>
          <w:p w14:paraId="75FAC001" w14:textId="1759A10A" w:rsidR="007114E2" w:rsidRPr="006156AD" w:rsidRDefault="007114E2" w:rsidP="009A0FF6">
            <w:pPr>
              <w:tabs>
                <w:tab w:val="num" w:pos="1260"/>
              </w:tabs>
              <w:jc w:val="center"/>
              <w:rPr>
                <w:rFonts w:ascii="Trebuchet MS" w:hAnsi="Trebuchet MS"/>
              </w:rPr>
            </w:pPr>
            <w:r w:rsidRPr="006156AD">
              <w:rPr>
                <w:rFonts w:ascii="Trebuchet MS" w:hAnsi="Trebuchet MS"/>
              </w:rPr>
              <w:t>1.4x</w:t>
            </w:r>
          </w:p>
        </w:tc>
        <w:tc>
          <w:tcPr>
            <w:tcW w:w="900" w:type="dxa"/>
            <w:vAlign w:val="center"/>
          </w:tcPr>
          <w:p w14:paraId="2FA4CED1" w14:textId="04A44327" w:rsidR="007114E2" w:rsidRPr="006156AD" w:rsidRDefault="007114E2" w:rsidP="009A0FF6">
            <w:pPr>
              <w:tabs>
                <w:tab w:val="num" w:pos="1260"/>
              </w:tabs>
              <w:jc w:val="center"/>
              <w:rPr>
                <w:rFonts w:ascii="Trebuchet MS" w:hAnsi="Trebuchet MS"/>
              </w:rPr>
            </w:pPr>
            <w:r w:rsidRPr="006156AD">
              <w:rPr>
                <w:rFonts w:ascii="Trebuchet MS" w:hAnsi="Trebuchet MS"/>
              </w:rPr>
              <w:t>2.4x</w:t>
            </w:r>
          </w:p>
        </w:tc>
        <w:tc>
          <w:tcPr>
            <w:tcW w:w="900" w:type="dxa"/>
            <w:vAlign w:val="center"/>
          </w:tcPr>
          <w:p w14:paraId="609EE37E" w14:textId="1339ED0F" w:rsidR="007114E2" w:rsidRPr="006156AD" w:rsidRDefault="007114E2" w:rsidP="009A0FF6">
            <w:pPr>
              <w:tabs>
                <w:tab w:val="num" w:pos="1260"/>
              </w:tabs>
              <w:jc w:val="center"/>
              <w:rPr>
                <w:rFonts w:ascii="Trebuchet MS" w:hAnsi="Trebuchet MS"/>
              </w:rPr>
            </w:pPr>
            <w:r w:rsidRPr="006156AD">
              <w:rPr>
                <w:rFonts w:ascii="Trebuchet MS" w:hAnsi="Trebuchet MS"/>
              </w:rPr>
              <w:t>3.6x</w:t>
            </w:r>
          </w:p>
        </w:tc>
        <w:tc>
          <w:tcPr>
            <w:tcW w:w="900" w:type="dxa"/>
            <w:vAlign w:val="center"/>
          </w:tcPr>
          <w:p w14:paraId="396550D1" w14:textId="0A3F6396" w:rsidR="007114E2" w:rsidRPr="006156AD" w:rsidRDefault="007114E2" w:rsidP="007114E2">
            <w:pPr>
              <w:tabs>
                <w:tab w:val="num" w:pos="1260"/>
              </w:tabs>
              <w:jc w:val="center"/>
              <w:rPr>
                <w:rFonts w:ascii="Trebuchet MS" w:hAnsi="Trebuchet MS"/>
              </w:rPr>
            </w:pPr>
            <w:r w:rsidRPr="006156AD">
              <w:rPr>
                <w:rFonts w:ascii="Trebuchet MS" w:hAnsi="Trebuchet MS"/>
              </w:rPr>
              <w:t>4.8x</w:t>
            </w:r>
          </w:p>
        </w:tc>
      </w:tr>
      <w:tr w:rsidR="007114E2" w:rsidRPr="006156AD" w14:paraId="7F7C7866" w14:textId="7EDA3B63" w:rsidTr="00E067F9">
        <w:trPr>
          <w:cantSplit/>
          <w:trHeight w:val="416"/>
          <w:jc w:val="center"/>
        </w:trPr>
        <w:tc>
          <w:tcPr>
            <w:tcW w:w="2065" w:type="dxa"/>
            <w:vAlign w:val="center"/>
          </w:tcPr>
          <w:p w14:paraId="62C6D282" w14:textId="77777777" w:rsidR="007114E2" w:rsidRPr="006156AD" w:rsidRDefault="007114E2" w:rsidP="00C60C2E">
            <w:pPr>
              <w:tabs>
                <w:tab w:val="num" w:pos="1260"/>
              </w:tabs>
              <w:rPr>
                <w:rFonts w:ascii="Trebuchet MS" w:hAnsi="Trebuchet MS"/>
              </w:rPr>
            </w:pPr>
            <w:r w:rsidRPr="006156AD">
              <w:rPr>
                <w:rFonts w:ascii="Trebuchet MS" w:hAnsi="Trebuchet MS"/>
                <w:b/>
                <w:bCs/>
              </w:rPr>
              <w:lastRenderedPageBreak/>
              <w:t xml:space="preserve">Solvency: </w:t>
            </w:r>
            <w:r w:rsidRPr="006156AD">
              <w:rPr>
                <w:rFonts w:ascii="Trebuchet MS" w:hAnsi="Trebuchet MS"/>
              </w:rPr>
              <w:t>Total Debt to Total Capitalization (%)</w:t>
            </w:r>
          </w:p>
        </w:tc>
        <w:tc>
          <w:tcPr>
            <w:tcW w:w="805" w:type="dxa"/>
            <w:vAlign w:val="center"/>
          </w:tcPr>
          <w:p w14:paraId="65AB28BB" w14:textId="667A2A5F" w:rsidR="007114E2" w:rsidRPr="006156AD" w:rsidRDefault="007114E2" w:rsidP="009A0FF6">
            <w:pPr>
              <w:tabs>
                <w:tab w:val="num" w:pos="1260"/>
              </w:tabs>
              <w:jc w:val="center"/>
              <w:rPr>
                <w:rFonts w:ascii="Trebuchet MS" w:hAnsi="Trebuchet MS"/>
              </w:rPr>
            </w:pPr>
            <w:r w:rsidRPr="006156AD">
              <w:rPr>
                <w:rFonts w:ascii="Trebuchet MS" w:hAnsi="Trebuchet MS"/>
              </w:rPr>
              <w:t>34.4%</w:t>
            </w:r>
          </w:p>
        </w:tc>
        <w:tc>
          <w:tcPr>
            <w:tcW w:w="805" w:type="dxa"/>
            <w:vAlign w:val="center"/>
          </w:tcPr>
          <w:p w14:paraId="0086BAA5" w14:textId="659D4CAB" w:rsidR="007114E2" w:rsidRPr="006156AD" w:rsidRDefault="007114E2" w:rsidP="009A0FF6">
            <w:pPr>
              <w:tabs>
                <w:tab w:val="num" w:pos="1260"/>
              </w:tabs>
              <w:jc w:val="center"/>
              <w:rPr>
                <w:rFonts w:ascii="Trebuchet MS" w:hAnsi="Trebuchet MS"/>
              </w:rPr>
            </w:pPr>
            <w:r w:rsidRPr="006156AD">
              <w:rPr>
                <w:rFonts w:ascii="Trebuchet MS" w:hAnsi="Trebuchet MS"/>
              </w:rPr>
              <w:t>84.5%</w:t>
            </w:r>
          </w:p>
        </w:tc>
        <w:tc>
          <w:tcPr>
            <w:tcW w:w="810" w:type="dxa"/>
            <w:vAlign w:val="center"/>
          </w:tcPr>
          <w:p w14:paraId="4BB2F141" w14:textId="6C17DD2B" w:rsidR="007114E2" w:rsidRPr="006156AD" w:rsidRDefault="00A86634" w:rsidP="009A0FF6">
            <w:pPr>
              <w:tabs>
                <w:tab w:val="num" w:pos="1260"/>
              </w:tabs>
              <w:jc w:val="center"/>
              <w:rPr>
                <w:rFonts w:ascii="Trebuchet MS" w:hAnsi="Trebuchet MS"/>
              </w:rPr>
            </w:pPr>
            <w:r w:rsidRPr="006156AD">
              <w:rPr>
                <w:rFonts w:ascii="Trebuchet MS" w:hAnsi="Trebuchet MS"/>
              </w:rPr>
              <w:t>41.9</w:t>
            </w:r>
            <w:r w:rsidR="007114E2" w:rsidRPr="006156AD">
              <w:rPr>
                <w:rFonts w:ascii="Trebuchet MS" w:hAnsi="Trebuchet MS"/>
              </w:rPr>
              <w:t>%</w:t>
            </w:r>
          </w:p>
        </w:tc>
        <w:tc>
          <w:tcPr>
            <w:tcW w:w="810" w:type="dxa"/>
            <w:vAlign w:val="center"/>
          </w:tcPr>
          <w:p w14:paraId="2ADE35FD" w14:textId="3477BBEF" w:rsidR="007114E2" w:rsidRPr="006156AD" w:rsidRDefault="007114E2" w:rsidP="009A0FF6">
            <w:pPr>
              <w:tabs>
                <w:tab w:val="num" w:pos="1260"/>
              </w:tabs>
              <w:jc w:val="center"/>
              <w:rPr>
                <w:rFonts w:ascii="Trebuchet MS" w:hAnsi="Trebuchet MS"/>
              </w:rPr>
            </w:pPr>
            <w:r w:rsidRPr="006156AD">
              <w:rPr>
                <w:rFonts w:ascii="Trebuchet MS" w:hAnsi="Trebuchet MS"/>
              </w:rPr>
              <w:t>4</w:t>
            </w:r>
            <w:r w:rsidR="00A86634" w:rsidRPr="006156AD">
              <w:rPr>
                <w:rFonts w:ascii="Trebuchet MS" w:hAnsi="Trebuchet MS"/>
              </w:rPr>
              <w:t>5</w:t>
            </w:r>
            <w:r w:rsidRPr="006156AD">
              <w:rPr>
                <w:rFonts w:ascii="Trebuchet MS" w:hAnsi="Trebuchet MS"/>
              </w:rPr>
              <w:t>.</w:t>
            </w:r>
            <w:r w:rsidR="00A86634" w:rsidRPr="006156AD">
              <w:rPr>
                <w:rFonts w:ascii="Trebuchet MS" w:hAnsi="Trebuchet MS"/>
              </w:rPr>
              <w:t>6</w:t>
            </w:r>
            <w:r w:rsidRPr="006156AD">
              <w:rPr>
                <w:rFonts w:ascii="Trebuchet MS" w:hAnsi="Trebuchet MS"/>
              </w:rPr>
              <w:t>%</w:t>
            </w:r>
          </w:p>
        </w:tc>
        <w:tc>
          <w:tcPr>
            <w:tcW w:w="810" w:type="dxa"/>
            <w:vAlign w:val="center"/>
          </w:tcPr>
          <w:p w14:paraId="29C9F504" w14:textId="4FF8CDC0" w:rsidR="007114E2" w:rsidRPr="006156AD" w:rsidRDefault="007114E2" w:rsidP="009A0FF6">
            <w:pPr>
              <w:tabs>
                <w:tab w:val="num" w:pos="1260"/>
              </w:tabs>
              <w:jc w:val="center"/>
              <w:rPr>
                <w:rFonts w:ascii="Trebuchet MS" w:hAnsi="Trebuchet MS"/>
              </w:rPr>
            </w:pPr>
            <w:r w:rsidRPr="006156AD">
              <w:rPr>
                <w:rFonts w:ascii="Trebuchet MS" w:hAnsi="Trebuchet MS"/>
              </w:rPr>
              <w:t>4</w:t>
            </w:r>
            <w:r w:rsidR="00A86634" w:rsidRPr="006156AD">
              <w:rPr>
                <w:rFonts w:ascii="Trebuchet MS" w:hAnsi="Trebuchet MS"/>
              </w:rPr>
              <w:t>6</w:t>
            </w:r>
            <w:r w:rsidRPr="006156AD">
              <w:rPr>
                <w:rFonts w:ascii="Trebuchet MS" w:hAnsi="Trebuchet MS"/>
              </w:rPr>
              <w:t>.</w:t>
            </w:r>
            <w:r w:rsidR="00A86634" w:rsidRPr="006156AD">
              <w:rPr>
                <w:rFonts w:ascii="Trebuchet MS" w:hAnsi="Trebuchet MS"/>
              </w:rPr>
              <w:t>7</w:t>
            </w:r>
            <w:r w:rsidRPr="006156AD">
              <w:rPr>
                <w:rFonts w:ascii="Trebuchet MS" w:hAnsi="Trebuchet MS"/>
              </w:rPr>
              <w:t>%</w:t>
            </w:r>
          </w:p>
        </w:tc>
        <w:tc>
          <w:tcPr>
            <w:tcW w:w="810" w:type="dxa"/>
            <w:vAlign w:val="center"/>
          </w:tcPr>
          <w:p w14:paraId="43C96695" w14:textId="13DEA6E9" w:rsidR="007114E2" w:rsidRPr="006156AD" w:rsidRDefault="007114E2" w:rsidP="009A0FF6">
            <w:pPr>
              <w:tabs>
                <w:tab w:val="num" w:pos="1260"/>
              </w:tabs>
              <w:jc w:val="center"/>
              <w:rPr>
                <w:rFonts w:ascii="Trebuchet MS" w:hAnsi="Trebuchet MS"/>
              </w:rPr>
            </w:pPr>
            <w:r w:rsidRPr="006156AD">
              <w:rPr>
                <w:rFonts w:ascii="Trebuchet MS" w:hAnsi="Trebuchet MS"/>
              </w:rPr>
              <w:t>4</w:t>
            </w:r>
            <w:r w:rsidR="00A86634" w:rsidRPr="006156AD">
              <w:rPr>
                <w:rFonts w:ascii="Trebuchet MS" w:hAnsi="Trebuchet MS"/>
              </w:rPr>
              <w:t>4</w:t>
            </w:r>
            <w:r w:rsidRPr="006156AD">
              <w:rPr>
                <w:rFonts w:ascii="Trebuchet MS" w:hAnsi="Trebuchet MS"/>
              </w:rPr>
              <w:t>.</w:t>
            </w:r>
            <w:r w:rsidR="00A86634" w:rsidRPr="006156AD">
              <w:rPr>
                <w:rFonts w:ascii="Trebuchet MS" w:hAnsi="Trebuchet MS"/>
              </w:rPr>
              <w:t>6</w:t>
            </w:r>
            <w:r w:rsidRPr="006156AD">
              <w:rPr>
                <w:rFonts w:ascii="Trebuchet MS" w:hAnsi="Trebuchet MS"/>
              </w:rPr>
              <w:t>%</w:t>
            </w:r>
          </w:p>
        </w:tc>
        <w:tc>
          <w:tcPr>
            <w:tcW w:w="900" w:type="dxa"/>
            <w:vAlign w:val="center"/>
          </w:tcPr>
          <w:p w14:paraId="20712A96" w14:textId="6113743A" w:rsidR="007114E2" w:rsidRPr="006156AD" w:rsidRDefault="007114E2" w:rsidP="009A0FF6">
            <w:pPr>
              <w:tabs>
                <w:tab w:val="num" w:pos="1260"/>
              </w:tabs>
              <w:jc w:val="center"/>
              <w:rPr>
                <w:rFonts w:ascii="Trebuchet MS" w:hAnsi="Trebuchet MS"/>
              </w:rPr>
            </w:pPr>
            <w:r w:rsidRPr="006156AD">
              <w:rPr>
                <w:rFonts w:ascii="Trebuchet MS" w:hAnsi="Trebuchet MS"/>
              </w:rPr>
              <w:t>4</w:t>
            </w:r>
            <w:r w:rsidR="00A86634" w:rsidRPr="006156AD">
              <w:rPr>
                <w:rFonts w:ascii="Trebuchet MS" w:hAnsi="Trebuchet MS"/>
              </w:rPr>
              <w:t>2</w:t>
            </w:r>
            <w:r w:rsidRPr="006156AD">
              <w:rPr>
                <w:rFonts w:ascii="Trebuchet MS" w:hAnsi="Trebuchet MS"/>
              </w:rPr>
              <w:t>.</w:t>
            </w:r>
            <w:r w:rsidR="00A86634" w:rsidRPr="006156AD">
              <w:rPr>
                <w:rFonts w:ascii="Trebuchet MS" w:hAnsi="Trebuchet MS"/>
              </w:rPr>
              <w:t>9</w:t>
            </w:r>
            <w:r w:rsidRPr="006156AD">
              <w:rPr>
                <w:rFonts w:ascii="Trebuchet MS" w:hAnsi="Trebuchet MS"/>
              </w:rPr>
              <w:t>%</w:t>
            </w:r>
          </w:p>
        </w:tc>
        <w:tc>
          <w:tcPr>
            <w:tcW w:w="900" w:type="dxa"/>
            <w:vAlign w:val="center"/>
          </w:tcPr>
          <w:p w14:paraId="307B88C5" w14:textId="425EB14F" w:rsidR="007114E2" w:rsidRPr="006156AD" w:rsidRDefault="007114E2" w:rsidP="009A0FF6">
            <w:pPr>
              <w:tabs>
                <w:tab w:val="num" w:pos="1260"/>
              </w:tabs>
              <w:jc w:val="center"/>
              <w:rPr>
                <w:rFonts w:ascii="Trebuchet MS" w:hAnsi="Trebuchet MS"/>
              </w:rPr>
            </w:pPr>
            <w:r w:rsidRPr="006156AD">
              <w:rPr>
                <w:rFonts w:ascii="Trebuchet MS" w:hAnsi="Trebuchet MS"/>
              </w:rPr>
              <w:t>40.</w:t>
            </w:r>
            <w:r w:rsidR="00A86634" w:rsidRPr="006156AD">
              <w:rPr>
                <w:rFonts w:ascii="Trebuchet MS" w:hAnsi="Trebuchet MS"/>
              </w:rPr>
              <w:t>1</w:t>
            </w:r>
            <w:r w:rsidRPr="006156AD">
              <w:rPr>
                <w:rFonts w:ascii="Trebuchet MS" w:hAnsi="Trebuchet MS"/>
              </w:rPr>
              <w:t>%</w:t>
            </w:r>
          </w:p>
        </w:tc>
        <w:tc>
          <w:tcPr>
            <w:tcW w:w="900" w:type="dxa"/>
            <w:vAlign w:val="center"/>
          </w:tcPr>
          <w:p w14:paraId="15254086" w14:textId="13126B53" w:rsidR="007114E2" w:rsidRPr="006156AD" w:rsidRDefault="00A86634" w:rsidP="007114E2">
            <w:pPr>
              <w:tabs>
                <w:tab w:val="num" w:pos="1260"/>
              </w:tabs>
              <w:jc w:val="center"/>
              <w:rPr>
                <w:rFonts w:ascii="Trebuchet MS" w:hAnsi="Trebuchet MS"/>
              </w:rPr>
            </w:pPr>
            <w:r w:rsidRPr="006156AD">
              <w:rPr>
                <w:rFonts w:ascii="Trebuchet MS" w:hAnsi="Trebuchet MS"/>
              </w:rPr>
              <w:t>36.4%</w:t>
            </w:r>
          </w:p>
        </w:tc>
      </w:tr>
      <w:tr w:rsidR="007114E2" w:rsidRPr="006156AD" w14:paraId="3D2CA696" w14:textId="51291C63" w:rsidTr="00E067F9">
        <w:trPr>
          <w:cantSplit/>
          <w:trHeight w:val="416"/>
          <w:jc w:val="center"/>
        </w:trPr>
        <w:tc>
          <w:tcPr>
            <w:tcW w:w="2065" w:type="dxa"/>
            <w:vAlign w:val="center"/>
          </w:tcPr>
          <w:p w14:paraId="6523DE8F" w14:textId="77777777" w:rsidR="007114E2" w:rsidRPr="006156AD" w:rsidRDefault="007114E2" w:rsidP="00C60C2E">
            <w:pPr>
              <w:tabs>
                <w:tab w:val="num" w:pos="1260"/>
              </w:tabs>
              <w:rPr>
                <w:rFonts w:ascii="Trebuchet MS" w:hAnsi="Trebuchet MS"/>
                <w:b/>
                <w:bCs/>
              </w:rPr>
            </w:pPr>
            <w:r w:rsidRPr="006156AD">
              <w:rPr>
                <w:rFonts w:ascii="Trebuchet MS" w:hAnsi="Trebuchet MS"/>
                <w:b/>
                <w:bCs/>
              </w:rPr>
              <w:t xml:space="preserve">Solvency: </w:t>
            </w:r>
            <w:r w:rsidRPr="006156AD">
              <w:rPr>
                <w:rFonts w:ascii="Trebuchet MS" w:hAnsi="Trebuchet MS"/>
              </w:rPr>
              <w:t>Debt Service Coverage Ratio</w:t>
            </w:r>
          </w:p>
        </w:tc>
        <w:tc>
          <w:tcPr>
            <w:tcW w:w="805" w:type="dxa"/>
            <w:vAlign w:val="center"/>
          </w:tcPr>
          <w:p w14:paraId="1663366D" w14:textId="48F8C104" w:rsidR="007114E2" w:rsidRPr="006156AD" w:rsidRDefault="007114E2" w:rsidP="009A0FF6">
            <w:pPr>
              <w:tabs>
                <w:tab w:val="num" w:pos="1260"/>
              </w:tabs>
              <w:jc w:val="center"/>
              <w:rPr>
                <w:rFonts w:ascii="Trebuchet MS" w:hAnsi="Trebuchet MS"/>
              </w:rPr>
            </w:pPr>
            <w:r w:rsidRPr="006156AD">
              <w:rPr>
                <w:rFonts w:ascii="Trebuchet MS" w:hAnsi="Trebuchet MS"/>
              </w:rPr>
              <w:t>0.7x</w:t>
            </w:r>
          </w:p>
        </w:tc>
        <w:tc>
          <w:tcPr>
            <w:tcW w:w="805" w:type="dxa"/>
            <w:vAlign w:val="center"/>
          </w:tcPr>
          <w:p w14:paraId="2C1DF761" w14:textId="377A670F" w:rsidR="007114E2" w:rsidRPr="006156AD" w:rsidRDefault="007114E2" w:rsidP="009A0FF6">
            <w:pPr>
              <w:tabs>
                <w:tab w:val="num" w:pos="1260"/>
              </w:tabs>
              <w:jc w:val="center"/>
              <w:rPr>
                <w:rFonts w:ascii="Trebuchet MS" w:hAnsi="Trebuchet MS" w:cs="Calibri"/>
                <w:color w:val="000000"/>
              </w:rPr>
            </w:pPr>
            <w:r w:rsidRPr="006156AD">
              <w:rPr>
                <w:rFonts w:ascii="Trebuchet MS" w:hAnsi="Trebuchet MS"/>
              </w:rPr>
              <w:t>1.4x</w:t>
            </w:r>
          </w:p>
        </w:tc>
        <w:tc>
          <w:tcPr>
            <w:tcW w:w="810" w:type="dxa"/>
            <w:vAlign w:val="center"/>
          </w:tcPr>
          <w:p w14:paraId="14A81F81" w14:textId="73645D12" w:rsidR="007114E2" w:rsidRPr="006156AD" w:rsidRDefault="007114E2" w:rsidP="009A0FF6">
            <w:pPr>
              <w:tabs>
                <w:tab w:val="num" w:pos="1260"/>
              </w:tabs>
              <w:jc w:val="center"/>
              <w:rPr>
                <w:rFonts w:ascii="Trebuchet MS" w:hAnsi="Trebuchet MS"/>
              </w:rPr>
            </w:pPr>
            <w:r w:rsidRPr="006156AD">
              <w:rPr>
                <w:rFonts w:ascii="Trebuchet MS" w:hAnsi="Trebuchet MS"/>
              </w:rPr>
              <w:t>1.3x</w:t>
            </w:r>
          </w:p>
        </w:tc>
        <w:tc>
          <w:tcPr>
            <w:tcW w:w="810" w:type="dxa"/>
            <w:vAlign w:val="center"/>
          </w:tcPr>
          <w:p w14:paraId="10CD547C" w14:textId="0D166B5E" w:rsidR="007114E2" w:rsidRPr="006156AD" w:rsidRDefault="007114E2" w:rsidP="009A0FF6">
            <w:pPr>
              <w:tabs>
                <w:tab w:val="num" w:pos="1260"/>
              </w:tabs>
              <w:jc w:val="center"/>
              <w:rPr>
                <w:rFonts w:ascii="Trebuchet MS" w:hAnsi="Trebuchet MS"/>
              </w:rPr>
            </w:pPr>
            <w:r w:rsidRPr="006156AD">
              <w:rPr>
                <w:rFonts w:ascii="Trebuchet MS" w:hAnsi="Trebuchet MS"/>
              </w:rPr>
              <w:t>2.8x</w:t>
            </w:r>
          </w:p>
        </w:tc>
        <w:tc>
          <w:tcPr>
            <w:tcW w:w="810" w:type="dxa"/>
            <w:vAlign w:val="center"/>
          </w:tcPr>
          <w:p w14:paraId="302ECA80" w14:textId="3021A40E" w:rsidR="007114E2" w:rsidRPr="006156AD" w:rsidRDefault="007114E2" w:rsidP="009A0FF6">
            <w:pPr>
              <w:tabs>
                <w:tab w:val="num" w:pos="1260"/>
              </w:tabs>
              <w:jc w:val="center"/>
              <w:rPr>
                <w:rFonts w:ascii="Trebuchet MS" w:hAnsi="Trebuchet MS"/>
              </w:rPr>
            </w:pPr>
            <w:r w:rsidRPr="006156AD">
              <w:rPr>
                <w:rFonts w:ascii="Trebuchet MS" w:hAnsi="Trebuchet MS"/>
              </w:rPr>
              <w:t>3.4x</w:t>
            </w:r>
          </w:p>
        </w:tc>
        <w:tc>
          <w:tcPr>
            <w:tcW w:w="810" w:type="dxa"/>
            <w:vAlign w:val="center"/>
          </w:tcPr>
          <w:p w14:paraId="0E1B65D9" w14:textId="2258D72C" w:rsidR="007114E2" w:rsidRPr="006156AD" w:rsidRDefault="007114E2" w:rsidP="009A0FF6">
            <w:pPr>
              <w:tabs>
                <w:tab w:val="num" w:pos="1260"/>
              </w:tabs>
              <w:jc w:val="center"/>
              <w:rPr>
                <w:rFonts w:ascii="Trebuchet MS" w:hAnsi="Trebuchet MS"/>
              </w:rPr>
            </w:pPr>
            <w:r w:rsidRPr="006156AD">
              <w:rPr>
                <w:rFonts w:ascii="Trebuchet MS" w:hAnsi="Trebuchet MS"/>
              </w:rPr>
              <w:t>2.6x</w:t>
            </w:r>
          </w:p>
        </w:tc>
        <w:tc>
          <w:tcPr>
            <w:tcW w:w="900" w:type="dxa"/>
            <w:vAlign w:val="center"/>
          </w:tcPr>
          <w:p w14:paraId="4C1EE509" w14:textId="45436A5B" w:rsidR="007114E2" w:rsidRPr="006156AD" w:rsidRDefault="007114E2" w:rsidP="009A0FF6">
            <w:pPr>
              <w:tabs>
                <w:tab w:val="num" w:pos="1260"/>
              </w:tabs>
              <w:jc w:val="center"/>
              <w:rPr>
                <w:rFonts w:ascii="Trebuchet MS" w:hAnsi="Trebuchet MS"/>
              </w:rPr>
            </w:pPr>
            <w:r w:rsidRPr="006156AD">
              <w:rPr>
                <w:rFonts w:ascii="Trebuchet MS" w:hAnsi="Trebuchet MS"/>
              </w:rPr>
              <w:t>5.8x</w:t>
            </w:r>
          </w:p>
        </w:tc>
        <w:tc>
          <w:tcPr>
            <w:tcW w:w="900" w:type="dxa"/>
            <w:vAlign w:val="center"/>
          </w:tcPr>
          <w:p w14:paraId="584574BE" w14:textId="465407D0" w:rsidR="007114E2" w:rsidRPr="006156AD" w:rsidRDefault="007114E2" w:rsidP="009A0FF6">
            <w:pPr>
              <w:tabs>
                <w:tab w:val="num" w:pos="1260"/>
              </w:tabs>
              <w:jc w:val="center"/>
              <w:rPr>
                <w:rFonts w:ascii="Trebuchet MS" w:hAnsi="Trebuchet MS"/>
              </w:rPr>
            </w:pPr>
            <w:r w:rsidRPr="006156AD">
              <w:rPr>
                <w:rFonts w:ascii="Trebuchet MS" w:hAnsi="Trebuchet MS"/>
              </w:rPr>
              <w:t>6.9x</w:t>
            </w:r>
          </w:p>
        </w:tc>
        <w:tc>
          <w:tcPr>
            <w:tcW w:w="900" w:type="dxa"/>
            <w:vAlign w:val="center"/>
          </w:tcPr>
          <w:p w14:paraId="3132D549" w14:textId="48AF9AA4" w:rsidR="007114E2" w:rsidRPr="006156AD" w:rsidRDefault="00A86634" w:rsidP="007114E2">
            <w:pPr>
              <w:tabs>
                <w:tab w:val="num" w:pos="1260"/>
              </w:tabs>
              <w:jc w:val="center"/>
              <w:rPr>
                <w:rFonts w:ascii="Trebuchet MS" w:hAnsi="Trebuchet MS"/>
              </w:rPr>
            </w:pPr>
            <w:r w:rsidRPr="006156AD">
              <w:rPr>
                <w:rFonts w:ascii="Trebuchet MS" w:hAnsi="Trebuchet MS"/>
              </w:rPr>
              <w:t>8.1x</w:t>
            </w:r>
          </w:p>
        </w:tc>
      </w:tr>
      <w:tr w:rsidR="007114E2" w:rsidRPr="006156AD" w14:paraId="4D7719B3" w14:textId="062D2AC3" w:rsidTr="00E067F9">
        <w:trPr>
          <w:cantSplit/>
          <w:trHeight w:val="416"/>
          <w:jc w:val="center"/>
        </w:trPr>
        <w:tc>
          <w:tcPr>
            <w:tcW w:w="2065" w:type="dxa"/>
            <w:vAlign w:val="center"/>
          </w:tcPr>
          <w:p w14:paraId="74FF9D3C" w14:textId="77777777" w:rsidR="007114E2" w:rsidRPr="006156AD" w:rsidRDefault="007114E2" w:rsidP="00C60C2E">
            <w:pPr>
              <w:tabs>
                <w:tab w:val="num" w:pos="1260"/>
              </w:tabs>
              <w:rPr>
                <w:rFonts w:ascii="Trebuchet MS" w:hAnsi="Trebuchet MS"/>
                <w:b/>
                <w:bCs/>
              </w:rPr>
            </w:pPr>
            <w:r w:rsidRPr="006156AD">
              <w:rPr>
                <w:rFonts w:ascii="Trebuchet MS" w:hAnsi="Trebuchet MS"/>
                <w:b/>
                <w:bCs/>
              </w:rPr>
              <w:t xml:space="preserve">Solvency: </w:t>
            </w:r>
            <w:r w:rsidRPr="006156AD">
              <w:rPr>
                <w:rFonts w:ascii="Trebuchet MS" w:hAnsi="Trebuchet MS"/>
              </w:rPr>
              <w:t>Debt Service/Revenues</w:t>
            </w:r>
            <w:r w:rsidRPr="006156AD">
              <w:rPr>
                <w:rFonts w:ascii="Trebuchet MS" w:hAnsi="Trebuchet MS"/>
                <w:b/>
                <w:bCs/>
              </w:rPr>
              <w:t xml:space="preserve"> </w:t>
            </w:r>
            <w:r w:rsidRPr="006156AD">
              <w:rPr>
                <w:rFonts w:ascii="Trebuchet MS" w:hAnsi="Trebuchet MS"/>
              </w:rPr>
              <w:t>(%)</w:t>
            </w:r>
          </w:p>
        </w:tc>
        <w:tc>
          <w:tcPr>
            <w:tcW w:w="805" w:type="dxa"/>
            <w:vAlign w:val="center"/>
          </w:tcPr>
          <w:p w14:paraId="628140E1" w14:textId="3DD902D8" w:rsidR="007114E2" w:rsidRPr="006156AD" w:rsidRDefault="007114E2" w:rsidP="009A0FF6">
            <w:pPr>
              <w:tabs>
                <w:tab w:val="num" w:pos="1260"/>
              </w:tabs>
              <w:jc w:val="center"/>
              <w:rPr>
                <w:rFonts w:ascii="Trebuchet MS" w:hAnsi="Trebuchet MS"/>
              </w:rPr>
            </w:pPr>
            <w:r w:rsidRPr="006156AD">
              <w:rPr>
                <w:rFonts w:ascii="Trebuchet MS" w:hAnsi="Trebuchet MS"/>
              </w:rPr>
              <w:t>16.7%</w:t>
            </w:r>
          </w:p>
        </w:tc>
        <w:tc>
          <w:tcPr>
            <w:tcW w:w="805" w:type="dxa"/>
            <w:vAlign w:val="center"/>
          </w:tcPr>
          <w:p w14:paraId="0D3FF159" w14:textId="7F4CB672" w:rsidR="007114E2" w:rsidRPr="006156AD" w:rsidRDefault="007114E2" w:rsidP="009A0FF6">
            <w:pPr>
              <w:tabs>
                <w:tab w:val="num" w:pos="1260"/>
              </w:tabs>
              <w:jc w:val="center"/>
              <w:rPr>
                <w:rFonts w:ascii="Trebuchet MS" w:hAnsi="Trebuchet MS" w:cs="Calibri"/>
                <w:color w:val="000000"/>
              </w:rPr>
            </w:pPr>
            <w:r w:rsidRPr="006156AD">
              <w:rPr>
                <w:rFonts w:ascii="Trebuchet MS" w:hAnsi="Trebuchet MS"/>
              </w:rPr>
              <w:t>10.9%</w:t>
            </w:r>
          </w:p>
        </w:tc>
        <w:tc>
          <w:tcPr>
            <w:tcW w:w="810" w:type="dxa"/>
            <w:vAlign w:val="center"/>
          </w:tcPr>
          <w:p w14:paraId="691AA232" w14:textId="326C1723" w:rsidR="007114E2" w:rsidRPr="006156AD" w:rsidRDefault="007114E2" w:rsidP="009A0FF6">
            <w:pPr>
              <w:tabs>
                <w:tab w:val="num" w:pos="1260"/>
              </w:tabs>
              <w:jc w:val="center"/>
              <w:rPr>
                <w:rFonts w:ascii="Trebuchet MS" w:hAnsi="Trebuchet MS"/>
              </w:rPr>
            </w:pPr>
            <w:r w:rsidRPr="006156AD">
              <w:rPr>
                <w:rFonts w:ascii="Trebuchet MS" w:hAnsi="Trebuchet MS"/>
              </w:rPr>
              <w:t>11.3%</w:t>
            </w:r>
          </w:p>
        </w:tc>
        <w:tc>
          <w:tcPr>
            <w:tcW w:w="810" w:type="dxa"/>
            <w:vAlign w:val="center"/>
          </w:tcPr>
          <w:p w14:paraId="3DCD4137" w14:textId="4AFA0F75" w:rsidR="007114E2" w:rsidRPr="006156AD" w:rsidRDefault="007114E2" w:rsidP="009A0FF6">
            <w:pPr>
              <w:tabs>
                <w:tab w:val="num" w:pos="1260"/>
              </w:tabs>
              <w:jc w:val="center"/>
              <w:rPr>
                <w:rFonts w:ascii="Trebuchet MS" w:hAnsi="Trebuchet MS"/>
              </w:rPr>
            </w:pPr>
            <w:r w:rsidRPr="006156AD">
              <w:rPr>
                <w:rFonts w:ascii="Trebuchet MS" w:hAnsi="Trebuchet MS"/>
              </w:rPr>
              <w:t>9.5%</w:t>
            </w:r>
          </w:p>
        </w:tc>
        <w:tc>
          <w:tcPr>
            <w:tcW w:w="810" w:type="dxa"/>
            <w:vAlign w:val="center"/>
          </w:tcPr>
          <w:p w14:paraId="064BA7C9" w14:textId="238B88FB" w:rsidR="007114E2" w:rsidRPr="006156AD" w:rsidRDefault="007114E2" w:rsidP="009A0FF6">
            <w:pPr>
              <w:tabs>
                <w:tab w:val="num" w:pos="1260"/>
              </w:tabs>
              <w:jc w:val="center"/>
              <w:rPr>
                <w:rFonts w:ascii="Trebuchet MS" w:hAnsi="Trebuchet MS"/>
              </w:rPr>
            </w:pPr>
            <w:r w:rsidRPr="006156AD">
              <w:rPr>
                <w:rFonts w:ascii="Trebuchet MS" w:hAnsi="Trebuchet MS"/>
              </w:rPr>
              <w:t>7.9%</w:t>
            </w:r>
          </w:p>
        </w:tc>
        <w:tc>
          <w:tcPr>
            <w:tcW w:w="810" w:type="dxa"/>
            <w:vAlign w:val="center"/>
          </w:tcPr>
          <w:p w14:paraId="1F708477" w14:textId="59B8AC41" w:rsidR="007114E2" w:rsidRPr="006156AD" w:rsidRDefault="007114E2" w:rsidP="009A0FF6">
            <w:pPr>
              <w:tabs>
                <w:tab w:val="num" w:pos="1260"/>
              </w:tabs>
              <w:jc w:val="center"/>
              <w:rPr>
                <w:rFonts w:ascii="Trebuchet MS" w:hAnsi="Trebuchet MS"/>
              </w:rPr>
            </w:pPr>
            <w:r w:rsidRPr="006156AD">
              <w:rPr>
                <w:rFonts w:ascii="Trebuchet MS" w:hAnsi="Trebuchet MS"/>
              </w:rPr>
              <w:t>10.2%</w:t>
            </w:r>
          </w:p>
        </w:tc>
        <w:tc>
          <w:tcPr>
            <w:tcW w:w="900" w:type="dxa"/>
            <w:vAlign w:val="center"/>
          </w:tcPr>
          <w:p w14:paraId="3A9696C8" w14:textId="69DA9942" w:rsidR="007114E2" w:rsidRPr="006156AD" w:rsidRDefault="007114E2" w:rsidP="009A0FF6">
            <w:pPr>
              <w:tabs>
                <w:tab w:val="num" w:pos="1260"/>
              </w:tabs>
              <w:jc w:val="center"/>
              <w:rPr>
                <w:rFonts w:ascii="Trebuchet MS" w:hAnsi="Trebuchet MS"/>
              </w:rPr>
            </w:pPr>
            <w:r w:rsidRPr="006156AD">
              <w:rPr>
                <w:rFonts w:ascii="Trebuchet MS" w:hAnsi="Trebuchet MS"/>
              </w:rPr>
              <w:t>4.6%</w:t>
            </w:r>
          </w:p>
        </w:tc>
        <w:tc>
          <w:tcPr>
            <w:tcW w:w="900" w:type="dxa"/>
            <w:vAlign w:val="center"/>
          </w:tcPr>
          <w:p w14:paraId="3E23506C" w14:textId="010E8708" w:rsidR="007114E2" w:rsidRPr="006156AD" w:rsidRDefault="007114E2" w:rsidP="009A0FF6">
            <w:pPr>
              <w:tabs>
                <w:tab w:val="num" w:pos="1260"/>
              </w:tabs>
              <w:jc w:val="center"/>
              <w:rPr>
                <w:rFonts w:ascii="Trebuchet MS" w:hAnsi="Trebuchet MS"/>
              </w:rPr>
            </w:pPr>
            <w:r w:rsidRPr="006156AD">
              <w:rPr>
                <w:rFonts w:ascii="Trebuchet MS" w:hAnsi="Trebuchet MS"/>
              </w:rPr>
              <w:t>3.8%</w:t>
            </w:r>
          </w:p>
        </w:tc>
        <w:tc>
          <w:tcPr>
            <w:tcW w:w="900" w:type="dxa"/>
            <w:vAlign w:val="center"/>
          </w:tcPr>
          <w:p w14:paraId="0DCE3B22" w14:textId="3AC411C3" w:rsidR="007114E2" w:rsidRPr="006156AD" w:rsidRDefault="00A86634" w:rsidP="007114E2">
            <w:pPr>
              <w:tabs>
                <w:tab w:val="num" w:pos="1260"/>
              </w:tabs>
              <w:jc w:val="center"/>
              <w:rPr>
                <w:rFonts w:ascii="Trebuchet MS" w:hAnsi="Trebuchet MS"/>
              </w:rPr>
            </w:pPr>
            <w:r w:rsidRPr="006156AD">
              <w:rPr>
                <w:rFonts w:ascii="Trebuchet MS" w:hAnsi="Trebuchet MS"/>
              </w:rPr>
              <w:t>3.2%</w:t>
            </w:r>
          </w:p>
        </w:tc>
      </w:tr>
      <w:tr w:rsidR="007114E2" w:rsidRPr="006156AD" w14:paraId="4CD71A04" w14:textId="3BBF34FC" w:rsidTr="00E067F9">
        <w:trPr>
          <w:cantSplit/>
          <w:trHeight w:val="416"/>
          <w:jc w:val="center"/>
        </w:trPr>
        <w:tc>
          <w:tcPr>
            <w:tcW w:w="2065" w:type="dxa"/>
            <w:vAlign w:val="center"/>
          </w:tcPr>
          <w:p w14:paraId="244F9E9F" w14:textId="77777777" w:rsidR="007114E2" w:rsidRPr="006156AD" w:rsidRDefault="007114E2" w:rsidP="00C60C2E">
            <w:pPr>
              <w:tabs>
                <w:tab w:val="num" w:pos="1260"/>
              </w:tabs>
              <w:rPr>
                <w:rFonts w:ascii="Trebuchet MS" w:hAnsi="Trebuchet MS"/>
                <w:b/>
                <w:bCs/>
              </w:rPr>
            </w:pPr>
            <w:r w:rsidRPr="006156AD">
              <w:rPr>
                <w:rFonts w:ascii="Trebuchet MS" w:hAnsi="Trebuchet MS"/>
                <w:b/>
                <w:bCs/>
              </w:rPr>
              <w:t xml:space="preserve">Solvency: </w:t>
            </w:r>
            <w:r w:rsidRPr="006156AD">
              <w:rPr>
                <w:rFonts w:ascii="Trebuchet MS" w:hAnsi="Trebuchet MS"/>
              </w:rPr>
              <w:t>Total Equity</w:t>
            </w:r>
            <w:r w:rsidRPr="006156AD">
              <w:rPr>
                <w:rFonts w:ascii="Trebuchet MS" w:hAnsi="Trebuchet MS"/>
                <w:b/>
                <w:bCs/>
              </w:rPr>
              <w:t xml:space="preserve"> </w:t>
            </w:r>
            <w:r w:rsidRPr="006156AD">
              <w:rPr>
                <w:rFonts w:ascii="Trebuchet MS" w:hAnsi="Trebuchet MS"/>
              </w:rPr>
              <w:t>($ in million)</w:t>
            </w:r>
          </w:p>
        </w:tc>
        <w:tc>
          <w:tcPr>
            <w:tcW w:w="805" w:type="dxa"/>
            <w:vAlign w:val="center"/>
          </w:tcPr>
          <w:p w14:paraId="6CEF3727" w14:textId="5FA793AF" w:rsidR="007114E2" w:rsidRPr="006156AD" w:rsidRDefault="00232A0F" w:rsidP="009A0FF6">
            <w:pPr>
              <w:tabs>
                <w:tab w:val="num" w:pos="1260"/>
              </w:tabs>
              <w:jc w:val="center"/>
              <w:rPr>
                <w:rFonts w:ascii="Trebuchet MS" w:hAnsi="Trebuchet MS"/>
              </w:rPr>
            </w:pPr>
            <w:r w:rsidRPr="006156AD">
              <w:rPr>
                <w:rFonts w:ascii="Trebuchet MS" w:hAnsi="Trebuchet MS"/>
              </w:rPr>
              <w:t>$</w:t>
            </w:r>
            <w:r w:rsidR="007114E2" w:rsidRPr="006156AD">
              <w:rPr>
                <w:rFonts w:ascii="Trebuchet MS" w:hAnsi="Trebuchet MS"/>
              </w:rPr>
              <w:t>158.4</w:t>
            </w:r>
          </w:p>
        </w:tc>
        <w:tc>
          <w:tcPr>
            <w:tcW w:w="805" w:type="dxa"/>
            <w:vAlign w:val="center"/>
          </w:tcPr>
          <w:p w14:paraId="1D8507D7" w14:textId="13A2F073" w:rsidR="007114E2" w:rsidRPr="006156AD" w:rsidRDefault="007114E2" w:rsidP="009A0FF6">
            <w:pPr>
              <w:tabs>
                <w:tab w:val="num" w:pos="1260"/>
              </w:tabs>
              <w:jc w:val="center"/>
              <w:rPr>
                <w:rFonts w:ascii="Trebuchet MS" w:hAnsi="Trebuchet MS"/>
              </w:rPr>
            </w:pPr>
            <w:r w:rsidRPr="006156AD">
              <w:rPr>
                <w:rFonts w:ascii="Trebuchet MS" w:hAnsi="Trebuchet MS"/>
              </w:rPr>
              <w:t>$30.0</w:t>
            </w:r>
          </w:p>
        </w:tc>
        <w:tc>
          <w:tcPr>
            <w:tcW w:w="810" w:type="dxa"/>
            <w:vAlign w:val="center"/>
          </w:tcPr>
          <w:p w14:paraId="138A80ED" w14:textId="3DA4240C" w:rsidR="007114E2" w:rsidRPr="006156AD" w:rsidRDefault="007114E2" w:rsidP="009A0FF6">
            <w:pPr>
              <w:tabs>
                <w:tab w:val="num" w:pos="1260"/>
              </w:tabs>
              <w:jc w:val="center"/>
              <w:rPr>
                <w:rFonts w:ascii="Trebuchet MS" w:hAnsi="Trebuchet MS"/>
              </w:rPr>
            </w:pPr>
            <w:r w:rsidRPr="006156AD">
              <w:rPr>
                <w:rFonts w:ascii="Trebuchet MS" w:hAnsi="Trebuchet MS"/>
              </w:rPr>
              <w:t>$334.1</w:t>
            </w:r>
          </w:p>
        </w:tc>
        <w:tc>
          <w:tcPr>
            <w:tcW w:w="810" w:type="dxa"/>
            <w:vAlign w:val="center"/>
          </w:tcPr>
          <w:p w14:paraId="4380B1F4" w14:textId="74DA4348" w:rsidR="007114E2" w:rsidRPr="006156AD" w:rsidRDefault="007114E2" w:rsidP="009A0FF6">
            <w:pPr>
              <w:tabs>
                <w:tab w:val="num" w:pos="1260"/>
              </w:tabs>
              <w:jc w:val="center"/>
              <w:rPr>
                <w:rFonts w:ascii="Trebuchet MS" w:hAnsi="Trebuchet MS"/>
              </w:rPr>
            </w:pPr>
            <w:r w:rsidRPr="006156AD">
              <w:rPr>
                <w:rFonts w:ascii="Trebuchet MS" w:hAnsi="Trebuchet MS"/>
              </w:rPr>
              <w:t>$304.5</w:t>
            </w:r>
          </w:p>
        </w:tc>
        <w:tc>
          <w:tcPr>
            <w:tcW w:w="810" w:type="dxa"/>
            <w:vAlign w:val="center"/>
          </w:tcPr>
          <w:p w14:paraId="3B37BDC6" w14:textId="453EB150" w:rsidR="007114E2" w:rsidRPr="006156AD" w:rsidRDefault="007114E2" w:rsidP="009A0FF6">
            <w:pPr>
              <w:tabs>
                <w:tab w:val="num" w:pos="1260"/>
              </w:tabs>
              <w:jc w:val="center"/>
              <w:rPr>
                <w:rFonts w:ascii="Trebuchet MS" w:hAnsi="Trebuchet MS"/>
              </w:rPr>
            </w:pPr>
            <w:r w:rsidRPr="006156AD">
              <w:rPr>
                <w:rFonts w:ascii="Trebuchet MS" w:hAnsi="Trebuchet MS"/>
              </w:rPr>
              <w:t>$287.9</w:t>
            </w:r>
          </w:p>
        </w:tc>
        <w:tc>
          <w:tcPr>
            <w:tcW w:w="810" w:type="dxa"/>
            <w:vAlign w:val="center"/>
          </w:tcPr>
          <w:p w14:paraId="6478307D" w14:textId="758EBCDC" w:rsidR="007114E2" w:rsidRPr="006156AD" w:rsidRDefault="00491799" w:rsidP="009A0FF6">
            <w:pPr>
              <w:tabs>
                <w:tab w:val="num" w:pos="1260"/>
              </w:tabs>
              <w:jc w:val="center"/>
              <w:rPr>
                <w:rFonts w:ascii="Trebuchet MS" w:hAnsi="Trebuchet MS"/>
              </w:rPr>
            </w:pPr>
            <w:r w:rsidRPr="006156AD">
              <w:rPr>
                <w:rFonts w:ascii="Trebuchet MS" w:hAnsi="Trebuchet MS"/>
              </w:rPr>
              <w:t>$</w:t>
            </w:r>
            <w:r w:rsidR="007114E2" w:rsidRPr="006156AD">
              <w:rPr>
                <w:rFonts w:ascii="Trebuchet MS" w:hAnsi="Trebuchet MS"/>
              </w:rPr>
              <w:t>287.7</w:t>
            </w:r>
          </w:p>
        </w:tc>
        <w:tc>
          <w:tcPr>
            <w:tcW w:w="900" w:type="dxa"/>
            <w:vAlign w:val="center"/>
          </w:tcPr>
          <w:p w14:paraId="71E92A43" w14:textId="7AB5E83F" w:rsidR="007114E2" w:rsidRPr="006156AD" w:rsidRDefault="007114E2" w:rsidP="009A0FF6">
            <w:pPr>
              <w:tabs>
                <w:tab w:val="num" w:pos="1260"/>
              </w:tabs>
              <w:jc w:val="center"/>
              <w:rPr>
                <w:rFonts w:ascii="Trebuchet MS" w:hAnsi="Trebuchet MS"/>
              </w:rPr>
            </w:pPr>
            <w:r w:rsidRPr="006156AD">
              <w:rPr>
                <w:rFonts w:ascii="Trebuchet MS" w:hAnsi="Trebuchet MS"/>
              </w:rPr>
              <w:t>$304.8</w:t>
            </w:r>
          </w:p>
        </w:tc>
        <w:tc>
          <w:tcPr>
            <w:tcW w:w="900" w:type="dxa"/>
            <w:vAlign w:val="center"/>
          </w:tcPr>
          <w:p w14:paraId="19073A0A" w14:textId="19F57F92" w:rsidR="007114E2" w:rsidRPr="006156AD" w:rsidRDefault="007114E2" w:rsidP="009A0FF6">
            <w:pPr>
              <w:tabs>
                <w:tab w:val="num" w:pos="1260"/>
              </w:tabs>
              <w:jc w:val="center"/>
              <w:rPr>
                <w:rFonts w:ascii="Trebuchet MS" w:hAnsi="Trebuchet MS"/>
              </w:rPr>
            </w:pPr>
            <w:r w:rsidRPr="006156AD">
              <w:rPr>
                <w:rFonts w:ascii="Trebuchet MS" w:hAnsi="Trebuchet MS"/>
              </w:rPr>
              <w:t>$339.1</w:t>
            </w:r>
          </w:p>
        </w:tc>
        <w:tc>
          <w:tcPr>
            <w:tcW w:w="900" w:type="dxa"/>
            <w:vAlign w:val="center"/>
          </w:tcPr>
          <w:p w14:paraId="316072C7" w14:textId="44A5C36B" w:rsidR="007114E2" w:rsidRPr="006156AD" w:rsidRDefault="00A86634" w:rsidP="007114E2">
            <w:pPr>
              <w:tabs>
                <w:tab w:val="num" w:pos="1260"/>
              </w:tabs>
              <w:jc w:val="center"/>
              <w:rPr>
                <w:rFonts w:ascii="Trebuchet MS" w:hAnsi="Trebuchet MS"/>
              </w:rPr>
            </w:pPr>
            <w:r w:rsidRPr="006156AD">
              <w:rPr>
                <w:rFonts w:ascii="Trebuchet MS" w:hAnsi="Trebuchet MS"/>
              </w:rPr>
              <w:t>$391.3</w:t>
            </w:r>
          </w:p>
        </w:tc>
      </w:tr>
    </w:tbl>
    <w:p w14:paraId="7B468E74" w14:textId="45269E5A" w:rsidR="009E7927" w:rsidRPr="006156AD" w:rsidRDefault="009E7927" w:rsidP="009E7927">
      <w:pPr>
        <w:tabs>
          <w:tab w:val="num" w:pos="1260"/>
        </w:tabs>
        <w:jc w:val="both"/>
        <w:rPr>
          <w:rFonts w:ascii="Trebuchet MS" w:hAnsi="Trebuchet MS"/>
          <w:b/>
          <w:bCs/>
          <w:u w:val="single"/>
        </w:rPr>
      </w:pPr>
    </w:p>
    <w:p w14:paraId="786E8D07" w14:textId="77777777" w:rsidR="00995F16" w:rsidRPr="006156AD" w:rsidRDefault="00995F16" w:rsidP="009E7927">
      <w:pPr>
        <w:tabs>
          <w:tab w:val="num" w:pos="1260"/>
        </w:tabs>
        <w:jc w:val="both"/>
        <w:rPr>
          <w:rFonts w:ascii="Trebuchet MS" w:hAnsi="Trebuchet MS"/>
          <w:b/>
          <w:bCs/>
          <w:u w:val="single"/>
        </w:rPr>
      </w:pPr>
    </w:p>
    <w:p w14:paraId="4A36AC4B" w14:textId="77777777" w:rsidR="00597417" w:rsidRPr="006156AD" w:rsidRDefault="00597417" w:rsidP="00597417">
      <w:pPr>
        <w:tabs>
          <w:tab w:val="num" w:pos="1260"/>
        </w:tabs>
        <w:jc w:val="both"/>
        <w:rPr>
          <w:rFonts w:ascii="Trebuchet MS" w:hAnsi="Trebuchet MS"/>
          <w:b/>
          <w:bCs/>
        </w:rPr>
      </w:pPr>
      <w:r w:rsidRPr="006156AD">
        <w:rPr>
          <w:rFonts w:ascii="Trebuchet MS" w:hAnsi="Trebuchet MS"/>
          <w:b/>
          <w:bCs/>
        </w:rPr>
        <w:t>Historical Data and Industry Data Key Financial Metrics and Ratios</w:t>
      </w:r>
    </w:p>
    <w:p w14:paraId="67BB4879" w14:textId="77777777" w:rsidR="00597417" w:rsidRPr="006156AD" w:rsidRDefault="00597417" w:rsidP="009E7927">
      <w:pPr>
        <w:tabs>
          <w:tab w:val="num" w:pos="1260"/>
        </w:tabs>
        <w:jc w:val="both"/>
        <w:rPr>
          <w:rFonts w:ascii="Trebuchet MS" w:hAnsi="Trebuchet MS"/>
          <w:b/>
          <w:bCs/>
          <w:u w:val="single"/>
        </w:rPr>
      </w:pPr>
    </w:p>
    <w:tbl>
      <w:tblPr>
        <w:tblStyle w:val="TableGrid"/>
        <w:tblW w:w="9272" w:type="dxa"/>
        <w:tblLayout w:type="fixed"/>
        <w:tblLook w:val="04A0" w:firstRow="1" w:lastRow="0" w:firstColumn="1" w:lastColumn="0" w:noHBand="0" w:noVBand="1"/>
        <w:tblCaption w:val="Historical Data and Industry Data Key Financial Metrics and Ratios"/>
      </w:tblPr>
      <w:tblGrid>
        <w:gridCol w:w="2065"/>
        <w:gridCol w:w="782"/>
        <w:gridCol w:w="782"/>
        <w:gridCol w:w="783"/>
        <w:gridCol w:w="1620"/>
        <w:gridCol w:w="1620"/>
        <w:gridCol w:w="1620"/>
      </w:tblGrid>
      <w:tr w:rsidR="00F8574D" w:rsidRPr="006156AD" w14:paraId="1A5F3791" w14:textId="77777777" w:rsidTr="00E067F9">
        <w:trPr>
          <w:cantSplit/>
          <w:trHeight w:val="523"/>
          <w:tblHeader/>
        </w:trPr>
        <w:tc>
          <w:tcPr>
            <w:tcW w:w="2065" w:type="dxa"/>
            <w:shd w:val="clear" w:color="auto" w:fill="00B0F0"/>
            <w:vAlign w:val="center"/>
          </w:tcPr>
          <w:p w14:paraId="0BE98CC1" w14:textId="38CDA3F3" w:rsidR="00F8574D" w:rsidRPr="006156AD" w:rsidRDefault="00F8574D" w:rsidP="00F8574D">
            <w:pPr>
              <w:tabs>
                <w:tab w:val="num" w:pos="1260"/>
              </w:tabs>
              <w:rPr>
                <w:rFonts w:ascii="Trebuchet MS" w:hAnsi="Trebuchet MS"/>
              </w:rPr>
            </w:pPr>
            <w:r w:rsidRPr="006156AD">
              <w:rPr>
                <w:rFonts w:ascii="Trebuchet MS" w:hAnsi="Trebuchet MS"/>
              </w:rPr>
              <w:t xml:space="preserve">Blue Cloud </w:t>
            </w:r>
          </w:p>
        </w:tc>
        <w:tc>
          <w:tcPr>
            <w:tcW w:w="782" w:type="dxa"/>
            <w:shd w:val="clear" w:color="auto" w:fill="00B0F0"/>
            <w:vAlign w:val="center"/>
          </w:tcPr>
          <w:p w14:paraId="452C1136" w14:textId="587B0B5C" w:rsidR="00F8574D" w:rsidRPr="006156AD" w:rsidRDefault="00F8574D" w:rsidP="00F8574D">
            <w:pPr>
              <w:tabs>
                <w:tab w:val="num" w:pos="1260"/>
              </w:tabs>
              <w:jc w:val="center"/>
              <w:rPr>
                <w:rFonts w:ascii="Trebuchet MS" w:hAnsi="Trebuchet MS"/>
                <w:color w:val="FFFFFF" w:themeColor="background1"/>
              </w:rPr>
            </w:pPr>
            <w:r w:rsidRPr="006156AD">
              <w:rPr>
                <w:rFonts w:ascii="Trebuchet MS" w:hAnsi="Trebuchet MS"/>
              </w:rPr>
              <w:t>2023</w:t>
            </w:r>
          </w:p>
        </w:tc>
        <w:tc>
          <w:tcPr>
            <w:tcW w:w="782" w:type="dxa"/>
            <w:shd w:val="clear" w:color="auto" w:fill="00B0F0"/>
            <w:vAlign w:val="center"/>
          </w:tcPr>
          <w:p w14:paraId="19C98808" w14:textId="7DCB1187" w:rsidR="00F8574D" w:rsidRPr="006156AD" w:rsidRDefault="00F8574D" w:rsidP="00F8574D">
            <w:pPr>
              <w:tabs>
                <w:tab w:val="num" w:pos="1260"/>
              </w:tabs>
              <w:jc w:val="center"/>
              <w:rPr>
                <w:rFonts w:ascii="Trebuchet MS" w:hAnsi="Trebuchet MS"/>
              </w:rPr>
            </w:pPr>
            <w:r w:rsidRPr="006156AD">
              <w:rPr>
                <w:rFonts w:ascii="Trebuchet MS" w:hAnsi="Trebuchet MS"/>
              </w:rPr>
              <w:t>2024</w:t>
            </w:r>
          </w:p>
        </w:tc>
        <w:tc>
          <w:tcPr>
            <w:tcW w:w="783" w:type="dxa"/>
            <w:shd w:val="clear" w:color="auto" w:fill="00B0F0"/>
            <w:vAlign w:val="center"/>
          </w:tcPr>
          <w:p w14:paraId="63744C0F" w14:textId="77777777" w:rsidR="00F8574D" w:rsidRPr="006156AD" w:rsidRDefault="00F8574D" w:rsidP="00F8574D">
            <w:pPr>
              <w:tabs>
                <w:tab w:val="num" w:pos="1260"/>
              </w:tabs>
              <w:jc w:val="center"/>
              <w:rPr>
                <w:rFonts w:ascii="Trebuchet MS" w:hAnsi="Trebuchet MS"/>
              </w:rPr>
            </w:pPr>
            <w:r w:rsidRPr="006156AD">
              <w:rPr>
                <w:rFonts w:ascii="Trebuchet MS" w:hAnsi="Trebuchet MS"/>
              </w:rPr>
              <w:t>2025</w:t>
            </w:r>
          </w:p>
        </w:tc>
        <w:tc>
          <w:tcPr>
            <w:tcW w:w="1620" w:type="dxa"/>
            <w:shd w:val="clear" w:color="auto" w:fill="00B0F0"/>
            <w:vAlign w:val="center"/>
          </w:tcPr>
          <w:p w14:paraId="7F96BB47" w14:textId="77777777" w:rsidR="00F8574D" w:rsidRPr="006156AD" w:rsidRDefault="00F8574D" w:rsidP="00F8574D">
            <w:pPr>
              <w:tabs>
                <w:tab w:val="num" w:pos="1260"/>
              </w:tabs>
              <w:jc w:val="center"/>
              <w:rPr>
                <w:rFonts w:ascii="Trebuchet MS" w:hAnsi="Trebuchet MS"/>
              </w:rPr>
            </w:pPr>
            <w:r w:rsidRPr="006156AD">
              <w:rPr>
                <w:rFonts w:ascii="Trebuchet MS" w:hAnsi="Trebuchet MS"/>
              </w:rPr>
              <w:t>Integra - General Medical and Surgical Hospitals (5-year Average)</w:t>
            </w:r>
          </w:p>
        </w:tc>
        <w:tc>
          <w:tcPr>
            <w:tcW w:w="1620" w:type="dxa"/>
            <w:shd w:val="clear" w:color="auto" w:fill="00B0F0"/>
          </w:tcPr>
          <w:p w14:paraId="6A8590D5" w14:textId="25A153AA" w:rsidR="00F8574D" w:rsidRPr="006156AD" w:rsidRDefault="00F8574D" w:rsidP="00F8574D">
            <w:pPr>
              <w:tabs>
                <w:tab w:val="num" w:pos="1260"/>
              </w:tabs>
              <w:jc w:val="center"/>
              <w:rPr>
                <w:rFonts w:ascii="Trebuchet MS" w:hAnsi="Trebuchet MS"/>
              </w:rPr>
            </w:pPr>
            <w:proofErr w:type="spellStart"/>
            <w:r w:rsidRPr="006156AD">
              <w:rPr>
                <w:rFonts w:ascii="Trebuchet MS" w:hAnsi="Trebuchet MS"/>
              </w:rPr>
              <w:t>Bizminer</w:t>
            </w:r>
            <w:proofErr w:type="spellEnd"/>
            <w:r w:rsidRPr="006156AD">
              <w:rPr>
                <w:rFonts w:ascii="Trebuchet MS" w:hAnsi="Trebuchet MS"/>
              </w:rPr>
              <w:t xml:space="preserve"> – Freestanding Ambulatory Surgical &amp; Emergency Center (3-year)</w:t>
            </w:r>
          </w:p>
        </w:tc>
        <w:tc>
          <w:tcPr>
            <w:tcW w:w="1620" w:type="dxa"/>
            <w:shd w:val="clear" w:color="auto" w:fill="00B0F0"/>
            <w:vAlign w:val="center"/>
          </w:tcPr>
          <w:p w14:paraId="71379D60" w14:textId="1D898BCD" w:rsidR="00F8574D" w:rsidRPr="006156AD" w:rsidRDefault="00F8574D" w:rsidP="00F8574D">
            <w:pPr>
              <w:tabs>
                <w:tab w:val="num" w:pos="1260"/>
              </w:tabs>
              <w:jc w:val="center"/>
              <w:rPr>
                <w:rFonts w:ascii="Trebuchet MS" w:hAnsi="Trebuchet MS"/>
              </w:rPr>
            </w:pPr>
            <w:r w:rsidRPr="006156AD">
              <w:rPr>
                <w:rFonts w:ascii="Trebuchet MS" w:hAnsi="Trebuchet MS"/>
              </w:rPr>
              <w:t>IBIS – Ambulatory Surgery Centers in the US</w:t>
            </w:r>
            <w:r w:rsidR="00232A0F" w:rsidRPr="006156AD">
              <w:rPr>
                <w:rFonts w:ascii="Trebuchet MS" w:hAnsi="Trebuchet MS"/>
              </w:rPr>
              <w:t xml:space="preserve"> </w:t>
            </w:r>
            <w:r w:rsidRPr="006156AD">
              <w:rPr>
                <w:rFonts w:ascii="Trebuchet MS" w:hAnsi="Trebuchet MS"/>
              </w:rPr>
              <w:t>(3-year)</w:t>
            </w:r>
          </w:p>
        </w:tc>
      </w:tr>
      <w:tr w:rsidR="00F8574D" w:rsidRPr="006156AD" w14:paraId="1C02E141" w14:textId="77777777" w:rsidTr="00E067F9">
        <w:trPr>
          <w:cantSplit/>
          <w:trHeight w:val="523"/>
        </w:trPr>
        <w:tc>
          <w:tcPr>
            <w:tcW w:w="2065" w:type="dxa"/>
            <w:vAlign w:val="center"/>
          </w:tcPr>
          <w:p w14:paraId="51E36B40" w14:textId="4739C938" w:rsidR="00F8574D" w:rsidRPr="006156AD" w:rsidRDefault="00F8574D" w:rsidP="00F8574D">
            <w:pPr>
              <w:tabs>
                <w:tab w:val="num" w:pos="1260"/>
              </w:tabs>
              <w:rPr>
                <w:rFonts w:ascii="Trebuchet MS" w:hAnsi="Trebuchet MS"/>
              </w:rPr>
            </w:pPr>
            <w:r w:rsidRPr="006156AD">
              <w:rPr>
                <w:rFonts w:ascii="Trebuchet MS" w:hAnsi="Trebuchet MS"/>
                <w:b/>
                <w:bCs/>
              </w:rPr>
              <w:t>Profitability</w:t>
            </w:r>
            <w:r w:rsidRPr="006156AD">
              <w:rPr>
                <w:rFonts w:ascii="Trebuchet MS" w:hAnsi="Trebuchet MS"/>
              </w:rPr>
              <w:t>: EBITDA Margin (%)</w:t>
            </w:r>
          </w:p>
        </w:tc>
        <w:tc>
          <w:tcPr>
            <w:tcW w:w="782" w:type="dxa"/>
            <w:vAlign w:val="center"/>
          </w:tcPr>
          <w:p w14:paraId="122AFCC3" w14:textId="036F9ED1" w:rsidR="00F8574D" w:rsidRPr="006156AD" w:rsidRDefault="00F8574D" w:rsidP="00F8574D">
            <w:pPr>
              <w:tabs>
                <w:tab w:val="num" w:pos="1260"/>
              </w:tabs>
              <w:jc w:val="center"/>
              <w:rPr>
                <w:rFonts w:ascii="Trebuchet MS" w:hAnsi="Trebuchet MS"/>
              </w:rPr>
            </w:pPr>
            <w:r w:rsidRPr="006156AD">
              <w:rPr>
                <w:rFonts w:ascii="Trebuchet MS" w:hAnsi="Trebuchet MS"/>
              </w:rPr>
              <w:t>12.0%</w:t>
            </w:r>
          </w:p>
        </w:tc>
        <w:tc>
          <w:tcPr>
            <w:tcW w:w="782" w:type="dxa"/>
            <w:tcBorders>
              <w:top w:val="single" w:sz="4" w:space="0" w:color="auto"/>
              <w:left w:val="single" w:sz="4" w:space="0" w:color="auto"/>
              <w:bottom w:val="single" w:sz="4" w:space="0" w:color="auto"/>
              <w:right w:val="single" w:sz="4" w:space="0" w:color="auto"/>
            </w:tcBorders>
            <w:vAlign w:val="center"/>
          </w:tcPr>
          <w:p w14:paraId="1C964B39" w14:textId="02366DA5" w:rsidR="00F8574D" w:rsidRPr="006156AD" w:rsidRDefault="00F8574D" w:rsidP="00F8574D">
            <w:pPr>
              <w:tabs>
                <w:tab w:val="num" w:pos="1260"/>
              </w:tabs>
              <w:jc w:val="center"/>
              <w:rPr>
                <w:rFonts w:ascii="Trebuchet MS" w:hAnsi="Trebuchet MS"/>
              </w:rPr>
            </w:pPr>
            <w:r w:rsidRPr="006156AD">
              <w:rPr>
                <w:rFonts w:ascii="Trebuchet MS" w:hAnsi="Trebuchet MS"/>
              </w:rPr>
              <w:t>14.9%</w:t>
            </w:r>
          </w:p>
        </w:tc>
        <w:tc>
          <w:tcPr>
            <w:tcW w:w="783" w:type="dxa"/>
            <w:tcBorders>
              <w:top w:val="single" w:sz="4" w:space="0" w:color="auto"/>
              <w:left w:val="nil"/>
              <w:bottom w:val="single" w:sz="4" w:space="0" w:color="auto"/>
              <w:right w:val="single" w:sz="4" w:space="0" w:color="auto"/>
            </w:tcBorders>
            <w:vAlign w:val="center"/>
          </w:tcPr>
          <w:p w14:paraId="4CD07C6F" w14:textId="7D18FF4C" w:rsidR="00F8574D" w:rsidRPr="006156AD" w:rsidRDefault="00F8574D" w:rsidP="00F8574D">
            <w:pPr>
              <w:tabs>
                <w:tab w:val="num" w:pos="1260"/>
              </w:tabs>
              <w:jc w:val="center"/>
              <w:rPr>
                <w:rFonts w:ascii="Trebuchet MS" w:hAnsi="Trebuchet MS"/>
              </w:rPr>
            </w:pPr>
            <w:r w:rsidRPr="006156AD">
              <w:rPr>
                <w:rFonts w:ascii="Trebuchet MS" w:hAnsi="Trebuchet MS"/>
              </w:rPr>
              <w:t>14.7%</w:t>
            </w:r>
          </w:p>
        </w:tc>
        <w:tc>
          <w:tcPr>
            <w:tcW w:w="1620" w:type="dxa"/>
            <w:tcBorders>
              <w:top w:val="single" w:sz="4" w:space="0" w:color="auto"/>
              <w:left w:val="nil"/>
              <w:bottom w:val="single" w:sz="4" w:space="0" w:color="auto"/>
              <w:right w:val="single" w:sz="4" w:space="0" w:color="auto"/>
            </w:tcBorders>
            <w:vAlign w:val="center"/>
          </w:tcPr>
          <w:p w14:paraId="75428709" w14:textId="584959E8" w:rsidR="00F8574D" w:rsidRPr="006156AD" w:rsidRDefault="00F8574D" w:rsidP="00F8574D">
            <w:pPr>
              <w:tabs>
                <w:tab w:val="num" w:pos="1260"/>
              </w:tabs>
              <w:jc w:val="center"/>
              <w:rPr>
                <w:rFonts w:ascii="Trebuchet MS" w:hAnsi="Trebuchet MS"/>
              </w:rPr>
            </w:pPr>
            <w:r w:rsidRPr="006156AD">
              <w:rPr>
                <w:rFonts w:ascii="Trebuchet MS" w:hAnsi="Trebuchet MS" w:cs="Calibri"/>
                <w:color w:val="000000"/>
              </w:rPr>
              <w:t>6.7%</w:t>
            </w:r>
          </w:p>
        </w:tc>
        <w:tc>
          <w:tcPr>
            <w:tcW w:w="1620" w:type="dxa"/>
            <w:tcBorders>
              <w:top w:val="single" w:sz="4" w:space="0" w:color="auto"/>
              <w:left w:val="nil"/>
              <w:bottom w:val="single" w:sz="4" w:space="0" w:color="auto"/>
              <w:right w:val="single" w:sz="4" w:space="0" w:color="auto"/>
            </w:tcBorders>
            <w:vAlign w:val="center"/>
          </w:tcPr>
          <w:p w14:paraId="4E3D9195" w14:textId="32B9C3BC" w:rsidR="00F8574D" w:rsidRPr="006156AD" w:rsidRDefault="00F8574D" w:rsidP="00F8574D">
            <w:pPr>
              <w:tabs>
                <w:tab w:val="num" w:pos="1260"/>
              </w:tabs>
              <w:jc w:val="center"/>
              <w:rPr>
                <w:rFonts w:ascii="Trebuchet MS" w:hAnsi="Trebuchet MS" w:cs="Calibri"/>
              </w:rPr>
            </w:pPr>
            <w:r w:rsidRPr="006156AD">
              <w:rPr>
                <w:rFonts w:ascii="Trebuchet MS" w:hAnsi="Trebuchet MS" w:cs="Calibri"/>
                <w:color w:val="000000"/>
              </w:rPr>
              <w:t>27.3%</w:t>
            </w:r>
          </w:p>
        </w:tc>
        <w:tc>
          <w:tcPr>
            <w:tcW w:w="1620" w:type="dxa"/>
            <w:tcBorders>
              <w:top w:val="single" w:sz="4" w:space="0" w:color="auto"/>
              <w:left w:val="single" w:sz="4" w:space="0" w:color="auto"/>
              <w:bottom w:val="single" w:sz="4" w:space="0" w:color="auto"/>
              <w:right w:val="single" w:sz="4" w:space="0" w:color="auto"/>
            </w:tcBorders>
            <w:vAlign w:val="center"/>
          </w:tcPr>
          <w:p w14:paraId="144366DF" w14:textId="2112185E" w:rsidR="00F8574D" w:rsidRPr="006156AD" w:rsidRDefault="00F8574D" w:rsidP="00F8574D">
            <w:pPr>
              <w:tabs>
                <w:tab w:val="num" w:pos="1260"/>
              </w:tabs>
              <w:jc w:val="center"/>
              <w:rPr>
                <w:rFonts w:ascii="Trebuchet MS" w:hAnsi="Trebuchet MS"/>
                <w:color w:val="EE0000"/>
              </w:rPr>
            </w:pPr>
            <w:r w:rsidRPr="006156AD">
              <w:rPr>
                <w:rFonts w:ascii="Trebuchet MS" w:hAnsi="Trebuchet MS" w:cs="Calibri"/>
              </w:rPr>
              <w:t>18.6%</w:t>
            </w:r>
          </w:p>
        </w:tc>
      </w:tr>
      <w:tr w:rsidR="00F8574D" w:rsidRPr="006156AD" w14:paraId="3DA13114" w14:textId="77777777" w:rsidTr="00E067F9">
        <w:trPr>
          <w:cantSplit/>
          <w:trHeight w:val="523"/>
        </w:trPr>
        <w:tc>
          <w:tcPr>
            <w:tcW w:w="2065" w:type="dxa"/>
            <w:vAlign w:val="center"/>
          </w:tcPr>
          <w:p w14:paraId="35882A7E" w14:textId="4FE2345F" w:rsidR="00F8574D" w:rsidRPr="006156AD" w:rsidRDefault="00F8574D" w:rsidP="00F8574D">
            <w:pPr>
              <w:tabs>
                <w:tab w:val="num" w:pos="1260"/>
              </w:tabs>
              <w:rPr>
                <w:rFonts w:ascii="Trebuchet MS" w:hAnsi="Trebuchet MS"/>
                <w:b/>
                <w:bCs/>
              </w:rPr>
            </w:pPr>
            <w:r w:rsidRPr="006156AD">
              <w:rPr>
                <w:rFonts w:ascii="Trebuchet MS" w:hAnsi="Trebuchet MS"/>
                <w:b/>
                <w:bCs/>
              </w:rPr>
              <w:t>Profitability</w:t>
            </w:r>
            <w:r w:rsidRPr="006156AD">
              <w:rPr>
                <w:rFonts w:ascii="Trebuchet MS" w:hAnsi="Trebuchet MS"/>
              </w:rPr>
              <w:t>: Net Income (%)</w:t>
            </w:r>
          </w:p>
        </w:tc>
        <w:tc>
          <w:tcPr>
            <w:tcW w:w="782" w:type="dxa"/>
            <w:vAlign w:val="center"/>
          </w:tcPr>
          <w:p w14:paraId="3497FF13" w14:textId="6C2C7BF5" w:rsidR="00F8574D" w:rsidRPr="006156AD" w:rsidRDefault="00F8574D" w:rsidP="00F8574D">
            <w:pPr>
              <w:tabs>
                <w:tab w:val="num" w:pos="1260"/>
              </w:tabs>
              <w:jc w:val="center"/>
              <w:rPr>
                <w:rFonts w:ascii="Trebuchet MS" w:hAnsi="Trebuchet MS"/>
              </w:rPr>
            </w:pPr>
            <w:r w:rsidRPr="006156AD">
              <w:rPr>
                <w:rFonts w:ascii="Trebuchet MS" w:hAnsi="Trebuchet MS"/>
              </w:rPr>
              <w:t>-36.8%</w:t>
            </w:r>
          </w:p>
        </w:tc>
        <w:tc>
          <w:tcPr>
            <w:tcW w:w="782" w:type="dxa"/>
            <w:tcBorders>
              <w:top w:val="single" w:sz="4" w:space="0" w:color="auto"/>
              <w:left w:val="single" w:sz="4" w:space="0" w:color="auto"/>
              <w:bottom w:val="single" w:sz="4" w:space="0" w:color="auto"/>
              <w:right w:val="single" w:sz="4" w:space="0" w:color="auto"/>
            </w:tcBorders>
            <w:vAlign w:val="center"/>
          </w:tcPr>
          <w:p w14:paraId="43D3003C" w14:textId="72E453A8" w:rsidR="00F8574D" w:rsidRPr="006156AD" w:rsidRDefault="00F8574D" w:rsidP="00F8574D">
            <w:pPr>
              <w:tabs>
                <w:tab w:val="num" w:pos="1260"/>
              </w:tabs>
              <w:jc w:val="center"/>
              <w:rPr>
                <w:rFonts w:ascii="Trebuchet MS" w:hAnsi="Trebuchet MS"/>
              </w:rPr>
            </w:pPr>
            <w:r w:rsidRPr="006156AD">
              <w:rPr>
                <w:rFonts w:ascii="Trebuchet MS" w:hAnsi="Trebuchet MS"/>
              </w:rPr>
              <w:t>-</w:t>
            </w:r>
            <w:r w:rsidR="00232A0F" w:rsidRPr="006156AD">
              <w:rPr>
                <w:rFonts w:ascii="Trebuchet MS" w:hAnsi="Trebuchet MS"/>
              </w:rPr>
              <w:t>21</w:t>
            </w:r>
            <w:r w:rsidRPr="006156AD">
              <w:rPr>
                <w:rFonts w:ascii="Trebuchet MS" w:hAnsi="Trebuchet MS"/>
              </w:rPr>
              <w:t>.</w:t>
            </w:r>
            <w:r w:rsidR="00232A0F" w:rsidRPr="006156AD">
              <w:rPr>
                <w:rFonts w:ascii="Trebuchet MS" w:hAnsi="Trebuchet MS"/>
              </w:rPr>
              <w:t>2</w:t>
            </w:r>
            <w:r w:rsidRPr="006156AD">
              <w:rPr>
                <w:rFonts w:ascii="Trebuchet MS" w:hAnsi="Trebuchet MS"/>
              </w:rPr>
              <w:t>%</w:t>
            </w:r>
          </w:p>
        </w:tc>
        <w:tc>
          <w:tcPr>
            <w:tcW w:w="783" w:type="dxa"/>
            <w:tcBorders>
              <w:top w:val="single" w:sz="4" w:space="0" w:color="auto"/>
              <w:left w:val="nil"/>
              <w:bottom w:val="single" w:sz="4" w:space="0" w:color="auto"/>
              <w:right w:val="single" w:sz="4" w:space="0" w:color="auto"/>
            </w:tcBorders>
            <w:vAlign w:val="center"/>
          </w:tcPr>
          <w:p w14:paraId="10BCDD2F" w14:textId="560BD518" w:rsidR="00F8574D" w:rsidRPr="006156AD" w:rsidRDefault="00F8574D" w:rsidP="00F8574D">
            <w:pPr>
              <w:tabs>
                <w:tab w:val="num" w:pos="1260"/>
              </w:tabs>
              <w:jc w:val="center"/>
              <w:rPr>
                <w:rFonts w:ascii="Trebuchet MS" w:hAnsi="Trebuchet MS"/>
              </w:rPr>
            </w:pPr>
            <w:r w:rsidRPr="006156AD">
              <w:rPr>
                <w:rFonts w:ascii="Trebuchet MS" w:hAnsi="Trebuchet MS"/>
              </w:rPr>
              <w:t>-</w:t>
            </w:r>
            <w:r w:rsidR="00232A0F" w:rsidRPr="006156AD">
              <w:rPr>
                <w:rFonts w:ascii="Trebuchet MS" w:hAnsi="Trebuchet MS"/>
              </w:rPr>
              <w:t>22</w:t>
            </w:r>
            <w:r w:rsidRPr="006156AD">
              <w:rPr>
                <w:rFonts w:ascii="Trebuchet MS" w:hAnsi="Trebuchet MS"/>
              </w:rPr>
              <w:t>.</w:t>
            </w:r>
            <w:r w:rsidR="00232A0F" w:rsidRPr="006156AD">
              <w:rPr>
                <w:rFonts w:ascii="Trebuchet MS" w:hAnsi="Trebuchet MS"/>
              </w:rPr>
              <w:t>6</w:t>
            </w:r>
            <w:r w:rsidRPr="006156AD">
              <w:rPr>
                <w:rFonts w:ascii="Trebuchet MS" w:hAnsi="Trebuchet MS"/>
              </w:rPr>
              <w:t>%</w:t>
            </w:r>
          </w:p>
        </w:tc>
        <w:tc>
          <w:tcPr>
            <w:tcW w:w="1620" w:type="dxa"/>
            <w:tcBorders>
              <w:top w:val="single" w:sz="4" w:space="0" w:color="auto"/>
              <w:left w:val="nil"/>
              <w:bottom w:val="single" w:sz="4" w:space="0" w:color="auto"/>
              <w:right w:val="single" w:sz="4" w:space="0" w:color="auto"/>
            </w:tcBorders>
            <w:vAlign w:val="center"/>
          </w:tcPr>
          <w:p w14:paraId="387E1051" w14:textId="25EC69B8" w:rsidR="00F8574D" w:rsidRPr="006156AD" w:rsidRDefault="00F8574D" w:rsidP="00F8574D">
            <w:pPr>
              <w:tabs>
                <w:tab w:val="num" w:pos="1260"/>
              </w:tabs>
              <w:jc w:val="center"/>
              <w:rPr>
                <w:rFonts w:ascii="Trebuchet MS" w:hAnsi="Trebuchet MS"/>
              </w:rPr>
            </w:pPr>
            <w:r w:rsidRPr="006156AD">
              <w:rPr>
                <w:rFonts w:ascii="Trebuchet MS" w:hAnsi="Trebuchet MS" w:cs="Calibri"/>
              </w:rPr>
              <w:t>0.6%</w:t>
            </w:r>
          </w:p>
        </w:tc>
        <w:tc>
          <w:tcPr>
            <w:tcW w:w="1620" w:type="dxa"/>
            <w:tcBorders>
              <w:top w:val="single" w:sz="4" w:space="0" w:color="auto"/>
              <w:left w:val="nil"/>
              <w:bottom w:val="single" w:sz="4" w:space="0" w:color="auto"/>
              <w:right w:val="single" w:sz="4" w:space="0" w:color="auto"/>
            </w:tcBorders>
            <w:vAlign w:val="center"/>
          </w:tcPr>
          <w:p w14:paraId="43C88E36" w14:textId="5271C152" w:rsidR="00F8574D" w:rsidRPr="006156AD" w:rsidRDefault="00F8574D" w:rsidP="00F8574D">
            <w:pPr>
              <w:tabs>
                <w:tab w:val="num" w:pos="1260"/>
              </w:tabs>
              <w:jc w:val="center"/>
              <w:rPr>
                <w:rFonts w:ascii="Trebuchet MS" w:hAnsi="Trebuchet MS" w:cs="Calibri"/>
              </w:rPr>
            </w:pPr>
            <w:r w:rsidRPr="006156AD">
              <w:rPr>
                <w:rFonts w:ascii="Trebuchet MS" w:hAnsi="Trebuchet MS" w:cs="Calibri"/>
              </w:rPr>
              <w:t>20.0%</w:t>
            </w:r>
          </w:p>
        </w:tc>
        <w:tc>
          <w:tcPr>
            <w:tcW w:w="1620" w:type="dxa"/>
            <w:tcBorders>
              <w:top w:val="single" w:sz="4" w:space="0" w:color="auto"/>
              <w:left w:val="single" w:sz="4" w:space="0" w:color="auto"/>
              <w:bottom w:val="single" w:sz="4" w:space="0" w:color="auto"/>
              <w:right w:val="single" w:sz="4" w:space="0" w:color="auto"/>
            </w:tcBorders>
            <w:vAlign w:val="center"/>
          </w:tcPr>
          <w:p w14:paraId="5744CEC3" w14:textId="26F8A96F" w:rsidR="00F8574D" w:rsidRPr="006156AD" w:rsidRDefault="00F8574D" w:rsidP="00F8574D">
            <w:pPr>
              <w:tabs>
                <w:tab w:val="num" w:pos="1260"/>
              </w:tabs>
              <w:jc w:val="center"/>
              <w:rPr>
                <w:rFonts w:ascii="Trebuchet MS" w:hAnsi="Trebuchet MS"/>
              </w:rPr>
            </w:pPr>
            <w:r w:rsidRPr="006156AD">
              <w:rPr>
                <w:rFonts w:ascii="Trebuchet MS" w:hAnsi="Trebuchet MS" w:cs="Calibri"/>
              </w:rPr>
              <w:t>7.5%</w:t>
            </w:r>
          </w:p>
        </w:tc>
      </w:tr>
      <w:tr w:rsidR="00F8574D" w:rsidRPr="006156AD" w14:paraId="614FBFC1" w14:textId="77777777" w:rsidTr="00E067F9">
        <w:trPr>
          <w:cantSplit/>
          <w:trHeight w:val="523"/>
        </w:trPr>
        <w:tc>
          <w:tcPr>
            <w:tcW w:w="2065" w:type="dxa"/>
            <w:vAlign w:val="center"/>
          </w:tcPr>
          <w:p w14:paraId="6BE4A1FB" w14:textId="77777777" w:rsidR="00F8574D" w:rsidRPr="006156AD" w:rsidRDefault="00F8574D" w:rsidP="00F8574D">
            <w:pPr>
              <w:tabs>
                <w:tab w:val="num" w:pos="1260"/>
              </w:tabs>
              <w:rPr>
                <w:rFonts w:ascii="Trebuchet MS" w:hAnsi="Trebuchet MS"/>
              </w:rPr>
            </w:pPr>
            <w:r w:rsidRPr="006156AD">
              <w:rPr>
                <w:rFonts w:ascii="Trebuchet MS" w:hAnsi="Trebuchet MS"/>
                <w:b/>
                <w:bCs/>
              </w:rPr>
              <w:t>Liquidity</w:t>
            </w:r>
            <w:r w:rsidRPr="006156AD">
              <w:rPr>
                <w:rFonts w:ascii="Trebuchet MS" w:hAnsi="Trebuchet MS"/>
              </w:rPr>
              <w:t xml:space="preserve">: Days Available Liquidity on </w:t>
            </w:r>
            <w:proofErr w:type="gramStart"/>
            <w:r w:rsidRPr="006156AD">
              <w:rPr>
                <w:rFonts w:ascii="Trebuchet MS" w:hAnsi="Trebuchet MS"/>
              </w:rPr>
              <w:t>Hand (#</w:t>
            </w:r>
            <w:proofErr w:type="gramEnd"/>
            <w:r w:rsidRPr="006156AD">
              <w:rPr>
                <w:rFonts w:ascii="Trebuchet MS" w:hAnsi="Trebuchet MS"/>
              </w:rPr>
              <w:t>)</w:t>
            </w:r>
          </w:p>
        </w:tc>
        <w:tc>
          <w:tcPr>
            <w:tcW w:w="782" w:type="dxa"/>
            <w:vAlign w:val="bottom"/>
          </w:tcPr>
          <w:p w14:paraId="019C6383" w14:textId="77777777" w:rsidR="00F8574D" w:rsidRPr="006156AD" w:rsidRDefault="00F8574D" w:rsidP="00F8574D">
            <w:pPr>
              <w:tabs>
                <w:tab w:val="num" w:pos="1260"/>
              </w:tabs>
              <w:jc w:val="center"/>
              <w:rPr>
                <w:rFonts w:ascii="Trebuchet MS" w:hAnsi="Trebuchet MS"/>
              </w:rPr>
            </w:pPr>
            <w:r w:rsidRPr="006156AD">
              <w:rPr>
                <w:rFonts w:ascii="Trebuchet MS" w:hAnsi="Trebuchet MS"/>
              </w:rPr>
              <w:t>18</w:t>
            </w:r>
          </w:p>
          <w:p w14:paraId="076D5100" w14:textId="77777777" w:rsidR="00F8574D" w:rsidRPr="006156AD" w:rsidRDefault="00F8574D" w:rsidP="00F8574D">
            <w:pPr>
              <w:tabs>
                <w:tab w:val="num" w:pos="1260"/>
              </w:tabs>
              <w:jc w:val="center"/>
              <w:rPr>
                <w:rFonts w:ascii="Trebuchet MS" w:hAnsi="Trebuchet MS" w:cs="Calibri"/>
              </w:rPr>
            </w:pPr>
          </w:p>
        </w:tc>
        <w:tc>
          <w:tcPr>
            <w:tcW w:w="782" w:type="dxa"/>
            <w:tcBorders>
              <w:top w:val="single" w:sz="4" w:space="0" w:color="auto"/>
              <w:left w:val="single" w:sz="4" w:space="0" w:color="auto"/>
              <w:bottom w:val="single" w:sz="4" w:space="0" w:color="auto"/>
              <w:right w:val="single" w:sz="4" w:space="0" w:color="auto"/>
            </w:tcBorders>
            <w:vAlign w:val="center"/>
          </w:tcPr>
          <w:p w14:paraId="3D271298" w14:textId="1844702D" w:rsidR="00F8574D" w:rsidRPr="006156AD" w:rsidRDefault="002F7150" w:rsidP="00F8574D">
            <w:pPr>
              <w:tabs>
                <w:tab w:val="num" w:pos="1260"/>
              </w:tabs>
              <w:jc w:val="center"/>
              <w:rPr>
                <w:rFonts w:ascii="Trebuchet MS" w:hAnsi="Trebuchet MS"/>
              </w:rPr>
            </w:pPr>
            <w:r w:rsidRPr="006156AD">
              <w:rPr>
                <w:rFonts w:ascii="Trebuchet MS" w:hAnsi="Trebuchet MS" w:cs="Calibri"/>
              </w:rPr>
              <w:t>33</w:t>
            </w:r>
          </w:p>
        </w:tc>
        <w:tc>
          <w:tcPr>
            <w:tcW w:w="783" w:type="dxa"/>
            <w:tcBorders>
              <w:top w:val="single" w:sz="4" w:space="0" w:color="auto"/>
              <w:left w:val="nil"/>
              <w:bottom w:val="single" w:sz="4" w:space="0" w:color="auto"/>
              <w:right w:val="single" w:sz="4" w:space="0" w:color="auto"/>
            </w:tcBorders>
            <w:vAlign w:val="center"/>
          </w:tcPr>
          <w:p w14:paraId="1F01272A" w14:textId="7B1A8E8B" w:rsidR="00F8574D" w:rsidRPr="006156AD" w:rsidRDefault="002F7150" w:rsidP="00F8574D">
            <w:pPr>
              <w:tabs>
                <w:tab w:val="num" w:pos="1260"/>
              </w:tabs>
              <w:jc w:val="center"/>
              <w:rPr>
                <w:rFonts w:ascii="Trebuchet MS" w:hAnsi="Trebuchet MS"/>
              </w:rPr>
            </w:pPr>
            <w:r w:rsidRPr="006156AD">
              <w:rPr>
                <w:rFonts w:ascii="Trebuchet MS" w:hAnsi="Trebuchet MS" w:cs="Calibri"/>
              </w:rPr>
              <w:t>17</w:t>
            </w:r>
          </w:p>
        </w:tc>
        <w:tc>
          <w:tcPr>
            <w:tcW w:w="1620" w:type="dxa"/>
            <w:tcBorders>
              <w:top w:val="single" w:sz="4" w:space="0" w:color="auto"/>
              <w:left w:val="nil"/>
              <w:bottom w:val="single" w:sz="4" w:space="0" w:color="auto"/>
              <w:right w:val="single" w:sz="4" w:space="0" w:color="auto"/>
            </w:tcBorders>
            <w:vAlign w:val="center"/>
          </w:tcPr>
          <w:p w14:paraId="0A4836D9" w14:textId="652C3F28" w:rsidR="00F8574D" w:rsidRPr="006156AD" w:rsidRDefault="00CC4479" w:rsidP="00F8574D">
            <w:pPr>
              <w:tabs>
                <w:tab w:val="num" w:pos="1260"/>
              </w:tabs>
              <w:jc w:val="center"/>
              <w:rPr>
                <w:rFonts w:ascii="Trebuchet MS" w:hAnsi="Trebuchet MS"/>
              </w:rPr>
            </w:pPr>
            <w:r w:rsidRPr="006156AD">
              <w:rPr>
                <w:rFonts w:ascii="Trebuchet MS" w:hAnsi="Trebuchet MS" w:cs="Calibri"/>
              </w:rPr>
              <w:t>41</w:t>
            </w:r>
          </w:p>
        </w:tc>
        <w:tc>
          <w:tcPr>
            <w:tcW w:w="1620" w:type="dxa"/>
            <w:tcBorders>
              <w:top w:val="single" w:sz="4" w:space="0" w:color="auto"/>
              <w:left w:val="nil"/>
              <w:bottom w:val="single" w:sz="4" w:space="0" w:color="auto"/>
              <w:right w:val="single" w:sz="4" w:space="0" w:color="auto"/>
            </w:tcBorders>
            <w:vAlign w:val="center"/>
          </w:tcPr>
          <w:p w14:paraId="4785B3EB" w14:textId="6D7FDBF6" w:rsidR="00F8574D" w:rsidRPr="006156AD" w:rsidRDefault="00AC459C" w:rsidP="00F8574D">
            <w:pPr>
              <w:tabs>
                <w:tab w:val="num" w:pos="1260"/>
              </w:tabs>
              <w:jc w:val="center"/>
              <w:rPr>
                <w:rFonts w:ascii="Trebuchet MS" w:hAnsi="Trebuchet MS" w:cs="Calibri"/>
              </w:rPr>
            </w:pPr>
            <w:r w:rsidRPr="006156AD">
              <w:rPr>
                <w:rFonts w:ascii="Trebuchet MS" w:hAnsi="Trebuchet MS" w:cs="Calibri"/>
              </w:rPr>
              <w:t>30</w:t>
            </w:r>
          </w:p>
        </w:tc>
        <w:tc>
          <w:tcPr>
            <w:tcW w:w="1620" w:type="dxa"/>
            <w:tcBorders>
              <w:top w:val="single" w:sz="4" w:space="0" w:color="auto"/>
              <w:left w:val="single" w:sz="4" w:space="0" w:color="auto"/>
              <w:bottom w:val="single" w:sz="4" w:space="0" w:color="auto"/>
              <w:right w:val="single" w:sz="4" w:space="0" w:color="auto"/>
            </w:tcBorders>
            <w:vAlign w:val="center"/>
          </w:tcPr>
          <w:p w14:paraId="0F6CEC57" w14:textId="00047EEB" w:rsidR="00F8574D" w:rsidRPr="006156AD" w:rsidRDefault="00F8574D" w:rsidP="00F8574D">
            <w:pPr>
              <w:tabs>
                <w:tab w:val="num" w:pos="1260"/>
              </w:tabs>
              <w:jc w:val="center"/>
              <w:rPr>
                <w:rFonts w:ascii="Trebuchet MS" w:hAnsi="Trebuchet MS"/>
              </w:rPr>
            </w:pPr>
            <w:r w:rsidRPr="006156AD">
              <w:rPr>
                <w:rFonts w:ascii="Trebuchet MS" w:hAnsi="Trebuchet MS" w:cs="Calibri"/>
              </w:rPr>
              <w:t>NA</w:t>
            </w:r>
          </w:p>
        </w:tc>
      </w:tr>
      <w:tr w:rsidR="00F8574D" w:rsidRPr="006156AD" w14:paraId="516E469B" w14:textId="77777777" w:rsidTr="00E067F9">
        <w:trPr>
          <w:cantSplit/>
          <w:trHeight w:val="523"/>
        </w:trPr>
        <w:tc>
          <w:tcPr>
            <w:tcW w:w="2065" w:type="dxa"/>
            <w:vAlign w:val="center"/>
          </w:tcPr>
          <w:p w14:paraId="3FE0B63F" w14:textId="1850A484" w:rsidR="00F8574D" w:rsidRPr="006156AD" w:rsidRDefault="00F8574D" w:rsidP="00F8574D">
            <w:pPr>
              <w:tabs>
                <w:tab w:val="num" w:pos="1260"/>
              </w:tabs>
              <w:rPr>
                <w:rFonts w:ascii="Trebuchet MS" w:hAnsi="Trebuchet MS"/>
                <w:b/>
                <w:bCs/>
              </w:rPr>
            </w:pPr>
            <w:r w:rsidRPr="006156AD">
              <w:rPr>
                <w:rFonts w:ascii="Trebuchet MS" w:hAnsi="Trebuchet MS"/>
                <w:b/>
                <w:bCs/>
              </w:rPr>
              <w:t xml:space="preserve">Liquidity: </w:t>
            </w:r>
            <w:r w:rsidRPr="006156AD">
              <w:rPr>
                <w:rFonts w:ascii="Trebuchet MS" w:hAnsi="Trebuchet MS"/>
              </w:rPr>
              <w:t>Current Ratio (x)</w:t>
            </w:r>
          </w:p>
        </w:tc>
        <w:tc>
          <w:tcPr>
            <w:tcW w:w="782" w:type="dxa"/>
            <w:vAlign w:val="center"/>
          </w:tcPr>
          <w:p w14:paraId="4C317FFF" w14:textId="67A255A8" w:rsidR="00F8574D" w:rsidRPr="006156AD" w:rsidRDefault="00F8574D" w:rsidP="00F8574D">
            <w:pPr>
              <w:tabs>
                <w:tab w:val="num" w:pos="1260"/>
              </w:tabs>
              <w:jc w:val="center"/>
              <w:rPr>
                <w:rFonts w:ascii="Trebuchet MS" w:hAnsi="Trebuchet MS" w:cs="Calibri"/>
                <w:color w:val="000000"/>
              </w:rPr>
            </w:pPr>
            <w:r w:rsidRPr="006156AD">
              <w:rPr>
                <w:rFonts w:ascii="Trebuchet MS" w:hAnsi="Trebuchet MS" w:cs="Calibri"/>
                <w:color w:val="000000"/>
              </w:rPr>
              <w:t>1.1x</w:t>
            </w:r>
          </w:p>
        </w:tc>
        <w:tc>
          <w:tcPr>
            <w:tcW w:w="782" w:type="dxa"/>
            <w:tcBorders>
              <w:top w:val="single" w:sz="4" w:space="0" w:color="auto"/>
              <w:left w:val="single" w:sz="4" w:space="0" w:color="auto"/>
              <w:bottom w:val="single" w:sz="4" w:space="0" w:color="auto"/>
              <w:right w:val="single" w:sz="4" w:space="0" w:color="auto"/>
            </w:tcBorders>
            <w:vAlign w:val="center"/>
          </w:tcPr>
          <w:p w14:paraId="2ABC746B" w14:textId="4A1DAA75" w:rsidR="00F8574D" w:rsidRPr="006156AD" w:rsidRDefault="00F8574D" w:rsidP="00F8574D">
            <w:pPr>
              <w:tabs>
                <w:tab w:val="num" w:pos="1260"/>
              </w:tabs>
              <w:jc w:val="center"/>
              <w:rPr>
                <w:rFonts w:ascii="Trebuchet MS" w:hAnsi="Trebuchet MS" w:cs="Calibri"/>
                <w:color w:val="000000"/>
              </w:rPr>
            </w:pPr>
            <w:r w:rsidRPr="006156AD">
              <w:rPr>
                <w:rFonts w:ascii="Trebuchet MS" w:hAnsi="Trebuchet MS" w:cs="Calibri"/>
                <w:color w:val="000000"/>
              </w:rPr>
              <w:t>1.4x</w:t>
            </w:r>
          </w:p>
        </w:tc>
        <w:tc>
          <w:tcPr>
            <w:tcW w:w="783" w:type="dxa"/>
            <w:tcBorders>
              <w:top w:val="single" w:sz="4" w:space="0" w:color="auto"/>
              <w:left w:val="nil"/>
              <w:bottom w:val="single" w:sz="4" w:space="0" w:color="auto"/>
              <w:right w:val="single" w:sz="4" w:space="0" w:color="auto"/>
            </w:tcBorders>
            <w:vAlign w:val="center"/>
          </w:tcPr>
          <w:p w14:paraId="1ACAE512" w14:textId="2D36D8E0" w:rsidR="00F8574D" w:rsidRPr="006156AD" w:rsidRDefault="00F8574D" w:rsidP="00F8574D">
            <w:pPr>
              <w:tabs>
                <w:tab w:val="num" w:pos="1260"/>
              </w:tabs>
              <w:jc w:val="center"/>
              <w:rPr>
                <w:rFonts w:ascii="Trebuchet MS" w:hAnsi="Trebuchet MS" w:cs="Calibri"/>
                <w:color w:val="000000"/>
              </w:rPr>
            </w:pPr>
            <w:r w:rsidRPr="006156AD">
              <w:rPr>
                <w:rFonts w:ascii="Trebuchet MS" w:hAnsi="Trebuchet MS"/>
              </w:rPr>
              <w:t>1.0x</w:t>
            </w:r>
          </w:p>
        </w:tc>
        <w:tc>
          <w:tcPr>
            <w:tcW w:w="1620" w:type="dxa"/>
            <w:tcBorders>
              <w:top w:val="single" w:sz="4" w:space="0" w:color="auto"/>
              <w:left w:val="nil"/>
              <w:bottom w:val="single" w:sz="4" w:space="0" w:color="auto"/>
              <w:right w:val="single" w:sz="4" w:space="0" w:color="auto"/>
            </w:tcBorders>
            <w:vAlign w:val="center"/>
          </w:tcPr>
          <w:p w14:paraId="74C29FDA" w14:textId="04D95F08" w:rsidR="00F8574D" w:rsidRPr="006156AD" w:rsidRDefault="00F8574D" w:rsidP="00F8574D">
            <w:pPr>
              <w:tabs>
                <w:tab w:val="num" w:pos="1260"/>
              </w:tabs>
              <w:jc w:val="center"/>
              <w:rPr>
                <w:rFonts w:ascii="Trebuchet MS" w:hAnsi="Trebuchet MS" w:cs="Calibri"/>
                <w:color w:val="000000"/>
              </w:rPr>
            </w:pPr>
            <w:r w:rsidRPr="006156AD">
              <w:rPr>
                <w:rFonts w:ascii="Trebuchet MS" w:hAnsi="Trebuchet MS" w:cs="Calibri"/>
                <w:color w:val="000000"/>
              </w:rPr>
              <w:t>2.3x</w:t>
            </w:r>
          </w:p>
        </w:tc>
        <w:tc>
          <w:tcPr>
            <w:tcW w:w="1620" w:type="dxa"/>
            <w:tcBorders>
              <w:top w:val="single" w:sz="4" w:space="0" w:color="auto"/>
              <w:left w:val="nil"/>
              <w:bottom w:val="single" w:sz="4" w:space="0" w:color="auto"/>
              <w:right w:val="single" w:sz="4" w:space="0" w:color="auto"/>
            </w:tcBorders>
            <w:vAlign w:val="center"/>
          </w:tcPr>
          <w:p w14:paraId="098A9FA3" w14:textId="69097C59" w:rsidR="00F8574D" w:rsidRPr="006156AD" w:rsidRDefault="00F8574D" w:rsidP="00F8574D">
            <w:pPr>
              <w:tabs>
                <w:tab w:val="num" w:pos="1260"/>
              </w:tabs>
              <w:jc w:val="center"/>
              <w:rPr>
                <w:rFonts w:ascii="Trebuchet MS" w:hAnsi="Trebuchet MS" w:cs="Calibri"/>
                <w:color w:val="000000"/>
              </w:rPr>
            </w:pPr>
            <w:r w:rsidRPr="006156AD">
              <w:rPr>
                <w:rFonts w:ascii="Trebuchet MS" w:hAnsi="Trebuchet MS" w:cs="Calibri"/>
                <w:color w:val="000000"/>
              </w:rPr>
              <w:t>1.8x</w:t>
            </w:r>
          </w:p>
        </w:tc>
        <w:tc>
          <w:tcPr>
            <w:tcW w:w="1620" w:type="dxa"/>
            <w:tcBorders>
              <w:top w:val="single" w:sz="4" w:space="0" w:color="auto"/>
              <w:left w:val="single" w:sz="4" w:space="0" w:color="auto"/>
              <w:bottom w:val="single" w:sz="4" w:space="0" w:color="auto"/>
              <w:right w:val="single" w:sz="4" w:space="0" w:color="auto"/>
            </w:tcBorders>
            <w:vAlign w:val="center"/>
          </w:tcPr>
          <w:p w14:paraId="697B76DD" w14:textId="6F542133" w:rsidR="00F8574D" w:rsidRPr="006156AD" w:rsidRDefault="00F8574D" w:rsidP="00F8574D">
            <w:pPr>
              <w:tabs>
                <w:tab w:val="num" w:pos="1260"/>
              </w:tabs>
              <w:jc w:val="center"/>
              <w:rPr>
                <w:rFonts w:ascii="Trebuchet MS" w:hAnsi="Trebuchet MS" w:cs="Calibri"/>
                <w:color w:val="000000"/>
              </w:rPr>
            </w:pPr>
            <w:r w:rsidRPr="006156AD">
              <w:rPr>
                <w:rFonts w:ascii="Trebuchet MS" w:hAnsi="Trebuchet MS" w:cs="Calibri"/>
                <w:color w:val="000000"/>
              </w:rPr>
              <w:t>1.2x</w:t>
            </w:r>
          </w:p>
        </w:tc>
      </w:tr>
      <w:tr w:rsidR="00F8574D" w:rsidRPr="006156AD" w14:paraId="0DD70E35" w14:textId="77777777" w:rsidTr="00E067F9">
        <w:trPr>
          <w:cantSplit/>
          <w:trHeight w:val="523"/>
        </w:trPr>
        <w:tc>
          <w:tcPr>
            <w:tcW w:w="2065" w:type="dxa"/>
            <w:vAlign w:val="center"/>
          </w:tcPr>
          <w:p w14:paraId="0E977A82" w14:textId="77777777" w:rsidR="00F8574D" w:rsidRPr="006156AD" w:rsidRDefault="00F8574D" w:rsidP="00F8574D">
            <w:pPr>
              <w:tabs>
                <w:tab w:val="num" w:pos="1260"/>
              </w:tabs>
              <w:rPr>
                <w:rFonts w:ascii="Trebuchet MS" w:hAnsi="Trebuchet MS"/>
                <w:b/>
                <w:bCs/>
              </w:rPr>
            </w:pPr>
            <w:r w:rsidRPr="006156AD">
              <w:rPr>
                <w:rFonts w:ascii="Trebuchet MS" w:hAnsi="Trebuchet MS"/>
                <w:b/>
                <w:bCs/>
              </w:rPr>
              <w:t xml:space="preserve">Solvency: </w:t>
            </w:r>
            <w:r w:rsidRPr="006156AD">
              <w:rPr>
                <w:rFonts w:ascii="Trebuchet MS" w:hAnsi="Trebuchet MS"/>
              </w:rPr>
              <w:t>Total Debt to Total Capitalization (%)</w:t>
            </w:r>
          </w:p>
        </w:tc>
        <w:tc>
          <w:tcPr>
            <w:tcW w:w="782" w:type="dxa"/>
            <w:vAlign w:val="center"/>
          </w:tcPr>
          <w:p w14:paraId="31F326BD" w14:textId="59BCE94B" w:rsidR="00F8574D" w:rsidRPr="006156AD" w:rsidRDefault="00F8574D" w:rsidP="00F8574D">
            <w:pPr>
              <w:tabs>
                <w:tab w:val="num" w:pos="1260"/>
              </w:tabs>
              <w:jc w:val="center"/>
              <w:rPr>
                <w:rFonts w:ascii="Trebuchet MS" w:hAnsi="Trebuchet MS"/>
              </w:rPr>
            </w:pPr>
            <w:r w:rsidRPr="006156AD">
              <w:rPr>
                <w:rFonts w:ascii="Trebuchet MS" w:hAnsi="Trebuchet MS"/>
              </w:rPr>
              <w:t>34.4%</w:t>
            </w:r>
          </w:p>
        </w:tc>
        <w:tc>
          <w:tcPr>
            <w:tcW w:w="782" w:type="dxa"/>
            <w:tcBorders>
              <w:top w:val="single" w:sz="4" w:space="0" w:color="auto"/>
              <w:left w:val="single" w:sz="4" w:space="0" w:color="auto"/>
              <w:bottom w:val="single" w:sz="4" w:space="0" w:color="auto"/>
              <w:right w:val="single" w:sz="4" w:space="0" w:color="auto"/>
            </w:tcBorders>
            <w:vAlign w:val="center"/>
          </w:tcPr>
          <w:p w14:paraId="64438AAA" w14:textId="2D464D0E" w:rsidR="00F8574D" w:rsidRPr="006156AD" w:rsidRDefault="00F8574D" w:rsidP="00F8574D">
            <w:pPr>
              <w:tabs>
                <w:tab w:val="num" w:pos="1260"/>
              </w:tabs>
              <w:jc w:val="center"/>
              <w:rPr>
                <w:rFonts w:ascii="Trebuchet MS" w:hAnsi="Trebuchet MS" w:cs="Calibri"/>
                <w:color w:val="000000"/>
              </w:rPr>
            </w:pPr>
            <w:r w:rsidRPr="006156AD">
              <w:rPr>
                <w:rFonts w:ascii="Trebuchet MS" w:hAnsi="Trebuchet MS"/>
              </w:rPr>
              <w:t>84.5%</w:t>
            </w:r>
          </w:p>
        </w:tc>
        <w:tc>
          <w:tcPr>
            <w:tcW w:w="783" w:type="dxa"/>
            <w:tcBorders>
              <w:top w:val="single" w:sz="4" w:space="0" w:color="auto"/>
              <w:left w:val="nil"/>
              <w:bottom w:val="single" w:sz="4" w:space="0" w:color="auto"/>
              <w:right w:val="single" w:sz="4" w:space="0" w:color="auto"/>
            </w:tcBorders>
            <w:vAlign w:val="center"/>
          </w:tcPr>
          <w:p w14:paraId="0E2B99DE" w14:textId="623B49D0" w:rsidR="00F8574D" w:rsidRPr="006156AD" w:rsidRDefault="00491799" w:rsidP="00F8574D">
            <w:pPr>
              <w:tabs>
                <w:tab w:val="num" w:pos="1260"/>
              </w:tabs>
              <w:jc w:val="center"/>
              <w:rPr>
                <w:rFonts w:ascii="Trebuchet MS" w:hAnsi="Trebuchet MS"/>
              </w:rPr>
            </w:pPr>
            <w:r w:rsidRPr="006156AD">
              <w:rPr>
                <w:rFonts w:ascii="Trebuchet MS" w:hAnsi="Trebuchet MS"/>
              </w:rPr>
              <w:t>41</w:t>
            </w:r>
            <w:r w:rsidR="00F8574D" w:rsidRPr="006156AD">
              <w:rPr>
                <w:rFonts w:ascii="Trebuchet MS" w:hAnsi="Trebuchet MS"/>
              </w:rPr>
              <w:t>.</w:t>
            </w:r>
            <w:r w:rsidRPr="006156AD">
              <w:rPr>
                <w:rFonts w:ascii="Trebuchet MS" w:hAnsi="Trebuchet MS"/>
              </w:rPr>
              <w:t>9</w:t>
            </w:r>
            <w:r w:rsidR="00F8574D" w:rsidRPr="006156AD">
              <w:rPr>
                <w:rFonts w:ascii="Trebuchet MS" w:hAnsi="Trebuchet MS"/>
              </w:rPr>
              <w:t>%</w:t>
            </w:r>
          </w:p>
        </w:tc>
        <w:tc>
          <w:tcPr>
            <w:tcW w:w="1620" w:type="dxa"/>
            <w:tcBorders>
              <w:top w:val="single" w:sz="4" w:space="0" w:color="auto"/>
              <w:left w:val="nil"/>
              <w:bottom w:val="single" w:sz="4" w:space="0" w:color="auto"/>
              <w:right w:val="single" w:sz="4" w:space="0" w:color="auto"/>
            </w:tcBorders>
            <w:vAlign w:val="center"/>
          </w:tcPr>
          <w:p w14:paraId="39BA81A9" w14:textId="0D64D6F9" w:rsidR="00F8574D" w:rsidRPr="006156AD" w:rsidRDefault="00F86D9F" w:rsidP="00F8574D">
            <w:pPr>
              <w:tabs>
                <w:tab w:val="num" w:pos="1260"/>
              </w:tabs>
              <w:jc w:val="center"/>
              <w:rPr>
                <w:rFonts w:ascii="Trebuchet MS" w:hAnsi="Trebuchet MS" w:cs="Calibri"/>
                <w:color w:val="000000"/>
              </w:rPr>
            </w:pPr>
            <w:r w:rsidRPr="006156AD">
              <w:rPr>
                <w:rFonts w:ascii="Trebuchet MS" w:hAnsi="Trebuchet MS" w:cs="Calibri"/>
                <w:color w:val="000000"/>
              </w:rPr>
              <w:t>45</w:t>
            </w:r>
            <w:r w:rsidR="00F8574D" w:rsidRPr="006156AD">
              <w:rPr>
                <w:rFonts w:ascii="Trebuchet MS" w:hAnsi="Trebuchet MS" w:cs="Calibri"/>
                <w:color w:val="000000"/>
              </w:rPr>
              <w:t>.3%</w:t>
            </w:r>
          </w:p>
        </w:tc>
        <w:tc>
          <w:tcPr>
            <w:tcW w:w="1620" w:type="dxa"/>
            <w:tcBorders>
              <w:top w:val="single" w:sz="4" w:space="0" w:color="auto"/>
              <w:left w:val="nil"/>
              <w:bottom w:val="single" w:sz="4" w:space="0" w:color="auto"/>
              <w:right w:val="single" w:sz="4" w:space="0" w:color="auto"/>
            </w:tcBorders>
            <w:vAlign w:val="center"/>
          </w:tcPr>
          <w:p w14:paraId="6EE8E2A1" w14:textId="2DD5F4AA" w:rsidR="00F8574D" w:rsidRPr="006156AD" w:rsidRDefault="00F8574D" w:rsidP="00F8574D">
            <w:pPr>
              <w:tabs>
                <w:tab w:val="num" w:pos="1260"/>
              </w:tabs>
              <w:jc w:val="center"/>
              <w:rPr>
                <w:rFonts w:ascii="Trebuchet MS" w:hAnsi="Trebuchet MS" w:cs="Calibri"/>
                <w:color w:val="000000"/>
              </w:rPr>
            </w:pPr>
            <w:r w:rsidRPr="006156AD">
              <w:rPr>
                <w:rFonts w:ascii="Trebuchet MS" w:hAnsi="Trebuchet MS" w:cs="Calibri"/>
                <w:color w:val="000000"/>
              </w:rPr>
              <w:t>36.9%</w:t>
            </w:r>
          </w:p>
        </w:tc>
        <w:tc>
          <w:tcPr>
            <w:tcW w:w="1620" w:type="dxa"/>
            <w:tcBorders>
              <w:top w:val="single" w:sz="4" w:space="0" w:color="auto"/>
              <w:left w:val="single" w:sz="4" w:space="0" w:color="auto"/>
              <w:bottom w:val="single" w:sz="4" w:space="0" w:color="auto"/>
              <w:right w:val="single" w:sz="4" w:space="0" w:color="auto"/>
            </w:tcBorders>
            <w:vAlign w:val="center"/>
          </w:tcPr>
          <w:p w14:paraId="430D0A15" w14:textId="261AD84E" w:rsidR="00F8574D" w:rsidRPr="006156AD" w:rsidRDefault="00F8574D" w:rsidP="00F8574D">
            <w:pPr>
              <w:tabs>
                <w:tab w:val="num" w:pos="1260"/>
              </w:tabs>
              <w:jc w:val="center"/>
              <w:rPr>
                <w:rFonts w:ascii="Trebuchet MS" w:hAnsi="Trebuchet MS" w:cs="Calibri"/>
                <w:color w:val="000000"/>
              </w:rPr>
            </w:pPr>
            <w:r w:rsidRPr="006156AD">
              <w:rPr>
                <w:rFonts w:ascii="Trebuchet MS" w:hAnsi="Trebuchet MS" w:cs="Calibri"/>
                <w:color w:val="000000"/>
              </w:rPr>
              <w:t>NA</w:t>
            </w:r>
          </w:p>
        </w:tc>
      </w:tr>
      <w:tr w:rsidR="00F8574D" w:rsidRPr="006156AD" w14:paraId="5B721AC3" w14:textId="77777777" w:rsidTr="00E067F9">
        <w:trPr>
          <w:cantSplit/>
          <w:trHeight w:val="523"/>
        </w:trPr>
        <w:tc>
          <w:tcPr>
            <w:tcW w:w="2065" w:type="dxa"/>
            <w:vAlign w:val="center"/>
          </w:tcPr>
          <w:p w14:paraId="0E48AE5F" w14:textId="77777777" w:rsidR="00F8574D" w:rsidRPr="006156AD" w:rsidRDefault="00F8574D" w:rsidP="00F8574D">
            <w:pPr>
              <w:tabs>
                <w:tab w:val="num" w:pos="1260"/>
              </w:tabs>
              <w:rPr>
                <w:rFonts w:ascii="Trebuchet MS" w:hAnsi="Trebuchet MS"/>
                <w:b/>
                <w:bCs/>
              </w:rPr>
            </w:pPr>
            <w:r w:rsidRPr="006156AD">
              <w:rPr>
                <w:rFonts w:ascii="Trebuchet MS" w:hAnsi="Trebuchet MS"/>
                <w:b/>
                <w:bCs/>
              </w:rPr>
              <w:lastRenderedPageBreak/>
              <w:t xml:space="preserve">Solvency: </w:t>
            </w:r>
            <w:r w:rsidRPr="006156AD">
              <w:rPr>
                <w:rFonts w:ascii="Trebuchet MS" w:hAnsi="Trebuchet MS"/>
              </w:rPr>
              <w:t>Debt Service Coverage Ratio (x)</w:t>
            </w:r>
          </w:p>
        </w:tc>
        <w:tc>
          <w:tcPr>
            <w:tcW w:w="782" w:type="dxa"/>
            <w:vAlign w:val="center"/>
          </w:tcPr>
          <w:p w14:paraId="2B9F2625" w14:textId="3F4ED0B1" w:rsidR="00F8574D" w:rsidRPr="006156AD" w:rsidRDefault="00F8574D" w:rsidP="00F8574D">
            <w:pPr>
              <w:tabs>
                <w:tab w:val="num" w:pos="1260"/>
              </w:tabs>
              <w:jc w:val="center"/>
              <w:rPr>
                <w:rFonts w:ascii="Trebuchet MS" w:hAnsi="Trebuchet MS"/>
              </w:rPr>
            </w:pPr>
            <w:r w:rsidRPr="006156AD">
              <w:rPr>
                <w:rFonts w:ascii="Trebuchet MS" w:hAnsi="Trebuchet MS"/>
              </w:rPr>
              <w:t>0.7x</w:t>
            </w:r>
          </w:p>
        </w:tc>
        <w:tc>
          <w:tcPr>
            <w:tcW w:w="782" w:type="dxa"/>
            <w:tcBorders>
              <w:top w:val="nil"/>
              <w:left w:val="single" w:sz="4" w:space="0" w:color="auto"/>
              <w:bottom w:val="single" w:sz="4" w:space="0" w:color="auto"/>
              <w:right w:val="single" w:sz="4" w:space="0" w:color="auto"/>
            </w:tcBorders>
            <w:vAlign w:val="center"/>
          </w:tcPr>
          <w:p w14:paraId="15561EF2" w14:textId="259F62CE" w:rsidR="00F8574D" w:rsidRPr="006156AD" w:rsidRDefault="002F7150" w:rsidP="00F8574D">
            <w:pPr>
              <w:tabs>
                <w:tab w:val="num" w:pos="1260"/>
              </w:tabs>
              <w:jc w:val="center"/>
              <w:rPr>
                <w:rFonts w:ascii="Trebuchet MS" w:hAnsi="Trebuchet MS"/>
              </w:rPr>
            </w:pPr>
            <w:r w:rsidRPr="006156AD">
              <w:rPr>
                <w:rFonts w:ascii="Trebuchet MS" w:hAnsi="Trebuchet MS"/>
              </w:rPr>
              <w:t>1</w:t>
            </w:r>
            <w:r w:rsidR="00F8574D" w:rsidRPr="006156AD">
              <w:rPr>
                <w:rFonts w:ascii="Trebuchet MS" w:hAnsi="Trebuchet MS"/>
              </w:rPr>
              <w:t>.</w:t>
            </w:r>
            <w:r w:rsidRPr="006156AD">
              <w:rPr>
                <w:rFonts w:ascii="Trebuchet MS" w:hAnsi="Trebuchet MS"/>
              </w:rPr>
              <w:t>4x</w:t>
            </w:r>
          </w:p>
        </w:tc>
        <w:tc>
          <w:tcPr>
            <w:tcW w:w="783" w:type="dxa"/>
            <w:tcBorders>
              <w:top w:val="nil"/>
              <w:left w:val="nil"/>
              <w:bottom w:val="single" w:sz="4" w:space="0" w:color="auto"/>
              <w:right w:val="single" w:sz="4" w:space="0" w:color="auto"/>
            </w:tcBorders>
            <w:vAlign w:val="center"/>
          </w:tcPr>
          <w:p w14:paraId="23EDF8BE" w14:textId="762B7222" w:rsidR="00F8574D" w:rsidRPr="006156AD" w:rsidRDefault="002F7150" w:rsidP="00F8574D">
            <w:pPr>
              <w:tabs>
                <w:tab w:val="num" w:pos="1260"/>
              </w:tabs>
              <w:jc w:val="center"/>
              <w:rPr>
                <w:rFonts w:ascii="Trebuchet MS" w:hAnsi="Trebuchet MS"/>
              </w:rPr>
            </w:pPr>
            <w:r w:rsidRPr="006156AD">
              <w:rPr>
                <w:rFonts w:ascii="Trebuchet MS" w:hAnsi="Trebuchet MS"/>
              </w:rPr>
              <w:t>1</w:t>
            </w:r>
            <w:r w:rsidR="00F8574D" w:rsidRPr="006156AD">
              <w:rPr>
                <w:rFonts w:ascii="Trebuchet MS" w:hAnsi="Trebuchet MS"/>
              </w:rPr>
              <w:t>.</w:t>
            </w:r>
            <w:r w:rsidRPr="006156AD">
              <w:rPr>
                <w:rFonts w:ascii="Trebuchet MS" w:hAnsi="Trebuchet MS"/>
              </w:rPr>
              <w:t>3x</w:t>
            </w:r>
          </w:p>
        </w:tc>
        <w:tc>
          <w:tcPr>
            <w:tcW w:w="1620" w:type="dxa"/>
            <w:tcBorders>
              <w:top w:val="nil"/>
              <w:left w:val="nil"/>
              <w:bottom w:val="single" w:sz="4" w:space="0" w:color="auto"/>
              <w:right w:val="single" w:sz="4" w:space="0" w:color="auto"/>
            </w:tcBorders>
            <w:vAlign w:val="center"/>
          </w:tcPr>
          <w:p w14:paraId="7B6C47CB" w14:textId="7BC679EF" w:rsidR="00F8574D" w:rsidRPr="006156AD" w:rsidRDefault="00F8574D" w:rsidP="00F8574D">
            <w:pPr>
              <w:tabs>
                <w:tab w:val="num" w:pos="1260"/>
              </w:tabs>
              <w:jc w:val="center"/>
              <w:rPr>
                <w:rFonts w:ascii="Trebuchet MS" w:hAnsi="Trebuchet MS" w:cs="Calibri"/>
              </w:rPr>
            </w:pPr>
            <w:r w:rsidRPr="006156AD">
              <w:rPr>
                <w:rFonts w:ascii="Trebuchet MS" w:hAnsi="Trebuchet MS" w:cs="Calibri"/>
              </w:rPr>
              <w:t>1.</w:t>
            </w:r>
            <w:r w:rsidR="00F86D9F" w:rsidRPr="006156AD">
              <w:rPr>
                <w:rFonts w:ascii="Trebuchet MS" w:hAnsi="Trebuchet MS" w:cs="Calibri"/>
              </w:rPr>
              <w:t>2x</w:t>
            </w:r>
          </w:p>
        </w:tc>
        <w:tc>
          <w:tcPr>
            <w:tcW w:w="1620" w:type="dxa"/>
            <w:tcBorders>
              <w:top w:val="single" w:sz="4" w:space="0" w:color="auto"/>
              <w:left w:val="nil"/>
              <w:bottom w:val="single" w:sz="4" w:space="0" w:color="auto"/>
              <w:right w:val="single" w:sz="4" w:space="0" w:color="auto"/>
            </w:tcBorders>
            <w:vAlign w:val="center"/>
          </w:tcPr>
          <w:p w14:paraId="1FAF2250" w14:textId="77777777" w:rsidR="00F8574D" w:rsidRPr="006156AD" w:rsidRDefault="00F8574D" w:rsidP="00F8574D">
            <w:pPr>
              <w:tabs>
                <w:tab w:val="num" w:pos="1260"/>
              </w:tabs>
              <w:jc w:val="center"/>
              <w:rPr>
                <w:rFonts w:ascii="Trebuchet MS" w:hAnsi="Trebuchet MS" w:cs="Calibri"/>
                <w:color w:val="000000"/>
              </w:rPr>
            </w:pPr>
            <w:r w:rsidRPr="006156AD">
              <w:rPr>
                <w:rFonts w:ascii="Trebuchet MS" w:hAnsi="Trebuchet MS" w:cs="Calibri"/>
                <w:color w:val="000000"/>
              </w:rPr>
              <w:t>NA</w:t>
            </w:r>
          </w:p>
          <w:p w14:paraId="18295750" w14:textId="22CA1A9A" w:rsidR="00F8574D" w:rsidRPr="006156AD" w:rsidRDefault="00F8574D" w:rsidP="00F8574D">
            <w:pPr>
              <w:tabs>
                <w:tab w:val="num" w:pos="1260"/>
              </w:tabs>
              <w:jc w:val="center"/>
              <w:rPr>
                <w:rFonts w:ascii="Trebuchet MS" w:hAnsi="Trebuchet MS" w:cs="Calibri"/>
                <w:color w:val="000000"/>
              </w:rPr>
            </w:pPr>
          </w:p>
        </w:tc>
        <w:tc>
          <w:tcPr>
            <w:tcW w:w="1620" w:type="dxa"/>
            <w:tcBorders>
              <w:top w:val="nil"/>
              <w:left w:val="single" w:sz="4" w:space="0" w:color="auto"/>
              <w:bottom w:val="single" w:sz="4" w:space="0" w:color="auto"/>
              <w:right w:val="single" w:sz="4" w:space="0" w:color="auto"/>
            </w:tcBorders>
            <w:vAlign w:val="center"/>
          </w:tcPr>
          <w:p w14:paraId="040B2E7C" w14:textId="774B2076" w:rsidR="00F8574D" w:rsidRPr="006156AD" w:rsidRDefault="00F8574D" w:rsidP="00F8574D">
            <w:pPr>
              <w:tabs>
                <w:tab w:val="num" w:pos="1260"/>
              </w:tabs>
              <w:jc w:val="center"/>
              <w:rPr>
                <w:rFonts w:ascii="Trebuchet MS" w:hAnsi="Trebuchet MS" w:cs="Calibri"/>
                <w:color w:val="000000"/>
                <w:highlight w:val="yellow"/>
              </w:rPr>
            </w:pPr>
            <w:r w:rsidRPr="006156AD">
              <w:rPr>
                <w:rFonts w:ascii="Trebuchet MS" w:hAnsi="Trebuchet MS" w:cs="Calibri"/>
                <w:color w:val="000000"/>
              </w:rPr>
              <w:t>2.2x</w:t>
            </w:r>
          </w:p>
        </w:tc>
      </w:tr>
      <w:tr w:rsidR="00F8574D" w:rsidRPr="006156AD" w14:paraId="372ACEFC" w14:textId="77777777" w:rsidTr="00E067F9">
        <w:trPr>
          <w:cantSplit/>
          <w:trHeight w:val="523"/>
        </w:trPr>
        <w:tc>
          <w:tcPr>
            <w:tcW w:w="2065" w:type="dxa"/>
            <w:vAlign w:val="center"/>
          </w:tcPr>
          <w:p w14:paraId="43799337" w14:textId="77777777" w:rsidR="00F8574D" w:rsidRPr="006156AD" w:rsidRDefault="00F8574D" w:rsidP="00F8574D">
            <w:pPr>
              <w:tabs>
                <w:tab w:val="num" w:pos="1260"/>
              </w:tabs>
              <w:rPr>
                <w:rFonts w:ascii="Trebuchet MS" w:hAnsi="Trebuchet MS"/>
                <w:b/>
                <w:bCs/>
              </w:rPr>
            </w:pPr>
            <w:r w:rsidRPr="006156AD">
              <w:rPr>
                <w:rFonts w:ascii="Trebuchet MS" w:hAnsi="Trebuchet MS"/>
                <w:b/>
                <w:bCs/>
              </w:rPr>
              <w:t xml:space="preserve">Solvency: </w:t>
            </w:r>
            <w:r w:rsidRPr="006156AD">
              <w:rPr>
                <w:rFonts w:ascii="Trebuchet MS" w:hAnsi="Trebuchet MS"/>
              </w:rPr>
              <w:t>Debt Service/Revenues</w:t>
            </w:r>
            <w:r w:rsidRPr="006156AD">
              <w:rPr>
                <w:rFonts w:ascii="Trebuchet MS" w:hAnsi="Trebuchet MS"/>
                <w:b/>
                <w:bCs/>
              </w:rPr>
              <w:t xml:space="preserve"> </w:t>
            </w:r>
            <w:r w:rsidRPr="006156AD">
              <w:rPr>
                <w:rFonts w:ascii="Trebuchet MS" w:hAnsi="Trebuchet MS"/>
              </w:rPr>
              <w:t>(%)</w:t>
            </w:r>
          </w:p>
        </w:tc>
        <w:tc>
          <w:tcPr>
            <w:tcW w:w="782" w:type="dxa"/>
            <w:vAlign w:val="center"/>
          </w:tcPr>
          <w:p w14:paraId="44C442F5" w14:textId="4DA8E619" w:rsidR="00F8574D" w:rsidRPr="006156AD" w:rsidRDefault="00F8574D" w:rsidP="00F8574D">
            <w:pPr>
              <w:tabs>
                <w:tab w:val="num" w:pos="1260"/>
              </w:tabs>
              <w:jc w:val="center"/>
              <w:rPr>
                <w:rFonts w:ascii="Trebuchet MS" w:hAnsi="Trebuchet MS"/>
              </w:rPr>
            </w:pPr>
            <w:r w:rsidRPr="006156AD">
              <w:rPr>
                <w:rFonts w:ascii="Trebuchet MS" w:hAnsi="Trebuchet MS"/>
              </w:rPr>
              <w:t>16.7%</w:t>
            </w:r>
          </w:p>
        </w:tc>
        <w:tc>
          <w:tcPr>
            <w:tcW w:w="782" w:type="dxa"/>
            <w:tcBorders>
              <w:top w:val="nil"/>
              <w:left w:val="single" w:sz="4" w:space="0" w:color="auto"/>
              <w:bottom w:val="single" w:sz="4" w:space="0" w:color="auto"/>
              <w:right w:val="single" w:sz="4" w:space="0" w:color="auto"/>
            </w:tcBorders>
            <w:vAlign w:val="center"/>
          </w:tcPr>
          <w:p w14:paraId="2A117FCC" w14:textId="37645304" w:rsidR="00F8574D" w:rsidRPr="006156AD" w:rsidRDefault="002F7150" w:rsidP="00F8574D">
            <w:pPr>
              <w:tabs>
                <w:tab w:val="num" w:pos="1260"/>
              </w:tabs>
              <w:jc w:val="center"/>
              <w:rPr>
                <w:rFonts w:ascii="Trebuchet MS" w:hAnsi="Trebuchet MS"/>
              </w:rPr>
            </w:pPr>
            <w:r w:rsidRPr="006156AD">
              <w:rPr>
                <w:rFonts w:ascii="Trebuchet MS" w:hAnsi="Trebuchet MS"/>
              </w:rPr>
              <w:t>10</w:t>
            </w:r>
            <w:r w:rsidR="00F8574D" w:rsidRPr="006156AD">
              <w:rPr>
                <w:rFonts w:ascii="Trebuchet MS" w:hAnsi="Trebuchet MS"/>
              </w:rPr>
              <w:t>.</w:t>
            </w:r>
            <w:r w:rsidRPr="006156AD">
              <w:rPr>
                <w:rFonts w:ascii="Trebuchet MS" w:hAnsi="Trebuchet MS"/>
              </w:rPr>
              <w:t>9</w:t>
            </w:r>
            <w:r w:rsidR="00F8574D" w:rsidRPr="006156AD">
              <w:rPr>
                <w:rFonts w:ascii="Trebuchet MS" w:hAnsi="Trebuchet MS"/>
              </w:rPr>
              <w:t>%</w:t>
            </w:r>
          </w:p>
        </w:tc>
        <w:tc>
          <w:tcPr>
            <w:tcW w:w="783" w:type="dxa"/>
            <w:tcBorders>
              <w:top w:val="nil"/>
              <w:left w:val="nil"/>
              <w:bottom w:val="single" w:sz="4" w:space="0" w:color="auto"/>
              <w:right w:val="single" w:sz="4" w:space="0" w:color="auto"/>
            </w:tcBorders>
            <w:vAlign w:val="center"/>
          </w:tcPr>
          <w:p w14:paraId="7C606E47" w14:textId="2C20120B" w:rsidR="00F8574D" w:rsidRPr="006156AD" w:rsidRDefault="00F8574D" w:rsidP="00F8574D">
            <w:pPr>
              <w:tabs>
                <w:tab w:val="num" w:pos="1260"/>
              </w:tabs>
              <w:jc w:val="center"/>
              <w:rPr>
                <w:rFonts w:ascii="Trebuchet MS" w:hAnsi="Trebuchet MS"/>
              </w:rPr>
            </w:pPr>
            <w:r w:rsidRPr="006156AD">
              <w:rPr>
                <w:rFonts w:ascii="Trebuchet MS" w:hAnsi="Trebuchet MS"/>
              </w:rPr>
              <w:t>11.3%</w:t>
            </w:r>
          </w:p>
        </w:tc>
        <w:tc>
          <w:tcPr>
            <w:tcW w:w="1620" w:type="dxa"/>
            <w:tcBorders>
              <w:top w:val="nil"/>
              <w:left w:val="nil"/>
              <w:bottom w:val="single" w:sz="4" w:space="0" w:color="auto"/>
              <w:right w:val="single" w:sz="4" w:space="0" w:color="auto"/>
            </w:tcBorders>
            <w:vAlign w:val="center"/>
          </w:tcPr>
          <w:p w14:paraId="1A738A57" w14:textId="24FABBFB" w:rsidR="00F8574D" w:rsidRPr="006156AD" w:rsidRDefault="00AC459C" w:rsidP="00F8574D">
            <w:pPr>
              <w:tabs>
                <w:tab w:val="num" w:pos="1260"/>
              </w:tabs>
              <w:jc w:val="center"/>
              <w:rPr>
                <w:rFonts w:ascii="Trebuchet MS" w:hAnsi="Trebuchet MS" w:cs="Calibri"/>
                <w:color w:val="000000"/>
              </w:rPr>
            </w:pPr>
            <w:r w:rsidRPr="006156AD">
              <w:rPr>
                <w:rFonts w:ascii="Trebuchet MS" w:hAnsi="Trebuchet MS" w:cs="Calibri"/>
                <w:color w:val="000000"/>
              </w:rPr>
              <w:t>2</w:t>
            </w:r>
            <w:r w:rsidR="00F8574D" w:rsidRPr="006156AD">
              <w:rPr>
                <w:rFonts w:ascii="Trebuchet MS" w:hAnsi="Trebuchet MS" w:cs="Calibri"/>
                <w:color w:val="000000"/>
              </w:rPr>
              <w:t>.</w:t>
            </w:r>
            <w:r w:rsidRPr="006156AD">
              <w:rPr>
                <w:rFonts w:ascii="Trebuchet MS" w:hAnsi="Trebuchet MS" w:cs="Calibri"/>
                <w:color w:val="000000"/>
              </w:rPr>
              <w:t>9</w:t>
            </w:r>
            <w:r w:rsidR="00F8574D" w:rsidRPr="006156AD">
              <w:rPr>
                <w:rFonts w:ascii="Trebuchet MS" w:hAnsi="Trebuchet MS" w:cs="Calibri"/>
                <w:color w:val="000000"/>
              </w:rPr>
              <w:t>%</w:t>
            </w:r>
          </w:p>
        </w:tc>
        <w:tc>
          <w:tcPr>
            <w:tcW w:w="1620" w:type="dxa"/>
            <w:tcBorders>
              <w:top w:val="single" w:sz="4" w:space="0" w:color="auto"/>
              <w:left w:val="nil"/>
              <w:bottom w:val="single" w:sz="4" w:space="0" w:color="auto"/>
              <w:right w:val="single" w:sz="4" w:space="0" w:color="auto"/>
            </w:tcBorders>
            <w:vAlign w:val="center"/>
          </w:tcPr>
          <w:p w14:paraId="08564BDB" w14:textId="4E617E95" w:rsidR="00F8574D" w:rsidRPr="006156AD" w:rsidRDefault="00F8574D" w:rsidP="00F8574D">
            <w:pPr>
              <w:tabs>
                <w:tab w:val="num" w:pos="1260"/>
              </w:tabs>
              <w:jc w:val="center"/>
              <w:rPr>
                <w:rFonts w:ascii="Trebuchet MS" w:hAnsi="Trebuchet MS" w:cs="Calibri"/>
                <w:color w:val="000000"/>
              </w:rPr>
            </w:pPr>
            <w:r w:rsidRPr="006156AD">
              <w:rPr>
                <w:rFonts w:ascii="Trebuchet MS" w:hAnsi="Trebuchet MS" w:cs="Calibri"/>
                <w:color w:val="000000"/>
              </w:rPr>
              <w:t>NA</w:t>
            </w:r>
          </w:p>
        </w:tc>
        <w:tc>
          <w:tcPr>
            <w:tcW w:w="1620" w:type="dxa"/>
            <w:tcBorders>
              <w:top w:val="nil"/>
              <w:left w:val="single" w:sz="4" w:space="0" w:color="auto"/>
              <w:bottom w:val="single" w:sz="4" w:space="0" w:color="auto"/>
              <w:right w:val="single" w:sz="4" w:space="0" w:color="auto"/>
            </w:tcBorders>
            <w:vAlign w:val="center"/>
          </w:tcPr>
          <w:p w14:paraId="5D8ED87C" w14:textId="1ED190EE" w:rsidR="00F8574D" w:rsidRPr="006156AD" w:rsidRDefault="00F8574D" w:rsidP="00F8574D">
            <w:pPr>
              <w:tabs>
                <w:tab w:val="num" w:pos="1260"/>
              </w:tabs>
              <w:jc w:val="center"/>
              <w:rPr>
                <w:rFonts w:ascii="Trebuchet MS" w:hAnsi="Trebuchet MS" w:cs="Calibri"/>
                <w:color w:val="000000"/>
              </w:rPr>
            </w:pPr>
            <w:r w:rsidRPr="006156AD">
              <w:rPr>
                <w:rFonts w:ascii="Trebuchet MS" w:hAnsi="Trebuchet MS" w:cs="Calibri"/>
                <w:color w:val="000000"/>
              </w:rPr>
              <w:t>3.2%</w:t>
            </w:r>
          </w:p>
        </w:tc>
      </w:tr>
      <w:tr w:rsidR="00F8574D" w:rsidRPr="006156AD" w14:paraId="6A02A277" w14:textId="77777777" w:rsidTr="00E067F9">
        <w:trPr>
          <w:cantSplit/>
          <w:trHeight w:val="523"/>
        </w:trPr>
        <w:tc>
          <w:tcPr>
            <w:tcW w:w="2065" w:type="dxa"/>
            <w:vAlign w:val="center"/>
          </w:tcPr>
          <w:p w14:paraId="53BCF7F5" w14:textId="77777777" w:rsidR="00F8574D" w:rsidRPr="006156AD" w:rsidRDefault="00F8574D" w:rsidP="00F8574D">
            <w:pPr>
              <w:tabs>
                <w:tab w:val="num" w:pos="1260"/>
              </w:tabs>
              <w:rPr>
                <w:rFonts w:ascii="Trebuchet MS" w:hAnsi="Trebuchet MS"/>
                <w:b/>
                <w:bCs/>
              </w:rPr>
            </w:pPr>
            <w:r w:rsidRPr="006156AD">
              <w:rPr>
                <w:rFonts w:ascii="Trebuchet MS" w:hAnsi="Trebuchet MS"/>
                <w:b/>
                <w:bCs/>
              </w:rPr>
              <w:t xml:space="preserve">Solvency: </w:t>
            </w:r>
            <w:r w:rsidRPr="006156AD">
              <w:rPr>
                <w:rFonts w:ascii="Trebuchet MS" w:hAnsi="Trebuchet MS"/>
              </w:rPr>
              <w:t>Total Equity ($ in million)</w:t>
            </w:r>
          </w:p>
        </w:tc>
        <w:tc>
          <w:tcPr>
            <w:tcW w:w="782" w:type="dxa"/>
            <w:vAlign w:val="center"/>
          </w:tcPr>
          <w:p w14:paraId="78ED2BCD" w14:textId="0EAA95E7" w:rsidR="00F8574D" w:rsidRPr="006156AD" w:rsidRDefault="00232A0F" w:rsidP="00F8574D">
            <w:pPr>
              <w:tabs>
                <w:tab w:val="num" w:pos="1260"/>
              </w:tabs>
              <w:jc w:val="center"/>
              <w:rPr>
                <w:rFonts w:ascii="Trebuchet MS" w:hAnsi="Trebuchet MS"/>
              </w:rPr>
            </w:pPr>
            <w:r w:rsidRPr="006156AD">
              <w:rPr>
                <w:rFonts w:ascii="Trebuchet MS" w:hAnsi="Trebuchet MS"/>
              </w:rPr>
              <w:t>$</w:t>
            </w:r>
            <w:r w:rsidR="00F8574D" w:rsidRPr="006156AD">
              <w:rPr>
                <w:rFonts w:ascii="Trebuchet MS" w:hAnsi="Trebuchet MS"/>
              </w:rPr>
              <w:t>158.4</w:t>
            </w:r>
          </w:p>
        </w:tc>
        <w:tc>
          <w:tcPr>
            <w:tcW w:w="782" w:type="dxa"/>
            <w:tcBorders>
              <w:top w:val="nil"/>
              <w:left w:val="single" w:sz="4" w:space="0" w:color="auto"/>
              <w:bottom w:val="single" w:sz="4" w:space="0" w:color="auto"/>
              <w:right w:val="single" w:sz="4" w:space="0" w:color="auto"/>
            </w:tcBorders>
            <w:vAlign w:val="center"/>
          </w:tcPr>
          <w:p w14:paraId="138161E0" w14:textId="18354815" w:rsidR="00F8574D" w:rsidRPr="006156AD" w:rsidRDefault="00F8574D" w:rsidP="00F8574D">
            <w:pPr>
              <w:tabs>
                <w:tab w:val="num" w:pos="1260"/>
              </w:tabs>
              <w:jc w:val="center"/>
              <w:rPr>
                <w:rFonts w:ascii="Trebuchet MS" w:hAnsi="Trebuchet MS"/>
              </w:rPr>
            </w:pPr>
            <w:r w:rsidRPr="006156AD">
              <w:rPr>
                <w:rFonts w:ascii="Trebuchet MS" w:hAnsi="Trebuchet MS"/>
              </w:rPr>
              <w:t>$30.0</w:t>
            </w:r>
          </w:p>
        </w:tc>
        <w:tc>
          <w:tcPr>
            <w:tcW w:w="783" w:type="dxa"/>
            <w:tcBorders>
              <w:top w:val="nil"/>
              <w:left w:val="nil"/>
              <w:bottom w:val="single" w:sz="4" w:space="0" w:color="auto"/>
              <w:right w:val="single" w:sz="4" w:space="0" w:color="auto"/>
            </w:tcBorders>
            <w:vAlign w:val="center"/>
          </w:tcPr>
          <w:p w14:paraId="6594891E" w14:textId="25D994D7" w:rsidR="00F8574D" w:rsidRPr="006156AD" w:rsidRDefault="00F8574D" w:rsidP="00F8574D">
            <w:pPr>
              <w:tabs>
                <w:tab w:val="num" w:pos="1260"/>
              </w:tabs>
              <w:jc w:val="center"/>
              <w:rPr>
                <w:rFonts w:ascii="Trebuchet MS" w:hAnsi="Trebuchet MS"/>
              </w:rPr>
            </w:pPr>
            <w:r w:rsidRPr="006156AD">
              <w:rPr>
                <w:rFonts w:ascii="Trebuchet MS" w:hAnsi="Trebuchet MS"/>
              </w:rPr>
              <w:t>$334.1</w:t>
            </w:r>
          </w:p>
        </w:tc>
        <w:tc>
          <w:tcPr>
            <w:tcW w:w="1620" w:type="dxa"/>
            <w:tcBorders>
              <w:top w:val="nil"/>
              <w:left w:val="nil"/>
              <w:bottom w:val="single" w:sz="4" w:space="0" w:color="auto"/>
              <w:right w:val="single" w:sz="4" w:space="0" w:color="auto"/>
            </w:tcBorders>
            <w:vAlign w:val="center"/>
          </w:tcPr>
          <w:p w14:paraId="0E5D2D53" w14:textId="545F078A" w:rsidR="00F8574D" w:rsidRPr="006156AD" w:rsidRDefault="00F8574D" w:rsidP="00F8574D">
            <w:pPr>
              <w:tabs>
                <w:tab w:val="num" w:pos="1260"/>
              </w:tabs>
              <w:jc w:val="center"/>
              <w:rPr>
                <w:rFonts w:ascii="Trebuchet MS" w:hAnsi="Trebuchet MS" w:cs="Calibri"/>
                <w:color w:val="000000"/>
              </w:rPr>
            </w:pPr>
            <w:r w:rsidRPr="006156AD">
              <w:rPr>
                <w:rFonts w:ascii="Trebuchet MS" w:hAnsi="Trebuchet MS" w:cs="Calibri"/>
                <w:color w:val="000000"/>
              </w:rPr>
              <w:t>$127.2</w:t>
            </w:r>
          </w:p>
        </w:tc>
        <w:tc>
          <w:tcPr>
            <w:tcW w:w="1620" w:type="dxa"/>
            <w:tcBorders>
              <w:top w:val="single" w:sz="4" w:space="0" w:color="auto"/>
              <w:left w:val="nil"/>
              <w:bottom w:val="single" w:sz="4" w:space="0" w:color="auto"/>
              <w:right w:val="single" w:sz="4" w:space="0" w:color="auto"/>
            </w:tcBorders>
            <w:vAlign w:val="center"/>
          </w:tcPr>
          <w:p w14:paraId="7086F52F" w14:textId="411E5966" w:rsidR="00F8574D" w:rsidRPr="006156AD" w:rsidRDefault="00F8574D" w:rsidP="00F8574D">
            <w:pPr>
              <w:tabs>
                <w:tab w:val="num" w:pos="1260"/>
              </w:tabs>
              <w:jc w:val="center"/>
              <w:rPr>
                <w:rFonts w:ascii="Trebuchet MS" w:hAnsi="Trebuchet MS" w:cs="Calibri"/>
                <w:color w:val="000000"/>
              </w:rPr>
            </w:pPr>
            <w:r w:rsidRPr="006156AD">
              <w:rPr>
                <w:rFonts w:ascii="Trebuchet MS" w:hAnsi="Trebuchet MS" w:cs="Calibri"/>
                <w:color w:val="000000"/>
              </w:rPr>
              <w:t>$0.9</w:t>
            </w:r>
          </w:p>
        </w:tc>
        <w:tc>
          <w:tcPr>
            <w:tcW w:w="1620" w:type="dxa"/>
            <w:tcBorders>
              <w:top w:val="nil"/>
              <w:left w:val="single" w:sz="4" w:space="0" w:color="auto"/>
              <w:bottom w:val="single" w:sz="4" w:space="0" w:color="auto"/>
              <w:right w:val="single" w:sz="4" w:space="0" w:color="auto"/>
            </w:tcBorders>
            <w:vAlign w:val="center"/>
          </w:tcPr>
          <w:p w14:paraId="27A0926F" w14:textId="71A8B725" w:rsidR="00F8574D" w:rsidRPr="006156AD" w:rsidRDefault="00F8574D" w:rsidP="00F8574D">
            <w:pPr>
              <w:tabs>
                <w:tab w:val="num" w:pos="1260"/>
              </w:tabs>
              <w:jc w:val="center"/>
              <w:rPr>
                <w:rFonts w:ascii="Trebuchet MS" w:hAnsi="Trebuchet MS" w:cs="Calibri"/>
                <w:color w:val="000000"/>
              </w:rPr>
            </w:pPr>
            <w:r w:rsidRPr="006156AD">
              <w:rPr>
                <w:rFonts w:ascii="Trebuchet MS" w:hAnsi="Trebuchet MS" w:cs="Calibri"/>
                <w:color w:val="000000"/>
              </w:rPr>
              <w:t>NA</w:t>
            </w:r>
          </w:p>
        </w:tc>
      </w:tr>
    </w:tbl>
    <w:p w14:paraId="4EED03E2" w14:textId="77777777" w:rsidR="00F41377" w:rsidRPr="006156AD" w:rsidRDefault="00F41377" w:rsidP="00F41377">
      <w:pPr>
        <w:autoSpaceDE w:val="0"/>
        <w:autoSpaceDN w:val="0"/>
        <w:adjustRightInd w:val="0"/>
        <w:ind w:left="270"/>
        <w:rPr>
          <w:rFonts w:ascii="Trebuchet MS" w:hAnsi="Trebuchet MS"/>
        </w:rPr>
      </w:pPr>
      <w:r w:rsidRPr="006156AD">
        <w:rPr>
          <w:rFonts w:ascii="Trebuchet MS" w:hAnsi="Trebuchet MS"/>
        </w:rPr>
        <w:t xml:space="preserve">Footnote: </w:t>
      </w:r>
    </w:p>
    <w:p w14:paraId="4F730DD2" w14:textId="68B1B115" w:rsidR="00995F16" w:rsidRPr="006156AD" w:rsidRDefault="00F41377" w:rsidP="003A692E">
      <w:pPr>
        <w:pStyle w:val="ListParagraph"/>
        <w:numPr>
          <w:ilvl w:val="0"/>
          <w:numId w:val="10"/>
        </w:numPr>
        <w:autoSpaceDE w:val="0"/>
        <w:autoSpaceDN w:val="0"/>
        <w:adjustRightInd w:val="0"/>
        <w:rPr>
          <w:rFonts w:ascii="Trebuchet MS" w:hAnsi="Trebuchet MS"/>
          <w:b/>
          <w:bCs/>
          <w:u w:val="single"/>
        </w:rPr>
      </w:pPr>
      <w:r w:rsidRPr="006156AD">
        <w:rPr>
          <w:rFonts w:ascii="Trebuchet MS" w:hAnsi="Trebuchet MS"/>
        </w:rPr>
        <w:t>Industry data ratios based on each data source's respective definitions and may differ from the ratio definitions listed below.</w:t>
      </w:r>
    </w:p>
    <w:p w14:paraId="06D1A2EA" w14:textId="2A8D34DB" w:rsidR="00B2776B" w:rsidRPr="006156AD" w:rsidRDefault="00B2776B" w:rsidP="003A692E">
      <w:pPr>
        <w:pStyle w:val="ListParagraph"/>
        <w:numPr>
          <w:ilvl w:val="0"/>
          <w:numId w:val="10"/>
        </w:numPr>
        <w:autoSpaceDE w:val="0"/>
        <w:autoSpaceDN w:val="0"/>
        <w:adjustRightInd w:val="0"/>
        <w:rPr>
          <w:rFonts w:ascii="Trebuchet MS" w:hAnsi="Trebuchet MS"/>
          <w:b/>
          <w:bCs/>
          <w:u w:val="single"/>
        </w:rPr>
      </w:pPr>
      <w:r w:rsidRPr="006156AD">
        <w:rPr>
          <w:rFonts w:ascii="Trebuchet MS" w:hAnsi="Trebuchet MS"/>
        </w:rPr>
        <w:t>It is important to note that the liquidity metrics presented above do not include the Company’s available revolver capacity. Blue Cloud has access to a $50.0 million revolving line of credit, which provides an additional source of liquidity and financial flexibility. As of April 2026, approximately $1.5 million was drawn under the facility, leaving significant remaining availability to support the Company’s liquidity position.</w:t>
      </w:r>
    </w:p>
    <w:p w14:paraId="1624B808" w14:textId="77777777" w:rsidR="00995F16" w:rsidRPr="006156AD" w:rsidRDefault="00995F16" w:rsidP="009E7927">
      <w:pPr>
        <w:tabs>
          <w:tab w:val="num" w:pos="1260"/>
        </w:tabs>
        <w:jc w:val="both"/>
        <w:rPr>
          <w:rFonts w:ascii="Trebuchet MS" w:hAnsi="Trebuchet MS"/>
          <w:b/>
          <w:bCs/>
          <w:u w:val="single"/>
        </w:rPr>
      </w:pPr>
    </w:p>
    <w:p w14:paraId="48449762" w14:textId="77777777" w:rsidR="00D77D63" w:rsidRPr="006156AD" w:rsidRDefault="00D77D63" w:rsidP="00B616AF">
      <w:pPr>
        <w:pStyle w:val="ListParagraph"/>
        <w:autoSpaceDE w:val="0"/>
        <w:autoSpaceDN w:val="0"/>
        <w:adjustRightInd w:val="0"/>
        <w:ind w:left="630"/>
        <w:rPr>
          <w:rFonts w:ascii="Trebuchet MS" w:hAnsi="Trebuchet MS"/>
        </w:rPr>
      </w:pPr>
    </w:p>
    <w:p w14:paraId="6C96A629" w14:textId="4F5F23E0" w:rsidR="00631D72" w:rsidRPr="006156AD" w:rsidRDefault="00B26FD1">
      <w:pPr>
        <w:tabs>
          <w:tab w:val="num" w:pos="1260"/>
        </w:tabs>
        <w:spacing w:line="480" w:lineRule="auto"/>
        <w:jc w:val="both"/>
        <w:rPr>
          <w:rFonts w:ascii="Trebuchet MS" w:hAnsi="Trebuchet MS"/>
        </w:rPr>
      </w:pPr>
      <w:r w:rsidRPr="006156AD">
        <w:rPr>
          <w:rFonts w:ascii="Trebuchet MS" w:hAnsi="Trebuchet MS"/>
        </w:rPr>
        <w:t xml:space="preserve">The Key Metrics fall into three primary categories: profitability, liquidity, and solvency. Profitability metrics are used to assist in the evaluation of </w:t>
      </w:r>
      <w:r w:rsidR="00740D77" w:rsidRPr="006156AD">
        <w:rPr>
          <w:rFonts w:ascii="Trebuchet MS" w:hAnsi="Trebuchet MS"/>
        </w:rPr>
        <w:t xml:space="preserve">Management’s </w:t>
      </w:r>
      <w:r w:rsidRPr="006156AD">
        <w:rPr>
          <w:rFonts w:ascii="Trebuchet MS" w:hAnsi="Trebuchet MS"/>
        </w:rPr>
        <w:t>performance in how efficiently resources are utilized. Liquidity metrics, including common ratios such as “days of available cash and investments on hand”, measure the quality and adequacy of assets to meet current obligations as they come due. Solvency metrics measure the company’s ability to take on and service debt obligations. Additionally, certain metrics can be applicable to multiple categories. The table below shows how each of the Key Metrics are calculated.</w:t>
      </w:r>
    </w:p>
    <w:p w14:paraId="721CEF32" w14:textId="7DA04F0F" w:rsidR="00501F79" w:rsidRPr="006156AD" w:rsidRDefault="00F47CA6" w:rsidP="00B616AF">
      <w:pPr>
        <w:tabs>
          <w:tab w:val="num" w:pos="1260"/>
        </w:tabs>
        <w:jc w:val="both"/>
        <w:rPr>
          <w:rFonts w:ascii="Trebuchet MS" w:hAnsi="Trebuchet MS"/>
          <w:b/>
          <w:bCs/>
        </w:rPr>
      </w:pPr>
      <w:bookmarkStart w:id="6" w:name="_Hlk148443002"/>
      <w:r w:rsidRPr="006156AD">
        <w:rPr>
          <w:rFonts w:ascii="Trebuchet MS" w:hAnsi="Trebuchet MS"/>
          <w:b/>
          <w:bCs/>
        </w:rPr>
        <w:lastRenderedPageBreak/>
        <w:t xml:space="preserve">Ratio Definitions for </w:t>
      </w:r>
      <w:r w:rsidR="00876C43" w:rsidRPr="006156AD">
        <w:rPr>
          <w:rFonts w:ascii="Trebuchet MS" w:hAnsi="Trebuchet MS"/>
          <w:b/>
          <w:bCs/>
        </w:rPr>
        <w:t xml:space="preserve">Key Financial Metrics and Ratios </w:t>
      </w:r>
    </w:p>
    <w:tbl>
      <w:tblPr>
        <w:tblStyle w:val="TableGrid"/>
        <w:tblW w:w="0" w:type="auto"/>
        <w:tblLook w:val="04A0" w:firstRow="1" w:lastRow="0" w:firstColumn="1" w:lastColumn="0" w:noHBand="0" w:noVBand="1"/>
        <w:tblCaption w:val="Ratio Definitions for Key Financial Metrics and Ratios"/>
      </w:tblPr>
      <w:tblGrid>
        <w:gridCol w:w="4567"/>
        <w:gridCol w:w="4567"/>
      </w:tblGrid>
      <w:tr w:rsidR="00B616AF" w:rsidRPr="006156AD" w14:paraId="5AFF8B85" w14:textId="77777777" w:rsidTr="00E067F9">
        <w:trPr>
          <w:cantSplit/>
          <w:tblHeader/>
        </w:trPr>
        <w:tc>
          <w:tcPr>
            <w:tcW w:w="4567" w:type="dxa"/>
            <w:vAlign w:val="center"/>
          </w:tcPr>
          <w:bookmarkEnd w:id="6"/>
          <w:p w14:paraId="659B331B" w14:textId="77777777" w:rsidR="00B616AF" w:rsidRPr="006156AD" w:rsidRDefault="00B616AF" w:rsidP="004C0788">
            <w:pPr>
              <w:tabs>
                <w:tab w:val="num" w:pos="1260"/>
              </w:tabs>
              <w:jc w:val="center"/>
              <w:rPr>
                <w:rFonts w:ascii="Trebuchet MS" w:hAnsi="Trebuchet MS"/>
              </w:rPr>
            </w:pPr>
            <w:r w:rsidRPr="006156AD">
              <w:rPr>
                <w:rFonts w:ascii="Trebuchet MS" w:hAnsi="Trebuchet MS"/>
              </w:rPr>
              <w:t>Ratio</w:t>
            </w:r>
          </w:p>
        </w:tc>
        <w:tc>
          <w:tcPr>
            <w:tcW w:w="4567" w:type="dxa"/>
            <w:vAlign w:val="center"/>
          </w:tcPr>
          <w:p w14:paraId="0E046E13" w14:textId="77777777" w:rsidR="00B616AF" w:rsidRPr="006156AD" w:rsidRDefault="00B616AF" w:rsidP="004C0788">
            <w:pPr>
              <w:tabs>
                <w:tab w:val="num" w:pos="1260"/>
              </w:tabs>
              <w:jc w:val="center"/>
              <w:rPr>
                <w:rFonts w:ascii="Trebuchet MS" w:hAnsi="Trebuchet MS"/>
              </w:rPr>
            </w:pPr>
            <w:r w:rsidRPr="006156AD">
              <w:rPr>
                <w:rFonts w:ascii="Trebuchet MS" w:hAnsi="Trebuchet MS"/>
              </w:rPr>
              <w:t>Definitions</w:t>
            </w:r>
          </w:p>
        </w:tc>
      </w:tr>
      <w:tr w:rsidR="00B616AF" w:rsidRPr="006156AD" w14:paraId="4F57C83B" w14:textId="77777777" w:rsidTr="00E067F9">
        <w:trPr>
          <w:cantSplit/>
        </w:trPr>
        <w:tc>
          <w:tcPr>
            <w:tcW w:w="4567" w:type="dxa"/>
            <w:vAlign w:val="center"/>
          </w:tcPr>
          <w:p w14:paraId="18984523" w14:textId="6DCD512D" w:rsidR="00B616AF" w:rsidRPr="006156AD" w:rsidRDefault="00B616AF" w:rsidP="004C0788">
            <w:pPr>
              <w:tabs>
                <w:tab w:val="num" w:pos="1260"/>
              </w:tabs>
              <w:jc w:val="both"/>
              <w:rPr>
                <w:rFonts w:ascii="Trebuchet MS" w:hAnsi="Trebuchet MS"/>
              </w:rPr>
            </w:pPr>
            <w:r w:rsidRPr="006156AD">
              <w:rPr>
                <w:rFonts w:ascii="Trebuchet MS" w:hAnsi="Trebuchet MS"/>
                <w:b/>
                <w:bCs/>
              </w:rPr>
              <w:t>Profitability</w:t>
            </w:r>
            <w:r w:rsidRPr="006156AD">
              <w:rPr>
                <w:rFonts w:ascii="Trebuchet MS" w:hAnsi="Trebuchet MS"/>
              </w:rPr>
              <w:t xml:space="preserve">: </w:t>
            </w:r>
            <w:r w:rsidR="00582DC1" w:rsidRPr="006156AD">
              <w:rPr>
                <w:rFonts w:ascii="Trebuchet MS" w:hAnsi="Trebuchet MS"/>
              </w:rPr>
              <w:t>EBITDA</w:t>
            </w:r>
            <w:r w:rsidRPr="006156AD">
              <w:rPr>
                <w:rFonts w:ascii="Trebuchet MS" w:hAnsi="Trebuchet MS"/>
              </w:rPr>
              <w:t xml:space="preserve"> Margin (%)</w:t>
            </w:r>
          </w:p>
        </w:tc>
        <w:tc>
          <w:tcPr>
            <w:tcW w:w="4567" w:type="dxa"/>
          </w:tcPr>
          <w:p w14:paraId="24A0FEB2" w14:textId="061D9E41" w:rsidR="00B616AF" w:rsidRPr="006156AD" w:rsidRDefault="00582DC1" w:rsidP="004C0788">
            <w:pPr>
              <w:tabs>
                <w:tab w:val="num" w:pos="1260"/>
              </w:tabs>
              <w:jc w:val="both"/>
              <w:rPr>
                <w:rFonts w:ascii="Trebuchet MS" w:hAnsi="Trebuchet MS"/>
              </w:rPr>
            </w:pPr>
            <w:r w:rsidRPr="006156AD">
              <w:rPr>
                <w:rFonts w:ascii="Trebuchet MS" w:hAnsi="Trebuchet MS"/>
              </w:rPr>
              <w:t>EBITDA divided</w:t>
            </w:r>
            <w:r w:rsidR="00B616AF" w:rsidRPr="006156AD">
              <w:rPr>
                <w:rFonts w:ascii="Trebuchet MS" w:hAnsi="Trebuchet MS"/>
              </w:rPr>
              <w:t xml:space="preserve"> by Total Revenue</w:t>
            </w:r>
          </w:p>
        </w:tc>
      </w:tr>
      <w:tr w:rsidR="00B616AF" w:rsidRPr="006156AD" w14:paraId="58FE2690" w14:textId="77777777" w:rsidTr="00E067F9">
        <w:trPr>
          <w:cantSplit/>
        </w:trPr>
        <w:tc>
          <w:tcPr>
            <w:tcW w:w="4567" w:type="dxa"/>
            <w:vAlign w:val="center"/>
          </w:tcPr>
          <w:p w14:paraId="75A969E7" w14:textId="7297DFF0" w:rsidR="00B616AF" w:rsidRPr="006156AD" w:rsidRDefault="00B616AF" w:rsidP="004C0788">
            <w:pPr>
              <w:tabs>
                <w:tab w:val="num" w:pos="1260"/>
              </w:tabs>
              <w:jc w:val="both"/>
              <w:rPr>
                <w:rFonts w:ascii="Trebuchet MS" w:hAnsi="Trebuchet MS"/>
              </w:rPr>
            </w:pPr>
            <w:r w:rsidRPr="006156AD">
              <w:rPr>
                <w:rFonts w:ascii="Trebuchet MS" w:hAnsi="Trebuchet MS"/>
                <w:b/>
                <w:bCs/>
              </w:rPr>
              <w:t>Profitability</w:t>
            </w:r>
            <w:r w:rsidRPr="006156AD">
              <w:rPr>
                <w:rFonts w:ascii="Trebuchet MS" w:hAnsi="Trebuchet MS"/>
              </w:rPr>
              <w:t xml:space="preserve">: </w:t>
            </w:r>
            <w:r w:rsidR="00582DC1" w:rsidRPr="006156AD">
              <w:rPr>
                <w:rFonts w:ascii="Trebuchet MS" w:hAnsi="Trebuchet MS"/>
              </w:rPr>
              <w:t>Net Income</w:t>
            </w:r>
            <w:r w:rsidRPr="006156AD">
              <w:rPr>
                <w:rFonts w:ascii="Trebuchet MS" w:hAnsi="Trebuchet MS"/>
              </w:rPr>
              <w:t xml:space="preserve"> (%)</w:t>
            </w:r>
          </w:p>
        </w:tc>
        <w:tc>
          <w:tcPr>
            <w:tcW w:w="4567" w:type="dxa"/>
          </w:tcPr>
          <w:p w14:paraId="7F50C763" w14:textId="6F9BDFDB" w:rsidR="00B616AF" w:rsidRPr="006156AD" w:rsidRDefault="00582DC1" w:rsidP="004C0788">
            <w:pPr>
              <w:tabs>
                <w:tab w:val="num" w:pos="1260"/>
              </w:tabs>
              <w:jc w:val="both"/>
              <w:rPr>
                <w:rFonts w:ascii="Trebuchet MS" w:hAnsi="Trebuchet MS"/>
              </w:rPr>
            </w:pPr>
            <w:r w:rsidRPr="006156AD">
              <w:rPr>
                <w:rFonts w:ascii="Trebuchet MS" w:hAnsi="Trebuchet MS"/>
              </w:rPr>
              <w:t>Net Income d</w:t>
            </w:r>
            <w:r w:rsidR="00B616AF" w:rsidRPr="006156AD">
              <w:rPr>
                <w:rFonts w:ascii="Trebuchet MS" w:hAnsi="Trebuchet MS"/>
              </w:rPr>
              <w:t>ivided by</w:t>
            </w:r>
            <w:r w:rsidRPr="006156AD">
              <w:rPr>
                <w:rFonts w:ascii="Trebuchet MS" w:hAnsi="Trebuchet MS"/>
              </w:rPr>
              <w:t xml:space="preserve"> Total </w:t>
            </w:r>
            <w:r w:rsidR="00B616AF" w:rsidRPr="006156AD">
              <w:rPr>
                <w:rFonts w:ascii="Trebuchet MS" w:hAnsi="Trebuchet MS"/>
              </w:rPr>
              <w:t xml:space="preserve">Revenue </w:t>
            </w:r>
          </w:p>
        </w:tc>
      </w:tr>
      <w:tr w:rsidR="00EA4CD1" w:rsidRPr="006156AD" w14:paraId="20EA2AD1" w14:textId="77777777" w:rsidTr="00E067F9">
        <w:trPr>
          <w:cantSplit/>
        </w:trPr>
        <w:tc>
          <w:tcPr>
            <w:tcW w:w="4567" w:type="dxa"/>
            <w:vAlign w:val="center"/>
          </w:tcPr>
          <w:p w14:paraId="525A0F99" w14:textId="178B9D83" w:rsidR="00EA4CD1" w:rsidRPr="006156AD" w:rsidRDefault="00EA4CD1" w:rsidP="00EA4CD1">
            <w:pPr>
              <w:tabs>
                <w:tab w:val="num" w:pos="1260"/>
              </w:tabs>
              <w:jc w:val="both"/>
              <w:rPr>
                <w:rFonts w:ascii="Trebuchet MS" w:hAnsi="Trebuchet MS"/>
                <w:b/>
                <w:bCs/>
              </w:rPr>
            </w:pPr>
            <w:r w:rsidRPr="006156AD">
              <w:rPr>
                <w:rFonts w:ascii="Trebuchet MS" w:hAnsi="Trebuchet MS"/>
                <w:b/>
                <w:bCs/>
              </w:rPr>
              <w:t>Liquidity</w:t>
            </w:r>
            <w:r w:rsidRPr="006156AD">
              <w:rPr>
                <w:rFonts w:ascii="Trebuchet MS" w:hAnsi="Trebuchet MS"/>
              </w:rPr>
              <w:t xml:space="preserve">: </w:t>
            </w:r>
            <w:r w:rsidR="00491799" w:rsidRPr="006156AD">
              <w:rPr>
                <w:rFonts w:ascii="Trebuchet MS" w:hAnsi="Trebuchet MS"/>
              </w:rPr>
              <w:t xml:space="preserve">Days Available Liquidity on </w:t>
            </w:r>
            <w:proofErr w:type="gramStart"/>
            <w:r w:rsidR="00491799" w:rsidRPr="006156AD">
              <w:rPr>
                <w:rFonts w:ascii="Trebuchet MS" w:hAnsi="Trebuchet MS"/>
              </w:rPr>
              <w:t>Hand</w:t>
            </w:r>
            <w:r w:rsidRPr="006156AD">
              <w:rPr>
                <w:rFonts w:ascii="Trebuchet MS" w:hAnsi="Trebuchet MS"/>
              </w:rPr>
              <w:t xml:space="preserve"> (#</w:t>
            </w:r>
            <w:proofErr w:type="gramEnd"/>
            <w:r w:rsidRPr="006156AD">
              <w:rPr>
                <w:rFonts w:ascii="Trebuchet MS" w:hAnsi="Trebuchet MS"/>
              </w:rPr>
              <w:t>)</w:t>
            </w:r>
          </w:p>
        </w:tc>
        <w:tc>
          <w:tcPr>
            <w:tcW w:w="4567" w:type="dxa"/>
          </w:tcPr>
          <w:p w14:paraId="641551A6" w14:textId="03E35C6F" w:rsidR="00EA4CD1" w:rsidRPr="006156AD" w:rsidRDefault="00EA4CD1" w:rsidP="00EA4CD1">
            <w:pPr>
              <w:tabs>
                <w:tab w:val="num" w:pos="1260"/>
              </w:tabs>
              <w:jc w:val="both"/>
              <w:rPr>
                <w:rFonts w:ascii="Trebuchet MS" w:hAnsi="Trebuchet MS"/>
              </w:rPr>
            </w:pPr>
            <w:r w:rsidRPr="006156AD">
              <w:rPr>
                <w:rFonts w:ascii="Trebuchet MS" w:hAnsi="Trebuchet MS"/>
              </w:rPr>
              <w:t xml:space="preserve">Cash and Cash Equivalents divided by (Total </w:t>
            </w:r>
            <w:r w:rsidR="00F41377" w:rsidRPr="006156AD">
              <w:rPr>
                <w:rFonts w:ascii="Trebuchet MS" w:hAnsi="Trebuchet MS"/>
              </w:rPr>
              <w:t>Costs</w:t>
            </w:r>
            <w:r w:rsidRPr="006156AD">
              <w:rPr>
                <w:rFonts w:ascii="Trebuchet MS" w:hAnsi="Trebuchet MS"/>
              </w:rPr>
              <w:t>/365)</w:t>
            </w:r>
          </w:p>
        </w:tc>
      </w:tr>
      <w:tr w:rsidR="00EA4CD1" w:rsidRPr="006156AD" w14:paraId="67ED6970" w14:textId="77777777" w:rsidTr="00E067F9">
        <w:trPr>
          <w:cantSplit/>
        </w:trPr>
        <w:tc>
          <w:tcPr>
            <w:tcW w:w="4567" w:type="dxa"/>
            <w:vAlign w:val="center"/>
          </w:tcPr>
          <w:p w14:paraId="40DE5FF9" w14:textId="445DADB8" w:rsidR="00EA4CD1" w:rsidRPr="006156AD" w:rsidRDefault="00F41377" w:rsidP="00EA4CD1">
            <w:pPr>
              <w:tabs>
                <w:tab w:val="num" w:pos="1260"/>
              </w:tabs>
              <w:jc w:val="both"/>
              <w:rPr>
                <w:rFonts w:ascii="Trebuchet MS" w:hAnsi="Trebuchet MS"/>
                <w:b/>
                <w:bCs/>
              </w:rPr>
            </w:pPr>
            <w:r w:rsidRPr="006156AD">
              <w:rPr>
                <w:rFonts w:ascii="Trebuchet MS" w:hAnsi="Trebuchet MS"/>
                <w:b/>
                <w:bCs/>
              </w:rPr>
              <w:t>Liquidity</w:t>
            </w:r>
            <w:r w:rsidR="00EA4CD1" w:rsidRPr="006156AD">
              <w:rPr>
                <w:rFonts w:ascii="Trebuchet MS" w:hAnsi="Trebuchet MS"/>
                <w:b/>
                <w:bCs/>
              </w:rPr>
              <w:t xml:space="preserve">: </w:t>
            </w:r>
            <w:r w:rsidR="00EA4CD1" w:rsidRPr="006156AD">
              <w:rPr>
                <w:rFonts w:ascii="Trebuchet MS" w:hAnsi="Trebuchet MS"/>
              </w:rPr>
              <w:t>Current Ratio (x)</w:t>
            </w:r>
          </w:p>
        </w:tc>
        <w:tc>
          <w:tcPr>
            <w:tcW w:w="4567" w:type="dxa"/>
          </w:tcPr>
          <w:p w14:paraId="2E149D90" w14:textId="36016EDB" w:rsidR="00EA4CD1" w:rsidRPr="006156AD" w:rsidRDefault="00EA4CD1" w:rsidP="00EA4CD1">
            <w:pPr>
              <w:tabs>
                <w:tab w:val="num" w:pos="1260"/>
              </w:tabs>
              <w:jc w:val="both"/>
              <w:rPr>
                <w:rFonts w:ascii="Trebuchet MS" w:hAnsi="Trebuchet MS"/>
              </w:rPr>
            </w:pPr>
            <w:r w:rsidRPr="006156AD">
              <w:rPr>
                <w:rFonts w:ascii="Trebuchet MS" w:hAnsi="Trebuchet MS"/>
              </w:rPr>
              <w:t xml:space="preserve">Current Assets Divided by Current Liabilities </w:t>
            </w:r>
          </w:p>
        </w:tc>
      </w:tr>
      <w:tr w:rsidR="00EA4CD1" w:rsidRPr="006156AD" w14:paraId="03DA0DCA" w14:textId="77777777" w:rsidTr="00E067F9">
        <w:trPr>
          <w:cantSplit/>
        </w:trPr>
        <w:tc>
          <w:tcPr>
            <w:tcW w:w="4567" w:type="dxa"/>
            <w:vAlign w:val="center"/>
          </w:tcPr>
          <w:p w14:paraId="3C614558" w14:textId="52E4AF2C" w:rsidR="00EA4CD1" w:rsidRPr="006156AD" w:rsidRDefault="00EA4CD1" w:rsidP="00EA4CD1">
            <w:pPr>
              <w:tabs>
                <w:tab w:val="num" w:pos="1260"/>
              </w:tabs>
              <w:jc w:val="both"/>
              <w:rPr>
                <w:rFonts w:ascii="Trebuchet MS" w:hAnsi="Trebuchet MS"/>
                <w:b/>
                <w:bCs/>
              </w:rPr>
            </w:pPr>
            <w:r w:rsidRPr="006156AD">
              <w:rPr>
                <w:rFonts w:ascii="Trebuchet MS" w:hAnsi="Trebuchet MS"/>
                <w:b/>
                <w:bCs/>
              </w:rPr>
              <w:t xml:space="preserve">Solvency: </w:t>
            </w:r>
            <w:r w:rsidRPr="006156AD">
              <w:rPr>
                <w:rFonts w:ascii="Trebuchet MS" w:hAnsi="Trebuchet MS"/>
              </w:rPr>
              <w:t>Total Debt to Total Capitalization (%)</w:t>
            </w:r>
          </w:p>
        </w:tc>
        <w:tc>
          <w:tcPr>
            <w:tcW w:w="4567" w:type="dxa"/>
          </w:tcPr>
          <w:p w14:paraId="7AAE17F5" w14:textId="258C3F84" w:rsidR="00EA4CD1" w:rsidRPr="006156AD" w:rsidRDefault="00EA4CD1" w:rsidP="00EA4CD1">
            <w:pPr>
              <w:tabs>
                <w:tab w:val="num" w:pos="1260"/>
              </w:tabs>
              <w:jc w:val="both"/>
              <w:rPr>
                <w:rFonts w:ascii="Trebuchet MS" w:hAnsi="Trebuchet MS"/>
              </w:rPr>
            </w:pPr>
            <w:r w:rsidRPr="006156AD">
              <w:rPr>
                <w:rFonts w:ascii="Trebuchet MS" w:hAnsi="Trebuchet MS"/>
              </w:rPr>
              <w:t>(</w:t>
            </w:r>
            <w:r w:rsidR="00F41377" w:rsidRPr="006156AD">
              <w:rPr>
                <w:rFonts w:ascii="Trebuchet MS" w:hAnsi="Trebuchet MS"/>
              </w:rPr>
              <w:t xml:space="preserve">Short-Term and Long-Term </w:t>
            </w:r>
            <w:r w:rsidRPr="006156AD">
              <w:rPr>
                <w:rFonts w:ascii="Trebuchet MS" w:hAnsi="Trebuchet MS"/>
              </w:rPr>
              <w:t xml:space="preserve">Finance </w:t>
            </w:r>
            <w:r w:rsidR="00F41377" w:rsidRPr="006156AD">
              <w:rPr>
                <w:rFonts w:ascii="Trebuchet MS" w:hAnsi="Trebuchet MS"/>
              </w:rPr>
              <w:t>Lease</w:t>
            </w:r>
            <w:r w:rsidRPr="006156AD">
              <w:rPr>
                <w:rFonts w:ascii="Trebuchet MS" w:hAnsi="Trebuchet MS"/>
              </w:rPr>
              <w:t xml:space="preserve"> + </w:t>
            </w:r>
            <w:r w:rsidR="00F41377" w:rsidRPr="006156AD">
              <w:rPr>
                <w:rFonts w:ascii="Trebuchet MS" w:hAnsi="Trebuchet MS"/>
              </w:rPr>
              <w:t xml:space="preserve">Short-Term and Long-Term Debt, including </w:t>
            </w:r>
            <w:r w:rsidRPr="006156AD">
              <w:rPr>
                <w:rFonts w:ascii="Trebuchet MS" w:hAnsi="Trebuchet MS"/>
              </w:rPr>
              <w:t xml:space="preserve">Revolver)/ </w:t>
            </w:r>
            <w:r w:rsidR="00491799" w:rsidRPr="006156AD">
              <w:rPr>
                <w:rFonts w:ascii="Trebuchet MS" w:hAnsi="Trebuchet MS"/>
              </w:rPr>
              <w:t xml:space="preserve">(Short-Term and Long-Term Finance Lease + Short-Term and Long-Term Debt, including Revolver + </w:t>
            </w:r>
            <w:r w:rsidRPr="006156AD">
              <w:rPr>
                <w:rFonts w:ascii="Trebuchet MS" w:hAnsi="Trebuchet MS"/>
              </w:rPr>
              <w:t>Equity</w:t>
            </w:r>
            <w:r w:rsidR="00491799" w:rsidRPr="006156AD">
              <w:rPr>
                <w:rFonts w:ascii="Trebuchet MS" w:hAnsi="Trebuchet MS"/>
              </w:rPr>
              <w:t>)</w:t>
            </w:r>
          </w:p>
        </w:tc>
      </w:tr>
      <w:tr w:rsidR="00EA4CD1" w:rsidRPr="006156AD" w14:paraId="533B71EE" w14:textId="77777777" w:rsidTr="00E067F9">
        <w:trPr>
          <w:cantSplit/>
        </w:trPr>
        <w:tc>
          <w:tcPr>
            <w:tcW w:w="4567" w:type="dxa"/>
            <w:vAlign w:val="center"/>
          </w:tcPr>
          <w:p w14:paraId="291A370F" w14:textId="3A8DEC67" w:rsidR="00EA4CD1" w:rsidRPr="006156AD" w:rsidRDefault="00F41377" w:rsidP="00EA4CD1">
            <w:pPr>
              <w:tabs>
                <w:tab w:val="num" w:pos="1260"/>
              </w:tabs>
              <w:jc w:val="both"/>
              <w:rPr>
                <w:rFonts w:ascii="Trebuchet MS" w:hAnsi="Trebuchet MS"/>
              </w:rPr>
            </w:pPr>
            <w:r w:rsidRPr="006156AD">
              <w:rPr>
                <w:rFonts w:ascii="Trebuchet MS" w:hAnsi="Trebuchet MS"/>
                <w:b/>
                <w:bCs/>
              </w:rPr>
              <w:t>Solvency</w:t>
            </w:r>
            <w:r w:rsidR="00EA4CD1" w:rsidRPr="006156AD">
              <w:rPr>
                <w:rFonts w:ascii="Trebuchet MS" w:hAnsi="Trebuchet MS"/>
              </w:rPr>
              <w:t xml:space="preserve">: Debt Service Coverage Ratio (x) </w:t>
            </w:r>
          </w:p>
        </w:tc>
        <w:tc>
          <w:tcPr>
            <w:tcW w:w="4567" w:type="dxa"/>
          </w:tcPr>
          <w:p w14:paraId="6DBEFEA2" w14:textId="71B30840" w:rsidR="00EA4CD1" w:rsidRPr="006156AD" w:rsidRDefault="00EA4CD1" w:rsidP="00EA4CD1">
            <w:pPr>
              <w:tabs>
                <w:tab w:val="num" w:pos="1260"/>
              </w:tabs>
              <w:jc w:val="both"/>
              <w:rPr>
                <w:rFonts w:ascii="Trebuchet MS" w:hAnsi="Trebuchet MS"/>
              </w:rPr>
            </w:pPr>
            <w:r w:rsidRPr="006156AD">
              <w:rPr>
                <w:rFonts w:ascii="Trebuchet MS" w:hAnsi="Trebuchet MS"/>
              </w:rPr>
              <w:t>EBITDA Divided by (Principal Payment + Interest + Revolver Payments)</w:t>
            </w:r>
          </w:p>
        </w:tc>
      </w:tr>
      <w:tr w:rsidR="00EA4CD1" w:rsidRPr="006156AD" w14:paraId="41CA2872" w14:textId="77777777" w:rsidTr="00E067F9">
        <w:trPr>
          <w:cantSplit/>
        </w:trPr>
        <w:tc>
          <w:tcPr>
            <w:tcW w:w="4567" w:type="dxa"/>
            <w:vAlign w:val="center"/>
          </w:tcPr>
          <w:p w14:paraId="338D1C6A" w14:textId="1739664B" w:rsidR="00EA4CD1" w:rsidRPr="006156AD" w:rsidRDefault="008D5EEA" w:rsidP="00EA4CD1">
            <w:pPr>
              <w:tabs>
                <w:tab w:val="num" w:pos="1260"/>
              </w:tabs>
              <w:jc w:val="both"/>
              <w:rPr>
                <w:rFonts w:ascii="Trebuchet MS" w:hAnsi="Trebuchet MS"/>
              </w:rPr>
            </w:pPr>
            <w:r w:rsidRPr="006156AD">
              <w:rPr>
                <w:rFonts w:ascii="Trebuchet MS" w:hAnsi="Trebuchet MS"/>
                <w:b/>
                <w:bCs/>
              </w:rPr>
              <w:t xml:space="preserve">Solvency: </w:t>
            </w:r>
            <w:r w:rsidRPr="006156AD">
              <w:rPr>
                <w:rFonts w:ascii="Trebuchet MS" w:hAnsi="Trebuchet MS"/>
              </w:rPr>
              <w:t>Debt Service/Revenue (%)</w:t>
            </w:r>
          </w:p>
        </w:tc>
        <w:tc>
          <w:tcPr>
            <w:tcW w:w="4567" w:type="dxa"/>
          </w:tcPr>
          <w:p w14:paraId="4787DA2F" w14:textId="79247F94" w:rsidR="00EA4CD1" w:rsidRPr="006156AD" w:rsidRDefault="008D5EEA" w:rsidP="00EA4CD1">
            <w:pPr>
              <w:tabs>
                <w:tab w:val="num" w:pos="1260"/>
              </w:tabs>
              <w:jc w:val="both"/>
              <w:rPr>
                <w:rFonts w:ascii="Trebuchet MS" w:hAnsi="Trebuchet MS"/>
              </w:rPr>
            </w:pPr>
            <w:r w:rsidRPr="006156AD">
              <w:rPr>
                <w:rFonts w:ascii="Trebuchet MS" w:hAnsi="Trebuchet MS"/>
              </w:rPr>
              <w:t>(Principal Payments + Interest + Revolver payments)/Total Revenue</w:t>
            </w:r>
          </w:p>
        </w:tc>
      </w:tr>
    </w:tbl>
    <w:p w14:paraId="27A8D8F6" w14:textId="77777777" w:rsidR="00491799" w:rsidRPr="006156AD" w:rsidRDefault="00491799" w:rsidP="00597417">
      <w:pPr>
        <w:pStyle w:val="ListParagraph"/>
        <w:spacing w:line="480" w:lineRule="auto"/>
        <w:ind w:left="360"/>
        <w:jc w:val="both"/>
        <w:rPr>
          <w:rFonts w:ascii="Trebuchet MS" w:hAnsi="Trebuchet MS"/>
          <w:b/>
        </w:rPr>
      </w:pPr>
    </w:p>
    <w:p w14:paraId="7D1D23C1" w14:textId="66215438" w:rsidR="009A2BEA" w:rsidRPr="006156AD" w:rsidRDefault="00D3103D" w:rsidP="003210F9">
      <w:pPr>
        <w:pStyle w:val="Heading3"/>
        <w:rPr>
          <w:sz w:val="24"/>
          <w:szCs w:val="24"/>
        </w:rPr>
      </w:pPr>
      <w:r w:rsidRPr="006156AD">
        <w:rPr>
          <w:sz w:val="24"/>
          <w:szCs w:val="24"/>
        </w:rPr>
        <w:t>Revenue</w:t>
      </w:r>
    </w:p>
    <w:p w14:paraId="61F192AE" w14:textId="77777777" w:rsidR="009A2BEA" w:rsidRPr="006156AD" w:rsidRDefault="009A2BEA" w:rsidP="00A22182">
      <w:pPr>
        <w:tabs>
          <w:tab w:val="num" w:pos="1260"/>
        </w:tabs>
        <w:jc w:val="both"/>
        <w:rPr>
          <w:rFonts w:ascii="Trebuchet MS" w:hAnsi="Trebuchet MS"/>
        </w:rPr>
      </w:pPr>
    </w:p>
    <w:p w14:paraId="5A762819" w14:textId="07FCD3FC" w:rsidR="00F3710B" w:rsidRPr="006156AD" w:rsidRDefault="00B26FD1" w:rsidP="00B97440">
      <w:pPr>
        <w:tabs>
          <w:tab w:val="num" w:pos="1260"/>
        </w:tabs>
        <w:spacing w:line="480" w:lineRule="auto"/>
        <w:jc w:val="both"/>
        <w:rPr>
          <w:rFonts w:ascii="Trebuchet MS" w:hAnsi="Trebuchet MS"/>
        </w:rPr>
      </w:pPr>
      <w:r w:rsidRPr="006156AD">
        <w:rPr>
          <w:rFonts w:ascii="Trebuchet MS" w:hAnsi="Trebuchet MS"/>
        </w:rPr>
        <w:t xml:space="preserve">We analyzed the revenue forecast within the Projections. Revenue </w:t>
      </w:r>
      <w:r w:rsidR="00AD6758" w:rsidRPr="006156AD">
        <w:rPr>
          <w:rFonts w:ascii="Trebuchet MS" w:hAnsi="Trebuchet MS"/>
        </w:rPr>
        <w:t>streams include</w:t>
      </w:r>
      <w:r w:rsidR="00F76189" w:rsidRPr="006156AD">
        <w:rPr>
          <w:rFonts w:ascii="Trebuchet MS" w:hAnsi="Trebuchet MS"/>
        </w:rPr>
        <w:t xml:space="preserve"> </w:t>
      </w:r>
      <w:r w:rsidR="00F1063E" w:rsidRPr="006156AD">
        <w:rPr>
          <w:rFonts w:ascii="Trebuchet MS" w:hAnsi="Trebuchet MS"/>
        </w:rPr>
        <w:t>Professional Revenue</w:t>
      </w:r>
      <w:r w:rsidR="00C30120" w:rsidRPr="006156AD">
        <w:rPr>
          <w:rStyle w:val="FootnoteReference"/>
          <w:rFonts w:ascii="Trebuchet MS" w:hAnsi="Trebuchet MS"/>
        </w:rPr>
        <w:footnoteReference w:id="1"/>
      </w:r>
      <w:r w:rsidR="00F1063E" w:rsidRPr="006156AD">
        <w:rPr>
          <w:rFonts w:ascii="Trebuchet MS" w:hAnsi="Trebuchet MS"/>
        </w:rPr>
        <w:t>, Facility Revenue, Anesthesia Revenue</w:t>
      </w:r>
      <w:r w:rsidR="00995F16" w:rsidRPr="006156AD">
        <w:rPr>
          <w:rFonts w:ascii="Trebuchet MS" w:hAnsi="Trebuchet MS"/>
        </w:rPr>
        <w:t>, and other miscellaneous revenue streams</w:t>
      </w:r>
      <w:r w:rsidRPr="006156AD">
        <w:rPr>
          <w:rFonts w:ascii="Trebuchet MS" w:hAnsi="Trebuchet MS"/>
        </w:rPr>
        <w:t xml:space="preserve">. Approximately </w:t>
      </w:r>
      <w:r w:rsidR="00EB4278" w:rsidRPr="006156AD">
        <w:rPr>
          <w:rFonts w:ascii="Trebuchet MS" w:hAnsi="Trebuchet MS"/>
        </w:rPr>
        <w:t>35</w:t>
      </w:r>
      <w:r w:rsidRPr="006156AD">
        <w:rPr>
          <w:rFonts w:ascii="Trebuchet MS" w:hAnsi="Trebuchet MS"/>
        </w:rPr>
        <w:t>.</w:t>
      </w:r>
      <w:r w:rsidR="00EE31BC" w:rsidRPr="006156AD">
        <w:rPr>
          <w:rFonts w:ascii="Trebuchet MS" w:hAnsi="Trebuchet MS"/>
        </w:rPr>
        <w:t>6</w:t>
      </w:r>
      <w:r w:rsidRPr="006156AD">
        <w:rPr>
          <w:rFonts w:ascii="Trebuchet MS" w:hAnsi="Trebuchet MS"/>
        </w:rPr>
        <w:t xml:space="preserve"> percent of </w:t>
      </w:r>
      <w:r w:rsidR="007065FA" w:rsidRPr="006156AD">
        <w:rPr>
          <w:rFonts w:ascii="Trebuchet MS" w:hAnsi="Trebuchet MS"/>
        </w:rPr>
        <w:t xml:space="preserve">projected </w:t>
      </w:r>
      <w:r w:rsidRPr="006156AD">
        <w:rPr>
          <w:rFonts w:ascii="Trebuchet MS" w:hAnsi="Trebuchet MS"/>
        </w:rPr>
        <w:t>revenue</w:t>
      </w:r>
      <w:r w:rsidR="00995F16" w:rsidRPr="006156AD">
        <w:rPr>
          <w:rFonts w:ascii="Trebuchet MS" w:hAnsi="Trebuchet MS"/>
        </w:rPr>
        <w:t>,</w:t>
      </w:r>
      <w:r w:rsidR="007A2507" w:rsidRPr="006156AD">
        <w:rPr>
          <w:rFonts w:ascii="Trebuchet MS" w:hAnsi="Trebuchet MS"/>
        </w:rPr>
        <w:t xml:space="preserve"> on average</w:t>
      </w:r>
      <w:r w:rsidR="00995F16" w:rsidRPr="006156AD">
        <w:rPr>
          <w:rFonts w:ascii="Trebuchet MS" w:hAnsi="Trebuchet MS"/>
        </w:rPr>
        <w:t>,</w:t>
      </w:r>
      <w:r w:rsidRPr="006156AD">
        <w:rPr>
          <w:rFonts w:ascii="Trebuchet MS" w:hAnsi="Trebuchet MS"/>
        </w:rPr>
        <w:t xml:space="preserve"> is derived from</w:t>
      </w:r>
      <w:r w:rsidR="00F1063E" w:rsidRPr="006156AD">
        <w:rPr>
          <w:rFonts w:ascii="Trebuchet MS" w:hAnsi="Trebuchet MS"/>
        </w:rPr>
        <w:t xml:space="preserve"> Professional Revenue</w:t>
      </w:r>
      <w:r w:rsidR="00EB4278" w:rsidRPr="006156AD">
        <w:rPr>
          <w:rFonts w:ascii="Trebuchet MS" w:hAnsi="Trebuchet MS"/>
        </w:rPr>
        <w:t>,</w:t>
      </w:r>
      <w:r w:rsidR="00F1063E" w:rsidRPr="006156AD">
        <w:rPr>
          <w:rFonts w:ascii="Trebuchet MS" w:hAnsi="Trebuchet MS"/>
        </w:rPr>
        <w:t xml:space="preserve"> </w:t>
      </w:r>
      <w:r w:rsidR="00EB4278" w:rsidRPr="006156AD">
        <w:rPr>
          <w:rFonts w:ascii="Trebuchet MS" w:hAnsi="Trebuchet MS"/>
        </w:rPr>
        <w:t>54</w:t>
      </w:r>
      <w:r w:rsidR="00F1063E" w:rsidRPr="006156AD">
        <w:rPr>
          <w:rFonts w:ascii="Trebuchet MS" w:hAnsi="Trebuchet MS"/>
        </w:rPr>
        <w:t>.</w:t>
      </w:r>
      <w:r w:rsidR="00EE31BC" w:rsidRPr="006156AD">
        <w:rPr>
          <w:rFonts w:ascii="Trebuchet MS" w:hAnsi="Trebuchet MS"/>
        </w:rPr>
        <w:t>5</w:t>
      </w:r>
      <w:r w:rsidR="00F1063E" w:rsidRPr="006156AD">
        <w:rPr>
          <w:rFonts w:ascii="Trebuchet MS" w:hAnsi="Trebuchet MS"/>
        </w:rPr>
        <w:t xml:space="preserve"> percent of </w:t>
      </w:r>
      <w:r w:rsidR="007065FA" w:rsidRPr="006156AD">
        <w:rPr>
          <w:rFonts w:ascii="Trebuchet MS" w:hAnsi="Trebuchet MS"/>
        </w:rPr>
        <w:t xml:space="preserve">projected </w:t>
      </w:r>
      <w:r w:rsidR="00F1063E" w:rsidRPr="006156AD">
        <w:rPr>
          <w:rFonts w:ascii="Trebuchet MS" w:hAnsi="Trebuchet MS"/>
        </w:rPr>
        <w:t>revenue</w:t>
      </w:r>
      <w:r w:rsidR="00995F16" w:rsidRPr="006156AD">
        <w:rPr>
          <w:rFonts w:ascii="Trebuchet MS" w:hAnsi="Trebuchet MS"/>
        </w:rPr>
        <w:t xml:space="preserve">, </w:t>
      </w:r>
      <w:r w:rsidR="00F1063E" w:rsidRPr="006156AD">
        <w:rPr>
          <w:rFonts w:ascii="Trebuchet MS" w:hAnsi="Trebuchet MS"/>
        </w:rPr>
        <w:t>on average</w:t>
      </w:r>
      <w:r w:rsidR="00995F16" w:rsidRPr="006156AD">
        <w:rPr>
          <w:rFonts w:ascii="Trebuchet MS" w:hAnsi="Trebuchet MS"/>
        </w:rPr>
        <w:t>,</w:t>
      </w:r>
      <w:r w:rsidR="00F1063E" w:rsidRPr="006156AD">
        <w:rPr>
          <w:rFonts w:ascii="Trebuchet MS" w:hAnsi="Trebuchet MS"/>
        </w:rPr>
        <w:t xml:space="preserve"> is derived from Facility Revenue</w:t>
      </w:r>
      <w:r w:rsidR="00EB4278" w:rsidRPr="006156AD">
        <w:rPr>
          <w:rFonts w:ascii="Trebuchet MS" w:hAnsi="Trebuchet MS"/>
        </w:rPr>
        <w:t xml:space="preserve">, and 8.7 percent of </w:t>
      </w:r>
      <w:r w:rsidR="007065FA" w:rsidRPr="006156AD">
        <w:rPr>
          <w:rFonts w:ascii="Trebuchet MS" w:hAnsi="Trebuchet MS"/>
        </w:rPr>
        <w:t xml:space="preserve">projected </w:t>
      </w:r>
      <w:r w:rsidR="00EB4278" w:rsidRPr="006156AD">
        <w:rPr>
          <w:rFonts w:ascii="Trebuchet MS" w:hAnsi="Trebuchet MS"/>
        </w:rPr>
        <w:t>revenue, on average, is derived from Anesthesia Revenue</w:t>
      </w:r>
      <w:r w:rsidRPr="006156AD">
        <w:rPr>
          <w:rFonts w:ascii="Trebuchet MS" w:hAnsi="Trebuchet MS"/>
        </w:rPr>
        <w:t xml:space="preserve">. </w:t>
      </w:r>
      <w:r w:rsidR="00F1063E" w:rsidRPr="006156AD">
        <w:rPr>
          <w:rFonts w:ascii="Trebuchet MS" w:hAnsi="Trebuchet MS"/>
        </w:rPr>
        <w:t>Professional Revenue</w:t>
      </w:r>
      <w:r w:rsidRPr="006156AD">
        <w:rPr>
          <w:rFonts w:ascii="Trebuchet MS" w:hAnsi="Trebuchet MS"/>
        </w:rPr>
        <w:t xml:space="preserve"> is projected to grow between </w:t>
      </w:r>
      <w:r w:rsidR="00EE31BC" w:rsidRPr="006156AD">
        <w:rPr>
          <w:rFonts w:ascii="Trebuchet MS" w:hAnsi="Trebuchet MS"/>
        </w:rPr>
        <w:t>17.1</w:t>
      </w:r>
      <w:r w:rsidRPr="006156AD">
        <w:rPr>
          <w:rFonts w:ascii="Trebuchet MS" w:hAnsi="Trebuchet MS"/>
        </w:rPr>
        <w:t xml:space="preserve"> percent</w:t>
      </w:r>
      <w:r w:rsidR="007A2507" w:rsidRPr="006156AD">
        <w:rPr>
          <w:rFonts w:ascii="Trebuchet MS" w:hAnsi="Trebuchet MS"/>
        </w:rPr>
        <w:t xml:space="preserve"> and </w:t>
      </w:r>
      <w:r w:rsidR="00F1063E" w:rsidRPr="006156AD">
        <w:rPr>
          <w:rFonts w:ascii="Trebuchet MS" w:hAnsi="Trebuchet MS"/>
        </w:rPr>
        <w:t>30</w:t>
      </w:r>
      <w:r w:rsidR="007A2507" w:rsidRPr="006156AD">
        <w:rPr>
          <w:rFonts w:ascii="Trebuchet MS" w:hAnsi="Trebuchet MS"/>
        </w:rPr>
        <w:t>.</w:t>
      </w:r>
      <w:r w:rsidR="00F1063E" w:rsidRPr="006156AD">
        <w:rPr>
          <w:rFonts w:ascii="Trebuchet MS" w:hAnsi="Trebuchet MS"/>
        </w:rPr>
        <w:t>4</w:t>
      </w:r>
      <w:r w:rsidR="007A2507" w:rsidRPr="006156AD">
        <w:rPr>
          <w:rFonts w:ascii="Trebuchet MS" w:hAnsi="Trebuchet MS"/>
        </w:rPr>
        <w:t xml:space="preserve"> percent</w:t>
      </w:r>
      <w:r w:rsidRPr="006156AD">
        <w:rPr>
          <w:rFonts w:ascii="Trebuchet MS" w:hAnsi="Trebuchet MS"/>
        </w:rPr>
        <w:t xml:space="preserve"> annually</w:t>
      </w:r>
      <w:r w:rsidR="00017205" w:rsidRPr="006156AD">
        <w:rPr>
          <w:rFonts w:ascii="Trebuchet MS" w:hAnsi="Trebuchet MS"/>
        </w:rPr>
        <w:t xml:space="preserve"> from FY 202</w:t>
      </w:r>
      <w:r w:rsidR="00F1063E" w:rsidRPr="006156AD">
        <w:rPr>
          <w:rFonts w:ascii="Trebuchet MS" w:hAnsi="Trebuchet MS"/>
        </w:rPr>
        <w:t>6</w:t>
      </w:r>
      <w:r w:rsidR="00017205" w:rsidRPr="006156AD">
        <w:rPr>
          <w:rFonts w:ascii="Trebuchet MS" w:hAnsi="Trebuchet MS"/>
        </w:rPr>
        <w:t xml:space="preserve"> to FY 20</w:t>
      </w:r>
      <w:r w:rsidR="00F1063E" w:rsidRPr="006156AD">
        <w:rPr>
          <w:rFonts w:ascii="Trebuchet MS" w:hAnsi="Trebuchet MS"/>
        </w:rPr>
        <w:t>3</w:t>
      </w:r>
      <w:r w:rsidR="00EE31BC" w:rsidRPr="006156AD">
        <w:rPr>
          <w:rFonts w:ascii="Trebuchet MS" w:hAnsi="Trebuchet MS"/>
        </w:rPr>
        <w:t>1</w:t>
      </w:r>
      <w:r w:rsidRPr="006156AD">
        <w:rPr>
          <w:rFonts w:ascii="Trebuchet MS" w:hAnsi="Trebuchet MS"/>
        </w:rPr>
        <w:t xml:space="preserve"> </w:t>
      </w:r>
      <w:r w:rsidRPr="006156AD">
        <w:rPr>
          <w:rFonts w:ascii="Trebuchet MS" w:hAnsi="Trebuchet MS"/>
        </w:rPr>
        <w:lastRenderedPageBreak/>
        <w:t>over the projection period</w:t>
      </w:r>
      <w:r w:rsidR="00B467DD" w:rsidRPr="006156AD">
        <w:rPr>
          <w:rFonts w:ascii="Trebuchet MS" w:hAnsi="Trebuchet MS"/>
        </w:rPr>
        <w:t>.</w:t>
      </w:r>
      <w:r w:rsidR="00F84503" w:rsidRPr="006156AD">
        <w:rPr>
          <w:rFonts w:ascii="Trebuchet MS" w:hAnsi="Trebuchet MS"/>
        </w:rPr>
        <w:t xml:space="preserve"> </w:t>
      </w:r>
      <w:r w:rsidR="00F1063E" w:rsidRPr="006156AD">
        <w:rPr>
          <w:rFonts w:ascii="Trebuchet MS" w:hAnsi="Trebuchet MS"/>
        </w:rPr>
        <w:t xml:space="preserve">Facility Revenue is projected to grow between </w:t>
      </w:r>
      <w:r w:rsidR="00EE31BC" w:rsidRPr="006156AD">
        <w:rPr>
          <w:rFonts w:ascii="Trebuchet MS" w:hAnsi="Trebuchet MS"/>
        </w:rPr>
        <w:t>18.3</w:t>
      </w:r>
      <w:r w:rsidR="00F1063E" w:rsidRPr="006156AD">
        <w:rPr>
          <w:rFonts w:ascii="Trebuchet MS" w:hAnsi="Trebuchet MS"/>
        </w:rPr>
        <w:t xml:space="preserve"> percent and 44.7 percent annually from FY 2026 to FY 203</w:t>
      </w:r>
      <w:r w:rsidR="00EE31BC" w:rsidRPr="006156AD">
        <w:rPr>
          <w:rFonts w:ascii="Trebuchet MS" w:hAnsi="Trebuchet MS"/>
        </w:rPr>
        <w:t>1</w:t>
      </w:r>
      <w:r w:rsidR="00F1063E" w:rsidRPr="006156AD">
        <w:rPr>
          <w:rFonts w:ascii="Trebuchet MS" w:hAnsi="Trebuchet MS"/>
        </w:rPr>
        <w:t xml:space="preserve"> over the projection period.</w:t>
      </w:r>
      <w:r w:rsidR="001F6C6B" w:rsidRPr="006156AD">
        <w:rPr>
          <w:rFonts w:ascii="Trebuchet MS" w:hAnsi="Trebuchet MS"/>
        </w:rPr>
        <w:t xml:space="preserve"> </w:t>
      </w:r>
      <w:r w:rsidR="008D5EEA" w:rsidRPr="006156AD">
        <w:rPr>
          <w:rFonts w:ascii="Trebuchet MS" w:hAnsi="Trebuchet MS"/>
        </w:rPr>
        <w:t>Anesthesia Revenue is projected to grow between 1</w:t>
      </w:r>
      <w:r w:rsidR="00EE31BC" w:rsidRPr="006156AD">
        <w:rPr>
          <w:rFonts w:ascii="Trebuchet MS" w:hAnsi="Trebuchet MS"/>
        </w:rPr>
        <w:t>7</w:t>
      </w:r>
      <w:r w:rsidR="008D5EEA" w:rsidRPr="006156AD">
        <w:rPr>
          <w:rFonts w:ascii="Trebuchet MS" w:hAnsi="Trebuchet MS"/>
        </w:rPr>
        <w:t>.</w:t>
      </w:r>
      <w:r w:rsidR="00EE31BC" w:rsidRPr="006156AD">
        <w:rPr>
          <w:rFonts w:ascii="Trebuchet MS" w:hAnsi="Trebuchet MS"/>
        </w:rPr>
        <w:t>1</w:t>
      </w:r>
      <w:r w:rsidR="008D5EEA" w:rsidRPr="006156AD">
        <w:rPr>
          <w:rFonts w:ascii="Trebuchet MS" w:hAnsi="Trebuchet MS"/>
        </w:rPr>
        <w:t xml:space="preserve"> percent and 43.7 percent annually from FY 2026 to FY 203</w:t>
      </w:r>
      <w:r w:rsidR="00EE31BC" w:rsidRPr="006156AD">
        <w:rPr>
          <w:rFonts w:ascii="Trebuchet MS" w:hAnsi="Trebuchet MS"/>
        </w:rPr>
        <w:t>1</w:t>
      </w:r>
      <w:r w:rsidR="008D5EEA" w:rsidRPr="006156AD">
        <w:rPr>
          <w:rFonts w:ascii="Trebuchet MS" w:hAnsi="Trebuchet MS"/>
        </w:rPr>
        <w:t xml:space="preserve"> over the projection period. </w:t>
      </w:r>
    </w:p>
    <w:p w14:paraId="28531A8B" w14:textId="77777777" w:rsidR="00D523DB" w:rsidRPr="006156AD" w:rsidRDefault="00D523DB" w:rsidP="00B97440">
      <w:pPr>
        <w:tabs>
          <w:tab w:val="num" w:pos="1260"/>
        </w:tabs>
        <w:spacing w:line="480" w:lineRule="auto"/>
        <w:jc w:val="both"/>
        <w:rPr>
          <w:rFonts w:ascii="Trebuchet MS" w:hAnsi="Trebuchet MS"/>
        </w:rPr>
      </w:pPr>
    </w:p>
    <w:p w14:paraId="664067DF" w14:textId="095D296A" w:rsidR="00D523DB" w:rsidRPr="006156AD" w:rsidRDefault="00E35FCE" w:rsidP="00D523DB">
      <w:pPr>
        <w:tabs>
          <w:tab w:val="num" w:pos="1260"/>
        </w:tabs>
        <w:spacing w:line="480" w:lineRule="auto"/>
        <w:jc w:val="both"/>
        <w:rPr>
          <w:rFonts w:ascii="Trebuchet MS" w:hAnsi="Trebuchet MS"/>
        </w:rPr>
      </w:pPr>
      <w:r w:rsidRPr="006156AD">
        <w:rPr>
          <w:rFonts w:ascii="Trebuchet MS" w:hAnsi="Trebuchet MS"/>
        </w:rPr>
        <w:t>Based on discussions with Blue Cloud, projected growth from fiscal 2026 through 203</w:t>
      </w:r>
      <w:r w:rsidR="00955E3F" w:rsidRPr="006156AD">
        <w:rPr>
          <w:rFonts w:ascii="Trebuchet MS" w:hAnsi="Trebuchet MS"/>
        </w:rPr>
        <w:t>1</w:t>
      </w:r>
      <w:r w:rsidRPr="006156AD">
        <w:rPr>
          <w:rFonts w:ascii="Trebuchet MS" w:hAnsi="Trebuchet MS"/>
        </w:rPr>
        <w:t xml:space="preserve"> is expected to be driven primarily by the addition of new centers through both newly developed locations and acquisitions. Beginning in fiscal 2026, </w:t>
      </w:r>
      <w:r w:rsidR="00740D77" w:rsidRPr="006156AD">
        <w:rPr>
          <w:rFonts w:ascii="Trebuchet MS" w:hAnsi="Trebuchet MS"/>
        </w:rPr>
        <w:t xml:space="preserve">Management </w:t>
      </w:r>
      <w:r w:rsidRPr="006156AD">
        <w:rPr>
          <w:rFonts w:ascii="Trebuchet MS" w:hAnsi="Trebuchet MS"/>
        </w:rPr>
        <w:t>projects approximately ten new centers annually, including roughly one to two acquisitions per year, with the remaining openings expected to come from a mix of newly developed locations and acquired sites that are renovated, expanded, and integrated into Blue Cloud’s operating platform. Management indicated that this pace is supported by the company’s existing development and operating model and that the principal constraint is organizational capacity rather than market availability. Blue Cloud represented that its current business development, real estate, construction, operations, and recruitment infrastructure can support approximately 10 to 15 center additions annually. Management also noted that the company continues to identify significant opportunities for geographic expansion, including more than 35 states in which Blue Cloud does not currently operate, as well as additional growth potential within existing markets.</w:t>
      </w:r>
      <w:r w:rsidR="00D523DB" w:rsidRPr="006156AD">
        <w:rPr>
          <w:rFonts w:ascii="Trebuchet MS" w:hAnsi="Trebuchet MS"/>
        </w:rPr>
        <w:t xml:space="preserve"> </w:t>
      </w:r>
    </w:p>
    <w:p w14:paraId="15D0E8BF" w14:textId="77777777" w:rsidR="00D523DB" w:rsidRPr="006156AD" w:rsidRDefault="00D523DB" w:rsidP="00D523DB">
      <w:pPr>
        <w:tabs>
          <w:tab w:val="num" w:pos="1260"/>
        </w:tabs>
        <w:spacing w:line="480" w:lineRule="auto"/>
        <w:jc w:val="both"/>
        <w:rPr>
          <w:rFonts w:ascii="Trebuchet MS" w:hAnsi="Trebuchet MS"/>
        </w:rPr>
      </w:pPr>
    </w:p>
    <w:p w14:paraId="0D8679BB" w14:textId="09E79F24" w:rsidR="00D523DB" w:rsidRPr="006156AD" w:rsidRDefault="00D523DB" w:rsidP="00D523DB">
      <w:pPr>
        <w:tabs>
          <w:tab w:val="num" w:pos="1260"/>
        </w:tabs>
        <w:spacing w:line="480" w:lineRule="auto"/>
        <w:jc w:val="both"/>
        <w:rPr>
          <w:rFonts w:ascii="Trebuchet MS" w:hAnsi="Trebuchet MS"/>
        </w:rPr>
      </w:pPr>
      <w:r w:rsidRPr="006156AD">
        <w:rPr>
          <w:rFonts w:ascii="Trebuchet MS" w:hAnsi="Trebuchet MS"/>
        </w:rPr>
        <w:lastRenderedPageBreak/>
        <w:t>Management indicated that 2025 and 2026 center additions are expected to contribute approximately $39 million of incremental revenue relative to 2025. In addition, the 2026 budget identifies a plan for ten new centers, of which eight are considered high-confidence openings, including three dental acquisitions with existing EBITDA, and is supported by a defined pipeline of approved projects in construction, renovation, or design phases. Management further represented that case count assumptions are based on the expected build-up of referral sources, operating room (“OR”) availability, provider availability, and workday assumptions for each center.</w:t>
      </w:r>
    </w:p>
    <w:p w14:paraId="702A5A6A" w14:textId="77777777" w:rsidR="00D523DB" w:rsidRPr="006156AD" w:rsidRDefault="00D523DB" w:rsidP="00B97440">
      <w:pPr>
        <w:tabs>
          <w:tab w:val="num" w:pos="1260"/>
        </w:tabs>
        <w:spacing w:line="480" w:lineRule="auto"/>
        <w:jc w:val="both"/>
        <w:rPr>
          <w:rFonts w:ascii="Trebuchet MS" w:hAnsi="Trebuchet MS"/>
        </w:rPr>
      </w:pPr>
    </w:p>
    <w:p w14:paraId="2E6D0783" w14:textId="0DC74257" w:rsidR="000B4F13" w:rsidRPr="006156AD" w:rsidRDefault="00E35FCE" w:rsidP="00B97440">
      <w:pPr>
        <w:tabs>
          <w:tab w:val="num" w:pos="1260"/>
        </w:tabs>
        <w:spacing w:line="480" w:lineRule="auto"/>
        <w:jc w:val="both"/>
        <w:rPr>
          <w:rFonts w:ascii="Trebuchet MS" w:hAnsi="Trebuchet MS"/>
        </w:rPr>
      </w:pPr>
      <w:r w:rsidRPr="006156AD">
        <w:rPr>
          <w:rFonts w:ascii="Trebuchet MS" w:hAnsi="Trebuchet MS"/>
        </w:rPr>
        <w:t xml:space="preserve">Blue Cloud further stated that, in support of its growth plan and to mitigate provider recruitment risk, the applicant utilizes an in-house recruiting team that begins sourcing efforts at least six months before a center is expected to open, supported by established relationships within the pediatric dental and anesthesia communities. Where local recruitment is delayed, Blue Cloud has indicated that it may temporarily deploy licensed providers from its existing network </w:t>
      </w:r>
      <w:proofErr w:type="gramStart"/>
      <w:r w:rsidRPr="006156AD">
        <w:rPr>
          <w:rFonts w:ascii="Trebuchet MS" w:hAnsi="Trebuchet MS"/>
        </w:rPr>
        <w:t>in order to</w:t>
      </w:r>
      <w:proofErr w:type="gramEnd"/>
      <w:r w:rsidRPr="006156AD">
        <w:rPr>
          <w:rFonts w:ascii="Trebuchet MS" w:hAnsi="Trebuchet MS"/>
        </w:rPr>
        <w:t xml:space="preserve"> reduce operational disruption. Management also </w:t>
      </w:r>
      <w:proofErr w:type="gramStart"/>
      <w:r w:rsidRPr="006156AD">
        <w:rPr>
          <w:rFonts w:ascii="Trebuchet MS" w:hAnsi="Trebuchet MS"/>
        </w:rPr>
        <w:t>represented</w:t>
      </w:r>
      <w:proofErr w:type="gramEnd"/>
      <w:r w:rsidRPr="006156AD">
        <w:rPr>
          <w:rFonts w:ascii="Trebuchet MS" w:hAnsi="Trebuchet MS"/>
        </w:rPr>
        <w:t xml:space="preserve"> that the projections incorporate downside scenarios reviewed at the Board level, including potential delays in provider recruitment and cost pressures. For acquired centers, Blue Cloud indicated that historical experience suggests an average period of approximately six months from </w:t>
      </w:r>
      <w:r w:rsidR="0072519C" w:rsidRPr="006156AD">
        <w:rPr>
          <w:rFonts w:ascii="Trebuchet MS" w:hAnsi="Trebuchet MS"/>
        </w:rPr>
        <w:t xml:space="preserve">transaction </w:t>
      </w:r>
      <w:r w:rsidRPr="006156AD">
        <w:rPr>
          <w:rFonts w:ascii="Trebuchet MS" w:hAnsi="Trebuchet MS"/>
        </w:rPr>
        <w:t>clos</w:t>
      </w:r>
      <w:r w:rsidR="00A73D48" w:rsidRPr="006156AD">
        <w:rPr>
          <w:rFonts w:ascii="Trebuchet MS" w:hAnsi="Trebuchet MS"/>
        </w:rPr>
        <w:t>e</w:t>
      </w:r>
      <w:r w:rsidRPr="006156AD">
        <w:rPr>
          <w:rFonts w:ascii="Trebuchet MS" w:hAnsi="Trebuchet MS"/>
        </w:rPr>
        <w:t xml:space="preserve"> to full operational readiness, with timing dependent in part on </w:t>
      </w:r>
      <w:r w:rsidRPr="006156AD">
        <w:rPr>
          <w:rFonts w:ascii="Trebuchet MS" w:hAnsi="Trebuchet MS"/>
        </w:rPr>
        <w:lastRenderedPageBreak/>
        <w:t xml:space="preserve">facility condition and applicable state regulatory requirements. The projections also reflect expected downtime, pre-opening costs, and phased ramp-up periods rather than assuming immediate full utilization, and </w:t>
      </w:r>
      <w:r w:rsidR="00740D77" w:rsidRPr="006156AD">
        <w:rPr>
          <w:rFonts w:ascii="Trebuchet MS" w:hAnsi="Trebuchet MS"/>
        </w:rPr>
        <w:t xml:space="preserve">Management </w:t>
      </w:r>
      <w:r w:rsidRPr="006156AD">
        <w:rPr>
          <w:rFonts w:ascii="Trebuchet MS" w:hAnsi="Trebuchet MS"/>
        </w:rPr>
        <w:t>indicated that new centers are generally expected to reach mature operating levels over an approximately 24-month period.</w:t>
      </w:r>
    </w:p>
    <w:p w14:paraId="611DB33D" w14:textId="77777777" w:rsidR="00F41377" w:rsidRPr="006156AD" w:rsidRDefault="00F41377">
      <w:pPr>
        <w:tabs>
          <w:tab w:val="num" w:pos="1260"/>
        </w:tabs>
        <w:spacing w:line="480" w:lineRule="auto"/>
        <w:jc w:val="both"/>
        <w:rPr>
          <w:rFonts w:ascii="Trebuchet MS" w:hAnsi="Trebuchet MS"/>
        </w:rPr>
      </w:pPr>
    </w:p>
    <w:p w14:paraId="66D44FFC" w14:textId="40B5208A" w:rsidR="00441989" w:rsidRPr="006156AD" w:rsidRDefault="00B97440">
      <w:pPr>
        <w:tabs>
          <w:tab w:val="num" w:pos="1260"/>
        </w:tabs>
        <w:spacing w:line="480" w:lineRule="auto"/>
        <w:jc w:val="both"/>
        <w:rPr>
          <w:rFonts w:ascii="Trebuchet MS" w:hAnsi="Trebuchet MS"/>
        </w:rPr>
      </w:pPr>
      <w:proofErr w:type="gramStart"/>
      <w:r w:rsidRPr="006156AD">
        <w:rPr>
          <w:rFonts w:ascii="Trebuchet MS" w:hAnsi="Trebuchet MS"/>
        </w:rPr>
        <w:t>In order to</w:t>
      </w:r>
      <w:proofErr w:type="gramEnd"/>
      <w:r w:rsidRPr="006156AD">
        <w:rPr>
          <w:rFonts w:ascii="Trebuchet MS" w:hAnsi="Trebuchet MS"/>
        </w:rPr>
        <w:t xml:space="preserve"> determine the reasonableness of the projected revenue, </w:t>
      </w:r>
      <w:r w:rsidR="008B6525" w:rsidRPr="006156AD">
        <w:rPr>
          <w:rFonts w:ascii="Trebuchet MS" w:hAnsi="Trebuchet MS"/>
        </w:rPr>
        <w:t xml:space="preserve">we reviewed the underlying assumptions used by Blue Cloud in developing its forecast. Based on our review, the forecast appears to be grounded </w:t>
      </w:r>
      <w:proofErr w:type="gramStart"/>
      <w:r w:rsidR="008B6525" w:rsidRPr="006156AD">
        <w:rPr>
          <w:rFonts w:ascii="Trebuchet MS" w:hAnsi="Trebuchet MS"/>
        </w:rPr>
        <w:t>in</w:t>
      </w:r>
      <w:proofErr w:type="gramEnd"/>
      <w:r w:rsidR="008B6525" w:rsidRPr="006156AD">
        <w:rPr>
          <w:rFonts w:ascii="Trebuchet MS" w:hAnsi="Trebuchet MS"/>
        </w:rPr>
        <w:t xml:space="preserve"> the Company’s historical operating performance and anticipated market trends. The projected </w:t>
      </w:r>
      <w:r w:rsidR="007671C9" w:rsidRPr="006156AD">
        <w:rPr>
          <w:rFonts w:ascii="Trebuchet MS" w:hAnsi="Trebuchet MS"/>
        </w:rPr>
        <w:t>six</w:t>
      </w:r>
      <w:r w:rsidR="008B6525" w:rsidRPr="006156AD">
        <w:rPr>
          <w:rFonts w:ascii="Trebuchet MS" w:hAnsi="Trebuchet MS"/>
        </w:rPr>
        <w:t>-year compounded annual growth rate (“CAGR”) in total operating revenue from FY 2025 through FY 203</w:t>
      </w:r>
      <w:r w:rsidR="003C3B31" w:rsidRPr="006156AD">
        <w:rPr>
          <w:rFonts w:ascii="Trebuchet MS" w:hAnsi="Trebuchet MS"/>
        </w:rPr>
        <w:t>1</w:t>
      </w:r>
      <w:r w:rsidR="008B6525" w:rsidRPr="006156AD">
        <w:rPr>
          <w:rFonts w:ascii="Trebuchet MS" w:hAnsi="Trebuchet MS"/>
        </w:rPr>
        <w:t xml:space="preserve"> is 2</w:t>
      </w:r>
      <w:r w:rsidR="003C3B31" w:rsidRPr="006156AD">
        <w:rPr>
          <w:rFonts w:ascii="Trebuchet MS" w:hAnsi="Trebuchet MS"/>
        </w:rPr>
        <w:t>6.1</w:t>
      </w:r>
      <w:r w:rsidR="008B6525" w:rsidRPr="006156AD">
        <w:rPr>
          <w:rFonts w:ascii="Trebuchet MS" w:hAnsi="Trebuchet MS"/>
        </w:rPr>
        <w:t xml:space="preserve"> percent, which is below Blue Cloud’s historical revenue CAGR of 39.5 percent from FY 2021 through FY 2025, indicating that the forecast reflects a growth outlook that is more moderate than the Company’s recent historical performance.</w:t>
      </w:r>
      <w:r w:rsidRPr="006156AD">
        <w:rPr>
          <w:rFonts w:ascii="Trebuchet MS" w:hAnsi="Trebuchet MS"/>
        </w:rPr>
        <w:t xml:space="preserve"> </w:t>
      </w:r>
      <w:r w:rsidR="00740D77" w:rsidRPr="006156AD">
        <w:rPr>
          <w:rFonts w:ascii="Trebuchet MS" w:hAnsi="Trebuchet MS"/>
        </w:rPr>
        <w:t>A</w:t>
      </w:r>
      <w:r w:rsidR="008B6525" w:rsidRPr="006156AD">
        <w:rPr>
          <w:rFonts w:ascii="Trebuchet MS" w:hAnsi="Trebuchet MS"/>
        </w:rPr>
        <w:t xml:space="preserve"> similar trend is observed when comparing projected annual revenue growth rates to historical annual revenue growth rates, as shown in the table below.</w:t>
      </w:r>
    </w:p>
    <w:tbl>
      <w:tblPr>
        <w:tblW w:w="8178" w:type="dxa"/>
        <w:tblInd w:w="720" w:type="dxa"/>
        <w:tblBorders>
          <w:bottom w:val="single" w:sz="4" w:space="0" w:color="ED7D31" w:themeColor="accent2"/>
          <w:insideH w:val="single" w:sz="4" w:space="0" w:color="E2EFD9" w:themeColor="accent6" w:themeTint="33"/>
        </w:tblBorders>
        <w:tblCellMar>
          <w:top w:w="14" w:type="dxa"/>
          <w:left w:w="14" w:type="dxa"/>
          <w:bottom w:w="14" w:type="dxa"/>
          <w:right w:w="14" w:type="dxa"/>
        </w:tblCellMar>
        <w:tblLook w:val="04A0" w:firstRow="1" w:lastRow="0" w:firstColumn="1" w:lastColumn="0" w:noHBand="0" w:noVBand="1"/>
        <w:tblCaption w:val="comparing projected annual revenue growth rates to historical annual revenue growth rates"/>
      </w:tblPr>
      <w:tblGrid>
        <w:gridCol w:w="1191"/>
        <w:gridCol w:w="1803"/>
        <w:gridCol w:w="1600"/>
        <w:gridCol w:w="1820"/>
        <w:gridCol w:w="1764"/>
      </w:tblGrid>
      <w:tr w:rsidR="005006B3" w:rsidRPr="006156AD" w14:paraId="02D6BB6C" w14:textId="2C3FAFE9" w:rsidTr="00B04499">
        <w:trPr>
          <w:cantSplit/>
          <w:trHeight w:val="288"/>
          <w:tblHeader/>
        </w:trPr>
        <w:tc>
          <w:tcPr>
            <w:tcW w:w="1191" w:type="dxa"/>
            <w:tcBorders>
              <w:bottom w:val="single" w:sz="4" w:space="0" w:color="E2EFD9" w:themeColor="accent6" w:themeTint="33"/>
            </w:tcBorders>
            <w:vAlign w:val="center"/>
          </w:tcPr>
          <w:p w14:paraId="57E2F79C" w14:textId="762331B2" w:rsidR="005006B3" w:rsidRPr="006156AD" w:rsidRDefault="005006B3" w:rsidP="008052A0">
            <w:pPr>
              <w:pStyle w:val="VBABODY"/>
              <w:keepNext/>
              <w:spacing w:after="0" w:line="240" w:lineRule="auto"/>
              <w:jc w:val="center"/>
              <w:rPr>
                <w:color w:val="auto"/>
                <w:sz w:val="24"/>
                <w:szCs w:val="24"/>
              </w:rPr>
            </w:pPr>
            <w:r>
              <w:rPr>
                <w:color w:val="auto"/>
                <w:sz w:val="24"/>
                <w:szCs w:val="24"/>
              </w:rPr>
              <w:t>-</w:t>
            </w:r>
          </w:p>
        </w:tc>
        <w:tc>
          <w:tcPr>
            <w:tcW w:w="1803" w:type="dxa"/>
            <w:tcBorders>
              <w:bottom w:val="single" w:sz="4" w:space="0" w:color="E2EFD9" w:themeColor="accent6" w:themeTint="33"/>
            </w:tcBorders>
            <w:vAlign w:val="center"/>
          </w:tcPr>
          <w:p w14:paraId="34F5776C" w14:textId="7DC3905E" w:rsidR="005006B3" w:rsidRPr="006156AD" w:rsidRDefault="005006B3" w:rsidP="008052A0">
            <w:pPr>
              <w:pStyle w:val="VBABODY"/>
              <w:keepNext/>
              <w:spacing w:after="0" w:line="240" w:lineRule="auto"/>
              <w:jc w:val="center"/>
              <w:rPr>
                <w:color w:val="auto"/>
                <w:sz w:val="24"/>
                <w:szCs w:val="24"/>
              </w:rPr>
            </w:pPr>
            <w:r w:rsidRPr="006156AD">
              <w:rPr>
                <w:color w:val="auto"/>
                <w:sz w:val="24"/>
                <w:szCs w:val="24"/>
              </w:rPr>
              <w:t>Annual Growth Range (2022 – 2025)</w:t>
            </w:r>
          </w:p>
        </w:tc>
        <w:tc>
          <w:tcPr>
            <w:tcW w:w="1600" w:type="dxa"/>
            <w:tcBorders>
              <w:bottom w:val="single" w:sz="4" w:space="0" w:color="E2EFD9" w:themeColor="accent6" w:themeTint="33"/>
            </w:tcBorders>
            <w:vAlign w:val="center"/>
          </w:tcPr>
          <w:p w14:paraId="47F34559" w14:textId="77777777" w:rsidR="005006B3" w:rsidRPr="006156AD" w:rsidRDefault="005006B3" w:rsidP="008052A0">
            <w:pPr>
              <w:tabs>
                <w:tab w:val="num" w:pos="1260"/>
              </w:tabs>
              <w:jc w:val="center"/>
              <w:rPr>
                <w:rFonts w:ascii="Trebuchet MS" w:hAnsi="Trebuchet MS"/>
              </w:rPr>
            </w:pPr>
            <w:r w:rsidRPr="006156AD">
              <w:rPr>
                <w:rFonts w:ascii="Trebuchet MS" w:hAnsi="Trebuchet MS"/>
              </w:rPr>
              <w:t xml:space="preserve">CAGR </w:t>
            </w:r>
          </w:p>
          <w:p w14:paraId="5AB83C60" w14:textId="391157BD" w:rsidR="005006B3" w:rsidRPr="006156AD" w:rsidRDefault="005006B3" w:rsidP="008052A0">
            <w:pPr>
              <w:pStyle w:val="VBABODY"/>
              <w:keepNext/>
              <w:spacing w:after="0" w:line="240" w:lineRule="auto"/>
              <w:jc w:val="center"/>
              <w:rPr>
                <w:color w:val="auto"/>
                <w:sz w:val="24"/>
                <w:szCs w:val="24"/>
              </w:rPr>
            </w:pPr>
            <w:r w:rsidRPr="006156AD">
              <w:rPr>
                <w:color w:val="auto"/>
                <w:sz w:val="24"/>
                <w:szCs w:val="24"/>
              </w:rPr>
              <w:t>(2021 – 2025)</w:t>
            </w:r>
          </w:p>
        </w:tc>
        <w:tc>
          <w:tcPr>
            <w:tcW w:w="1820" w:type="dxa"/>
            <w:tcBorders>
              <w:bottom w:val="single" w:sz="4" w:space="0" w:color="E2EFD9" w:themeColor="accent6" w:themeTint="33"/>
            </w:tcBorders>
            <w:tcMar>
              <w:left w:w="72" w:type="dxa"/>
              <w:right w:w="72" w:type="dxa"/>
            </w:tcMar>
            <w:vAlign w:val="center"/>
          </w:tcPr>
          <w:p w14:paraId="68F10EEE" w14:textId="06A7D709" w:rsidR="005006B3" w:rsidRPr="006156AD" w:rsidRDefault="005006B3" w:rsidP="008052A0">
            <w:pPr>
              <w:pStyle w:val="VBABODY"/>
              <w:keepNext/>
              <w:spacing w:after="0" w:line="240" w:lineRule="auto"/>
              <w:jc w:val="center"/>
              <w:rPr>
                <w:color w:val="auto"/>
                <w:sz w:val="24"/>
                <w:szCs w:val="24"/>
              </w:rPr>
            </w:pPr>
            <w:r w:rsidRPr="006156AD">
              <w:rPr>
                <w:color w:val="auto"/>
                <w:sz w:val="24"/>
                <w:szCs w:val="24"/>
              </w:rPr>
              <w:t>Annual Growth Range (2026 - 2031)</w:t>
            </w:r>
          </w:p>
        </w:tc>
        <w:tc>
          <w:tcPr>
            <w:tcW w:w="1764" w:type="dxa"/>
            <w:tcBorders>
              <w:bottom w:val="single" w:sz="4" w:space="0" w:color="E2EFD9" w:themeColor="accent6" w:themeTint="33"/>
            </w:tcBorders>
          </w:tcPr>
          <w:p w14:paraId="0C0953BD" w14:textId="77777777" w:rsidR="005006B3" w:rsidRPr="006156AD" w:rsidRDefault="005006B3" w:rsidP="008052A0">
            <w:pPr>
              <w:pStyle w:val="VBABODY"/>
              <w:keepNext/>
              <w:spacing w:after="0" w:line="240" w:lineRule="auto"/>
              <w:jc w:val="center"/>
              <w:rPr>
                <w:color w:val="auto"/>
                <w:sz w:val="24"/>
                <w:szCs w:val="24"/>
              </w:rPr>
            </w:pPr>
          </w:p>
          <w:p w14:paraId="400A29D0" w14:textId="77777777" w:rsidR="005006B3" w:rsidRPr="006156AD" w:rsidRDefault="005006B3" w:rsidP="008B6525">
            <w:pPr>
              <w:tabs>
                <w:tab w:val="num" w:pos="1260"/>
              </w:tabs>
              <w:jc w:val="center"/>
              <w:rPr>
                <w:rFonts w:ascii="Trebuchet MS" w:hAnsi="Trebuchet MS"/>
              </w:rPr>
            </w:pPr>
            <w:r w:rsidRPr="006156AD">
              <w:rPr>
                <w:rFonts w:ascii="Trebuchet MS" w:hAnsi="Trebuchet MS"/>
              </w:rPr>
              <w:t xml:space="preserve">CAGR </w:t>
            </w:r>
          </w:p>
          <w:p w14:paraId="224C3A43" w14:textId="5568E256" w:rsidR="005006B3" w:rsidRPr="006156AD" w:rsidRDefault="005006B3" w:rsidP="008B6525">
            <w:pPr>
              <w:pStyle w:val="VBABODY"/>
              <w:keepNext/>
              <w:spacing w:after="0" w:line="240" w:lineRule="auto"/>
              <w:jc w:val="center"/>
              <w:rPr>
                <w:color w:val="auto"/>
                <w:sz w:val="24"/>
                <w:szCs w:val="24"/>
              </w:rPr>
            </w:pPr>
            <w:r w:rsidRPr="006156AD">
              <w:rPr>
                <w:color w:val="auto"/>
                <w:sz w:val="24"/>
                <w:szCs w:val="24"/>
              </w:rPr>
              <w:t>(2025 – 2031)</w:t>
            </w:r>
          </w:p>
        </w:tc>
      </w:tr>
      <w:tr w:rsidR="005006B3" w:rsidRPr="006156AD" w14:paraId="644B054D" w14:textId="6163F427" w:rsidTr="005006B3">
        <w:trPr>
          <w:cantSplit/>
          <w:trHeight w:val="361"/>
        </w:trPr>
        <w:tc>
          <w:tcPr>
            <w:tcW w:w="1191" w:type="dxa"/>
            <w:tcBorders>
              <w:top w:val="single" w:sz="4" w:space="0" w:color="E2EFD9" w:themeColor="accent6" w:themeTint="33"/>
              <w:bottom w:val="single" w:sz="4" w:space="0" w:color="00B0F0"/>
            </w:tcBorders>
            <w:vAlign w:val="center"/>
          </w:tcPr>
          <w:p w14:paraId="02E0D47D" w14:textId="77777777" w:rsidR="005006B3" w:rsidRPr="006156AD" w:rsidRDefault="005006B3" w:rsidP="008B6525">
            <w:pPr>
              <w:keepNext/>
              <w:jc w:val="center"/>
              <w:rPr>
                <w:rFonts w:ascii="Trebuchet MS" w:hAnsi="Trebuchet MS" w:cs="Arial"/>
                <w:kern w:val="24"/>
              </w:rPr>
            </w:pPr>
            <w:r w:rsidRPr="006156AD">
              <w:rPr>
                <w:rFonts w:ascii="Trebuchet MS" w:hAnsi="Trebuchet MS"/>
              </w:rPr>
              <w:t>Revenue</w:t>
            </w:r>
          </w:p>
        </w:tc>
        <w:tc>
          <w:tcPr>
            <w:tcW w:w="1803" w:type="dxa"/>
            <w:tcBorders>
              <w:top w:val="single" w:sz="4" w:space="0" w:color="E2EFD9" w:themeColor="accent6" w:themeTint="33"/>
              <w:bottom w:val="single" w:sz="4" w:space="0" w:color="00B0F0"/>
            </w:tcBorders>
            <w:tcMar>
              <w:left w:w="72" w:type="dxa"/>
              <w:right w:w="72" w:type="dxa"/>
            </w:tcMar>
            <w:vAlign w:val="center"/>
          </w:tcPr>
          <w:p w14:paraId="0823F7BB" w14:textId="33BFEE76" w:rsidR="005006B3" w:rsidRPr="006156AD" w:rsidRDefault="005006B3" w:rsidP="008B6525">
            <w:pPr>
              <w:keepNext/>
              <w:jc w:val="center"/>
              <w:rPr>
                <w:rFonts w:ascii="Trebuchet MS" w:hAnsi="Trebuchet MS" w:cs="Arial"/>
                <w:kern w:val="24"/>
              </w:rPr>
            </w:pPr>
            <w:r w:rsidRPr="006156AD">
              <w:rPr>
                <w:rFonts w:ascii="Trebuchet MS" w:hAnsi="Trebuchet MS"/>
              </w:rPr>
              <w:t>31.0% - 55.2%</w:t>
            </w:r>
          </w:p>
        </w:tc>
        <w:tc>
          <w:tcPr>
            <w:tcW w:w="1600" w:type="dxa"/>
            <w:tcBorders>
              <w:top w:val="single" w:sz="4" w:space="0" w:color="E2EFD9" w:themeColor="accent6" w:themeTint="33"/>
              <w:bottom w:val="single" w:sz="4" w:space="0" w:color="00B0F0"/>
            </w:tcBorders>
            <w:vAlign w:val="center"/>
          </w:tcPr>
          <w:p w14:paraId="66E365F6" w14:textId="77777777" w:rsidR="005006B3" w:rsidRPr="006156AD" w:rsidRDefault="005006B3" w:rsidP="008B6525">
            <w:pPr>
              <w:keepNext/>
              <w:jc w:val="center"/>
              <w:rPr>
                <w:rFonts w:ascii="Trebuchet MS" w:hAnsi="Trebuchet MS" w:cs="Arial"/>
                <w:b/>
                <w:kern w:val="24"/>
              </w:rPr>
            </w:pPr>
            <w:r w:rsidRPr="006156AD">
              <w:rPr>
                <w:rFonts w:ascii="Trebuchet MS" w:hAnsi="Trebuchet MS"/>
              </w:rPr>
              <w:t>39.5%</w:t>
            </w:r>
          </w:p>
        </w:tc>
        <w:tc>
          <w:tcPr>
            <w:tcW w:w="1820" w:type="dxa"/>
            <w:tcBorders>
              <w:top w:val="single" w:sz="4" w:space="0" w:color="E2EFD9" w:themeColor="accent6" w:themeTint="33"/>
              <w:bottom w:val="single" w:sz="4" w:space="0" w:color="00B0F0"/>
            </w:tcBorders>
            <w:vAlign w:val="center"/>
          </w:tcPr>
          <w:p w14:paraId="3CCB74C2" w14:textId="00459647" w:rsidR="005006B3" w:rsidRPr="006156AD" w:rsidRDefault="005006B3" w:rsidP="008B6525">
            <w:pPr>
              <w:keepNext/>
              <w:jc w:val="center"/>
              <w:rPr>
                <w:rFonts w:ascii="Trebuchet MS" w:hAnsi="Trebuchet MS" w:cs="Arial"/>
                <w:b/>
                <w:kern w:val="24"/>
              </w:rPr>
            </w:pPr>
            <w:r w:rsidRPr="006156AD">
              <w:rPr>
                <w:rFonts w:ascii="Trebuchet MS" w:hAnsi="Trebuchet MS"/>
              </w:rPr>
              <w:t>17.8% - 37.9%</w:t>
            </w:r>
          </w:p>
        </w:tc>
        <w:tc>
          <w:tcPr>
            <w:tcW w:w="1764" w:type="dxa"/>
            <w:tcBorders>
              <w:top w:val="single" w:sz="4" w:space="0" w:color="E2EFD9" w:themeColor="accent6" w:themeTint="33"/>
              <w:bottom w:val="single" w:sz="4" w:space="0" w:color="00B0F0"/>
            </w:tcBorders>
            <w:vAlign w:val="center"/>
          </w:tcPr>
          <w:p w14:paraId="529A77E0" w14:textId="08A2D4F9" w:rsidR="005006B3" w:rsidRPr="006156AD" w:rsidRDefault="005006B3" w:rsidP="008B6525">
            <w:pPr>
              <w:keepNext/>
              <w:jc w:val="center"/>
              <w:rPr>
                <w:rFonts w:ascii="Trebuchet MS" w:hAnsi="Trebuchet MS"/>
              </w:rPr>
            </w:pPr>
            <w:r w:rsidRPr="006156AD">
              <w:rPr>
                <w:rFonts w:ascii="Trebuchet MS" w:hAnsi="Trebuchet MS"/>
              </w:rPr>
              <w:t>26.1%</w:t>
            </w:r>
          </w:p>
        </w:tc>
      </w:tr>
    </w:tbl>
    <w:p w14:paraId="02242D11" w14:textId="77777777" w:rsidR="00F41377" w:rsidRPr="006156AD" w:rsidRDefault="00F41377">
      <w:pPr>
        <w:tabs>
          <w:tab w:val="num" w:pos="1260"/>
        </w:tabs>
        <w:spacing w:line="480" w:lineRule="auto"/>
        <w:jc w:val="both"/>
        <w:rPr>
          <w:rFonts w:ascii="Trebuchet MS" w:hAnsi="Trebuchet MS"/>
        </w:rPr>
      </w:pPr>
    </w:p>
    <w:p w14:paraId="207C4E24" w14:textId="0B950CAF" w:rsidR="00F41377" w:rsidRPr="006156AD" w:rsidRDefault="008B6525">
      <w:pPr>
        <w:tabs>
          <w:tab w:val="num" w:pos="1260"/>
        </w:tabs>
        <w:spacing w:line="480" w:lineRule="auto"/>
        <w:jc w:val="both"/>
        <w:rPr>
          <w:rFonts w:ascii="Trebuchet MS" w:hAnsi="Trebuchet MS"/>
        </w:rPr>
      </w:pPr>
      <w:r w:rsidRPr="006156AD">
        <w:rPr>
          <w:rFonts w:ascii="Trebuchet MS" w:hAnsi="Trebuchet MS"/>
        </w:rPr>
        <w:lastRenderedPageBreak/>
        <w:t>Based upon the foregoing, it is our opinion that the revenue growth projected by Management is based on reasonable assumptions and is feasible for the combined operations of Blue Cloud.</w:t>
      </w:r>
    </w:p>
    <w:p w14:paraId="182E58E4" w14:textId="77777777" w:rsidR="009A2BEA" w:rsidRPr="006156AD" w:rsidRDefault="00D3103D" w:rsidP="003210F9">
      <w:pPr>
        <w:pStyle w:val="Heading3"/>
        <w:rPr>
          <w:sz w:val="24"/>
          <w:szCs w:val="24"/>
        </w:rPr>
      </w:pPr>
      <w:r w:rsidRPr="006156AD">
        <w:rPr>
          <w:sz w:val="24"/>
          <w:szCs w:val="24"/>
        </w:rPr>
        <w:t>Operating Expenses</w:t>
      </w:r>
    </w:p>
    <w:p w14:paraId="01C27367" w14:textId="1A36683B" w:rsidR="00AF0FFC" w:rsidRPr="006156AD" w:rsidRDefault="00AD6758" w:rsidP="008B6525">
      <w:pPr>
        <w:spacing w:before="240" w:line="480" w:lineRule="auto"/>
        <w:jc w:val="both"/>
        <w:rPr>
          <w:rFonts w:ascii="Trebuchet MS" w:hAnsi="Trebuchet MS"/>
        </w:rPr>
      </w:pPr>
      <w:r w:rsidRPr="006156AD">
        <w:rPr>
          <w:rFonts w:ascii="Trebuchet MS" w:hAnsi="Trebuchet MS"/>
        </w:rPr>
        <w:t xml:space="preserve">We analyzed each of the categorized operating expenses for reasonableness and feasibility related to the Projections. The operating expenses in the analysis </w:t>
      </w:r>
      <w:bookmarkStart w:id="7" w:name="_Hlk147936788"/>
      <w:r w:rsidRPr="006156AD">
        <w:rPr>
          <w:rFonts w:ascii="Trebuchet MS" w:hAnsi="Trebuchet MS"/>
        </w:rPr>
        <w:t xml:space="preserve">are broken out into </w:t>
      </w:r>
      <w:r w:rsidR="00DF6F96" w:rsidRPr="006156AD">
        <w:rPr>
          <w:rFonts w:ascii="Trebuchet MS" w:hAnsi="Trebuchet MS"/>
        </w:rPr>
        <w:t>two overall</w:t>
      </w:r>
      <w:r w:rsidRPr="006156AD">
        <w:rPr>
          <w:rFonts w:ascii="Trebuchet MS" w:hAnsi="Trebuchet MS"/>
        </w:rPr>
        <w:t xml:space="preserve"> categories: </w:t>
      </w:r>
      <w:r w:rsidR="00DF6F96" w:rsidRPr="006156AD">
        <w:rPr>
          <w:rFonts w:ascii="Trebuchet MS" w:hAnsi="Trebuchet MS"/>
        </w:rPr>
        <w:t>clinical expenses</w:t>
      </w:r>
      <w:r w:rsidRPr="006156AD">
        <w:rPr>
          <w:rFonts w:ascii="Trebuchet MS" w:hAnsi="Trebuchet MS"/>
        </w:rPr>
        <w:t xml:space="preserve"> and general &amp; administrative. </w:t>
      </w:r>
      <w:r w:rsidR="00DF6F96" w:rsidRPr="006156AD">
        <w:rPr>
          <w:rFonts w:ascii="Trebuchet MS" w:hAnsi="Trebuchet MS"/>
        </w:rPr>
        <w:t xml:space="preserve">Clinical </w:t>
      </w:r>
      <w:r w:rsidRPr="006156AD">
        <w:rPr>
          <w:rFonts w:ascii="Trebuchet MS" w:hAnsi="Trebuchet MS"/>
        </w:rPr>
        <w:t>expenses include</w:t>
      </w:r>
      <w:r w:rsidR="00DF6F96" w:rsidRPr="006156AD">
        <w:rPr>
          <w:rFonts w:ascii="Trebuchet MS" w:hAnsi="Trebuchet MS"/>
        </w:rPr>
        <w:t xml:space="preserve"> major expenses such as</w:t>
      </w:r>
      <w:r w:rsidRPr="006156AD">
        <w:rPr>
          <w:rFonts w:ascii="Trebuchet MS" w:hAnsi="Trebuchet MS"/>
        </w:rPr>
        <w:t xml:space="preserve"> direct</w:t>
      </w:r>
      <w:r w:rsidR="00DF6F96" w:rsidRPr="006156AD">
        <w:rPr>
          <w:rFonts w:ascii="Trebuchet MS" w:hAnsi="Trebuchet MS"/>
        </w:rPr>
        <w:t xml:space="preserve"> payroll, taxes and benefits</w:t>
      </w:r>
      <w:r w:rsidRPr="006156AD">
        <w:rPr>
          <w:rFonts w:ascii="Trebuchet MS" w:hAnsi="Trebuchet MS"/>
        </w:rPr>
        <w:t xml:space="preserve">, </w:t>
      </w:r>
      <w:r w:rsidR="00DF6F96" w:rsidRPr="006156AD">
        <w:rPr>
          <w:rFonts w:ascii="Trebuchet MS" w:hAnsi="Trebuchet MS"/>
        </w:rPr>
        <w:t>medical supplies, dental supplies</w:t>
      </w:r>
      <w:r w:rsidRPr="006156AD">
        <w:rPr>
          <w:rFonts w:ascii="Trebuchet MS" w:hAnsi="Trebuchet MS"/>
        </w:rPr>
        <w:t>,</w:t>
      </w:r>
      <w:r w:rsidR="00DF6F96" w:rsidRPr="006156AD">
        <w:rPr>
          <w:rFonts w:ascii="Trebuchet MS" w:hAnsi="Trebuchet MS"/>
        </w:rPr>
        <w:t xml:space="preserve"> </w:t>
      </w:r>
      <w:r w:rsidR="00A6080A" w:rsidRPr="006156AD">
        <w:rPr>
          <w:rFonts w:ascii="Trebuchet MS" w:hAnsi="Trebuchet MS"/>
        </w:rPr>
        <w:t xml:space="preserve">clinical related insurance, </w:t>
      </w:r>
      <w:r w:rsidR="00DF6F96" w:rsidRPr="006156AD">
        <w:rPr>
          <w:rFonts w:ascii="Trebuchet MS" w:hAnsi="Trebuchet MS"/>
        </w:rPr>
        <w:t>and occupancy expenses</w:t>
      </w:r>
      <w:r w:rsidRPr="006156AD">
        <w:rPr>
          <w:rFonts w:ascii="Trebuchet MS" w:hAnsi="Trebuchet MS"/>
        </w:rPr>
        <w:t>. General &amp; Administrative expense</w:t>
      </w:r>
      <w:r w:rsidR="00A6080A" w:rsidRPr="006156AD">
        <w:rPr>
          <w:rFonts w:ascii="Trebuchet MS" w:hAnsi="Trebuchet MS"/>
        </w:rPr>
        <w:t xml:space="preserve">s </w:t>
      </w:r>
      <w:r w:rsidR="00232A0F" w:rsidRPr="006156AD">
        <w:rPr>
          <w:rFonts w:ascii="Trebuchet MS" w:hAnsi="Trebuchet MS"/>
        </w:rPr>
        <w:t>are</w:t>
      </w:r>
      <w:r w:rsidR="00A6080A" w:rsidRPr="006156AD">
        <w:rPr>
          <w:rFonts w:ascii="Trebuchet MS" w:hAnsi="Trebuchet MS"/>
        </w:rPr>
        <w:t xml:space="preserve"> primarily comprised of</w:t>
      </w:r>
      <w:r w:rsidRPr="006156AD">
        <w:rPr>
          <w:rFonts w:ascii="Trebuchet MS" w:hAnsi="Trebuchet MS"/>
        </w:rPr>
        <w:t xml:space="preserve"> </w:t>
      </w:r>
      <w:r w:rsidR="00A6080A" w:rsidRPr="006156AD">
        <w:rPr>
          <w:rFonts w:ascii="Trebuchet MS" w:hAnsi="Trebuchet MS"/>
        </w:rPr>
        <w:t>non-clinical payroll, taxes and benefits, legal,</w:t>
      </w:r>
      <w:r w:rsidR="004F014E" w:rsidRPr="006156AD">
        <w:rPr>
          <w:rFonts w:ascii="Trebuchet MS" w:hAnsi="Trebuchet MS"/>
        </w:rPr>
        <w:t xml:space="preserve"> accounting services, IT services, and travel expenses. </w:t>
      </w:r>
      <w:r w:rsidR="00A6080A" w:rsidRPr="006156AD">
        <w:rPr>
          <w:rFonts w:ascii="Trebuchet MS" w:hAnsi="Trebuchet MS"/>
        </w:rPr>
        <w:t xml:space="preserve"> </w:t>
      </w:r>
      <w:bookmarkEnd w:id="7"/>
      <w:r w:rsidRPr="006156AD">
        <w:rPr>
          <w:rFonts w:ascii="Trebuchet MS" w:hAnsi="Trebuchet MS"/>
        </w:rPr>
        <w:t xml:space="preserve"> </w:t>
      </w:r>
    </w:p>
    <w:p w14:paraId="242136B8" w14:textId="77777777" w:rsidR="008B6525" w:rsidRPr="006156AD" w:rsidRDefault="008B6525" w:rsidP="008B6525">
      <w:pPr>
        <w:spacing w:line="480" w:lineRule="auto"/>
        <w:jc w:val="both"/>
        <w:rPr>
          <w:rFonts w:ascii="Trebuchet MS" w:hAnsi="Trebuchet MS"/>
        </w:rPr>
      </w:pPr>
    </w:p>
    <w:p w14:paraId="1A724B97" w14:textId="0D3F4329" w:rsidR="002A1C4B" w:rsidRPr="006156AD" w:rsidRDefault="00EB79C0" w:rsidP="00AD6758">
      <w:pPr>
        <w:spacing w:line="480" w:lineRule="auto"/>
        <w:jc w:val="both"/>
        <w:rPr>
          <w:rFonts w:ascii="Trebuchet MS" w:hAnsi="Trebuchet MS"/>
        </w:rPr>
      </w:pPr>
      <w:r w:rsidRPr="006156AD">
        <w:rPr>
          <w:rFonts w:ascii="Trebuchet MS" w:hAnsi="Trebuchet MS"/>
        </w:rPr>
        <w:t xml:space="preserve">The </w:t>
      </w:r>
      <w:r w:rsidR="00FE611D" w:rsidRPr="006156AD">
        <w:rPr>
          <w:rFonts w:ascii="Trebuchet MS" w:hAnsi="Trebuchet MS"/>
        </w:rPr>
        <w:t>P</w:t>
      </w:r>
      <w:r w:rsidRPr="006156AD">
        <w:rPr>
          <w:rFonts w:ascii="Trebuchet MS" w:hAnsi="Trebuchet MS"/>
        </w:rPr>
        <w:t xml:space="preserve">rojections indicate that total operating </w:t>
      </w:r>
      <w:r w:rsidR="00E46C18" w:rsidRPr="006156AD">
        <w:rPr>
          <w:rFonts w:ascii="Trebuchet MS" w:hAnsi="Trebuchet MS"/>
        </w:rPr>
        <w:t>expense growth</w:t>
      </w:r>
      <w:r w:rsidR="008B6525" w:rsidRPr="006156AD">
        <w:rPr>
          <w:rFonts w:ascii="Trebuchet MS" w:hAnsi="Trebuchet MS"/>
        </w:rPr>
        <w:t>, excluding depreciation and amortization</w:t>
      </w:r>
      <w:r w:rsidR="003A692E" w:rsidRPr="006156AD">
        <w:rPr>
          <w:rFonts w:ascii="Trebuchet MS" w:hAnsi="Trebuchet MS"/>
        </w:rPr>
        <w:t xml:space="preserve">, </w:t>
      </w:r>
      <w:r w:rsidR="00E46C18" w:rsidRPr="006156AD">
        <w:rPr>
          <w:rFonts w:ascii="Trebuchet MS" w:hAnsi="Trebuchet MS"/>
        </w:rPr>
        <w:t>is</w:t>
      </w:r>
      <w:r w:rsidRPr="006156AD">
        <w:rPr>
          <w:rFonts w:ascii="Trebuchet MS" w:hAnsi="Trebuchet MS"/>
        </w:rPr>
        <w:t xml:space="preserve"> estimated to range from </w:t>
      </w:r>
      <w:r w:rsidR="00732051" w:rsidRPr="006156AD">
        <w:rPr>
          <w:rFonts w:ascii="Trebuchet MS" w:hAnsi="Trebuchet MS"/>
        </w:rPr>
        <w:t>18</w:t>
      </w:r>
      <w:r w:rsidR="004E6FFB" w:rsidRPr="006156AD">
        <w:rPr>
          <w:rFonts w:ascii="Trebuchet MS" w:hAnsi="Trebuchet MS"/>
        </w:rPr>
        <w:t>.</w:t>
      </w:r>
      <w:r w:rsidR="00732051" w:rsidRPr="006156AD">
        <w:rPr>
          <w:rFonts w:ascii="Trebuchet MS" w:hAnsi="Trebuchet MS"/>
        </w:rPr>
        <w:t>2</w:t>
      </w:r>
      <w:r w:rsidRPr="006156AD">
        <w:rPr>
          <w:rFonts w:ascii="Trebuchet MS" w:hAnsi="Trebuchet MS"/>
        </w:rPr>
        <w:t xml:space="preserve"> percent to </w:t>
      </w:r>
      <w:r w:rsidR="00232A0F" w:rsidRPr="006156AD">
        <w:rPr>
          <w:rFonts w:ascii="Trebuchet MS" w:hAnsi="Trebuchet MS"/>
        </w:rPr>
        <w:t>31</w:t>
      </w:r>
      <w:r w:rsidR="004E6FFB" w:rsidRPr="006156AD">
        <w:rPr>
          <w:rFonts w:ascii="Trebuchet MS" w:hAnsi="Trebuchet MS"/>
        </w:rPr>
        <w:t>.</w:t>
      </w:r>
      <w:r w:rsidR="00232A0F" w:rsidRPr="006156AD">
        <w:rPr>
          <w:rFonts w:ascii="Trebuchet MS" w:hAnsi="Trebuchet MS"/>
        </w:rPr>
        <w:t xml:space="preserve">1 </w:t>
      </w:r>
      <w:r w:rsidRPr="006156AD">
        <w:rPr>
          <w:rFonts w:ascii="Trebuchet MS" w:hAnsi="Trebuchet MS"/>
        </w:rPr>
        <w:t>percent</w:t>
      </w:r>
      <w:r w:rsidR="003A692E" w:rsidRPr="006156AD">
        <w:rPr>
          <w:rFonts w:ascii="Trebuchet MS" w:hAnsi="Trebuchet MS"/>
        </w:rPr>
        <w:t xml:space="preserve"> from FY 2026 to FY 203</w:t>
      </w:r>
      <w:r w:rsidR="00732051" w:rsidRPr="006156AD">
        <w:rPr>
          <w:rFonts w:ascii="Trebuchet MS" w:hAnsi="Trebuchet MS"/>
        </w:rPr>
        <w:t>1</w:t>
      </w:r>
      <w:r w:rsidRPr="006156AD">
        <w:rPr>
          <w:rFonts w:ascii="Trebuchet MS" w:hAnsi="Trebuchet MS"/>
        </w:rPr>
        <w:t xml:space="preserve">, with an average annual growth rate of </w:t>
      </w:r>
      <w:r w:rsidR="004E6FFB" w:rsidRPr="006156AD">
        <w:rPr>
          <w:rFonts w:ascii="Trebuchet MS" w:hAnsi="Trebuchet MS"/>
        </w:rPr>
        <w:t>2</w:t>
      </w:r>
      <w:r w:rsidR="00732051" w:rsidRPr="006156AD">
        <w:rPr>
          <w:rFonts w:ascii="Trebuchet MS" w:hAnsi="Trebuchet MS"/>
        </w:rPr>
        <w:t>5.2</w:t>
      </w:r>
      <w:r w:rsidRPr="006156AD">
        <w:rPr>
          <w:rFonts w:ascii="Trebuchet MS" w:hAnsi="Trebuchet MS"/>
        </w:rPr>
        <w:t xml:space="preserve"> percent. The primary </w:t>
      </w:r>
      <w:r w:rsidR="003A692E" w:rsidRPr="006156AD">
        <w:rPr>
          <w:rFonts w:ascii="Trebuchet MS" w:hAnsi="Trebuchet MS"/>
        </w:rPr>
        <w:t>driver</w:t>
      </w:r>
      <w:r w:rsidRPr="006156AD">
        <w:rPr>
          <w:rFonts w:ascii="Trebuchet MS" w:hAnsi="Trebuchet MS"/>
        </w:rPr>
        <w:t xml:space="preserve"> of these higher expenses </w:t>
      </w:r>
      <w:r w:rsidR="00853E6B" w:rsidRPr="006156AD">
        <w:rPr>
          <w:rFonts w:ascii="Trebuchet MS" w:hAnsi="Trebuchet MS"/>
        </w:rPr>
        <w:t xml:space="preserve">is the projected addition of 10 new centers each year, </w:t>
      </w:r>
      <w:r w:rsidR="00575D59" w:rsidRPr="006156AD">
        <w:rPr>
          <w:rFonts w:ascii="Trebuchet MS" w:hAnsi="Trebuchet MS"/>
        </w:rPr>
        <w:t xml:space="preserve">including both newly developed centers and acquisitions, which is expected to increase clinical staffing, anesthesia expense, facility-related costs, supplies, and other operating support expenses. Management’s budget assumptions also include approximately 3% annual increases in center and corporate wages based on recent </w:t>
      </w:r>
      <w:r w:rsidR="00575D59" w:rsidRPr="006156AD">
        <w:rPr>
          <w:rFonts w:ascii="Trebuchet MS" w:hAnsi="Trebuchet MS"/>
        </w:rPr>
        <w:lastRenderedPageBreak/>
        <w:t xml:space="preserve">market conditions. In addition, corporate general and administrative expenses are expected to rise as the company expands its support infrastructure, including revenue cycle, credentialing, authorizations, finance, IT, operations, and government relations; however, </w:t>
      </w:r>
      <w:r w:rsidR="00740D77" w:rsidRPr="006156AD">
        <w:rPr>
          <w:rFonts w:ascii="Trebuchet MS" w:hAnsi="Trebuchet MS"/>
        </w:rPr>
        <w:t xml:space="preserve">Management </w:t>
      </w:r>
      <w:r w:rsidR="00575D59" w:rsidRPr="006156AD">
        <w:rPr>
          <w:rFonts w:ascii="Trebuchet MS" w:hAnsi="Trebuchet MS"/>
        </w:rPr>
        <w:t>projects that these costs will decline as a percentage of revenue as the platform scales. Management further expects the pace of expense growth to moderate over time as acquisition activity slows and the business benefits from greater operating leverage across its existing support infrastructure.</w:t>
      </w:r>
      <w:r w:rsidRPr="006156AD">
        <w:rPr>
          <w:rFonts w:ascii="Trebuchet MS" w:hAnsi="Trebuchet MS"/>
        </w:rPr>
        <w:t xml:space="preserve"> </w:t>
      </w:r>
    </w:p>
    <w:p w14:paraId="3AB92B47" w14:textId="5245B7F6" w:rsidR="001D4160" w:rsidRPr="006156AD" w:rsidRDefault="00AD6758" w:rsidP="00AD6758">
      <w:pPr>
        <w:spacing w:line="480" w:lineRule="auto"/>
        <w:jc w:val="both"/>
        <w:rPr>
          <w:rFonts w:ascii="Trebuchet MS" w:hAnsi="Trebuchet MS"/>
        </w:rPr>
      </w:pPr>
      <w:r w:rsidRPr="006156AD">
        <w:rPr>
          <w:rFonts w:ascii="Trebuchet MS" w:hAnsi="Trebuchet MS"/>
        </w:rPr>
        <w:t xml:space="preserve">The following table </w:t>
      </w:r>
      <w:proofErr w:type="gramStart"/>
      <w:r w:rsidRPr="006156AD">
        <w:rPr>
          <w:rFonts w:ascii="Trebuchet MS" w:hAnsi="Trebuchet MS"/>
        </w:rPr>
        <w:t>indicates</w:t>
      </w:r>
      <w:proofErr w:type="gramEnd"/>
      <w:r w:rsidRPr="006156AD">
        <w:rPr>
          <w:rFonts w:ascii="Trebuchet MS" w:hAnsi="Trebuchet MS"/>
        </w:rPr>
        <w:t xml:space="preserve"> the projected increase in </w:t>
      </w:r>
      <w:r w:rsidR="001D4160" w:rsidRPr="006156AD">
        <w:rPr>
          <w:rFonts w:ascii="Trebuchet MS" w:hAnsi="Trebuchet MS"/>
        </w:rPr>
        <w:t>operating expenses from FY 20</w:t>
      </w:r>
      <w:r w:rsidR="00853E6B" w:rsidRPr="006156AD">
        <w:rPr>
          <w:rFonts w:ascii="Trebuchet MS" w:hAnsi="Trebuchet MS"/>
        </w:rPr>
        <w:t>26</w:t>
      </w:r>
      <w:r w:rsidR="001D4160" w:rsidRPr="006156AD">
        <w:rPr>
          <w:rFonts w:ascii="Trebuchet MS" w:hAnsi="Trebuchet MS"/>
        </w:rPr>
        <w:t xml:space="preserve"> to FY 20</w:t>
      </w:r>
      <w:r w:rsidR="00853E6B" w:rsidRPr="006156AD">
        <w:rPr>
          <w:rFonts w:ascii="Trebuchet MS" w:hAnsi="Trebuchet MS"/>
        </w:rPr>
        <w:t>3</w:t>
      </w:r>
      <w:r w:rsidR="00732051" w:rsidRPr="006156AD">
        <w:rPr>
          <w:rFonts w:ascii="Trebuchet MS" w:hAnsi="Trebuchet MS"/>
        </w:rPr>
        <w:t>1</w:t>
      </w:r>
      <w:r w:rsidR="00F20428" w:rsidRPr="006156AD">
        <w:rPr>
          <w:rFonts w:ascii="Trebuchet MS" w:hAnsi="Trebuchet MS"/>
        </w:rPr>
        <w:t xml:space="preserve"> is generally consistent with historical growth trends from FY 2022 to FY 2025</w:t>
      </w:r>
      <w:r w:rsidR="001D4160" w:rsidRPr="006156AD">
        <w:rPr>
          <w:rFonts w:ascii="Trebuchet MS" w:hAnsi="Trebuchet MS"/>
        </w:rPr>
        <w:t xml:space="preserve">. </w:t>
      </w:r>
    </w:p>
    <w:p w14:paraId="1E88B93A" w14:textId="77777777" w:rsidR="00AD6758" w:rsidRPr="006156AD" w:rsidRDefault="00AD6758" w:rsidP="00AD6758">
      <w:pPr>
        <w:ind w:left="720"/>
        <w:jc w:val="both"/>
        <w:rPr>
          <w:rFonts w:ascii="Trebuchet MS" w:hAnsi="Trebuchet MS"/>
          <w:u w:val="single"/>
        </w:rPr>
      </w:pPr>
    </w:p>
    <w:tbl>
      <w:tblPr>
        <w:tblW w:w="8178" w:type="dxa"/>
        <w:tblInd w:w="720" w:type="dxa"/>
        <w:tblBorders>
          <w:bottom w:val="single" w:sz="4" w:space="0" w:color="ED7D31" w:themeColor="accent2"/>
          <w:insideH w:val="single" w:sz="4" w:space="0" w:color="E2EFD9" w:themeColor="accent6" w:themeTint="33"/>
        </w:tblBorders>
        <w:tblCellMar>
          <w:top w:w="14" w:type="dxa"/>
          <w:left w:w="14" w:type="dxa"/>
          <w:bottom w:w="14" w:type="dxa"/>
          <w:right w:w="14" w:type="dxa"/>
        </w:tblCellMar>
        <w:tblLook w:val="04A0" w:firstRow="1" w:lastRow="0" w:firstColumn="1" w:lastColumn="0" w:noHBand="0" w:noVBand="1"/>
        <w:tblCaption w:val="projected increase in operating expenses from FY 2026 to FY 2031"/>
      </w:tblPr>
      <w:tblGrid>
        <w:gridCol w:w="1237"/>
        <w:gridCol w:w="1643"/>
        <w:gridCol w:w="1716"/>
        <w:gridCol w:w="1898"/>
        <w:gridCol w:w="1684"/>
      </w:tblGrid>
      <w:tr w:rsidR="00B04499" w:rsidRPr="006156AD" w14:paraId="0CA677C6" w14:textId="1417BDC6" w:rsidTr="00B04499">
        <w:trPr>
          <w:cantSplit/>
          <w:trHeight w:val="288"/>
          <w:tblHeader/>
        </w:trPr>
        <w:tc>
          <w:tcPr>
            <w:tcW w:w="1237" w:type="dxa"/>
            <w:tcBorders>
              <w:bottom w:val="single" w:sz="4" w:space="0" w:color="E2EFD9" w:themeColor="accent6" w:themeTint="33"/>
            </w:tcBorders>
            <w:vAlign w:val="center"/>
          </w:tcPr>
          <w:p w14:paraId="7E36A5E8" w14:textId="767431C6" w:rsidR="00B04499" w:rsidRPr="006156AD" w:rsidRDefault="00B04499" w:rsidP="00DA26F2">
            <w:pPr>
              <w:pStyle w:val="VBABODY"/>
              <w:keepNext/>
              <w:spacing w:after="0" w:line="240" w:lineRule="auto"/>
              <w:jc w:val="center"/>
              <w:rPr>
                <w:color w:val="auto"/>
                <w:sz w:val="24"/>
                <w:szCs w:val="24"/>
              </w:rPr>
            </w:pPr>
            <w:r>
              <w:rPr>
                <w:color w:val="auto"/>
                <w:sz w:val="24"/>
                <w:szCs w:val="24"/>
              </w:rPr>
              <w:t>-</w:t>
            </w:r>
          </w:p>
        </w:tc>
        <w:tc>
          <w:tcPr>
            <w:tcW w:w="1643" w:type="dxa"/>
            <w:tcBorders>
              <w:bottom w:val="single" w:sz="4" w:space="0" w:color="E2EFD9" w:themeColor="accent6" w:themeTint="33"/>
            </w:tcBorders>
            <w:vAlign w:val="center"/>
          </w:tcPr>
          <w:p w14:paraId="1CE5B7D5" w14:textId="63D54C27" w:rsidR="00B04499" w:rsidRPr="006156AD" w:rsidRDefault="00B04499" w:rsidP="000B2762">
            <w:pPr>
              <w:pStyle w:val="VBABODY"/>
              <w:keepNext/>
              <w:spacing w:after="0" w:line="240" w:lineRule="auto"/>
              <w:jc w:val="center"/>
              <w:rPr>
                <w:color w:val="auto"/>
                <w:sz w:val="24"/>
                <w:szCs w:val="24"/>
              </w:rPr>
            </w:pPr>
            <w:r w:rsidRPr="006156AD">
              <w:rPr>
                <w:color w:val="auto"/>
                <w:sz w:val="24"/>
                <w:szCs w:val="24"/>
              </w:rPr>
              <w:t>Annual Growth Range (2022 – 2025)</w:t>
            </w:r>
          </w:p>
        </w:tc>
        <w:tc>
          <w:tcPr>
            <w:tcW w:w="1716" w:type="dxa"/>
            <w:tcBorders>
              <w:bottom w:val="single" w:sz="4" w:space="0" w:color="E2EFD9" w:themeColor="accent6" w:themeTint="33"/>
            </w:tcBorders>
            <w:vAlign w:val="center"/>
          </w:tcPr>
          <w:p w14:paraId="33CA2CAA" w14:textId="7F475258" w:rsidR="00B04499" w:rsidRPr="006156AD" w:rsidRDefault="00B04499" w:rsidP="000B2762">
            <w:pPr>
              <w:tabs>
                <w:tab w:val="num" w:pos="1260"/>
              </w:tabs>
              <w:jc w:val="center"/>
              <w:rPr>
                <w:rFonts w:ascii="Trebuchet MS" w:hAnsi="Trebuchet MS"/>
              </w:rPr>
            </w:pPr>
            <w:r w:rsidRPr="006156AD">
              <w:rPr>
                <w:rFonts w:ascii="Trebuchet MS" w:hAnsi="Trebuchet MS"/>
              </w:rPr>
              <w:t>CAGR</w:t>
            </w:r>
          </w:p>
          <w:p w14:paraId="6E2037C4" w14:textId="6CAF5EE1" w:rsidR="00B04499" w:rsidRPr="006156AD" w:rsidRDefault="00B04499" w:rsidP="000B2762">
            <w:pPr>
              <w:pStyle w:val="VBABODY"/>
              <w:keepNext/>
              <w:spacing w:after="0" w:line="240" w:lineRule="auto"/>
              <w:jc w:val="center"/>
              <w:rPr>
                <w:color w:val="auto"/>
                <w:sz w:val="24"/>
                <w:szCs w:val="24"/>
              </w:rPr>
            </w:pPr>
            <w:r w:rsidRPr="006156AD">
              <w:rPr>
                <w:color w:val="auto"/>
                <w:sz w:val="24"/>
                <w:szCs w:val="24"/>
              </w:rPr>
              <w:t>(2021 – 2025)</w:t>
            </w:r>
          </w:p>
        </w:tc>
        <w:tc>
          <w:tcPr>
            <w:tcW w:w="1898" w:type="dxa"/>
            <w:tcBorders>
              <w:bottom w:val="single" w:sz="4" w:space="0" w:color="E2EFD9" w:themeColor="accent6" w:themeTint="33"/>
            </w:tcBorders>
            <w:tcMar>
              <w:left w:w="72" w:type="dxa"/>
              <w:right w:w="72" w:type="dxa"/>
            </w:tcMar>
            <w:vAlign w:val="center"/>
          </w:tcPr>
          <w:p w14:paraId="65085B61" w14:textId="57AF44DD" w:rsidR="00B04499" w:rsidRPr="006156AD" w:rsidRDefault="00B04499" w:rsidP="000B2762">
            <w:pPr>
              <w:pStyle w:val="VBABODY"/>
              <w:keepNext/>
              <w:spacing w:after="0" w:line="240" w:lineRule="auto"/>
              <w:jc w:val="center"/>
              <w:rPr>
                <w:color w:val="auto"/>
                <w:sz w:val="24"/>
                <w:szCs w:val="24"/>
              </w:rPr>
            </w:pPr>
            <w:r w:rsidRPr="006156AD">
              <w:rPr>
                <w:color w:val="auto"/>
                <w:sz w:val="24"/>
                <w:szCs w:val="24"/>
              </w:rPr>
              <w:t>Annual Growth Range (2026 - 2031)</w:t>
            </w:r>
          </w:p>
        </w:tc>
        <w:tc>
          <w:tcPr>
            <w:tcW w:w="1684" w:type="dxa"/>
            <w:tcBorders>
              <w:bottom w:val="single" w:sz="4" w:space="0" w:color="E2EFD9" w:themeColor="accent6" w:themeTint="33"/>
            </w:tcBorders>
            <w:vAlign w:val="center"/>
          </w:tcPr>
          <w:p w14:paraId="57AACB79" w14:textId="6E2EEB42" w:rsidR="00B04499" w:rsidRPr="006156AD" w:rsidRDefault="00B04499" w:rsidP="000B2762">
            <w:pPr>
              <w:tabs>
                <w:tab w:val="num" w:pos="1260"/>
              </w:tabs>
              <w:jc w:val="center"/>
              <w:rPr>
                <w:rFonts w:ascii="Trebuchet MS" w:hAnsi="Trebuchet MS"/>
              </w:rPr>
            </w:pPr>
            <w:r w:rsidRPr="006156AD">
              <w:rPr>
                <w:rFonts w:ascii="Trebuchet MS" w:hAnsi="Trebuchet MS"/>
              </w:rPr>
              <w:t>CAGR</w:t>
            </w:r>
          </w:p>
          <w:p w14:paraId="6DD80C4D" w14:textId="50482D8F" w:rsidR="00B04499" w:rsidRPr="006156AD" w:rsidRDefault="00B04499" w:rsidP="000B2762">
            <w:pPr>
              <w:pStyle w:val="VBABODY"/>
              <w:keepNext/>
              <w:spacing w:after="0" w:line="240" w:lineRule="auto"/>
              <w:jc w:val="center"/>
              <w:rPr>
                <w:color w:val="auto"/>
                <w:sz w:val="24"/>
                <w:szCs w:val="24"/>
              </w:rPr>
            </w:pPr>
            <w:r w:rsidRPr="006156AD">
              <w:rPr>
                <w:color w:val="auto"/>
                <w:sz w:val="24"/>
                <w:szCs w:val="24"/>
              </w:rPr>
              <w:t>(2025 – 2031)</w:t>
            </w:r>
          </w:p>
        </w:tc>
      </w:tr>
      <w:tr w:rsidR="00B04499" w:rsidRPr="006156AD" w14:paraId="635177F0" w14:textId="145CC8BB" w:rsidTr="00B04499">
        <w:trPr>
          <w:cantSplit/>
          <w:trHeight w:val="361"/>
        </w:trPr>
        <w:tc>
          <w:tcPr>
            <w:tcW w:w="1237" w:type="dxa"/>
            <w:tcBorders>
              <w:top w:val="single" w:sz="4" w:space="0" w:color="E2EFD9" w:themeColor="accent6" w:themeTint="33"/>
              <w:bottom w:val="single" w:sz="4" w:space="0" w:color="00B0F0"/>
            </w:tcBorders>
            <w:vAlign w:val="center"/>
          </w:tcPr>
          <w:p w14:paraId="694DB11B" w14:textId="77777777" w:rsidR="00B04499" w:rsidRPr="006156AD" w:rsidRDefault="00B04499" w:rsidP="00DA26F2">
            <w:pPr>
              <w:keepNext/>
              <w:jc w:val="center"/>
              <w:rPr>
                <w:rFonts w:ascii="Trebuchet MS" w:hAnsi="Trebuchet MS" w:cs="Arial"/>
                <w:kern w:val="24"/>
              </w:rPr>
            </w:pPr>
            <w:r w:rsidRPr="006156AD">
              <w:rPr>
                <w:rFonts w:ascii="Trebuchet MS" w:hAnsi="Trebuchet MS"/>
              </w:rPr>
              <w:t>Expense Projection</w:t>
            </w:r>
          </w:p>
        </w:tc>
        <w:tc>
          <w:tcPr>
            <w:tcW w:w="1643" w:type="dxa"/>
            <w:tcBorders>
              <w:top w:val="single" w:sz="4" w:space="0" w:color="E2EFD9" w:themeColor="accent6" w:themeTint="33"/>
              <w:bottom w:val="single" w:sz="4" w:space="0" w:color="00B0F0"/>
            </w:tcBorders>
            <w:tcMar>
              <w:left w:w="72" w:type="dxa"/>
              <w:right w:w="72" w:type="dxa"/>
            </w:tcMar>
            <w:vAlign w:val="center"/>
          </w:tcPr>
          <w:p w14:paraId="0FB0E567" w14:textId="24DE04D5" w:rsidR="00B04499" w:rsidRPr="006156AD" w:rsidRDefault="00B04499" w:rsidP="00DA26F2">
            <w:pPr>
              <w:keepNext/>
              <w:jc w:val="center"/>
              <w:rPr>
                <w:rFonts w:ascii="Trebuchet MS" w:hAnsi="Trebuchet MS" w:cs="Arial"/>
                <w:kern w:val="24"/>
              </w:rPr>
            </w:pPr>
            <w:r w:rsidRPr="006156AD">
              <w:rPr>
                <w:rFonts w:ascii="Trebuchet MS" w:hAnsi="Trebuchet MS"/>
              </w:rPr>
              <w:t>26.9% - 67.4%</w:t>
            </w:r>
          </w:p>
        </w:tc>
        <w:tc>
          <w:tcPr>
            <w:tcW w:w="1716" w:type="dxa"/>
            <w:tcBorders>
              <w:top w:val="single" w:sz="4" w:space="0" w:color="E2EFD9" w:themeColor="accent6" w:themeTint="33"/>
              <w:bottom w:val="single" w:sz="4" w:space="0" w:color="00B0F0"/>
            </w:tcBorders>
            <w:vAlign w:val="center"/>
          </w:tcPr>
          <w:p w14:paraId="105D6D13" w14:textId="4ED24714" w:rsidR="00B04499" w:rsidRPr="006156AD" w:rsidRDefault="00B04499" w:rsidP="00DA26F2">
            <w:pPr>
              <w:keepNext/>
              <w:jc w:val="center"/>
              <w:rPr>
                <w:rFonts w:ascii="Trebuchet MS" w:hAnsi="Trebuchet MS" w:cs="Arial"/>
                <w:b/>
                <w:kern w:val="24"/>
              </w:rPr>
            </w:pPr>
            <w:r w:rsidRPr="006156AD">
              <w:rPr>
                <w:rFonts w:ascii="Trebuchet MS" w:hAnsi="Trebuchet MS"/>
              </w:rPr>
              <w:t>38.1%</w:t>
            </w:r>
          </w:p>
        </w:tc>
        <w:tc>
          <w:tcPr>
            <w:tcW w:w="1898" w:type="dxa"/>
            <w:tcBorders>
              <w:top w:val="single" w:sz="4" w:space="0" w:color="E2EFD9" w:themeColor="accent6" w:themeTint="33"/>
              <w:bottom w:val="single" w:sz="4" w:space="0" w:color="00B0F0"/>
            </w:tcBorders>
            <w:vAlign w:val="center"/>
          </w:tcPr>
          <w:p w14:paraId="6B2E1E68" w14:textId="2410461B" w:rsidR="00B04499" w:rsidRPr="006156AD" w:rsidRDefault="00B04499" w:rsidP="00DA26F2">
            <w:pPr>
              <w:keepNext/>
              <w:jc w:val="center"/>
              <w:rPr>
                <w:rFonts w:ascii="Trebuchet MS" w:hAnsi="Trebuchet MS" w:cs="Arial"/>
                <w:b/>
                <w:kern w:val="24"/>
              </w:rPr>
            </w:pPr>
            <w:r w:rsidRPr="006156AD">
              <w:rPr>
                <w:rFonts w:ascii="Trebuchet MS" w:hAnsi="Trebuchet MS"/>
              </w:rPr>
              <w:t>18.2% - 31.1%</w:t>
            </w:r>
          </w:p>
        </w:tc>
        <w:tc>
          <w:tcPr>
            <w:tcW w:w="1684" w:type="dxa"/>
            <w:tcBorders>
              <w:top w:val="single" w:sz="4" w:space="0" w:color="E2EFD9" w:themeColor="accent6" w:themeTint="33"/>
              <w:bottom w:val="single" w:sz="4" w:space="0" w:color="00B0F0"/>
            </w:tcBorders>
            <w:vAlign w:val="center"/>
          </w:tcPr>
          <w:p w14:paraId="468D70FF" w14:textId="5C4A607E" w:rsidR="00B04499" w:rsidRPr="006156AD" w:rsidRDefault="00B04499" w:rsidP="000B2762">
            <w:pPr>
              <w:keepNext/>
              <w:jc w:val="center"/>
              <w:rPr>
                <w:rFonts w:ascii="Trebuchet MS" w:hAnsi="Trebuchet MS"/>
              </w:rPr>
            </w:pPr>
            <w:r w:rsidRPr="006156AD">
              <w:rPr>
                <w:rFonts w:ascii="Trebuchet MS" w:hAnsi="Trebuchet MS"/>
              </w:rPr>
              <w:t>25.1%</w:t>
            </w:r>
          </w:p>
        </w:tc>
      </w:tr>
    </w:tbl>
    <w:p w14:paraId="47730B47" w14:textId="77777777" w:rsidR="00AD6758" w:rsidRPr="006156AD" w:rsidRDefault="00AD6758" w:rsidP="00AD6758">
      <w:pPr>
        <w:spacing w:line="480" w:lineRule="auto"/>
        <w:jc w:val="both"/>
        <w:rPr>
          <w:rFonts w:ascii="Trebuchet MS" w:hAnsi="Trebuchet MS"/>
          <w:highlight w:val="yellow"/>
        </w:rPr>
      </w:pPr>
      <w:r w:rsidRPr="006156AD">
        <w:rPr>
          <w:rFonts w:ascii="Trebuchet MS" w:hAnsi="Trebuchet MS"/>
        </w:rPr>
        <w:tab/>
      </w:r>
    </w:p>
    <w:p w14:paraId="525A0878" w14:textId="4F003F68" w:rsidR="005E30CC" w:rsidRPr="006156AD" w:rsidRDefault="00FC47E6" w:rsidP="004C3D4B">
      <w:pPr>
        <w:spacing w:line="480" w:lineRule="auto"/>
        <w:jc w:val="both"/>
        <w:rPr>
          <w:rFonts w:ascii="Trebuchet MS" w:hAnsi="Trebuchet MS"/>
        </w:rPr>
      </w:pPr>
      <w:r w:rsidRPr="006156AD">
        <w:rPr>
          <w:rFonts w:ascii="Trebuchet MS" w:hAnsi="Trebuchet MS"/>
        </w:rPr>
        <w:t>As illustrated above, the projected annual growth in operating expenses from FY 2026 through FY 203</w:t>
      </w:r>
      <w:r w:rsidR="00955E3F" w:rsidRPr="006156AD">
        <w:rPr>
          <w:rFonts w:ascii="Trebuchet MS" w:hAnsi="Trebuchet MS"/>
        </w:rPr>
        <w:t>1</w:t>
      </w:r>
      <w:r w:rsidRPr="006156AD">
        <w:rPr>
          <w:rFonts w:ascii="Trebuchet MS" w:hAnsi="Trebuchet MS"/>
        </w:rPr>
        <w:t xml:space="preserve"> is consistent with the historical range of annual growth and corresponds to the anticipated growth in revenue, as well as the expansion of services and locations.</w:t>
      </w:r>
      <w:r w:rsidR="009F6E92" w:rsidRPr="006156AD">
        <w:rPr>
          <w:rFonts w:ascii="Trebuchet MS" w:hAnsi="Trebuchet MS"/>
        </w:rPr>
        <w:t xml:space="preserve"> </w:t>
      </w:r>
      <w:r w:rsidR="00AD6758" w:rsidRPr="006156AD">
        <w:rPr>
          <w:rFonts w:ascii="Trebuchet MS" w:hAnsi="Trebuchet MS"/>
        </w:rPr>
        <w:t>Based upon the foregoing, it is our opinion that the operating expenses within the Projections reflect</w:t>
      </w:r>
      <w:r w:rsidR="00232A0F" w:rsidRPr="006156AD">
        <w:rPr>
          <w:rFonts w:ascii="Trebuchet MS" w:hAnsi="Trebuchet MS"/>
        </w:rPr>
        <w:t xml:space="preserve"> a</w:t>
      </w:r>
      <w:r w:rsidR="00AD6758" w:rsidRPr="006156AD">
        <w:rPr>
          <w:rFonts w:ascii="Trebuchet MS" w:hAnsi="Trebuchet MS"/>
        </w:rPr>
        <w:t xml:space="preserve"> reasonable estimat</w:t>
      </w:r>
      <w:r w:rsidR="00232A0F" w:rsidRPr="006156AD">
        <w:rPr>
          <w:rFonts w:ascii="Trebuchet MS" w:hAnsi="Trebuchet MS"/>
        </w:rPr>
        <w:t>e</w:t>
      </w:r>
      <w:r w:rsidR="00AD6758" w:rsidRPr="006156AD">
        <w:rPr>
          <w:rFonts w:ascii="Trebuchet MS" w:hAnsi="Trebuchet MS"/>
        </w:rPr>
        <w:t xml:space="preserve"> of future expenses of the Applicant. </w:t>
      </w:r>
    </w:p>
    <w:p w14:paraId="25E5188F" w14:textId="77777777" w:rsidR="00740D77" w:rsidRPr="006156AD" w:rsidRDefault="00740D77" w:rsidP="00F01E07">
      <w:pPr>
        <w:tabs>
          <w:tab w:val="num" w:pos="1260"/>
        </w:tabs>
        <w:spacing w:line="480" w:lineRule="auto"/>
        <w:jc w:val="both"/>
        <w:rPr>
          <w:rFonts w:ascii="Trebuchet MS" w:hAnsi="Trebuchet MS"/>
        </w:rPr>
      </w:pPr>
    </w:p>
    <w:p w14:paraId="0FF646EB" w14:textId="67FF4D23" w:rsidR="009A2BEA" w:rsidRPr="006156AD" w:rsidRDefault="00D3103D" w:rsidP="003210F9">
      <w:pPr>
        <w:pStyle w:val="Heading3"/>
        <w:rPr>
          <w:sz w:val="24"/>
          <w:szCs w:val="24"/>
        </w:rPr>
      </w:pPr>
      <w:r w:rsidRPr="006156AD">
        <w:rPr>
          <w:sz w:val="24"/>
          <w:szCs w:val="24"/>
        </w:rPr>
        <w:t xml:space="preserve">Capital Expenditures </w:t>
      </w:r>
      <w:r w:rsidR="0050325B" w:rsidRPr="006156AD">
        <w:rPr>
          <w:sz w:val="24"/>
          <w:szCs w:val="24"/>
        </w:rPr>
        <w:t xml:space="preserve">and Proposed Project </w:t>
      </w:r>
      <w:r w:rsidR="003E00F8" w:rsidRPr="006156AD">
        <w:rPr>
          <w:sz w:val="24"/>
          <w:szCs w:val="24"/>
        </w:rPr>
        <w:t>Financing</w:t>
      </w:r>
    </w:p>
    <w:p w14:paraId="5F02BC12" w14:textId="1405BAE8" w:rsidR="00460D8A" w:rsidRPr="006156AD" w:rsidRDefault="00460D8A" w:rsidP="003A692E">
      <w:pPr>
        <w:spacing w:before="240" w:line="480" w:lineRule="auto"/>
        <w:jc w:val="both"/>
        <w:rPr>
          <w:rFonts w:ascii="Trebuchet MS" w:hAnsi="Trebuchet MS"/>
        </w:rPr>
      </w:pPr>
      <w:r w:rsidRPr="006156AD">
        <w:rPr>
          <w:rFonts w:ascii="Trebuchet MS" w:hAnsi="Trebuchet MS"/>
        </w:rPr>
        <w:t xml:space="preserve">We reviewed the project cost information set forth in the Site Evaluation Report prepared by Kadean Construction for the Proposed Project. </w:t>
      </w:r>
      <w:r w:rsidR="00690A6A" w:rsidRPr="006156AD">
        <w:rPr>
          <w:rFonts w:ascii="Trebuchet MS" w:hAnsi="Trebuchet MS"/>
        </w:rPr>
        <w:t xml:space="preserve">Kadean Construction estimated a </w:t>
      </w:r>
      <w:r w:rsidR="00C30120" w:rsidRPr="006156AD">
        <w:rPr>
          <w:rFonts w:ascii="Trebuchet MS" w:hAnsi="Trebuchet MS"/>
        </w:rPr>
        <w:t>R</w:t>
      </w:r>
      <w:r w:rsidR="00690A6A" w:rsidRPr="006156AD">
        <w:rPr>
          <w:rFonts w:ascii="Trebuchet MS" w:hAnsi="Trebuchet MS"/>
        </w:rPr>
        <w:t xml:space="preserve">ough </w:t>
      </w:r>
      <w:r w:rsidR="00C30120" w:rsidRPr="006156AD">
        <w:rPr>
          <w:rFonts w:ascii="Trebuchet MS" w:hAnsi="Trebuchet MS"/>
        </w:rPr>
        <w:t>O</w:t>
      </w:r>
      <w:r w:rsidR="00690A6A" w:rsidRPr="006156AD">
        <w:rPr>
          <w:rFonts w:ascii="Trebuchet MS" w:hAnsi="Trebuchet MS"/>
        </w:rPr>
        <w:t xml:space="preserve">rder of </w:t>
      </w:r>
      <w:r w:rsidR="00C30120" w:rsidRPr="006156AD">
        <w:rPr>
          <w:rFonts w:ascii="Trebuchet MS" w:hAnsi="Trebuchet MS"/>
        </w:rPr>
        <w:t>M</w:t>
      </w:r>
      <w:r w:rsidR="00690A6A" w:rsidRPr="006156AD">
        <w:rPr>
          <w:rFonts w:ascii="Trebuchet MS" w:hAnsi="Trebuchet MS"/>
        </w:rPr>
        <w:t>agnitude</w:t>
      </w:r>
      <w:r w:rsidR="00C30120" w:rsidRPr="006156AD">
        <w:rPr>
          <w:rFonts w:ascii="Trebuchet MS" w:hAnsi="Trebuchet MS"/>
        </w:rPr>
        <w:t xml:space="preserve"> (“ROM”)</w:t>
      </w:r>
      <w:r w:rsidR="00690A6A" w:rsidRPr="006156AD">
        <w:rPr>
          <w:rFonts w:ascii="Trebuchet MS" w:hAnsi="Trebuchet MS"/>
        </w:rPr>
        <w:t xml:space="preserve"> project cost of approximately $2.8 million</w:t>
      </w:r>
      <w:r w:rsidR="00A746D4" w:rsidRPr="006156AD">
        <w:rPr>
          <w:rFonts w:ascii="Trebuchet MS" w:hAnsi="Trebuchet MS"/>
        </w:rPr>
        <w:t>,</w:t>
      </w:r>
      <w:r w:rsidR="00690A6A" w:rsidRPr="006156AD">
        <w:rPr>
          <w:rFonts w:ascii="Trebuchet MS" w:hAnsi="Trebuchet MS"/>
        </w:rPr>
        <w:t xml:space="preserve"> </w:t>
      </w:r>
      <w:r w:rsidR="008574A1" w:rsidRPr="006156AD">
        <w:rPr>
          <w:rFonts w:ascii="Trebuchet MS" w:hAnsi="Trebuchet MS"/>
        </w:rPr>
        <w:t xml:space="preserve">at the midpoint </w:t>
      </w:r>
      <w:r w:rsidR="00A746D4" w:rsidRPr="006156AD">
        <w:rPr>
          <w:rFonts w:ascii="Trebuchet MS" w:hAnsi="Trebuchet MS"/>
        </w:rPr>
        <w:t xml:space="preserve">of the estimated range, </w:t>
      </w:r>
      <w:r w:rsidR="00690A6A" w:rsidRPr="006156AD">
        <w:rPr>
          <w:rFonts w:ascii="Trebuchet MS" w:hAnsi="Trebuchet MS"/>
        </w:rPr>
        <w:t>to update the subject facility to align with Blue Cloud’s pediatric dentistry ambulatory surgery center model. As presented, the estimate was prepared for preliminary planning purposes and is based on a conceptual renovation scope informed by existing site conditions identified during Kadean Construction’s on</w:t>
      </w:r>
      <w:r w:rsidR="00690A6A" w:rsidRPr="006156AD">
        <w:rPr>
          <w:rFonts w:ascii="Cambria Math" w:hAnsi="Cambria Math" w:cs="Cambria Math"/>
        </w:rPr>
        <w:t>‑</w:t>
      </w:r>
      <w:r w:rsidR="00690A6A" w:rsidRPr="006156AD">
        <w:rPr>
          <w:rFonts w:ascii="Trebuchet MS" w:hAnsi="Trebuchet MS"/>
        </w:rPr>
        <w:t xml:space="preserve">site assessment on February 10, 2026. Not all items included in the estimate are mandatory, and accordingly, the Applicant expects actual capital </w:t>
      </w:r>
      <w:proofErr w:type="gramStart"/>
      <w:r w:rsidR="00690A6A" w:rsidRPr="006156AD">
        <w:rPr>
          <w:rFonts w:ascii="Trebuchet MS" w:hAnsi="Trebuchet MS"/>
        </w:rPr>
        <w:t>expenditures</w:t>
      </w:r>
      <w:proofErr w:type="gramEnd"/>
      <w:r w:rsidR="00690A6A" w:rsidRPr="006156AD">
        <w:rPr>
          <w:rFonts w:ascii="Trebuchet MS" w:hAnsi="Trebuchet MS"/>
        </w:rPr>
        <w:t xml:space="preserve"> to be below the estimated amount.</w:t>
      </w:r>
    </w:p>
    <w:p w14:paraId="5CC20823" w14:textId="77777777" w:rsidR="00F20428" w:rsidRPr="006156AD" w:rsidRDefault="00F20428" w:rsidP="00460D8A">
      <w:pPr>
        <w:pStyle w:val="ListParagraph"/>
        <w:tabs>
          <w:tab w:val="num" w:pos="1260"/>
        </w:tabs>
        <w:spacing w:line="480" w:lineRule="auto"/>
        <w:ind w:left="0"/>
        <w:jc w:val="both"/>
        <w:rPr>
          <w:rFonts w:ascii="Trebuchet MS" w:hAnsi="Trebuchet MS"/>
        </w:rPr>
      </w:pPr>
    </w:p>
    <w:p w14:paraId="6E2BA63C" w14:textId="1E41C8D3" w:rsidR="00037E02" w:rsidRPr="006156AD" w:rsidRDefault="00460D8A" w:rsidP="00460D8A">
      <w:pPr>
        <w:pStyle w:val="ListParagraph"/>
        <w:tabs>
          <w:tab w:val="num" w:pos="1260"/>
        </w:tabs>
        <w:spacing w:line="480" w:lineRule="auto"/>
        <w:ind w:left="0"/>
        <w:jc w:val="both"/>
        <w:rPr>
          <w:rFonts w:ascii="Trebuchet MS" w:hAnsi="Trebuchet MS"/>
        </w:rPr>
      </w:pPr>
      <w:r w:rsidRPr="006156AD">
        <w:rPr>
          <w:rFonts w:ascii="Trebuchet MS" w:hAnsi="Trebuchet MS"/>
        </w:rPr>
        <w:t xml:space="preserve">Based on our review, the ROM estimate appears to reflect the major cost components reasonably necessary for the Proposed Project, including architectural and building system </w:t>
      </w:r>
      <w:r w:rsidR="00C30120" w:rsidRPr="006156AD">
        <w:rPr>
          <w:rFonts w:ascii="Trebuchet MS" w:hAnsi="Trebuchet MS"/>
        </w:rPr>
        <w:t>updates</w:t>
      </w:r>
      <w:r w:rsidRPr="006156AD">
        <w:rPr>
          <w:rFonts w:ascii="Trebuchet MS" w:hAnsi="Trebuchet MS"/>
        </w:rPr>
        <w:t xml:space="preserve">, mechanical, electrical, plumbing, medical gas, emergency power, data and nurse call systems, as well as design fees and contingency. The estimate was developed using generally accepted early-stage costing methodologies, including square-foot benchmarks and comparisons to similar healthcare construction projects, and reflects market conditions in the Boston metropolitan area, including regional cost premiums. </w:t>
      </w:r>
    </w:p>
    <w:p w14:paraId="3FCD0E3F" w14:textId="77777777" w:rsidR="003A692E" w:rsidRPr="006156AD" w:rsidRDefault="003A692E" w:rsidP="00460D8A">
      <w:pPr>
        <w:pStyle w:val="ListParagraph"/>
        <w:tabs>
          <w:tab w:val="num" w:pos="1260"/>
        </w:tabs>
        <w:spacing w:line="480" w:lineRule="auto"/>
        <w:ind w:left="0"/>
        <w:jc w:val="both"/>
        <w:rPr>
          <w:rFonts w:ascii="Trebuchet MS" w:hAnsi="Trebuchet MS"/>
        </w:rPr>
      </w:pPr>
    </w:p>
    <w:p w14:paraId="7B4E2E98" w14:textId="148618AB" w:rsidR="00CC4479" w:rsidRPr="006156AD" w:rsidRDefault="00460D8A" w:rsidP="00CA0FF9">
      <w:pPr>
        <w:pStyle w:val="ListParagraph"/>
        <w:tabs>
          <w:tab w:val="num" w:pos="1260"/>
        </w:tabs>
        <w:spacing w:line="480" w:lineRule="auto"/>
        <w:ind w:left="0"/>
        <w:jc w:val="both"/>
        <w:rPr>
          <w:rFonts w:ascii="Trebuchet MS" w:hAnsi="Trebuchet MS"/>
        </w:rPr>
      </w:pPr>
      <w:r w:rsidRPr="006156AD">
        <w:rPr>
          <w:rFonts w:ascii="Trebuchet MS" w:hAnsi="Trebuchet MS"/>
        </w:rPr>
        <w:t xml:space="preserve">Other than the renovation cost noted above, </w:t>
      </w:r>
      <w:r w:rsidR="004C3D4B" w:rsidRPr="006156AD">
        <w:rPr>
          <w:rFonts w:ascii="Trebuchet MS" w:hAnsi="Trebuchet MS"/>
        </w:rPr>
        <w:t>we</w:t>
      </w:r>
      <w:r w:rsidRPr="006156AD">
        <w:rPr>
          <w:rFonts w:ascii="Trebuchet MS" w:hAnsi="Trebuchet MS"/>
        </w:rPr>
        <w:t xml:space="preserve"> ha</w:t>
      </w:r>
      <w:r w:rsidR="004C3D4B" w:rsidRPr="006156AD">
        <w:rPr>
          <w:rFonts w:ascii="Trebuchet MS" w:hAnsi="Trebuchet MS"/>
        </w:rPr>
        <w:t>ve</w:t>
      </w:r>
      <w:r w:rsidRPr="006156AD">
        <w:rPr>
          <w:rFonts w:ascii="Trebuchet MS" w:hAnsi="Trebuchet MS"/>
        </w:rPr>
        <w:t xml:space="preserve"> discussed with Management the purchase price associated with the acquisition of Northeast Ambulatory Center, </w:t>
      </w:r>
      <w:proofErr w:type="gramStart"/>
      <w:r w:rsidRPr="006156AD">
        <w:rPr>
          <w:rFonts w:ascii="Trebuchet MS" w:hAnsi="Trebuchet MS"/>
        </w:rPr>
        <w:t>LLC</w:t>
      </w:r>
      <w:proofErr w:type="gramEnd"/>
      <w:r w:rsidRPr="006156AD">
        <w:rPr>
          <w:rFonts w:ascii="Trebuchet MS" w:hAnsi="Trebuchet MS"/>
        </w:rPr>
        <w:t xml:space="preserve"> and w</w:t>
      </w:r>
      <w:r w:rsidR="004C3D4B" w:rsidRPr="006156AD">
        <w:rPr>
          <w:rFonts w:ascii="Trebuchet MS" w:hAnsi="Trebuchet MS"/>
        </w:rPr>
        <w:t>ere</w:t>
      </w:r>
      <w:r w:rsidRPr="006156AD">
        <w:rPr>
          <w:rFonts w:ascii="Trebuchet MS" w:hAnsi="Trebuchet MS"/>
        </w:rPr>
        <w:t xml:space="preserve"> informed the cost of the acquisition was included in the projected</w:t>
      </w:r>
      <w:r w:rsidR="004C3D4B" w:rsidRPr="006156AD">
        <w:rPr>
          <w:rFonts w:ascii="Trebuchet MS" w:hAnsi="Trebuchet MS"/>
        </w:rPr>
        <w:t xml:space="preserve"> financials</w:t>
      </w:r>
      <w:r w:rsidRPr="006156AD">
        <w:rPr>
          <w:rFonts w:ascii="Trebuchet MS" w:hAnsi="Trebuchet MS"/>
        </w:rPr>
        <w:t xml:space="preserve"> via budget for capital expenditures and financing activities.</w:t>
      </w:r>
      <w:r w:rsidR="00CC4479" w:rsidRPr="006156AD">
        <w:rPr>
          <w:rFonts w:ascii="Trebuchet MS" w:hAnsi="Trebuchet MS"/>
        </w:rPr>
        <w:t xml:space="preserve"> </w:t>
      </w:r>
      <w:r w:rsidR="001B1CDF" w:rsidRPr="006156AD">
        <w:rPr>
          <w:rFonts w:ascii="Trebuchet MS" w:hAnsi="Trebuchet MS"/>
        </w:rPr>
        <w:t>Based on our understanding, the anticipated purchase price is not materially different from the amount typically assumed in the Applicant’s budget for ASC acquisitions</w:t>
      </w:r>
      <w:r w:rsidR="00CC4479" w:rsidRPr="006156AD">
        <w:rPr>
          <w:rFonts w:ascii="Trebuchet MS" w:hAnsi="Trebuchet MS"/>
        </w:rPr>
        <w:t>.</w:t>
      </w:r>
      <w:r w:rsidRPr="006156AD">
        <w:rPr>
          <w:rFonts w:ascii="Trebuchet MS" w:hAnsi="Trebuchet MS"/>
        </w:rPr>
        <w:t xml:space="preserve"> Specifically, the Applicant expect</w:t>
      </w:r>
      <w:r w:rsidR="00C30120" w:rsidRPr="006156AD">
        <w:rPr>
          <w:rFonts w:ascii="Trebuchet MS" w:hAnsi="Trebuchet MS"/>
        </w:rPr>
        <w:t>s</w:t>
      </w:r>
      <w:r w:rsidRPr="006156AD">
        <w:rPr>
          <w:rFonts w:ascii="Trebuchet MS" w:hAnsi="Trebuchet MS"/>
        </w:rPr>
        <w:t xml:space="preserve"> to spend roughly </w:t>
      </w:r>
      <w:r w:rsidR="001E0B25" w:rsidRPr="006156AD">
        <w:rPr>
          <w:rFonts w:ascii="Trebuchet MS" w:hAnsi="Trebuchet MS"/>
        </w:rPr>
        <w:t>$</w:t>
      </w:r>
      <w:r w:rsidRPr="006156AD">
        <w:rPr>
          <w:rFonts w:ascii="Trebuchet MS" w:hAnsi="Trebuchet MS"/>
        </w:rPr>
        <w:t>3.5</w:t>
      </w:r>
      <w:r w:rsidR="001E0B25" w:rsidRPr="006156AD">
        <w:rPr>
          <w:rFonts w:ascii="Trebuchet MS" w:hAnsi="Trebuchet MS"/>
        </w:rPr>
        <w:t xml:space="preserve"> million</w:t>
      </w:r>
      <w:r w:rsidR="00232A0F" w:rsidRPr="006156AD">
        <w:rPr>
          <w:rFonts w:ascii="Trebuchet MS" w:hAnsi="Trebuchet MS"/>
        </w:rPr>
        <w:t>,</w:t>
      </w:r>
      <w:r w:rsidRPr="006156AD">
        <w:rPr>
          <w:rFonts w:ascii="Trebuchet MS" w:hAnsi="Trebuchet MS"/>
        </w:rPr>
        <w:t xml:space="preserve"> on average</w:t>
      </w:r>
      <w:r w:rsidR="00232A0F" w:rsidRPr="006156AD">
        <w:rPr>
          <w:rFonts w:ascii="Trebuchet MS" w:hAnsi="Trebuchet MS"/>
        </w:rPr>
        <w:t>,</w:t>
      </w:r>
      <w:r w:rsidRPr="006156AD">
        <w:rPr>
          <w:rFonts w:ascii="Trebuchet MS" w:hAnsi="Trebuchet MS"/>
        </w:rPr>
        <w:t xml:space="preserve"> to acquire </w:t>
      </w:r>
      <w:r w:rsidR="00491799" w:rsidRPr="006156AD">
        <w:rPr>
          <w:rFonts w:ascii="Trebuchet MS" w:hAnsi="Trebuchet MS"/>
        </w:rPr>
        <w:t xml:space="preserve">each </w:t>
      </w:r>
      <w:r w:rsidRPr="006156AD">
        <w:rPr>
          <w:rFonts w:ascii="Trebuchet MS" w:hAnsi="Trebuchet MS"/>
        </w:rPr>
        <w:t xml:space="preserve">center. </w:t>
      </w:r>
    </w:p>
    <w:p w14:paraId="2953CDD0" w14:textId="77777777" w:rsidR="00CC4479" w:rsidRPr="006156AD" w:rsidRDefault="00CC4479" w:rsidP="00CA0FF9">
      <w:pPr>
        <w:pStyle w:val="ListParagraph"/>
        <w:tabs>
          <w:tab w:val="num" w:pos="1260"/>
        </w:tabs>
        <w:spacing w:line="480" w:lineRule="auto"/>
        <w:ind w:left="0"/>
        <w:jc w:val="both"/>
        <w:rPr>
          <w:rFonts w:ascii="Trebuchet MS" w:hAnsi="Trebuchet MS"/>
        </w:rPr>
      </w:pPr>
    </w:p>
    <w:p w14:paraId="7CEE9B4F" w14:textId="03099AD3" w:rsidR="003A692E" w:rsidRPr="006156AD" w:rsidRDefault="00460D8A" w:rsidP="00CA0FF9">
      <w:pPr>
        <w:pStyle w:val="ListParagraph"/>
        <w:tabs>
          <w:tab w:val="num" w:pos="1260"/>
        </w:tabs>
        <w:spacing w:line="480" w:lineRule="auto"/>
        <w:ind w:left="0"/>
        <w:jc w:val="both"/>
        <w:rPr>
          <w:rFonts w:ascii="Trebuchet MS" w:hAnsi="Trebuchet MS"/>
        </w:rPr>
      </w:pPr>
      <w:r w:rsidRPr="006156AD">
        <w:rPr>
          <w:rFonts w:ascii="Trebuchet MS" w:hAnsi="Trebuchet MS"/>
        </w:rPr>
        <w:t>W</w:t>
      </w:r>
      <w:r w:rsidR="00037E02" w:rsidRPr="006156AD">
        <w:rPr>
          <w:rFonts w:ascii="Trebuchet MS" w:hAnsi="Trebuchet MS"/>
        </w:rPr>
        <w:t xml:space="preserve">e reviewed the proposed financing of the Proposed Project. Based on discussions with </w:t>
      </w:r>
      <w:r w:rsidR="00740D77" w:rsidRPr="006156AD">
        <w:rPr>
          <w:rFonts w:ascii="Trebuchet MS" w:hAnsi="Trebuchet MS"/>
        </w:rPr>
        <w:t>Management</w:t>
      </w:r>
      <w:r w:rsidR="00037E02" w:rsidRPr="006156AD">
        <w:rPr>
          <w:rFonts w:ascii="Trebuchet MS" w:hAnsi="Trebuchet MS"/>
        </w:rPr>
        <w:t>, Blue Cloud plans to finance the Proposed Project using cash generated from operations and does not anticipate utilizing long</w:t>
      </w:r>
      <w:r w:rsidR="00037E02" w:rsidRPr="006156AD">
        <w:rPr>
          <w:rFonts w:ascii="Cambria Math" w:hAnsi="Cambria Math" w:cs="Cambria Math"/>
        </w:rPr>
        <w:t>‑</w:t>
      </w:r>
      <w:r w:rsidR="00037E02" w:rsidRPr="006156AD">
        <w:rPr>
          <w:rFonts w:ascii="Trebuchet MS" w:hAnsi="Trebuchet MS"/>
        </w:rPr>
        <w:t xml:space="preserve">term </w:t>
      </w:r>
      <w:proofErr w:type="gramStart"/>
      <w:r w:rsidR="00037E02" w:rsidRPr="006156AD">
        <w:rPr>
          <w:rFonts w:ascii="Trebuchet MS" w:hAnsi="Trebuchet MS"/>
        </w:rPr>
        <w:t>project</w:t>
      </w:r>
      <w:r w:rsidR="00037E02" w:rsidRPr="006156AD">
        <w:rPr>
          <w:rFonts w:ascii="Cambria Math" w:hAnsi="Cambria Math" w:cs="Cambria Math"/>
        </w:rPr>
        <w:t>‑</w:t>
      </w:r>
      <w:proofErr w:type="gramEnd"/>
      <w:r w:rsidR="00037E02" w:rsidRPr="006156AD">
        <w:rPr>
          <w:rFonts w:ascii="Trebuchet MS" w:hAnsi="Trebuchet MS"/>
        </w:rPr>
        <w:t>specific debt to fund the renovation costs</w:t>
      </w:r>
      <w:r w:rsidR="00A746D4" w:rsidRPr="006156AD">
        <w:rPr>
          <w:rFonts w:ascii="Trebuchet MS" w:hAnsi="Trebuchet MS"/>
        </w:rPr>
        <w:t>.</w:t>
      </w:r>
      <w:r w:rsidR="00A746D4" w:rsidRPr="006156AD">
        <w:t xml:space="preserve"> </w:t>
      </w:r>
      <w:r w:rsidR="00A746D4" w:rsidRPr="006156AD">
        <w:rPr>
          <w:rFonts w:ascii="Trebuchet MS" w:hAnsi="Trebuchet MS"/>
        </w:rPr>
        <w:t xml:space="preserve">Management also indicated that Blue Cloud may draw on its revolving line of credit for short-term financing needs during the renovation period. Based on </w:t>
      </w:r>
      <w:r w:rsidR="00740D77" w:rsidRPr="006156AD">
        <w:rPr>
          <w:rFonts w:ascii="Trebuchet MS" w:hAnsi="Trebuchet MS"/>
        </w:rPr>
        <w:t>M</w:t>
      </w:r>
      <w:r w:rsidR="00A746D4" w:rsidRPr="006156AD">
        <w:rPr>
          <w:rFonts w:ascii="Trebuchet MS" w:hAnsi="Trebuchet MS"/>
        </w:rPr>
        <w:t xml:space="preserve">anagement’s representations, operating cash flows are expected to be sufficient to support the capital expenditures associated with the Proposed Project. </w:t>
      </w:r>
      <w:r w:rsidR="003A692E" w:rsidRPr="006156AD">
        <w:rPr>
          <w:rFonts w:ascii="Trebuchet MS" w:hAnsi="Trebuchet MS"/>
        </w:rPr>
        <w:t xml:space="preserve">Historical net income, adjusted to exclude non-cash expenses such as share-based compensation, depreciation, amortization, and deferred rent/other, ranged from $5.9 million to $13.2 million during fiscal years 2023 through 2025. As newly developed and acquired ASC centers continue to mature </w:t>
      </w:r>
      <w:r w:rsidR="003A692E" w:rsidRPr="006156AD">
        <w:rPr>
          <w:rFonts w:ascii="Trebuchet MS" w:hAnsi="Trebuchet MS"/>
        </w:rPr>
        <w:lastRenderedPageBreak/>
        <w:t>and stabilize, the Applicant projects that net income will increase from $39.8 million in fiscal year 202</w:t>
      </w:r>
      <w:r w:rsidR="00732051" w:rsidRPr="006156AD">
        <w:rPr>
          <w:rFonts w:ascii="Trebuchet MS" w:hAnsi="Trebuchet MS"/>
        </w:rPr>
        <w:t>6</w:t>
      </w:r>
      <w:r w:rsidR="003A692E" w:rsidRPr="006156AD">
        <w:rPr>
          <w:rFonts w:ascii="Trebuchet MS" w:hAnsi="Trebuchet MS"/>
        </w:rPr>
        <w:t xml:space="preserve"> to $1</w:t>
      </w:r>
      <w:r w:rsidR="00732051" w:rsidRPr="006156AD">
        <w:rPr>
          <w:rFonts w:ascii="Trebuchet MS" w:hAnsi="Trebuchet MS"/>
        </w:rPr>
        <w:t>22</w:t>
      </w:r>
      <w:r w:rsidR="003A692E" w:rsidRPr="006156AD">
        <w:rPr>
          <w:rFonts w:ascii="Trebuchet MS" w:hAnsi="Trebuchet MS"/>
        </w:rPr>
        <w:t>.</w:t>
      </w:r>
      <w:r w:rsidR="00732051" w:rsidRPr="006156AD">
        <w:rPr>
          <w:rFonts w:ascii="Trebuchet MS" w:hAnsi="Trebuchet MS"/>
        </w:rPr>
        <w:t>7</w:t>
      </w:r>
      <w:r w:rsidR="003A692E" w:rsidRPr="006156AD">
        <w:rPr>
          <w:rFonts w:ascii="Trebuchet MS" w:hAnsi="Trebuchet MS"/>
        </w:rPr>
        <w:t xml:space="preserve"> million in fiscal year 203</w:t>
      </w:r>
      <w:r w:rsidR="00732051" w:rsidRPr="006156AD">
        <w:rPr>
          <w:rFonts w:ascii="Trebuchet MS" w:hAnsi="Trebuchet MS"/>
        </w:rPr>
        <w:t>1</w:t>
      </w:r>
      <w:r w:rsidR="003A692E" w:rsidRPr="006156AD">
        <w:rPr>
          <w:rFonts w:ascii="Trebuchet MS" w:hAnsi="Trebuchet MS"/>
        </w:rPr>
        <w:t>.</w:t>
      </w:r>
    </w:p>
    <w:p w14:paraId="61B5B55C" w14:textId="77777777" w:rsidR="00FC47E6" w:rsidRPr="006156AD" w:rsidRDefault="00FC47E6" w:rsidP="00CA0FF9">
      <w:pPr>
        <w:pStyle w:val="ListParagraph"/>
        <w:tabs>
          <w:tab w:val="num" w:pos="1260"/>
        </w:tabs>
        <w:spacing w:line="480" w:lineRule="auto"/>
        <w:ind w:left="0"/>
        <w:jc w:val="both"/>
        <w:rPr>
          <w:rFonts w:ascii="Trebuchet MS" w:hAnsi="Trebuchet MS"/>
        </w:rPr>
      </w:pPr>
    </w:p>
    <w:p w14:paraId="018B2975" w14:textId="07C125B4" w:rsidR="00037E02" w:rsidRPr="006156AD" w:rsidRDefault="00740D77" w:rsidP="00CA0FF9">
      <w:pPr>
        <w:pStyle w:val="ListParagraph"/>
        <w:tabs>
          <w:tab w:val="num" w:pos="1260"/>
        </w:tabs>
        <w:spacing w:line="480" w:lineRule="auto"/>
        <w:ind w:left="0"/>
        <w:jc w:val="both"/>
        <w:rPr>
          <w:rFonts w:ascii="Trebuchet MS" w:hAnsi="Trebuchet MS"/>
        </w:rPr>
      </w:pPr>
      <w:r w:rsidRPr="006156AD">
        <w:rPr>
          <w:rFonts w:ascii="Trebuchet MS" w:hAnsi="Trebuchet MS"/>
        </w:rPr>
        <w:t>According to M</w:t>
      </w:r>
      <w:r w:rsidR="00037E02" w:rsidRPr="006156AD">
        <w:rPr>
          <w:rFonts w:ascii="Trebuchet MS" w:hAnsi="Trebuchet MS"/>
        </w:rPr>
        <w:t xml:space="preserve">anagement, Blue Cloud has access to a $50.0 million revolving line of credit, which provides additional liquidity and financial flexibility. As of April 2026, approximately $1.5 million had been drawn on the line of credit, leaving substantial remaining availability. </w:t>
      </w:r>
    </w:p>
    <w:p w14:paraId="76654520" w14:textId="77777777" w:rsidR="00037E02" w:rsidRPr="006156AD" w:rsidRDefault="00037E02" w:rsidP="00CA0FF9">
      <w:pPr>
        <w:pStyle w:val="ListParagraph"/>
        <w:tabs>
          <w:tab w:val="num" w:pos="1260"/>
        </w:tabs>
        <w:spacing w:line="480" w:lineRule="auto"/>
        <w:ind w:left="0"/>
        <w:jc w:val="both"/>
        <w:rPr>
          <w:rFonts w:ascii="Trebuchet MS" w:hAnsi="Trebuchet MS"/>
        </w:rPr>
      </w:pPr>
    </w:p>
    <w:p w14:paraId="52878715" w14:textId="204423AD" w:rsidR="00037E02" w:rsidRPr="006156AD" w:rsidRDefault="00037E02" w:rsidP="00CA0FF9">
      <w:pPr>
        <w:pStyle w:val="ListParagraph"/>
        <w:tabs>
          <w:tab w:val="num" w:pos="1260"/>
        </w:tabs>
        <w:spacing w:line="480" w:lineRule="auto"/>
        <w:ind w:left="0"/>
        <w:jc w:val="both"/>
        <w:rPr>
          <w:rFonts w:ascii="Trebuchet MS" w:hAnsi="Trebuchet MS"/>
        </w:rPr>
      </w:pPr>
      <w:r w:rsidRPr="006156AD">
        <w:rPr>
          <w:rFonts w:ascii="Trebuchet MS" w:hAnsi="Trebuchet MS"/>
        </w:rPr>
        <w:t>Based on our review, we believe the Company’s plan to fund the Proposed Project using operating cash flows, supplemented by available revolving credit capacity, is reasonable and provides sufficient financial flexibility to absorb potential cost variability or timing differences during the renovation period.</w:t>
      </w:r>
    </w:p>
    <w:p w14:paraId="28E39F2A" w14:textId="77777777" w:rsidR="009A6C0E" w:rsidRPr="006156AD" w:rsidRDefault="009A6C0E" w:rsidP="00CA0FF9">
      <w:pPr>
        <w:pStyle w:val="ListParagraph"/>
        <w:tabs>
          <w:tab w:val="num" w:pos="1260"/>
        </w:tabs>
        <w:spacing w:line="480" w:lineRule="auto"/>
        <w:ind w:left="0"/>
        <w:jc w:val="both"/>
        <w:rPr>
          <w:rFonts w:ascii="Trebuchet MS" w:hAnsi="Trebuchet MS"/>
        </w:rPr>
      </w:pPr>
    </w:p>
    <w:p w14:paraId="1C83F7C9" w14:textId="39642B17" w:rsidR="009A2BEA" w:rsidRPr="00867E51" w:rsidRDefault="00867E51" w:rsidP="00721A34">
      <w:pPr>
        <w:pStyle w:val="Heading2"/>
        <w:rPr>
          <w:sz w:val="24"/>
          <w:szCs w:val="24"/>
          <w:u w:val="none"/>
        </w:rPr>
      </w:pPr>
      <w:r w:rsidRPr="00867E51">
        <w:rPr>
          <w:sz w:val="24"/>
          <w:szCs w:val="24"/>
          <w:u w:val="none"/>
        </w:rPr>
        <w:t>Feasibility</w:t>
      </w:r>
    </w:p>
    <w:p w14:paraId="0DC5AC25" w14:textId="77777777" w:rsidR="009A2BEA" w:rsidRPr="006156AD" w:rsidRDefault="009A2BEA">
      <w:pPr>
        <w:tabs>
          <w:tab w:val="num" w:pos="1260"/>
        </w:tabs>
        <w:spacing w:line="480" w:lineRule="auto"/>
        <w:jc w:val="both"/>
        <w:rPr>
          <w:rFonts w:ascii="Trebuchet MS" w:hAnsi="Trebuchet MS"/>
        </w:rPr>
      </w:pPr>
    </w:p>
    <w:p w14:paraId="1D9D1948" w14:textId="467158E5" w:rsidR="00B97440" w:rsidRPr="006156AD" w:rsidRDefault="00B97440" w:rsidP="00B97440">
      <w:pPr>
        <w:tabs>
          <w:tab w:val="num" w:pos="1260"/>
        </w:tabs>
        <w:spacing w:line="480" w:lineRule="auto"/>
        <w:jc w:val="both"/>
        <w:rPr>
          <w:rFonts w:ascii="Trebuchet MS" w:hAnsi="Trebuchet MS"/>
        </w:rPr>
      </w:pPr>
      <w:r w:rsidRPr="006156AD">
        <w:rPr>
          <w:rFonts w:ascii="Trebuchet MS" w:hAnsi="Trebuchet MS"/>
        </w:rPr>
        <w:t xml:space="preserve">We analyzed the Projections and Key Metrics for the Proposed Project. In preparing our analysis we considered multiple sources of information including industry metrics, historical results, and Management expectations. It is important to note that the Projections do not account for certain anticipated changes in accounting standards. These standards, which may have a material impact on individual future years, are not anticipated to have a material impact on the aggregate Projections. </w:t>
      </w:r>
    </w:p>
    <w:p w14:paraId="056C341E" w14:textId="77777777" w:rsidR="005F42AD" w:rsidRPr="006156AD" w:rsidRDefault="005F42AD" w:rsidP="00B97440">
      <w:pPr>
        <w:tabs>
          <w:tab w:val="num" w:pos="1260"/>
        </w:tabs>
        <w:spacing w:line="480" w:lineRule="auto"/>
        <w:jc w:val="both"/>
        <w:rPr>
          <w:rFonts w:ascii="Trebuchet MS" w:hAnsi="Trebuchet MS"/>
        </w:rPr>
      </w:pPr>
    </w:p>
    <w:p w14:paraId="2EDFAEE2" w14:textId="7A581F52" w:rsidR="00B97440" w:rsidRPr="006156AD" w:rsidRDefault="00B97440" w:rsidP="00B97440">
      <w:pPr>
        <w:pStyle w:val="ListParagraph"/>
        <w:tabs>
          <w:tab w:val="num" w:pos="1260"/>
        </w:tabs>
        <w:spacing w:line="480" w:lineRule="auto"/>
        <w:ind w:left="0"/>
        <w:jc w:val="both"/>
        <w:rPr>
          <w:rFonts w:ascii="Trebuchet MS" w:hAnsi="Trebuchet MS"/>
        </w:rPr>
      </w:pPr>
      <w:r w:rsidRPr="006156AD">
        <w:rPr>
          <w:rFonts w:ascii="Trebuchet MS" w:hAnsi="Trebuchet MS"/>
        </w:rPr>
        <w:t xml:space="preserve">Within the projected financial information, the Projections exhibit a cumulative operating </w:t>
      </w:r>
      <w:r w:rsidR="00CF2562" w:rsidRPr="006156AD">
        <w:rPr>
          <w:rFonts w:ascii="Trebuchet MS" w:hAnsi="Trebuchet MS"/>
        </w:rPr>
        <w:t xml:space="preserve">EBITDA </w:t>
      </w:r>
      <w:r w:rsidRPr="006156AD">
        <w:rPr>
          <w:rFonts w:ascii="Trebuchet MS" w:hAnsi="Trebuchet MS"/>
        </w:rPr>
        <w:t xml:space="preserve">surplus of approximately </w:t>
      </w:r>
      <w:r w:rsidR="00CF2562" w:rsidRPr="006156AD">
        <w:rPr>
          <w:rFonts w:ascii="Trebuchet MS" w:hAnsi="Trebuchet MS"/>
        </w:rPr>
        <w:t>26</w:t>
      </w:r>
      <w:r w:rsidRPr="006156AD">
        <w:rPr>
          <w:rFonts w:ascii="Trebuchet MS" w:hAnsi="Trebuchet MS"/>
        </w:rPr>
        <w:t>.</w:t>
      </w:r>
      <w:r w:rsidR="009A6C0E" w:rsidRPr="006156AD">
        <w:rPr>
          <w:rFonts w:ascii="Trebuchet MS" w:hAnsi="Trebuchet MS"/>
        </w:rPr>
        <w:t>3</w:t>
      </w:r>
      <w:r w:rsidR="00CF2562" w:rsidRPr="006156AD">
        <w:rPr>
          <w:rFonts w:ascii="Trebuchet MS" w:hAnsi="Trebuchet MS"/>
        </w:rPr>
        <w:t xml:space="preserve"> </w:t>
      </w:r>
      <w:r w:rsidRPr="006156AD">
        <w:rPr>
          <w:rFonts w:ascii="Trebuchet MS" w:hAnsi="Trebuchet MS"/>
        </w:rPr>
        <w:t xml:space="preserve">percent of cumulative projected total revenue for the </w:t>
      </w:r>
      <w:r w:rsidR="009A6C0E" w:rsidRPr="006156AD">
        <w:rPr>
          <w:rFonts w:ascii="Trebuchet MS" w:hAnsi="Trebuchet MS"/>
        </w:rPr>
        <w:t>six</w:t>
      </w:r>
      <w:r w:rsidR="00CF2562" w:rsidRPr="006156AD">
        <w:rPr>
          <w:rFonts w:ascii="Trebuchet MS" w:hAnsi="Trebuchet MS"/>
        </w:rPr>
        <w:t xml:space="preserve"> </w:t>
      </w:r>
      <w:r w:rsidRPr="006156AD">
        <w:rPr>
          <w:rFonts w:ascii="Trebuchet MS" w:hAnsi="Trebuchet MS"/>
        </w:rPr>
        <w:t>years from FY 202</w:t>
      </w:r>
      <w:r w:rsidR="008348B5" w:rsidRPr="006156AD">
        <w:rPr>
          <w:rFonts w:ascii="Trebuchet MS" w:hAnsi="Trebuchet MS"/>
        </w:rPr>
        <w:t>6</w:t>
      </w:r>
      <w:r w:rsidRPr="006156AD">
        <w:rPr>
          <w:rFonts w:ascii="Trebuchet MS" w:hAnsi="Trebuchet MS"/>
        </w:rPr>
        <w:t xml:space="preserve"> through FY 20</w:t>
      </w:r>
      <w:r w:rsidR="0080001F" w:rsidRPr="006156AD">
        <w:rPr>
          <w:rFonts w:ascii="Trebuchet MS" w:hAnsi="Trebuchet MS"/>
        </w:rPr>
        <w:t>3</w:t>
      </w:r>
      <w:r w:rsidR="009A6C0E" w:rsidRPr="006156AD">
        <w:rPr>
          <w:rFonts w:ascii="Trebuchet MS" w:hAnsi="Trebuchet MS"/>
        </w:rPr>
        <w:t>1</w:t>
      </w:r>
      <w:r w:rsidRPr="006156AD">
        <w:rPr>
          <w:rFonts w:ascii="Trebuchet MS" w:hAnsi="Trebuchet MS"/>
        </w:rPr>
        <w:t>. Based upon our review of the relevant documents and analysis of the Projections, we determined the anticipated EBI</w:t>
      </w:r>
      <w:r w:rsidR="00CF2562" w:rsidRPr="006156AD">
        <w:rPr>
          <w:rFonts w:ascii="Trebuchet MS" w:hAnsi="Trebuchet MS"/>
        </w:rPr>
        <w:t>T</w:t>
      </w:r>
      <w:r w:rsidRPr="006156AD">
        <w:rPr>
          <w:rFonts w:ascii="Trebuchet MS" w:hAnsi="Trebuchet MS"/>
        </w:rPr>
        <w:t xml:space="preserve">DA surplus is a reasonable expectation and is based upon feasible financial assumptions. Accordingly, we determined that the Projections are reasonable and </w:t>
      </w:r>
      <w:proofErr w:type="gramStart"/>
      <w:r w:rsidRPr="006156AD">
        <w:rPr>
          <w:rFonts w:ascii="Trebuchet MS" w:hAnsi="Trebuchet MS"/>
        </w:rPr>
        <w:t>feasible, and</w:t>
      </w:r>
      <w:proofErr w:type="gramEnd"/>
      <w:r w:rsidRPr="006156AD">
        <w:rPr>
          <w:rFonts w:ascii="Trebuchet MS" w:hAnsi="Trebuchet MS"/>
        </w:rPr>
        <w:t xml:space="preserve"> </w:t>
      </w:r>
      <w:r w:rsidR="00352341" w:rsidRPr="006156AD">
        <w:rPr>
          <w:rFonts w:ascii="Trebuchet MS" w:hAnsi="Trebuchet MS"/>
        </w:rPr>
        <w:t xml:space="preserve">are </w:t>
      </w:r>
      <w:r w:rsidRPr="006156AD">
        <w:rPr>
          <w:rFonts w:ascii="Trebuchet MS" w:hAnsi="Trebuchet MS"/>
        </w:rPr>
        <w:t xml:space="preserve">not likely to have a negative impact on the patient panel or result in a liquidation of assets of </w:t>
      </w:r>
      <w:r w:rsidR="008348B5" w:rsidRPr="006156AD">
        <w:rPr>
          <w:rFonts w:ascii="Trebuchet MS" w:hAnsi="Trebuchet MS"/>
        </w:rPr>
        <w:t>Blue Cloud</w:t>
      </w:r>
      <w:r w:rsidRPr="006156AD">
        <w:rPr>
          <w:rFonts w:ascii="Trebuchet MS" w:hAnsi="Trebuchet MS"/>
        </w:rPr>
        <w:t>.</w:t>
      </w:r>
    </w:p>
    <w:p w14:paraId="0A72D2D2" w14:textId="77777777" w:rsidR="003A692E" w:rsidRPr="006156AD" w:rsidRDefault="003A692E">
      <w:pPr>
        <w:rPr>
          <w:rFonts w:ascii="Trebuchet MS" w:hAnsi="Trebuchet MS"/>
        </w:rPr>
      </w:pPr>
    </w:p>
    <w:p w14:paraId="019BEE1D" w14:textId="578D53E2" w:rsidR="009A2BEA" w:rsidRPr="006156AD" w:rsidRDefault="00232A0F">
      <w:pPr>
        <w:rPr>
          <w:rFonts w:ascii="Trebuchet MS" w:hAnsi="Trebuchet MS"/>
        </w:rPr>
      </w:pPr>
      <w:r w:rsidRPr="006156AD">
        <w:rPr>
          <w:rFonts w:ascii="Trebuchet MS" w:hAnsi="Trebuchet MS"/>
        </w:rPr>
        <w:t xml:space="preserve">Respectfully </w:t>
      </w:r>
      <w:r w:rsidR="00D3103D" w:rsidRPr="006156AD">
        <w:rPr>
          <w:rFonts w:ascii="Trebuchet MS" w:hAnsi="Trebuchet MS"/>
        </w:rPr>
        <w:t>submitted,</w:t>
      </w:r>
    </w:p>
    <w:p w14:paraId="5A6D865A" w14:textId="77777777" w:rsidR="009A2BEA" w:rsidRPr="006156AD" w:rsidRDefault="009A2BEA">
      <w:pPr>
        <w:jc w:val="both"/>
        <w:rPr>
          <w:rFonts w:ascii="Trebuchet MS" w:hAnsi="Trebuchet MS"/>
        </w:rPr>
      </w:pPr>
    </w:p>
    <w:p w14:paraId="65B62EDF" w14:textId="688A6090" w:rsidR="00352341" w:rsidRPr="006156AD" w:rsidRDefault="00352341">
      <w:pPr>
        <w:tabs>
          <w:tab w:val="left" w:pos="-936"/>
          <w:tab w:val="left" w:pos="-720"/>
          <w:tab w:val="left" w:pos="1"/>
          <w:tab w:val="left" w:pos="1584"/>
          <w:tab w:val="left" w:pos="1764"/>
          <w:tab w:val="left" w:pos="2394"/>
          <w:tab w:val="center" w:pos="2574"/>
          <w:tab w:val="left" w:pos="2880"/>
          <w:tab w:val="left" w:pos="3600"/>
          <w:tab w:val="left" w:pos="4320"/>
          <w:tab w:val="left" w:pos="5040"/>
          <w:tab w:val="left" w:pos="5760"/>
          <w:tab w:val="left" w:pos="6480"/>
          <w:tab w:val="decimal" w:pos="7164"/>
          <w:tab w:val="decimal" w:pos="90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rebuchet MS" w:hAnsi="Trebuchet MS"/>
        </w:rPr>
      </w:pPr>
    </w:p>
    <w:p w14:paraId="035FE11C" w14:textId="0E088EE3" w:rsidR="00352341" w:rsidRPr="006156AD" w:rsidRDefault="00352341">
      <w:pPr>
        <w:tabs>
          <w:tab w:val="left" w:pos="-936"/>
          <w:tab w:val="left" w:pos="-720"/>
          <w:tab w:val="left" w:pos="1"/>
          <w:tab w:val="left" w:pos="1584"/>
          <w:tab w:val="left" w:pos="1764"/>
          <w:tab w:val="left" w:pos="2394"/>
          <w:tab w:val="center" w:pos="2574"/>
          <w:tab w:val="left" w:pos="2880"/>
          <w:tab w:val="left" w:pos="3600"/>
          <w:tab w:val="left" w:pos="4320"/>
          <w:tab w:val="left" w:pos="5040"/>
          <w:tab w:val="left" w:pos="5760"/>
          <w:tab w:val="left" w:pos="6480"/>
          <w:tab w:val="decimal" w:pos="7164"/>
          <w:tab w:val="decimal" w:pos="90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rebuchet MS" w:hAnsi="Trebuchet MS"/>
        </w:rPr>
      </w:pPr>
    </w:p>
    <w:p w14:paraId="33F81B35" w14:textId="599F7255" w:rsidR="009A2BEA" w:rsidRPr="006156AD" w:rsidRDefault="008348B5">
      <w:pPr>
        <w:spacing w:line="480" w:lineRule="auto"/>
        <w:jc w:val="both"/>
        <w:rPr>
          <w:rFonts w:ascii="Trebuchet MS" w:hAnsi="Trebuchet MS"/>
        </w:rPr>
      </w:pPr>
      <w:r w:rsidRPr="006156AD">
        <w:rPr>
          <w:rFonts w:ascii="Trebuchet MS" w:hAnsi="Trebuchet MS"/>
          <w:spacing w:val="-3"/>
        </w:rPr>
        <w:t>Principal</w:t>
      </w:r>
      <w:r w:rsidR="00D3103D" w:rsidRPr="006156AD">
        <w:rPr>
          <w:rFonts w:ascii="Trebuchet MS" w:hAnsi="Trebuchet MS"/>
          <w:spacing w:val="-3"/>
        </w:rPr>
        <w:t>, BDO USA</w:t>
      </w:r>
    </w:p>
    <w:sectPr w:rsidR="009A2BEA" w:rsidRPr="006156AD" w:rsidSect="00CE574D">
      <w:headerReference w:type="even" r:id="rId20"/>
      <w:headerReference w:type="default" r:id="rId21"/>
      <w:footerReference w:type="default" r:id="rId22"/>
      <w:headerReference w:type="first" r:id="rId23"/>
      <w:footerReference w:type="first" r:id="rId24"/>
      <w:pgSz w:w="12240" w:h="15840" w:code="1"/>
      <w:pgMar w:top="2592" w:right="1440" w:bottom="1440" w:left="1656" w:header="79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AD52F" w14:textId="77777777" w:rsidR="00F17819" w:rsidRDefault="00F17819">
      <w:r>
        <w:separator/>
      </w:r>
    </w:p>
  </w:endnote>
  <w:endnote w:type="continuationSeparator" w:id="0">
    <w:p w14:paraId="1A44A7E0" w14:textId="77777777" w:rsidR="00F17819" w:rsidRDefault="00F17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8033" w14:textId="77777777" w:rsidR="00675782" w:rsidRDefault="00675782" w:rsidP="00387925">
    <w:pPr>
      <w:pStyle w:val="BDOFooter"/>
      <w:spacing w:line="240" w:lineRule="auto"/>
      <w:ind w:right="-86"/>
      <w:rPr>
        <w:rFonts w:ascii="Trebuchet MS" w:hAnsi="Trebuchet MS"/>
        <w:color w:val="auto"/>
        <w:szCs w:val="12"/>
        <w:lang w:val="it-IT"/>
      </w:rPr>
    </w:pPr>
  </w:p>
  <w:p w14:paraId="545B322F" w14:textId="0976EF10" w:rsidR="00675782" w:rsidRPr="00387925" w:rsidRDefault="00675782" w:rsidP="00387925">
    <w:pPr>
      <w:pStyle w:val="BDOFooter"/>
      <w:spacing w:line="240" w:lineRule="auto"/>
      <w:ind w:right="-86"/>
      <w:rPr>
        <w:rFonts w:ascii="Trebuchet MS" w:hAnsi="Trebuchet MS"/>
        <w:color w:val="auto"/>
        <w:sz w:val="24"/>
        <w:lang w:val="it-IT"/>
      </w:rPr>
    </w:pPr>
    <w:r w:rsidRPr="00387925">
      <w:rPr>
        <w:rFonts w:ascii="Trebuchet MS" w:hAnsi="Trebuchet MS"/>
        <w:color w:val="auto"/>
        <w:sz w:val="24"/>
        <w:lang w:val="it-IT"/>
      </w:rPr>
      <w:t>BDO USA refers to BDO USA, P.</w:t>
    </w:r>
    <w:r w:rsidR="00CE0DAC" w:rsidRPr="00387925">
      <w:rPr>
        <w:rFonts w:ascii="Trebuchet MS" w:hAnsi="Trebuchet MS"/>
        <w:color w:val="auto"/>
        <w:sz w:val="24"/>
        <w:lang w:val="it-IT"/>
      </w:rPr>
      <w:t>C</w:t>
    </w:r>
    <w:r w:rsidRPr="00387925">
      <w:rPr>
        <w:rFonts w:ascii="Trebuchet MS" w:hAnsi="Trebuchet MS"/>
        <w:color w:val="auto"/>
        <w:sz w:val="24"/>
        <w:lang w:val="it-IT"/>
      </w:rPr>
      <w:t xml:space="preserve">., a </w:t>
    </w:r>
    <w:r w:rsidR="00F43AFF" w:rsidRPr="00387925">
      <w:rPr>
        <w:rFonts w:ascii="Trebuchet MS" w:hAnsi="Trebuchet MS"/>
        <w:color w:val="auto"/>
        <w:sz w:val="24"/>
        <w:lang w:val="it-IT"/>
      </w:rPr>
      <w:t>Virginia corporation.</w:t>
    </w:r>
  </w:p>
  <w:p w14:paraId="322A973B" w14:textId="28918408" w:rsidR="00E87482" w:rsidRPr="00387925" w:rsidRDefault="00675782" w:rsidP="00387925">
    <w:pPr>
      <w:pStyle w:val="BDOFooter"/>
      <w:spacing w:line="240" w:lineRule="auto"/>
      <w:ind w:right="-86"/>
      <w:rPr>
        <w:rFonts w:ascii="Trebuchet MS" w:hAnsi="Trebuchet MS"/>
        <w:color w:val="auto"/>
        <w:sz w:val="24"/>
        <w:lang w:val="it-IT"/>
      </w:rPr>
    </w:pPr>
    <w:r w:rsidRPr="00387925">
      <w:rPr>
        <w:rFonts w:ascii="Trebuchet MS" w:hAnsi="Trebuchet MS"/>
        <w:color w:val="auto"/>
        <w:sz w:val="24"/>
        <w:lang w:val="it-IT"/>
      </w:rPr>
      <w:t>BDO USA, P.</w:t>
    </w:r>
    <w:r w:rsidR="00CE0DAC" w:rsidRPr="00387925">
      <w:rPr>
        <w:rFonts w:ascii="Trebuchet MS" w:hAnsi="Trebuchet MS"/>
        <w:color w:val="auto"/>
        <w:sz w:val="24"/>
        <w:lang w:val="it-IT"/>
      </w:rPr>
      <w:t>C</w:t>
    </w:r>
    <w:r w:rsidRPr="00387925">
      <w:rPr>
        <w:rFonts w:ascii="Trebuchet MS" w:hAnsi="Trebuchet MS"/>
        <w:color w:val="auto"/>
        <w:sz w:val="24"/>
        <w:lang w:val="it-IT"/>
      </w:rPr>
      <w:t>. is the U.S. member of BDO International Limited, a UK company limited by guarantee, and forms part of the international BDO network of independent member firms.</w:t>
    </w:r>
  </w:p>
  <w:p w14:paraId="29F8E005" w14:textId="47C9C969" w:rsidR="0088018C" w:rsidRPr="00387925" w:rsidRDefault="00675782" w:rsidP="00387925">
    <w:pPr>
      <w:pStyle w:val="BDOFooter"/>
      <w:spacing w:line="240" w:lineRule="auto"/>
      <w:ind w:right="-86"/>
      <w:rPr>
        <w:rFonts w:ascii="Trebuchet MS" w:hAnsi="Trebuchet MS"/>
        <w:color w:val="auto"/>
        <w:sz w:val="24"/>
        <w:lang w:val="it-IT"/>
      </w:rPr>
    </w:pPr>
    <w:r w:rsidRPr="00387925">
      <w:rPr>
        <w:rFonts w:ascii="Trebuchet MS" w:hAnsi="Trebuchet MS"/>
        <w:color w:val="auto"/>
        <w:sz w:val="24"/>
        <w:lang w:val="it-IT"/>
      </w:rPr>
      <w:t>BDO is the brand name for the BDO network and for each of the BDO Member Firms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5FE2" w14:textId="77777777" w:rsidR="0088018C" w:rsidRDefault="0088018C">
    <w:pPr>
      <w:pStyle w:val="A-PageNumb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FDEA" w14:textId="77777777" w:rsidR="00690A6A" w:rsidRDefault="00690A6A">
    <w:pPr>
      <w:pStyle w:val="A-PageNumb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0C5C" w14:textId="77777777" w:rsidR="00CE574D" w:rsidRPr="00B94605" w:rsidRDefault="00CE574D" w:rsidP="00B94605">
    <w:pPr>
      <w:pStyle w:val="BDOFooter"/>
      <w:spacing w:line="240" w:lineRule="auto"/>
      <w:rPr>
        <w:rFonts w:ascii="Trebuchet MS" w:hAnsi="Trebuchet MS"/>
        <w:bCs/>
        <w:color w:val="685040"/>
        <w:sz w:val="24"/>
        <w:lang w:val="it-IT"/>
      </w:rPr>
    </w:pPr>
  </w:p>
  <w:p w14:paraId="26860C57" w14:textId="5DA87F60" w:rsidR="00675782" w:rsidRPr="00B94605" w:rsidRDefault="00675782" w:rsidP="00B94605">
    <w:pPr>
      <w:pStyle w:val="BDOFooter"/>
      <w:spacing w:line="240" w:lineRule="auto"/>
      <w:ind w:right="-86"/>
      <w:rPr>
        <w:rFonts w:ascii="Trebuchet MS" w:hAnsi="Trebuchet MS"/>
        <w:color w:val="auto"/>
        <w:sz w:val="24"/>
        <w:lang w:val="it-IT"/>
      </w:rPr>
    </w:pPr>
    <w:r w:rsidRPr="00B94605">
      <w:rPr>
        <w:rFonts w:ascii="Trebuchet MS" w:hAnsi="Trebuchet MS"/>
        <w:color w:val="auto"/>
        <w:sz w:val="24"/>
        <w:lang w:val="it-IT"/>
      </w:rPr>
      <w:t>BDO USA refers to BDO USA, P.</w:t>
    </w:r>
    <w:r w:rsidR="00CE0DAC" w:rsidRPr="00B94605">
      <w:rPr>
        <w:rFonts w:ascii="Trebuchet MS" w:hAnsi="Trebuchet MS"/>
        <w:color w:val="auto"/>
        <w:sz w:val="24"/>
        <w:lang w:val="it-IT"/>
      </w:rPr>
      <w:t>C</w:t>
    </w:r>
    <w:r w:rsidRPr="00B94605">
      <w:rPr>
        <w:rFonts w:ascii="Trebuchet MS" w:hAnsi="Trebuchet MS"/>
        <w:color w:val="auto"/>
        <w:sz w:val="24"/>
        <w:lang w:val="it-IT"/>
      </w:rPr>
      <w:t xml:space="preserve">., a </w:t>
    </w:r>
    <w:r w:rsidR="00775249" w:rsidRPr="00B94605">
      <w:rPr>
        <w:rFonts w:ascii="Trebuchet MS" w:hAnsi="Trebuchet MS"/>
        <w:color w:val="auto"/>
        <w:sz w:val="24"/>
        <w:lang w:val="it-IT"/>
      </w:rPr>
      <w:t>Virginia</w:t>
    </w:r>
    <w:r w:rsidRPr="00B94605">
      <w:rPr>
        <w:rFonts w:ascii="Trebuchet MS" w:hAnsi="Trebuchet MS"/>
        <w:color w:val="auto"/>
        <w:sz w:val="24"/>
        <w:lang w:val="it-IT"/>
      </w:rPr>
      <w:t xml:space="preserve"> corporation. </w:t>
    </w:r>
  </w:p>
  <w:p w14:paraId="709000EB" w14:textId="116A3C90" w:rsidR="00675782" w:rsidRPr="00B94605" w:rsidRDefault="00675782" w:rsidP="00B94605">
    <w:pPr>
      <w:pStyle w:val="BDOFooter"/>
      <w:spacing w:line="240" w:lineRule="auto"/>
      <w:ind w:right="-86"/>
      <w:rPr>
        <w:rFonts w:ascii="Trebuchet MS" w:hAnsi="Trebuchet MS"/>
        <w:color w:val="auto"/>
        <w:sz w:val="24"/>
        <w:lang w:val="it-IT"/>
      </w:rPr>
    </w:pPr>
    <w:r w:rsidRPr="00B94605">
      <w:rPr>
        <w:rFonts w:ascii="Trebuchet MS" w:hAnsi="Trebuchet MS"/>
        <w:color w:val="auto"/>
        <w:sz w:val="24"/>
        <w:lang w:val="it-IT"/>
      </w:rPr>
      <w:t>BDO USA, P.</w:t>
    </w:r>
    <w:r w:rsidR="00CE0DAC" w:rsidRPr="00B94605">
      <w:rPr>
        <w:rFonts w:ascii="Trebuchet MS" w:hAnsi="Trebuchet MS"/>
        <w:color w:val="auto"/>
        <w:sz w:val="24"/>
        <w:lang w:val="it-IT"/>
      </w:rPr>
      <w:t>C</w:t>
    </w:r>
    <w:r w:rsidRPr="00B94605">
      <w:rPr>
        <w:rFonts w:ascii="Trebuchet MS" w:hAnsi="Trebuchet MS"/>
        <w:color w:val="auto"/>
        <w:sz w:val="24"/>
        <w:lang w:val="it-IT"/>
      </w:rPr>
      <w:t>. is the U.S. member of BDO International Limited, a UK company limited by guarantee, and forms part of the international BDO network of independent member firms.</w:t>
    </w:r>
  </w:p>
  <w:p w14:paraId="523A72AB" w14:textId="77777777" w:rsidR="00675782" w:rsidRPr="00B94605" w:rsidRDefault="00675782" w:rsidP="00B94605">
    <w:pPr>
      <w:pStyle w:val="BDOFooter"/>
      <w:spacing w:line="240" w:lineRule="auto"/>
      <w:ind w:right="-86"/>
      <w:rPr>
        <w:rFonts w:ascii="Trebuchet MS" w:hAnsi="Trebuchet MS"/>
        <w:color w:val="auto"/>
        <w:sz w:val="24"/>
        <w:lang w:val="it-IT"/>
      </w:rPr>
    </w:pPr>
    <w:r w:rsidRPr="00B94605">
      <w:rPr>
        <w:rFonts w:ascii="Trebuchet MS" w:hAnsi="Trebuchet MS"/>
        <w:color w:val="auto"/>
        <w:sz w:val="24"/>
        <w:lang w:val="it-IT"/>
      </w:rPr>
      <w:t>BDO is the brand name for the BDO network and for each of the BDO Member Firms</w:t>
    </w:r>
  </w:p>
  <w:p w14:paraId="265421C6" w14:textId="397A5E72" w:rsidR="00116238" w:rsidRPr="00CE574D" w:rsidRDefault="00116238" w:rsidP="00675782">
    <w:pPr>
      <w:pStyle w:val="BDOFooter"/>
      <w:rPr>
        <w:rFonts w:ascii="Trebuchet MS" w:hAnsi="Trebuchet MS"/>
        <w:bCs/>
        <w:color w:val="685040"/>
        <w:szCs w:val="12"/>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6D3F4" w14:textId="77777777" w:rsidR="00F17819" w:rsidRDefault="00F17819">
      <w:r>
        <w:separator/>
      </w:r>
    </w:p>
  </w:footnote>
  <w:footnote w:type="continuationSeparator" w:id="0">
    <w:p w14:paraId="7FDAFB52" w14:textId="77777777" w:rsidR="00F17819" w:rsidRDefault="00F17819">
      <w:r>
        <w:continuationSeparator/>
      </w:r>
    </w:p>
  </w:footnote>
  <w:footnote w:id="1">
    <w:p w14:paraId="0BD42B00" w14:textId="6608FA78" w:rsidR="00C30120" w:rsidRDefault="00C30120">
      <w:pPr>
        <w:pStyle w:val="FootnoteText"/>
      </w:pPr>
      <w:r>
        <w:rPr>
          <w:rStyle w:val="FootnoteReference"/>
        </w:rPr>
        <w:footnoteRef/>
      </w:r>
      <w:r>
        <w:t xml:space="preserve"> </w:t>
      </w:r>
      <w:r w:rsidRPr="002A2786">
        <w:rPr>
          <w:rFonts w:ascii="Trebuchet MS" w:hAnsi="Trebuchet MS"/>
          <w:sz w:val="22"/>
          <w:szCs w:val="22"/>
        </w:rPr>
        <w:t xml:space="preserve">Professional and Anesthesia Revenue are generated by </w:t>
      </w:r>
      <w:r w:rsidR="00FA40D4">
        <w:rPr>
          <w:rFonts w:ascii="Trebuchet MS" w:hAnsi="Trebuchet MS"/>
          <w:sz w:val="22"/>
          <w:szCs w:val="22"/>
        </w:rPr>
        <w:t xml:space="preserve">professional </w:t>
      </w:r>
      <w:r w:rsidRPr="002A2786">
        <w:rPr>
          <w:rFonts w:ascii="Trebuchet MS" w:hAnsi="Trebuchet MS"/>
          <w:sz w:val="22"/>
          <w:szCs w:val="22"/>
        </w:rPr>
        <w:t>entities affiliated with the Applicant. These revenues are included for purposes of the consolidation of the Applicant’s financial statements.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1FC0" w14:textId="21583C00" w:rsidR="0088018C" w:rsidRDefault="0088018C" w:rsidP="00666C4E">
    <w:pPr>
      <w:pStyle w:val="Header"/>
    </w:pPr>
  </w:p>
  <w:p w14:paraId="4388BD9F" w14:textId="77777777" w:rsidR="0088018C" w:rsidRDefault="0088018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AC49" w14:textId="72D77A27" w:rsidR="00A72E5B" w:rsidRDefault="00A72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C074" w14:textId="6831B676" w:rsidR="00A72E5B" w:rsidRDefault="00A72E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34EB" w14:textId="2B0ED393" w:rsidR="0088018C" w:rsidRDefault="008801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02B3" w14:textId="480AFA50" w:rsidR="00A72E5B" w:rsidRDefault="00A72E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5CCC" w14:textId="0A73B4D1" w:rsidR="00A72E5B" w:rsidRDefault="00A72E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AFC4" w14:textId="13EC6A14" w:rsidR="0088018C" w:rsidRDefault="008801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7C89" w14:textId="4DA69374" w:rsidR="00A72E5B" w:rsidRDefault="00A72E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E471" w14:textId="0B9712C4" w:rsidR="00A72E5B" w:rsidRDefault="00A72E5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76B7" w14:textId="1DFBE203" w:rsidR="0088018C" w:rsidRPr="00B2473C" w:rsidRDefault="008348B5">
    <w:pPr>
      <w:pStyle w:val="BDONormal"/>
      <w:jc w:val="right"/>
      <w:rPr>
        <w:noProof/>
        <w:sz w:val="24"/>
        <w:lang w:eastAsia="en-US"/>
      </w:rPr>
    </w:pPr>
    <w:r w:rsidRPr="00B2473C">
      <w:rPr>
        <w:noProof/>
        <w:sz w:val="24"/>
        <w:lang w:eastAsia="en-US"/>
      </w:rPr>
      <w:t>Dennis Smythe</w:t>
    </w:r>
  </w:p>
  <w:p w14:paraId="3225536C" w14:textId="0F8C7045" w:rsidR="0088018C" w:rsidRPr="00B2473C" w:rsidRDefault="008348B5">
    <w:pPr>
      <w:pStyle w:val="BDONormal"/>
      <w:jc w:val="right"/>
      <w:rPr>
        <w:noProof/>
        <w:sz w:val="24"/>
        <w:lang w:eastAsia="en-US"/>
      </w:rPr>
    </w:pPr>
    <w:r w:rsidRPr="00B2473C">
      <w:rPr>
        <w:noProof/>
        <w:sz w:val="24"/>
        <w:lang w:eastAsia="en-US"/>
      </w:rPr>
      <w:t>Blue Cloud Pediatric Surgery Centers, LLC</w:t>
    </w:r>
    <w:r w:rsidR="00082F07" w:rsidRPr="00B2473C">
      <w:rPr>
        <w:noProof/>
        <w:sz w:val="24"/>
        <w:lang w:eastAsia="en-US"/>
      </w:rPr>
      <w:t xml:space="preserve"> </w:t>
    </w:r>
  </w:p>
  <w:p w14:paraId="0B6EA407" w14:textId="6ED29F70" w:rsidR="0088018C" w:rsidRPr="00B94605" w:rsidRDefault="0088018C" w:rsidP="00B94605">
    <w:pPr>
      <w:pStyle w:val="Header"/>
      <w:jc w:val="right"/>
      <w:rPr>
        <w:rFonts w:ascii="Trebuchet MS" w:hAnsi="Trebuchet MS"/>
      </w:rPr>
    </w:pPr>
    <w:r w:rsidRPr="00B2473C">
      <w:rPr>
        <w:rFonts w:ascii="Trebuchet MS" w:hAnsi="Trebuchet MS"/>
      </w:rPr>
      <w:t xml:space="preserve">Page </w:t>
    </w:r>
    <w:r w:rsidRPr="00B2473C">
      <w:rPr>
        <w:rFonts w:ascii="Trebuchet MS" w:hAnsi="Trebuchet MS"/>
      </w:rPr>
      <w:fldChar w:fldCharType="begin"/>
    </w:r>
    <w:r w:rsidRPr="00B2473C">
      <w:rPr>
        <w:rFonts w:ascii="Trebuchet MS" w:hAnsi="Trebuchet MS"/>
      </w:rPr>
      <w:instrText xml:space="preserve"> PAGE  </w:instrText>
    </w:r>
    <w:r w:rsidRPr="00B2473C">
      <w:rPr>
        <w:rFonts w:ascii="Trebuchet MS" w:hAnsi="Trebuchet MS"/>
      </w:rPr>
      <w:fldChar w:fldCharType="separate"/>
    </w:r>
    <w:r w:rsidR="001F04F7" w:rsidRPr="00B2473C">
      <w:rPr>
        <w:rFonts w:ascii="Trebuchet MS" w:hAnsi="Trebuchet MS"/>
        <w:noProof/>
      </w:rPr>
      <w:t>15</w:t>
    </w:r>
    <w:r w:rsidRPr="00B2473C">
      <w:rPr>
        <w:rFonts w:ascii="Trebuchet MS" w:hAnsi="Trebuchet M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F40"/>
    <w:multiLevelType w:val="hybridMultilevel"/>
    <w:tmpl w:val="5B7C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7A1C"/>
    <w:multiLevelType w:val="hybridMultilevel"/>
    <w:tmpl w:val="CA92B9AA"/>
    <w:lvl w:ilvl="0" w:tplc="E5A45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5C617E"/>
    <w:multiLevelType w:val="hybridMultilevel"/>
    <w:tmpl w:val="1F86BFEA"/>
    <w:lvl w:ilvl="0" w:tplc="FE06DFF2">
      <w:start w:val="1"/>
      <w:numFmt w:val="decimal"/>
      <w:pStyle w:val="Heading3"/>
      <w:lvlText w:val="%1."/>
      <w:lvlJc w:val="left"/>
      <w:pPr>
        <w:ind w:left="360" w:hanging="360"/>
      </w:pPr>
    </w:lvl>
    <w:lvl w:ilvl="1" w:tplc="04090017">
      <w:start w:val="1"/>
      <w:numFmt w:val="lowerLetter"/>
      <w:lvlText w:val="%2)"/>
      <w:lvlJc w:val="left"/>
      <w:pPr>
        <w:ind w:left="1080" w:hanging="360"/>
      </w:pPr>
      <w:rPr>
        <w:rFonts w:hint="default"/>
      </w:rPr>
    </w:lvl>
    <w:lvl w:ilvl="2" w:tplc="0409000F">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6F19AD"/>
    <w:multiLevelType w:val="hybridMultilevel"/>
    <w:tmpl w:val="613EF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AB0A7C"/>
    <w:multiLevelType w:val="hybridMultilevel"/>
    <w:tmpl w:val="AB44C8A8"/>
    <w:lvl w:ilvl="0" w:tplc="C4D6C8A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B5C7D"/>
    <w:multiLevelType w:val="hybridMultilevel"/>
    <w:tmpl w:val="C7CEBAD8"/>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522CEB14">
      <w:start w:val="3"/>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AB7670"/>
    <w:multiLevelType w:val="hybridMultilevel"/>
    <w:tmpl w:val="48100680"/>
    <w:lvl w:ilvl="0" w:tplc="CFA204EC">
      <w:start w:val="17"/>
      <w:numFmt w:val="bullet"/>
      <w:lvlText w:val="-"/>
      <w:lvlJc w:val="left"/>
      <w:pPr>
        <w:ind w:left="630" w:hanging="360"/>
      </w:pPr>
      <w:rPr>
        <w:rFonts w:ascii="Trebuchet MS" w:eastAsia="Times New Roman" w:hAnsi="Trebuchet MS" w:cs="Times New Roman" w:hint="default"/>
        <w:sz w:val="1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47E60524"/>
    <w:multiLevelType w:val="hybridMultilevel"/>
    <w:tmpl w:val="02E08B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2B6C12"/>
    <w:multiLevelType w:val="hybridMultilevel"/>
    <w:tmpl w:val="7958A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537381"/>
    <w:multiLevelType w:val="hybridMultilevel"/>
    <w:tmpl w:val="BDD2B262"/>
    <w:lvl w:ilvl="0" w:tplc="D90C3AD8">
      <w:start w:val="1"/>
      <w:numFmt w:val="upperRoman"/>
      <w:pStyle w:val="Heading2"/>
      <w:lvlText w:val="%1."/>
      <w:lvlJc w:val="left"/>
      <w:pPr>
        <w:ind w:left="720" w:hanging="360"/>
      </w:pPr>
      <w:rPr>
        <w:rFonts w:hint="default"/>
        <w:b/>
      </w:rPr>
    </w:lvl>
    <w:lvl w:ilvl="1" w:tplc="3CD63722">
      <w:start w:val="1"/>
      <w:numFmt w:val="upperLetter"/>
      <w:lvlText w:val="%2."/>
      <w:lvlJc w:val="left"/>
      <w:pPr>
        <w:ind w:left="1440" w:hanging="360"/>
      </w:pPr>
      <w:rPr>
        <w:rFonts w:hint="default"/>
      </w:rPr>
    </w:lvl>
    <w:lvl w:ilvl="2" w:tplc="A75C20A2">
      <w:start w:val="3"/>
      <w:numFmt w:val="decimal"/>
      <w:lvlText w:val="%3."/>
      <w:lvlJc w:val="right"/>
      <w:pPr>
        <w:ind w:left="2160" w:hanging="180"/>
      </w:pPr>
      <w:rPr>
        <w:rFonts w:hint="default"/>
      </w:rPr>
    </w:lvl>
    <w:lvl w:ilvl="3" w:tplc="353C8606">
      <w:start w:val="1"/>
      <w:numFmt w:val="lowerLetter"/>
      <w:lvlText w:val="%4."/>
      <w:lvlJc w:val="left"/>
      <w:pPr>
        <w:ind w:left="2880" w:hanging="360"/>
      </w:pPr>
      <w:rPr>
        <w:rFonts w:hint="default"/>
      </w:rPr>
    </w:lvl>
    <w:lvl w:ilvl="4" w:tplc="894EE0C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10FC6"/>
    <w:multiLevelType w:val="hybridMultilevel"/>
    <w:tmpl w:val="63A08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213D96"/>
    <w:multiLevelType w:val="multilevel"/>
    <w:tmpl w:val="D25A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5537BB"/>
    <w:multiLevelType w:val="hybridMultilevel"/>
    <w:tmpl w:val="974E1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3413482">
    <w:abstractNumId w:val="9"/>
  </w:num>
  <w:num w:numId="2" w16cid:durableId="614680818">
    <w:abstractNumId w:val="5"/>
  </w:num>
  <w:num w:numId="3" w16cid:durableId="1371034747">
    <w:abstractNumId w:val="2"/>
  </w:num>
  <w:num w:numId="4" w16cid:durableId="912280012">
    <w:abstractNumId w:val="4"/>
  </w:num>
  <w:num w:numId="5" w16cid:durableId="1651325261">
    <w:abstractNumId w:val="8"/>
  </w:num>
  <w:num w:numId="6" w16cid:durableId="570770483">
    <w:abstractNumId w:val="3"/>
  </w:num>
  <w:num w:numId="7" w16cid:durableId="458570774">
    <w:abstractNumId w:val="1"/>
  </w:num>
  <w:num w:numId="8" w16cid:durableId="995765739">
    <w:abstractNumId w:val="11"/>
  </w:num>
  <w:num w:numId="9" w16cid:durableId="956527803">
    <w:abstractNumId w:val="12"/>
  </w:num>
  <w:num w:numId="10" w16cid:durableId="1059934072">
    <w:abstractNumId w:val="6"/>
  </w:num>
  <w:num w:numId="11" w16cid:durableId="198206755">
    <w:abstractNumId w:val="10"/>
  </w:num>
  <w:num w:numId="12" w16cid:durableId="1399668704">
    <w:abstractNumId w:val="0"/>
  </w:num>
  <w:num w:numId="13" w16cid:durableId="1953170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BEA"/>
    <w:rsid w:val="00001808"/>
    <w:rsid w:val="00003A84"/>
    <w:rsid w:val="000078B4"/>
    <w:rsid w:val="000107C6"/>
    <w:rsid w:val="00010850"/>
    <w:rsid w:val="0001347A"/>
    <w:rsid w:val="0001362F"/>
    <w:rsid w:val="00017205"/>
    <w:rsid w:val="00017362"/>
    <w:rsid w:val="000176CE"/>
    <w:rsid w:val="00017BCD"/>
    <w:rsid w:val="00020954"/>
    <w:rsid w:val="00023252"/>
    <w:rsid w:val="000239A4"/>
    <w:rsid w:val="00024C32"/>
    <w:rsid w:val="00026824"/>
    <w:rsid w:val="0003136D"/>
    <w:rsid w:val="000360D9"/>
    <w:rsid w:val="00037E02"/>
    <w:rsid w:val="00041E09"/>
    <w:rsid w:val="000420D8"/>
    <w:rsid w:val="00047DA6"/>
    <w:rsid w:val="00051B4C"/>
    <w:rsid w:val="00052DBB"/>
    <w:rsid w:val="00054D6C"/>
    <w:rsid w:val="00061019"/>
    <w:rsid w:val="000663C7"/>
    <w:rsid w:val="00070D83"/>
    <w:rsid w:val="00070E4D"/>
    <w:rsid w:val="00073324"/>
    <w:rsid w:val="0007387D"/>
    <w:rsid w:val="00073E9E"/>
    <w:rsid w:val="0007441B"/>
    <w:rsid w:val="00076A6B"/>
    <w:rsid w:val="000774C5"/>
    <w:rsid w:val="00082F07"/>
    <w:rsid w:val="0008676E"/>
    <w:rsid w:val="00087D7A"/>
    <w:rsid w:val="00090EF8"/>
    <w:rsid w:val="00091546"/>
    <w:rsid w:val="00092380"/>
    <w:rsid w:val="00096418"/>
    <w:rsid w:val="000979F0"/>
    <w:rsid w:val="000A1582"/>
    <w:rsid w:val="000A1B15"/>
    <w:rsid w:val="000B22A3"/>
    <w:rsid w:val="000B2762"/>
    <w:rsid w:val="000B3F19"/>
    <w:rsid w:val="000B4F13"/>
    <w:rsid w:val="000C0D59"/>
    <w:rsid w:val="000C5084"/>
    <w:rsid w:val="000C6F35"/>
    <w:rsid w:val="000D17B6"/>
    <w:rsid w:val="000D25C0"/>
    <w:rsid w:val="000D36DA"/>
    <w:rsid w:val="000D3CF3"/>
    <w:rsid w:val="000D4168"/>
    <w:rsid w:val="000D5769"/>
    <w:rsid w:val="000D6027"/>
    <w:rsid w:val="000E30BF"/>
    <w:rsid w:val="000E384B"/>
    <w:rsid w:val="000E3F13"/>
    <w:rsid w:val="000E5C37"/>
    <w:rsid w:val="000F0078"/>
    <w:rsid w:val="00103549"/>
    <w:rsid w:val="001037EF"/>
    <w:rsid w:val="0010402D"/>
    <w:rsid w:val="00106BC8"/>
    <w:rsid w:val="00112C14"/>
    <w:rsid w:val="001154A2"/>
    <w:rsid w:val="00116238"/>
    <w:rsid w:val="00126CCA"/>
    <w:rsid w:val="0013724E"/>
    <w:rsid w:val="0014193B"/>
    <w:rsid w:val="0014288E"/>
    <w:rsid w:val="00142C5A"/>
    <w:rsid w:val="001433B2"/>
    <w:rsid w:val="00143EC7"/>
    <w:rsid w:val="00150D7A"/>
    <w:rsid w:val="001545E3"/>
    <w:rsid w:val="00156CBD"/>
    <w:rsid w:val="001609A2"/>
    <w:rsid w:val="00161BD9"/>
    <w:rsid w:val="001622A1"/>
    <w:rsid w:val="0016236D"/>
    <w:rsid w:val="00166607"/>
    <w:rsid w:val="00166DB5"/>
    <w:rsid w:val="00186DF2"/>
    <w:rsid w:val="001873E8"/>
    <w:rsid w:val="00195AE7"/>
    <w:rsid w:val="001A00AC"/>
    <w:rsid w:val="001A6740"/>
    <w:rsid w:val="001A723C"/>
    <w:rsid w:val="001B1CDF"/>
    <w:rsid w:val="001B4A22"/>
    <w:rsid w:val="001C2623"/>
    <w:rsid w:val="001C4A5E"/>
    <w:rsid w:val="001C6A66"/>
    <w:rsid w:val="001D1DA0"/>
    <w:rsid w:val="001D22D0"/>
    <w:rsid w:val="001D2535"/>
    <w:rsid w:val="001D4160"/>
    <w:rsid w:val="001D4E1A"/>
    <w:rsid w:val="001D73C5"/>
    <w:rsid w:val="001E0B25"/>
    <w:rsid w:val="001E1722"/>
    <w:rsid w:val="001E49CC"/>
    <w:rsid w:val="001E5BE2"/>
    <w:rsid w:val="001F04F7"/>
    <w:rsid w:val="001F6C6B"/>
    <w:rsid w:val="0020457C"/>
    <w:rsid w:val="002055D5"/>
    <w:rsid w:val="00206DDB"/>
    <w:rsid w:val="00211425"/>
    <w:rsid w:val="002119F3"/>
    <w:rsid w:val="00214659"/>
    <w:rsid w:val="00215002"/>
    <w:rsid w:val="00220E48"/>
    <w:rsid w:val="00224BAB"/>
    <w:rsid w:val="00227309"/>
    <w:rsid w:val="00232A0F"/>
    <w:rsid w:val="00232F06"/>
    <w:rsid w:val="00240C55"/>
    <w:rsid w:val="00240DE1"/>
    <w:rsid w:val="002415B5"/>
    <w:rsid w:val="00241E64"/>
    <w:rsid w:val="00242BF5"/>
    <w:rsid w:val="0024455D"/>
    <w:rsid w:val="0024640C"/>
    <w:rsid w:val="002471E5"/>
    <w:rsid w:val="002475FF"/>
    <w:rsid w:val="0025278F"/>
    <w:rsid w:val="00253BA7"/>
    <w:rsid w:val="002541B2"/>
    <w:rsid w:val="00254689"/>
    <w:rsid w:val="00255BDA"/>
    <w:rsid w:val="00257230"/>
    <w:rsid w:val="002636B7"/>
    <w:rsid w:val="00263C29"/>
    <w:rsid w:val="0026508C"/>
    <w:rsid w:val="00271EF3"/>
    <w:rsid w:val="002776C5"/>
    <w:rsid w:val="00280EB4"/>
    <w:rsid w:val="00286477"/>
    <w:rsid w:val="00287E8A"/>
    <w:rsid w:val="0029284B"/>
    <w:rsid w:val="0029455B"/>
    <w:rsid w:val="00295779"/>
    <w:rsid w:val="00295B22"/>
    <w:rsid w:val="00297711"/>
    <w:rsid w:val="00297A7E"/>
    <w:rsid w:val="002A1C4B"/>
    <w:rsid w:val="002A1C99"/>
    <w:rsid w:val="002A2583"/>
    <w:rsid w:val="002A2786"/>
    <w:rsid w:val="002A6D30"/>
    <w:rsid w:val="002B0A2D"/>
    <w:rsid w:val="002B25F4"/>
    <w:rsid w:val="002B2F47"/>
    <w:rsid w:val="002C0C51"/>
    <w:rsid w:val="002C50BE"/>
    <w:rsid w:val="002D0D66"/>
    <w:rsid w:val="002D0E00"/>
    <w:rsid w:val="002D643F"/>
    <w:rsid w:val="002E238B"/>
    <w:rsid w:val="002E4010"/>
    <w:rsid w:val="002E5517"/>
    <w:rsid w:val="002F6BEC"/>
    <w:rsid w:val="002F7150"/>
    <w:rsid w:val="003024A6"/>
    <w:rsid w:val="00303CFA"/>
    <w:rsid w:val="00304B3D"/>
    <w:rsid w:val="00304B75"/>
    <w:rsid w:val="00307513"/>
    <w:rsid w:val="00310ECB"/>
    <w:rsid w:val="0031162A"/>
    <w:rsid w:val="003139A7"/>
    <w:rsid w:val="00317DA7"/>
    <w:rsid w:val="00320AA7"/>
    <w:rsid w:val="003210F9"/>
    <w:rsid w:val="003230EE"/>
    <w:rsid w:val="00327537"/>
    <w:rsid w:val="00331462"/>
    <w:rsid w:val="00334D88"/>
    <w:rsid w:val="00341B87"/>
    <w:rsid w:val="003429B3"/>
    <w:rsid w:val="003448AB"/>
    <w:rsid w:val="003455B9"/>
    <w:rsid w:val="00346BF0"/>
    <w:rsid w:val="003479F5"/>
    <w:rsid w:val="003509E7"/>
    <w:rsid w:val="00351AE8"/>
    <w:rsid w:val="00352341"/>
    <w:rsid w:val="00352A30"/>
    <w:rsid w:val="003532AD"/>
    <w:rsid w:val="003654E7"/>
    <w:rsid w:val="003702F4"/>
    <w:rsid w:val="003808BD"/>
    <w:rsid w:val="00382DFE"/>
    <w:rsid w:val="00384521"/>
    <w:rsid w:val="0038565E"/>
    <w:rsid w:val="003858EB"/>
    <w:rsid w:val="003869A0"/>
    <w:rsid w:val="00387925"/>
    <w:rsid w:val="00387BAD"/>
    <w:rsid w:val="003907F2"/>
    <w:rsid w:val="003916CB"/>
    <w:rsid w:val="0039350D"/>
    <w:rsid w:val="00393C4B"/>
    <w:rsid w:val="00394E73"/>
    <w:rsid w:val="003A2962"/>
    <w:rsid w:val="003A2D86"/>
    <w:rsid w:val="003A56CE"/>
    <w:rsid w:val="003A65D4"/>
    <w:rsid w:val="003A692E"/>
    <w:rsid w:val="003B0D3E"/>
    <w:rsid w:val="003B31CA"/>
    <w:rsid w:val="003B3245"/>
    <w:rsid w:val="003B4FB9"/>
    <w:rsid w:val="003B5787"/>
    <w:rsid w:val="003C20BE"/>
    <w:rsid w:val="003C3B31"/>
    <w:rsid w:val="003D2081"/>
    <w:rsid w:val="003E00F8"/>
    <w:rsid w:val="003E0318"/>
    <w:rsid w:val="003E187B"/>
    <w:rsid w:val="003E1B77"/>
    <w:rsid w:val="003E26E3"/>
    <w:rsid w:val="003E38D4"/>
    <w:rsid w:val="003E5FF6"/>
    <w:rsid w:val="003E623A"/>
    <w:rsid w:val="003F1AB9"/>
    <w:rsid w:val="003F53A3"/>
    <w:rsid w:val="003F6E53"/>
    <w:rsid w:val="00402D5F"/>
    <w:rsid w:val="00404F3A"/>
    <w:rsid w:val="0040595B"/>
    <w:rsid w:val="00406CB5"/>
    <w:rsid w:val="004100C1"/>
    <w:rsid w:val="0041103A"/>
    <w:rsid w:val="0041108B"/>
    <w:rsid w:val="004111ED"/>
    <w:rsid w:val="00412684"/>
    <w:rsid w:val="004159E0"/>
    <w:rsid w:val="00424467"/>
    <w:rsid w:val="004270B5"/>
    <w:rsid w:val="0043247C"/>
    <w:rsid w:val="004333B3"/>
    <w:rsid w:val="00441989"/>
    <w:rsid w:val="004464C2"/>
    <w:rsid w:val="00451189"/>
    <w:rsid w:val="00460793"/>
    <w:rsid w:val="00460D8A"/>
    <w:rsid w:val="004611E1"/>
    <w:rsid w:val="004618F6"/>
    <w:rsid w:val="00463571"/>
    <w:rsid w:val="004713C1"/>
    <w:rsid w:val="0047660F"/>
    <w:rsid w:val="004851EF"/>
    <w:rsid w:val="004908D1"/>
    <w:rsid w:val="00491799"/>
    <w:rsid w:val="0049260C"/>
    <w:rsid w:val="00492A4E"/>
    <w:rsid w:val="00493679"/>
    <w:rsid w:val="00496858"/>
    <w:rsid w:val="004A20AF"/>
    <w:rsid w:val="004A218A"/>
    <w:rsid w:val="004A233E"/>
    <w:rsid w:val="004A36DB"/>
    <w:rsid w:val="004A6767"/>
    <w:rsid w:val="004A6950"/>
    <w:rsid w:val="004B53E8"/>
    <w:rsid w:val="004B6228"/>
    <w:rsid w:val="004B7322"/>
    <w:rsid w:val="004C2743"/>
    <w:rsid w:val="004C3D4B"/>
    <w:rsid w:val="004C4A11"/>
    <w:rsid w:val="004C6978"/>
    <w:rsid w:val="004C7460"/>
    <w:rsid w:val="004D057D"/>
    <w:rsid w:val="004D5A28"/>
    <w:rsid w:val="004E0FBE"/>
    <w:rsid w:val="004E5B7D"/>
    <w:rsid w:val="004E638D"/>
    <w:rsid w:val="004E65AE"/>
    <w:rsid w:val="004E6FFB"/>
    <w:rsid w:val="004F0094"/>
    <w:rsid w:val="004F014E"/>
    <w:rsid w:val="004F1EBC"/>
    <w:rsid w:val="004F2040"/>
    <w:rsid w:val="004F4399"/>
    <w:rsid w:val="004F4C45"/>
    <w:rsid w:val="004F685F"/>
    <w:rsid w:val="005006B3"/>
    <w:rsid w:val="0050076D"/>
    <w:rsid w:val="00501F79"/>
    <w:rsid w:val="0050325B"/>
    <w:rsid w:val="00506872"/>
    <w:rsid w:val="00510392"/>
    <w:rsid w:val="0051136F"/>
    <w:rsid w:val="0051183F"/>
    <w:rsid w:val="00515975"/>
    <w:rsid w:val="005205C4"/>
    <w:rsid w:val="00526631"/>
    <w:rsid w:val="00526BE2"/>
    <w:rsid w:val="00530C27"/>
    <w:rsid w:val="00531903"/>
    <w:rsid w:val="005348A2"/>
    <w:rsid w:val="00536585"/>
    <w:rsid w:val="00537ADC"/>
    <w:rsid w:val="005410A6"/>
    <w:rsid w:val="005444F8"/>
    <w:rsid w:val="00544977"/>
    <w:rsid w:val="00552650"/>
    <w:rsid w:val="0055302A"/>
    <w:rsid w:val="00554C31"/>
    <w:rsid w:val="0055592E"/>
    <w:rsid w:val="00560DCF"/>
    <w:rsid w:val="00562173"/>
    <w:rsid w:val="00562DE4"/>
    <w:rsid w:val="00564C36"/>
    <w:rsid w:val="005658C1"/>
    <w:rsid w:val="0056720B"/>
    <w:rsid w:val="0057444F"/>
    <w:rsid w:val="00575D59"/>
    <w:rsid w:val="005765D8"/>
    <w:rsid w:val="00576B99"/>
    <w:rsid w:val="00577E39"/>
    <w:rsid w:val="00582DC1"/>
    <w:rsid w:val="00584795"/>
    <w:rsid w:val="00585F0B"/>
    <w:rsid w:val="005876E8"/>
    <w:rsid w:val="0059100A"/>
    <w:rsid w:val="005952C4"/>
    <w:rsid w:val="00597417"/>
    <w:rsid w:val="005977B6"/>
    <w:rsid w:val="005A1F86"/>
    <w:rsid w:val="005A74B2"/>
    <w:rsid w:val="005A776B"/>
    <w:rsid w:val="005B09A7"/>
    <w:rsid w:val="005B62D7"/>
    <w:rsid w:val="005C0576"/>
    <w:rsid w:val="005C1BB6"/>
    <w:rsid w:val="005C32DC"/>
    <w:rsid w:val="005C49F0"/>
    <w:rsid w:val="005C4CDA"/>
    <w:rsid w:val="005C4D8D"/>
    <w:rsid w:val="005C529F"/>
    <w:rsid w:val="005C612E"/>
    <w:rsid w:val="005C64A3"/>
    <w:rsid w:val="005C72B2"/>
    <w:rsid w:val="005D1E8D"/>
    <w:rsid w:val="005D4DCB"/>
    <w:rsid w:val="005D640E"/>
    <w:rsid w:val="005E0EBE"/>
    <w:rsid w:val="005E220A"/>
    <w:rsid w:val="005E30CC"/>
    <w:rsid w:val="005E37E4"/>
    <w:rsid w:val="005E495B"/>
    <w:rsid w:val="005E77AC"/>
    <w:rsid w:val="005F038E"/>
    <w:rsid w:val="005F0889"/>
    <w:rsid w:val="005F12D1"/>
    <w:rsid w:val="005F18CB"/>
    <w:rsid w:val="005F4284"/>
    <w:rsid w:val="005F42AD"/>
    <w:rsid w:val="005F6120"/>
    <w:rsid w:val="005F697B"/>
    <w:rsid w:val="005F710E"/>
    <w:rsid w:val="005F7CDB"/>
    <w:rsid w:val="006008D9"/>
    <w:rsid w:val="00604822"/>
    <w:rsid w:val="00611340"/>
    <w:rsid w:val="006156AD"/>
    <w:rsid w:val="00615D51"/>
    <w:rsid w:val="00622680"/>
    <w:rsid w:val="00631D72"/>
    <w:rsid w:val="0063391F"/>
    <w:rsid w:val="006354B0"/>
    <w:rsid w:val="00640253"/>
    <w:rsid w:val="0064223D"/>
    <w:rsid w:val="00645080"/>
    <w:rsid w:val="00650761"/>
    <w:rsid w:val="00653ECA"/>
    <w:rsid w:val="00657B9A"/>
    <w:rsid w:val="00661581"/>
    <w:rsid w:val="00665612"/>
    <w:rsid w:val="00666966"/>
    <w:rsid w:val="00666C4E"/>
    <w:rsid w:val="00670D74"/>
    <w:rsid w:val="0067159F"/>
    <w:rsid w:val="00675328"/>
    <w:rsid w:val="00675782"/>
    <w:rsid w:val="00680B49"/>
    <w:rsid w:val="00690A6A"/>
    <w:rsid w:val="00691528"/>
    <w:rsid w:val="00691961"/>
    <w:rsid w:val="0069639A"/>
    <w:rsid w:val="006A1C83"/>
    <w:rsid w:val="006A44BA"/>
    <w:rsid w:val="006A4543"/>
    <w:rsid w:val="006A4A27"/>
    <w:rsid w:val="006A4DE3"/>
    <w:rsid w:val="006A537A"/>
    <w:rsid w:val="006A706F"/>
    <w:rsid w:val="006B1ED4"/>
    <w:rsid w:val="006B39CF"/>
    <w:rsid w:val="006B3EA8"/>
    <w:rsid w:val="006C41E3"/>
    <w:rsid w:val="006C4C2B"/>
    <w:rsid w:val="006C7942"/>
    <w:rsid w:val="006D2DF3"/>
    <w:rsid w:val="006D3A20"/>
    <w:rsid w:val="006D551C"/>
    <w:rsid w:val="006D5D0B"/>
    <w:rsid w:val="006D6B73"/>
    <w:rsid w:val="006E08A2"/>
    <w:rsid w:val="006E0C7C"/>
    <w:rsid w:val="006E31BB"/>
    <w:rsid w:val="006E4506"/>
    <w:rsid w:val="006F3AE3"/>
    <w:rsid w:val="006F608F"/>
    <w:rsid w:val="006F76B7"/>
    <w:rsid w:val="006F7912"/>
    <w:rsid w:val="00700592"/>
    <w:rsid w:val="007013DD"/>
    <w:rsid w:val="00702984"/>
    <w:rsid w:val="00703326"/>
    <w:rsid w:val="00704630"/>
    <w:rsid w:val="0070505F"/>
    <w:rsid w:val="007065FA"/>
    <w:rsid w:val="00706D27"/>
    <w:rsid w:val="00707854"/>
    <w:rsid w:val="00707BA0"/>
    <w:rsid w:val="007114E2"/>
    <w:rsid w:val="00712E80"/>
    <w:rsid w:val="00721A34"/>
    <w:rsid w:val="00721E78"/>
    <w:rsid w:val="00724E54"/>
    <w:rsid w:val="0072519C"/>
    <w:rsid w:val="00726930"/>
    <w:rsid w:val="00727099"/>
    <w:rsid w:val="00732051"/>
    <w:rsid w:val="0073707F"/>
    <w:rsid w:val="007409D2"/>
    <w:rsid w:val="00740D77"/>
    <w:rsid w:val="007478C8"/>
    <w:rsid w:val="00750625"/>
    <w:rsid w:val="00751018"/>
    <w:rsid w:val="00752AF5"/>
    <w:rsid w:val="007560FB"/>
    <w:rsid w:val="007603B7"/>
    <w:rsid w:val="00760B5A"/>
    <w:rsid w:val="00762626"/>
    <w:rsid w:val="00763630"/>
    <w:rsid w:val="007671C9"/>
    <w:rsid w:val="007674F3"/>
    <w:rsid w:val="007722CF"/>
    <w:rsid w:val="007730B1"/>
    <w:rsid w:val="00774F9E"/>
    <w:rsid w:val="00775249"/>
    <w:rsid w:val="007765B5"/>
    <w:rsid w:val="00777E0B"/>
    <w:rsid w:val="00783589"/>
    <w:rsid w:val="00783920"/>
    <w:rsid w:val="00790251"/>
    <w:rsid w:val="00791183"/>
    <w:rsid w:val="00796B8E"/>
    <w:rsid w:val="007A2507"/>
    <w:rsid w:val="007A4155"/>
    <w:rsid w:val="007A51B9"/>
    <w:rsid w:val="007A6688"/>
    <w:rsid w:val="007A6E86"/>
    <w:rsid w:val="007B2217"/>
    <w:rsid w:val="007B2CC7"/>
    <w:rsid w:val="007B3996"/>
    <w:rsid w:val="007B7352"/>
    <w:rsid w:val="007B7C79"/>
    <w:rsid w:val="007C0CF3"/>
    <w:rsid w:val="007C10D0"/>
    <w:rsid w:val="007C37D8"/>
    <w:rsid w:val="007C3C2D"/>
    <w:rsid w:val="007C4C10"/>
    <w:rsid w:val="007C57EC"/>
    <w:rsid w:val="007C63CC"/>
    <w:rsid w:val="007C6AB7"/>
    <w:rsid w:val="007C7782"/>
    <w:rsid w:val="007C7ABE"/>
    <w:rsid w:val="007D17EE"/>
    <w:rsid w:val="007D52F6"/>
    <w:rsid w:val="007D59AE"/>
    <w:rsid w:val="007E0B0C"/>
    <w:rsid w:val="007E7620"/>
    <w:rsid w:val="007F31AA"/>
    <w:rsid w:val="007F3494"/>
    <w:rsid w:val="007F54E7"/>
    <w:rsid w:val="0080001F"/>
    <w:rsid w:val="00801FE5"/>
    <w:rsid w:val="00802325"/>
    <w:rsid w:val="00805077"/>
    <w:rsid w:val="00805197"/>
    <w:rsid w:val="0080558A"/>
    <w:rsid w:val="00805ED3"/>
    <w:rsid w:val="008071E8"/>
    <w:rsid w:val="00813EC3"/>
    <w:rsid w:val="00814DA9"/>
    <w:rsid w:val="0081501C"/>
    <w:rsid w:val="008206BD"/>
    <w:rsid w:val="008212B7"/>
    <w:rsid w:val="00821464"/>
    <w:rsid w:val="00822F4D"/>
    <w:rsid w:val="0082352A"/>
    <w:rsid w:val="00824B0A"/>
    <w:rsid w:val="008254C4"/>
    <w:rsid w:val="008279BD"/>
    <w:rsid w:val="008304E7"/>
    <w:rsid w:val="0083098E"/>
    <w:rsid w:val="0083363C"/>
    <w:rsid w:val="008348B5"/>
    <w:rsid w:val="00834F5C"/>
    <w:rsid w:val="00835134"/>
    <w:rsid w:val="008353A7"/>
    <w:rsid w:val="008439FD"/>
    <w:rsid w:val="00844D71"/>
    <w:rsid w:val="00844E2A"/>
    <w:rsid w:val="00851763"/>
    <w:rsid w:val="00852457"/>
    <w:rsid w:val="00853E6B"/>
    <w:rsid w:val="008562F9"/>
    <w:rsid w:val="008574A1"/>
    <w:rsid w:val="00864604"/>
    <w:rsid w:val="00867E51"/>
    <w:rsid w:val="00871B2A"/>
    <w:rsid w:val="00875808"/>
    <w:rsid w:val="00876C43"/>
    <w:rsid w:val="0088018C"/>
    <w:rsid w:val="00882499"/>
    <w:rsid w:val="008878B2"/>
    <w:rsid w:val="008932CE"/>
    <w:rsid w:val="00896736"/>
    <w:rsid w:val="008A6AC8"/>
    <w:rsid w:val="008A7636"/>
    <w:rsid w:val="008B00C3"/>
    <w:rsid w:val="008B1409"/>
    <w:rsid w:val="008B241A"/>
    <w:rsid w:val="008B3B5C"/>
    <w:rsid w:val="008B41D7"/>
    <w:rsid w:val="008B6525"/>
    <w:rsid w:val="008C0B7E"/>
    <w:rsid w:val="008C1847"/>
    <w:rsid w:val="008C1AAB"/>
    <w:rsid w:val="008C389A"/>
    <w:rsid w:val="008C3A9B"/>
    <w:rsid w:val="008C4C16"/>
    <w:rsid w:val="008C6A48"/>
    <w:rsid w:val="008D0EFB"/>
    <w:rsid w:val="008D1533"/>
    <w:rsid w:val="008D2136"/>
    <w:rsid w:val="008D52BF"/>
    <w:rsid w:val="008D5EEA"/>
    <w:rsid w:val="008E154A"/>
    <w:rsid w:val="008E6905"/>
    <w:rsid w:val="008E6FDF"/>
    <w:rsid w:val="008F2524"/>
    <w:rsid w:val="008F3773"/>
    <w:rsid w:val="008F5352"/>
    <w:rsid w:val="00900619"/>
    <w:rsid w:val="009023DC"/>
    <w:rsid w:val="00905D9E"/>
    <w:rsid w:val="00907FAA"/>
    <w:rsid w:val="00911B44"/>
    <w:rsid w:val="00912F37"/>
    <w:rsid w:val="00913C6D"/>
    <w:rsid w:val="009143D6"/>
    <w:rsid w:val="00915AC0"/>
    <w:rsid w:val="0092098B"/>
    <w:rsid w:val="0092232A"/>
    <w:rsid w:val="009241C8"/>
    <w:rsid w:val="00925186"/>
    <w:rsid w:val="00925C65"/>
    <w:rsid w:val="009275A6"/>
    <w:rsid w:val="0093034B"/>
    <w:rsid w:val="009309D9"/>
    <w:rsid w:val="00931C14"/>
    <w:rsid w:val="00933A9A"/>
    <w:rsid w:val="00935BE9"/>
    <w:rsid w:val="0093656A"/>
    <w:rsid w:val="00937A21"/>
    <w:rsid w:val="00942493"/>
    <w:rsid w:val="0094254F"/>
    <w:rsid w:val="00944E67"/>
    <w:rsid w:val="00945F22"/>
    <w:rsid w:val="00954EE2"/>
    <w:rsid w:val="00955E3F"/>
    <w:rsid w:val="00961A06"/>
    <w:rsid w:val="0096276D"/>
    <w:rsid w:val="00965145"/>
    <w:rsid w:val="009655C1"/>
    <w:rsid w:val="00967CDE"/>
    <w:rsid w:val="00970340"/>
    <w:rsid w:val="0097269D"/>
    <w:rsid w:val="00972803"/>
    <w:rsid w:val="00973482"/>
    <w:rsid w:val="0097780F"/>
    <w:rsid w:val="00981135"/>
    <w:rsid w:val="00981CD6"/>
    <w:rsid w:val="00981E62"/>
    <w:rsid w:val="00983EB6"/>
    <w:rsid w:val="00986A1A"/>
    <w:rsid w:val="00991F08"/>
    <w:rsid w:val="00995F16"/>
    <w:rsid w:val="009A0FF6"/>
    <w:rsid w:val="009A2BEA"/>
    <w:rsid w:val="009A6C0E"/>
    <w:rsid w:val="009B1883"/>
    <w:rsid w:val="009B645B"/>
    <w:rsid w:val="009C355D"/>
    <w:rsid w:val="009C448E"/>
    <w:rsid w:val="009C52B5"/>
    <w:rsid w:val="009D1026"/>
    <w:rsid w:val="009D19C3"/>
    <w:rsid w:val="009D5319"/>
    <w:rsid w:val="009D5513"/>
    <w:rsid w:val="009E253F"/>
    <w:rsid w:val="009E2911"/>
    <w:rsid w:val="009E4600"/>
    <w:rsid w:val="009E7339"/>
    <w:rsid w:val="009E7927"/>
    <w:rsid w:val="009F125A"/>
    <w:rsid w:val="009F2ABC"/>
    <w:rsid w:val="009F3A06"/>
    <w:rsid w:val="009F5BA8"/>
    <w:rsid w:val="009F64E3"/>
    <w:rsid w:val="009F6E92"/>
    <w:rsid w:val="009F74ED"/>
    <w:rsid w:val="00A000B3"/>
    <w:rsid w:val="00A0090D"/>
    <w:rsid w:val="00A028FF"/>
    <w:rsid w:val="00A078C1"/>
    <w:rsid w:val="00A12DD4"/>
    <w:rsid w:val="00A140E8"/>
    <w:rsid w:val="00A16273"/>
    <w:rsid w:val="00A207D8"/>
    <w:rsid w:val="00A22182"/>
    <w:rsid w:val="00A22B43"/>
    <w:rsid w:val="00A23B4E"/>
    <w:rsid w:val="00A257C3"/>
    <w:rsid w:val="00A43F21"/>
    <w:rsid w:val="00A440B9"/>
    <w:rsid w:val="00A476F7"/>
    <w:rsid w:val="00A5163A"/>
    <w:rsid w:val="00A52D20"/>
    <w:rsid w:val="00A551A8"/>
    <w:rsid w:val="00A56AB4"/>
    <w:rsid w:val="00A6080A"/>
    <w:rsid w:val="00A67D9C"/>
    <w:rsid w:val="00A705D2"/>
    <w:rsid w:val="00A72E5B"/>
    <w:rsid w:val="00A73D48"/>
    <w:rsid w:val="00A746D4"/>
    <w:rsid w:val="00A824C4"/>
    <w:rsid w:val="00A8313E"/>
    <w:rsid w:val="00A86634"/>
    <w:rsid w:val="00A90AE0"/>
    <w:rsid w:val="00A9112E"/>
    <w:rsid w:val="00A9181D"/>
    <w:rsid w:val="00A92D78"/>
    <w:rsid w:val="00A9365D"/>
    <w:rsid w:val="00A9509A"/>
    <w:rsid w:val="00AA00BC"/>
    <w:rsid w:val="00AA22E3"/>
    <w:rsid w:val="00AA3859"/>
    <w:rsid w:val="00AA4FE0"/>
    <w:rsid w:val="00AA6249"/>
    <w:rsid w:val="00AB07D6"/>
    <w:rsid w:val="00AB1180"/>
    <w:rsid w:val="00AB2998"/>
    <w:rsid w:val="00AB2A1F"/>
    <w:rsid w:val="00AB4425"/>
    <w:rsid w:val="00AC2505"/>
    <w:rsid w:val="00AC459C"/>
    <w:rsid w:val="00AC60A9"/>
    <w:rsid w:val="00AD2805"/>
    <w:rsid w:val="00AD6758"/>
    <w:rsid w:val="00AE491E"/>
    <w:rsid w:val="00AF0FFC"/>
    <w:rsid w:val="00AF2C0F"/>
    <w:rsid w:val="00AF6EB7"/>
    <w:rsid w:val="00B010BA"/>
    <w:rsid w:val="00B015B1"/>
    <w:rsid w:val="00B02F8C"/>
    <w:rsid w:val="00B04499"/>
    <w:rsid w:val="00B16029"/>
    <w:rsid w:val="00B161CD"/>
    <w:rsid w:val="00B23DE2"/>
    <w:rsid w:val="00B2473C"/>
    <w:rsid w:val="00B26FD1"/>
    <w:rsid w:val="00B2776B"/>
    <w:rsid w:val="00B27F31"/>
    <w:rsid w:val="00B3617A"/>
    <w:rsid w:val="00B406EE"/>
    <w:rsid w:val="00B423AF"/>
    <w:rsid w:val="00B467DD"/>
    <w:rsid w:val="00B46A21"/>
    <w:rsid w:val="00B52B70"/>
    <w:rsid w:val="00B5637D"/>
    <w:rsid w:val="00B60431"/>
    <w:rsid w:val="00B616AF"/>
    <w:rsid w:val="00B6361F"/>
    <w:rsid w:val="00B7075E"/>
    <w:rsid w:val="00B715B8"/>
    <w:rsid w:val="00B72112"/>
    <w:rsid w:val="00B72654"/>
    <w:rsid w:val="00B774AB"/>
    <w:rsid w:val="00B80442"/>
    <w:rsid w:val="00B81878"/>
    <w:rsid w:val="00B81E54"/>
    <w:rsid w:val="00B83182"/>
    <w:rsid w:val="00B851E3"/>
    <w:rsid w:val="00B865B6"/>
    <w:rsid w:val="00B86FA0"/>
    <w:rsid w:val="00B90589"/>
    <w:rsid w:val="00B94107"/>
    <w:rsid w:val="00B94605"/>
    <w:rsid w:val="00B97440"/>
    <w:rsid w:val="00BA2688"/>
    <w:rsid w:val="00BB55CE"/>
    <w:rsid w:val="00BB7034"/>
    <w:rsid w:val="00BC070E"/>
    <w:rsid w:val="00BC0BC3"/>
    <w:rsid w:val="00BC3403"/>
    <w:rsid w:val="00BC49DB"/>
    <w:rsid w:val="00BD0038"/>
    <w:rsid w:val="00BD21E8"/>
    <w:rsid w:val="00BD32CC"/>
    <w:rsid w:val="00BD4513"/>
    <w:rsid w:val="00BD4C73"/>
    <w:rsid w:val="00BD7045"/>
    <w:rsid w:val="00BD7120"/>
    <w:rsid w:val="00BD7D30"/>
    <w:rsid w:val="00BE0EEC"/>
    <w:rsid w:val="00BE2D0F"/>
    <w:rsid w:val="00BE3B2C"/>
    <w:rsid w:val="00BE3C4A"/>
    <w:rsid w:val="00BE3DD1"/>
    <w:rsid w:val="00BE47FC"/>
    <w:rsid w:val="00BE483E"/>
    <w:rsid w:val="00BE4D76"/>
    <w:rsid w:val="00BE71FE"/>
    <w:rsid w:val="00BF7763"/>
    <w:rsid w:val="00C04486"/>
    <w:rsid w:val="00C050DB"/>
    <w:rsid w:val="00C1121B"/>
    <w:rsid w:val="00C11ED8"/>
    <w:rsid w:val="00C13F8D"/>
    <w:rsid w:val="00C140AF"/>
    <w:rsid w:val="00C16B49"/>
    <w:rsid w:val="00C1780C"/>
    <w:rsid w:val="00C17851"/>
    <w:rsid w:val="00C2558D"/>
    <w:rsid w:val="00C30120"/>
    <w:rsid w:val="00C30147"/>
    <w:rsid w:val="00C3077E"/>
    <w:rsid w:val="00C30B63"/>
    <w:rsid w:val="00C31100"/>
    <w:rsid w:val="00C323E0"/>
    <w:rsid w:val="00C34204"/>
    <w:rsid w:val="00C44190"/>
    <w:rsid w:val="00C47CA5"/>
    <w:rsid w:val="00C51D9F"/>
    <w:rsid w:val="00C5405C"/>
    <w:rsid w:val="00C551F4"/>
    <w:rsid w:val="00C61337"/>
    <w:rsid w:val="00C61AD4"/>
    <w:rsid w:val="00C64253"/>
    <w:rsid w:val="00C658C2"/>
    <w:rsid w:val="00C66494"/>
    <w:rsid w:val="00C677EB"/>
    <w:rsid w:val="00C759D5"/>
    <w:rsid w:val="00C75D50"/>
    <w:rsid w:val="00C767B5"/>
    <w:rsid w:val="00C811D9"/>
    <w:rsid w:val="00C8124F"/>
    <w:rsid w:val="00C8139F"/>
    <w:rsid w:val="00C8349D"/>
    <w:rsid w:val="00C83A4F"/>
    <w:rsid w:val="00C842C4"/>
    <w:rsid w:val="00C907AB"/>
    <w:rsid w:val="00C91EC4"/>
    <w:rsid w:val="00C9206C"/>
    <w:rsid w:val="00C9238E"/>
    <w:rsid w:val="00C94C05"/>
    <w:rsid w:val="00C95092"/>
    <w:rsid w:val="00C958B9"/>
    <w:rsid w:val="00CA0FF9"/>
    <w:rsid w:val="00CA18A7"/>
    <w:rsid w:val="00CA58EE"/>
    <w:rsid w:val="00CB5216"/>
    <w:rsid w:val="00CB61B5"/>
    <w:rsid w:val="00CC045C"/>
    <w:rsid w:val="00CC2B4B"/>
    <w:rsid w:val="00CC4479"/>
    <w:rsid w:val="00CD0BED"/>
    <w:rsid w:val="00CD198A"/>
    <w:rsid w:val="00CD287C"/>
    <w:rsid w:val="00CD5988"/>
    <w:rsid w:val="00CD7216"/>
    <w:rsid w:val="00CE0DAC"/>
    <w:rsid w:val="00CE1924"/>
    <w:rsid w:val="00CE27E8"/>
    <w:rsid w:val="00CE5722"/>
    <w:rsid w:val="00CE574D"/>
    <w:rsid w:val="00CE621E"/>
    <w:rsid w:val="00CF2562"/>
    <w:rsid w:val="00D00311"/>
    <w:rsid w:val="00D029F4"/>
    <w:rsid w:val="00D1384E"/>
    <w:rsid w:val="00D176E7"/>
    <w:rsid w:val="00D240A5"/>
    <w:rsid w:val="00D24F8B"/>
    <w:rsid w:val="00D25C0D"/>
    <w:rsid w:val="00D25C4C"/>
    <w:rsid w:val="00D26D85"/>
    <w:rsid w:val="00D3103D"/>
    <w:rsid w:val="00D31AC0"/>
    <w:rsid w:val="00D328C0"/>
    <w:rsid w:val="00D32910"/>
    <w:rsid w:val="00D3535C"/>
    <w:rsid w:val="00D36345"/>
    <w:rsid w:val="00D36617"/>
    <w:rsid w:val="00D4762C"/>
    <w:rsid w:val="00D51375"/>
    <w:rsid w:val="00D5151F"/>
    <w:rsid w:val="00D523DB"/>
    <w:rsid w:val="00D54F26"/>
    <w:rsid w:val="00D5510B"/>
    <w:rsid w:val="00D56F05"/>
    <w:rsid w:val="00D602C8"/>
    <w:rsid w:val="00D63069"/>
    <w:rsid w:val="00D64930"/>
    <w:rsid w:val="00D652F1"/>
    <w:rsid w:val="00D6680B"/>
    <w:rsid w:val="00D740CE"/>
    <w:rsid w:val="00D74144"/>
    <w:rsid w:val="00D75C7C"/>
    <w:rsid w:val="00D77D63"/>
    <w:rsid w:val="00D814FF"/>
    <w:rsid w:val="00D81AA0"/>
    <w:rsid w:val="00D81ABB"/>
    <w:rsid w:val="00D8508E"/>
    <w:rsid w:val="00D86771"/>
    <w:rsid w:val="00D91771"/>
    <w:rsid w:val="00D93ABC"/>
    <w:rsid w:val="00D93F37"/>
    <w:rsid w:val="00D94E64"/>
    <w:rsid w:val="00D97D91"/>
    <w:rsid w:val="00DA1513"/>
    <w:rsid w:val="00DA63DD"/>
    <w:rsid w:val="00DB14E7"/>
    <w:rsid w:val="00DB521B"/>
    <w:rsid w:val="00DB6E45"/>
    <w:rsid w:val="00DC0097"/>
    <w:rsid w:val="00DC35A6"/>
    <w:rsid w:val="00DC6493"/>
    <w:rsid w:val="00DD088E"/>
    <w:rsid w:val="00DD23D2"/>
    <w:rsid w:val="00DD261D"/>
    <w:rsid w:val="00DD5CAE"/>
    <w:rsid w:val="00DD68C4"/>
    <w:rsid w:val="00DE01DA"/>
    <w:rsid w:val="00DE5EBF"/>
    <w:rsid w:val="00DE669B"/>
    <w:rsid w:val="00DF1285"/>
    <w:rsid w:val="00DF24CE"/>
    <w:rsid w:val="00DF6F96"/>
    <w:rsid w:val="00E025D2"/>
    <w:rsid w:val="00E06447"/>
    <w:rsid w:val="00E067F9"/>
    <w:rsid w:val="00E07A19"/>
    <w:rsid w:val="00E10EF7"/>
    <w:rsid w:val="00E10F23"/>
    <w:rsid w:val="00E15841"/>
    <w:rsid w:val="00E2075B"/>
    <w:rsid w:val="00E20F47"/>
    <w:rsid w:val="00E21542"/>
    <w:rsid w:val="00E22C81"/>
    <w:rsid w:val="00E24676"/>
    <w:rsid w:val="00E2519E"/>
    <w:rsid w:val="00E25754"/>
    <w:rsid w:val="00E31264"/>
    <w:rsid w:val="00E32A8D"/>
    <w:rsid w:val="00E3456E"/>
    <w:rsid w:val="00E35FCE"/>
    <w:rsid w:val="00E36655"/>
    <w:rsid w:val="00E3744F"/>
    <w:rsid w:val="00E42087"/>
    <w:rsid w:val="00E435E1"/>
    <w:rsid w:val="00E44297"/>
    <w:rsid w:val="00E46C18"/>
    <w:rsid w:val="00E47711"/>
    <w:rsid w:val="00E56030"/>
    <w:rsid w:val="00E56196"/>
    <w:rsid w:val="00E57CD3"/>
    <w:rsid w:val="00E60347"/>
    <w:rsid w:val="00E6299B"/>
    <w:rsid w:val="00E62BE4"/>
    <w:rsid w:val="00E63708"/>
    <w:rsid w:val="00E67A2A"/>
    <w:rsid w:val="00E73EBF"/>
    <w:rsid w:val="00E76D4E"/>
    <w:rsid w:val="00E806A5"/>
    <w:rsid w:val="00E86A34"/>
    <w:rsid w:val="00E86E4B"/>
    <w:rsid w:val="00E87302"/>
    <w:rsid w:val="00E87482"/>
    <w:rsid w:val="00E8752D"/>
    <w:rsid w:val="00E92384"/>
    <w:rsid w:val="00E937C1"/>
    <w:rsid w:val="00E95333"/>
    <w:rsid w:val="00E971EB"/>
    <w:rsid w:val="00EA04A6"/>
    <w:rsid w:val="00EA1DDC"/>
    <w:rsid w:val="00EA236F"/>
    <w:rsid w:val="00EA3E37"/>
    <w:rsid w:val="00EA44AD"/>
    <w:rsid w:val="00EA4CD1"/>
    <w:rsid w:val="00EB1286"/>
    <w:rsid w:val="00EB3D86"/>
    <w:rsid w:val="00EB4278"/>
    <w:rsid w:val="00EB750A"/>
    <w:rsid w:val="00EB79C0"/>
    <w:rsid w:val="00EC1155"/>
    <w:rsid w:val="00EC38E5"/>
    <w:rsid w:val="00EC4BD7"/>
    <w:rsid w:val="00EC68A9"/>
    <w:rsid w:val="00ED4B5E"/>
    <w:rsid w:val="00ED7761"/>
    <w:rsid w:val="00EE1CC2"/>
    <w:rsid w:val="00EE2F99"/>
    <w:rsid w:val="00EE31BC"/>
    <w:rsid w:val="00EE5DF7"/>
    <w:rsid w:val="00EF1F11"/>
    <w:rsid w:val="00EF2CDC"/>
    <w:rsid w:val="00EF5377"/>
    <w:rsid w:val="00EF5D0C"/>
    <w:rsid w:val="00EF7CF2"/>
    <w:rsid w:val="00F0010A"/>
    <w:rsid w:val="00F01E07"/>
    <w:rsid w:val="00F06254"/>
    <w:rsid w:val="00F06A6C"/>
    <w:rsid w:val="00F1063E"/>
    <w:rsid w:val="00F119C3"/>
    <w:rsid w:val="00F17819"/>
    <w:rsid w:val="00F20425"/>
    <w:rsid w:val="00F20428"/>
    <w:rsid w:val="00F23D8F"/>
    <w:rsid w:val="00F30FC0"/>
    <w:rsid w:val="00F326C0"/>
    <w:rsid w:val="00F33A6C"/>
    <w:rsid w:val="00F3710B"/>
    <w:rsid w:val="00F41377"/>
    <w:rsid w:val="00F41BF0"/>
    <w:rsid w:val="00F430F0"/>
    <w:rsid w:val="00F43AFF"/>
    <w:rsid w:val="00F4764C"/>
    <w:rsid w:val="00F47CA6"/>
    <w:rsid w:val="00F5452F"/>
    <w:rsid w:val="00F57A61"/>
    <w:rsid w:val="00F613C5"/>
    <w:rsid w:val="00F624EC"/>
    <w:rsid w:val="00F62A90"/>
    <w:rsid w:val="00F7242A"/>
    <w:rsid w:val="00F73E4F"/>
    <w:rsid w:val="00F75250"/>
    <w:rsid w:val="00F75D2E"/>
    <w:rsid w:val="00F76189"/>
    <w:rsid w:val="00F81149"/>
    <w:rsid w:val="00F84503"/>
    <w:rsid w:val="00F8574D"/>
    <w:rsid w:val="00F86A54"/>
    <w:rsid w:val="00F86D9F"/>
    <w:rsid w:val="00F90008"/>
    <w:rsid w:val="00F90A08"/>
    <w:rsid w:val="00F9123F"/>
    <w:rsid w:val="00F91D62"/>
    <w:rsid w:val="00F93F12"/>
    <w:rsid w:val="00F940AF"/>
    <w:rsid w:val="00F94783"/>
    <w:rsid w:val="00F950A9"/>
    <w:rsid w:val="00F96B65"/>
    <w:rsid w:val="00F97608"/>
    <w:rsid w:val="00FA2477"/>
    <w:rsid w:val="00FA40D4"/>
    <w:rsid w:val="00FA7A99"/>
    <w:rsid w:val="00FB47CD"/>
    <w:rsid w:val="00FB4B5E"/>
    <w:rsid w:val="00FB510E"/>
    <w:rsid w:val="00FB6615"/>
    <w:rsid w:val="00FB7F08"/>
    <w:rsid w:val="00FC24A9"/>
    <w:rsid w:val="00FC3368"/>
    <w:rsid w:val="00FC47E6"/>
    <w:rsid w:val="00FC48F0"/>
    <w:rsid w:val="00FC6027"/>
    <w:rsid w:val="00FD0BF5"/>
    <w:rsid w:val="00FD2D51"/>
    <w:rsid w:val="00FD6AF5"/>
    <w:rsid w:val="00FD750E"/>
    <w:rsid w:val="00FE0342"/>
    <w:rsid w:val="00FE2A0F"/>
    <w:rsid w:val="00FE2F5E"/>
    <w:rsid w:val="00FE32A8"/>
    <w:rsid w:val="00FE4C50"/>
    <w:rsid w:val="00FE5EBC"/>
    <w:rsid w:val="00FE611D"/>
    <w:rsid w:val="00FE68A8"/>
    <w:rsid w:val="00FF58F0"/>
    <w:rsid w:val="00FF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80CBE"/>
  <w15:chartTrackingRefBased/>
  <w15:docId w15:val="{62FC7030-79E8-4620-9271-0C880ACB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tabs>
        <w:tab w:val="left" w:pos="144"/>
        <w:tab w:val="left" w:pos="1224"/>
        <w:tab w:val="left" w:pos="1674"/>
        <w:tab w:val="left" w:pos="5364"/>
        <w:tab w:val="left" w:pos="5994"/>
        <w:tab w:val="left" w:pos="8244"/>
      </w:tabs>
      <w:outlineLvl w:val="0"/>
    </w:pPr>
    <w:rPr>
      <w:b/>
      <w:szCs w:val="20"/>
      <w:u w:val="single"/>
    </w:rPr>
  </w:style>
  <w:style w:type="paragraph" w:styleId="Heading2">
    <w:name w:val="heading 2"/>
    <w:basedOn w:val="Heading1"/>
    <w:next w:val="Normal"/>
    <w:link w:val="Heading2Char"/>
    <w:uiPriority w:val="9"/>
    <w:unhideWhenUsed/>
    <w:qFormat/>
    <w:rsid w:val="00721A34"/>
    <w:pPr>
      <w:keepNext w:val="0"/>
      <w:numPr>
        <w:numId w:val="1"/>
      </w:numPr>
      <w:tabs>
        <w:tab w:val="clear" w:pos="144"/>
      </w:tabs>
      <w:spacing w:line="480" w:lineRule="auto"/>
      <w:ind w:hanging="720"/>
      <w:outlineLvl w:val="1"/>
    </w:pPr>
    <w:rPr>
      <w:rFonts w:ascii="Trebuchet MS" w:hAnsi="Trebuchet MS"/>
      <w:sz w:val="22"/>
      <w:szCs w:val="22"/>
    </w:rPr>
  </w:style>
  <w:style w:type="paragraph" w:styleId="Heading3">
    <w:name w:val="heading 3"/>
    <w:basedOn w:val="ListParagraph"/>
    <w:next w:val="Normal"/>
    <w:link w:val="Heading3Char"/>
    <w:uiPriority w:val="9"/>
    <w:unhideWhenUsed/>
    <w:qFormat/>
    <w:rsid w:val="003210F9"/>
    <w:pPr>
      <w:numPr>
        <w:numId w:val="3"/>
      </w:numPr>
      <w:spacing w:line="480" w:lineRule="auto"/>
      <w:jc w:val="both"/>
      <w:outlineLvl w:val="2"/>
    </w:pPr>
    <w:rPr>
      <w:rFonts w:ascii="Trebuchet MS" w:hAnsi="Trebuchet MS"/>
      <w:b/>
      <w:sz w:val="22"/>
      <w:szCs w:val="22"/>
    </w:rPr>
  </w:style>
  <w:style w:type="paragraph" w:styleId="Heading4">
    <w:name w:val="heading 4"/>
    <w:basedOn w:val="Normal"/>
    <w:next w:val="Normal"/>
    <w:link w:val="Heading4Char"/>
    <w:uiPriority w:val="9"/>
    <w:semiHidden/>
    <w:unhideWhenUsed/>
    <w:qFormat/>
    <w:rsid w:val="009C355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C355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C355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C355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C355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355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dditionalStatementFlysheet">
    <w:name w:val="A - Additional/Statement Flysheet"/>
    <w:pPr>
      <w:pBdr>
        <w:bottom w:val="single" w:sz="18" w:space="0" w:color="auto"/>
      </w:pBdr>
      <w:jc w:val="center"/>
    </w:pPr>
    <w:rPr>
      <w:rFonts w:ascii="Trebuchet MS" w:hAnsi="Trebuchet MS"/>
      <w:b/>
      <w:sz w:val="32"/>
    </w:rPr>
  </w:style>
  <w:style w:type="character" w:customStyle="1" w:styleId="A-AdditionalStatementFlysheetChar">
    <w:name w:val="A - Additional/Statement Flysheet Char"/>
    <w:basedOn w:val="DefaultParagraphFont"/>
    <w:rPr>
      <w:rFonts w:ascii="Trebuchet MS" w:hAnsi="Trebuchet MS"/>
      <w:b/>
      <w:sz w:val="32"/>
    </w:rPr>
  </w:style>
  <w:style w:type="paragraph" w:customStyle="1" w:styleId="A-ContentsSub-level">
    <w:name w:val="A - Contents Sub-level"/>
    <w:pPr>
      <w:tabs>
        <w:tab w:val="left" w:pos="144"/>
        <w:tab w:val="left" w:pos="288"/>
        <w:tab w:val="left" w:pos="432"/>
        <w:tab w:val="left" w:pos="576"/>
        <w:tab w:val="left" w:pos="720"/>
        <w:tab w:val="left" w:pos="864"/>
        <w:tab w:val="left" w:pos="1008"/>
        <w:tab w:val="left" w:pos="1152"/>
        <w:tab w:val="left" w:pos="1296"/>
        <w:tab w:val="right" w:pos="9360"/>
      </w:tabs>
      <w:ind w:left="144"/>
    </w:pPr>
    <w:rPr>
      <w:rFonts w:ascii="Trebuchet MS" w:hAnsi="Trebuchet MS"/>
      <w:sz w:val="21"/>
    </w:rPr>
  </w:style>
  <w:style w:type="character" w:customStyle="1" w:styleId="A-ContentsSub-levelChar">
    <w:name w:val="A - Contents Sub-level Char"/>
    <w:basedOn w:val="DefaultParagraphFont"/>
    <w:rPr>
      <w:rFonts w:ascii="Trebuchet MS" w:hAnsi="Trebuchet MS"/>
      <w:sz w:val="21"/>
    </w:rPr>
  </w:style>
  <w:style w:type="paragraph" w:customStyle="1" w:styleId="A-ContentsMainLevel">
    <w:name w:val="A - Contents Main Level"/>
    <w:next w:val="A-ContentsSub-level"/>
    <w:pPr>
      <w:tabs>
        <w:tab w:val="right" w:pos="9360"/>
      </w:tabs>
    </w:pPr>
    <w:rPr>
      <w:rFonts w:ascii="Trebuchet MS" w:hAnsi="Trebuchet MS"/>
      <w:b/>
      <w:sz w:val="21"/>
    </w:rPr>
  </w:style>
  <w:style w:type="character" w:customStyle="1" w:styleId="A-ContentsMainLevelChar">
    <w:name w:val="A - Contents Main Level Char"/>
    <w:basedOn w:val="DefaultParagraphFont"/>
    <w:rPr>
      <w:rFonts w:ascii="Trebuchet MS" w:hAnsi="Trebuchet MS"/>
      <w:b/>
      <w:sz w:val="21"/>
    </w:rPr>
  </w:style>
  <w:style w:type="paragraph" w:customStyle="1" w:styleId="A-CoverYearEnd">
    <w:name w:val="A - Cover Year End"/>
    <w:rPr>
      <w:rFonts w:ascii="Trebuchet MS" w:hAnsi="Trebuchet MS"/>
      <w:sz w:val="24"/>
    </w:rPr>
  </w:style>
  <w:style w:type="character" w:customStyle="1" w:styleId="A-CoverYearEndChar">
    <w:name w:val="A - Cover Year End Char"/>
    <w:basedOn w:val="DefaultParagraphFont"/>
    <w:rPr>
      <w:rFonts w:ascii="Trebuchet MS" w:hAnsi="Trebuchet MS"/>
      <w:sz w:val="24"/>
    </w:rPr>
  </w:style>
  <w:style w:type="paragraph" w:customStyle="1" w:styleId="A-CoverDescription">
    <w:name w:val="A - Cover Description"/>
    <w:next w:val="A-CoverYearEnd"/>
    <w:rPr>
      <w:rFonts w:ascii="Trebuchet MS" w:hAnsi="Trebuchet MS"/>
      <w:sz w:val="28"/>
    </w:rPr>
  </w:style>
  <w:style w:type="character" w:customStyle="1" w:styleId="A-CoverDescriptionChar">
    <w:name w:val="A - Cover Description Char"/>
    <w:basedOn w:val="DefaultParagraphFont"/>
    <w:rPr>
      <w:rFonts w:ascii="Trebuchet MS" w:hAnsi="Trebuchet MS"/>
      <w:sz w:val="28"/>
    </w:rPr>
  </w:style>
  <w:style w:type="paragraph" w:customStyle="1" w:styleId="A-CoverTitle">
    <w:name w:val="A - Cover Title"/>
    <w:rPr>
      <w:rFonts w:ascii="Trebuchet MS" w:hAnsi="Trebuchet MS"/>
      <w:b/>
      <w:sz w:val="32"/>
    </w:rPr>
  </w:style>
  <w:style w:type="character" w:customStyle="1" w:styleId="A-CoverTitleChar">
    <w:name w:val="A - Cover Title Char"/>
    <w:basedOn w:val="DefaultParagraphFont"/>
    <w:rPr>
      <w:rFonts w:ascii="Trebuchet MS" w:hAnsi="Trebuchet MS"/>
      <w:b/>
      <w:sz w:val="32"/>
    </w:rPr>
  </w:style>
  <w:style w:type="paragraph" w:customStyle="1" w:styleId="A-CoverSub-title">
    <w:name w:val="A - Cover Sub-title"/>
    <w:next w:val="A-CoverTitle"/>
    <w:rPr>
      <w:rFonts w:ascii="Trebuchet MS" w:hAnsi="Trebuchet MS"/>
      <w:b/>
      <w:sz w:val="24"/>
    </w:rPr>
  </w:style>
  <w:style w:type="character" w:customStyle="1" w:styleId="A-CoverSub-titleChar">
    <w:name w:val="A - Cover Sub-title Char"/>
    <w:basedOn w:val="DefaultParagraphFont"/>
    <w:rPr>
      <w:rFonts w:ascii="Trebuchet MS" w:hAnsi="Trebuchet MS"/>
      <w:b/>
      <w:sz w:val="24"/>
    </w:rPr>
  </w:style>
  <w:style w:type="paragraph" w:customStyle="1" w:styleId="A-FlysheetAdditional">
    <w:name w:val="A - Flysheet/Additional"/>
    <w:next w:val="Normal"/>
    <w:pPr>
      <w:pBdr>
        <w:bottom w:val="single" w:sz="18" w:space="0" w:color="auto"/>
      </w:pBdr>
      <w:jc w:val="center"/>
    </w:pPr>
    <w:rPr>
      <w:rFonts w:ascii="Trebuchet MS" w:hAnsi="Trebuchet MS"/>
      <w:b/>
      <w:sz w:val="32"/>
    </w:rPr>
  </w:style>
  <w:style w:type="character" w:customStyle="1" w:styleId="A-FlysheetAdditionalChar">
    <w:name w:val="A - Flysheet/Additional Char"/>
    <w:basedOn w:val="DefaultParagraphFont"/>
    <w:rPr>
      <w:rFonts w:ascii="Trebuchet MS" w:hAnsi="Trebuchet MS"/>
      <w:b/>
      <w:sz w:val="32"/>
    </w:rPr>
  </w:style>
  <w:style w:type="paragraph" w:customStyle="1" w:styleId="A-FlysheetYearEnd">
    <w:name w:val="A - Flysheet Year End"/>
    <w:pPr>
      <w:jc w:val="center"/>
    </w:pPr>
    <w:rPr>
      <w:rFonts w:ascii="Trebuchet MS" w:hAnsi="Trebuchet MS"/>
      <w:sz w:val="24"/>
    </w:rPr>
  </w:style>
  <w:style w:type="character" w:customStyle="1" w:styleId="A-FlysheetYearEndChar">
    <w:name w:val="A - Flysheet Year End Char"/>
    <w:basedOn w:val="DefaultParagraphFont"/>
    <w:rPr>
      <w:rFonts w:ascii="Trebuchet MS" w:hAnsi="Trebuchet MS"/>
      <w:sz w:val="24"/>
    </w:rPr>
  </w:style>
  <w:style w:type="paragraph" w:customStyle="1" w:styleId="A-FlysheetDescription">
    <w:name w:val="A - Flysheet Description"/>
    <w:next w:val="A-FlysheetYearEnd"/>
    <w:pPr>
      <w:jc w:val="center"/>
    </w:pPr>
    <w:rPr>
      <w:rFonts w:ascii="Trebuchet MS" w:hAnsi="Trebuchet MS"/>
      <w:sz w:val="28"/>
    </w:rPr>
  </w:style>
  <w:style w:type="character" w:customStyle="1" w:styleId="A-FlysheetDescriptionChar">
    <w:name w:val="A - Flysheet Description Char"/>
    <w:basedOn w:val="DefaultParagraphFont"/>
    <w:rPr>
      <w:rFonts w:ascii="Trebuchet MS" w:hAnsi="Trebuchet MS"/>
      <w:sz w:val="28"/>
    </w:rPr>
  </w:style>
  <w:style w:type="paragraph" w:customStyle="1" w:styleId="A-FlysheetSpacer-Line">
    <w:name w:val="A - Flysheet Spacer-Line"/>
    <w:next w:val="A-FlysheetDescription"/>
    <w:pPr>
      <w:pBdr>
        <w:top w:val="single" w:sz="18" w:space="0" w:color="auto"/>
      </w:pBdr>
      <w:jc w:val="center"/>
    </w:pPr>
    <w:rPr>
      <w:rFonts w:ascii="Trebuchet MS" w:hAnsi="Trebuchet MS"/>
      <w:sz w:val="16"/>
    </w:rPr>
  </w:style>
  <w:style w:type="character" w:customStyle="1" w:styleId="A-FlysheetSpacer-LineChar">
    <w:name w:val="A - Flysheet Spacer-Line Char"/>
    <w:basedOn w:val="DefaultParagraphFont"/>
    <w:rPr>
      <w:rFonts w:ascii="Trebuchet MS" w:hAnsi="Trebuchet MS"/>
      <w:sz w:val="16"/>
    </w:rPr>
  </w:style>
  <w:style w:type="paragraph" w:customStyle="1" w:styleId="A-FlysheetSub-title">
    <w:name w:val="A - Flysheet Sub-title"/>
    <w:next w:val="A-FlysheetSpacer-Line"/>
    <w:pPr>
      <w:jc w:val="center"/>
    </w:pPr>
    <w:rPr>
      <w:rFonts w:ascii="Trebuchet MS" w:hAnsi="Trebuchet MS"/>
      <w:b/>
      <w:sz w:val="24"/>
    </w:rPr>
  </w:style>
  <w:style w:type="character" w:customStyle="1" w:styleId="A-FlysheetSub-titleChar">
    <w:name w:val="A - Flysheet Sub-title Char"/>
    <w:basedOn w:val="DefaultParagraphFont"/>
    <w:rPr>
      <w:rFonts w:ascii="Trebuchet MS" w:hAnsi="Trebuchet MS"/>
      <w:b/>
      <w:sz w:val="24"/>
    </w:rPr>
  </w:style>
  <w:style w:type="paragraph" w:customStyle="1" w:styleId="A-FlysheetTitle">
    <w:name w:val="A - Flysheet Title"/>
    <w:next w:val="A-FlysheetSpacer-Line"/>
    <w:pPr>
      <w:jc w:val="center"/>
    </w:pPr>
    <w:rPr>
      <w:rFonts w:ascii="Trebuchet MS" w:hAnsi="Trebuchet MS"/>
      <w:b/>
      <w:sz w:val="32"/>
    </w:rPr>
  </w:style>
  <w:style w:type="character" w:customStyle="1" w:styleId="A-FlysheetTitleChar">
    <w:name w:val="A - Flysheet Title Char"/>
    <w:basedOn w:val="DefaultParagraphFont"/>
    <w:rPr>
      <w:rFonts w:ascii="Trebuchet MS" w:hAnsi="Trebuchet MS"/>
      <w:b/>
      <w:sz w:val="32"/>
    </w:rPr>
  </w:style>
  <w:style w:type="paragraph" w:customStyle="1" w:styleId="A-MainBodyText">
    <w:name w:val="A - Main Body Text"/>
    <w:pPr>
      <w:jc w:val="both"/>
    </w:pPr>
    <w:rPr>
      <w:rFonts w:ascii="Trebuchet MS" w:hAnsi="Trebuchet MS"/>
      <w:sz w:val="21"/>
    </w:rPr>
  </w:style>
  <w:style w:type="character" w:customStyle="1" w:styleId="A-MainBodyTextChar">
    <w:name w:val="A - Main Body Text Char"/>
    <w:basedOn w:val="DefaultParagraphFont"/>
    <w:rPr>
      <w:rFonts w:ascii="Trebuchet MS" w:hAnsi="Trebuchet MS"/>
      <w:sz w:val="21"/>
    </w:rPr>
  </w:style>
  <w:style w:type="paragraph" w:customStyle="1" w:styleId="A-Spacer">
    <w:name w:val="A - Spacer"/>
    <w:next w:val="A-MainBodyText"/>
    <w:qFormat/>
    <w:pPr>
      <w:jc w:val="center"/>
    </w:pPr>
    <w:rPr>
      <w:rFonts w:ascii="Trebuchet MS" w:hAnsi="Trebuchet MS"/>
      <w:sz w:val="16"/>
    </w:rPr>
  </w:style>
  <w:style w:type="character" w:customStyle="1" w:styleId="A-SpacerChar">
    <w:name w:val="A - Spacer Char"/>
    <w:basedOn w:val="DefaultParagraphFont"/>
    <w:rPr>
      <w:rFonts w:ascii="Trebuchet MS" w:hAnsi="Trebuchet MS"/>
      <w:sz w:val="16"/>
    </w:rPr>
  </w:style>
  <w:style w:type="paragraph" w:customStyle="1" w:styleId="A-HeaderDescription">
    <w:name w:val="A - Header Description"/>
    <w:next w:val="Normal"/>
    <w:pPr>
      <w:pBdr>
        <w:bottom w:val="single" w:sz="18" w:space="0" w:color="auto"/>
      </w:pBdr>
      <w:jc w:val="center"/>
    </w:pPr>
    <w:rPr>
      <w:rFonts w:ascii="Trebuchet MS" w:hAnsi="Trebuchet MS"/>
      <w:b/>
      <w:sz w:val="24"/>
    </w:rPr>
  </w:style>
  <w:style w:type="character" w:customStyle="1" w:styleId="A-HeaderDescriptionChar">
    <w:name w:val="A - Header Description Char"/>
    <w:basedOn w:val="DefaultParagraphFont"/>
    <w:rPr>
      <w:rFonts w:ascii="Trebuchet MS" w:hAnsi="Trebuchet MS"/>
      <w:b/>
      <w:sz w:val="24"/>
    </w:rPr>
  </w:style>
  <w:style w:type="paragraph" w:customStyle="1" w:styleId="A-HeaderSub-title">
    <w:name w:val="A - Header Sub-title"/>
    <w:next w:val="A-Spacer"/>
    <w:qFormat/>
    <w:pPr>
      <w:jc w:val="center"/>
    </w:pPr>
    <w:rPr>
      <w:rFonts w:ascii="Trebuchet MS" w:hAnsi="Trebuchet MS"/>
      <w:b/>
      <w:sz w:val="24"/>
    </w:rPr>
  </w:style>
  <w:style w:type="character" w:customStyle="1" w:styleId="A-HeaderSub-titleChar">
    <w:name w:val="A - Header Sub-title Char"/>
    <w:basedOn w:val="DefaultParagraphFont"/>
    <w:rPr>
      <w:rFonts w:ascii="Trebuchet MS" w:hAnsi="Trebuchet MS"/>
      <w:b/>
      <w:sz w:val="24"/>
    </w:rPr>
  </w:style>
  <w:style w:type="paragraph" w:customStyle="1" w:styleId="A-HeaderTitle">
    <w:name w:val="A - Header Title"/>
    <w:next w:val="A-Spacer"/>
    <w:qFormat/>
    <w:pPr>
      <w:jc w:val="center"/>
    </w:pPr>
    <w:rPr>
      <w:rFonts w:ascii="Trebuchet MS" w:hAnsi="Trebuchet MS"/>
      <w:b/>
      <w:sz w:val="28"/>
    </w:rPr>
  </w:style>
  <w:style w:type="character" w:customStyle="1" w:styleId="A-HeaderTitleChar">
    <w:name w:val="A - Header Title Char"/>
    <w:basedOn w:val="DefaultParagraphFont"/>
    <w:rPr>
      <w:rFonts w:ascii="Trebuchet MS" w:hAnsi="Trebuchet MS"/>
      <w:b/>
      <w:sz w:val="28"/>
    </w:rPr>
  </w:style>
  <w:style w:type="paragraph" w:customStyle="1" w:styleId="A-NotesSub-title">
    <w:name w:val="A - Notes Sub-title"/>
    <w:next w:val="A-MainBodyText"/>
    <w:rPr>
      <w:rFonts w:ascii="Trebuchet MS" w:hAnsi="Trebuchet MS"/>
      <w:b/>
      <w:i/>
      <w:sz w:val="21"/>
    </w:rPr>
  </w:style>
  <w:style w:type="character" w:customStyle="1" w:styleId="A-NotesSub-titleChar">
    <w:name w:val="A - Notes Sub-title Char"/>
    <w:basedOn w:val="DefaultParagraphFont"/>
    <w:rPr>
      <w:rFonts w:ascii="Trebuchet MS" w:hAnsi="Trebuchet MS"/>
      <w:b/>
      <w:i/>
      <w:sz w:val="21"/>
    </w:rPr>
  </w:style>
  <w:style w:type="paragraph" w:customStyle="1" w:styleId="A-NotesSub-title2">
    <w:name w:val="A - Notes Sub-title 2"/>
    <w:next w:val="A-MainBodyText"/>
    <w:rPr>
      <w:rFonts w:ascii="Trebuchet MS" w:hAnsi="Trebuchet MS"/>
      <w:i/>
      <w:sz w:val="21"/>
    </w:rPr>
  </w:style>
  <w:style w:type="character" w:customStyle="1" w:styleId="A-NotesSub-title2Char">
    <w:name w:val="A - Notes Sub-title 2 Char"/>
    <w:basedOn w:val="DefaultParagraphFont"/>
    <w:rPr>
      <w:rFonts w:ascii="Trebuchet MS" w:hAnsi="Trebuchet MS"/>
      <w:i/>
      <w:sz w:val="21"/>
    </w:rPr>
  </w:style>
  <w:style w:type="paragraph" w:customStyle="1" w:styleId="A-NotesSub-title3">
    <w:name w:val="A - Notes Sub-title 3"/>
    <w:next w:val="A-MainBodyText"/>
    <w:rPr>
      <w:rFonts w:ascii="Trebuchet MS" w:hAnsi="Trebuchet MS"/>
      <w:sz w:val="21"/>
      <w:u w:val="single"/>
    </w:rPr>
  </w:style>
  <w:style w:type="character" w:customStyle="1" w:styleId="A-NotesSub-title3Char">
    <w:name w:val="A - Notes Sub-title 3 Char"/>
    <w:basedOn w:val="DefaultParagraphFont"/>
    <w:rPr>
      <w:rFonts w:ascii="Trebuchet MS" w:hAnsi="Trebuchet MS"/>
      <w:sz w:val="21"/>
      <w:u w:val="single"/>
    </w:rPr>
  </w:style>
  <w:style w:type="paragraph" w:customStyle="1" w:styleId="A-NotesTitle">
    <w:name w:val="A - Notes Title"/>
    <w:next w:val="A-MainBodyText"/>
    <w:rPr>
      <w:rFonts w:ascii="Trebuchet MS" w:hAnsi="Trebuchet MS"/>
      <w:b/>
      <w:sz w:val="24"/>
    </w:rPr>
  </w:style>
  <w:style w:type="character" w:customStyle="1" w:styleId="A-NotesTitleChar">
    <w:name w:val="A - Notes Title Char"/>
    <w:basedOn w:val="DefaultParagraphFont"/>
    <w:rPr>
      <w:rFonts w:ascii="Trebuchet MS" w:hAnsi="Trebuchet MS"/>
      <w:b/>
      <w:sz w:val="24"/>
    </w:rPr>
  </w:style>
  <w:style w:type="paragraph" w:customStyle="1" w:styleId="A-OpinionTitle">
    <w:name w:val="A - Opinion Title"/>
    <w:next w:val="A-MainBodyText"/>
    <w:rPr>
      <w:rFonts w:ascii="Trebuchet MS" w:hAnsi="Trebuchet MS"/>
      <w:b/>
      <w:sz w:val="24"/>
    </w:rPr>
  </w:style>
  <w:style w:type="character" w:customStyle="1" w:styleId="A-OpinionTitleChar">
    <w:name w:val="A - Opinion Title Char"/>
    <w:basedOn w:val="DefaultParagraphFont"/>
    <w:rPr>
      <w:rFonts w:ascii="Trebuchet MS" w:hAnsi="Trebuchet MS"/>
      <w:b/>
      <w:sz w:val="24"/>
    </w:rPr>
  </w:style>
  <w:style w:type="paragraph" w:customStyle="1" w:styleId="A-PageNumber">
    <w:name w:val="A - Page Number"/>
    <w:pPr>
      <w:jc w:val="center"/>
    </w:pPr>
    <w:rPr>
      <w:rFonts w:ascii="Trebuchet MS" w:hAnsi="Trebuchet MS"/>
      <w:b/>
      <w:sz w:val="21"/>
    </w:rPr>
  </w:style>
  <w:style w:type="character" w:customStyle="1" w:styleId="A-PageNumberChar">
    <w:name w:val="A - Page Number Char"/>
    <w:basedOn w:val="DefaultParagraphFont"/>
    <w:rPr>
      <w:rFonts w:ascii="Trebuchet MS" w:hAnsi="Trebuchet MS"/>
      <w:b/>
      <w:sz w:val="21"/>
    </w:rPr>
  </w:style>
  <w:style w:type="paragraph" w:customStyle="1" w:styleId="A-StatementFlysheet">
    <w:name w:val="A - Statement Flysheet"/>
    <w:next w:val="A-MainBodyText"/>
    <w:pPr>
      <w:pBdr>
        <w:bottom w:val="single" w:sz="18" w:space="0" w:color="auto"/>
      </w:pBdr>
      <w:jc w:val="center"/>
    </w:pPr>
    <w:rPr>
      <w:rFonts w:ascii="Trebuchet MS" w:hAnsi="Trebuchet MS"/>
      <w:b/>
      <w:sz w:val="32"/>
    </w:rPr>
  </w:style>
  <w:style w:type="character" w:customStyle="1" w:styleId="A-StatementFlysheetChar">
    <w:name w:val="A - Statement Flysheet Char"/>
    <w:basedOn w:val="DefaultParagraphFont"/>
    <w:rPr>
      <w:rFonts w:ascii="Trebuchet MS" w:hAnsi="Trebuchet MS"/>
      <w:b/>
      <w:sz w:val="32"/>
    </w:rPr>
  </w:style>
  <w:style w:type="paragraph" w:customStyle="1" w:styleId="A-StatementReference">
    <w:name w:val="A - Statement Reference"/>
    <w:next w:val="A-MainBodyText"/>
    <w:pPr>
      <w:jc w:val="right"/>
    </w:pPr>
    <w:rPr>
      <w:rFonts w:ascii="Trebuchet MS" w:hAnsi="Trebuchet MS"/>
      <w:i/>
      <w:sz w:val="21"/>
    </w:rPr>
  </w:style>
  <w:style w:type="character" w:customStyle="1" w:styleId="A-StatementReferenceChar">
    <w:name w:val="A - Statement Reference Char"/>
    <w:basedOn w:val="DefaultParagraphFont"/>
    <w:rPr>
      <w:rFonts w:ascii="Trebuchet MS" w:hAnsi="Trebuchet MS"/>
      <w:i/>
      <w:sz w:val="21"/>
    </w:rPr>
  </w:style>
  <w:style w:type="paragraph" w:customStyle="1" w:styleId="A-TPILBFooters">
    <w:name w:val="A - TPILB &amp; Footers"/>
    <w:next w:val="A-MainBodyText"/>
    <w:pPr>
      <w:jc w:val="center"/>
    </w:pPr>
    <w:rPr>
      <w:rFonts w:ascii="Trebuchet MS" w:hAnsi="Trebuchet MS"/>
      <w:i/>
      <w:sz w:val="21"/>
    </w:rPr>
  </w:style>
  <w:style w:type="character" w:customStyle="1" w:styleId="A-TPILBFootersChar">
    <w:name w:val="A - TPILB &amp; Footers Char"/>
    <w:basedOn w:val="DefaultParagraphFont"/>
    <w:rPr>
      <w:rFonts w:ascii="Trebuchet MS" w:hAnsi="Trebuchet MS"/>
      <w:i/>
      <w:sz w:val="21"/>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rebuchet MS" w:hAnsi="Trebuchet MS"/>
      <w:sz w:val="21"/>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rebuchet MS" w:hAnsi="Trebuchet MS"/>
      <w:sz w:val="21"/>
    </w:rPr>
  </w:style>
  <w:style w:type="character" w:styleId="PlaceholderText">
    <w:name w:val="Placeholder Text"/>
    <w:basedOn w:val="DefaultParagraphFont"/>
    <w:uiPriority w:val="99"/>
    <w:semiHidden/>
    <w:rPr>
      <w:color w:val="808080"/>
    </w:rPr>
  </w:style>
  <w:style w:type="paragraph" w:customStyle="1" w:styleId="BDOFooter">
    <w:name w:val="BDO_Footer"/>
    <w:basedOn w:val="Normal"/>
    <w:pPr>
      <w:spacing w:line="144" w:lineRule="exact"/>
    </w:pPr>
    <w:rPr>
      <w:color w:val="786860"/>
      <w:sz w:val="12"/>
      <w:lang w:eastAsia="en-GB"/>
    </w:rPr>
  </w:style>
  <w:style w:type="character" w:styleId="PageNumber">
    <w:name w:val="page number"/>
    <w:basedOn w:val="DefaultParagraphFont"/>
  </w:style>
  <w:style w:type="paragraph" w:customStyle="1" w:styleId="A-HeaderDescriptionB-HeaderDescription">
    <w:name w:val="A - Header Description/B - Header Description"/>
    <w:next w:val="Normal"/>
    <w:link w:val="A-HeaderDescriptionB-HeaderDescriptionChar"/>
    <w:qFormat/>
    <w:pPr>
      <w:pBdr>
        <w:bottom w:val="single" w:sz="18" w:space="1" w:color="auto"/>
      </w:pBdr>
      <w:jc w:val="center"/>
    </w:pPr>
    <w:rPr>
      <w:rFonts w:ascii="Trebuchet MS" w:hAnsi="Trebuchet MS" w:cs="Times New Roman"/>
      <w:b/>
      <w:sz w:val="24"/>
      <w:szCs w:val="24"/>
    </w:rPr>
  </w:style>
  <w:style w:type="character" w:customStyle="1" w:styleId="A-HeaderDescriptionB-HeaderDescriptionChar">
    <w:name w:val="A - Header Description/B - Header Description Char"/>
    <w:basedOn w:val="HeaderChar"/>
    <w:link w:val="A-HeaderDescriptionB-HeaderDescription"/>
    <w:rPr>
      <w:rFonts w:ascii="Trebuchet MS" w:hAnsi="Trebuchet MS" w:cs="Times New Roman"/>
      <w:b/>
      <w:sz w:val="24"/>
      <w:szCs w:val="24"/>
    </w:rPr>
  </w:style>
  <w:style w:type="character" w:customStyle="1" w:styleId="Heading1Char">
    <w:name w:val="Heading 1 Char"/>
    <w:basedOn w:val="DefaultParagraphFont"/>
    <w:link w:val="Heading1"/>
    <w:rPr>
      <w:rFonts w:ascii="Times New Roman" w:eastAsia="Times New Roman" w:hAnsi="Times New Roman" w:cs="Times New Roman"/>
      <w:b/>
      <w:sz w:val="24"/>
      <w:szCs w:val="20"/>
      <w:u w:val="single"/>
    </w:rPr>
  </w:style>
  <w:style w:type="paragraph" w:customStyle="1" w:styleId="BDONormal">
    <w:name w:val="BDO_Normal"/>
    <w:link w:val="BDONormalChar"/>
    <w:rPr>
      <w:rFonts w:ascii="Trebuchet MS" w:eastAsia="Times New Roman" w:hAnsi="Trebuchet MS" w:cs="Times New Roman"/>
      <w:sz w:val="20"/>
      <w:szCs w:val="24"/>
      <w:lang w:eastAsia="en-GB"/>
    </w:rPr>
  </w:style>
  <w:style w:type="character" w:customStyle="1" w:styleId="BDONormalChar">
    <w:name w:val="BDO_Normal Char"/>
    <w:basedOn w:val="DefaultParagraphFont"/>
    <w:link w:val="BDONormal"/>
    <w:rPr>
      <w:rFonts w:ascii="Trebuchet MS" w:eastAsia="Times New Roman" w:hAnsi="Trebuchet MS" w:cs="Times New Roman"/>
      <w:sz w:val="20"/>
      <w:szCs w:val="24"/>
      <w:lang w:eastAsia="en-GB"/>
    </w:rPr>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basedOn w:val="DefaultParagraphFont"/>
    <w:semiHidden/>
    <w:rPr>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BodyText">
    <w:name w:val="Body Text"/>
    <w:basedOn w:val="Normal"/>
    <w:link w:val="BodyTextChar"/>
    <w:pPr>
      <w:tabs>
        <w:tab w:val="left" w:pos="-720"/>
        <w:tab w:val="left" w:pos="0"/>
      </w:tabs>
      <w:suppressAutoHyphens/>
      <w:spacing w:line="480" w:lineRule="auto"/>
      <w:jc w:val="both"/>
    </w:pPr>
    <w:rPr>
      <w:spacing w:val="-3"/>
      <w:szCs w:val="20"/>
    </w:rPr>
  </w:style>
  <w:style w:type="character" w:customStyle="1" w:styleId="BodyTextChar">
    <w:name w:val="Body Text Char"/>
    <w:basedOn w:val="DefaultParagraphFont"/>
    <w:link w:val="BodyText"/>
    <w:rPr>
      <w:rFonts w:ascii="Times New Roman" w:eastAsia="Times New Roman" w:hAnsi="Times New Roman" w:cs="Times New Roman"/>
      <w:spacing w:val="-3"/>
      <w:sz w:val="24"/>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rPr>
      <w:rFonts w:ascii="Times New Roman" w:eastAsia="Times New Roman" w:hAnsi="Times New Roman" w:cs="Times New Roman"/>
      <w:sz w:val="24"/>
      <w:szCs w:val="24"/>
    </w:rPr>
  </w:style>
  <w:style w:type="paragraph" w:customStyle="1" w:styleId="BDOBODY14ptleading">
    <w:name w:val="BDO BODY 14 pt leading"/>
    <w:basedOn w:val="Normal"/>
    <w:link w:val="BDOBODY14ptleadingChar"/>
    <w:qFormat/>
    <w:rsid w:val="000B22A3"/>
    <w:pPr>
      <w:spacing w:after="240" w:line="280" w:lineRule="exact"/>
    </w:pPr>
    <w:rPr>
      <w:rFonts w:ascii="Trebuchet MS" w:hAnsi="Trebuchet MS"/>
      <w:sz w:val="20"/>
      <w:szCs w:val="20"/>
      <w:lang w:eastAsia="en-GB"/>
    </w:rPr>
  </w:style>
  <w:style w:type="character" w:customStyle="1" w:styleId="BDOBODY14ptleadingChar">
    <w:name w:val="BDO BODY 14 pt leading Char"/>
    <w:basedOn w:val="DefaultParagraphFont"/>
    <w:link w:val="BDOBODY14ptleading"/>
    <w:rsid w:val="000B22A3"/>
    <w:rPr>
      <w:rFonts w:ascii="Trebuchet MS" w:eastAsia="Times New Roman" w:hAnsi="Trebuchet MS" w:cs="Times New Roman"/>
      <w:sz w:val="20"/>
      <w:szCs w:val="20"/>
      <w:lang w:eastAsia="en-GB"/>
    </w:rPr>
  </w:style>
  <w:style w:type="table" w:styleId="TableGrid">
    <w:name w:val="Table Grid"/>
    <w:basedOn w:val="TableNormal"/>
    <w:uiPriority w:val="39"/>
    <w:rsid w:val="006A4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BABODY">
    <w:name w:val="VBA BODY"/>
    <w:basedOn w:val="Normal"/>
    <w:link w:val="VBABODYChar"/>
    <w:qFormat/>
    <w:rsid w:val="003A56CE"/>
    <w:pPr>
      <w:spacing w:after="240" w:line="280" w:lineRule="exact"/>
    </w:pPr>
    <w:rPr>
      <w:rFonts w:ascii="Trebuchet MS" w:hAnsi="Trebuchet MS"/>
      <w:color w:val="44546A" w:themeColor="text2"/>
      <w:sz w:val="18"/>
      <w:szCs w:val="20"/>
      <w:lang w:eastAsia="en-GB"/>
    </w:rPr>
  </w:style>
  <w:style w:type="character" w:customStyle="1" w:styleId="VBABODYChar">
    <w:name w:val="VBA BODY Char"/>
    <w:basedOn w:val="DefaultParagraphFont"/>
    <w:link w:val="VBABODY"/>
    <w:rsid w:val="003A56CE"/>
    <w:rPr>
      <w:rFonts w:ascii="Trebuchet MS" w:eastAsia="Times New Roman" w:hAnsi="Trebuchet MS" w:cs="Times New Roman"/>
      <w:color w:val="44546A" w:themeColor="text2"/>
      <w:sz w:val="18"/>
      <w:szCs w:val="20"/>
      <w:lang w:eastAsia="en-GB"/>
    </w:rPr>
  </w:style>
  <w:style w:type="paragraph" w:customStyle="1" w:styleId="Default">
    <w:name w:val="Default"/>
    <w:rsid w:val="009E7927"/>
    <w:pPr>
      <w:autoSpaceDE w:val="0"/>
      <w:autoSpaceDN w:val="0"/>
      <w:adjustRightInd w:val="0"/>
    </w:pPr>
    <w:rPr>
      <w:rFonts w:ascii="Trebuchet MS" w:hAnsi="Trebuchet MS" w:cs="Trebuchet MS"/>
      <w:color w:val="000000"/>
      <w:sz w:val="24"/>
      <w:szCs w:val="24"/>
    </w:rPr>
  </w:style>
  <w:style w:type="paragraph" w:styleId="NormalWeb">
    <w:name w:val="Normal (Web)"/>
    <w:basedOn w:val="Normal"/>
    <w:uiPriority w:val="99"/>
    <w:semiHidden/>
    <w:unhideWhenUsed/>
    <w:rsid w:val="00CB5216"/>
    <w:pPr>
      <w:spacing w:before="100" w:beforeAutospacing="1" w:after="100" w:afterAutospacing="1"/>
    </w:pPr>
  </w:style>
  <w:style w:type="character" w:styleId="BookTitle">
    <w:name w:val="Book Title"/>
    <w:basedOn w:val="DefaultParagraphFont"/>
    <w:uiPriority w:val="33"/>
    <w:qFormat/>
    <w:rsid w:val="009C355D"/>
    <w:rPr>
      <w:b/>
      <w:bCs/>
      <w:i/>
      <w:iCs/>
      <w:spacing w:val="5"/>
    </w:rPr>
  </w:style>
  <w:style w:type="paragraph" w:styleId="Caption">
    <w:name w:val="caption"/>
    <w:basedOn w:val="Normal"/>
    <w:next w:val="Normal"/>
    <w:uiPriority w:val="35"/>
    <w:semiHidden/>
    <w:unhideWhenUsed/>
    <w:qFormat/>
    <w:rsid w:val="009C355D"/>
    <w:pPr>
      <w:spacing w:after="200"/>
    </w:pPr>
    <w:rPr>
      <w:i/>
      <w:iCs/>
      <w:color w:val="44546A" w:themeColor="text2"/>
      <w:sz w:val="18"/>
      <w:szCs w:val="18"/>
    </w:rPr>
  </w:style>
  <w:style w:type="character" w:styleId="Emphasis">
    <w:name w:val="Emphasis"/>
    <w:basedOn w:val="DefaultParagraphFont"/>
    <w:uiPriority w:val="20"/>
    <w:qFormat/>
    <w:rsid w:val="009C355D"/>
    <w:rPr>
      <w:i/>
      <w:iCs/>
    </w:rPr>
  </w:style>
  <w:style w:type="character" w:customStyle="1" w:styleId="Heading2Char">
    <w:name w:val="Heading 2 Char"/>
    <w:basedOn w:val="DefaultParagraphFont"/>
    <w:link w:val="Heading2"/>
    <w:uiPriority w:val="9"/>
    <w:rsid w:val="00721A34"/>
    <w:rPr>
      <w:rFonts w:ascii="Trebuchet MS" w:eastAsia="Times New Roman" w:hAnsi="Trebuchet MS" w:cs="Times New Roman"/>
      <w:b/>
      <w:u w:val="single"/>
    </w:rPr>
  </w:style>
  <w:style w:type="character" w:customStyle="1" w:styleId="Heading3Char">
    <w:name w:val="Heading 3 Char"/>
    <w:basedOn w:val="DefaultParagraphFont"/>
    <w:link w:val="Heading3"/>
    <w:uiPriority w:val="9"/>
    <w:rsid w:val="003210F9"/>
    <w:rPr>
      <w:rFonts w:ascii="Trebuchet MS" w:eastAsia="Times New Roman" w:hAnsi="Trebuchet MS" w:cs="Times New Roman"/>
      <w:b/>
    </w:rPr>
  </w:style>
  <w:style w:type="character" w:customStyle="1" w:styleId="Heading4Char">
    <w:name w:val="Heading 4 Char"/>
    <w:basedOn w:val="DefaultParagraphFont"/>
    <w:link w:val="Heading4"/>
    <w:uiPriority w:val="9"/>
    <w:semiHidden/>
    <w:rsid w:val="009C355D"/>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9C355D"/>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9C355D"/>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9C355D"/>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9C35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355D"/>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9C355D"/>
    <w:rPr>
      <w:i/>
      <w:iCs/>
      <w:color w:val="5B9BD5" w:themeColor="accent1"/>
    </w:rPr>
  </w:style>
  <w:style w:type="paragraph" w:styleId="IntenseQuote">
    <w:name w:val="Intense Quote"/>
    <w:basedOn w:val="Normal"/>
    <w:next w:val="Normal"/>
    <w:link w:val="IntenseQuoteChar"/>
    <w:uiPriority w:val="30"/>
    <w:qFormat/>
    <w:rsid w:val="009C355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C355D"/>
    <w:rPr>
      <w:rFonts w:ascii="Times New Roman" w:eastAsia="Times New Roman" w:hAnsi="Times New Roman" w:cs="Times New Roman"/>
      <w:i/>
      <w:iCs/>
      <w:color w:val="5B9BD5" w:themeColor="accent1"/>
      <w:sz w:val="24"/>
      <w:szCs w:val="24"/>
    </w:rPr>
  </w:style>
  <w:style w:type="character" w:styleId="IntenseReference">
    <w:name w:val="Intense Reference"/>
    <w:basedOn w:val="DefaultParagraphFont"/>
    <w:uiPriority w:val="32"/>
    <w:qFormat/>
    <w:rsid w:val="009C355D"/>
    <w:rPr>
      <w:b/>
      <w:bCs/>
      <w:smallCaps/>
      <w:color w:val="5B9BD5" w:themeColor="accent1"/>
      <w:spacing w:val="5"/>
    </w:rPr>
  </w:style>
  <w:style w:type="paragraph" w:styleId="NoSpacing">
    <w:name w:val="No Spacing"/>
    <w:uiPriority w:val="1"/>
    <w:qFormat/>
    <w:rsid w:val="009C355D"/>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9C35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C355D"/>
    <w:rPr>
      <w:rFonts w:ascii="Times New Roman" w:eastAsia="Times New Roman" w:hAnsi="Times New Roman" w:cs="Times New Roman"/>
      <w:i/>
      <w:iCs/>
      <w:color w:val="404040" w:themeColor="text1" w:themeTint="BF"/>
      <w:sz w:val="24"/>
      <w:szCs w:val="24"/>
    </w:rPr>
  </w:style>
  <w:style w:type="character" w:styleId="Strong">
    <w:name w:val="Strong"/>
    <w:basedOn w:val="DefaultParagraphFont"/>
    <w:uiPriority w:val="22"/>
    <w:qFormat/>
    <w:rsid w:val="009C355D"/>
    <w:rPr>
      <w:b/>
      <w:bCs/>
    </w:rPr>
  </w:style>
  <w:style w:type="paragraph" w:styleId="Subtitle">
    <w:name w:val="Subtitle"/>
    <w:basedOn w:val="Normal"/>
    <w:next w:val="Normal"/>
    <w:link w:val="SubtitleChar"/>
    <w:uiPriority w:val="11"/>
    <w:qFormat/>
    <w:rsid w:val="009C35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C355D"/>
    <w:rPr>
      <w:rFonts w:eastAsiaTheme="minorEastAsia"/>
      <w:color w:val="5A5A5A" w:themeColor="text1" w:themeTint="A5"/>
      <w:spacing w:val="15"/>
    </w:rPr>
  </w:style>
  <w:style w:type="character" w:styleId="SubtleEmphasis">
    <w:name w:val="Subtle Emphasis"/>
    <w:basedOn w:val="DefaultParagraphFont"/>
    <w:uiPriority w:val="19"/>
    <w:qFormat/>
    <w:rsid w:val="009C355D"/>
    <w:rPr>
      <w:i/>
      <w:iCs/>
      <w:color w:val="404040" w:themeColor="text1" w:themeTint="BF"/>
    </w:rPr>
  </w:style>
  <w:style w:type="character" w:styleId="SubtleReference">
    <w:name w:val="Subtle Reference"/>
    <w:basedOn w:val="DefaultParagraphFont"/>
    <w:uiPriority w:val="31"/>
    <w:qFormat/>
    <w:rsid w:val="009C355D"/>
    <w:rPr>
      <w:smallCaps/>
      <w:color w:val="5A5A5A" w:themeColor="text1" w:themeTint="A5"/>
    </w:rPr>
  </w:style>
  <w:style w:type="paragraph" w:styleId="Title">
    <w:name w:val="Title"/>
    <w:basedOn w:val="Normal"/>
    <w:next w:val="Normal"/>
    <w:link w:val="TitleChar"/>
    <w:uiPriority w:val="10"/>
    <w:qFormat/>
    <w:rsid w:val="009C355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55D"/>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9C355D"/>
    <w:pPr>
      <w:keepLines/>
      <w:tabs>
        <w:tab w:val="clear" w:pos="144"/>
        <w:tab w:val="clear" w:pos="1224"/>
        <w:tab w:val="clear" w:pos="1674"/>
        <w:tab w:val="clear" w:pos="5364"/>
        <w:tab w:val="clear" w:pos="5994"/>
        <w:tab w:val="clear" w:pos="8244"/>
      </w:tabs>
      <w:spacing w:before="240"/>
      <w:outlineLvl w:val="9"/>
    </w:pPr>
    <w:rPr>
      <w:rFonts w:asciiTheme="majorHAnsi" w:eastAsiaTheme="majorEastAsia" w:hAnsiTheme="majorHAnsi" w:cstheme="majorBidi"/>
      <w:b w:val="0"/>
      <w:color w:val="2E74B5" w:themeColor="accent1" w:themeShade="BF"/>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9311">
      <w:bodyDiv w:val="1"/>
      <w:marLeft w:val="0"/>
      <w:marRight w:val="0"/>
      <w:marTop w:val="0"/>
      <w:marBottom w:val="0"/>
      <w:divBdr>
        <w:top w:val="none" w:sz="0" w:space="0" w:color="auto"/>
        <w:left w:val="none" w:sz="0" w:space="0" w:color="auto"/>
        <w:bottom w:val="none" w:sz="0" w:space="0" w:color="auto"/>
        <w:right w:val="none" w:sz="0" w:space="0" w:color="auto"/>
      </w:divBdr>
    </w:div>
    <w:div w:id="372312722">
      <w:bodyDiv w:val="1"/>
      <w:marLeft w:val="0"/>
      <w:marRight w:val="0"/>
      <w:marTop w:val="0"/>
      <w:marBottom w:val="0"/>
      <w:divBdr>
        <w:top w:val="none" w:sz="0" w:space="0" w:color="auto"/>
        <w:left w:val="none" w:sz="0" w:space="0" w:color="auto"/>
        <w:bottom w:val="none" w:sz="0" w:space="0" w:color="auto"/>
        <w:right w:val="none" w:sz="0" w:space="0" w:color="auto"/>
      </w:divBdr>
    </w:div>
    <w:div w:id="452674918">
      <w:bodyDiv w:val="1"/>
      <w:marLeft w:val="0"/>
      <w:marRight w:val="0"/>
      <w:marTop w:val="0"/>
      <w:marBottom w:val="0"/>
      <w:divBdr>
        <w:top w:val="none" w:sz="0" w:space="0" w:color="auto"/>
        <w:left w:val="none" w:sz="0" w:space="0" w:color="auto"/>
        <w:bottom w:val="none" w:sz="0" w:space="0" w:color="auto"/>
        <w:right w:val="none" w:sz="0" w:space="0" w:color="auto"/>
      </w:divBdr>
    </w:div>
    <w:div w:id="462891327">
      <w:bodyDiv w:val="1"/>
      <w:marLeft w:val="0"/>
      <w:marRight w:val="0"/>
      <w:marTop w:val="0"/>
      <w:marBottom w:val="0"/>
      <w:divBdr>
        <w:top w:val="none" w:sz="0" w:space="0" w:color="auto"/>
        <w:left w:val="none" w:sz="0" w:space="0" w:color="auto"/>
        <w:bottom w:val="none" w:sz="0" w:space="0" w:color="auto"/>
        <w:right w:val="none" w:sz="0" w:space="0" w:color="auto"/>
      </w:divBdr>
    </w:div>
    <w:div w:id="1186167581">
      <w:bodyDiv w:val="1"/>
      <w:marLeft w:val="0"/>
      <w:marRight w:val="0"/>
      <w:marTop w:val="0"/>
      <w:marBottom w:val="0"/>
      <w:divBdr>
        <w:top w:val="none" w:sz="0" w:space="0" w:color="auto"/>
        <w:left w:val="none" w:sz="0" w:space="0" w:color="auto"/>
        <w:bottom w:val="none" w:sz="0" w:space="0" w:color="auto"/>
        <w:right w:val="none" w:sz="0" w:space="0" w:color="auto"/>
      </w:divBdr>
    </w:div>
    <w:div w:id="1245800806">
      <w:bodyDiv w:val="1"/>
      <w:marLeft w:val="0"/>
      <w:marRight w:val="0"/>
      <w:marTop w:val="0"/>
      <w:marBottom w:val="0"/>
      <w:divBdr>
        <w:top w:val="none" w:sz="0" w:space="0" w:color="auto"/>
        <w:left w:val="none" w:sz="0" w:space="0" w:color="auto"/>
        <w:bottom w:val="none" w:sz="0" w:space="0" w:color="auto"/>
        <w:right w:val="none" w:sz="0" w:space="0" w:color="auto"/>
      </w:divBdr>
    </w:div>
    <w:div w:id="1735199144">
      <w:bodyDiv w:val="1"/>
      <w:marLeft w:val="0"/>
      <w:marRight w:val="0"/>
      <w:marTop w:val="0"/>
      <w:marBottom w:val="0"/>
      <w:divBdr>
        <w:top w:val="none" w:sz="0" w:space="0" w:color="auto"/>
        <w:left w:val="none" w:sz="0" w:space="0" w:color="auto"/>
        <w:bottom w:val="none" w:sz="0" w:space="0" w:color="auto"/>
        <w:right w:val="none" w:sz="0" w:space="0" w:color="auto"/>
      </w:divBdr>
    </w:div>
    <w:div w:id="1836843937">
      <w:bodyDiv w:val="1"/>
      <w:marLeft w:val="0"/>
      <w:marRight w:val="0"/>
      <w:marTop w:val="0"/>
      <w:marBottom w:val="0"/>
      <w:divBdr>
        <w:top w:val="none" w:sz="0" w:space="0" w:color="auto"/>
        <w:left w:val="none" w:sz="0" w:space="0" w:color="auto"/>
        <w:bottom w:val="none" w:sz="0" w:space="0" w:color="auto"/>
        <w:right w:val="none" w:sz="0" w:space="0" w:color="auto"/>
      </w:divBdr>
      <w:divsChild>
        <w:div w:id="1609695972">
          <w:marLeft w:val="274"/>
          <w:marRight w:val="0"/>
          <w:marTop w:val="0"/>
          <w:marBottom w:val="0"/>
          <w:divBdr>
            <w:top w:val="none" w:sz="0" w:space="0" w:color="auto"/>
            <w:left w:val="none" w:sz="0" w:space="0" w:color="auto"/>
            <w:bottom w:val="none" w:sz="0" w:space="0" w:color="auto"/>
            <w:right w:val="none" w:sz="0" w:space="0" w:color="auto"/>
          </w:divBdr>
        </w:div>
      </w:divsChild>
    </w:div>
    <w:div w:id="1892837527">
      <w:bodyDiv w:val="1"/>
      <w:marLeft w:val="0"/>
      <w:marRight w:val="0"/>
      <w:marTop w:val="0"/>
      <w:marBottom w:val="0"/>
      <w:divBdr>
        <w:top w:val="none" w:sz="0" w:space="0" w:color="auto"/>
        <w:left w:val="none" w:sz="0" w:space="0" w:color="auto"/>
        <w:bottom w:val="none" w:sz="0" w:space="0" w:color="auto"/>
        <w:right w:val="none" w:sz="0" w:space="0" w:color="auto"/>
      </w:divBdr>
    </w:div>
    <w:div w:id="192695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20D5A5E8-DFB4-4E3F-806E-3548FB924CBD}"/>
      </w:docPartPr>
      <w:docPartBody>
        <w:p w:rsidR="00A54F44" w:rsidRDefault="00A54F44">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F44"/>
    <w:rsid w:val="00005EF5"/>
    <w:rsid w:val="000131DB"/>
    <w:rsid w:val="0007686B"/>
    <w:rsid w:val="00092B49"/>
    <w:rsid w:val="000D6B60"/>
    <w:rsid w:val="00154B48"/>
    <w:rsid w:val="00172BD9"/>
    <w:rsid w:val="0018698E"/>
    <w:rsid w:val="00204630"/>
    <w:rsid w:val="00246290"/>
    <w:rsid w:val="002A6D30"/>
    <w:rsid w:val="002D0E00"/>
    <w:rsid w:val="00310ECB"/>
    <w:rsid w:val="00355586"/>
    <w:rsid w:val="00366151"/>
    <w:rsid w:val="0038285C"/>
    <w:rsid w:val="00392AF3"/>
    <w:rsid w:val="00425E5F"/>
    <w:rsid w:val="00442A82"/>
    <w:rsid w:val="004963C1"/>
    <w:rsid w:val="004D202C"/>
    <w:rsid w:val="004D5A28"/>
    <w:rsid w:val="0051117A"/>
    <w:rsid w:val="00567331"/>
    <w:rsid w:val="0059229E"/>
    <w:rsid w:val="005B30D1"/>
    <w:rsid w:val="005C32DC"/>
    <w:rsid w:val="005F7858"/>
    <w:rsid w:val="006028CF"/>
    <w:rsid w:val="00654070"/>
    <w:rsid w:val="006A33C8"/>
    <w:rsid w:val="006F76B7"/>
    <w:rsid w:val="00704D72"/>
    <w:rsid w:val="00707FD6"/>
    <w:rsid w:val="00750F82"/>
    <w:rsid w:val="0077799C"/>
    <w:rsid w:val="007C4C10"/>
    <w:rsid w:val="008254C4"/>
    <w:rsid w:val="00835134"/>
    <w:rsid w:val="00852381"/>
    <w:rsid w:val="008878B2"/>
    <w:rsid w:val="008E1364"/>
    <w:rsid w:val="009172A2"/>
    <w:rsid w:val="00920289"/>
    <w:rsid w:val="0092192E"/>
    <w:rsid w:val="00924B8A"/>
    <w:rsid w:val="00943207"/>
    <w:rsid w:val="00965145"/>
    <w:rsid w:val="009842A0"/>
    <w:rsid w:val="009A6D28"/>
    <w:rsid w:val="009C7E1C"/>
    <w:rsid w:val="009D08A8"/>
    <w:rsid w:val="00A12DD4"/>
    <w:rsid w:val="00A22612"/>
    <w:rsid w:val="00A379C4"/>
    <w:rsid w:val="00A54F44"/>
    <w:rsid w:val="00A92D78"/>
    <w:rsid w:val="00AE4322"/>
    <w:rsid w:val="00B7567D"/>
    <w:rsid w:val="00B77F41"/>
    <w:rsid w:val="00BE4D76"/>
    <w:rsid w:val="00BE7EC0"/>
    <w:rsid w:val="00C11DE5"/>
    <w:rsid w:val="00C71096"/>
    <w:rsid w:val="00C8541F"/>
    <w:rsid w:val="00CB3AAD"/>
    <w:rsid w:val="00CC2A01"/>
    <w:rsid w:val="00CC5196"/>
    <w:rsid w:val="00D41BC9"/>
    <w:rsid w:val="00DD6873"/>
    <w:rsid w:val="00DF1285"/>
    <w:rsid w:val="00E20F47"/>
    <w:rsid w:val="00E31264"/>
    <w:rsid w:val="00E74537"/>
    <w:rsid w:val="00E92384"/>
    <w:rsid w:val="00EB3D86"/>
    <w:rsid w:val="00F10B95"/>
    <w:rsid w:val="00F75EC4"/>
    <w:rsid w:val="00F91D62"/>
    <w:rsid w:val="00FD2D51"/>
    <w:rsid w:val="00FE0642"/>
    <w:rsid w:val="00FF5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2EC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3E040C8D1CD345B13B4FDE7A14C0E3" ma:contentTypeVersion="9" ma:contentTypeDescription="Create a new document." ma:contentTypeScope="" ma:versionID="c44cc831213fef774191c4f43d3f838c">
  <xsd:schema xmlns:xsd="http://www.w3.org/2001/XMLSchema" xmlns:xs="http://www.w3.org/2001/XMLSchema" xmlns:p="http://schemas.microsoft.com/office/2006/metadata/properties" xmlns:ns3="b4bb7234-3767-417b-8069-110e3347921a" targetNamespace="http://schemas.microsoft.com/office/2006/metadata/properties" ma:root="true" ma:fieldsID="409d61b638e7caebecc30b478d6e3485" ns3:_="">
    <xsd:import namespace="b4bb7234-3767-417b-8069-110e334792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b7234-3767-417b-8069-110e33479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DD911-76FA-40E1-8D3E-3A7CCCE949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064A7F-F07B-4CED-85D6-7A8A603BB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b7234-3767-417b-8069-110e33479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5E90C-F192-4214-9D11-530C92FC77B4}">
  <ds:schemaRefs>
    <ds:schemaRef ds:uri="http://schemas.openxmlformats.org/officeDocument/2006/bibliography"/>
  </ds:schemaRefs>
</ds:datastoreItem>
</file>

<file path=customXml/itemProps4.xml><?xml version="1.0" encoding="utf-8"?>
<ds:datastoreItem xmlns:ds="http://schemas.openxmlformats.org/officeDocument/2006/customXml" ds:itemID="{4CBA5F08-291D-43C4-94EA-93AB595C3710}">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1168</TotalTime>
  <Pages>23</Pages>
  <Words>4092</Words>
  <Characters>23330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Cloud Pediatric CPA Report</dc:title>
  <dc:subject/>
  <dc:creator>Corinne Prosniewski</dc:creator>
  <cp:keywords/>
  <dc:description/>
  <cp:lastModifiedBy>Marks, Brett (DPH)</cp:lastModifiedBy>
  <cp:revision>28</cp:revision>
  <cp:lastPrinted>2023-10-20T22:28:00Z</cp:lastPrinted>
  <dcterms:created xsi:type="dcterms:W3CDTF">2026-07-01T14:52:00Z</dcterms:created>
  <dcterms:modified xsi:type="dcterms:W3CDTF">2026-07-08T12:13:00Z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0x010100B73E040C8D1CD345B13B4FDE7A14C0E3</vt:lpwstr>
  </property>
  <property fmtid="{D5CDD505-2E9C-101B-9397-08002B2CF9AE}" pid="3" name="PSLTemplateName">
    <vt:lpwstr>Normal.dotm</vt:lpwstr>
  </property>
</Properties>
</file>