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81340" w14:textId="61BC818A" w:rsidR="00B135E0" w:rsidRDefault="00B135E0" w:rsidP="00723985">
      <w:pPr>
        <w:pStyle w:val="BodyText"/>
        <w:jc w:val="center"/>
      </w:pPr>
      <w:r w:rsidRPr="00B135E0">
        <w:rPr>
          <w:noProof/>
        </w:rPr>
        <w:drawing>
          <wp:inline distT="0" distB="0" distL="0" distR="0" wp14:anchorId="7CED145D" wp14:editId="3D344BF7">
            <wp:extent cx="228600" cy="2160614"/>
            <wp:effectExtent l="0" t="0" r="0" b="0"/>
            <wp:docPr id="2" name="Picture 2" descr="Decorative Image" title="Decorative Imag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 val="1"/>
                        </a:ext>
                      </a:extLst>
                    </pic:cNvPr>
                    <pic:cNvPicPr/>
                  </pic:nvPicPr>
                  <pic:blipFill>
                    <a:blip r:embed="rId8"/>
                    <a:stretch>
                      <a:fillRect/>
                    </a:stretch>
                  </pic:blipFill>
                  <pic:spPr>
                    <a:xfrm>
                      <a:off x="0" y="0"/>
                      <a:ext cx="229489" cy="2169012"/>
                    </a:xfrm>
                    <a:prstGeom prst="rect">
                      <a:avLst/>
                    </a:prstGeom>
                  </pic:spPr>
                </pic:pic>
              </a:graphicData>
            </a:graphic>
          </wp:inline>
        </w:drawing>
      </w:r>
    </w:p>
    <w:p w14:paraId="1A2120FE" w14:textId="181C0983" w:rsidR="00B135E0" w:rsidRPr="008973A4" w:rsidRDefault="00B135E0" w:rsidP="00C91023">
      <w:pPr>
        <w:pStyle w:val="Title"/>
        <w:spacing w:before="1600"/>
        <w:ind w:left="4320"/>
        <w:rPr>
          <w:rFonts w:ascii="Arial" w:hAnsi="Arial" w:cs="Arial"/>
          <w:sz w:val="32"/>
          <w:szCs w:val="32"/>
        </w:rPr>
      </w:pPr>
      <w:r w:rsidRPr="008973A4">
        <w:rPr>
          <w:rFonts w:ascii="Arial" w:hAnsi="Arial" w:cs="Arial"/>
          <w:sz w:val="32"/>
          <w:szCs w:val="32"/>
        </w:rPr>
        <w:t>Analysis of the Reasonableness of</w:t>
      </w:r>
      <w:r w:rsidRPr="008973A4">
        <w:rPr>
          <w:rFonts w:ascii="Arial" w:hAnsi="Arial" w:cs="Arial"/>
          <w:sz w:val="32"/>
          <w:szCs w:val="32"/>
        </w:rPr>
        <w:br/>
        <w:t>Assumptions Used For and</w:t>
      </w:r>
      <w:r w:rsidRPr="008973A4">
        <w:rPr>
          <w:rFonts w:ascii="Arial" w:hAnsi="Arial" w:cs="Arial"/>
          <w:sz w:val="32"/>
          <w:szCs w:val="32"/>
        </w:rPr>
        <w:br/>
        <w:t>Feasibility of Projected Financials of:</w:t>
      </w:r>
    </w:p>
    <w:p w14:paraId="58F98B7C" w14:textId="42D0783D" w:rsidR="008973A4" w:rsidRDefault="008973A4" w:rsidP="00ED2BFB">
      <w:pPr>
        <w:pStyle w:val="BodyText"/>
      </w:pPr>
    </w:p>
    <w:p w14:paraId="3A749643" w14:textId="43C93A42" w:rsidR="00B135E0" w:rsidRDefault="00B135E0" w:rsidP="008973A4">
      <w:pPr>
        <w:pStyle w:val="Subtitle"/>
        <w:ind w:left="4320"/>
        <w:rPr>
          <w:rFonts w:ascii="Arial" w:hAnsi="Arial" w:cs="Arial"/>
          <w:color w:val="auto"/>
        </w:rPr>
      </w:pPr>
      <w:r w:rsidRPr="008973A4">
        <w:rPr>
          <w:rFonts w:ascii="Arial" w:hAnsi="Arial" w:cs="Arial"/>
          <w:color w:val="auto"/>
        </w:rPr>
        <w:t>Heywood   Healthcare, Inc.</w:t>
      </w:r>
      <w:r w:rsidR="008973A4">
        <w:rPr>
          <w:rFonts w:ascii="Arial" w:hAnsi="Arial" w:cs="Arial"/>
          <w:color w:val="auto"/>
        </w:rPr>
        <w:br/>
      </w:r>
      <w:r w:rsidRPr="008973A4">
        <w:rPr>
          <w:rFonts w:ascii="Arial" w:hAnsi="Arial" w:cs="Arial"/>
          <w:color w:val="auto"/>
        </w:rPr>
        <w:t>For the Years Ending September 30, 2021</w:t>
      </w:r>
      <w:r w:rsidRPr="008973A4">
        <w:rPr>
          <w:rFonts w:ascii="Arial" w:hAnsi="Arial" w:cs="Arial"/>
          <w:color w:val="auto"/>
        </w:rPr>
        <w:br/>
        <w:t>Through September 30, 2029</w:t>
      </w:r>
    </w:p>
    <w:p w14:paraId="5E9C8D5E" w14:textId="52A1A55C" w:rsidR="008973A4" w:rsidRDefault="00C91023" w:rsidP="008973A4">
      <w:pPr>
        <w:spacing w:before="4000"/>
        <w:ind w:right="4378"/>
        <w:rPr>
          <w:rFonts w:asciiTheme="minorHAnsi" w:hAnsiTheme="minorHAnsi" w:cstheme="minorHAnsi"/>
          <w:sz w:val="16"/>
          <w:szCs w:val="16"/>
        </w:rPr>
      </w:pPr>
      <w:r w:rsidRPr="00C91023">
        <w:rPr>
          <w:rFonts w:asciiTheme="minorHAnsi" w:hAnsiTheme="minorHAnsi" w:cstheme="minorHAnsi"/>
          <w:noProof/>
          <w:sz w:val="16"/>
          <w:szCs w:val="16"/>
        </w:rPr>
        <w:lastRenderedPageBreak/>
        <w:drawing>
          <wp:inline distT="0" distB="0" distL="0" distR="0" wp14:anchorId="3AC2BDB1" wp14:editId="489FC5F9">
            <wp:extent cx="310515" cy="3861430"/>
            <wp:effectExtent l="0" t="0" r="0" b="6350"/>
            <wp:docPr id="61" name="Picture 61" descr="Decorative Image" title="Decorative Imag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310515" cy="3861430"/>
                    </a:xfrm>
                    <a:prstGeom prst="rect">
                      <a:avLst/>
                    </a:prstGeom>
                  </pic:spPr>
                </pic:pic>
              </a:graphicData>
            </a:graphic>
          </wp:inline>
        </w:drawing>
      </w:r>
    </w:p>
    <w:p w14:paraId="772C8F5C" w14:textId="7233A83D" w:rsidR="00C91023" w:rsidRPr="008973A4" w:rsidRDefault="00C91023" w:rsidP="008973A4">
      <w:pPr>
        <w:spacing w:before="4000"/>
        <w:ind w:right="4378"/>
        <w:rPr>
          <w:rFonts w:asciiTheme="minorHAnsi" w:hAnsiTheme="minorHAnsi" w:cstheme="minorHAnsi"/>
          <w:sz w:val="16"/>
          <w:szCs w:val="16"/>
        </w:rPr>
        <w:sectPr w:rsidR="00C91023" w:rsidRPr="008973A4" w:rsidSect="00723985">
          <w:footerReference w:type="default" r:id="rId10"/>
          <w:type w:val="continuous"/>
          <w:pgSz w:w="12240" w:h="15840"/>
          <w:pgMar w:top="180" w:right="1380" w:bottom="280" w:left="1440" w:header="720" w:footer="720" w:gutter="0"/>
          <w:cols w:space="720"/>
        </w:sectPr>
      </w:pPr>
    </w:p>
    <w:p w14:paraId="5C28FB49" w14:textId="77777777" w:rsidR="00150FC2" w:rsidRPr="00314411" w:rsidRDefault="00150FC2" w:rsidP="00ED2BFB">
      <w:pPr>
        <w:pStyle w:val="BodyText"/>
      </w:pPr>
      <w:r w:rsidRPr="00314411">
        <w:lastRenderedPageBreak/>
        <w:t>July 9, 2021</w:t>
      </w:r>
    </w:p>
    <w:p w14:paraId="2B3D1310" w14:textId="77777777" w:rsidR="00150FC2" w:rsidRPr="00ED2BFB" w:rsidRDefault="00150FC2" w:rsidP="00ED2BFB">
      <w:pPr>
        <w:rPr>
          <w:rFonts w:ascii="Arial" w:hAnsi="Arial" w:cs="Arial"/>
        </w:rPr>
      </w:pPr>
      <w:r w:rsidRPr="00ED2BFB">
        <w:rPr>
          <w:rFonts w:ascii="Arial" w:hAnsi="Arial" w:cs="Arial"/>
        </w:rPr>
        <w:t>Michael R. Abbatiello, MPPM, CPA</w:t>
      </w:r>
    </w:p>
    <w:p w14:paraId="611103BC" w14:textId="77777777" w:rsidR="00150FC2" w:rsidRPr="00ED2BFB" w:rsidRDefault="00150FC2" w:rsidP="00ED2BFB">
      <w:pPr>
        <w:rPr>
          <w:rFonts w:ascii="Arial" w:hAnsi="Arial" w:cs="Arial"/>
        </w:rPr>
      </w:pPr>
      <w:r w:rsidRPr="00ED2BFB">
        <w:rPr>
          <w:rFonts w:ascii="Arial" w:hAnsi="Arial" w:cs="Arial"/>
        </w:rPr>
        <w:t>VP of Finance, CFO, and Assistant Treasurer</w:t>
      </w:r>
    </w:p>
    <w:p w14:paraId="64C9229B" w14:textId="77777777" w:rsidR="00150FC2" w:rsidRPr="00ED2BFB" w:rsidRDefault="00150FC2" w:rsidP="00ED2BFB">
      <w:pPr>
        <w:rPr>
          <w:rFonts w:ascii="Arial" w:hAnsi="Arial" w:cs="Arial"/>
        </w:rPr>
      </w:pPr>
      <w:r w:rsidRPr="00ED2BFB">
        <w:rPr>
          <w:rFonts w:ascii="Arial" w:hAnsi="Arial" w:cs="Arial"/>
        </w:rPr>
        <w:t>Heywood Healthcare, Inc.</w:t>
      </w:r>
    </w:p>
    <w:p w14:paraId="13416FF3" w14:textId="77777777" w:rsidR="00150FC2" w:rsidRPr="00ED2BFB" w:rsidRDefault="00150FC2" w:rsidP="00ED2BFB">
      <w:pPr>
        <w:rPr>
          <w:rFonts w:ascii="Arial" w:hAnsi="Arial" w:cs="Arial"/>
        </w:rPr>
      </w:pPr>
      <w:r w:rsidRPr="00ED2BFB">
        <w:rPr>
          <w:rFonts w:ascii="Arial" w:hAnsi="Arial" w:cs="Arial"/>
        </w:rPr>
        <w:t>242 Green Street</w:t>
      </w:r>
    </w:p>
    <w:p w14:paraId="057A0417" w14:textId="41990AC2" w:rsidR="00150FC2" w:rsidRPr="00136C02" w:rsidRDefault="00150FC2" w:rsidP="00136C02">
      <w:pPr>
        <w:rPr>
          <w:rFonts w:ascii="Arial" w:hAnsi="Arial" w:cs="Arial"/>
        </w:rPr>
      </w:pPr>
      <w:r w:rsidRPr="00ED2BFB">
        <w:rPr>
          <w:rFonts w:ascii="Arial" w:hAnsi="Arial" w:cs="Arial"/>
        </w:rPr>
        <w:t>Gardner, MA 01440</w:t>
      </w:r>
    </w:p>
    <w:p w14:paraId="25B2CD6D" w14:textId="77777777" w:rsidR="00136C02" w:rsidRDefault="00136C02" w:rsidP="00136C02">
      <w:pPr>
        <w:rPr>
          <w:rFonts w:ascii="Arial" w:hAnsi="Arial" w:cs="Arial"/>
        </w:rPr>
      </w:pPr>
    </w:p>
    <w:p w14:paraId="56FAA788" w14:textId="57A67DAD" w:rsidR="00136C02" w:rsidRPr="00136C02" w:rsidRDefault="00150FC2" w:rsidP="00136C02">
      <w:pPr>
        <w:ind w:left="540" w:right="60" w:hanging="540"/>
        <w:rPr>
          <w:rFonts w:ascii="Arial" w:hAnsi="Arial" w:cs="Arial"/>
          <w:b/>
          <w:bCs/>
        </w:rPr>
      </w:pPr>
      <w:r w:rsidRPr="00136C02">
        <w:rPr>
          <w:rFonts w:ascii="Arial" w:hAnsi="Arial" w:cs="Arial"/>
          <w:b/>
          <w:bCs/>
        </w:rPr>
        <w:t>RE:   Analysis of the Reasonableness of Assumptions and Projections Used to Support the Financial Feasibility and Sustainability of the Proposed Project</w:t>
      </w:r>
    </w:p>
    <w:p w14:paraId="29303B61" w14:textId="77777777" w:rsidR="00136C02" w:rsidRPr="00136C02" w:rsidRDefault="00136C02" w:rsidP="00136C02">
      <w:pPr>
        <w:rPr>
          <w:rFonts w:ascii="Arial" w:hAnsi="Arial" w:cs="Arial"/>
        </w:rPr>
      </w:pPr>
    </w:p>
    <w:p w14:paraId="4265ADAA" w14:textId="577FA570" w:rsidR="00150FC2" w:rsidRDefault="00150FC2" w:rsidP="00ED2BFB">
      <w:pPr>
        <w:pStyle w:val="BodyText"/>
      </w:pPr>
      <w:r w:rsidRPr="00314411">
        <w:t>Dear Mr. Abbatiello:</w:t>
      </w:r>
    </w:p>
    <w:p w14:paraId="3FD6C013" w14:textId="2BEEFC26" w:rsidR="00150FC2" w:rsidRPr="00136C02" w:rsidRDefault="00150FC2" w:rsidP="00136C02">
      <w:pPr>
        <w:ind w:left="720"/>
        <w:rPr>
          <w:rFonts w:ascii="Arial" w:hAnsi="Arial" w:cs="Arial"/>
        </w:rPr>
      </w:pPr>
      <w:r w:rsidRPr="00136C02">
        <w:rPr>
          <w:rFonts w:ascii="Arial" w:hAnsi="Arial" w:cs="Arial"/>
        </w:rPr>
        <w:t xml:space="preserve">Enclosed is a copy of our </w:t>
      </w:r>
      <w:r w:rsidR="00805749" w:rsidRPr="00136C02">
        <w:rPr>
          <w:rFonts w:ascii="Arial" w:hAnsi="Arial" w:cs="Arial"/>
        </w:rPr>
        <w:t>report on</w:t>
      </w:r>
      <w:r w:rsidRPr="00136C02">
        <w:rPr>
          <w:rFonts w:ascii="Arial" w:hAnsi="Arial" w:cs="Arial"/>
        </w:rPr>
        <w:t xml:space="preserve"> the reasonableness of assumptions used for and feasibility of the financial </w:t>
      </w:r>
      <w:r w:rsidR="00805749" w:rsidRPr="00136C02">
        <w:rPr>
          <w:rFonts w:ascii="Arial" w:hAnsi="Arial" w:cs="Arial"/>
        </w:rPr>
        <w:t>projections for</w:t>
      </w:r>
      <w:r w:rsidRPr="00136C02">
        <w:rPr>
          <w:rFonts w:ascii="Arial" w:hAnsi="Arial" w:cs="Arial"/>
        </w:rPr>
        <w:t xml:space="preserve"> Heywood Healthcare, Inc. Please contact me to discuss this report once you have had an opportunity to review.</w:t>
      </w:r>
    </w:p>
    <w:p w14:paraId="30A8690F" w14:textId="77777777" w:rsidR="00150FC2" w:rsidRDefault="00150FC2" w:rsidP="00ED2BFB">
      <w:pPr>
        <w:pStyle w:val="BodyText"/>
      </w:pPr>
    </w:p>
    <w:p w14:paraId="55E0A576" w14:textId="77777777" w:rsidR="00150FC2" w:rsidRDefault="00150FC2" w:rsidP="00ED2BFB">
      <w:pPr>
        <w:pStyle w:val="BodyText"/>
      </w:pPr>
      <w:r>
        <w:t>Sincerely,</w:t>
      </w:r>
    </w:p>
    <w:p w14:paraId="4CD4FA58" w14:textId="77777777" w:rsidR="00150FC2" w:rsidRDefault="00150FC2" w:rsidP="00ED2BFB">
      <w:pPr>
        <w:pStyle w:val="BodyText"/>
      </w:pPr>
      <w:r w:rsidRPr="00150FC2">
        <w:rPr>
          <w:noProof/>
        </w:rPr>
        <w:drawing>
          <wp:inline distT="0" distB="0" distL="0" distR="0" wp14:anchorId="64811622" wp14:editId="04BED2CA">
            <wp:extent cx="2072820" cy="327688"/>
            <wp:effectExtent l="0" t="0" r="3810" b="0"/>
            <wp:docPr id="4" name="Picture 4" descr="BDO USA, LLP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DO USA, LLP Signature"/>
                    <pic:cNvPicPr/>
                  </pic:nvPicPr>
                  <pic:blipFill>
                    <a:blip r:embed="rId11"/>
                    <a:stretch>
                      <a:fillRect/>
                    </a:stretch>
                  </pic:blipFill>
                  <pic:spPr>
                    <a:xfrm>
                      <a:off x="0" y="0"/>
                      <a:ext cx="2072820" cy="327688"/>
                    </a:xfrm>
                    <a:prstGeom prst="rect">
                      <a:avLst/>
                    </a:prstGeom>
                  </pic:spPr>
                </pic:pic>
              </a:graphicData>
            </a:graphic>
          </wp:inline>
        </w:drawing>
      </w:r>
    </w:p>
    <w:p w14:paraId="2879F7BF" w14:textId="77777777" w:rsidR="001C2438" w:rsidRDefault="001C2438" w:rsidP="00ED2BFB">
      <w:pPr>
        <w:pStyle w:val="BodyText"/>
      </w:pPr>
    </w:p>
    <w:p w14:paraId="383B404B" w14:textId="77777777" w:rsidR="001C2438" w:rsidRDefault="001C2438" w:rsidP="00ED2BFB">
      <w:pPr>
        <w:pStyle w:val="BodyText"/>
        <w:sectPr w:rsidR="001C2438" w:rsidSect="00136C02">
          <w:headerReference w:type="default" r:id="rId12"/>
          <w:footerReference w:type="default" r:id="rId13"/>
          <w:pgSz w:w="12240" w:h="15840"/>
          <w:pgMar w:top="2160" w:right="1382" w:bottom="274" w:left="1440" w:header="720" w:footer="720" w:gutter="0"/>
          <w:cols w:space="720"/>
        </w:sectPr>
      </w:pPr>
    </w:p>
    <w:sdt>
      <w:sdtPr>
        <w:rPr>
          <w:rFonts w:ascii="Arial" w:eastAsia="Times New Roman" w:hAnsi="Arial" w:cs="Arial"/>
          <w:color w:val="auto"/>
          <w:sz w:val="22"/>
          <w:szCs w:val="22"/>
        </w:rPr>
        <w:id w:val="2078779906"/>
        <w:docPartObj>
          <w:docPartGallery w:val="Table of Contents"/>
          <w:docPartUnique/>
        </w:docPartObj>
      </w:sdtPr>
      <w:sdtEndPr>
        <w:rPr>
          <w:b/>
          <w:bCs/>
          <w:noProof/>
        </w:rPr>
      </w:sdtEndPr>
      <w:sdtContent>
        <w:p w14:paraId="24ABBAA4" w14:textId="5F52C638" w:rsidR="00855A74" w:rsidRPr="00855A74" w:rsidRDefault="00855A74" w:rsidP="00855A74">
          <w:pPr>
            <w:pStyle w:val="TOCHeading"/>
            <w:spacing w:before="100" w:beforeAutospacing="1" w:after="100" w:afterAutospacing="1" w:line="480" w:lineRule="auto"/>
            <w:jc w:val="center"/>
            <w:rPr>
              <w:rFonts w:ascii="Arial" w:hAnsi="Arial" w:cs="Arial"/>
              <w:color w:val="auto"/>
            </w:rPr>
          </w:pPr>
          <w:r w:rsidRPr="00855A74">
            <w:rPr>
              <w:rFonts w:ascii="Arial" w:hAnsi="Arial" w:cs="Arial"/>
              <w:color w:val="auto"/>
            </w:rPr>
            <w:t>Table of Contents</w:t>
          </w:r>
        </w:p>
        <w:p w14:paraId="058B4A75" w14:textId="5B1CEC53" w:rsidR="00855A74" w:rsidRPr="00855A74" w:rsidRDefault="00855A74" w:rsidP="00855A74">
          <w:pPr>
            <w:tabs>
              <w:tab w:val="left" w:pos="8640"/>
            </w:tabs>
            <w:spacing w:before="100" w:beforeAutospacing="1" w:after="100" w:afterAutospacing="1" w:line="480" w:lineRule="auto"/>
            <w:rPr>
              <w:rFonts w:ascii="Arial" w:hAnsi="Arial" w:cs="Arial"/>
            </w:rPr>
          </w:pPr>
          <w:r w:rsidRPr="00855A74">
            <w:rPr>
              <w:rFonts w:ascii="Arial" w:hAnsi="Arial" w:cs="Arial"/>
            </w:rPr>
            <w:tab/>
            <w:t>Page</w:t>
          </w:r>
        </w:p>
        <w:p w14:paraId="39783D9E" w14:textId="77A39001" w:rsidR="00855A74" w:rsidRPr="00855A74" w:rsidRDefault="00855A74" w:rsidP="00855A74">
          <w:pPr>
            <w:pStyle w:val="TOC1"/>
            <w:spacing w:before="100" w:beforeAutospacing="1" w:afterAutospacing="1" w:line="480" w:lineRule="auto"/>
            <w:rPr>
              <w:rFonts w:ascii="Arial" w:eastAsiaTheme="minorEastAsia" w:hAnsi="Arial" w:cs="Arial"/>
              <w:noProof/>
            </w:rPr>
          </w:pPr>
          <w:r w:rsidRPr="00855A74">
            <w:rPr>
              <w:rFonts w:ascii="Arial" w:hAnsi="Arial" w:cs="Arial"/>
            </w:rPr>
            <w:fldChar w:fldCharType="begin"/>
          </w:r>
          <w:r w:rsidRPr="00855A74">
            <w:rPr>
              <w:rFonts w:ascii="Arial" w:hAnsi="Arial" w:cs="Arial"/>
            </w:rPr>
            <w:instrText xml:space="preserve"> TOC \o "1-1" \n \h \z \u </w:instrText>
          </w:r>
          <w:r w:rsidRPr="00855A74">
            <w:rPr>
              <w:rFonts w:ascii="Arial" w:hAnsi="Arial" w:cs="Arial"/>
            </w:rPr>
            <w:fldChar w:fldCharType="separate"/>
          </w:r>
          <w:hyperlink w:anchor="_Toc80130166" w:history="1">
            <w:r w:rsidRPr="00855A74">
              <w:rPr>
                <w:rStyle w:val="Hyperlink"/>
                <w:rFonts w:ascii="Arial" w:hAnsi="Arial" w:cs="Arial"/>
                <w:noProof/>
                <w:color w:val="auto"/>
              </w:rPr>
              <w:t>I.</w:t>
            </w:r>
            <w:r w:rsidRPr="00855A74">
              <w:rPr>
                <w:rFonts w:ascii="Arial" w:eastAsiaTheme="minorEastAsia" w:hAnsi="Arial" w:cs="Arial"/>
                <w:noProof/>
              </w:rPr>
              <w:tab/>
            </w:r>
            <w:r w:rsidRPr="00855A74">
              <w:rPr>
                <w:rStyle w:val="Hyperlink"/>
                <w:rFonts w:ascii="Arial" w:hAnsi="Arial" w:cs="Arial"/>
                <w:noProof/>
                <w:color w:val="auto"/>
              </w:rPr>
              <w:t>EXECUTIVE SUMMARY</w:t>
            </w:r>
          </w:hyperlink>
          <w:r w:rsidRPr="00855A74">
            <w:rPr>
              <w:rStyle w:val="Hyperlink"/>
              <w:rFonts w:ascii="Arial" w:hAnsi="Arial" w:cs="Arial"/>
              <w:noProof/>
              <w:color w:val="auto"/>
              <w:u w:val="none"/>
            </w:rPr>
            <w:tab/>
            <w:t>1</w:t>
          </w:r>
        </w:p>
        <w:p w14:paraId="54E0AC0A" w14:textId="2BA8D384" w:rsidR="00855A74" w:rsidRPr="00855A74" w:rsidRDefault="004503B5" w:rsidP="00855A74">
          <w:pPr>
            <w:pStyle w:val="TOC1"/>
            <w:spacing w:before="100" w:beforeAutospacing="1" w:afterAutospacing="1" w:line="480" w:lineRule="auto"/>
            <w:rPr>
              <w:rFonts w:ascii="Arial" w:eastAsiaTheme="minorEastAsia" w:hAnsi="Arial" w:cs="Arial"/>
              <w:noProof/>
            </w:rPr>
          </w:pPr>
          <w:hyperlink w:anchor="_Toc80130167" w:history="1">
            <w:r w:rsidR="00855A74" w:rsidRPr="00855A74">
              <w:rPr>
                <w:rStyle w:val="Hyperlink"/>
                <w:rFonts w:ascii="Arial" w:hAnsi="Arial" w:cs="Arial"/>
                <w:noProof/>
                <w:color w:val="auto"/>
              </w:rPr>
              <w:t>II.</w:t>
            </w:r>
            <w:r w:rsidR="00855A74" w:rsidRPr="00855A74">
              <w:rPr>
                <w:rFonts w:ascii="Arial" w:eastAsiaTheme="minorEastAsia" w:hAnsi="Arial" w:cs="Arial"/>
                <w:noProof/>
              </w:rPr>
              <w:tab/>
            </w:r>
            <w:r w:rsidR="00855A74" w:rsidRPr="00855A74">
              <w:rPr>
                <w:rStyle w:val="Hyperlink"/>
                <w:rFonts w:ascii="Arial" w:hAnsi="Arial" w:cs="Arial"/>
                <w:noProof/>
                <w:color w:val="auto"/>
              </w:rPr>
              <w:t>RELEVANT BACKGROUND INFORMATION</w:t>
            </w:r>
          </w:hyperlink>
          <w:r w:rsidR="00855A74" w:rsidRPr="00855A74">
            <w:rPr>
              <w:rStyle w:val="Hyperlink"/>
              <w:rFonts w:ascii="Arial" w:hAnsi="Arial" w:cs="Arial"/>
              <w:noProof/>
              <w:color w:val="auto"/>
              <w:u w:val="none"/>
            </w:rPr>
            <w:tab/>
            <w:t>2</w:t>
          </w:r>
        </w:p>
        <w:p w14:paraId="4A34ED13" w14:textId="63B087B0" w:rsidR="00855A74" w:rsidRPr="00855A74" w:rsidRDefault="004503B5" w:rsidP="00855A74">
          <w:pPr>
            <w:pStyle w:val="TOC1"/>
            <w:spacing w:before="100" w:beforeAutospacing="1" w:afterAutospacing="1" w:line="480" w:lineRule="auto"/>
            <w:rPr>
              <w:rFonts w:ascii="Arial" w:eastAsiaTheme="minorEastAsia" w:hAnsi="Arial" w:cs="Arial"/>
              <w:noProof/>
            </w:rPr>
          </w:pPr>
          <w:hyperlink w:anchor="_Toc80130168" w:history="1">
            <w:r w:rsidR="00855A74" w:rsidRPr="00855A74">
              <w:rPr>
                <w:rStyle w:val="Hyperlink"/>
                <w:rFonts w:ascii="Arial" w:hAnsi="Arial" w:cs="Arial"/>
                <w:noProof/>
                <w:color w:val="auto"/>
              </w:rPr>
              <w:t>III.</w:t>
            </w:r>
            <w:r w:rsidR="00855A74" w:rsidRPr="00855A74">
              <w:rPr>
                <w:rFonts w:ascii="Arial" w:eastAsiaTheme="minorEastAsia" w:hAnsi="Arial" w:cs="Arial"/>
                <w:noProof/>
              </w:rPr>
              <w:tab/>
            </w:r>
            <w:r w:rsidR="00855A74" w:rsidRPr="00855A74">
              <w:rPr>
                <w:rStyle w:val="Hyperlink"/>
                <w:rFonts w:ascii="Arial" w:hAnsi="Arial" w:cs="Arial"/>
                <w:noProof/>
                <w:color w:val="auto"/>
              </w:rPr>
              <w:t>SCOPE OF REPORT</w:t>
            </w:r>
          </w:hyperlink>
          <w:r w:rsidR="00855A74" w:rsidRPr="00855A74">
            <w:rPr>
              <w:rStyle w:val="Hyperlink"/>
              <w:rFonts w:ascii="Arial" w:hAnsi="Arial" w:cs="Arial"/>
              <w:noProof/>
              <w:color w:val="auto"/>
              <w:u w:val="none"/>
            </w:rPr>
            <w:tab/>
            <w:t>3</w:t>
          </w:r>
        </w:p>
        <w:p w14:paraId="6B77CBE4" w14:textId="06C737F0" w:rsidR="00855A74" w:rsidRPr="00855A74" w:rsidRDefault="004503B5" w:rsidP="00855A74">
          <w:pPr>
            <w:pStyle w:val="TOC1"/>
            <w:spacing w:before="100" w:beforeAutospacing="1" w:afterAutospacing="1" w:line="480" w:lineRule="auto"/>
            <w:rPr>
              <w:rFonts w:ascii="Arial" w:eastAsiaTheme="minorEastAsia" w:hAnsi="Arial" w:cs="Arial"/>
              <w:noProof/>
            </w:rPr>
          </w:pPr>
          <w:hyperlink w:anchor="_Toc80130169" w:history="1">
            <w:r w:rsidR="00855A74" w:rsidRPr="00855A74">
              <w:rPr>
                <w:rStyle w:val="Hyperlink"/>
                <w:rFonts w:ascii="Arial" w:hAnsi="Arial" w:cs="Arial"/>
                <w:noProof/>
                <w:color w:val="auto"/>
              </w:rPr>
              <w:t>IV.</w:t>
            </w:r>
            <w:r w:rsidR="00855A74" w:rsidRPr="00855A74">
              <w:rPr>
                <w:rFonts w:ascii="Arial" w:eastAsiaTheme="minorEastAsia" w:hAnsi="Arial" w:cs="Arial"/>
                <w:noProof/>
              </w:rPr>
              <w:tab/>
            </w:r>
            <w:r w:rsidR="00855A74" w:rsidRPr="00855A74">
              <w:rPr>
                <w:rStyle w:val="Hyperlink"/>
                <w:rFonts w:ascii="Arial" w:hAnsi="Arial" w:cs="Arial"/>
                <w:noProof/>
                <w:color w:val="auto"/>
              </w:rPr>
              <w:t>SOURCES OF INFORMATION UTILIZED</w:t>
            </w:r>
          </w:hyperlink>
          <w:r w:rsidR="00855A74" w:rsidRPr="00855A74">
            <w:rPr>
              <w:rStyle w:val="Hyperlink"/>
              <w:rFonts w:ascii="Arial" w:hAnsi="Arial" w:cs="Arial"/>
              <w:noProof/>
              <w:color w:val="auto"/>
              <w:u w:val="none"/>
            </w:rPr>
            <w:tab/>
            <w:t>4</w:t>
          </w:r>
        </w:p>
        <w:p w14:paraId="6DD5C96F" w14:textId="061CA26B" w:rsidR="00855A74" w:rsidRPr="00855A74" w:rsidRDefault="004503B5" w:rsidP="00855A74">
          <w:pPr>
            <w:pStyle w:val="TOC1"/>
            <w:spacing w:before="100" w:beforeAutospacing="1" w:afterAutospacing="1" w:line="480" w:lineRule="auto"/>
            <w:rPr>
              <w:rFonts w:ascii="Arial" w:eastAsiaTheme="minorEastAsia" w:hAnsi="Arial" w:cs="Arial"/>
              <w:noProof/>
            </w:rPr>
          </w:pPr>
          <w:hyperlink w:anchor="_Toc80130170" w:history="1">
            <w:r w:rsidR="00855A74" w:rsidRPr="00855A74">
              <w:rPr>
                <w:rStyle w:val="Hyperlink"/>
                <w:rFonts w:ascii="Arial" w:hAnsi="Arial" w:cs="Arial"/>
                <w:noProof/>
                <w:color w:val="auto"/>
              </w:rPr>
              <w:t>V.</w:t>
            </w:r>
            <w:r w:rsidR="00855A74" w:rsidRPr="00855A74">
              <w:rPr>
                <w:rFonts w:ascii="Arial" w:eastAsiaTheme="minorEastAsia" w:hAnsi="Arial" w:cs="Arial"/>
                <w:noProof/>
              </w:rPr>
              <w:tab/>
            </w:r>
            <w:r w:rsidR="00855A74" w:rsidRPr="00855A74">
              <w:rPr>
                <w:rStyle w:val="Hyperlink"/>
                <w:rFonts w:ascii="Arial" w:hAnsi="Arial" w:cs="Arial"/>
                <w:noProof/>
                <w:color w:val="auto"/>
              </w:rPr>
              <w:t>REVIEW OF THE PROJECTIONS</w:t>
            </w:r>
          </w:hyperlink>
          <w:r w:rsidR="00855A74" w:rsidRPr="00855A74">
            <w:rPr>
              <w:rStyle w:val="Hyperlink"/>
              <w:rFonts w:ascii="Arial" w:hAnsi="Arial" w:cs="Arial"/>
              <w:noProof/>
              <w:color w:val="auto"/>
              <w:u w:val="none"/>
            </w:rPr>
            <w:tab/>
            <w:t>6</w:t>
          </w:r>
        </w:p>
        <w:p w14:paraId="3D9D9ED6" w14:textId="16A81008" w:rsidR="00855A74" w:rsidRPr="00855A74" w:rsidRDefault="004503B5" w:rsidP="00855A74">
          <w:pPr>
            <w:pStyle w:val="TOC1"/>
            <w:spacing w:before="100" w:beforeAutospacing="1" w:afterAutospacing="1" w:line="480" w:lineRule="auto"/>
            <w:rPr>
              <w:rFonts w:ascii="Arial" w:eastAsiaTheme="minorEastAsia" w:hAnsi="Arial" w:cs="Arial"/>
              <w:noProof/>
            </w:rPr>
          </w:pPr>
          <w:hyperlink w:anchor="_Toc80130171" w:history="1">
            <w:r w:rsidR="00855A74" w:rsidRPr="00855A74">
              <w:rPr>
                <w:rStyle w:val="Hyperlink"/>
                <w:rFonts w:ascii="Arial" w:hAnsi="Arial" w:cs="Arial"/>
                <w:noProof/>
                <w:color w:val="auto"/>
              </w:rPr>
              <w:t>VI.</w:t>
            </w:r>
            <w:r w:rsidR="00855A74" w:rsidRPr="00855A74">
              <w:rPr>
                <w:rFonts w:ascii="Arial" w:eastAsiaTheme="minorEastAsia" w:hAnsi="Arial" w:cs="Arial"/>
                <w:noProof/>
              </w:rPr>
              <w:tab/>
            </w:r>
            <w:r w:rsidR="00855A74" w:rsidRPr="00855A74">
              <w:rPr>
                <w:rStyle w:val="Hyperlink"/>
                <w:rFonts w:ascii="Arial" w:hAnsi="Arial" w:cs="Arial"/>
                <w:noProof/>
                <w:color w:val="auto"/>
              </w:rPr>
              <w:t>FEASIBILITY</w:t>
            </w:r>
          </w:hyperlink>
          <w:r w:rsidR="00855A74" w:rsidRPr="00855A74">
            <w:rPr>
              <w:rStyle w:val="Hyperlink"/>
              <w:rFonts w:ascii="Arial" w:hAnsi="Arial" w:cs="Arial"/>
              <w:noProof/>
              <w:color w:val="auto"/>
              <w:u w:val="none"/>
            </w:rPr>
            <w:tab/>
            <w:t>14</w:t>
          </w:r>
        </w:p>
        <w:p w14:paraId="6B23EC4F" w14:textId="62E346CA" w:rsidR="00855A74" w:rsidRDefault="00855A74" w:rsidP="00855A74">
          <w:pPr>
            <w:tabs>
              <w:tab w:val="left" w:pos="720"/>
            </w:tabs>
            <w:spacing w:before="100" w:beforeAutospacing="1" w:after="100" w:afterAutospacing="1" w:line="480" w:lineRule="auto"/>
          </w:pPr>
          <w:r w:rsidRPr="00855A74">
            <w:rPr>
              <w:rFonts w:ascii="Arial" w:hAnsi="Arial" w:cs="Arial"/>
            </w:rPr>
            <w:fldChar w:fldCharType="end"/>
          </w:r>
        </w:p>
      </w:sdtContent>
    </w:sdt>
    <w:p w14:paraId="5D8A0B98" w14:textId="77777777" w:rsidR="001C2438" w:rsidRDefault="001C2438" w:rsidP="00ED2BFB">
      <w:pPr>
        <w:pStyle w:val="BodyText"/>
        <w:sectPr w:rsidR="001C2438">
          <w:headerReference w:type="default" r:id="rId14"/>
          <w:footerReference w:type="default" r:id="rId15"/>
          <w:pgSz w:w="12240" w:h="15840"/>
          <w:pgMar w:top="1480" w:right="1380" w:bottom="280" w:left="1440" w:header="720" w:footer="720" w:gutter="0"/>
          <w:cols w:space="720"/>
        </w:sectPr>
      </w:pPr>
    </w:p>
    <w:p w14:paraId="08E54040" w14:textId="3F8146E8" w:rsidR="00314411" w:rsidRPr="00314411" w:rsidRDefault="00314411" w:rsidP="00ED2BFB">
      <w:pPr>
        <w:pStyle w:val="BodyText"/>
      </w:pPr>
      <w:r w:rsidRPr="00314411">
        <w:lastRenderedPageBreak/>
        <w:t>July 9, 2021</w:t>
      </w:r>
    </w:p>
    <w:p w14:paraId="137A6378" w14:textId="7C147B0B" w:rsidR="00314411" w:rsidRPr="00ED2BFB" w:rsidRDefault="00314411" w:rsidP="00ED2BFB">
      <w:pPr>
        <w:rPr>
          <w:rFonts w:ascii="Arial" w:hAnsi="Arial" w:cs="Arial"/>
        </w:rPr>
      </w:pPr>
      <w:r w:rsidRPr="00ED2BFB">
        <w:rPr>
          <w:rFonts w:ascii="Arial" w:hAnsi="Arial" w:cs="Arial"/>
        </w:rPr>
        <w:t>Michael R. Abbatiello, MPPM, CPA</w:t>
      </w:r>
    </w:p>
    <w:p w14:paraId="38C15F8A" w14:textId="14B5CC06" w:rsidR="00314411" w:rsidRPr="00ED2BFB" w:rsidRDefault="00314411" w:rsidP="00ED2BFB">
      <w:pPr>
        <w:rPr>
          <w:rFonts w:ascii="Arial" w:hAnsi="Arial" w:cs="Arial"/>
        </w:rPr>
      </w:pPr>
      <w:r w:rsidRPr="00ED2BFB">
        <w:rPr>
          <w:rFonts w:ascii="Arial" w:hAnsi="Arial" w:cs="Arial"/>
        </w:rPr>
        <w:t>VP of Finance, CFO, and Assistant Treasurer</w:t>
      </w:r>
    </w:p>
    <w:p w14:paraId="1D60C9E3" w14:textId="3D748FE8" w:rsidR="00314411" w:rsidRPr="00ED2BFB" w:rsidRDefault="00314411" w:rsidP="00ED2BFB">
      <w:pPr>
        <w:rPr>
          <w:rFonts w:ascii="Arial" w:hAnsi="Arial" w:cs="Arial"/>
        </w:rPr>
      </w:pPr>
      <w:r w:rsidRPr="00ED2BFB">
        <w:rPr>
          <w:rFonts w:ascii="Arial" w:hAnsi="Arial" w:cs="Arial"/>
        </w:rPr>
        <w:t>Heywood Healthcare, Inc.</w:t>
      </w:r>
    </w:p>
    <w:p w14:paraId="3BC18941" w14:textId="5C8FF9E8" w:rsidR="00314411" w:rsidRPr="00ED2BFB" w:rsidRDefault="00314411" w:rsidP="00ED2BFB">
      <w:pPr>
        <w:rPr>
          <w:rFonts w:ascii="Arial" w:hAnsi="Arial" w:cs="Arial"/>
        </w:rPr>
      </w:pPr>
      <w:r w:rsidRPr="00ED2BFB">
        <w:rPr>
          <w:rFonts w:ascii="Arial" w:hAnsi="Arial" w:cs="Arial"/>
        </w:rPr>
        <w:t>242 Green Street</w:t>
      </w:r>
    </w:p>
    <w:p w14:paraId="7281FFD5" w14:textId="7E3CF491" w:rsidR="00314411" w:rsidRDefault="00314411" w:rsidP="00ED2BFB">
      <w:pPr>
        <w:rPr>
          <w:rFonts w:ascii="Arial" w:hAnsi="Arial" w:cs="Arial"/>
        </w:rPr>
      </w:pPr>
      <w:r w:rsidRPr="00ED2BFB">
        <w:rPr>
          <w:rFonts w:ascii="Arial" w:hAnsi="Arial" w:cs="Arial"/>
        </w:rPr>
        <w:t>Gardner, MA 01440</w:t>
      </w:r>
    </w:p>
    <w:p w14:paraId="037F51FF" w14:textId="77777777" w:rsidR="00ED2BFB" w:rsidRPr="00ED2BFB" w:rsidRDefault="00ED2BFB" w:rsidP="00ED2BFB">
      <w:pPr>
        <w:rPr>
          <w:rFonts w:ascii="Arial" w:hAnsi="Arial" w:cs="Arial"/>
        </w:rPr>
      </w:pPr>
    </w:p>
    <w:p w14:paraId="4529B8A4" w14:textId="2678926E" w:rsidR="00314411" w:rsidRPr="00ED2BFB" w:rsidRDefault="00314411" w:rsidP="00ED2BFB">
      <w:pPr>
        <w:spacing w:after="240"/>
        <w:ind w:left="634" w:hanging="634"/>
        <w:rPr>
          <w:rFonts w:ascii="Arial" w:hAnsi="Arial" w:cs="Arial"/>
        </w:rPr>
      </w:pPr>
      <w:r w:rsidRPr="00ED2BFB">
        <w:rPr>
          <w:rFonts w:ascii="Arial" w:hAnsi="Arial" w:cs="Arial"/>
        </w:rPr>
        <w:t>RE:   Analysis of the Reasonableness of Assumptions and Projections Used to Support the Financial Feasibility and Sustainability of the Proposed Project</w:t>
      </w:r>
    </w:p>
    <w:p w14:paraId="73BC29E8" w14:textId="0D1404CA" w:rsidR="00314411" w:rsidRPr="00314411" w:rsidRDefault="00314411" w:rsidP="00ED2BFB">
      <w:pPr>
        <w:pStyle w:val="BodyText"/>
      </w:pPr>
      <w:r w:rsidRPr="00314411">
        <w:t>Dear Mr. Abbatiello:</w:t>
      </w:r>
    </w:p>
    <w:p w14:paraId="526A7773" w14:textId="07C021FE" w:rsidR="000D4777" w:rsidRPr="00314411" w:rsidRDefault="00F02F19" w:rsidP="00ED2BFB">
      <w:pPr>
        <w:pStyle w:val="BodyText"/>
      </w:pPr>
      <w:r w:rsidRPr="00314411">
        <w:t>We have performed an analysis related to the reasonableness</w:t>
      </w:r>
      <w:r w:rsidR="0091231F" w:rsidRPr="00314411">
        <w:t xml:space="preserve"> </w:t>
      </w:r>
      <w:r w:rsidRPr="00314411">
        <w:t>and feasibil</w:t>
      </w:r>
      <w:r w:rsidR="0091231F" w:rsidRPr="00314411">
        <w:t>i</w:t>
      </w:r>
      <w:r w:rsidRPr="00314411">
        <w:t>ty of the financial project</w:t>
      </w:r>
      <w:r w:rsidR="00D15E07" w:rsidRPr="00314411">
        <w:t>ions</w:t>
      </w:r>
      <w:r w:rsidRPr="00314411">
        <w:t xml:space="preserve"> (the "Project</w:t>
      </w:r>
      <w:r w:rsidR="0091231F" w:rsidRPr="00314411">
        <w:t>i</w:t>
      </w:r>
      <w:r w:rsidRPr="00314411">
        <w:t>ons") of Heywood Healthcare, Inc. (" Heywood " or " the Applicant ") related to its Determination of Need ("DON") filing related to the construct</w:t>
      </w:r>
      <w:r w:rsidR="0091231F" w:rsidRPr="00314411">
        <w:t xml:space="preserve">ion </w:t>
      </w:r>
      <w:r w:rsidRPr="00314411">
        <w:t>of a new perioperative surgical care pavilion (the "Proposed Project</w:t>
      </w:r>
      <w:r w:rsidR="008512A6" w:rsidRPr="00314411">
        <w:t>“)</w:t>
      </w:r>
      <w:r w:rsidRPr="00314411">
        <w:t>, described further below. This report details our analysis and findings</w:t>
      </w:r>
      <w:r w:rsidR="0091231F" w:rsidRPr="00314411">
        <w:t xml:space="preserve"> </w:t>
      </w:r>
      <w:r w:rsidRPr="00314411">
        <w:t>wi</w:t>
      </w:r>
      <w:r w:rsidR="0091231F" w:rsidRPr="00314411">
        <w:t>t</w:t>
      </w:r>
      <w:r w:rsidRPr="00314411">
        <w:t>h regards to the reasonableness</w:t>
      </w:r>
      <w:r w:rsidR="0091231F" w:rsidRPr="00314411">
        <w:t xml:space="preserve"> </w:t>
      </w:r>
      <w:r w:rsidRPr="00314411">
        <w:t>of assumptions</w:t>
      </w:r>
      <w:r w:rsidR="0091231F" w:rsidRPr="00314411">
        <w:t xml:space="preserve"> </w:t>
      </w:r>
      <w:r w:rsidRPr="00314411">
        <w:t>used in the preparat</w:t>
      </w:r>
      <w:r w:rsidR="0091231F" w:rsidRPr="00314411">
        <w:t xml:space="preserve">ion </w:t>
      </w:r>
      <w:r w:rsidRPr="00314411">
        <w:t>of</w:t>
      </w:r>
      <w:r w:rsidR="0091231F" w:rsidRPr="00314411">
        <w:t xml:space="preserve"> the </w:t>
      </w:r>
      <w:r w:rsidRPr="00314411">
        <w:t>Projections</w:t>
      </w:r>
      <w:r w:rsidR="0091231F" w:rsidRPr="00314411">
        <w:t xml:space="preserve"> </w:t>
      </w:r>
      <w:r w:rsidRPr="00314411">
        <w:t>and feasibil</w:t>
      </w:r>
      <w:r w:rsidR="0091231F" w:rsidRPr="00314411">
        <w:t>i</w:t>
      </w:r>
      <w:r w:rsidRPr="00314411">
        <w:t>ty of the projected financial results</w:t>
      </w:r>
      <w:r w:rsidR="0091231F" w:rsidRPr="00314411">
        <w:t xml:space="preserve"> </w:t>
      </w:r>
      <w:r w:rsidRPr="00314411">
        <w:t>prepared by the management of Heywood ("Management</w:t>
      </w:r>
      <w:r w:rsidR="008512A6" w:rsidRPr="00314411">
        <w:t>“)</w:t>
      </w:r>
      <w:r w:rsidRPr="00314411">
        <w:t>. This report is to be used by Heywood in connect</w:t>
      </w:r>
      <w:r w:rsidR="0091231F" w:rsidRPr="00314411">
        <w:t>ion</w:t>
      </w:r>
      <w:r w:rsidRPr="00314411">
        <w:t xml:space="preserve"> with its DON Applicat</w:t>
      </w:r>
      <w:r w:rsidR="0091231F" w:rsidRPr="00314411">
        <w:t xml:space="preserve">ion </w:t>
      </w:r>
      <w:r w:rsidRPr="00314411">
        <w:t>- Factor 4 and should not be distributed or relied upon for any other purpose.</w:t>
      </w:r>
    </w:p>
    <w:p w14:paraId="59754F1E" w14:textId="77777777" w:rsidR="000D4777" w:rsidRPr="00314411" w:rsidRDefault="00F02F19" w:rsidP="0044566A">
      <w:pPr>
        <w:pStyle w:val="Heading1"/>
      </w:pPr>
      <w:bookmarkStart w:id="0" w:name="_Toc80130166"/>
      <w:r w:rsidRPr="00314411">
        <w:t>EXECUTIVE SUMMARY</w:t>
      </w:r>
      <w:bookmarkEnd w:id="0"/>
    </w:p>
    <w:p w14:paraId="0AB9DE50" w14:textId="11420A62" w:rsidR="000D4777" w:rsidRPr="00314411" w:rsidRDefault="00F02F19" w:rsidP="00ED2BFB">
      <w:pPr>
        <w:pStyle w:val="BodyText"/>
      </w:pPr>
      <w:r w:rsidRPr="00314411">
        <w:t>The scope of our review was limited to an analysis of the nine-year financial project</w:t>
      </w:r>
      <w:r w:rsidR="00D15E07" w:rsidRPr="00314411">
        <w:t>ions</w:t>
      </w:r>
      <w:r w:rsidR="0091231F" w:rsidRPr="00314411">
        <w:t xml:space="preserve"> </w:t>
      </w:r>
      <w:r w:rsidRPr="00314411">
        <w:t>for the A</w:t>
      </w:r>
      <w:r w:rsidR="0091231F" w:rsidRPr="00314411">
        <w:t>pplicant</w:t>
      </w:r>
      <w:r w:rsidRPr="00314411">
        <w:t xml:space="preserve"> for the fiscal years ending 2021 through 2029 prepared by Management and the supporting documentat</w:t>
      </w:r>
      <w:r w:rsidR="0091231F" w:rsidRPr="00314411">
        <w:t>ion</w:t>
      </w:r>
      <w:r w:rsidRPr="00314411">
        <w:t xml:space="preserve"> in order to render an opi</w:t>
      </w:r>
      <w:r w:rsidR="0091231F" w:rsidRPr="00314411">
        <w:t>n</w:t>
      </w:r>
      <w:r w:rsidRPr="00314411">
        <w:t>ion as to</w:t>
      </w:r>
      <w:r w:rsidR="0091231F" w:rsidRPr="00314411">
        <w:t xml:space="preserve"> the </w:t>
      </w:r>
      <w:r w:rsidRPr="00314411">
        <w:t>reasonableness</w:t>
      </w:r>
      <w:r w:rsidR="0091231F" w:rsidRPr="00314411">
        <w:t xml:space="preserve"> </w:t>
      </w:r>
      <w:r w:rsidRPr="00314411">
        <w:t>of assumptions used in the preparat</w:t>
      </w:r>
      <w:r w:rsidR="0091231F" w:rsidRPr="00314411">
        <w:t>ion</w:t>
      </w:r>
      <w:r w:rsidRPr="00314411">
        <w:t xml:space="preserve"> and </w:t>
      </w:r>
      <w:r w:rsidR="0091231F" w:rsidRPr="00314411">
        <w:t>feasibility</w:t>
      </w:r>
      <w:r w:rsidRPr="00314411">
        <w:t xml:space="preserve"> of</w:t>
      </w:r>
      <w:r w:rsidR="0091231F" w:rsidRPr="00314411">
        <w:t xml:space="preserve"> the </w:t>
      </w:r>
      <w:r w:rsidRPr="00314411">
        <w:t>Project</w:t>
      </w:r>
      <w:r w:rsidR="0091231F" w:rsidRPr="00314411">
        <w:t>ion</w:t>
      </w:r>
      <w:r w:rsidR="00D15E07" w:rsidRPr="00314411">
        <w:t>s</w:t>
      </w:r>
      <w:r w:rsidRPr="00314411">
        <w:t>.</w:t>
      </w:r>
    </w:p>
    <w:p w14:paraId="17926527" w14:textId="77777777" w:rsidR="000D4777" w:rsidRPr="00314411" w:rsidRDefault="000D4777" w:rsidP="00ED2BFB">
      <w:pPr>
        <w:pStyle w:val="BodyText"/>
      </w:pPr>
    </w:p>
    <w:p w14:paraId="2DD710C2" w14:textId="77777777" w:rsidR="00150FC2" w:rsidRDefault="00150FC2" w:rsidP="00ED2BFB">
      <w:pPr>
        <w:pStyle w:val="BodyText"/>
        <w:sectPr w:rsidR="00150FC2" w:rsidSect="00ED2BFB">
          <w:headerReference w:type="default" r:id="rId16"/>
          <w:footerReference w:type="default" r:id="rId17"/>
          <w:pgSz w:w="12240" w:h="15840"/>
          <w:pgMar w:top="2160" w:right="1382" w:bottom="274" w:left="1440" w:header="720" w:footer="720" w:gutter="0"/>
          <w:cols w:space="720"/>
        </w:sectPr>
      </w:pPr>
    </w:p>
    <w:p w14:paraId="5A236883" w14:textId="307A99E6" w:rsidR="000D4777" w:rsidRPr="00314411" w:rsidRDefault="00F02F19" w:rsidP="00ED2BFB">
      <w:pPr>
        <w:pStyle w:val="BodyText"/>
      </w:pPr>
      <w:r w:rsidRPr="00150FC2">
        <w:lastRenderedPageBreak/>
        <w:t>The Project</w:t>
      </w:r>
      <w:r w:rsidR="00D15E07" w:rsidRPr="00150FC2">
        <w:t>ions</w:t>
      </w:r>
      <w:r w:rsidRPr="00150FC2">
        <w:t xml:space="preserve"> exhibit a cumulative operating EBITDA</w:t>
      </w:r>
      <w:r w:rsidR="0091231F" w:rsidRPr="00150FC2">
        <w:t xml:space="preserve"> </w:t>
      </w:r>
      <w:r w:rsidRPr="00150FC2">
        <w:t>surplus</w:t>
      </w:r>
      <w:r w:rsidR="0091231F" w:rsidRPr="00150FC2">
        <w:t xml:space="preserve"> </w:t>
      </w:r>
      <w:r w:rsidRPr="00150FC2">
        <w:t>of approximately 6.0 percent of cumulative projected revenue for Heywood</w:t>
      </w:r>
      <w:r w:rsidR="0091231F" w:rsidRPr="00150FC2">
        <w:t xml:space="preserve"> </w:t>
      </w:r>
      <w:r w:rsidRPr="00150FC2">
        <w:t>for the nine years from fiscal year ("FY</w:t>
      </w:r>
      <w:r w:rsidR="008512A6" w:rsidRPr="00150FC2">
        <w:t>”)</w:t>
      </w:r>
      <w:r w:rsidRPr="00150FC2">
        <w:t xml:space="preserve"> 2021</w:t>
      </w:r>
      <w:r w:rsidR="0091231F" w:rsidRPr="00150FC2">
        <w:t xml:space="preserve"> </w:t>
      </w:r>
      <w:r w:rsidRPr="00150FC2">
        <w:t xml:space="preserve">through FY </w:t>
      </w:r>
      <w:r w:rsidR="00805749" w:rsidRPr="00150FC2">
        <w:t>2029.</w:t>
      </w:r>
      <w:r w:rsidRPr="00150FC2">
        <w:t xml:space="preserve"> Based upon our review of</w:t>
      </w:r>
      <w:r w:rsidR="0091231F" w:rsidRPr="00150FC2">
        <w:t xml:space="preserve"> the </w:t>
      </w:r>
      <w:r w:rsidRPr="00150FC2">
        <w:t>relevant documents and analysis of the Project</w:t>
      </w:r>
      <w:r w:rsidR="00D15E07" w:rsidRPr="00150FC2">
        <w:t>ions</w:t>
      </w:r>
      <w:r w:rsidRPr="00150FC2">
        <w:t>, we determined the anticipated operating E BITDA surplus is a reasonable expectat</w:t>
      </w:r>
      <w:r w:rsidR="0091231F" w:rsidRPr="00150FC2">
        <w:t>ion</w:t>
      </w:r>
      <w:r w:rsidRPr="00150FC2">
        <w:t xml:space="preserve"> and based upon </w:t>
      </w:r>
      <w:r w:rsidR="00D15E07" w:rsidRPr="00150FC2">
        <w:t>feasible</w:t>
      </w:r>
      <w:r w:rsidRPr="00150FC2">
        <w:t xml:space="preserve"> financial assumptions</w:t>
      </w:r>
      <w:r w:rsidR="0091231F" w:rsidRPr="00150FC2">
        <w:t xml:space="preserve">. </w:t>
      </w:r>
      <w:r w:rsidRPr="00150FC2">
        <w:t>Accordingly, we dete</w:t>
      </w:r>
      <w:r w:rsidR="0091231F" w:rsidRPr="00150FC2">
        <w:t>rm</w:t>
      </w:r>
      <w:r w:rsidRPr="00150FC2">
        <w:t>ined that the Project</w:t>
      </w:r>
      <w:r w:rsidR="00D15E07" w:rsidRPr="00150FC2">
        <w:t>ions</w:t>
      </w:r>
      <w:r w:rsidRPr="00150FC2">
        <w:t xml:space="preserve"> are reasonable and </w:t>
      </w:r>
      <w:r w:rsidR="00D15E07" w:rsidRPr="00150FC2">
        <w:t>feasible</w:t>
      </w:r>
      <w:r w:rsidRPr="00150FC2">
        <w:t>, and not likely to have a negative impact on the Applicant</w:t>
      </w:r>
      <w:r w:rsidR="0091231F" w:rsidRPr="00150FC2">
        <w:t>’</w:t>
      </w:r>
      <w:r w:rsidRPr="00150FC2">
        <w:t>s patient panel or result in a liquidat</w:t>
      </w:r>
      <w:r w:rsidR="0091231F" w:rsidRPr="00150FC2">
        <w:t>ion</w:t>
      </w:r>
      <w:r w:rsidRPr="00150FC2">
        <w:t xml:space="preserve"> of Heywood' s assets. A detailed explanation of</w:t>
      </w:r>
      <w:r w:rsidR="0091231F" w:rsidRPr="00150FC2">
        <w:t xml:space="preserve"> the </w:t>
      </w:r>
      <w:r w:rsidRPr="00150FC2">
        <w:t xml:space="preserve">basis for our determination of reasonableness and feasibility is contained within this </w:t>
      </w:r>
      <w:r w:rsidR="00805749" w:rsidRPr="00150FC2">
        <w:t>report.</w:t>
      </w:r>
    </w:p>
    <w:p w14:paraId="1B6D4C33" w14:textId="77777777" w:rsidR="000D4777" w:rsidRPr="00314411" w:rsidRDefault="00F02F19" w:rsidP="0044566A">
      <w:pPr>
        <w:pStyle w:val="Heading1"/>
      </w:pPr>
      <w:bookmarkStart w:id="1" w:name="_Toc80130167"/>
      <w:r w:rsidRPr="00314411">
        <w:rPr>
          <w:u w:color="522F41"/>
        </w:rPr>
        <w:t>RELEVANT BACKGROUND INFORMATION</w:t>
      </w:r>
      <w:bookmarkEnd w:id="1"/>
    </w:p>
    <w:p w14:paraId="76EC0BAC" w14:textId="15A723ED" w:rsidR="000D4777" w:rsidRPr="00314411" w:rsidRDefault="003B52A2" w:rsidP="00ED2BFB">
      <w:pPr>
        <w:pStyle w:val="BodyText"/>
      </w:pPr>
      <w:r w:rsidRPr="00314411">
        <w:t xml:space="preserve">Heywood Healthcare </w:t>
      </w:r>
      <w:r w:rsidR="00F02F19" w:rsidRPr="00314411">
        <w:t>is</w:t>
      </w:r>
      <w:r w:rsidR="0091231F" w:rsidRPr="00314411">
        <w:t xml:space="preserve"> the </w:t>
      </w:r>
      <w:r w:rsidR="00F02F19" w:rsidRPr="00314411">
        <w:t xml:space="preserve">parent and operates exclusively for the benefit of (1) </w:t>
      </w:r>
      <w:r w:rsidRPr="00314411">
        <w:t xml:space="preserve"> He</w:t>
      </w:r>
      <w:r w:rsidR="00F02F19" w:rsidRPr="00314411">
        <w:t xml:space="preserve">nry </w:t>
      </w:r>
      <w:r w:rsidRPr="00314411">
        <w:t xml:space="preserve">Heywood </w:t>
      </w:r>
      <w:r w:rsidR="00F02F19" w:rsidRPr="00314411">
        <w:t>Memorial Hospital (the "Hospital</w:t>
      </w:r>
      <w:r w:rsidR="008512A6" w:rsidRPr="00314411">
        <w:t>”)</w:t>
      </w:r>
      <w:r w:rsidR="00F02F19" w:rsidRPr="00314411">
        <w:t xml:space="preserve">, which is a not -for-profit acute care hospital located in Gardner, </w:t>
      </w:r>
      <w:r w:rsidRPr="00314411">
        <w:t>Massachusetts</w:t>
      </w:r>
      <w:r w:rsidR="00F02F19" w:rsidRPr="00314411">
        <w:t xml:space="preserve"> providing</w:t>
      </w:r>
      <w:r w:rsidRPr="00314411">
        <w:t xml:space="preserve"> </w:t>
      </w:r>
      <w:r w:rsidR="00F02F19" w:rsidRPr="00314411">
        <w:t xml:space="preserve">inpatient, </w:t>
      </w:r>
      <w:r w:rsidR="00314411" w:rsidRPr="00314411">
        <w:t xml:space="preserve">outpatient, </w:t>
      </w:r>
      <w:r w:rsidR="00F02F19" w:rsidRPr="00314411">
        <w:t>and emergency</w:t>
      </w:r>
      <w:r w:rsidRPr="00314411">
        <w:t xml:space="preserve"> </w:t>
      </w:r>
      <w:r w:rsidR="00F02F19" w:rsidRPr="00314411">
        <w:t xml:space="preserve">care services for residents of central </w:t>
      </w:r>
      <w:r w:rsidRPr="00314411">
        <w:t>Massachusetts</w:t>
      </w:r>
      <w:r w:rsidR="00F02F19" w:rsidRPr="00314411">
        <w:t xml:space="preserve">, (2) </w:t>
      </w:r>
      <w:r w:rsidRPr="00314411">
        <w:t xml:space="preserve">Heywood </w:t>
      </w:r>
      <w:r w:rsidR="00F02F19" w:rsidRPr="00314411">
        <w:t>Medica l Gro up, Inc. ("HMGI</w:t>
      </w:r>
      <w:r w:rsidR="008512A6" w:rsidRPr="00314411">
        <w:t>”)</w:t>
      </w:r>
      <w:r w:rsidR="00F02F19" w:rsidRPr="00314411">
        <w:t>, whi</w:t>
      </w:r>
      <w:r w:rsidRPr="00314411">
        <w:t>ch</w:t>
      </w:r>
      <w:r w:rsidR="00F02F19" w:rsidRPr="00314411">
        <w:t xml:space="preserve"> operates several physician practices in north</w:t>
      </w:r>
      <w:r w:rsidRPr="00314411">
        <w:t xml:space="preserve"> </w:t>
      </w:r>
      <w:r w:rsidR="00F02F19" w:rsidRPr="00314411">
        <w:t>central</w:t>
      </w:r>
      <w:r w:rsidRPr="00314411">
        <w:t xml:space="preserve"> Massachusetts</w:t>
      </w:r>
      <w:r w:rsidR="00F02F19" w:rsidRPr="00314411">
        <w:t>, (3)</w:t>
      </w:r>
      <w:r w:rsidRPr="00314411">
        <w:t xml:space="preserve"> </w:t>
      </w:r>
      <w:r w:rsidR="00F02F19" w:rsidRPr="00314411">
        <w:t>Athol Memorial Hospital ("Athol</w:t>
      </w:r>
      <w:r w:rsidR="008512A6" w:rsidRPr="00314411">
        <w:t>”)</w:t>
      </w:r>
      <w:r w:rsidR="00F02F19" w:rsidRPr="00314411">
        <w:t>, which is an acute care</w:t>
      </w:r>
      <w:r w:rsidR="008411CF" w:rsidRPr="00314411">
        <w:t xml:space="preserve">, </w:t>
      </w:r>
      <w:r w:rsidR="00F02F19" w:rsidRPr="00314411">
        <w:t>critical access not -for-profit community hospital providing inpatient</w:t>
      </w:r>
      <w:r w:rsidR="008411CF" w:rsidRPr="00314411">
        <w:t xml:space="preserve">, </w:t>
      </w:r>
      <w:r w:rsidR="00314411" w:rsidRPr="00314411">
        <w:t xml:space="preserve">outpatient, </w:t>
      </w:r>
      <w:r w:rsidR="00F02F19" w:rsidRPr="00314411">
        <w:t>and emergency care for residents of Worcester and Franklin counties,</w:t>
      </w:r>
    </w:p>
    <w:p w14:paraId="5888BDE5" w14:textId="4819FA7D" w:rsidR="000D4777" w:rsidRPr="00314411" w:rsidRDefault="00F02F19" w:rsidP="00ED2BFB">
      <w:pPr>
        <w:pStyle w:val="BodyText"/>
      </w:pPr>
      <w:r w:rsidRPr="00314411">
        <w:t xml:space="preserve">(4) </w:t>
      </w:r>
      <w:r w:rsidR="003B52A2" w:rsidRPr="00314411">
        <w:t xml:space="preserve">Heywood Healthcare </w:t>
      </w:r>
      <w:r w:rsidRPr="00314411">
        <w:t>Charitable Foundat</w:t>
      </w:r>
      <w:r w:rsidR="0091231F" w:rsidRPr="00314411">
        <w:t>ion</w:t>
      </w:r>
      <w:r w:rsidRPr="00314411">
        <w:t>, Inc. (the "Charitable Foundation</w:t>
      </w:r>
      <w:r w:rsidR="008512A6" w:rsidRPr="00314411">
        <w:t>”)</w:t>
      </w:r>
      <w:r w:rsidRPr="00314411">
        <w:t>, which acts on behalf</w:t>
      </w:r>
      <w:r w:rsidR="003B52A2" w:rsidRPr="00314411">
        <w:t xml:space="preserve"> </w:t>
      </w:r>
      <w:r w:rsidRPr="00314411">
        <w:t>of</w:t>
      </w:r>
      <w:r w:rsidR="0091231F" w:rsidRPr="00314411">
        <w:t xml:space="preserve"> the </w:t>
      </w:r>
      <w:r w:rsidRPr="00314411">
        <w:t>Applicant for all fundraising initiatives, (5) Quabbin Healthcare ("Quabbin"), which</w:t>
      </w:r>
      <w:r w:rsidR="003B52A2" w:rsidRPr="00314411">
        <w:t xml:space="preserve"> </w:t>
      </w:r>
      <w:r w:rsidRPr="00314411">
        <w:t>is a not -for-profit behavioral health and addict</w:t>
      </w:r>
      <w:r w:rsidR="0091231F" w:rsidRPr="00314411">
        <w:t>ion</w:t>
      </w:r>
      <w:r w:rsidRPr="00314411">
        <w:t xml:space="preserve"> recovery facility</w:t>
      </w:r>
      <w:r w:rsidR="003B52A2" w:rsidRPr="00314411">
        <w:t xml:space="preserve"> </w:t>
      </w:r>
      <w:r w:rsidRPr="00314411">
        <w:t xml:space="preserve">located in Petersham, </w:t>
      </w:r>
      <w:r w:rsidR="003B52A2" w:rsidRPr="00314411">
        <w:t>Massachusetts</w:t>
      </w:r>
      <w:r w:rsidRPr="00314411">
        <w:t xml:space="preserve">, (6) </w:t>
      </w:r>
      <w:r w:rsidR="003B52A2" w:rsidRPr="00314411">
        <w:t>Athol</w:t>
      </w:r>
      <w:r w:rsidRPr="00314411">
        <w:t xml:space="preserve"> </w:t>
      </w:r>
      <w:r w:rsidR="003B52A2" w:rsidRPr="00314411">
        <w:t>Memorial</w:t>
      </w:r>
      <w:r w:rsidRPr="00314411">
        <w:t xml:space="preserve"> Hospital NMTC Holdings, Inc. ("NMTC"), which is a not -for­ profit corporation organized to promote</w:t>
      </w:r>
      <w:r w:rsidR="0091231F" w:rsidRPr="00314411">
        <w:t xml:space="preserve"> the </w:t>
      </w:r>
      <w:r w:rsidRPr="00314411">
        <w:t>development and construct</w:t>
      </w:r>
      <w:r w:rsidR="0091231F" w:rsidRPr="00314411">
        <w:t>ion</w:t>
      </w:r>
      <w:r w:rsidRPr="00314411">
        <w:t xml:space="preserve"> of </w:t>
      </w:r>
      <w:r w:rsidR="003B52A2" w:rsidRPr="00314411">
        <w:t>Athol</w:t>
      </w:r>
      <w:r w:rsidRPr="00314411">
        <w:t>' s various</w:t>
      </w:r>
    </w:p>
    <w:p w14:paraId="10E9D023" w14:textId="77777777" w:rsidR="000D4777" w:rsidRPr="00314411" w:rsidRDefault="000D4777" w:rsidP="00ED2BFB">
      <w:pPr>
        <w:pStyle w:val="BodyText"/>
        <w:sectPr w:rsidR="000D4777" w:rsidRPr="00314411" w:rsidSect="00935C5A">
          <w:headerReference w:type="default" r:id="rId18"/>
          <w:footerReference w:type="default" r:id="rId19"/>
          <w:pgSz w:w="12240" w:h="15840"/>
          <w:pgMar w:top="2250" w:right="1380" w:bottom="280" w:left="1440" w:header="720" w:footer="720" w:gutter="0"/>
          <w:pgNumType w:start="2"/>
          <w:cols w:space="720"/>
        </w:sectPr>
      </w:pPr>
    </w:p>
    <w:p w14:paraId="74E28F4D" w14:textId="068CA75D" w:rsidR="000D4777" w:rsidRPr="00314411" w:rsidRDefault="00F02F19" w:rsidP="00ED2BFB">
      <w:pPr>
        <w:pStyle w:val="BodyText"/>
      </w:pPr>
      <w:r w:rsidRPr="00314411">
        <w:lastRenderedPageBreak/>
        <w:t xml:space="preserve">capital projects, and (7) </w:t>
      </w:r>
      <w:r w:rsidR="003B52A2" w:rsidRPr="00314411">
        <w:t xml:space="preserve">Heywood </w:t>
      </w:r>
      <w:r w:rsidRPr="00314411">
        <w:t>Hospital Realty</w:t>
      </w:r>
      <w:r w:rsidR="003B52A2" w:rsidRPr="00314411">
        <w:t xml:space="preserve"> </w:t>
      </w:r>
      <w:r w:rsidRPr="00314411">
        <w:t>Corporation (the " Realty</w:t>
      </w:r>
      <w:r w:rsidR="003B52A2" w:rsidRPr="00314411">
        <w:t xml:space="preserve"> </w:t>
      </w:r>
      <w:r w:rsidRPr="00314411">
        <w:t>Corp.</w:t>
      </w:r>
      <w:r w:rsidR="008512A6" w:rsidRPr="00314411">
        <w:t>”)</w:t>
      </w:r>
      <w:r w:rsidRPr="00314411">
        <w:t>, which owns certain medical office buildings.</w:t>
      </w:r>
    </w:p>
    <w:p w14:paraId="4F7C5549" w14:textId="5C89076B" w:rsidR="000D4777" w:rsidRPr="00314411" w:rsidRDefault="00F02F19" w:rsidP="00ED2BFB">
      <w:pPr>
        <w:pStyle w:val="BodyText"/>
      </w:pPr>
      <w:r w:rsidRPr="00314411">
        <w:t>The Applicant proposes to construct a perioperative surgical pavilion. The Proposed Project is a 40,115 square foot addition with six operating rooms ("ORs</w:t>
      </w:r>
      <w:r w:rsidR="008512A6" w:rsidRPr="00314411">
        <w:t>”)</w:t>
      </w:r>
      <w:r w:rsidRPr="00314411">
        <w:t>, a central</w:t>
      </w:r>
      <w:r w:rsidR="003B52A2" w:rsidRPr="00314411">
        <w:t xml:space="preserve"> </w:t>
      </w:r>
      <w:r w:rsidRPr="00314411">
        <w:t>core for storage of sterile instrumentation, separate clean and dirty elevators for transport of instrumentation to</w:t>
      </w:r>
      <w:r w:rsidR="0091231F" w:rsidRPr="00314411">
        <w:t xml:space="preserve"> the </w:t>
      </w:r>
      <w:r w:rsidRPr="00314411">
        <w:t xml:space="preserve">central sterile processing department, 21 pre / post procedure rooms, and medical office space to accommodate multiple </w:t>
      </w:r>
      <w:r w:rsidR="00B135E0" w:rsidRPr="00314411">
        <w:t xml:space="preserve">outpatient </w:t>
      </w:r>
      <w:r w:rsidRPr="00314411">
        <w:t>surgical specialty clinics. The Applicant ' s current surgical suite has remained largely unchanged since it was constructed in 1961. The new ORs will be larger than</w:t>
      </w:r>
      <w:r w:rsidR="0091231F" w:rsidRPr="00314411">
        <w:t xml:space="preserve"> the </w:t>
      </w:r>
      <w:r w:rsidRPr="00314411">
        <w:t>existing four ORs and will be able to accommodate new, specialized equipment and will include laminar flow, considered best practice for surgical site infection prevention in orthopedic</w:t>
      </w:r>
      <w:r w:rsidR="003B52A2" w:rsidRPr="00314411">
        <w:t xml:space="preserve"> </w:t>
      </w:r>
      <w:r w:rsidRPr="00314411">
        <w:t>surgery. The current ORs are too small to accommodate certain pieces of equipment which limits</w:t>
      </w:r>
      <w:r w:rsidR="0091231F" w:rsidRPr="00314411">
        <w:t xml:space="preserve"> the </w:t>
      </w:r>
      <w:r w:rsidRPr="00314411">
        <w:t xml:space="preserve">types of procedures that can be performed. Additionally, </w:t>
      </w:r>
      <w:r w:rsidR="003B52A2" w:rsidRPr="00314411">
        <w:t>the</w:t>
      </w:r>
      <w:r w:rsidRPr="00314411">
        <w:t xml:space="preserve"> inclusion of </w:t>
      </w:r>
      <w:r w:rsidR="00B135E0" w:rsidRPr="00314411">
        <w:t xml:space="preserve">outpatient </w:t>
      </w:r>
      <w:r w:rsidRPr="00314411">
        <w:t>clinic</w:t>
      </w:r>
      <w:r w:rsidR="003B52A2" w:rsidRPr="00314411">
        <w:t xml:space="preserve"> </w:t>
      </w:r>
      <w:r w:rsidRPr="00314411">
        <w:t>space for procedural-based specialties will provide greater convenience and an enhanced experience for patients.</w:t>
      </w:r>
    </w:p>
    <w:p w14:paraId="5A2C8545" w14:textId="5FB05F9D" w:rsidR="000D4777" w:rsidRPr="00314411" w:rsidRDefault="00F02F19" w:rsidP="0044566A">
      <w:pPr>
        <w:pStyle w:val="Heading1"/>
      </w:pPr>
      <w:bookmarkStart w:id="2" w:name="_Toc80130168"/>
      <w:r w:rsidRPr="00314411">
        <w:rPr>
          <w:u w:color="261C2A"/>
        </w:rPr>
        <w:t>SCOPE OF REPORT</w:t>
      </w:r>
      <w:bookmarkEnd w:id="2"/>
    </w:p>
    <w:p w14:paraId="6643244A" w14:textId="77777777" w:rsidR="000D4777" w:rsidRPr="00314411" w:rsidRDefault="000D4777" w:rsidP="00ED2BFB">
      <w:pPr>
        <w:pStyle w:val="BodyText"/>
      </w:pPr>
    </w:p>
    <w:p w14:paraId="38D429F6" w14:textId="4C876CC7" w:rsidR="000D4777" w:rsidRPr="00314411" w:rsidRDefault="00F02F19" w:rsidP="00ED2BFB">
      <w:pPr>
        <w:pStyle w:val="BodyText"/>
      </w:pPr>
      <w:r w:rsidRPr="00314411">
        <w:t>The scope of this report is limited to an analysis of</w:t>
      </w:r>
      <w:r w:rsidR="0091231F" w:rsidRPr="00314411">
        <w:t xml:space="preserve"> the </w:t>
      </w:r>
      <w:r w:rsidRPr="00314411">
        <w:t>nine-year financial project</w:t>
      </w:r>
      <w:r w:rsidR="00D15E07" w:rsidRPr="00314411">
        <w:t>ions</w:t>
      </w:r>
      <w:r w:rsidRPr="00314411">
        <w:t xml:space="preserve"> for Heywood, the   Applicant</w:t>
      </w:r>
      <w:r w:rsidR="008411CF" w:rsidRPr="00314411">
        <w:t xml:space="preserve">, </w:t>
      </w:r>
      <w:r w:rsidRPr="00314411">
        <w:t>for the fiscal years ending 2021 through 2029, prepared by Management</w:t>
      </w:r>
      <w:r w:rsidR="008411CF" w:rsidRPr="00314411">
        <w:t xml:space="preserve">, </w:t>
      </w:r>
      <w:r w:rsidRPr="00314411">
        <w:t>and</w:t>
      </w:r>
      <w:r w:rsidR="0091231F" w:rsidRPr="00314411">
        <w:t xml:space="preserve"> the </w:t>
      </w:r>
      <w:r w:rsidRPr="00314411">
        <w:t>supporting documentat</w:t>
      </w:r>
      <w:r w:rsidR="0091231F" w:rsidRPr="00314411">
        <w:t>ion</w:t>
      </w:r>
      <w:r w:rsidRPr="00314411">
        <w:t xml:space="preserve"> in order to render an opinion as to </w:t>
      </w:r>
      <w:r w:rsidR="00B135E0" w:rsidRPr="00314411">
        <w:t>the reasonableness</w:t>
      </w:r>
      <w:r w:rsidR="006066B9" w:rsidRPr="00314411">
        <w:t xml:space="preserve"> </w:t>
      </w:r>
      <w:r w:rsidRPr="00314411">
        <w:t>of assumpt</w:t>
      </w:r>
      <w:r w:rsidR="00D15E07" w:rsidRPr="00314411">
        <w:t>ions</w:t>
      </w:r>
      <w:r w:rsidRPr="00314411">
        <w:t xml:space="preserve"> used in</w:t>
      </w:r>
      <w:r w:rsidR="0091231F" w:rsidRPr="00314411">
        <w:t xml:space="preserve"> the </w:t>
      </w:r>
      <w:r w:rsidRPr="00314411">
        <w:t>preparat</w:t>
      </w:r>
      <w:r w:rsidR="0091231F" w:rsidRPr="00314411">
        <w:t>ion</w:t>
      </w:r>
      <w:r w:rsidRPr="00314411">
        <w:t xml:space="preserve"> and feasibility of</w:t>
      </w:r>
      <w:r w:rsidR="0091231F" w:rsidRPr="00314411">
        <w:t xml:space="preserve"> the </w:t>
      </w:r>
      <w:r w:rsidRPr="00314411">
        <w:t>Project</w:t>
      </w:r>
      <w:r w:rsidR="00D15E07" w:rsidRPr="00314411">
        <w:t>ions</w:t>
      </w:r>
      <w:r w:rsidRPr="00314411">
        <w:t>. Reasonableness is defined within</w:t>
      </w:r>
      <w:r w:rsidR="0091231F" w:rsidRPr="00314411">
        <w:t xml:space="preserve"> the </w:t>
      </w:r>
      <w:r w:rsidRPr="00314411">
        <w:t>context of this report as supportable and proper, given</w:t>
      </w:r>
      <w:r w:rsidR="0091231F" w:rsidRPr="00314411">
        <w:t xml:space="preserve"> the </w:t>
      </w:r>
      <w:r w:rsidRPr="00314411">
        <w:t>underlying info</w:t>
      </w:r>
      <w:r w:rsidR="006066B9" w:rsidRPr="00314411">
        <w:t>rm</w:t>
      </w:r>
      <w:r w:rsidRPr="00314411">
        <w:t>at</w:t>
      </w:r>
      <w:r w:rsidR="0091231F" w:rsidRPr="00314411">
        <w:t>ion</w:t>
      </w:r>
      <w:r w:rsidRPr="00314411">
        <w:t>. Feasibility is defined as based on the assumpt</w:t>
      </w:r>
      <w:r w:rsidR="00D15E07" w:rsidRPr="00314411">
        <w:t>ions</w:t>
      </w:r>
      <w:r w:rsidRPr="00314411">
        <w:t xml:space="preserve"> used the</w:t>
      </w:r>
    </w:p>
    <w:p w14:paraId="3E5A9E9B" w14:textId="77777777" w:rsidR="000D4777" w:rsidRPr="00314411" w:rsidRDefault="000D4777" w:rsidP="00ED2BFB">
      <w:pPr>
        <w:pStyle w:val="BodyText"/>
        <w:sectPr w:rsidR="000D4777" w:rsidRPr="00314411" w:rsidSect="00935C5A">
          <w:pgSz w:w="12240" w:h="15840"/>
          <w:pgMar w:top="2160" w:right="1380" w:bottom="280" w:left="1440" w:header="720" w:footer="720" w:gutter="0"/>
          <w:cols w:space="720"/>
        </w:sectPr>
      </w:pPr>
    </w:p>
    <w:p w14:paraId="35836ACA" w14:textId="196D40BD" w:rsidR="000D4777" w:rsidRPr="00314411" w:rsidRDefault="00F02F19" w:rsidP="00ED2BFB">
      <w:pPr>
        <w:pStyle w:val="BodyText"/>
      </w:pPr>
      <w:r w:rsidRPr="00314411">
        <w:lastRenderedPageBreak/>
        <w:t>Proposed Project is not likely to result in a liquidation of</w:t>
      </w:r>
      <w:r w:rsidR="0091231F" w:rsidRPr="00314411">
        <w:t xml:space="preserve"> the </w:t>
      </w:r>
      <w:r w:rsidRPr="00314411">
        <w:t>underlying assets or the need for reorganizat</w:t>
      </w:r>
      <w:r w:rsidR="0091231F" w:rsidRPr="00314411">
        <w:t>ion</w:t>
      </w:r>
      <w:r w:rsidRPr="00314411">
        <w:t>.</w:t>
      </w:r>
    </w:p>
    <w:p w14:paraId="7D34B71F" w14:textId="458A8CA7" w:rsidR="000D4777" w:rsidRPr="00314411" w:rsidRDefault="00F02F19" w:rsidP="00ED2BFB">
      <w:pPr>
        <w:pStyle w:val="BodyText"/>
      </w:pPr>
      <w:r w:rsidRPr="00314411">
        <w:t>This report is based on prospective financial informat</w:t>
      </w:r>
      <w:r w:rsidR="0091231F" w:rsidRPr="00314411">
        <w:t>ion</w:t>
      </w:r>
      <w:r w:rsidRPr="00314411">
        <w:t xml:space="preserve"> provided to us by Management. BDO understands</w:t>
      </w:r>
      <w:r w:rsidR="0091231F" w:rsidRPr="00314411">
        <w:t xml:space="preserve"> the </w:t>
      </w:r>
      <w:r w:rsidRPr="00314411">
        <w:t xml:space="preserve">prospective financial </w:t>
      </w:r>
      <w:r w:rsidR="00C96AAA" w:rsidRPr="00314411">
        <w:t>information</w:t>
      </w:r>
      <w:r w:rsidRPr="00314411">
        <w:t xml:space="preserve"> was developed as of June 18,</w:t>
      </w:r>
      <w:r w:rsidR="00C96AAA" w:rsidRPr="00314411">
        <w:t xml:space="preserve"> </w:t>
      </w:r>
      <w:r w:rsidRPr="00314411">
        <w:t>2021</w:t>
      </w:r>
      <w:r w:rsidR="00C96AAA" w:rsidRPr="00314411">
        <w:t xml:space="preserve"> </w:t>
      </w:r>
      <w:r w:rsidRPr="00314411">
        <w:t>and represented</w:t>
      </w:r>
      <w:r w:rsidR="0091231F" w:rsidRPr="00314411">
        <w:t xml:space="preserve"> the </w:t>
      </w:r>
      <w:r w:rsidRPr="00314411">
        <w:t>most current version of detailed multi-year prospective financial information available at</w:t>
      </w:r>
      <w:r w:rsidR="0091231F" w:rsidRPr="00314411">
        <w:t xml:space="preserve"> the </w:t>
      </w:r>
      <w:r w:rsidRPr="00314411">
        <w:t>time B</w:t>
      </w:r>
      <w:r w:rsidR="00C96AAA" w:rsidRPr="00314411">
        <w:t>D</w:t>
      </w:r>
      <w:r w:rsidRPr="00314411">
        <w:t>O</w:t>
      </w:r>
      <w:r w:rsidR="00C96AAA" w:rsidRPr="00314411">
        <w:t xml:space="preserve"> </w:t>
      </w:r>
      <w:r w:rsidRPr="00314411">
        <w:t>perfo</w:t>
      </w:r>
      <w:r w:rsidR="00C96AAA" w:rsidRPr="00314411">
        <w:t>rm</w:t>
      </w:r>
      <w:r w:rsidRPr="00314411">
        <w:t>ed its procedures and is still representative of Management's expectat</w:t>
      </w:r>
      <w:r w:rsidR="00D15E07" w:rsidRPr="00314411">
        <w:t>ions</w:t>
      </w:r>
      <w:r w:rsidRPr="00314411">
        <w:t xml:space="preserve"> as</w:t>
      </w:r>
      <w:r w:rsidR="00C96AAA" w:rsidRPr="00314411">
        <w:t xml:space="preserve"> </w:t>
      </w:r>
      <w:r w:rsidRPr="00314411">
        <w:t>of</w:t>
      </w:r>
      <w:r w:rsidR="0091231F" w:rsidRPr="00314411">
        <w:t xml:space="preserve"> the </w:t>
      </w:r>
      <w:r w:rsidRPr="00314411">
        <w:t>drafting of this report. B</w:t>
      </w:r>
      <w:r w:rsidR="00C96AAA" w:rsidRPr="00314411">
        <w:t>D</w:t>
      </w:r>
      <w:r w:rsidRPr="00314411">
        <w:t>O has not audited or performed another fo</w:t>
      </w:r>
      <w:r w:rsidR="00C96AAA" w:rsidRPr="00314411">
        <w:t>rm</w:t>
      </w:r>
      <w:r w:rsidRPr="00314411">
        <w:t xml:space="preserve"> of </w:t>
      </w:r>
      <w:r w:rsidR="00C96AAA" w:rsidRPr="00314411">
        <w:t xml:space="preserve">attestation services </w:t>
      </w:r>
      <w:r w:rsidRPr="00314411">
        <w:t>on the projected financial informat</w:t>
      </w:r>
      <w:r w:rsidR="0091231F" w:rsidRPr="00314411">
        <w:t>ion</w:t>
      </w:r>
      <w:r w:rsidRPr="00314411">
        <w:t xml:space="preserve"> related to</w:t>
      </w:r>
      <w:r w:rsidR="0091231F" w:rsidRPr="00314411">
        <w:t xml:space="preserve"> the </w:t>
      </w:r>
      <w:r w:rsidRPr="00314411">
        <w:t>operations of Heywood.</w:t>
      </w:r>
    </w:p>
    <w:p w14:paraId="27BB3E3D" w14:textId="3B86A27E" w:rsidR="000D4777" w:rsidRPr="00314411" w:rsidRDefault="00F02F19" w:rsidP="00ED2BFB">
      <w:pPr>
        <w:pStyle w:val="BodyText"/>
      </w:pPr>
      <w:r w:rsidRPr="00314411">
        <w:t xml:space="preserve">If </w:t>
      </w:r>
      <w:r w:rsidR="00C96AAA" w:rsidRPr="00314411">
        <w:t>BDO</w:t>
      </w:r>
      <w:r w:rsidRPr="00314411">
        <w:t xml:space="preserve"> had audited</w:t>
      </w:r>
      <w:r w:rsidR="0091231F" w:rsidRPr="00314411">
        <w:t xml:space="preserve"> the </w:t>
      </w:r>
      <w:r w:rsidRPr="00314411">
        <w:t>underlying data, matters may have come to our attent</w:t>
      </w:r>
      <w:r w:rsidR="0091231F" w:rsidRPr="00314411">
        <w:t>ion</w:t>
      </w:r>
      <w:r w:rsidRPr="00314411">
        <w:t xml:space="preserve"> that would have resulted in our using amounts that differ from those provided. Accordingly, we do not express an opinion or an</w:t>
      </w:r>
      <w:r w:rsidR="0024010C" w:rsidRPr="00314411">
        <w:t xml:space="preserve">y </w:t>
      </w:r>
      <w:r w:rsidRPr="00314411">
        <w:t>other assurances on</w:t>
      </w:r>
      <w:r w:rsidR="0091231F" w:rsidRPr="00314411">
        <w:t xml:space="preserve"> the </w:t>
      </w:r>
      <w:r w:rsidRPr="00314411">
        <w:t>underlying data</w:t>
      </w:r>
      <w:r w:rsidR="0024010C" w:rsidRPr="00314411">
        <w:t xml:space="preserve"> </w:t>
      </w:r>
      <w:r w:rsidRPr="00314411">
        <w:t>presented or relied upon in this report. We do not provide assurance on</w:t>
      </w:r>
      <w:r w:rsidR="0091231F" w:rsidRPr="00314411">
        <w:t xml:space="preserve"> the </w:t>
      </w:r>
      <w:r w:rsidRPr="00314411">
        <w:t>achievability</w:t>
      </w:r>
      <w:r w:rsidR="0024010C" w:rsidRPr="00314411">
        <w:t xml:space="preserve"> </w:t>
      </w:r>
      <w:r w:rsidRPr="00314411">
        <w:t>of the results forecasted by the Applicant because</w:t>
      </w:r>
      <w:r w:rsidR="0024010C" w:rsidRPr="00314411">
        <w:t xml:space="preserve"> </w:t>
      </w:r>
      <w:r w:rsidRPr="00314411">
        <w:t>events and circumstances frequently do not occur as expected, and the achievement of</w:t>
      </w:r>
      <w:r w:rsidR="0091231F" w:rsidRPr="00314411">
        <w:t xml:space="preserve"> the </w:t>
      </w:r>
      <w:r w:rsidRPr="00314411">
        <w:t>forecasted results are dependent on</w:t>
      </w:r>
      <w:r w:rsidR="0091231F" w:rsidRPr="00314411">
        <w:t xml:space="preserve"> the </w:t>
      </w:r>
      <w:r w:rsidRPr="00314411">
        <w:t>act</w:t>
      </w:r>
      <w:r w:rsidR="00D15E07" w:rsidRPr="00314411">
        <w:t>ions</w:t>
      </w:r>
      <w:r w:rsidRPr="00314411">
        <w:t xml:space="preserve">, plans, and assumptions of </w:t>
      </w:r>
      <w:r w:rsidR="00805749" w:rsidRPr="00314411">
        <w:t>Management.</w:t>
      </w:r>
      <w:r w:rsidRPr="00314411">
        <w:t xml:space="preserve"> We reserve</w:t>
      </w:r>
      <w:r w:rsidR="0091231F" w:rsidRPr="00314411">
        <w:t xml:space="preserve"> the </w:t>
      </w:r>
      <w:r w:rsidRPr="00314411">
        <w:t>right to update our analysis in the event that we are provided with addit</w:t>
      </w:r>
      <w:r w:rsidR="0091231F" w:rsidRPr="00314411">
        <w:t>ion</w:t>
      </w:r>
      <w:r w:rsidRPr="00314411">
        <w:t>al informat</w:t>
      </w:r>
      <w:r w:rsidR="0091231F" w:rsidRPr="00314411">
        <w:t>ion</w:t>
      </w:r>
      <w:r w:rsidRPr="00314411">
        <w:t>.</w:t>
      </w:r>
    </w:p>
    <w:p w14:paraId="554F602F" w14:textId="4D53464D" w:rsidR="000D4777" w:rsidRPr="00314411" w:rsidRDefault="00F02F19" w:rsidP="0044566A">
      <w:pPr>
        <w:pStyle w:val="Heading1"/>
      </w:pPr>
      <w:bookmarkStart w:id="3" w:name="_Toc80130169"/>
      <w:r w:rsidRPr="00314411">
        <w:rPr>
          <w:u w:color="211C2F"/>
        </w:rPr>
        <w:t>SOURCES OF</w:t>
      </w:r>
      <w:r w:rsidR="00C96AAA" w:rsidRPr="00314411">
        <w:rPr>
          <w:u w:color="211C2F"/>
        </w:rPr>
        <w:t xml:space="preserve"> </w:t>
      </w:r>
      <w:r w:rsidRPr="00314411">
        <w:rPr>
          <w:u w:color="211C2F"/>
        </w:rPr>
        <w:t>INFORMATION UTILIZED</w:t>
      </w:r>
      <w:bookmarkEnd w:id="3"/>
    </w:p>
    <w:p w14:paraId="435D0EAE" w14:textId="77777777" w:rsidR="000D4777" w:rsidRPr="00314411" w:rsidRDefault="000D4777" w:rsidP="00ED2BFB">
      <w:pPr>
        <w:pStyle w:val="BodyText"/>
      </w:pPr>
    </w:p>
    <w:p w14:paraId="6408F051" w14:textId="28EDE7BF" w:rsidR="000D4777" w:rsidRPr="00314411" w:rsidRDefault="00F02F19" w:rsidP="00ED2BFB">
      <w:pPr>
        <w:pStyle w:val="BodyText"/>
      </w:pPr>
      <w:r w:rsidRPr="00314411">
        <w:t>In formulating our opinions and conclusions contained in this report, we reviewed documents produced by Management as well as third party industry data sources. The documents and</w:t>
      </w:r>
    </w:p>
    <w:p w14:paraId="45F83BBA" w14:textId="77777777" w:rsidR="000D4777" w:rsidRPr="00314411" w:rsidRDefault="000D4777" w:rsidP="00ED2BFB">
      <w:pPr>
        <w:pStyle w:val="BodyText"/>
        <w:sectPr w:rsidR="000D4777" w:rsidRPr="00314411" w:rsidSect="00935C5A">
          <w:pgSz w:w="12240" w:h="15840"/>
          <w:pgMar w:top="2070" w:right="1380" w:bottom="280" w:left="1440" w:header="720" w:footer="720" w:gutter="0"/>
          <w:cols w:space="720"/>
        </w:sectPr>
      </w:pPr>
    </w:p>
    <w:p w14:paraId="3BED202A" w14:textId="0C3E6DA2" w:rsidR="000D4777" w:rsidRPr="00314411" w:rsidRDefault="00F02F19" w:rsidP="00ED2BFB">
      <w:pPr>
        <w:pStyle w:val="BodyText"/>
      </w:pPr>
      <w:r w:rsidRPr="00314411">
        <w:lastRenderedPageBreak/>
        <w:t>informat</w:t>
      </w:r>
      <w:r w:rsidR="0091231F" w:rsidRPr="00314411">
        <w:t>ion</w:t>
      </w:r>
      <w:r w:rsidRPr="00314411">
        <w:t xml:space="preserve"> upon which we relied are identified below or are otherwise referenced in this report:</w:t>
      </w:r>
    </w:p>
    <w:p w14:paraId="25161D52" w14:textId="77777777" w:rsidR="0024010C" w:rsidRPr="0044566A" w:rsidRDefault="00F02F19" w:rsidP="0044566A">
      <w:pPr>
        <w:pStyle w:val="ListParagraph"/>
      </w:pPr>
      <w:r w:rsidRPr="0044566A">
        <w:t>Financial Model for</w:t>
      </w:r>
      <w:r w:rsidR="0091231F" w:rsidRPr="0044566A">
        <w:t xml:space="preserve"> the </w:t>
      </w:r>
      <w:r w:rsidRPr="0044566A">
        <w:t>Applicant for</w:t>
      </w:r>
      <w:r w:rsidR="0091231F" w:rsidRPr="0044566A">
        <w:t xml:space="preserve"> the </w:t>
      </w:r>
      <w:r w:rsidRPr="0044566A">
        <w:t>periods ending September 30, 2019 through September 30, 2029;</w:t>
      </w:r>
    </w:p>
    <w:p w14:paraId="59B524C6" w14:textId="77777777" w:rsidR="0024010C" w:rsidRPr="0044566A" w:rsidRDefault="00F02F19" w:rsidP="0044566A">
      <w:pPr>
        <w:pStyle w:val="ListParagraph"/>
      </w:pPr>
      <w:r w:rsidRPr="0044566A">
        <w:t>FY21 Proposed Budgets Presentat</w:t>
      </w:r>
      <w:r w:rsidR="0091231F" w:rsidRPr="0044566A">
        <w:t>ion</w:t>
      </w:r>
      <w:r w:rsidRPr="0044566A">
        <w:t xml:space="preserve"> to</w:t>
      </w:r>
      <w:r w:rsidR="0091231F" w:rsidRPr="0044566A">
        <w:t xml:space="preserve"> the </w:t>
      </w:r>
      <w:r w:rsidRPr="0044566A">
        <w:t>Finance Committee, dated September 21,</w:t>
      </w:r>
      <w:r w:rsidR="0024010C" w:rsidRPr="0044566A">
        <w:t xml:space="preserve"> </w:t>
      </w:r>
      <w:r w:rsidRPr="0044566A">
        <w:t>2020;</w:t>
      </w:r>
    </w:p>
    <w:p w14:paraId="4BF19F9D" w14:textId="77777777" w:rsidR="00061F17" w:rsidRPr="0044566A" w:rsidRDefault="00F02F19" w:rsidP="0044566A">
      <w:pPr>
        <w:pStyle w:val="ListParagraph"/>
      </w:pPr>
      <w:r w:rsidRPr="0044566A">
        <w:t>Surgical Pavilion Update Presentat</w:t>
      </w:r>
      <w:r w:rsidR="0091231F" w:rsidRPr="0044566A">
        <w:t>ion</w:t>
      </w:r>
      <w:r w:rsidRPr="0044566A">
        <w:t xml:space="preserve"> to the Board of Trustees, dated January 21, 2021;</w:t>
      </w:r>
    </w:p>
    <w:p w14:paraId="1B1D9131" w14:textId="77777777" w:rsidR="00061F17" w:rsidRPr="0044566A" w:rsidRDefault="00F02F19" w:rsidP="0044566A">
      <w:pPr>
        <w:pStyle w:val="ListParagraph"/>
      </w:pPr>
      <w:r w:rsidRPr="0044566A">
        <w:t>Surgical Pavilion Update Presentat</w:t>
      </w:r>
      <w:r w:rsidR="0091231F" w:rsidRPr="0044566A">
        <w:t>ion</w:t>
      </w:r>
      <w:r w:rsidRPr="0044566A">
        <w:t xml:space="preserve"> to the Finance Committee, dated January</w:t>
      </w:r>
      <w:r w:rsidR="00061F17" w:rsidRPr="0044566A">
        <w:t xml:space="preserve"> </w:t>
      </w:r>
      <w:r w:rsidRPr="0044566A">
        <w:t>5, 2021;</w:t>
      </w:r>
    </w:p>
    <w:p w14:paraId="5490EE59" w14:textId="77777777" w:rsidR="00061F17" w:rsidRPr="0044566A" w:rsidRDefault="00F02F19" w:rsidP="0044566A">
      <w:pPr>
        <w:pStyle w:val="ListParagraph"/>
      </w:pPr>
      <w:r w:rsidRPr="0044566A">
        <w:t>Surgical Pavilion Update Presentat</w:t>
      </w:r>
      <w:r w:rsidR="0091231F" w:rsidRPr="0044566A">
        <w:t>ion</w:t>
      </w:r>
      <w:r w:rsidRPr="0044566A">
        <w:t xml:space="preserve"> to the Finance Committee and Board of Trustees, dated June 2020;</w:t>
      </w:r>
    </w:p>
    <w:p w14:paraId="329CA006" w14:textId="77777777" w:rsidR="00061F17" w:rsidRPr="0044566A" w:rsidRDefault="003B52A2" w:rsidP="0044566A">
      <w:pPr>
        <w:pStyle w:val="ListParagraph"/>
      </w:pPr>
      <w:r w:rsidRPr="0044566A">
        <w:t xml:space="preserve">Heywood </w:t>
      </w:r>
      <w:r w:rsidR="00F02F19" w:rsidRPr="0044566A">
        <w:t>Hospital Surgical Pavilion Budget Estimate from Consigli, dated June 21, 2021;</w:t>
      </w:r>
    </w:p>
    <w:p w14:paraId="5C603924" w14:textId="77777777" w:rsidR="00061F17" w:rsidRPr="0044566A" w:rsidRDefault="00F02F19" w:rsidP="0044566A">
      <w:pPr>
        <w:pStyle w:val="ListParagraph"/>
      </w:pPr>
      <w:r w:rsidRPr="0044566A">
        <w:t xml:space="preserve">Audited Consolidated </w:t>
      </w:r>
      <w:r w:rsidR="00061F17" w:rsidRPr="0044566A">
        <w:t xml:space="preserve">Financial Statements for </w:t>
      </w:r>
      <w:r w:rsidR="003B52A2" w:rsidRPr="0044566A">
        <w:t>Heywood Healthcare</w:t>
      </w:r>
      <w:r w:rsidRPr="0044566A">
        <w:t>, Inc. for Years Ended September 30, 2020 and 2019;</w:t>
      </w:r>
    </w:p>
    <w:p w14:paraId="25B3CF2F" w14:textId="77777777" w:rsidR="00061F17" w:rsidRPr="0044566A" w:rsidRDefault="00F02F19" w:rsidP="0044566A">
      <w:pPr>
        <w:pStyle w:val="ListParagraph"/>
      </w:pPr>
      <w:r w:rsidRPr="0044566A">
        <w:t xml:space="preserve">Audited </w:t>
      </w:r>
      <w:r w:rsidR="00061F17" w:rsidRPr="0044566A">
        <w:t xml:space="preserve">Consolidated Financial Statements for </w:t>
      </w:r>
      <w:r w:rsidR="003B52A2" w:rsidRPr="0044566A">
        <w:t xml:space="preserve">Heywood </w:t>
      </w:r>
      <w:r w:rsidRPr="0044566A">
        <w:t>Healthcare, Inc. for Years</w:t>
      </w:r>
      <w:r w:rsidR="00061F17" w:rsidRPr="0044566A">
        <w:t xml:space="preserve"> </w:t>
      </w:r>
      <w:r w:rsidRPr="0044566A">
        <w:t>Ended September 30, 2019 and 2018;</w:t>
      </w:r>
    </w:p>
    <w:p w14:paraId="229E61A5" w14:textId="77777777" w:rsidR="00061F17" w:rsidRPr="0044566A" w:rsidRDefault="00061F17" w:rsidP="0044566A">
      <w:pPr>
        <w:pStyle w:val="ListParagraph"/>
      </w:pPr>
      <w:r w:rsidRPr="0044566A">
        <w:t xml:space="preserve">Audited Consolidated Financial Statements for Heywood Healthcare, Inc. for Years Ended </w:t>
      </w:r>
      <w:r w:rsidR="00F02F19" w:rsidRPr="0044566A">
        <w:t>September 30, 2018 and 2017;</w:t>
      </w:r>
    </w:p>
    <w:p w14:paraId="3C14D8F6" w14:textId="77777777" w:rsidR="00061F17" w:rsidRPr="0044566A" w:rsidRDefault="00061F17" w:rsidP="0044566A">
      <w:pPr>
        <w:pStyle w:val="ListParagraph"/>
      </w:pPr>
      <w:r w:rsidRPr="0044566A">
        <w:t xml:space="preserve">Audited Consolidated Financial Statements for Heywood Healthcare, Inc. for Years Ended </w:t>
      </w:r>
      <w:r w:rsidR="00F02F19" w:rsidRPr="0044566A">
        <w:t>September 30, 2017 and 2016;</w:t>
      </w:r>
    </w:p>
    <w:p w14:paraId="76B45F83" w14:textId="77777777" w:rsidR="00061F17" w:rsidRPr="0044566A" w:rsidRDefault="00F02F19" w:rsidP="0044566A">
      <w:pPr>
        <w:pStyle w:val="ListParagraph"/>
      </w:pPr>
      <w:r w:rsidRPr="0044566A">
        <w:t>Actual to Budget Comparison for</w:t>
      </w:r>
      <w:r w:rsidR="0091231F" w:rsidRPr="0044566A">
        <w:t xml:space="preserve"> the </w:t>
      </w:r>
      <w:r w:rsidRPr="0044566A">
        <w:t>Periods Ending</w:t>
      </w:r>
      <w:r w:rsidR="00061F17" w:rsidRPr="0044566A">
        <w:t xml:space="preserve"> </w:t>
      </w:r>
      <w:r w:rsidRPr="0044566A">
        <w:t>September</w:t>
      </w:r>
      <w:r w:rsidR="00061F17" w:rsidRPr="0044566A">
        <w:t xml:space="preserve"> </w:t>
      </w:r>
      <w:r w:rsidRPr="0044566A">
        <w:t>30, 2019, September</w:t>
      </w:r>
      <w:r w:rsidR="00061F17" w:rsidRPr="0044566A">
        <w:t xml:space="preserve"> </w:t>
      </w:r>
      <w:r w:rsidRPr="0044566A">
        <w:t>30,</w:t>
      </w:r>
      <w:r w:rsidR="00061F17" w:rsidRPr="0044566A">
        <w:t xml:space="preserve"> </w:t>
      </w:r>
      <w:r w:rsidRPr="0044566A">
        <w:t>2020, and May 31, 2021;</w:t>
      </w:r>
    </w:p>
    <w:p w14:paraId="7174A733" w14:textId="77777777" w:rsidR="00061F17" w:rsidRPr="0044566A" w:rsidRDefault="00061F17" w:rsidP="0044566A">
      <w:pPr>
        <w:pStyle w:val="ListParagraph"/>
      </w:pPr>
      <w:r w:rsidRPr="0044566A">
        <w:t>I</w:t>
      </w:r>
      <w:r w:rsidR="00F02F19" w:rsidRPr="0044566A">
        <w:t xml:space="preserve">nternal </w:t>
      </w:r>
      <w:r w:rsidRPr="0044566A">
        <w:t xml:space="preserve">Financial Statements </w:t>
      </w:r>
      <w:r w:rsidR="00F02F19" w:rsidRPr="0044566A">
        <w:t>for the Month Ending</w:t>
      </w:r>
      <w:r w:rsidRPr="0044566A">
        <w:t xml:space="preserve"> </w:t>
      </w:r>
      <w:r w:rsidR="00F02F19" w:rsidRPr="0044566A">
        <w:t>May 31, 2021 for the Applicant;</w:t>
      </w:r>
    </w:p>
    <w:p w14:paraId="15A65C76" w14:textId="2C33336C" w:rsidR="00061F17" w:rsidRPr="0044566A" w:rsidRDefault="00F02F19" w:rsidP="0044566A">
      <w:pPr>
        <w:pStyle w:val="ListParagraph"/>
      </w:pPr>
      <w:r w:rsidRPr="0044566A">
        <w:t>Construction Loan Interest Detail from Waterstone Properties;</w:t>
      </w:r>
    </w:p>
    <w:p w14:paraId="5F582B32" w14:textId="77777777" w:rsidR="005640F5" w:rsidRDefault="005640F5">
      <w:pPr>
        <w:rPr>
          <w:rFonts w:ascii="Arial" w:hAnsi="Arial" w:cs="Arial"/>
          <w:szCs w:val="20"/>
        </w:rPr>
      </w:pPr>
      <w:r>
        <w:rPr>
          <w:rFonts w:cs="Arial"/>
        </w:rPr>
        <w:br w:type="page"/>
      </w:r>
    </w:p>
    <w:p w14:paraId="7CBC8167" w14:textId="7C54E167" w:rsidR="00061F17" w:rsidRPr="00314411" w:rsidRDefault="00F02F19" w:rsidP="0044566A">
      <w:pPr>
        <w:pStyle w:val="ListParagraph"/>
      </w:pPr>
      <w:r w:rsidRPr="00314411">
        <w:lastRenderedPageBreak/>
        <w:t xml:space="preserve">Heywood </w:t>
      </w:r>
      <w:r w:rsidR="00061F17" w:rsidRPr="00314411">
        <w:t>Hospital</w:t>
      </w:r>
      <w:r w:rsidRPr="00314411">
        <w:t xml:space="preserve"> Investment Policy, approved May 25, 2021;</w:t>
      </w:r>
    </w:p>
    <w:p w14:paraId="09A47B86" w14:textId="77777777" w:rsidR="00061F17" w:rsidRPr="00314411" w:rsidRDefault="00F02F19" w:rsidP="0044566A">
      <w:pPr>
        <w:pStyle w:val="ListParagraph"/>
      </w:pPr>
      <w:r w:rsidRPr="00314411">
        <w:t>Lease Between Heywood Green Street, LLC and Henry Heywood</w:t>
      </w:r>
      <w:r w:rsidR="00061F17" w:rsidRPr="00314411">
        <w:t xml:space="preserve"> </w:t>
      </w:r>
      <w:r w:rsidRPr="00314411">
        <w:t xml:space="preserve">Memorial </w:t>
      </w:r>
      <w:r w:rsidR="00061F17" w:rsidRPr="00314411">
        <w:t>Hospital</w:t>
      </w:r>
      <w:r w:rsidRPr="00314411">
        <w:t>, Inc.;</w:t>
      </w:r>
    </w:p>
    <w:p w14:paraId="2D6F9B02" w14:textId="77777777" w:rsidR="00061F17" w:rsidRPr="00314411" w:rsidRDefault="00F02F19" w:rsidP="0044566A">
      <w:pPr>
        <w:pStyle w:val="ListParagraph"/>
      </w:pPr>
      <w:r w:rsidRPr="00314411">
        <w:t>Public Announcement Concerning a Proposed Healthcare Surgical Pavil</w:t>
      </w:r>
      <w:r w:rsidR="0091231F" w:rsidRPr="00314411">
        <w:t>ion</w:t>
      </w:r>
      <w:r w:rsidRPr="00314411">
        <w:t xml:space="preserve"> Project;</w:t>
      </w:r>
    </w:p>
    <w:p w14:paraId="39E7FE9B" w14:textId="77777777" w:rsidR="00061F17" w:rsidRPr="00314411" w:rsidRDefault="00F02F19" w:rsidP="0044566A">
      <w:pPr>
        <w:pStyle w:val="ListParagraph"/>
      </w:pPr>
      <w:r w:rsidRPr="00314411">
        <w:t xml:space="preserve">2018 Tax Return for Henry Heywood Memorial </w:t>
      </w:r>
      <w:r w:rsidR="00061F17" w:rsidRPr="00314411">
        <w:t>Hospital</w:t>
      </w:r>
      <w:r w:rsidRPr="00314411">
        <w:t>;</w:t>
      </w:r>
    </w:p>
    <w:p w14:paraId="19E0D3C6" w14:textId="77777777" w:rsidR="00061F17" w:rsidRPr="00314411" w:rsidRDefault="00F02F19" w:rsidP="0044566A">
      <w:pPr>
        <w:pStyle w:val="ListParagraph"/>
      </w:pPr>
      <w:r w:rsidRPr="00314411">
        <w:t>Articles of Incorporat</w:t>
      </w:r>
      <w:r w:rsidR="0091231F" w:rsidRPr="00314411">
        <w:t>ion</w:t>
      </w:r>
      <w:r w:rsidRPr="00314411">
        <w:t xml:space="preserve"> for the Applicant, dated May 14, 1907;</w:t>
      </w:r>
    </w:p>
    <w:p w14:paraId="13636CC3" w14:textId="77777777" w:rsidR="00061F17" w:rsidRPr="00314411" w:rsidRDefault="00F02F19" w:rsidP="0044566A">
      <w:pPr>
        <w:pStyle w:val="ListParagraph"/>
      </w:pPr>
      <w:r w:rsidRPr="00314411">
        <w:t>Certificate of Change of Directors or Officers of Non-Profit Corporations for the Applicant, dated May 20, 2013;</w:t>
      </w:r>
    </w:p>
    <w:p w14:paraId="1D86CDEA" w14:textId="77777777" w:rsidR="003E7BE2" w:rsidRPr="00314411" w:rsidRDefault="00061F17" w:rsidP="0044566A">
      <w:pPr>
        <w:pStyle w:val="ListParagraph"/>
      </w:pPr>
      <w:r w:rsidRPr="00314411">
        <w:t>D</w:t>
      </w:r>
      <w:r w:rsidR="00F02F19" w:rsidRPr="00314411">
        <w:t xml:space="preserve">raft </w:t>
      </w:r>
      <w:r w:rsidR="003E7BE2" w:rsidRPr="00314411">
        <w:t>Determination</w:t>
      </w:r>
      <w:r w:rsidR="00F02F19" w:rsidRPr="00314411">
        <w:t xml:space="preserve"> of Need Applicat</w:t>
      </w:r>
      <w:r w:rsidR="0091231F" w:rsidRPr="00314411">
        <w:t>ion</w:t>
      </w:r>
      <w:r w:rsidR="00F02F19" w:rsidRPr="00314411">
        <w:t xml:space="preserve"> and Supporting Files for</w:t>
      </w:r>
      <w:r w:rsidR="0091231F" w:rsidRPr="00314411">
        <w:t xml:space="preserve"> the </w:t>
      </w:r>
      <w:r w:rsidR="00F02F19" w:rsidRPr="00314411">
        <w:t>Applicant;</w:t>
      </w:r>
    </w:p>
    <w:p w14:paraId="15C9B68B" w14:textId="77777777" w:rsidR="003E7BE2" w:rsidRPr="00314411" w:rsidRDefault="00F02F19" w:rsidP="0044566A">
      <w:pPr>
        <w:pStyle w:val="ListParagraph"/>
      </w:pPr>
      <w:r w:rsidRPr="00314411">
        <w:t>RMA Annual Statement Studies, published by The Risk Management Association;</w:t>
      </w:r>
    </w:p>
    <w:p w14:paraId="19F54F9E" w14:textId="77777777" w:rsidR="003E7BE2" w:rsidRPr="00314411" w:rsidRDefault="00F02F19" w:rsidP="0044566A">
      <w:pPr>
        <w:pStyle w:val="ListParagraph"/>
      </w:pPr>
      <w:r w:rsidRPr="00314411">
        <w:t>Definitive Healthcare data;</w:t>
      </w:r>
    </w:p>
    <w:p w14:paraId="37CF009A" w14:textId="77777777" w:rsidR="003E7BE2" w:rsidRPr="00314411" w:rsidRDefault="00F02F19" w:rsidP="0044566A">
      <w:pPr>
        <w:pStyle w:val="ListParagraph"/>
      </w:pPr>
      <w:r w:rsidRPr="00314411">
        <w:t>IBIS</w:t>
      </w:r>
      <w:r w:rsidR="003E7BE2" w:rsidRPr="00314411">
        <w:t xml:space="preserve"> </w:t>
      </w:r>
      <w:r w:rsidRPr="00314411">
        <w:t xml:space="preserve">World Industry Report, </w:t>
      </w:r>
      <w:r w:rsidR="00061F17" w:rsidRPr="00314411">
        <w:t>Hospital</w:t>
      </w:r>
      <w:r w:rsidRPr="00314411">
        <w:t>s in</w:t>
      </w:r>
      <w:r w:rsidR="0091231F" w:rsidRPr="00314411">
        <w:t xml:space="preserve"> the </w:t>
      </w:r>
      <w:r w:rsidRPr="00314411">
        <w:t>US, dated January 2021; and</w:t>
      </w:r>
    </w:p>
    <w:p w14:paraId="475B655A" w14:textId="238CA92F" w:rsidR="000D4777" w:rsidRPr="00314411" w:rsidRDefault="003E7BE2" w:rsidP="0044566A">
      <w:pPr>
        <w:pStyle w:val="ListParagraph"/>
      </w:pPr>
      <w:r w:rsidRPr="00314411">
        <w:t>Determination</w:t>
      </w:r>
      <w:r w:rsidR="00F02F19" w:rsidRPr="00314411">
        <w:t xml:space="preserve"> of Need Applica</w:t>
      </w:r>
      <w:r w:rsidRPr="00314411">
        <w:t>tion</w:t>
      </w:r>
      <w:r w:rsidR="0091231F" w:rsidRPr="00314411">
        <w:t xml:space="preserve"> </w:t>
      </w:r>
      <w:r w:rsidR="00F02F19" w:rsidRPr="00314411">
        <w:t>Instructions dated March 2017.</w:t>
      </w:r>
    </w:p>
    <w:p w14:paraId="184C1A45" w14:textId="77777777" w:rsidR="000D4777" w:rsidRPr="00314411" w:rsidRDefault="00F02F19" w:rsidP="0044566A">
      <w:pPr>
        <w:pStyle w:val="Heading1"/>
      </w:pPr>
      <w:bookmarkStart w:id="4" w:name="_Toc80130170"/>
      <w:r w:rsidRPr="00314411">
        <w:rPr>
          <w:u w:color="231F2F"/>
        </w:rPr>
        <w:t>REVIEW OF THE PROJECTIONS</w:t>
      </w:r>
      <w:bookmarkEnd w:id="4"/>
    </w:p>
    <w:p w14:paraId="0FFDBBF9" w14:textId="1C10AC5F" w:rsidR="000D4777" w:rsidRPr="00314411" w:rsidRDefault="00F02F19" w:rsidP="00ED2BFB">
      <w:pPr>
        <w:pStyle w:val="BodyText"/>
      </w:pPr>
      <w:r w:rsidRPr="00314411">
        <w:t>This</w:t>
      </w:r>
      <w:r w:rsidR="003E7BE2" w:rsidRPr="00314411">
        <w:t xml:space="preserve"> </w:t>
      </w:r>
      <w:r w:rsidRPr="00314411">
        <w:t>sect</w:t>
      </w:r>
      <w:r w:rsidR="0091231F" w:rsidRPr="00314411">
        <w:t>ion</w:t>
      </w:r>
      <w:r w:rsidRPr="00314411">
        <w:t xml:space="preserve"> of our report summarizes</w:t>
      </w:r>
      <w:r w:rsidR="003E7BE2" w:rsidRPr="00314411">
        <w:t xml:space="preserve"> </w:t>
      </w:r>
      <w:r w:rsidRPr="00314411">
        <w:t>our review of</w:t>
      </w:r>
      <w:r w:rsidR="0091231F" w:rsidRPr="00314411">
        <w:t xml:space="preserve"> the </w:t>
      </w:r>
      <w:r w:rsidRPr="00314411">
        <w:t>reasonableness</w:t>
      </w:r>
      <w:r w:rsidR="003E7BE2" w:rsidRPr="00314411">
        <w:t xml:space="preserve"> </w:t>
      </w:r>
      <w:r w:rsidRPr="00314411">
        <w:t>of the assumpt</w:t>
      </w:r>
      <w:r w:rsidR="00D15E07" w:rsidRPr="00314411">
        <w:t>ions</w:t>
      </w:r>
      <w:r w:rsidR="003E7BE2" w:rsidRPr="00314411">
        <w:t xml:space="preserve"> </w:t>
      </w:r>
      <w:r w:rsidRPr="00314411">
        <w:t>used and feasibility of the Project</w:t>
      </w:r>
      <w:r w:rsidR="00D15E07" w:rsidRPr="00314411">
        <w:t>ions</w:t>
      </w:r>
      <w:r w:rsidRPr="00314411">
        <w:t>.</w:t>
      </w:r>
    </w:p>
    <w:p w14:paraId="1EB3F5B2" w14:textId="77777777" w:rsidR="000D4777" w:rsidRPr="00314411" w:rsidRDefault="00F02F19" w:rsidP="00ED2BFB">
      <w:pPr>
        <w:pStyle w:val="BodyText"/>
      </w:pPr>
      <w:r w:rsidRPr="00314411">
        <w:t>The following tables present the Key Metrics, as defined below, which compare the operating results of the Project</w:t>
      </w:r>
      <w:r w:rsidR="00D15E07" w:rsidRPr="00314411">
        <w:t>ions</w:t>
      </w:r>
      <w:r w:rsidRPr="00314411">
        <w:t xml:space="preserve"> to market informa</w:t>
      </w:r>
      <w:r w:rsidR="003E7BE2" w:rsidRPr="00314411">
        <w:t>tion</w:t>
      </w:r>
      <w:r w:rsidRPr="00314411">
        <w:t xml:space="preserve"> from RMA Annual Studies (" RMA"), IBISWorld, and Definitive Healthcare as well as the Applicant's historical performance, to assess the reasonableness</w:t>
      </w:r>
      <w:r w:rsidR="00ED251F" w:rsidRPr="00314411">
        <w:t xml:space="preserve"> </w:t>
      </w:r>
      <w:r w:rsidRPr="00314411">
        <w:t>of the projections.</w:t>
      </w:r>
    </w:p>
    <w:p w14:paraId="514EF16B" w14:textId="1A4D3341" w:rsidR="004D7880" w:rsidRPr="00314411" w:rsidRDefault="004D7880" w:rsidP="00ED2BFB">
      <w:pPr>
        <w:pStyle w:val="BodyText"/>
        <w:sectPr w:rsidR="004D7880" w:rsidRPr="00314411" w:rsidSect="00935C5A">
          <w:pgSz w:w="12240" w:h="15840"/>
          <w:pgMar w:top="2160" w:right="1380" w:bottom="280" w:left="1440" w:header="720" w:footer="720" w:gutter="0"/>
          <w:cols w:space="720"/>
        </w:sectPr>
      </w:pPr>
    </w:p>
    <w:p w14:paraId="039BA2AD" w14:textId="4C49932F" w:rsidR="004D7880" w:rsidRPr="00314411" w:rsidRDefault="004D7880" w:rsidP="00ED2BFB">
      <w:pPr>
        <w:pStyle w:val="BodyText"/>
      </w:pPr>
      <w:r w:rsidRPr="00314411">
        <w:br w:type="page"/>
      </w:r>
    </w:p>
    <w:p w14:paraId="35407FE9" w14:textId="77777777" w:rsidR="004D7880" w:rsidRPr="00314411" w:rsidRDefault="004D7880" w:rsidP="00ED2BFB">
      <w:pPr>
        <w:pStyle w:val="BodyText"/>
        <w:rPr>
          <w:noProof/>
        </w:rPr>
      </w:pPr>
    </w:p>
    <w:p w14:paraId="3DA03DD4" w14:textId="5980977D" w:rsidR="000D4777" w:rsidRPr="00314411" w:rsidRDefault="004D7880" w:rsidP="00ED2BFB">
      <w:pPr>
        <w:pStyle w:val="BodyText"/>
      </w:pPr>
      <w:r w:rsidRPr="00314411">
        <w:rPr>
          <w:noProof/>
        </w:rPr>
        <w:drawing>
          <wp:inline distT="0" distB="0" distL="0" distR="0" wp14:anchorId="7A74F239" wp14:editId="336EF8BF">
            <wp:extent cx="5943600" cy="3323492"/>
            <wp:effectExtent l="0" t="0" r="0" b="0"/>
            <wp:docPr id="7" name="Picture 7" descr="Key Financial Metrics and Ratios for Heywood Healthcare, Inc.  Projected for years 2021-2029, Actual for years 2016-2020, and Industry Data for similar hospital and healthcare are prov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Key Financial Metrics and Ratios for Heywood Healthcare, Inc.  Projected for years 2021-2029, Actual for years 2016-2020, and Industry Data for similar hospital and healthcare are provided."/>
                    <pic:cNvPicPr/>
                  </pic:nvPicPr>
                  <pic:blipFill rotWithShape="1">
                    <a:blip r:embed="rId20"/>
                    <a:srcRect b="7968"/>
                    <a:stretch/>
                  </pic:blipFill>
                  <pic:spPr bwMode="auto">
                    <a:xfrm>
                      <a:off x="0" y="0"/>
                      <a:ext cx="5943600" cy="3323492"/>
                    </a:xfrm>
                    <a:prstGeom prst="rect">
                      <a:avLst/>
                    </a:prstGeom>
                    <a:ln>
                      <a:noFill/>
                    </a:ln>
                    <a:extLst>
                      <a:ext uri="{53640926-AAD7-44D8-BBD7-CCE9431645EC}">
                        <a14:shadowObscured xmlns:a14="http://schemas.microsoft.com/office/drawing/2010/main"/>
                      </a:ext>
                    </a:extLst>
                  </pic:spPr>
                </pic:pic>
              </a:graphicData>
            </a:graphic>
          </wp:inline>
        </w:drawing>
      </w:r>
    </w:p>
    <w:p w14:paraId="7165CDC9" w14:textId="4D96F98C" w:rsidR="000D4777" w:rsidRPr="0044566A" w:rsidRDefault="00F02F19" w:rsidP="0044566A">
      <w:pPr>
        <w:rPr>
          <w:sz w:val="18"/>
          <w:szCs w:val="18"/>
        </w:rPr>
      </w:pPr>
      <w:r w:rsidRPr="0044566A">
        <w:rPr>
          <w:sz w:val="18"/>
          <w:szCs w:val="18"/>
          <w:u w:color="504959"/>
        </w:rPr>
        <w:t>Footno</w:t>
      </w:r>
      <w:r w:rsidR="004D7880" w:rsidRPr="0044566A">
        <w:rPr>
          <w:sz w:val="18"/>
          <w:szCs w:val="18"/>
          <w:u w:color="504959"/>
        </w:rPr>
        <w:t>t</w:t>
      </w:r>
      <w:r w:rsidRPr="0044566A">
        <w:rPr>
          <w:sz w:val="18"/>
          <w:szCs w:val="18"/>
          <w:u w:color="504959"/>
        </w:rPr>
        <w:t>e</w:t>
      </w:r>
      <w:r w:rsidR="004D7880" w:rsidRPr="0044566A">
        <w:rPr>
          <w:sz w:val="18"/>
          <w:szCs w:val="18"/>
          <w:u w:color="504959"/>
        </w:rPr>
        <w:t>s</w:t>
      </w:r>
      <w:r w:rsidRPr="0044566A">
        <w:rPr>
          <w:sz w:val="18"/>
          <w:szCs w:val="18"/>
        </w:rPr>
        <w:t>;</w:t>
      </w:r>
    </w:p>
    <w:p w14:paraId="74955FB2" w14:textId="14EEEDB7" w:rsidR="004D7880" w:rsidRPr="0044566A" w:rsidRDefault="0044566A" w:rsidP="0044566A">
      <w:pPr>
        <w:rPr>
          <w:sz w:val="18"/>
          <w:szCs w:val="18"/>
        </w:rPr>
      </w:pPr>
      <w:r w:rsidRPr="0044566A">
        <w:rPr>
          <w:sz w:val="18"/>
          <w:szCs w:val="18"/>
        </w:rPr>
        <w:t>(1) I</w:t>
      </w:r>
      <w:r w:rsidR="00F02F19" w:rsidRPr="0044566A">
        <w:rPr>
          <w:sz w:val="18"/>
          <w:szCs w:val="18"/>
        </w:rPr>
        <w:t>ndu</w:t>
      </w:r>
      <w:r w:rsidR="004D7880" w:rsidRPr="0044566A">
        <w:rPr>
          <w:sz w:val="18"/>
          <w:szCs w:val="18"/>
        </w:rPr>
        <w:t>s</w:t>
      </w:r>
      <w:r w:rsidR="00F02F19" w:rsidRPr="0044566A">
        <w:rPr>
          <w:sz w:val="18"/>
          <w:szCs w:val="18"/>
        </w:rPr>
        <w:t>try d</w:t>
      </w:r>
      <w:r w:rsidR="004D7880" w:rsidRPr="0044566A">
        <w:rPr>
          <w:sz w:val="18"/>
          <w:szCs w:val="18"/>
        </w:rPr>
        <w:t>ata ratio</w:t>
      </w:r>
      <w:r w:rsidR="00F02F19" w:rsidRPr="0044566A">
        <w:rPr>
          <w:sz w:val="18"/>
          <w:szCs w:val="18"/>
        </w:rPr>
        <w:t xml:space="preserve"> based on </w:t>
      </w:r>
      <w:r w:rsidR="004D7880" w:rsidRPr="0044566A">
        <w:rPr>
          <w:sz w:val="18"/>
          <w:szCs w:val="18"/>
        </w:rPr>
        <w:t>each data source’s respective definitions and may differ from the ratio definitions listed below.</w:t>
      </w:r>
    </w:p>
    <w:p w14:paraId="052C3CBB" w14:textId="337A25A4" w:rsidR="004D7880" w:rsidRPr="0044566A" w:rsidRDefault="0044566A" w:rsidP="0044566A">
      <w:pPr>
        <w:spacing w:after="240"/>
        <w:rPr>
          <w:sz w:val="18"/>
          <w:szCs w:val="18"/>
        </w:rPr>
      </w:pPr>
      <w:r w:rsidRPr="0044566A">
        <w:rPr>
          <w:sz w:val="18"/>
          <w:szCs w:val="18"/>
        </w:rPr>
        <w:t xml:space="preserve">(2) </w:t>
      </w:r>
      <w:r w:rsidR="004D7880" w:rsidRPr="0044566A">
        <w:rPr>
          <w:sz w:val="18"/>
          <w:szCs w:val="18"/>
        </w:rPr>
        <w:t>Profit before taxes margin from RMA data and net income margin from Definitive Healthcare data treated as an equivalent to excess margin.</w:t>
      </w:r>
    </w:p>
    <w:p w14:paraId="36329E57" w14:textId="5D9C0441" w:rsidR="00C04195" w:rsidRPr="00314411" w:rsidRDefault="00C04195" w:rsidP="00ED2BFB">
      <w:pPr>
        <w:pStyle w:val="BodyText"/>
      </w:pPr>
      <w:r w:rsidRPr="00314411">
        <w:t>The Key Metrics fall into three primary categories: profitability, liquidity, and solvency.  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are calculated.</w:t>
      </w:r>
    </w:p>
    <w:p w14:paraId="73E883B2" w14:textId="77777777" w:rsidR="000D4777" w:rsidRPr="00314411" w:rsidRDefault="000D4777" w:rsidP="00ED2BFB">
      <w:pPr>
        <w:pStyle w:val="BodyText"/>
        <w:sectPr w:rsidR="000D4777" w:rsidRPr="00314411" w:rsidSect="00935C5A">
          <w:type w:val="continuous"/>
          <w:pgSz w:w="12240" w:h="15840"/>
          <w:pgMar w:top="2070" w:right="1380" w:bottom="280" w:left="1440" w:header="720" w:footer="720" w:gutter="0"/>
          <w:cols w:space="720"/>
        </w:sectPr>
      </w:pPr>
    </w:p>
    <w:p w14:paraId="17E26393" w14:textId="345D86D3" w:rsidR="000730C1" w:rsidRPr="00F55816" w:rsidRDefault="00F02F19" w:rsidP="00F55816">
      <w:pPr>
        <w:ind w:left="-720"/>
        <w:rPr>
          <w:rFonts w:ascii="Corbel" w:hAnsi="Corbel"/>
          <w:sz w:val="18"/>
          <w:szCs w:val="18"/>
        </w:rPr>
      </w:pPr>
      <w:r w:rsidRPr="00F55816">
        <w:rPr>
          <w:rFonts w:ascii="Corbel" w:hAnsi="Corbel"/>
          <w:sz w:val="18"/>
          <w:szCs w:val="18"/>
        </w:rPr>
        <w:lastRenderedPageBreak/>
        <w:t>Key Financial Metrics and Ratios</w:t>
      </w:r>
    </w:p>
    <w:tbl>
      <w:tblPr>
        <w:tblStyle w:val="TableGrid"/>
        <w:tblW w:w="11160" w:type="dxa"/>
        <w:tblInd w:w="-702" w:type="dxa"/>
        <w:tblLook w:val="04A0" w:firstRow="1" w:lastRow="0" w:firstColumn="1" w:lastColumn="0" w:noHBand="0" w:noVBand="1"/>
        <w:tblCaption w:val="Key Financial Metrics and Ratios Table"/>
        <w:tblDescription w:val="Key Financial Metrics and Ratios"/>
      </w:tblPr>
      <w:tblGrid>
        <w:gridCol w:w="3134"/>
        <w:gridCol w:w="8026"/>
      </w:tblGrid>
      <w:tr w:rsidR="000730C1" w:rsidRPr="00F55816" w14:paraId="5C8AD54D" w14:textId="77777777" w:rsidTr="00622656">
        <w:tc>
          <w:tcPr>
            <w:tcW w:w="3134" w:type="dxa"/>
            <w:tcBorders>
              <w:top w:val="nil"/>
              <w:left w:val="nil"/>
              <w:bottom w:val="single" w:sz="4" w:space="0" w:color="auto"/>
              <w:right w:val="nil"/>
            </w:tcBorders>
            <w:hideMark/>
          </w:tcPr>
          <w:p w14:paraId="7AB7B6A6" w14:textId="77777777" w:rsidR="000730C1" w:rsidRPr="00F55816" w:rsidRDefault="000730C1" w:rsidP="00F55816">
            <w:pPr>
              <w:ind w:left="-22"/>
              <w:rPr>
                <w:rFonts w:ascii="Corbel" w:hAnsi="Corbel"/>
                <w:sz w:val="18"/>
                <w:szCs w:val="18"/>
              </w:rPr>
            </w:pPr>
            <w:r w:rsidRPr="00F55816">
              <w:rPr>
                <w:rFonts w:ascii="Corbel" w:hAnsi="Corbel"/>
                <w:sz w:val="18"/>
                <w:szCs w:val="18"/>
              </w:rPr>
              <w:t>Ratio definitions</w:t>
            </w:r>
          </w:p>
        </w:tc>
        <w:tc>
          <w:tcPr>
            <w:tcW w:w="8026" w:type="dxa"/>
            <w:tcBorders>
              <w:top w:val="nil"/>
              <w:left w:val="nil"/>
              <w:bottom w:val="single" w:sz="4" w:space="0" w:color="auto"/>
              <w:right w:val="nil"/>
            </w:tcBorders>
            <w:hideMark/>
          </w:tcPr>
          <w:p w14:paraId="74E6FD28" w14:textId="77777777" w:rsidR="000730C1" w:rsidRPr="00F55816" w:rsidRDefault="000730C1" w:rsidP="00F55816">
            <w:pPr>
              <w:rPr>
                <w:rFonts w:ascii="Corbel" w:hAnsi="Corbel"/>
                <w:sz w:val="18"/>
                <w:szCs w:val="18"/>
              </w:rPr>
            </w:pPr>
            <w:r w:rsidRPr="00F55816">
              <w:rPr>
                <w:rFonts w:ascii="Corbel" w:hAnsi="Corbel"/>
                <w:sz w:val="18"/>
                <w:szCs w:val="18"/>
              </w:rPr>
              <w:t>Calculation</w:t>
            </w:r>
          </w:p>
        </w:tc>
      </w:tr>
      <w:tr w:rsidR="000730C1" w:rsidRPr="00F55816" w14:paraId="3CD3FA48" w14:textId="77777777" w:rsidTr="00622656">
        <w:tc>
          <w:tcPr>
            <w:tcW w:w="3134" w:type="dxa"/>
            <w:tcBorders>
              <w:top w:val="single" w:sz="4" w:space="0" w:color="auto"/>
              <w:left w:val="nil"/>
              <w:bottom w:val="single" w:sz="4" w:space="0" w:color="auto"/>
              <w:right w:val="nil"/>
            </w:tcBorders>
            <w:shd w:val="clear" w:color="auto" w:fill="D9D9D9" w:themeFill="background1" w:themeFillShade="D9"/>
            <w:hideMark/>
          </w:tcPr>
          <w:p w14:paraId="5525C8DB" w14:textId="77777777" w:rsidR="000730C1" w:rsidRPr="00F55816" w:rsidRDefault="000730C1" w:rsidP="00F55816">
            <w:pPr>
              <w:spacing w:after="240"/>
              <w:rPr>
                <w:rFonts w:ascii="Corbel" w:hAnsi="Corbel" w:cs="Arial"/>
                <w:sz w:val="16"/>
                <w:szCs w:val="16"/>
              </w:rPr>
            </w:pPr>
            <w:r w:rsidRPr="00F55816">
              <w:rPr>
                <w:rFonts w:ascii="Corbel" w:hAnsi="Corbel" w:cs="Arial"/>
                <w:sz w:val="16"/>
                <w:szCs w:val="16"/>
              </w:rPr>
              <w:t>Profitability</w:t>
            </w:r>
          </w:p>
        </w:tc>
        <w:tc>
          <w:tcPr>
            <w:tcW w:w="8026" w:type="dxa"/>
            <w:tcBorders>
              <w:top w:val="single" w:sz="4" w:space="0" w:color="auto"/>
              <w:left w:val="nil"/>
              <w:bottom w:val="single" w:sz="4" w:space="0" w:color="auto"/>
              <w:right w:val="nil"/>
            </w:tcBorders>
            <w:shd w:val="clear" w:color="auto" w:fill="D9D9D9" w:themeFill="background1" w:themeFillShade="D9"/>
          </w:tcPr>
          <w:p w14:paraId="25976A41" w14:textId="52147E12" w:rsidR="000730C1" w:rsidRPr="00F55816" w:rsidRDefault="000730C1" w:rsidP="00F55816">
            <w:pPr>
              <w:rPr>
                <w:rFonts w:ascii="Corbel" w:hAnsi="Corbel" w:cs="Arial"/>
                <w:sz w:val="16"/>
                <w:szCs w:val="16"/>
              </w:rPr>
            </w:pPr>
          </w:p>
        </w:tc>
      </w:tr>
      <w:tr w:rsidR="000730C1" w:rsidRPr="00F55816" w14:paraId="48CE0684" w14:textId="77777777" w:rsidTr="00622656">
        <w:tc>
          <w:tcPr>
            <w:tcW w:w="3134" w:type="dxa"/>
            <w:tcBorders>
              <w:top w:val="single" w:sz="4" w:space="0" w:color="auto"/>
              <w:left w:val="nil"/>
              <w:bottom w:val="single" w:sz="4" w:space="0" w:color="auto"/>
              <w:right w:val="nil"/>
            </w:tcBorders>
            <w:hideMark/>
          </w:tcPr>
          <w:p w14:paraId="2B357E9D" w14:textId="192FA877" w:rsidR="000730C1" w:rsidRPr="00F55816" w:rsidRDefault="000730C1" w:rsidP="0044566A">
            <w:pPr>
              <w:rPr>
                <w:rFonts w:ascii="Corbel" w:hAnsi="Corbel" w:cs="Arial"/>
                <w:sz w:val="16"/>
                <w:szCs w:val="16"/>
              </w:rPr>
            </w:pPr>
            <w:r w:rsidRPr="00F55816">
              <w:rPr>
                <w:rFonts w:ascii="Corbel" w:hAnsi="Corbel" w:cs="Arial"/>
                <w:sz w:val="16"/>
                <w:szCs w:val="16"/>
              </w:rPr>
              <w:t>Operating Margin (%)</w:t>
            </w:r>
          </w:p>
        </w:tc>
        <w:tc>
          <w:tcPr>
            <w:tcW w:w="8026" w:type="dxa"/>
            <w:tcBorders>
              <w:top w:val="single" w:sz="4" w:space="0" w:color="auto"/>
              <w:left w:val="nil"/>
              <w:bottom w:val="single" w:sz="4" w:space="0" w:color="auto"/>
              <w:right w:val="nil"/>
            </w:tcBorders>
            <w:hideMark/>
          </w:tcPr>
          <w:p w14:paraId="3E471A70" w14:textId="4BAEB666" w:rsidR="000730C1" w:rsidRPr="00F55816" w:rsidRDefault="000730C1" w:rsidP="00F55816">
            <w:pPr>
              <w:rPr>
                <w:rFonts w:ascii="Corbel" w:hAnsi="Corbel" w:cs="Arial"/>
                <w:sz w:val="16"/>
                <w:szCs w:val="16"/>
              </w:rPr>
            </w:pPr>
            <w:r w:rsidRPr="00F55816">
              <w:rPr>
                <w:rFonts w:ascii="Corbel" w:hAnsi="Corbel" w:cs="Arial"/>
                <w:sz w:val="16"/>
                <w:szCs w:val="16"/>
              </w:rPr>
              <w:t>Income (Loss) from Operations Divided by Total Unrestricted Revenues</w:t>
            </w:r>
          </w:p>
        </w:tc>
      </w:tr>
      <w:tr w:rsidR="000730C1" w:rsidRPr="00F55816" w14:paraId="18C38452" w14:textId="77777777" w:rsidTr="00622656">
        <w:tc>
          <w:tcPr>
            <w:tcW w:w="3134" w:type="dxa"/>
            <w:tcBorders>
              <w:top w:val="single" w:sz="4" w:space="0" w:color="auto"/>
              <w:left w:val="nil"/>
              <w:bottom w:val="single" w:sz="4" w:space="0" w:color="auto"/>
              <w:right w:val="nil"/>
            </w:tcBorders>
            <w:hideMark/>
          </w:tcPr>
          <w:p w14:paraId="22DCC8E7" w14:textId="02744D0A" w:rsidR="000730C1" w:rsidRPr="00F55816" w:rsidRDefault="000730C1" w:rsidP="0044566A">
            <w:pPr>
              <w:rPr>
                <w:rFonts w:ascii="Corbel" w:hAnsi="Corbel" w:cs="Arial"/>
                <w:sz w:val="16"/>
                <w:szCs w:val="16"/>
              </w:rPr>
            </w:pPr>
            <w:r w:rsidRPr="00F55816">
              <w:rPr>
                <w:rFonts w:ascii="Corbel" w:hAnsi="Corbel" w:cs="Arial"/>
                <w:sz w:val="16"/>
                <w:szCs w:val="16"/>
              </w:rPr>
              <w:t>Excess Margin (%)</w:t>
            </w:r>
          </w:p>
        </w:tc>
        <w:tc>
          <w:tcPr>
            <w:tcW w:w="8026" w:type="dxa"/>
            <w:tcBorders>
              <w:top w:val="single" w:sz="4" w:space="0" w:color="auto"/>
              <w:left w:val="nil"/>
              <w:bottom w:val="single" w:sz="4" w:space="0" w:color="auto"/>
              <w:right w:val="nil"/>
            </w:tcBorders>
            <w:hideMark/>
          </w:tcPr>
          <w:p w14:paraId="0B13FC52" w14:textId="0D37044A" w:rsidR="000730C1" w:rsidRPr="00F55816" w:rsidRDefault="000730C1" w:rsidP="00F55816">
            <w:pPr>
              <w:rPr>
                <w:rFonts w:ascii="Corbel" w:hAnsi="Corbel" w:cs="Arial"/>
                <w:sz w:val="16"/>
                <w:szCs w:val="16"/>
              </w:rPr>
            </w:pPr>
            <w:r w:rsidRPr="00F55816">
              <w:rPr>
                <w:rFonts w:ascii="Corbel" w:hAnsi="Corbel" w:cs="Arial"/>
                <w:sz w:val="16"/>
                <w:szCs w:val="16"/>
              </w:rPr>
              <w:t xml:space="preserve">Excess (Deficit) of Revenue over Expenses Divided by (Total Unrestricted Revenues + Total </w:t>
            </w:r>
            <w:r w:rsidR="00F02F19" w:rsidRPr="00F55816">
              <w:rPr>
                <w:rFonts w:ascii="Corbel" w:hAnsi="Corbel" w:cs="Arial"/>
                <w:sz w:val="16"/>
                <w:szCs w:val="16"/>
              </w:rPr>
              <w:t>N</w:t>
            </w:r>
            <w:r w:rsidRPr="00F55816">
              <w:rPr>
                <w:rFonts w:ascii="Corbel" w:hAnsi="Corbel" w:cs="Arial"/>
                <w:sz w:val="16"/>
                <w:szCs w:val="16"/>
              </w:rPr>
              <w:t xml:space="preserve">onoperating </w:t>
            </w:r>
            <w:r w:rsidR="00F02F19" w:rsidRPr="00F55816">
              <w:rPr>
                <w:rFonts w:ascii="Corbel" w:hAnsi="Corbel" w:cs="Arial"/>
                <w:sz w:val="16"/>
                <w:szCs w:val="16"/>
              </w:rPr>
              <w:t>G</w:t>
            </w:r>
            <w:r w:rsidRPr="00F55816">
              <w:rPr>
                <w:rFonts w:ascii="Corbel" w:hAnsi="Corbel" w:cs="Arial"/>
                <w:sz w:val="16"/>
                <w:szCs w:val="16"/>
              </w:rPr>
              <w:t>ains, Net)</w:t>
            </w:r>
          </w:p>
        </w:tc>
      </w:tr>
      <w:tr w:rsidR="000730C1" w:rsidRPr="00F55816" w14:paraId="0E9B5C8D" w14:textId="77777777" w:rsidTr="00622656">
        <w:tc>
          <w:tcPr>
            <w:tcW w:w="3134" w:type="dxa"/>
            <w:tcBorders>
              <w:top w:val="single" w:sz="4" w:space="0" w:color="auto"/>
              <w:left w:val="nil"/>
              <w:bottom w:val="single" w:sz="4" w:space="0" w:color="auto"/>
              <w:right w:val="nil"/>
            </w:tcBorders>
            <w:hideMark/>
          </w:tcPr>
          <w:p w14:paraId="1FB80FEA" w14:textId="655A3AD5" w:rsidR="000730C1" w:rsidRPr="00F55816" w:rsidRDefault="000730C1" w:rsidP="0044566A">
            <w:pPr>
              <w:rPr>
                <w:rFonts w:ascii="Corbel" w:hAnsi="Corbel" w:cs="Arial"/>
                <w:sz w:val="16"/>
                <w:szCs w:val="16"/>
              </w:rPr>
            </w:pPr>
            <w:r w:rsidRPr="00F55816">
              <w:rPr>
                <w:rFonts w:ascii="Corbel" w:hAnsi="Corbel" w:cs="Arial"/>
                <w:sz w:val="16"/>
                <w:szCs w:val="16"/>
              </w:rPr>
              <w:t>Debt Service Coverage Ratio (x)</w:t>
            </w:r>
          </w:p>
        </w:tc>
        <w:tc>
          <w:tcPr>
            <w:tcW w:w="8026" w:type="dxa"/>
            <w:tcBorders>
              <w:top w:val="single" w:sz="4" w:space="0" w:color="auto"/>
              <w:left w:val="nil"/>
              <w:bottom w:val="single" w:sz="4" w:space="0" w:color="auto"/>
              <w:right w:val="nil"/>
            </w:tcBorders>
            <w:hideMark/>
          </w:tcPr>
          <w:p w14:paraId="73473A7A" w14:textId="17780A95" w:rsidR="000730C1" w:rsidRPr="00F55816" w:rsidRDefault="000730C1" w:rsidP="00F55816">
            <w:pPr>
              <w:rPr>
                <w:rFonts w:ascii="Corbel" w:hAnsi="Corbel" w:cs="Arial"/>
                <w:sz w:val="16"/>
                <w:szCs w:val="16"/>
              </w:rPr>
            </w:pPr>
            <w:r w:rsidRPr="00F55816">
              <w:rPr>
                <w:rFonts w:ascii="Corbel" w:hAnsi="Corbel" w:cs="Arial"/>
                <w:sz w:val="16"/>
                <w:szCs w:val="16"/>
              </w:rPr>
              <w:t>(Income (Loss) from Operations + Depreciation and Amortization + Interest) Divided by Maximum Annual Debt Service</w:t>
            </w:r>
          </w:p>
        </w:tc>
      </w:tr>
      <w:tr w:rsidR="000730C1" w:rsidRPr="00F55816" w14:paraId="17F9F9A0" w14:textId="77777777" w:rsidTr="00622656">
        <w:tc>
          <w:tcPr>
            <w:tcW w:w="3134" w:type="dxa"/>
            <w:tcBorders>
              <w:top w:val="single" w:sz="4" w:space="0" w:color="auto"/>
              <w:left w:val="nil"/>
              <w:bottom w:val="single" w:sz="4" w:space="0" w:color="auto"/>
              <w:right w:val="nil"/>
            </w:tcBorders>
            <w:shd w:val="clear" w:color="auto" w:fill="D9D9D9" w:themeFill="background1" w:themeFillShade="D9"/>
            <w:hideMark/>
          </w:tcPr>
          <w:p w14:paraId="793A3502" w14:textId="77777777" w:rsidR="000730C1" w:rsidRPr="00F55816" w:rsidRDefault="000730C1" w:rsidP="00F55816">
            <w:pPr>
              <w:spacing w:after="240"/>
              <w:rPr>
                <w:rFonts w:ascii="Corbel" w:hAnsi="Corbel" w:cs="Arial"/>
                <w:sz w:val="16"/>
                <w:szCs w:val="16"/>
              </w:rPr>
            </w:pPr>
            <w:r w:rsidRPr="00F55816">
              <w:rPr>
                <w:rFonts w:ascii="Corbel" w:hAnsi="Corbel" w:cs="Arial"/>
                <w:sz w:val="16"/>
                <w:szCs w:val="16"/>
              </w:rPr>
              <w:t>Liquidity</w:t>
            </w:r>
          </w:p>
        </w:tc>
        <w:tc>
          <w:tcPr>
            <w:tcW w:w="8026" w:type="dxa"/>
            <w:tcBorders>
              <w:top w:val="single" w:sz="4" w:space="0" w:color="auto"/>
              <w:left w:val="nil"/>
              <w:bottom w:val="single" w:sz="4" w:space="0" w:color="auto"/>
              <w:right w:val="nil"/>
            </w:tcBorders>
            <w:shd w:val="clear" w:color="auto" w:fill="D9D9D9" w:themeFill="background1" w:themeFillShade="D9"/>
          </w:tcPr>
          <w:p w14:paraId="491078E0" w14:textId="77777777" w:rsidR="000730C1" w:rsidRPr="00F55816" w:rsidRDefault="000730C1" w:rsidP="00F55816">
            <w:pPr>
              <w:rPr>
                <w:rFonts w:ascii="Corbel" w:hAnsi="Corbel" w:cs="Arial"/>
                <w:sz w:val="16"/>
                <w:szCs w:val="16"/>
              </w:rPr>
            </w:pPr>
          </w:p>
        </w:tc>
      </w:tr>
      <w:tr w:rsidR="000730C1" w:rsidRPr="00F55816" w14:paraId="34BF29CC" w14:textId="77777777" w:rsidTr="00622656">
        <w:tc>
          <w:tcPr>
            <w:tcW w:w="3134" w:type="dxa"/>
            <w:tcBorders>
              <w:top w:val="single" w:sz="4" w:space="0" w:color="auto"/>
              <w:left w:val="nil"/>
              <w:bottom w:val="single" w:sz="4" w:space="0" w:color="auto"/>
              <w:right w:val="nil"/>
            </w:tcBorders>
            <w:hideMark/>
          </w:tcPr>
          <w:p w14:paraId="6BEA3734" w14:textId="248946DA" w:rsidR="000730C1" w:rsidRPr="00F55816" w:rsidRDefault="000730C1" w:rsidP="0044566A">
            <w:pPr>
              <w:rPr>
                <w:rFonts w:ascii="Corbel" w:hAnsi="Corbel" w:cs="Arial"/>
                <w:sz w:val="16"/>
                <w:szCs w:val="16"/>
              </w:rPr>
            </w:pPr>
            <w:r w:rsidRPr="00F55816">
              <w:rPr>
                <w:rFonts w:ascii="Corbel" w:hAnsi="Corbel" w:cs="Arial"/>
                <w:sz w:val="16"/>
                <w:szCs w:val="16"/>
              </w:rPr>
              <w:t>Days Available Cash and Investments on Hand (#)</w:t>
            </w:r>
          </w:p>
        </w:tc>
        <w:tc>
          <w:tcPr>
            <w:tcW w:w="8026" w:type="dxa"/>
            <w:tcBorders>
              <w:top w:val="single" w:sz="4" w:space="0" w:color="auto"/>
              <w:left w:val="nil"/>
              <w:bottom w:val="single" w:sz="4" w:space="0" w:color="auto"/>
              <w:right w:val="nil"/>
            </w:tcBorders>
            <w:hideMark/>
          </w:tcPr>
          <w:p w14:paraId="1354BC0E" w14:textId="51E25934" w:rsidR="000730C1" w:rsidRPr="00F55816" w:rsidRDefault="000730C1" w:rsidP="00F55816">
            <w:pPr>
              <w:rPr>
                <w:rFonts w:ascii="Corbel" w:hAnsi="Corbel" w:cs="Arial"/>
                <w:sz w:val="16"/>
                <w:szCs w:val="16"/>
              </w:rPr>
            </w:pPr>
            <w:r w:rsidRPr="00F55816">
              <w:rPr>
                <w:rFonts w:ascii="Corbel" w:hAnsi="Corbel" w:cs="Arial"/>
                <w:sz w:val="16"/>
                <w:szCs w:val="16"/>
              </w:rPr>
              <w:t xml:space="preserve">(Cash, Board Designation, and Donor Restricted Investments) Multiplied by 365 Divided by (Total Expenses less </w:t>
            </w:r>
            <w:r w:rsidR="00F02F19" w:rsidRPr="00F55816">
              <w:rPr>
                <w:rFonts w:ascii="Corbel" w:hAnsi="Corbel" w:cs="Arial"/>
                <w:sz w:val="16"/>
                <w:szCs w:val="16"/>
              </w:rPr>
              <w:t>D</w:t>
            </w:r>
            <w:r w:rsidRPr="00F55816">
              <w:rPr>
                <w:rFonts w:ascii="Corbel" w:hAnsi="Corbel" w:cs="Arial"/>
                <w:sz w:val="16"/>
                <w:szCs w:val="16"/>
              </w:rPr>
              <w:t xml:space="preserve">epreciation and </w:t>
            </w:r>
            <w:r w:rsidR="00F02F19" w:rsidRPr="00F55816">
              <w:rPr>
                <w:rFonts w:ascii="Corbel" w:hAnsi="Corbel" w:cs="Arial"/>
                <w:sz w:val="16"/>
                <w:szCs w:val="16"/>
              </w:rPr>
              <w:t>A</w:t>
            </w:r>
            <w:r w:rsidRPr="00F55816">
              <w:rPr>
                <w:rFonts w:ascii="Corbel" w:hAnsi="Corbel" w:cs="Arial"/>
                <w:sz w:val="16"/>
                <w:szCs w:val="16"/>
              </w:rPr>
              <w:t>mortization)</w:t>
            </w:r>
          </w:p>
        </w:tc>
      </w:tr>
      <w:tr w:rsidR="000730C1" w:rsidRPr="00F55816" w14:paraId="1E59450D" w14:textId="77777777" w:rsidTr="00622656">
        <w:tc>
          <w:tcPr>
            <w:tcW w:w="3134" w:type="dxa"/>
            <w:tcBorders>
              <w:top w:val="single" w:sz="4" w:space="0" w:color="auto"/>
              <w:left w:val="nil"/>
              <w:bottom w:val="single" w:sz="4" w:space="0" w:color="auto"/>
              <w:right w:val="nil"/>
            </w:tcBorders>
            <w:hideMark/>
          </w:tcPr>
          <w:p w14:paraId="24B3403E" w14:textId="54DF7BDD" w:rsidR="000730C1" w:rsidRPr="00F55816" w:rsidRDefault="00F02F19" w:rsidP="0044566A">
            <w:pPr>
              <w:rPr>
                <w:rFonts w:ascii="Corbel" w:hAnsi="Corbel" w:cs="Arial"/>
                <w:sz w:val="16"/>
                <w:szCs w:val="16"/>
              </w:rPr>
            </w:pPr>
            <w:r w:rsidRPr="00F55816">
              <w:rPr>
                <w:rFonts w:ascii="Corbel" w:hAnsi="Corbel" w:cs="Arial"/>
                <w:sz w:val="16"/>
                <w:szCs w:val="16"/>
              </w:rPr>
              <w:t>O</w:t>
            </w:r>
            <w:r w:rsidR="000730C1" w:rsidRPr="00F55816">
              <w:rPr>
                <w:rFonts w:ascii="Corbel" w:hAnsi="Corbel" w:cs="Arial"/>
                <w:sz w:val="16"/>
                <w:szCs w:val="16"/>
              </w:rPr>
              <w:t xml:space="preserve">perating </w:t>
            </w:r>
            <w:r w:rsidRPr="00F55816">
              <w:rPr>
                <w:rFonts w:ascii="Corbel" w:hAnsi="Corbel" w:cs="Arial"/>
                <w:sz w:val="16"/>
                <w:szCs w:val="16"/>
              </w:rPr>
              <w:t>C</w:t>
            </w:r>
            <w:r w:rsidR="000730C1" w:rsidRPr="00F55816">
              <w:rPr>
                <w:rFonts w:ascii="Corbel" w:hAnsi="Corbel" w:cs="Arial"/>
                <w:sz w:val="16"/>
                <w:szCs w:val="16"/>
              </w:rPr>
              <w:t xml:space="preserve">ash </w:t>
            </w:r>
            <w:r w:rsidRPr="00F55816">
              <w:rPr>
                <w:rFonts w:ascii="Corbel" w:hAnsi="Corbel" w:cs="Arial"/>
                <w:sz w:val="16"/>
                <w:szCs w:val="16"/>
              </w:rPr>
              <w:t>F</w:t>
            </w:r>
            <w:r w:rsidR="000730C1" w:rsidRPr="00F55816">
              <w:rPr>
                <w:rFonts w:ascii="Corbel" w:hAnsi="Corbel" w:cs="Arial"/>
                <w:sz w:val="16"/>
                <w:szCs w:val="16"/>
              </w:rPr>
              <w:t>low (%)</w:t>
            </w:r>
          </w:p>
        </w:tc>
        <w:tc>
          <w:tcPr>
            <w:tcW w:w="8026" w:type="dxa"/>
            <w:tcBorders>
              <w:top w:val="single" w:sz="4" w:space="0" w:color="auto"/>
              <w:left w:val="nil"/>
              <w:bottom w:val="single" w:sz="4" w:space="0" w:color="auto"/>
              <w:right w:val="nil"/>
            </w:tcBorders>
            <w:hideMark/>
          </w:tcPr>
          <w:p w14:paraId="0BB448CB" w14:textId="6CAD29F3" w:rsidR="000730C1" w:rsidRPr="00F55816" w:rsidRDefault="00F02F19" w:rsidP="00F55816">
            <w:pPr>
              <w:rPr>
                <w:rFonts w:ascii="Corbel" w:hAnsi="Corbel" w:cs="Arial"/>
                <w:sz w:val="16"/>
                <w:szCs w:val="16"/>
              </w:rPr>
            </w:pPr>
            <w:r w:rsidRPr="00F55816">
              <w:rPr>
                <w:rFonts w:ascii="Corbel" w:hAnsi="Corbel" w:cs="Arial"/>
                <w:sz w:val="16"/>
                <w:szCs w:val="16"/>
              </w:rPr>
              <w:t>C</w:t>
            </w:r>
            <w:r w:rsidR="000730C1" w:rsidRPr="00F55816">
              <w:rPr>
                <w:rFonts w:ascii="Corbel" w:hAnsi="Corbel" w:cs="Arial"/>
                <w:sz w:val="16"/>
                <w:szCs w:val="16"/>
              </w:rPr>
              <w:t xml:space="preserve">ash </w:t>
            </w:r>
            <w:r w:rsidRPr="00F55816">
              <w:rPr>
                <w:rFonts w:ascii="Corbel" w:hAnsi="Corbel" w:cs="Arial"/>
                <w:sz w:val="16"/>
                <w:szCs w:val="16"/>
              </w:rPr>
              <w:t>F</w:t>
            </w:r>
            <w:r w:rsidR="000730C1" w:rsidRPr="00F55816">
              <w:rPr>
                <w:rFonts w:ascii="Corbel" w:hAnsi="Corbel" w:cs="Arial"/>
                <w:sz w:val="16"/>
                <w:szCs w:val="16"/>
              </w:rPr>
              <w:t xml:space="preserve">low from </w:t>
            </w:r>
            <w:r w:rsidRPr="00F55816">
              <w:rPr>
                <w:rFonts w:ascii="Corbel" w:hAnsi="Corbel" w:cs="Arial"/>
                <w:sz w:val="16"/>
                <w:szCs w:val="16"/>
              </w:rPr>
              <w:t>O</w:t>
            </w:r>
            <w:r w:rsidR="000730C1" w:rsidRPr="00F55816">
              <w:rPr>
                <w:rFonts w:ascii="Corbel" w:hAnsi="Corbel" w:cs="Arial"/>
                <w:sz w:val="16"/>
                <w:szCs w:val="16"/>
              </w:rPr>
              <w:t xml:space="preserve">perating </w:t>
            </w:r>
            <w:r w:rsidRPr="00F55816">
              <w:rPr>
                <w:rFonts w:ascii="Corbel" w:hAnsi="Corbel" w:cs="Arial"/>
                <w:sz w:val="16"/>
                <w:szCs w:val="16"/>
              </w:rPr>
              <w:t>A</w:t>
            </w:r>
            <w:r w:rsidR="000730C1" w:rsidRPr="00F55816">
              <w:rPr>
                <w:rFonts w:ascii="Corbel" w:hAnsi="Corbel" w:cs="Arial"/>
                <w:sz w:val="16"/>
                <w:szCs w:val="16"/>
              </w:rPr>
              <w:t xml:space="preserve">ctivities </w:t>
            </w:r>
            <w:r w:rsidRPr="00F55816">
              <w:rPr>
                <w:rFonts w:ascii="Corbel" w:hAnsi="Corbel" w:cs="Arial"/>
                <w:sz w:val="16"/>
                <w:szCs w:val="16"/>
              </w:rPr>
              <w:t>D</w:t>
            </w:r>
            <w:r w:rsidR="000730C1" w:rsidRPr="00F55816">
              <w:rPr>
                <w:rFonts w:ascii="Corbel" w:hAnsi="Corbel" w:cs="Arial"/>
                <w:sz w:val="16"/>
                <w:szCs w:val="16"/>
              </w:rPr>
              <w:t xml:space="preserve">ivided by </w:t>
            </w:r>
            <w:r w:rsidRPr="00F55816">
              <w:rPr>
                <w:rFonts w:ascii="Corbel" w:hAnsi="Corbel" w:cs="Arial"/>
                <w:sz w:val="16"/>
                <w:szCs w:val="16"/>
              </w:rPr>
              <w:t>T</w:t>
            </w:r>
            <w:r w:rsidR="000730C1" w:rsidRPr="00F55816">
              <w:rPr>
                <w:rFonts w:ascii="Corbel" w:hAnsi="Corbel" w:cs="Arial"/>
                <w:sz w:val="16"/>
                <w:szCs w:val="16"/>
              </w:rPr>
              <w:t xml:space="preserve">otal </w:t>
            </w:r>
            <w:r w:rsidRPr="00F55816">
              <w:rPr>
                <w:rFonts w:ascii="Corbel" w:hAnsi="Corbel" w:cs="Arial"/>
                <w:sz w:val="16"/>
                <w:szCs w:val="16"/>
              </w:rPr>
              <w:t>U</w:t>
            </w:r>
            <w:r w:rsidR="000730C1" w:rsidRPr="00F55816">
              <w:rPr>
                <w:rFonts w:ascii="Corbel" w:hAnsi="Corbel" w:cs="Arial"/>
                <w:sz w:val="16"/>
                <w:szCs w:val="16"/>
              </w:rPr>
              <w:t xml:space="preserve">nrestricted </w:t>
            </w:r>
            <w:r w:rsidRPr="00F55816">
              <w:rPr>
                <w:rFonts w:ascii="Corbel" w:hAnsi="Corbel" w:cs="Arial"/>
                <w:sz w:val="16"/>
                <w:szCs w:val="16"/>
              </w:rPr>
              <w:t>R</w:t>
            </w:r>
            <w:r w:rsidR="000730C1" w:rsidRPr="00F55816">
              <w:rPr>
                <w:rFonts w:ascii="Corbel" w:hAnsi="Corbel" w:cs="Arial"/>
                <w:sz w:val="16"/>
                <w:szCs w:val="16"/>
              </w:rPr>
              <w:t>evenues</w:t>
            </w:r>
          </w:p>
        </w:tc>
      </w:tr>
      <w:tr w:rsidR="000730C1" w:rsidRPr="00F55816" w14:paraId="2DE611D6" w14:textId="77777777" w:rsidTr="00622656">
        <w:tc>
          <w:tcPr>
            <w:tcW w:w="3134" w:type="dxa"/>
            <w:tcBorders>
              <w:top w:val="single" w:sz="4" w:space="0" w:color="auto"/>
              <w:left w:val="nil"/>
              <w:bottom w:val="single" w:sz="4" w:space="0" w:color="auto"/>
              <w:right w:val="nil"/>
            </w:tcBorders>
            <w:shd w:val="clear" w:color="auto" w:fill="D9D9D9" w:themeFill="background1" w:themeFillShade="D9"/>
            <w:hideMark/>
          </w:tcPr>
          <w:p w14:paraId="61BACB21" w14:textId="24898A18" w:rsidR="000730C1" w:rsidRPr="00F55816" w:rsidRDefault="000730C1" w:rsidP="00F55816">
            <w:pPr>
              <w:spacing w:after="240"/>
              <w:rPr>
                <w:rFonts w:ascii="Corbel" w:hAnsi="Corbel" w:cs="Arial"/>
                <w:sz w:val="16"/>
                <w:szCs w:val="16"/>
              </w:rPr>
            </w:pPr>
            <w:r w:rsidRPr="00F55816">
              <w:rPr>
                <w:rFonts w:ascii="Corbel" w:hAnsi="Corbel" w:cs="Arial"/>
                <w:sz w:val="16"/>
                <w:szCs w:val="16"/>
              </w:rPr>
              <w:t>Solven</w:t>
            </w:r>
            <w:r w:rsidR="0044566A" w:rsidRPr="00F55816">
              <w:rPr>
                <w:rFonts w:ascii="Corbel" w:hAnsi="Corbel" w:cs="Arial"/>
                <w:sz w:val="16"/>
                <w:szCs w:val="16"/>
              </w:rPr>
              <w:t>c</w:t>
            </w:r>
            <w:r w:rsidRPr="00F55816">
              <w:rPr>
                <w:rFonts w:ascii="Corbel" w:hAnsi="Corbel" w:cs="Arial"/>
                <w:sz w:val="16"/>
                <w:szCs w:val="16"/>
              </w:rPr>
              <w:t>y</w:t>
            </w:r>
          </w:p>
        </w:tc>
        <w:tc>
          <w:tcPr>
            <w:tcW w:w="8026" w:type="dxa"/>
            <w:tcBorders>
              <w:top w:val="single" w:sz="4" w:space="0" w:color="auto"/>
              <w:left w:val="nil"/>
              <w:bottom w:val="single" w:sz="4" w:space="0" w:color="auto"/>
              <w:right w:val="nil"/>
            </w:tcBorders>
            <w:shd w:val="clear" w:color="auto" w:fill="D9D9D9" w:themeFill="background1" w:themeFillShade="D9"/>
          </w:tcPr>
          <w:p w14:paraId="560F8ECC" w14:textId="77777777" w:rsidR="000730C1" w:rsidRPr="00F55816" w:rsidRDefault="000730C1" w:rsidP="00F55816">
            <w:pPr>
              <w:rPr>
                <w:rFonts w:ascii="Corbel" w:hAnsi="Corbel" w:cs="Arial"/>
                <w:sz w:val="16"/>
                <w:szCs w:val="16"/>
              </w:rPr>
            </w:pPr>
          </w:p>
        </w:tc>
      </w:tr>
      <w:tr w:rsidR="000730C1" w:rsidRPr="00F55816" w14:paraId="27AC8869" w14:textId="77777777" w:rsidTr="00622656">
        <w:tc>
          <w:tcPr>
            <w:tcW w:w="3134" w:type="dxa"/>
            <w:tcBorders>
              <w:top w:val="single" w:sz="4" w:space="0" w:color="auto"/>
              <w:left w:val="nil"/>
              <w:bottom w:val="single" w:sz="4" w:space="0" w:color="auto"/>
              <w:right w:val="nil"/>
            </w:tcBorders>
            <w:hideMark/>
          </w:tcPr>
          <w:p w14:paraId="6E46FD88" w14:textId="68F0D90D" w:rsidR="000730C1" w:rsidRPr="00F55816" w:rsidRDefault="00F02F19" w:rsidP="0044566A">
            <w:pPr>
              <w:rPr>
                <w:rFonts w:ascii="Corbel" w:hAnsi="Corbel" w:cs="Arial"/>
                <w:sz w:val="16"/>
                <w:szCs w:val="16"/>
              </w:rPr>
            </w:pPr>
            <w:r w:rsidRPr="00F55816">
              <w:rPr>
                <w:rFonts w:ascii="Corbel" w:hAnsi="Corbel" w:cs="Arial"/>
                <w:sz w:val="16"/>
                <w:szCs w:val="16"/>
              </w:rPr>
              <w:t>C</w:t>
            </w:r>
            <w:r w:rsidR="000730C1" w:rsidRPr="00F55816">
              <w:rPr>
                <w:rFonts w:ascii="Corbel" w:hAnsi="Corbel" w:cs="Arial"/>
                <w:sz w:val="16"/>
                <w:szCs w:val="16"/>
              </w:rPr>
              <w:t xml:space="preserve">urrent </w:t>
            </w:r>
            <w:r w:rsidRPr="00F55816">
              <w:rPr>
                <w:rFonts w:ascii="Corbel" w:hAnsi="Corbel" w:cs="Arial"/>
                <w:sz w:val="16"/>
                <w:szCs w:val="16"/>
              </w:rPr>
              <w:t>R</w:t>
            </w:r>
            <w:r w:rsidR="000730C1" w:rsidRPr="00F55816">
              <w:rPr>
                <w:rFonts w:ascii="Corbel" w:hAnsi="Corbel" w:cs="Arial"/>
                <w:sz w:val="16"/>
                <w:szCs w:val="16"/>
              </w:rPr>
              <w:t>atio (x)</w:t>
            </w:r>
          </w:p>
        </w:tc>
        <w:tc>
          <w:tcPr>
            <w:tcW w:w="8026" w:type="dxa"/>
            <w:tcBorders>
              <w:top w:val="single" w:sz="4" w:space="0" w:color="auto"/>
              <w:left w:val="nil"/>
              <w:bottom w:val="single" w:sz="4" w:space="0" w:color="auto"/>
              <w:right w:val="nil"/>
            </w:tcBorders>
            <w:hideMark/>
          </w:tcPr>
          <w:p w14:paraId="34792C7D" w14:textId="490082FC" w:rsidR="000730C1" w:rsidRPr="00F55816" w:rsidRDefault="00F02F19" w:rsidP="00F55816">
            <w:pPr>
              <w:rPr>
                <w:rFonts w:ascii="Corbel" w:hAnsi="Corbel" w:cs="Arial"/>
                <w:sz w:val="16"/>
                <w:szCs w:val="16"/>
              </w:rPr>
            </w:pPr>
            <w:r w:rsidRPr="00F55816">
              <w:rPr>
                <w:rFonts w:ascii="Corbel" w:hAnsi="Corbel" w:cs="Arial"/>
                <w:sz w:val="16"/>
                <w:szCs w:val="16"/>
              </w:rPr>
              <w:t>C</w:t>
            </w:r>
            <w:r w:rsidR="000730C1" w:rsidRPr="00F55816">
              <w:rPr>
                <w:rFonts w:ascii="Corbel" w:hAnsi="Corbel" w:cs="Arial"/>
                <w:sz w:val="16"/>
                <w:szCs w:val="16"/>
              </w:rPr>
              <w:t xml:space="preserve">urrent </w:t>
            </w:r>
            <w:r w:rsidRPr="00F55816">
              <w:rPr>
                <w:rFonts w:ascii="Corbel" w:hAnsi="Corbel" w:cs="Arial"/>
                <w:sz w:val="16"/>
                <w:szCs w:val="16"/>
              </w:rPr>
              <w:t>A</w:t>
            </w:r>
            <w:r w:rsidR="000730C1" w:rsidRPr="00F55816">
              <w:rPr>
                <w:rFonts w:ascii="Corbel" w:hAnsi="Corbel" w:cs="Arial"/>
                <w:sz w:val="16"/>
                <w:szCs w:val="16"/>
              </w:rPr>
              <w:t xml:space="preserve">ssets </w:t>
            </w:r>
            <w:r w:rsidRPr="00F55816">
              <w:rPr>
                <w:rFonts w:ascii="Corbel" w:hAnsi="Corbel" w:cs="Arial"/>
                <w:sz w:val="16"/>
                <w:szCs w:val="16"/>
              </w:rPr>
              <w:t>D</w:t>
            </w:r>
            <w:r w:rsidR="000730C1" w:rsidRPr="00F55816">
              <w:rPr>
                <w:rFonts w:ascii="Corbel" w:hAnsi="Corbel" w:cs="Arial"/>
                <w:sz w:val="16"/>
                <w:szCs w:val="16"/>
              </w:rPr>
              <w:t xml:space="preserve">ivided by </w:t>
            </w:r>
            <w:r w:rsidRPr="00F55816">
              <w:rPr>
                <w:rFonts w:ascii="Corbel" w:hAnsi="Corbel" w:cs="Arial"/>
                <w:sz w:val="16"/>
                <w:szCs w:val="16"/>
              </w:rPr>
              <w:t>C</w:t>
            </w:r>
            <w:r w:rsidR="000730C1" w:rsidRPr="00F55816">
              <w:rPr>
                <w:rFonts w:ascii="Corbel" w:hAnsi="Corbel" w:cs="Arial"/>
                <w:sz w:val="16"/>
                <w:szCs w:val="16"/>
              </w:rPr>
              <w:t xml:space="preserve">urrent </w:t>
            </w:r>
            <w:r w:rsidRPr="00F55816">
              <w:rPr>
                <w:rFonts w:ascii="Corbel" w:hAnsi="Corbel" w:cs="Arial"/>
                <w:sz w:val="16"/>
                <w:szCs w:val="16"/>
              </w:rPr>
              <w:t>L</w:t>
            </w:r>
            <w:r w:rsidR="000730C1" w:rsidRPr="00F55816">
              <w:rPr>
                <w:rFonts w:ascii="Corbel" w:hAnsi="Corbel" w:cs="Arial"/>
                <w:sz w:val="16"/>
                <w:szCs w:val="16"/>
              </w:rPr>
              <w:t>iabilities</w:t>
            </w:r>
          </w:p>
        </w:tc>
      </w:tr>
      <w:tr w:rsidR="000730C1" w:rsidRPr="00F55816" w14:paraId="209919ED" w14:textId="77777777" w:rsidTr="00622656">
        <w:tc>
          <w:tcPr>
            <w:tcW w:w="3134" w:type="dxa"/>
            <w:tcBorders>
              <w:top w:val="single" w:sz="4" w:space="0" w:color="auto"/>
              <w:left w:val="nil"/>
              <w:bottom w:val="single" w:sz="4" w:space="0" w:color="auto"/>
              <w:right w:val="nil"/>
            </w:tcBorders>
            <w:hideMark/>
          </w:tcPr>
          <w:p w14:paraId="20F9E52F" w14:textId="04D72086" w:rsidR="000730C1" w:rsidRPr="00F55816" w:rsidRDefault="00F02F19" w:rsidP="0044566A">
            <w:pPr>
              <w:rPr>
                <w:rFonts w:ascii="Corbel" w:hAnsi="Corbel" w:cs="Arial"/>
                <w:sz w:val="16"/>
                <w:szCs w:val="16"/>
              </w:rPr>
            </w:pPr>
            <w:r w:rsidRPr="00F55816">
              <w:rPr>
                <w:rFonts w:ascii="Corbel" w:hAnsi="Corbel" w:cs="Arial"/>
                <w:sz w:val="16"/>
                <w:szCs w:val="16"/>
              </w:rPr>
              <w:t>R</w:t>
            </w:r>
            <w:r w:rsidR="000730C1" w:rsidRPr="00F55816">
              <w:rPr>
                <w:rFonts w:ascii="Corbel" w:hAnsi="Corbel" w:cs="Arial"/>
                <w:sz w:val="16"/>
                <w:szCs w:val="16"/>
              </w:rPr>
              <w:t xml:space="preserve">atio of </w:t>
            </w:r>
            <w:r w:rsidRPr="00F55816">
              <w:rPr>
                <w:rFonts w:ascii="Corbel" w:hAnsi="Corbel" w:cs="Arial"/>
                <w:sz w:val="16"/>
                <w:szCs w:val="16"/>
              </w:rPr>
              <w:t>D</w:t>
            </w:r>
            <w:r w:rsidR="000730C1" w:rsidRPr="00F55816">
              <w:rPr>
                <w:rFonts w:ascii="Corbel" w:hAnsi="Corbel" w:cs="Arial"/>
                <w:sz w:val="16"/>
                <w:szCs w:val="16"/>
              </w:rPr>
              <w:t xml:space="preserve">ebt to </w:t>
            </w:r>
            <w:r w:rsidRPr="00F55816">
              <w:rPr>
                <w:rFonts w:ascii="Corbel" w:hAnsi="Corbel" w:cs="Arial"/>
                <w:sz w:val="16"/>
                <w:szCs w:val="16"/>
              </w:rPr>
              <w:t>T</w:t>
            </w:r>
            <w:r w:rsidR="000730C1" w:rsidRPr="00F55816">
              <w:rPr>
                <w:rFonts w:ascii="Corbel" w:hAnsi="Corbel" w:cs="Arial"/>
                <w:sz w:val="16"/>
                <w:szCs w:val="16"/>
              </w:rPr>
              <w:t xml:space="preserve">otal </w:t>
            </w:r>
            <w:r w:rsidRPr="00F55816">
              <w:rPr>
                <w:rFonts w:ascii="Corbel" w:hAnsi="Corbel" w:cs="Arial"/>
                <w:sz w:val="16"/>
                <w:szCs w:val="16"/>
              </w:rPr>
              <w:t>C</w:t>
            </w:r>
            <w:r w:rsidR="000730C1" w:rsidRPr="00F55816">
              <w:rPr>
                <w:rFonts w:ascii="Corbel" w:hAnsi="Corbel" w:cs="Arial"/>
                <w:sz w:val="16"/>
                <w:szCs w:val="16"/>
              </w:rPr>
              <w:t>apitalization (%)</w:t>
            </w:r>
          </w:p>
        </w:tc>
        <w:tc>
          <w:tcPr>
            <w:tcW w:w="8026" w:type="dxa"/>
            <w:tcBorders>
              <w:top w:val="single" w:sz="4" w:space="0" w:color="auto"/>
              <w:left w:val="nil"/>
              <w:bottom w:val="single" w:sz="4" w:space="0" w:color="auto"/>
              <w:right w:val="nil"/>
            </w:tcBorders>
            <w:hideMark/>
          </w:tcPr>
          <w:p w14:paraId="2DDA0907" w14:textId="7B37A868" w:rsidR="000730C1" w:rsidRPr="00F55816" w:rsidRDefault="00F02F19" w:rsidP="00F55816">
            <w:pPr>
              <w:rPr>
                <w:rFonts w:ascii="Corbel" w:hAnsi="Corbel" w:cs="Arial"/>
                <w:sz w:val="16"/>
                <w:szCs w:val="16"/>
              </w:rPr>
            </w:pPr>
            <w:r w:rsidRPr="00F55816">
              <w:rPr>
                <w:rFonts w:ascii="Corbel" w:hAnsi="Corbel" w:cs="Arial"/>
                <w:sz w:val="16"/>
                <w:szCs w:val="16"/>
              </w:rPr>
              <w:t>T</w:t>
            </w:r>
            <w:r w:rsidR="000730C1" w:rsidRPr="00F55816">
              <w:rPr>
                <w:rFonts w:ascii="Corbel" w:hAnsi="Corbel" w:cs="Arial"/>
                <w:sz w:val="16"/>
                <w:szCs w:val="16"/>
              </w:rPr>
              <w:t xml:space="preserve">otal </w:t>
            </w:r>
            <w:r w:rsidRPr="00F55816">
              <w:rPr>
                <w:rFonts w:ascii="Corbel" w:hAnsi="Corbel" w:cs="Arial"/>
                <w:sz w:val="16"/>
                <w:szCs w:val="16"/>
              </w:rPr>
              <w:t>D</w:t>
            </w:r>
            <w:r w:rsidR="000730C1" w:rsidRPr="00F55816">
              <w:rPr>
                <w:rFonts w:ascii="Corbel" w:hAnsi="Corbel" w:cs="Arial"/>
                <w:sz w:val="16"/>
                <w:szCs w:val="16"/>
              </w:rPr>
              <w:t xml:space="preserve">ebt </w:t>
            </w:r>
            <w:r w:rsidRPr="00F55816">
              <w:rPr>
                <w:rFonts w:ascii="Corbel" w:hAnsi="Corbel" w:cs="Arial"/>
                <w:sz w:val="16"/>
                <w:szCs w:val="16"/>
              </w:rPr>
              <w:t>D</w:t>
            </w:r>
            <w:r w:rsidR="000730C1" w:rsidRPr="00F55816">
              <w:rPr>
                <w:rFonts w:ascii="Corbel" w:hAnsi="Corbel" w:cs="Arial"/>
                <w:sz w:val="16"/>
                <w:szCs w:val="16"/>
              </w:rPr>
              <w:t xml:space="preserve">ivided by </w:t>
            </w:r>
            <w:r w:rsidRPr="00F55816">
              <w:rPr>
                <w:rFonts w:ascii="Corbel" w:hAnsi="Corbel" w:cs="Arial"/>
                <w:sz w:val="16"/>
                <w:szCs w:val="16"/>
              </w:rPr>
              <w:t>T</w:t>
            </w:r>
            <w:r w:rsidR="000730C1" w:rsidRPr="00F55816">
              <w:rPr>
                <w:rFonts w:ascii="Corbel" w:hAnsi="Corbel" w:cs="Arial"/>
                <w:sz w:val="16"/>
                <w:szCs w:val="16"/>
              </w:rPr>
              <w:t xml:space="preserve">otal </w:t>
            </w:r>
            <w:r w:rsidRPr="00F55816">
              <w:rPr>
                <w:rFonts w:ascii="Corbel" w:hAnsi="Corbel" w:cs="Arial"/>
                <w:sz w:val="16"/>
                <w:szCs w:val="16"/>
              </w:rPr>
              <w:t>C</w:t>
            </w:r>
            <w:r w:rsidR="000730C1" w:rsidRPr="00F55816">
              <w:rPr>
                <w:rFonts w:ascii="Corbel" w:hAnsi="Corbel" w:cs="Arial"/>
                <w:sz w:val="16"/>
                <w:szCs w:val="16"/>
              </w:rPr>
              <w:t>apitalization (</w:t>
            </w:r>
            <w:r w:rsidRPr="00F55816">
              <w:rPr>
                <w:rFonts w:ascii="Corbel" w:hAnsi="Corbel" w:cs="Arial"/>
                <w:sz w:val="16"/>
                <w:szCs w:val="16"/>
              </w:rPr>
              <w:t>T</w:t>
            </w:r>
            <w:r w:rsidR="000730C1" w:rsidRPr="00F55816">
              <w:rPr>
                <w:rFonts w:ascii="Corbel" w:hAnsi="Corbel" w:cs="Arial"/>
                <w:sz w:val="16"/>
                <w:szCs w:val="16"/>
              </w:rPr>
              <w:t xml:space="preserve">otal </w:t>
            </w:r>
            <w:r w:rsidRPr="00F55816">
              <w:rPr>
                <w:rFonts w:ascii="Corbel" w:hAnsi="Corbel" w:cs="Arial"/>
                <w:sz w:val="16"/>
                <w:szCs w:val="16"/>
              </w:rPr>
              <w:t>D</w:t>
            </w:r>
            <w:r w:rsidR="000730C1" w:rsidRPr="00F55816">
              <w:rPr>
                <w:rFonts w:ascii="Corbel" w:hAnsi="Corbel" w:cs="Arial"/>
                <w:sz w:val="16"/>
                <w:szCs w:val="16"/>
              </w:rPr>
              <w:t xml:space="preserve">ebt and </w:t>
            </w:r>
            <w:r w:rsidRPr="00F55816">
              <w:rPr>
                <w:rFonts w:ascii="Corbel" w:hAnsi="Corbel" w:cs="Arial"/>
                <w:sz w:val="16"/>
                <w:szCs w:val="16"/>
              </w:rPr>
              <w:t>U</w:t>
            </w:r>
            <w:r w:rsidR="000730C1" w:rsidRPr="00F55816">
              <w:rPr>
                <w:rFonts w:ascii="Corbel" w:hAnsi="Corbel" w:cs="Arial"/>
                <w:sz w:val="16"/>
                <w:szCs w:val="16"/>
              </w:rPr>
              <w:t xml:space="preserve">nrestricted </w:t>
            </w:r>
            <w:r w:rsidRPr="00F55816">
              <w:rPr>
                <w:rFonts w:ascii="Corbel" w:hAnsi="Corbel" w:cs="Arial"/>
                <w:sz w:val="16"/>
                <w:szCs w:val="16"/>
              </w:rPr>
              <w:t>N</w:t>
            </w:r>
            <w:r w:rsidR="000730C1" w:rsidRPr="00F55816">
              <w:rPr>
                <w:rFonts w:ascii="Corbel" w:hAnsi="Corbel" w:cs="Arial"/>
                <w:sz w:val="16"/>
                <w:szCs w:val="16"/>
              </w:rPr>
              <w:t xml:space="preserve">et </w:t>
            </w:r>
            <w:r w:rsidRPr="00F55816">
              <w:rPr>
                <w:rFonts w:ascii="Corbel" w:hAnsi="Corbel" w:cs="Arial"/>
                <w:sz w:val="16"/>
                <w:szCs w:val="16"/>
              </w:rPr>
              <w:t>A</w:t>
            </w:r>
            <w:r w:rsidR="000730C1" w:rsidRPr="00F55816">
              <w:rPr>
                <w:rFonts w:ascii="Corbel" w:hAnsi="Corbel" w:cs="Arial"/>
                <w:sz w:val="16"/>
                <w:szCs w:val="16"/>
              </w:rPr>
              <w:t>ssets)</w:t>
            </w:r>
          </w:p>
        </w:tc>
      </w:tr>
      <w:tr w:rsidR="000730C1" w:rsidRPr="00F55816" w14:paraId="7C60A544" w14:textId="77777777" w:rsidTr="00622656">
        <w:tc>
          <w:tcPr>
            <w:tcW w:w="3134" w:type="dxa"/>
            <w:tcBorders>
              <w:top w:val="single" w:sz="4" w:space="0" w:color="auto"/>
              <w:left w:val="nil"/>
              <w:bottom w:val="single" w:sz="4" w:space="0" w:color="auto"/>
              <w:right w:val="nil"/>
            </w:tcBorders>
            <w:hideMark/>
          </w:tcPr>
          <w:p w14:paraId="2C845E68" w14:textId="1E3D1D64" w:rsidR="000730C1" w:rsidRPr="00F55816" w:rsidRDefault="00F02F19" w:rsidP="0044566A">
            <w:pPr>
              <w:rPr>
                <w:rFonts w:ascii="Corbel" w:hAnsi="Corbel" w:cs="Arial"/>
                <w:sz w:val="16"/>
                <w:szCs w:val="16"/>
              </w:rPr>
            </w:pPr>
            <w:r w:rsidRPr="00F55816">
              <w:rPr>
                <w:rFonts w:ascii="Corbel" w:hAnsi="Corbel" w:cs="Arial"/>
                <w:sz w:val="16"/>
                <w:szCs w:val="16"/>
              </w:rPr>
              <w:t>R</w:t>
            </w:r>
            <w:r w:rsidR="000730C1" w:rsidRPr="00F55816">
              <w:rPr>
                <w:rFonts w:ascii="Corbel" w:hAnsi="Corbel" w:cs="Arial"/>
                <w:sz w:val="16"/>
                <w:szCs w:val="16"/>
              </w:rPr>
              <w:t xml:space="preserve">atio of </w:t>
            </w:r>
            <w:r w:rsidRPr="00F55816">
              <w:rPr>
                <w:rFonts w:ascii="Corbel" w:hAnsi="Corbel" w:cs="Arial"/>
                <w:sz w:val="16"/>
                <w:szCs w:val="16"/>
              </w:rPr>
              <w:t>C</w:t>
            </w:r>
            <w:r w:rsidR="000730C1" w:rsidRPr="00F55816">
              <w:rPr>
                <w:rFonts w:ascii="Corbel" w:hAnsi="Corbel" w:cs="Arial"/>
                <w:sz w:val="16"/>
                <w:szCs w:val="16"/>
              </w:rPr>
              <w:t xml:space="preserve">ash </w:t>
            </w:r>
            <w:r w:rsidRPr="00F55816">
              <w:rPr>
                <w:rFonts w:ascii="Corbel" w:hAnsi="Corbel" w:cs="Arial"/>
                <w:sz w:val="16"/>
                <w:szCs w:val="16"/>
              </w:rPr>
              <w:t>F</w:t>
            </w:r>
            <w:r w:rsidR="000730C1" w:rsidRPr="00F55816">
              <w:rPr>
                <w:rFonts w:ascii="Corbel" w:hAnsi="Corbel" w:cs="Arial"/>
                <w:sz w:val="16"/>
                <w:szCs w:val="16"/>
              </w:rPr>
              <w:t xml:space="preserve">low to </w:t>
            </w:r>
            <w:r w:rsidRPr="00F55816">
              <w:rPr>
                <w:rFonts w:ascii="Corbel" w:hAnsi="Corbel" w:cs="Arial"/>
                <w:sz w:val="16"/>
                <w:szCs w:val="16"/>
              </w:rPr>
              <w:t>D</w:t>
            </w:r>
            <w:r w:rsidR="000730C1" w:rsidRPr="00F55816">
              <w:rPr>
                <w:rFonts w:ascii="Corbel" w:hAnsi="Corbel" w:cs="Arial"/>
                <w:sz w:val="16"/>
                <w:szCs w:val="16"/>
              </w:rPr>
              <w:t>ebt (%)</w:t>
            </w:r>
          </w:p>
        </w:tc>
        <w:tc>
          <w:tcPr>
            <w:tcW w:w="8026" w:type="dxa"/>
            <w:tcBorders>
              <w:top w:val="single" w:sz="4" w:space="0" w:color="auto"/>
              <w:left w:val="nil"/>
              <w:bottom w:val="single" w:sz="4" w:space="0" w:color="auto"/>
              <w:right w:val="nil"/>
            </w:tcBorders>
            <w:hideMark/>
          </w:tcPr>
          <w:p w14:paraId="6D26964B" w14:textId="4F14AC2F" w:rsidR="000730C1" w:rsidRPr="00F55816" w:rsidRDefault="00F02F19" w:rsidP="00F55816">
            <w:pPr>
              <w:rPr>
                <w:rFonts w:ascii="Corbel" w:hAnsi="Corbel" w:cs="Arial"/>
                <w:sz w:val="16"/>
                <w:szCs w:val="16"/>
              </w:rPr>
            </w:pPr>
            <w:r w:rsidRPr="00F55816">
              <w:rPr>
                <w:rFonts w:ascii="Corbel" w:hAnsi="Corbel" w:cs="Arial"/>
                <w:sz w:val="16"/>
                <w:szCs w:val="16"/>
              </w:rPr>
              <w:t>C</w:t>
            </w:r>
            <w:r w:rsidR="000730C1" w:rsidRPr="00F55816">
              <w:rPr>
                <w:rFonts w:ascii="Corbel" w:hAnsi="Corbel" w:cs="Arial"/>
                <w:sz w:val="16"/>
                <w:szCs w:val="16"/>
              </w:rPr>
              <w:t xml:space="preserve">ash </w:t>
            </w:r>
            <w:r w:rsidRPr="00F55816">
              <w:rPr>
                <w:rFonts w:ascii="Corbel" w:hAnsi="Corbel" w:cs="Arial"/>
                <w:sz w:val="16"/>
                <w:szCs w:val="16"/>
              </w:rPr>
              <w:t>F</w:t>
            </w:r>
            <w:r w:rsidR="000730C1" w:rsidRPr="00F55816">
              <w:rPr>
                <w:rFonts w:ascii="Corbel" w:hAnsi="Corbel" w:cs="Arial"/>
                <w:sz w:val="16"/>
                <w:szCs w:val="16"/>
              </w:rPr>
              <w:t xml:space="preserve">low from </w:t>
            </w:r>
            <w:r w:rsidRPr="00F55816">
              <w:rPr>
                <w:rFonts w:ascii="Corbel" w:hAnsi="Corbel" w:cs="Arial"/>
                <w:sz w:val="16"/>
                <w:szCs w:val="16"/>
              </w:rPr>
              <w:t>O</w:t>
            </w:r>
            <w:r w:rsidR="000730C1" w:rsidRPr="00F55816">
              <w:rPr>
                <w:rFonts w:ascii="Corbel" w:hAnsi="Corbel" w:cs="Arial"/>
                <w:sz w:val="16"/>
                <w:szCs w:val="16"/>
              </w:rPr>
              <w:t xml:space="preserve">perating </w:t>
            </w:r>
            <w:r w:rsidRPr="00F55816">
              <w:rPr>
                <w:rFonts w:ascii="Corbel" w:hAnsi="Corbel" w:cs="Arial"/>
                <w:sz w:val="16"/>
                <w:szCs w:val="16"/>
              </w:rPr>
              <w:t>A</w:t>
            </w:r>
            <w:r w:rsidR="000730C1" w:rsidRPr="00F55816">
              <w:rPr>
                <w:rFonts w:ascii="Corbel" w:hAnsi="Corbel" w:cs="Arial"/>
                <w:sz w:val="16"/>
                <w:szCs w:val="16"/>
              </w:rPr>
              <w:t xml:space="preserve">ctivities </w:t>
            </w:r>
            <w:r w:rsidRPr="00F55816">
              <w:rPr>
                <w:rFonts w:ascii="Corbel" w:hAnsi="Corbel" w:cs="Arial"/>
                <w:sz w:val="16"/>
                <w:szCs w:val="16"/>
              </w:rPr>
              <w:t>D</w:t>
            </w:r>
            <w:r w:rsidR="000730C1" w:rsidRPr="00F55816">
              <w:rPr>
                <w:rFonts w:ascii="Corbel" w:hAnsi="Corbel" w:cs="Arial"/>
                <w:sz w:val="16"/>
                <w:szCs w:val="16"/>
              </w:rPr>
              <w:t xml:space="preserve">ivided by </w:t>
            </w:r>
            <w:r w:rsidRPr="00F55816">
              <w:rPr>
                <w:rFonts w:ascii="Corbel" w:hAnsi="Corbel" w:cs="Arial"/>
                <w:sz w:val="16"/>
                <w:szCs w:val="16"/>
              </w:rPr>
              <w:t>T</w:t>
            </w:r>
            <w:r w:rsidR="000730C1" w:rsidRPr="00F55816">
              <w:rPr>
                <w:rFonts w:ascii="Corbel" w:hAnsi="Corbel" w:cs="Arial"/>
                <w:sz w:val="16"/>
                <w:szCs w:val="16"/>
              </w:rPr>
              <w:t xml:space="preserve">otal </w:t>
            </w:r>
            <w:r w:rsidRPr="00F55816">
              <w:rPr>
                <w:rFonts w:ascii="Corbel" w:hAnsi="Corbel" w:cs="Arial"/>
                <w:sz w:val="16"/>
                <w:szCs w:val="16"/>
              </w:rPr>
              <w:t>D</w:t>
            </w:r>
            <w:r w:rsidR="000730C1" w:rsidRPr="00F55816">
              <w:rPr>
                <w:rFonts w:ascii="Corbel" w:hAnsi="Corbel" w:cs="Arial"/>
                <w:sz w:val="16"/>
                <w:szCs w:val="16"/>
              </w:rPr>
              <w:t>ebt</w:t>
            </w:r>
          </w:p>
        </w:tc>
      </w:tr>
      <w:tr w:rsidR="000730C1" w:rsidRPr="00F55816" w14:paraId="58584A96" w14:textId="77777777" w:rsidTr="00622656">
        <w:tc>
          <w:tcPr>
            <w:tcW w:w="3134" w:type="dxa"/>
            <w:tcBorders>
              <w:top w:val="single" w:sz="4" w:space="0" w:color="auto"/>
              <w:left w:val="nil"/>
              <w:bottom w:val="single" w:sz="4" w:space="0" w:color="auto"/>
              <w:right w:val="nil"/>
            </w:tcBorders>
            <w:hideMark/>
          </w:tcPr>
          <w:p w14:paraId="22B122CF" w14:textId="429E0849" w:rsidR="000730C1" w:rsidRPr="00F55816" w:rsidRDefault="00F02F19" w:rsidP="0044566A">
            <w:pPr>
              <w:rPr>
                <w:rFonts w:ascii="Corbel" w:hAnsi="Corbel" w:cs="Arial"/>
                <w:sz w:val="16"/>
                <w:szCs w:val="16"/>
              </w:rPr>
            </w:pPr>
            <w:r w:rsidRPr="00F55816">
              <w:rPr>
                <w:rFonts w:ascii="Corbel" w:hAnsi="Corbel" w:cs="Arial"/>
                <w:sz w:val="16"/>
                <w:szCs w:val="16"/>
              </w:rPr>
              <w:t>U</w:t>
            </w:r>
            <w:r w:rsidR="000730C1" w:rsidRPr="00F55816">
              <w:rPr>
                <w:rFonts w:ascii="Corbel" w:hAnsi="Corbel" w:cs="Arial"/>
                <w:sz w:val="16"/>
                <w:szCs w:val="16"/>
              </w:rPr>
              <w:t xml:space="preserve">nrestricted </w:t>
            </w:r>
            <w:r w:rsidRPr="00F55816">
              <w:rPr>
                <w:rFonts w:ascii="Corbel" w:hAnsi="Corbel" w:cs="Arial"/>
                <w:sz w:val="16"/>
                <w:szCs w:val="16"/>
              </w:rPr>
              <w:t>N</w:t>
            </w:r>
            <w:r w:rsidR="000730C1" w:rsidRPr="00F55816">
              <w:rPr>
                <w:rFonts w:ascii="Corbel" w:hAnsi="Corbel" w:cs="Arial"/>
                <w:sz w:val="16"/>
                <w:szCs w:val="16"/>
              </w:rPr>
              <w:t xml:space="preserve">et </w:t>
            </w:r>
            <w:r w:rsidRPr="00F55816">
              <w:rPr>
                <w:rFonts w:ascii="Corbel" w:hAnsi="Corbel" w:cs="Arial"/>
                <w:sz w:val="16"/>
                <w:szCs w:val="16"/>
              </w:rPr>
              <w:t>A</w:t>
            </w:r>
            <w:r w:rsidR="000730C1" w:rsidRPr="00F55816">
              <w:rPr>
                <w:rFonts w:ascii="Corbel" w:hAnsi="Corbel" w:cs="Arial"/>
                <w:sz w:val="16"/>
                <w:szCs w:val="16"/>
              </w:rPr>
              <w:t>ssets ($ in millions)</w:t>
            </w:r>
          </w:p>
        </w:tc>
        <w:tc>
          <w:tcPr>
            <w:tcW w:w="8026" w:type="dxa"/>
            <w:tcBorders>
              <w:top w:val="single" w:sz="4" w:space="0" w:color="auto"/>
              <w:left w:val="nil"/>
              <w:bottom w:val="single" w:sz="4" w:space="0" w:color="auto"/>
              <w:right w:val="nil"/>
            </w:tcBorders>
            <w:hideMark/>
          </w:tcPr>
          <w:p w14:paraId="0091117B" w14:textId="25160D6B" w:rsidR="000730C1" w:rsidRPr="00F55816" w:rsidRDefault="00F02F19" w:rsidP="00F55816">
            <w:pPr>
              <w:rPr>
                <w:rFonts w:ascii="Corbel" w:hAnsi="Corbel" w:cs="Arial"/>
                <w:sz w:val="16"/>
                <w:szCs w:val="16"/>
              </w:rPr>
            </w:pPr>
            <w:r w:rsidRPr="00F55816">
              <w:rPr>
                <w:rFonts w:ascii="Corbel" w:hAnsi="Corbel" w:cs="Arial"/>
                <w:sz w:val="16"/>
                <w:szCs w:val="16"/>
              </w:rPr>
              <w:t>T</w:t>
            </w:r>
            <w:r w:rsidR="000730C1" w:rsidRPr="00F55816">
              <w:rPr>
                <w:rFonts w:ascii="Corbel" w:hAnsi="Corbel" w:cs="Arial"/>
                <w:sz w:val="16"/>
                <w:szCs w:val="16"/>
              </w:rPr>
              <w:t xml:space="preserve">otal </w:t>
            </w:r>
            <w:r w:rsidRPr="00F55816">
              <w:rPr>
                <w:rFonts w:ascii="Corbel" w:hAnsi="Corbel" w:cs="Arial"/>
                <w:sz w:val="16"/>
                <w:szCs w:val="16"/>
              </w:rPr>
              <w:t>U</w:t>
            </w:r>
            <w:r w:rsidR="000730C1" w:rsidRPr="00F55816">
              <w:rPr>
                <w:rFonts w:ascii="Corbel" w:hAnsi="Corbel" w:cs="Arial"/>
                <w:sz w:val="16"/>
                <w:szCs w:val="16"/>
              </w:rPr>
              <w:t xml:space="preserve">nrestricted </w:t>
            </w:r>
            <w:r w:rsidRPr="00F55816">
              <w:rPr>
                <w:rFonts w:ascii="Corbel" w:hAnsi="Corbel" w:cs="Arial"/>
                <w:sz w:val="16"/>
                <w:szCs w:val="16"/>
              </w:rPr>
              <w:t>N</w:t>
            </w:r>
            <w:r w:rsidR="000730C1" w:rsidRPr="00F55816">
              <w:rPr>
                <w:rFonts w:ascii="Corbel" w:hAnsi="Corbel" w:cs="Arial"/>
                <w:sz w:val="16"/>
                <w:szCs w:val="16"/>
              </w:rPr>
              <w:t xml:space="preserve">et </w:t>
            </w:r>
            <w:r w:rsidRPr="00F55816">
              <w:rPr>
                <w:rFonts w:ascii="Corbel" w:hAnsi="Corbel" w:cs="Arial"/>
                <w:sz w:val="16"/>
                <w:szCs w:val="16"/>
              </w:rPr>
              <w:t>A</w:t>
            </w:r>
            <w:r w:rsidR="000730C1" w:rsidRPr="00F55816">
              <w:rPr>
                <w:rFonts w:ascii="Corbel" w:hAnsi="Corbel" w:cs="Arial"/>
                <w:sz w:val="16"/>
                <w:szCs w:val="16"/>
              </w:rPr>
              <w:t>ssets</w:t>
            </w:r>
          </w:p>
        </w:tc>
      </w:tr>
      <w:tr w:rsidR="000730C1" w:rsidRPr="00F55816" w14:paraId="71127F3E" w14:textId="77777777" w:rsidTr="00622656">
        <w:tc>
          <w:tcPr>
            <w:tcW w:w="3134" w:type="dxa"/>
            <w:tcBorders>
              <w:top w:val="single" w:sz="4" w:space="0" w:color="auto"/>
              <w:left w:val="nil"/>
              <w:bottom w:val="single" w:sz="4" w:space="0" w:color="auto"/>
              <w:right w:val="nil"/>
            </w:tcBorders>
            <w:hideMark/>
          </w:tcPr>
          <w:p w14:paraId="4E325175" w14:textId="2C2A4850" w:rsidR="000730C1" w:rsidRPr="00F55816" w:rsidRDefault="00F02F19" w:rsidP="0044566A">
            <w:pPr>
              <w:rPr>
                <w:rFonts w:ascii="Corbel" w:hAnsi="Corbel" w:cs="Arial"/>
                <w:sz w:val="16"/>
                <w:szCs w:val="16"/>
              </w:rPr>
            </w:pPr>
            <w:r w:rsidRPr="00F55816">
              <w:rPr>
                <w:rFonts w:ascii="Corbel" w:hAnsi="Corbel" w:cs="Arial"/>
                <w:sz w:val="16"/>
                <w:szCs w:val="16"/>
              </w:rPr>
              <w:t>T</w:t>
            </w:r>
            <w:r w:rsidR="000730C1" w:rsidRPr="00F55816">
              <w:rPr>
                <w:rFonts w:ascii="Corbel" w:hAnsi="Corbel" w:cs="Arial"/>
                <w:sz w:val="16"/>
                <w:szCs w:val="16"/>
              </w:rPr>
              <w:t xml:space="preserve">otal </w:t>
            </w:r>
            <w:r w:rsidRPr="00F55816">
              <w:rPr>
                <w:rFonts w:ascii="Corbel" w:hAnsi="Corbel" w:cs="Arial"/>
                <w:sz w:val="16"/>
                <w:szCs w:val="16"/>
              </w:rPr>
              <w:t>N</w:t>
            </w:r>
            <w:r w:rsidR="000730C1" w:rsidRPr="00F55816">
              <w:rPr>
                <w:rFonts w:ascii="Corbel" w:hAnsi="Corbel" w:cs="Arial"/>
                <w:sz w:val="16"/>
                <w:szCs w:val="16"/>
              </w:rPr>
              <w:t xml:space="preserve">et </w:t>
            </w:r>
            <w:r w:rsidRPr="00F55816">
              <w:rPr>
                <w:rFonts w:ascii="Corbel" w:hAnsi="Corbel" w:cs="Arial"/>
                <w:sz w:val="16"/>
                <w:szCs w:val="16"/>
              </w:rPr>
              <w:t>A</w:t>
            </w:r>
            <w:r w:rsidR="000730C1" w:rsidRPr="00F55816">
              <w:rPr>
                <w:rFonts w:ascii="Corbel" w:hAnsi="Corbel" w:cs="Arial"/>
                <w:sz w:val="16"/>
                <w:szCs w:val="16"/>
              </w:rPr>
              <w:t>ssets ($ in millions)</w:t>
            </w:r>
          </w:p>
        </w:tc>
        <w:tc>
          <w:tcPr>
            <w:tcW w:w="8026" w:type="dxa"/>
            <w:tcBorders>
              <w:top w:val="single" w:sz="4" w:space="0" w:color="auto"/>
              <w:left w:val="nil"/>
              <w:bottom w:val="single" w:sz="4" w:space="0" w:color="auto"/>
              <w:right w:val="nil"/>
            </w:tcBorders>
            <w:hideMark/>
          </w:tcPr>
          <w:p w14:paraId="7B6BC932" w14:textId="0B9C7FC0" w:rsidR="000730C1" w:rsidRPr="00F55816" w:rsidRDefault="00F02F19" w:rsidP="00F55816">
            <w:pPr>
              <w:rPr>
                <w:rFonts w:ascii="Corbel" w:hAnsi="Corbel" w:cs="Arial"/>
                <w:sz w:val="16"/>
                <w:szCs w:val="16"/>
              </w:rPr>
            </w:pPr>
            <w:r w:rsidRPr="00F55816">
              <w:rPr>
                <w:rFonts w:ascii="Corbel" w:hAnsi="Corbel" w:cs="Arial"/>
                <w:sz w:val="16"/>
                <w:szCs w:val="16"/>
              </w:rPr>
              <w:t>T</w:t>
            </w:r>
            <w:r w:rsidR="000730C1" w:rsidRPr="00F55816">
              <w:rPr>
                <w:rFonts w:ascii="Corbel" w:hAnsi="Corbel" w:cs="Arial"/>
                <w:sz w:val="16"/>
                <w:szCs w:val="16"/>
              </w:rPr>
              <w:t xml:space="preserve">otal </w:t>
            </w:r>
            <w:r w:rsidRPr="00F55816">
              <w:rPr>
                <w:rFonts w:ascii="Corbel" w:hAnsi="Corbel" w:cs="Arial"/>
                <w:sz w:val="16"/>
                <w:szCs w:val="16"/>
              </w:rPr>
              <w:t>N</w:t>
            </w:r>
            <w:r w:rsidR="000730C1" w:rsidRPr="00F55816">
              <w:rPr>
                <w:rFonts w:ascii="Corbel" w:hAnsi="Corbel" w:cs="Arial"/>
                <w:sz w:val="16"/>
                <w:szCs w:val="16"/>
              </w:rPr>
              <w:t xml:space="preserve">et </w:t>
            </w:r>
            <w:r w:rsidRPr="00F55816">
              <w:rPr>
                <w:rFonts w:ascii="Corbel" w:hAnsi="Corbel" w:cs="Arial"/>
                <w:sz w:val="16"/>
                <w:szCs w:val="16"/>
              </w:rPr>
              <w:t>A</w:t>
            </w:r>
            <w:r w:rsidR="000730C1" w:rsidRPr="00F55816">
              <w:rPr>
                <w:rFonts w:ascii="Corbel" w:hAnsi="Corbel" w:cs="Arial"/>
                <w:sz w:val="16"/>
                <w:szCs w:val="16"/>
              </w:rPr>
              <w:t>ssets</w:t>
            </w:r>
          </w:p>
        </w:tc>
      </w:tr>
    </w:tbl>
    <w:p w14:paraId="08F5F7CC" w14:textId="77777777" w:rsidR="00F02F19" w:rsidRPr="00314411" w:rsidRDefault="00F02F19" w:rsidP="00ED2BFB">
      <w:pPr>
        <w:pStyle w:val="BodyText"/>
      </w:pPr>
    </w:p>
    <w:p w14:paraId="339A72E9" w14:textId="7D7A4997" w:rsidR="000D4777" w:rsidRPr="00314411" w:rsidRDefault="00A72E91" w:rsidP="00ED2BFB">
      <w:pPr>
        <w:pStyle w:val="Heading2"/>
      </w:pPr>
      <w:bookmarkStart w:id="5" w:name="_Toc80130002"/>
      <w:r>
        <w:t xml:space="preserve">1. </w:t>
      </w:r>
      <w:r w:rsidR="00F02F19" w:rsidRPr="00314411">
        <w:t>Revenue</w:t>
      </w:r>
      <w:bookmarkEnd w:id="5"/>
    </w:p>
    <w:p w14:paraId="5B1553D4" w14:textId="3D05E8BD" w:rsidR="000D4777" w:rsidRPr="00314411" w:rsidRDefault="00F02F19" w:rsidP="00ED2BFB">
      <w:pPr>
        <w:pStyle w:val="BodyText"/>
      </w:pPr>
      <w:r w:rsidRPr="00314411">
        <w:t>We analyzed the revenue forecast within</w:t>
      </w:r>
      <w:r w:rsidR="0091231F" w:rsidRPr="00314411">
        <w:t xml:space="preserve"> the </w:t>
      </w:r>
      <w:r w:rsidRPr="00314411">
        <w:t>Projections. Revenue for</w:t>
      </w:r>
      <w:r w:rsidR="0091231F" w:rsidRPr="00314411">
        <w:t xml:space="preserve"> the </w:t>
      </w:r>
      <w:r w:rsidRPr="00314411">
        <w:t>Applicant includes net patient service revenue ("NPSR") and other revenue.</w:t>
      </w:r>
    </w:p>
    <w:p w14:paraId="7DCD2072" w14:textId="7CB634D4" w:rsidR="000D4777" w:rsidRPr="00314411" w:rsidRDefault="00F02F19" w:rsidP="00ED2BFB">
      <w:pPr>
        <w:pStyle w:val="BodyText"/>
      </w:pPr>
      <w:r w:rsidRPr="00314411">
        <w:t>Approximately 91.0 percent of revenue is derived from net patient service revenue. NPSR is projected to grow 16.4 percent in FY 2021. Thereafter, NPSR is projected to grow bet ween 2.7 percent and 4.5 percent annually over</w:t>
      </w:r>
      <w:r w:rsidR="0091231F" w:rsidRPr="00314411">
        <w:t xml:space="preserve"> the </w:t>
      </w:r>
      <w:r w:rsidRPr="00314411">
        <w:t>projection period which is within range of historical growth of 6.9 percent in FY 2017, 7.6 percent in FY 2018, 4.0 percent in FY 2019, and 0.8 percent in FY 2020.</w:t>
      </w:r>
      <w:r w:rsidR="00622656">
        <w:rPr>
          <w:rStyle w:val="FootnoteReference"/>
          <w:rFonts w:cs="Arial"/>
        </w:rPr>
        <w:footnoteReference w:id="1"/>
      </w:r>
      <w:r w:rsidRPr="00314411">
        <w:rPr>
          <w:position w:val="6"/>
        </w:rPr>
        <w:t xml:space="preserve"> </w:t>
      </w:r>
      <w:r w:rsidRPr="00314411">
        <w:t>Growth in NPSR in</w:t>
      </w:r>
      <w:r w:rsidR="0091231F" w:rsidRPr="00314411">
        <w:t xml:space="preserve"> the </w:t>
      </w:r>
      <w:r w:rsidRPr="00314411">
        <w:t>Projections is based on the following:</w:t>
      </w:r>
    </w:p>
    <w:p w14:paraId="75D1619C" w14:textId="4BD5C5F5" w:rsidR="00387D6C" w:rsidRDefault="00387D6C" w:rsidP="00ED2BFB">
      <w:pPr>
        <w:pStyle w:val="BodyText"/>
      </w:pPr>
      <w:bookmarkStart w:id="6" w:name="_GoBack"/>
      <w:bookmarkEnd w:id="6"/>
    </w:p>
    <w:p w14:paraId="51263D73" w14:textId="77777777" w:rsidR="00387D6C" w:rsidRPr="00314411" w:rsidRDefault="00387D6C" w:rsidP="00ED2BFB">
      <w:pPr>
        <w:pStyle w:val="BodyText"/>
      </w:pPr>
    </w:p>
    <w:p w14:paraId="2C7BE312" w14:textId="547D50BE" w:rsidR="000D4777" w:rsidRPr="00314411" w:rsidRDefault="00F02F19" w:rsidP="00ED2BFB">
      <w:pPr>
        <w:pStyle w:val="BodyText"/>
        <w:numPr>
          <w:ilvl w:val="0"/>
          <w:numId w:val="10"/>
        </w:numPr>
      </w:pPr>
      <w:r w:rsidRPr="00314411">
        <w:rPr>
          <w:b/>
        </w:rPr>
        <w:lastRenderedPageBreak/>
        <w:t xml:space="preserve">FY 2021 </w:t>
      </w:r>
      <w:r w:rsidRPr="00314411">
        <w:t>Growth - NPSR</w:t>
      </w:r>
      <w:r w:rsidR="00A76DF1" w:rsidRPr="00314411">
        <w:t xml:space="preserve"> in </w:t>
      </w:r>
      <w:r w:rsidRPr="00314411">
        <w:t>FY 2021</w:t>
      </w:r>
      <w:r w:rsidR="00A76DF1" w:rsidRPr="00314411">
        <w:t xml:space="preserve"> is </w:t>
      </w:r>
      <w:r w:rsidRPr="00314411">
        <w:t>based upon the Board approved budget</w:t>
      </w:r>
      <w:r w:rsidR="008411CF" w:rsidRPr="00314411">
        <w:t xml:space="preserve">, </w:t>
      </w:r>
      <w:r w:rsidRPr="00314411">
        <w:t xml:space="preserve">updated </w:t>
      </w:r>
      <w:r w:rsidR="00A76DF1" w:rsidRPr="00314411">
        <w:t>with</w:t>
      </w:r>
      <w:r w:rsidRPr="00314411">
        <w:t xml:space="preserve"> actuals through April 30, 2021. As noted above, NPSR growth in IFY 2021 is 16.4 percent</w:t>
      </w:r>
      <w:r w:rsidR="008411CF" w:rsidRPr="00314411">
        <w:t xml:space="preserve">, </w:t>
      </w:r>
      <w:r w:rsidRPr="00314411">
        <w:t>which is above historic al levels. This higher level of growth reflects a recovery in volume from COVID levels, additional growth in service, and improvements in revenue cycle management.</w:t>
      </w:r>
    </w:p>
    <w:p w14:paraId="649EB1B1" w14:textId="1FB8AF39" w:rsidR="000D4777" w:rsidRPr="00314411" w:rsidRDefault="00F02F19" w:rsidP="00ED2BFB">
      <w:pPr>
        <w:pStyle w:val="BodyText"/>
        <w:numPr>
          <w:ilvl w:val="0"/>
          <w:numId w:val="10"/>
        </w:numPr>
      </w:pPr>
      <w:r w:rsidRPr="00314411">
        <w:rPr>
          <w:b/>
        </w:rPr>
        <w:t xml:space="preserve">Rate Adjustments </w:t>
      </w:r>
      <w:r w:rsidRPr="00314411">
        <w:t xml:space="preserve">- NPSR for FY 2022 through FY 2029 reflects governmental rate adjustments, non-Blue Cross commercial rate </w:t>
      </w:r>
      <w:r w:rsidR="00260CC8" w:rsidRPr="00314411">
        <w:t>adjustments</w:t>
      </w:r>
      <w:r w:rsidRPr="00314411">
        <w:t xml:space="preserve">, and Blue Cross commercial rate </w:t>
      </w:r>
      <w:r w:rsidR="00260CC8" w:rsidRPr="00314411">
        <w:t>adjustments</w:t>
      </w:r>
      <w:r w:rsidRPr="00314411">
        <w:t>. Governmental rate adjustments are 2.0 percent</w:t>
      </w:r>
      <w:r w:rsidR="00260CC8" w:rsidRPr="00314411">
        <w:t xml:space="preserve"> annually </w:t>
      </w:r>
      <w:r w:rsidRPr="00314411">
        <w:t xml:space="preserve">based on the market basket. Commercial rate adjustments range from 3.0 percent to 5.0 percent annually based on rate </w:t>
      </w:r>
      <w:r w:rsidR="00107440" w:rsidRPr="00314411">
        <w:t>negotiation</w:t>
      </w:r>
      <w:r w:rsidRPr="00314411">
        <w:t>s that are either underway or comple</w:t>
      </w:r>
      <w:r w:rsidR="00107440" w:rsidRPr="00314411">
        <w:t>t</w:t>
      </w:r>
      <w:r w:rsidRPr="00314411">
        <w:t>ed.</w:t>
      </w:r>
    </w:p>
    <w:p w14:paraId="24BD980C" w14:textId="139403A2" w:rsidR="000D4777" w:rsidRPr="00A72E91" w:rsidRDefault="00F02F19" w:rsidP="00ED2BFB">
      <w:pPr>
        <w:pStyle w:val="BodyText"/>
        <w:numPr>
          <w:ilvl w:val="0"/>
          <w:numId w:val="10"/>
        </w:numPr>
      </w:pPr>
      <w:r w:rsidRPr="00A72E91">
        <w:rPr>
          <w:b/>
          <w:bCs/>
        </w:rPr>
        <w:t xml:space="preserve">Incremental Revenue Related to </w:t>
      </w:r>
      <w:r w:rsidR="0091231F" w:rsidRPr="00A72E91">
        <w:rPr>
          <w:b/>
          <w:bCs/>
        </w:rPr>
        <w:t xml:space="preserve">the </w:t>
      </w:r>
      <w:r w:rsidRPr="00A72E91">
        <w:rPr>
          <w:b/>
          <w:bCs/>
        </w:rPr>
        <w:t>Proposed Project</w:t>
      </w:r>
      <w:r w:rsidRPr="00A72E91">
        <w:t xml:space="preserve"> - 111 addition to rate adjustments, the projected revenue also reflects incremental revenue related to the Proposed Project. Additional revenue</w:t>
      </w:r>
      <w:r w:rsidR="008411CF" w:rsidRPr="00A72E91">
        <w:t xml:space="preserve"> </w:t>
      </w:r>
      <w:r w:rsidRPr="00A72E91">
        <w:t>is projected beginning in FY 2025 through FY 2029</w:t>
      </w:r>
      <w:r w:rsidR="00993CBA">
        <w:rPr>
          <w:rStyle w:val="FootnoteReference"/>
          <w:rFonts w:cs="Arial"/>
        </w:rPr>
        <w:footnoteReference w:id="2"/>
      </w:r>
      <w:r w:rsidRPr="00A72E91">
        <w:t xml:space="preserve"> related to an</w:t>
      </w:r>
      <w:r w:rsidR="00260CC8" w:rsidRPr="00A72E91">
        <w:t xml:space="preserve"> increase </w:t>
      </w:r>
      <w:r w:rsidRPr="00A72E91">
        <w:t>in</w:t>
      </w:r>
      <w:r w:rsidR="005B5F4F" w:rsidRPr="00A72E91">
        <w:t xml:space="preserve"> </w:t>
      </w:r>
      <w:r w:rsidRPr="00A72E91">
        <w:t>procedures, particularly in gastrointestinal surgeries. Management calculated an</w:t>
      </w:r>
      <w:r w:rsidR="00260CC8" w:rsidRPr="00A72E91">
        <w:t xml:space="preserve"> increase </w:t>
      </w:r>
      <w:r w:rsidRPr="00A72E91">
        <w:t>in all procedures from a FY 2019 baseline to achieve</w:t>
      </w:r>
      <w:r w:rsidR="008411CF" w:rsidRPr="00A72E91">
        <w:t xml:space="preserve"> </w:t>
      </w:r>
      <w:r w:rsidRPr="00A72E91">
        <w:t>a breakeven level of procedures.</w:t>
      </w:r>
      <w:r w:rsidR="00993CBA">
        <w:rPr>
          <w:rStyle w:val="FootnoteReference"/>
          <w:rFonts w:cs="Arial"/>
        </w:rPr>
        <w:footnoteReference w:id="3"/>
      </w:r>
      <w:r w:rsidRPr="00A72E91">
        <w:rPr>
          <w:position w:val="6"/>
        </w:rPr>
        <w:t xml:space="preserve"> </w:t>
      </w:r>
      <w:r w:rsidRPr="00A72E91">
        <w:t>This results in an increase from 6</w:t>
      </w:r>
      <w:r w:rsidR="00993CBA" w:rsidRPr="00A72E91">
        <w:t>,</w:t>
      </w:r>
      <w:r w:rsidRPr="00A72E91">
        <w:t>627 procedures in</w:t>
      </w:r>
      <w:r w:rsidR="00640EC4" w:rsidRPr="00A72E91">
        <w:br/>
      </w:r>
      <w:r w:rsidR="00993CBA" w:rsidRPr="00A72E91">
        <w:br/>
      </w:r>
      <w:r w:rsidR="00387D6C">
        <w:br/>
      </w:r>
      <w:r w:rsidRPr="00A72E91">
        <w:lastRenderedPageBreak/>
        <w:t>FY 2019 to 7,641 procedures in FY 2025, an increase of 1,014 procedures, or growth of</w:t>
      </w:r>
      <w:r w:rsidR="00993CBA" w:rsidRPr="00A72E91">
        <w:t xml:space="preserve"> </w:t>
      </w:r>
      <w:r w:rsidRPr="00A72E91">
        <w:t>3 percent. Routine incremental growt</w:t>
      </w:r>
      <w:r w:rsidR="0033784D" w:rsidRPr="00A72E91">
        <w:t xml:space="preserve">h </w:t>
      </w:r>
      <w:r w:rsidRPr="00A72E91">
        <w:t>of 5.0 percent</w:t>
      </w:r>
      <w:r w:rsidR="00A76DF1" w:rsidRPr="00A72E91">
        <w:t xml:space="preserve"> is </w:t>
      </w:r>
      <w:r w:rsidRPr="00A72E91">
        <w:t>expected in FY 2026 and FY 2027.  Furthe</w:t>
      </w:r>
      <w:r w:rsidR="00A72E91" w:rsidRPr="00A72E91">
        <w:t>r</w:t>
      </w:r>
      <w:r w:rsidRPr="00A72E91">
        <w:t>, gastrointest</w:t>
      </w:r>
      <w:r w:rsidR="00B135E0" w:rsidRPr="00A72E91">
        <w:t>i</w:t>
      </w:r>
      <w:r w:rsidRPr="00A72E91">
        <w:t>nal surgeries are expected to double w</w:t>
      </w:r>
      <w:r w:rsidR="00B135E0" w:rsidRPr="00A72E91">
        <w:t>i</w:t>
      </w:r>
      <w:r w:rsidRPr="00A72E91">
        <w:t>t</w:t>
      </w:r>
      <w:r w:rsidR="0033784D" w:rsidRPr="00A72E91">
        <w:t xml:space="preserve">h </w:t>
      </w:r>
      <w:r w:rsidRPr="00A72E91">
        <w:t>the hiring of 6 addit</w:t>
      </w:r>
      <w:r w:rsidR="00B135E0" w:rsidRPr="00A72E91">
        <w:t>i</w:t>
      </w:r>
      <w:r w:rsidRPr="00A72E91">
        <w:t>ona</w:t>
      </w:r>
      <w:r w:rsidR="00640EC4" w:rsidRPr="00A72E91">
        <w:t>l</w:t>
      </w:r>
      <w:r w:rsidRPr="00A72E91">
        <w:t xml:space="preserve"> full-time equ</w:t>
      </w:r>
      <w:r w:rsidR="00B135E0" w:rsidRPr="00A72E91">
        <w:t>i</w:t>
      </w:r>
      <w:r w:rsidRPr="00A72E91">
        <w:t>valents ("FTEs</w:t>
      </w:r>
      <w:r w:rsidR="008512A6" w:rsidRPr="00A72E91">
        <w:t>”)</w:t>
      </w:r>
      <w:r w:rsidRPr="00A72E91">
        <w:t>, from</w:t>
      </w:r>
      <w:r w:rsidR="0091231F" w:rsidRPr="00A72E91">
        <w:t xml:space="preserve"> the </w:t>
      </w:r>
      <w:r w:rsidRPr="00A72E91">
        <w:t>current 6 FTEs. As discussed above, the Proposed Project will include the construct</w:t>
      </w:r>
      <w:r w:rsidR="0091231F" w:rsidRPr="00A72E91">
        <w:t xml:space="preserve">ion </w:t>
      </w:r>
      <w:r w:rsidRPr="00A72E91">
        <w:t xml:space="preserve">of six ORs, </w:t>
      </w:r>
      <w:r w:rsidR="00213398" w:rsidRPr="00A72E91">
        <w:t>which</w:t>
      </w:r>
      <w:r w:rsidRPr="00A72E91">
        <w:t xml:space="preserve"> will replace the Applican</w:t>
      </w:r>
      <w:r w:rsidR="0033784D" w:rsidRPr="00A72E91">
        <w:t>t</w:t>
      </w:r>
      <w:r w:rsidRPr="00A72E91">
        <w:t>'s four current ORs at t</w:t>
      </w:r>
      <w:r w:rsidR="0033784D" w:rsidRPr="00A72E91">
        <w:t>h</w:t>
      </w:r>
      <w:r w:rsidRPr="00A72E91">
        <w:t xml:space="preserve">e </w:t>
      </w:r>
      <w:r w:rsidR="00061F17" w:rsidRPr="00A72E91">
        <w:t>Hospital</w:t>
      </w:r>
      <w:r w:rsidRPr="00A72E91">
        <w:t>. This will allow</w:t>
      </w:r>
      <w:r w:rsidR="0091231F" w:rsidRPr="00A72E91">
        <w:t xml:space="preserve"> the </w:t>
      </w:r>
      <w:r w:rsidRPr="00A72E91">
        <w:t>Applicant to recapture procedures that had to be sent to other centers due to capacity constraints as well as allow for</w:t>
      </w:r>
      <w:r w:rsidR="0091231F" w:rsidRPr="00A72E91">
        <w:t xml:space="preserve"> the </w:t>
      </w:r>
      <w:r w:rsidR="00B135E0" w:rsidRPr="00A72E91">
        <w:t>Applicant</w:t>
      </w:r>
      <w:r w:rsidR="0033784D" w:rsidRPr="00A72E91">
        <w:t xml:space="preserve"> </w:t>
      </w:r>
      <w:r w:rsidRPr="00A72E91">
        <w:t>to perform certain procedures t</w:t>
      </w:r>
      <w:r w:rsidR="0033784D" w:rsidRPr="00A72E91">
        <w:t>h</w:t>
      </w:r>
      <w:r w:rsidRPr="00A72E91">
        <w:t>at previously</w:t>
      </w:r>
      <w:r w:rsidR="0091231F" w:rsidRPr="00A72E91">
        <w:t xml:space="preserve"> the </w:t>
      </w:r>
      <w:r w:rsidRPr="00A72E91">
        <w:t>curren</w:t>
      </w:r>
      <w:r w:rsidR="0033784D" w:rsidRPr="00A72E91">
        <w:t xml:space="preserve">t </w:t>
      </w:r>
      <w:r w:rsidRPr="00A72E91">
        <w:t>ORs did not have space for. Overall procedures are expected</w:t>
      </w:r>
      <w:r w:rsidR="0033784D" w:rsidRPr="00A72E91">
        <w:t xml:space="preserve"> t</w:t>
      </w:r>
      <w:r w:rsidRPr="00A72E91">
        <w:t>o increase 49.0 percen</w:t>
      </w:r>
      <w:r w:rsidR="0033784D" w:rsidRPr="00A72E91">
        <w:t xml:space="preserve">t </w:t>
      </w:r>
      <w:r w:rsidRPr="00A72E91">
        <w:t xml:space="preserve">from FY 2019 levels, </w:t>
      </w:r>
      <w:r w:rsidR="00213398" w:rsidRPr="00A72E91">
        <w:t>which</w:t>
      </w:r>
      <w:r w:rsidRPr="00A72E91">
        <w:t xml:space="preserve"> is consistent w</w:t>
      </w:r>
      <w:r w:rsidR="00B135E0" w:rsidRPr="00A72E91">
        <w:t>i</w:t>
      </w:r>
      <w:r w:rsidRPr="00A72E91">
        <w:t>t</w:t>
      </w:r>
      <w:r w:rsidR="0033784D" w:rsidRPr="00A72E91">
        <w:t xml:space="preserve">h </w:t>
      </w:r>
      <w:r w:rsidRPr="00A72E91">
        <w:t>a 50%</w:t>
      </w:r>
      <w:r w:rsidR="00260CC8" w:rsidRPr="00A72E91">
        <w:t xml:space="preserve"> increase </w:t>
      </w:r>
      <w:r w:rsidR="00A76DF1" w:rsidRPr="00A72E91">
        <w:t xml:space="preserve">in </w:t>
      </w:r>
      <w:r w:rsidRPr="00A72E91">
        <w:t>number of ORs.</w:t>
      </w:r>
    </w:p>
    <w:p w14:paraId="52F1A0CC" w14:textId="2C49535F" w:rsidR="000D4777" w:rsidRPr="00314411" w:rsidRDefault="00F02F19" w:rsidP="00ED2BFB">
      <w:pPr>
        <w:pStyle w:val="BodyText"/>
      </w:pPr>
      <w:r w:rsidRPr="00314411">
        <w:t>Other revenue</w:t>
      </w:r>
      <w:r w:rsidR="00A76DF1" w:rsidRPr="00314411">
        <w:t xml:space="preserve"> is </w:t>
      </w:r>
      <w:r w:rsidRPr="00314411">
        <w:t xml:space="preserve">projected to </w:t>
      </w:r>
      <w:r w:rsidR="00805749" w:rsidRPr="00314411">
        <w:t>grow 0.8</w:t>
      </w:r>
      <w:r w:rsidRPr="00314411">
        <w:t xml:space="preserve"> percent in FY  2021 and remain flat for the remainder of the project</w:t>
      </w:r>
      <w:r w:rsidR="0091231F" w:rsidRPr="00314411">
        <w:t xml:space="preserve">ion </w:t>
      </w:r>
      <w:r w:rsidRPr="00314411">
        <w:t>period. This growt</w:t>
      </w:r>
      <w:r w:rsidR="0033784D" w:rsidRPr="00314411">
        <w:t xml:space="preserve">h </w:t>
      </w:r>
      <w:r w:rsidRPr="00314411">
        <w:t>is within the historical range of actual growth, which ranges from -0. 1 percent to 71.9 percent from FY 2017</w:t>
      </w:r>
      <w:r w:rsidR="00B135E0" w:rsidRPr="00314411">
        <w:t xml:space="preserve"> </w:t>
      </w:r>
      <w:r w:rsidR="0033784D" w:rsidRPr="00314411">
        <w:t>t</w:t>
      </w:r>
      <w:r w:rsidRPr="00314411">
        <w:t>hrough FY 2020. As of May 31, 2021, the Applicant's fiscal year-</w:t>
      </w:r>
      <w:r w:rsidR="00B135E0" w:rsidRPr="00314411">
        <w:t>t</w:t>
      </w:r>
      <w:r w:rsidRPr="00314411">
        <w:t xml:space="preserve">o-date (" YTD </w:t>
      </w:r>
      <w:r w:rsidR="008512A6" w:rsidRPr="00314411">
        <w:t>“)</w:t>
      </w:r>
      <w:r w:rsidRPr="00314411">
        <w:t xml:space="preserve"> actual other revenue was 011 track to achieve the FY 2021 project</w:t>
      </w:r>
      <w:r w:rsidR="0091231F" w:rsidRPr="00314411">
        <w:t>ion</w:t>
      </w:r>
      <w:r w:rsidRPr="00314411">
        <w:t>.</w:t>
      </w:r>
    </w:p>
    <w:p w14:paraId="7F6025E8" w14:textId="6F68A9D4" w:rsidR="000D4777" w:rsidRPr="00314411" w:rsidRDefault="00F02F19" w:rsidP="00ED2BFB">
      <w:pPr>
        <w:pStyle w:val="BodyText"/>
      </w:pPr>
      <w:r w:rsidRPr="00314411">
        <w:t>In order to determine the reasonableness of the projected revenue, we reviewed the underlying assump</w:t>
      </w:r>
      <w:r w:rsidR="003E7BE2" w:rsidRPr="00314411">
        <w:t>tion</w:t>
      </w:r>
      <w:r w:rsidRPr="00314411">
        <w:t>s upon which Management relied. Based upon our review, Management relied upon the historical operations and anticipated market movements. The nine-year CAGR for total operating revenue in the Projections of 4.0 percent falls below Heywood's revenue growt</w:t>
      </w:r>
      <w:r w:rsidR="0033784D" w:rsidRPr="00314411">
        <w:t xml:space="preserve">h </w:t>
      </w:r>
      <w:r w:rsidRPr="00314411">
        <w:t>rates</w:t>
      </w:r>
      <w:r w:rsidR="00A76DF1" w:rsidRPr="00314411">
        <w:t xml:space="preserve"> in </w:t>
      </w:r>
      <w:r w:rsidRPr="00314411">
        <w:t>the prior four fiscal years (FY 2017 through FY 2020). Based upon the foregoing, it is our opinion that the revenue growt</w:t>
      </w:r>
      <w:r w:rsidR="0033784D" w:rsidRPr="00314411">
        <w:t xml:space="preserve">h </w:t>
      </w:r>
      <w:r w:rsidRPr="00314411">
        <w:t>projected by Management is based on reasonable assumpt</w:t>
      </w:r>
      <w:r w:rsidR="003D4852" w:rsidRPr="00314411">
        <w:t>i</w:t>
      </w:r>
      <w:r w:rsidRPr="00314411">
        <w:t>ons and</w:t>
      </w:r>
      <w:r w:rsidR="00A76DF1" w:rsidRPr="00314411">
        <w:t xml:space="preserve"> is </w:t>
      </w:r>
      <w:r w:rsidRPr="00314411">
        <w:t>feasible for Heywood.</w:t>
      </w:r>
    </w:p>
    <w:p w14:paraId="269B27B3" w14:textId="77777777" w:rsidR="000D4777" w:rsidRPr="00314411" w:rsidRDefault="000D4777" w:rsidP="00ED2BFB">
      <w:pPr>
        <w:pStyle w:val="BodyText"/>
        <w:sectPr w:rsidR="000D4777" w:rsidRPr="00314411" w:rsidSect="00A72E91">
          <w:pgSz w:w="12240" w:h="15840"/>
          <w:pgMar w:top="2160" w:right="1382" w:bottom="274" w:left="1440" w:header="720" w:footer="720" w:gutter="0"/>
          <w:cols w:space="720"/>
        </w:sectPr>
      </w:pPr>
    </w:p>
    <w:p w14:paraId="294EBF97" w14:textId="77777777" w:rsidR="000D4777" w:rsidRPr="00314411" w:rsidRDefault="000D4777" w:rsidP="00ED2BFB">
      <w:pPr>
        <w:pStyle w:val="BodyText"/>
      </w:pPr>
    </w:p>
    <w:p w14:paraId="4D18DB39" w14:textId="13D5B772" w:rsidR="000D4777" w:rsidRPr="00314411" w:rsidRDefault="00A72E91" w:rsidP="00ED2BFB">
      <w:pPr>
        <w:pStyle w:val="Heading2"/>
      </w:pPr>
      <w:bookmarkStart w:id="7" w:name="_Toc80130003"/>
      <w:r>
        <w:t xml:space="preserve">2. </w:t>
      </w:r>
      <w:r w:rsidR="00F02F19" w:rsidRPr="00314411">
        <w:t>Operating</w:t>
      </w:r>
      <w:r w:rsidR="00140591" w:rsidRPr="00314411">
        <w:t xml:space="preserve"> </w:t>
      </w:r>
      <w:r w:rsidR="00F02F19" w:rsidRPr="00314411">
        <w:t>Expenses</w:t>
      </w:r>
      <w:bookmarkEnd w:id="7"/>
    </w:p>
    <w:p w14:paraId="775827D7" w14:textId="4428CC1E" w:rsidR="000D4777" w:rsidRPr="00314411" w:rsidRDefault="00F02F19" w:rsidP="00ED2BFB">
      <w:pPr>
        <w:pStyle w:val="BodyText"/>
      </w:pPr>
      <w:r w:rsidRPr="00314411">
        <w:t>We analyzed each of</w:t>
      </w:r>
      <w:r w:rsidR="0091231F" w:rsidRPr="00314411">
        <w:t xml:space="preserve"> the </w:t>
      </w:r>
      <w:r w:rsidRPr="00314411">
        <w:t>categorized operating expenses for reasonableness and feasibility as it related to</w:t>
      </w:r>
      <w:r w:rsidR="0091231F" w:rsidRPr="00314411">
        <w:t xml:space="preserve"> the </w:t>
      </w:r>
      <w:r w:rsidRPr="00314411">
        <w:t>Project</w:t>
      </w:r>
      <w:r w:rsidR="00D15E07" w:rsidRPr="00314411">
        <w:t>ions</w:t>
      </w:r>
      <w:r w:rsidRPr="00314411">
        <w:t>.</w:t>
      </w:r>
    </w:p>
    <w:p w14:paraId="0F2E899C" w14:textId="41D5764A" w:rsidR="000D4777" w:rsidRPr="00314411" w:rsidRDefault="00F02F19" w:rsidP="00ED2BFB">
      <w:pPr>
        <w:pStyle w:val="BodyText"/>
      </w:pPr>
      <w:r w:rsidRPr="00314411">
        <w:t>The operating expenses in</w:t>
      </w:r>
      <w:r w:rsidR="0091231F" w:rsidRPr="00314411">
        <w:t xml:space="preserve"> the </w:t>
      </w:r>
      <w:r w:rsidRPr="00314411">
        <w:t>analysis include salaries, employee benefits, supplies, professional fees and purchased services, state taxes, interest, and deprecia</w:t>
      </w:r>
      <w:r w:rsidR="003E7BE2" w:rsidRPr="00314411">
        <w:t>tion</w:t>
      </w:r>
      <w:r w:rsidRPr="00314411">
        <w:t xml:space="preserve"> and amortizat</w:t>
      </w:r>
      <w:r w:rsidR="0091231F" w:rsidRPr="00314411">
        <w:t>ion</w:t>
      </w:r>
      <w:r w:rsidRPr="00314411">
        <w:t>. Salaries account for approximately 50.0 percent of total operating expenses, supplies account for approximat</w:t>
      </w:r>
      <w:r w:rsidR="00140591" w:rsidRPr="00314411">
        <w:t>e</w:t>
      </w:r>
      <w:r w:rsidRPr="00314411">
        <w:t>ly 12.0 percent of total</w:t>
      </w:r>
      <w:r w:rsidR="00140591" w:rsidRPr="00314411">
        <w:t xml:space="preserve"> </w:t>
      </w:r>
      <w:r w:rsidRPr="00314411">
        <w:t>operating</w:t>
      </w:r>
      <w:r w:rsidR="00140591" w:rsidRPr="00314411">
        <w:t xml:space="preserve"> </w:t>
      </w:r>
      <w:r w:rsidRPr="00314411">
        <w:t>expenses, and professional fees</w:t>
      </w:r>
      <w:r w:rsidR="00140591" w:rsidRPr="00314411">
        <w:t xml:space="preserve"> </w:t>
      </w:r>
      <w:r w:rsidRPr="00314411">
        <w:t>and purchased services account for approximately 23.0 percent of total</w:t>
      </w:r>
      <w:r w:rsidR="00140591" w:rsidRPr="00314411">
        <w:t xml:space="preserve"> </w:t>
      </w:r>
      <w:r w:rsidRPr="00314411">
        <w:t>operating</w:t>
      </w:r>
      <w:r w:rsidR="00140591" w:rsidRPr="00314411">
        <w:t xml:space="preserve"> </w:t>
      </w:r>
      <w:r w:rsidRPr="00314411">
        <w:t>expenses throughout the projection period.</w:t>
      </w:r>
    </w:p>
    <w:p w14:paraId="50EB2BEE" w14:textId="4B94F836" w:rsidR="000D4777" w:rsidRPr="00314411" w:rsidRDefault="00F02F19" w:rsidP="00ED2BFB">
      <w:pPr>
        <w:pStyle w:val="BodyText"/>
      </w:pPr>
      <w:r w:rsidRPr="00314411">
        <w:t>Salaries in FY 2021</w:t>
      </w:r>
      <w:r w:rsidR="0033784D" w:rsidRPr="00314411">
        <w:t xml:space="preserve"> are </w:t>
      </w:r>
      <w:r w:rsidRPr="00314411">
        <w:t>based</w:t>
      </w:r>
      <w:r w:rsidR="0033784D" w:rsidRPr="00314411">
        <w:t xml:space="preserve"> upon </w:t>
      </w:r>
      <w:r w:rsidR="0091231F" w:rsidRPr="00314411">
        <w:t xml:space="preserve">the </w:t>
      </w:r>
      <w:r w:rsidRPr="00314411">
        <w:t>Board approved budget, updated wit</w:t>
      </w:r>
      <w:r w:rsidR="0033784D" w:rsidRPr="00314411">
        <w:t xml:space="preserve">h </w:t>
      </w:r>
      <w:r w:rsidRPr="00314411">
        <w:t>actuals through April 30, 2021, which re</w:t>
      </w:r>
      <w:r w:rsidR="0033784D" w:rsidRPr="00314411">
        <w:t>prese</w:t>
      </w:r>
      <w:r w:rsidRPr="00314411">
        <w:t>nts growt</w:t>
      </w:r>
      <w:r w:rsidR="0033784D" w:rsidRPr="00314411">
        <w:t xml:space="preserve">h </w:t>
      </w:r>
      <w:r w:rsidRPr="00314411">
        <w:t>in salaries of 17.9 percent from FY 2020. Salaries for FY 2022 through FY 20 29 are grown at 2.75 percent annually. Projected growth in salaries falls within historical</w:t>
      </w:r>
      <w:r w:rsidR="0033784D" w:rsidRPr="00314411">
        <w:t xml:space="preserve"> </w:t>
      </w:r>
      <w:r w:rsidRPr="00314411">
        <w:t>growth</w:t>
      </w:r>
      <w:r w:rsidR="0033784D" w:rsidRPr="00314411">
        <w:t xml:space="preserve"> </w:t>
      </w:r>
      <w:r w:rsidRPr="00314411">
        <w:t>which ranged from 2.7 percent to 8 .3 percent from FY 2017 to FY 20 20. Additionally, beginning in FY 20 25</w:t>
      </w:r>
      <w:r w:rsidR="008411CF" w:rsidRPr="00314411">
        <w:t xml:space="preserve">, </w:t>
      </w:r>
      <w:r w:rsidR="0091231F" w:rsidRPr="00314411">
        <w:t xml:space="preserve">the </w:t>
      </w:r>
      <w:r w:rsidRPr="00314411">
        <w:t>Projec</w:t>
      </w:r>
      <w:r w:rsidR="003E7BE2" w:rsidRPr="00314411">
        <w:t>tion</w:t>
      </w:r>
      <w:r w:rsidRPr="00314411">
        <w:t>s reflect an increase in salaries related to the hiring of addit</w:t>
      </w:r>
      <w:r w:rsidR="0091231F" w:rsidRPr="00314411">
        <w:t>ion</w:t>
      </w:r>
      <w:r w:rsidRPr="00314411">
        <w:t>al six FTEs for gastrointestinal surgeries and a reduct</w:t>
      </w:r>
      <w:r w:rsidR="0091231F" w:rsidRPr="00314411">
        <w:t>ion</w:t>
      </w:r>
      <w:r w:rsidRPr="00314411">
        <w:t xml:space="preserve"> of two FTEs related to efficiencies gained with having one suite accommodating both inpatient and outpatient surgeries.</w:t>
      </w:r>
    </w:p>
    <w:p w14:paraId="6EF88D02" w14:textId="4C79299A" w:rsidR="000D4777" w:rsidRPr="00314411" w:rsidRDefault="00F02F19" w:rsidP="00ED2BFB">
      <w:pPr>
        <w:pStyle w:val="BodyText"/>
      </w:pPr>
      <w:r w:rsidRPr="00314411">
        <w:t>Supplies in FY 2021 are based upon</w:t>
      </w:r>
      <w:r w:rsidR="0091231F" w:rsidRPr="00314411">
        <w:t xml:space="preserve"> the </w:t>
      </w:r>
      <w:r w:rsidRPr="00314411">
        <w:t>Board approved budget</w:t>
      </w:r>
      <w:r w:rsidR="008411CF" w:rsidRPr="00314411">
        <w:t xml:space="preserve">, </w:t>
      </w:r>
      <w:r w:rsidRPr="00314411">
        <w:t xml:space="preserve">updated with actuals through April 30, 2021, which represents growth in supplies of 12.3 percent from FY </w:t>
      </w:r>
      <w:r w:rsidR="00805749" w:rsidRPr="00314411">
        <w:t>2020.</w:t>
      </w:r>
      <w:r w:rsidRPr="00314411">
        <w:t xml:space="preserve"> Supplies for</w:t>
      </w:r>
    </w:p>
    <w:p w14:paraId="50467B83" w14:textId="77777777" w:rsidR="000D4777" w:rsidRPr="00314411" w:rsidRDefault="000D4777" w:rsidP="00ED2BFB">
      <w:pPr>
        <w:pStyle w:val="BodyText"/>
        <w:sectPr w:rsidR="000D4777" w:rsidRPr="00314411" w:rsidSect="00A72E91">
          <w:pgSz w:w="12240" w:h="15840"/>
          <w:pgMar w:top="2160" w:right="1380" w:bottom="280" w:left="1440" w:header="720" w:footer="720" w:gutter="0"/>
          <w:cols w:space="720"/>
        </w:sectPr>
      </w:pPr>
    </w:p>
    <w:p w14:paraId="3AFD3F1C" w14:textId="3480C1C9" w:rsidR="000D4777" w:rsidRPr="00314411" w:rsidRDefault="00F02F19" w:rsidP="00ED2BFB">
      <w:pPr>
        <w:pStyle w:val="BodyText"/>
      </w:pPr>
      <w:r w:rsidRPr="00314411">
        <w:lastRenderedPageBreak/>
        <w:t>FY 2022 through FY 2029 are</w:t>
      </w:r>
      <w:r w:rsidR="00387D6C">
        <w:t xml:space="preserve"> </w:t>
      </w:r>
      <w:r w:rsidRPr="00314411">
        <w:t xml:space="preserve">grown at 2.00 percent annually. Projected growth in supplies falls within historical growth which ranged from -5.0 percent to 12 .9 percent from FY 2017 to FY 2019 (excluding FY 2020 </w:t>
      </w:r>
      <w:r w:rsidR="00213398" w:rsidRPr="00314411">
        <w:t>which</w:t>
      </w:r>
      <w:r w:rsidRPr="00314411">
        <w:t xml:space="preserve"> experienced a reduction in supplies expense of 53.7 percent due to COVID-1 9). Incremental supplies are also included within the Projections beginning in FY 20 25 related to</w:t>
      </w:r>
      <w:r w:rsidR="0091231F" w:rsidRPr="00314411">
        <w:t xml:space="preserve"> the </w:t>
      </w:r>
      <w:r w:rsidRPr="00314411">
        <w:t>Proposed Project. The incremental supplies relate to the projected volume growth from</w:t>
      </w:r>
      <w:r w:rsidR="0091231F" w:rsidRPr="00314411">
        <w:t xml:space="preserve"> the </w:t>
      </w:r>
      <w:r w:rsidRPr="00314411">
        <w:t>increase in procedures to a breakeven level as well as an increase in gastrointestinal surgeries with</w:t>
      </w:r>
      <w:r w:rsidR="0091231F" w:rsidRPr="00314411">
        <w:t xml:space="preserve"> the </w:t>
      </w:r>
      <w:r w:rsidRPr="00314411">
        <w:t>hiring of additional FTEs to support these procedures.</w:t>
      </w:r>
    </w:p>
    <w:p w14:paraId="40EA3D10" w14:textId="46560998" w:rsidR="000D4777" w:rsidRPr="00314411" w:rsidRDefault="00F02F19" w:rsidP="00ED2BFB">
      <w:pPr>
        <w:pStyle w:val="BodyText"/>
      </w:pPr>
      <w:r w:rsidRPr="00314411">
        <w:t>Professional</w:t>
      </w:r>
      <w:r w:rsidR="0063249F" w:rsidRPr="00314411">
        <w:t xml:space="preserve"> </w:t>
      </w:r>
      <w:r w:rsidRPr="00314411">
        <w:t>fees</w:t>
      </w:r>
      <w:r w:rsidR="0063249F" w:rsidRPr="00314411">
        <w:t xml:space="preserve"> </w:t>
      </w:r>
      <w:r w:rsidRPr="00314411">
        <w:t>and purchased services in FY 2021 are based upon</w:t>
      </w:r>
      <w:r w:rsidR="0091231F" w:rsidRPr="00314411">
        <w:t xml:space="preserve"> the </w:t>
      </w:r>
      <w:r w:rsidRPr="00314411">
        <w:t>Board approved budget</w:t>
      </w:r>
      <w:r w:rsidR="008411CF" w:rsidRPr="00314411">
        <w:t xml:space="preserve">, </w:t>
      </w:r>
      <w:r w:rsidRPr="00314411">
        <w:t xml:space="preserve">updated with actuals through April 30, 2021, </w:t>
      </w:r>
      <w:r w:rsidR="00213398" w:rsidRPr="00314411">
        <w:t>which</w:t>
      </w:r>
      <w:r w:rsidRPr="00314411">
        <w:t xml:space="preserve"> represents growth in professional</w:t>
      </w:r>
      <w:r w:rsidR="0063249F" w:rsidRPr="00314411">
        <w:t xml:space="preserve"> </w:t>
      </w:r>
      <w:r w:rsidRPr="00314411">
        <w:t>fees and purchased services of 15.7 percent from FY 2020. Professional fees and purchased services for FY 2022 through FY 2029 are grown at 2.00 percent annually. Incremental</w:t>
      </w:r>
      <w:r w:rsidR="0063249F" w:rsidRPr="00314411">
        <w:t xml:space="preserve"> </w:t>
      </w:r>
      <w:r w:rsidRPr="00314411">
        <w:t>expenses are included within</w:t>
      </w:r>
      <w:r w:rsidR="0091231F" w:rsidRPr="00314411">
        <w:t xml:space="preserve"> the </w:t>
      </w:r>
      <w:r w:rsidRPr="00314411">
        <w:t>Projections beginning in FY 2025 related to</w:t>
      </w:r>
      <w:r w:rsidR="0091231F" w:rsidRPr="00314411">
        <w:t xml:space="preserve"> the </w:t>
      </w:r>
      <w:r w:rsidRPr="00314411">
        <w:t>annual rental lease expense from</w:t>
      </w:r>
      <w:r w:rsidR="0091231F" w:rsidRPr="00314411">
        <w:t xml:space="preserve"> the </w:t>
      </w:r>
      <w:r w:rsidRPr="00314411">
        <w:t>financing of</w:t>
      </w:r>
      <w:r w:rsidR="0091231F" w:rsidRPr="00314411">
        <w:t xml:space="preserve"> the </w:t>
      </w:r>
      <w:r w:rsidRPr="00314411">
        <w:t>Proposed Project as discussed further be low. Further, profess</w:t>
      </w:r>
      <w:r w:rsidR="0091231F" w:rsidRPr="00314411">
        <w:t>ion</w:t>
      </w:r>
      <w:r w:rsidRPr="00314411">
        <w:t>al fees and purchased services include a reduction in expense related to operating</w:t>
      </w:r>
      <w:r w:rsidR="0063249F" w:rsidRPr="00314411">
        <w:t xml:space="preserve"> </w:t>
      </w:r>
      <w:r w:rsidRPr="00314411">
        <w:t xml:space="preserve">efficiencies that will be generated beginning </w:t>
      </w:r>
      <w:r w:rsidRPr="00F42493">
        <w:rPr>
          <w:bCs/>
        </w:rPr>
        <w:t>in</w:t>
      </w:r>
      <w:r w:rsidRPr="00314411">
        <w:rPr>
          <w:b/>
        </w:rPr>
        <w:t xml:space="preserve"> </w:t>
      </w:r>
      <w:r w:rsidRPr="00314411">
        <w:t>FY 2025.</w:t>
      </w:r>
    </w:p>
    <w:p w14:paraId="1F3E6659" w14:textId="085AFE8F" w:rsidR="000D4777" w:rsidRPr="00314411" w:rsidRDefault="00F02F19" w:rsidP="00ED2BFB">
      <w:pPr>
        <w:pStyle w:val="BodyText"/>
      </w:pPr>
      <w:r w:rsidRPr="00314411">
        <w:t>Based upon</w:t>
      </w:r>
      <w:r w:rsidR="0091231F" w:rsidRPr="00314411">
        <w:t xml:space="preserve"> the </w:t>
      </w:r>
      <w:r w:rsidRPr="00314411">
        <w:t>foregoing, it is our opinion that</w:t>
      </w:r>
      <w:r w:rsidR="0091231F" w:rsidRPr="00314411">
        <w:t xml:space="preserve"> the </w:t>
      </w:r>
      <w:r w:rsidRPr="00314411">
        <w:t xml:space="preserve">operating expenses projected by </w:t>
      </w:r>
      <w:r w:rsidR="000B397E" w:rsidRPr="00314411">
        <w:t xml:space="preserve">Management </w:t>
      </w:r>
      <w:r w:rsidRPr="00314411">
        <w:t>reflects are based on reasonable assumptions and are feasible for</w:t>
      </w:r>
      <w:r w:rsidR="0091231F" w:rsidRPr="00314411">
        <w:t xml:space="preserve"> the </w:t>
      </w:r>
      <w:r w:rsidRPr="00314411">
        <w:t>Applicant.</w:t>
      </w:r>
    </w:p>
    <w:p w14:paraId="068D977E" w14:textId="5CC286EA" w:rsidR="000D4777" w:rsidRPr="00314411" w:rsidRDefault="00F42493" w:rsidP="00ED2BFB">
      <w:pPr>
        <w:pStyle w:val="Heading2"/>
      </w:pPr>
      <w:bookmarkStart w:id="8" w:name="_Toc80130004"/>
      <w:r>
        <w:t xml:space="preserve">3. </w:t>
      </w:r>
      <w:r w:rsidR="00F02F19" w:rsidRPr="00314411">
        <w:t>Shortfall Gap Closure</w:t>
      </w:r>
      <w:bookmarkEnd w:id="8"/>
    </w:p>
    <w:p w14:paraId="3CD2602B" w14:textId="1CB67C7F" w:rsidR="000D4777" w:rsidRPr="00314411" w:rsidRDefault="00F02F19" w:rsidP="00ED2BFB">
      <w:pPr>
        <w:pStyle w:val="BodyText"/>
      </w:pPr>
      <w:r w:rsidRPr="00314411">
        <w:t xml:space="preserve">Management incorporates a shortfall gap closure within its financial forecast for FY 2022 through FY 20 24. This shortfall reflects future initiatives and strategic plans </w:t>
      </w:r>
      <w:r w:rsidR="00213398" w:rsidRPr="00314411">
        <w:t>which</w:t>
      </w:r>
      <w:r w:rsidRPr="00314411">
        <w:t xml:space="preserve"> are not yet</w:t>
      </w:r>
    </w:p>
    <w:p w14:paraId="6DC036EC" w14:textId="77777777" w:rsidR="000D4777" w:rsidRPr="00314411" w:rsidRDefault="000D4777" w:rsidP="00ED2BFB">
      <w:pPr>
        <w:pStyle w:val="BodyText"/>
        <w:sectPr w:rsidR="000D4777" w:rsidRPr="00314411" w:rsidSect="00A72E91">
          <w:pgSz w:w="12240" w:h="15840"/>
          <w:pgMar w:top="2160" w:right="1380" w:bottom="280" w:left="1440" w:header="720" w:footer="720" w:gutter="0"/>
          <w:cols w:space="720"/>
        </w:sectPr>
      </w:pPr>
    </w:p>
    <w:p w14:paraId="0207EBC2" w14:textId="27775273" w:rsidR="000D4777" w:rsidRPr="00314411" w:rsidRDefault="00F02F19" w:rsidP="00ED2BFB">
      <w:pPr>
        <w:pStyle w:val="BodyText"/>
      </w:pPr>
      <w:r w:rsidRPr="00314411">
        <w:lastRenderedPageBreak/>
        <w:t>identified and therefore are not allocable to detailed line items in</w:t>
      </w:r>
      <w:r w:rsidR="0091231F" w:rsidRPr="00314411">
        <w:t xml:space="preserve"> the </w:t>
      </w:r>
      <w:r w:rsidRPr="00314411">
        <w:t>income statement. We understand based on discussions with Management that</w:t>
      </w:r>
      <w:r w:rsidR="0091231F" w:rsidRPr="00314411">
        <w:t xml:space="preserve"> the </w:t>
      </w:r>
      <w:r w:rsidRPr="00314411">
        <w:t>Applicant undergoes this process as a part of its regular forecasting. We further understand</w:t>
      </w:r>
      <w:r w:rsidR="0091231F" w:rsidRPr="00314411">
        <w:t xml:space="preserve"> the </w:t>
      </w:r>
      <w:r w:rsidRPr="00314411">
        <w:t>senior team of</w:t>
      </w:r>
      <w:r w:rsidR="0091231F" w:rsidRPr="00314411">
        <w:t xml:space="preserve"> the </w:t>
      </w:r>
      <w:r w:rsidRPr="00314411">
        <w:t>Applicant has recently met to begin</w:t>
      </w:r>
      <w:r w:rsidR="0091231F" w:rsidRPr="00314411">
        <w:t xml:space="preserve"> the </w:t>
      </w:r>
      <w:r w:rsidRPr="00314411">
        <w:t xml:space="preserve">process of identifying are as to </w:t>
      </w:r>
      <w:r w:rsidR="00C44AD1" w:rsidRPr="00314411">
        <w:t>cl</w:t>
      </w:r>
      <w:r w:rsidRPr="00314411">
        <w:t>ose</w:t>
      </w:r>
      <w:r w:rsidR="0091231F" w:rsidRPr="00314411">
        <w:t xml:space="preserve"> the </w:t>
      </w:r>
      <w:r w:rsidRPr="00314411">
        <w:t>short fall gap for FY 2022 and identified items including 340b savings, reduction in certain insurance coverage</w:t>
      </w:r>
      <w:r w:rsidR="00C44AD1" w:rsidRPr="00314411">
        <w:t>s</w:t>
      </w:r>
      <w:r w:rsidRPr="00314411">
        <w:t>, and provider based clinic efficiency, among other potential initiatives. Addit</w:t>
      </w:r>
      <w:r w:rsidR="0091231F" w:rsidRPr="00314411">
        <w:t>ion</w:t>
      </w:r>
      <w:r w:rsidRPr="00314411">
        <w:t>ally, we reviewed the Applicant's actual</w:t>
      </w:r>
      <w:r w:rsidR="0015390D" w:rsidRPr="00314411">
        <w:t xml:space="preserve"> </w:t>
      </w:r>
      <w:r w:rsidRPr="00314411">
        <w:t xml:space="preserve">operating income in comparison to the Applicant's budget for the prior </w:t>
      </w:r>
      <w:r w:rsidR="0015390D" w:rsidRPr="00314411">
        <w:t xml:space="preserve">two </w:t>
      </w:r>
      <w:r w:rsidRPr="00314411">
        <w:t>fiscal years and the YTD period and noted</w:t>
      </w:r>
      <w:r w:rsidR="0091231F" w:rsidRPr="00314411">
        <w:t xml:space="preserve"> the </w:t>
      </w:r>
      <w:r w:rsidRPr="00314411">
        <w:t>Applicant exceeded budget in each of these periods. As such, it is feasible that</w:t>
      </w:r>
      <w:r w:rsidR="0091231F" w:rsidRPr="00314411">
        <w:t xml:space="preserve"> the </w:t>
      </w:r>
      <w:r w:rsidRPr="00314411">
        <w:t xml:space="preserve">Applicant will continue to </w:t>
      </w:r>
      <w:r w:rsidR="0080295F" w:rsidRPr="00314411">
        <w:t>cl</w:t>
      </w:r>
      <w:r w:rsidRPr="00314411">
        <w:t>ose</w:t>
      </w:r>
      <w:r w:rsidR="0091231F" w:rsidRPr="00314411">
        <w:t xml:space="preserve"> the </w:t>
      </w:r>
      <w:r w:rsidRPr="00314411">
        <w:t>shortfall gaps included in</w:t>
      </w:r>
      <w:r w:rsidR="0091231F" w:rsidRPr="00314411">
        <w:t xml:space="preserve"> the </w:t>
      </w:r>
      <w:r w:rsidRPr="00314411">
        <w:t>Project</w:t>
      </w:r>
      <w:r w:rsidR="00D15E07" w:rsidRPr="00314411">
        <w:t>ions</w:t>
      </w:r>
      <w:r w:rsidRPr="00314411">
        <w:t>.</w:t>
      </w:r>
    </w:p>
    <w:p w14:paraId="29DB7C60" w14:textId="3808A3A2" w:rsidR="000D4777" w:rsidRPr="00314411" w:rsidRDefault="00F42493" w:rsidP="00ED2BFB">
      <w:pPr>
        <w:pStyle w:val="Heading2"/>
      </w:pPr>
      <w:bookmarkStart w:id="9" w:name="_Toc80130005"/>
      <w:r>
        <w:t xml:space="preserve">4. </w:t>
      </w:r>
      <w:r w:rsidR="00F02F19" w:rsidRPr="00314411">
        <w:t xml:space="preserve">Capital Expenditures and </w:t>
      </w:r>
      <w:r w:rsidR="008512A6" w:rsidRPr="00314411">
        <w:t>Proposed Project</w:t>
      </w:r>
      <w:r w:rsidR="00F02F19" w:rsidRPr="00314411">
        <w:t xml:space="preserve"> Financing</w:t>
      </w:r>
      <w:bookmarkEnd w:id="9"/>
    </w:p>
    <w:p w14:paraId="57F93C18" w14:textId="510201F6" w:rsidR="000D4777" w:rsidRPr="00314411" w:rsidRDefault="00F02F19" w:rsidP="00ED2BFB">
      <w:pPr>
        <w:pStyle w:val="BodyText"/>
      </w:pPr>
      <w:r w:rsidRPr="00314411">
        <w:t>We reviewed the project costs within</w:t>
      </w:r>
      <w:r w:rsidR="0091231F" w:rsidRPr="00314411">
        <w:t xml:space="preserve"> the </w:t>
      </w:r>
      <w:r w:rsidRPr="00314411">
        <w:t>Projec</w:t>
      </w:r>
      <w:r w:rsidR="003E7BE2" w:rsidRPr="00314411">
        <w:t>tion</w:t>
      </w:r>
      <w:r w:rsidR="00D15E07" w:rsidRPr="00314411">
        <w:t>s</w:t>
      </w:r>
      <w:r w:rsidRPr="00314411">
        <w:t xml:space="preserve"> related to</w:t>
      </w:r>
      <w:r w:rsidR="0091231F" w:rsidRPr="00314411">
        <w:t xml:space="preserve"> the </w:t>
      </w:r>
      <w:r w:rsidRPr="00314411">
        <w:t>Proposed Project of whi</w:t>
      </w:r>
      <w:r w:rsidR="0080295F" w:rsidRPr="00314411">
        <w:t xml:space="preserve">ch </w:t>
      </w:r>
      <w:r w:rsidRPr="00314411">
        <w:t>$38.0 million is classified as maximum capital expenditures ("MCE") per</w:t>
      </w:r>
      <w:r w:rsidR="0091231F" w:rsidRPr="00314411">
        <w:t xml:space="preserve"> the </w:t>
      </w:r>
      <w:r w:rsidRPr="00314411">
        <w:t>DON regulat</w:t>
      </w:r>
      <w:r w:rsidR="00D15E07" w:rsidRPr="00314411">
        <w:t>ions</w:t>
      </w:r>
      <w:r w:rsidRPr="00314411">
        <w:t>. We reviewed supporting documentat</w:t>
      </w:r>
      <w:r w:rsidR="0091231F" w:rsidRPr="00314411">
        <w:t>ion</w:t>
      </w:r>
      <w:r w:rsidRPr="00314411">
        <w:t xml:space="preserve"> building up</w:t>
      </w:r>
      <w:r w:rsidR="0091231F" w:rsidRPr="00314411">
        <w:t xml:space="preserve"> the </w:t>
      </w:r>
      <w:r w:rsidRPr="00314411">
        <w:t>total maximum capital expenditures including an estimate from Consigli related to</w:t>
      </w:r>
      <w:r w:rsidR="0091231F" w:rsidRPr="00314411">
        <w:t xml:space="preserve"> the </w:t>
      </w:r>
      <w:r w:rsidRPr="00314411">
        <w:t>construction cost and an estimate of interest from Waterstone Properties. We understand</w:t>
      </w:r>
      <w:r w:rsidR="0091231F" w:rsidRPr="00314411">
        <w:t xml:space="preserve"> the </w:t>
      </w:r>
      <w:r w:rsidRPr="00314411">
        <w:t>Consigli estimate was last revised on June 21, 2021 and reflects the increase in price of construct</w:t>
      </w:r>
      <w:r w:rsidR="0091231F" w:rsidRPr="00314411">
        <w:t>ion</w:t>
      </w:r>
      <w:r w:rsidRPr="00314411">
        <w:t xml:space="preserve"> materials following the COVID-1 9 pandemic. We understand</w:t>
      </w:r>
      <w:r w:rsidR="0091231F" w:rsidRPr="00314411">
        <w:t xml:space="preserve"> the </w:t>
      </w:r>
      <w:r w:rsidRPr="00314411">
        <w:t>Applicant is still assessing</w:t>
      </w:r>
      <w:r w:rsidR="0091231F" w:rsidRPr="00314411">
        <w:t xml:space="preserve"> the </w:t>
      </w:r>
      <w:r w:rsidRPr="00314411">
        <w:t>amount of current equipment that can be reused in the Proposed Project and as a result the equipment budget is still in process. The supporting documentation reviewed</w:t>
      </w:r>
      <w:r w:rsidR="00420957" w:rsidRPr="00314411">
        <w:t xml:space="preserve"> </w:t>
      </w:r>
      <w:r w:rsidRPr="00314411">
        <w:t>represents approximately 75.0 percent of</w:t>
      </w:r>
      <w:r w:rsidR="0091231F" w:rsidRPr="00314411">
        <w:t xml:space="preserve"> the </w:t>
      </w:r>
      <w:r w:rsidRPr="00314411">
        <w:t>total MCE.</w:t>
      </w:r>
    </w:p>
    <w:p w14:paraId="0F834574" w14:textId="77777777" w:rsidR="000D4777" w:rsidRPr="00314411" w:rsidRDefault="000D4777" w:rsidP="00ED2BFB">
      <w:pPr>
        <w:pStyle w:val="BodyText"/>
        <w:sectPr w:rsidR="000D4777" w:rsidRPr="00314411" w:rsidSect="00A72E91">
          <w:pgSz w:w="12240" w:h="15840"/>
          <w:pgMar w:top="2160" w:right="1380" w:bottom="280" w:left="1440" w:header="720" w:footer="720" w:gutter="0"/>
          <w:cols w:space="720"/>
        </w:sectPr>
      </w:pPr>
    </w:p>
    <w:p w14:paraId="3A0C39B9" w14:textId="5FE9599A" w:rsidR="000D4777" w:rsidRPr="00314411" w:rsidRDefault="00F02F19" w:rsidP="00ED2BFB">
      <w:pPr>
        <w:pStyle w:val="BodyText"/>
      </w:pPr>
      <w:r w:rsidRPr="00314411">
        <w:lastRenderedPageBreak/>
        <w:t>In addit</w:t>
      </w:r>
      <w:r w:rsidR="0091231F" w:rsidRPr="00314411">
        <w:t>ion</w:t>
      </w:r>
      <w:r w:rsidRPr="00314411">
        <w:t xml:space="preserve"> to capital expenditures, we also reviewed</w:t>
      </w:r>
      <w:r w:rsidR="0091231F" w:rsidRPr="00314411">
        <w:t xml:space="preserve"> the </w:t>
      </w:r>
      <w:r w:rsidRPr="00314411">
        <w:t>proposed financing of</w:t>
      </w:r>
      <w:r w:rsidR="0091231F" w:rsidRPr="00314411">
        <w:t xml:space="preserve"> the </w:t>
      </w:r>
      <w:r w:rsidRPr="00314411">
        <w:t>Proposed Project. The project costs related to the Proposed Project are included within</w:t>
      </w:r>
      <w:r w:rsidR="0091231F" w:rsidRPr="00314411">
        <w:t xml:space="preserve"> the </w:t>
      </w:r>
      <w:r w:rsidRPr="00314411">
        <w:t>Projections as a cash outflow</w:t>
      </w:r>
      <w:r w:rsidR="00107440" w:rsidRPr="00314411">
        <w:t xml:space="preserve"> </w:t>
      </w:r>
      <w:r w:rsidRPr="00314411">
        <w:t>in FY 2022 and in FY 2025 through FY 2029 in the form of rent expense. We understand, as of</w:t>
      </w:r>
      <w:r w:rsidR="0091231F" w:rsidRPr="00314411">
        <w:t xml:space="preserve"> the </w:t>
      </w:r>
      <w:r w:rsidRPr="00314411">
        <w:t>drafting of our report,</w:t>
      </w:r>
      <w:r w:rsidR="0091231F" w:rsidRPr="00314411">
        <w:t xml:space="preserve"> the </w:t>
      </w:r>
      <w:r w:rsidRPr="00314411">
        <w:t>Applicant's Board of Trustees approved MCE of $35.0 million as of January 21, 2021. We further understand, per Management, that costs</w:t>
      </w:r>
      <w:r w:rsidR="00107440" w:rsidRPr="00314411">
        <w:t xml:space="preserve"> </w:t>
      </w:r>
      <w:r w:rsidRPr="00314411">
        <w:t>in excess of</w:t>
      </w:r>
      <w:r w:rsidR="0091231F" w:rsidRPr="00314411">
        <w:t xml:space="preserve"> the </w:t>
      </w:r>
      <w:r w:rsidRPr="00314411">
        <w:t>previously approved Board amount will be funded through</w:t>
      </w:r>
      <w:r w:rsidR="0091231F" w:rsidRPr="00314411">
        <w:t xml:space="preserve"> the </w:t>
      </w:r>
      <w:r w:rsidRPr="00314411">
        <w:t>Applicant's cash and expected to be approved. We note</w:t>
      </w:r>
      <w:r w:rsidR="0091231F" w:rsidRPr="00314411">
        <w:t xml:space="preserve"> the </w:t>
      </w:r>
      <w:r w:rsidRPr="00314411">
        <w:t>cash required to meet the revised MCE of $38.0 million has bee</w:t>
      </w:r>
      <w:r w:rsidR="00107440" w:rsidRPr="00314411">
        <w:t xml:space="preserve">n </w:t>
      </w:r>
      <w:r w:rsidRPr="00314411">
        <w:t>included within</w:t>
      </w:r>
      <w:r w:rsidR="0091231F" w:rsidRPr="00314411">
        <w:t xml:space="preserve"> the </w:t>
      </w:r>
      <w:r w:rsidRPr="00314411">
        <w:t>cash flows of</w:t>
      </w:r>
      <w:r w:rsidR="0091231F" w:rsidRPr="00314411">
        <w:t xml:space="preserve"> the </w:t>
      </w:r>
      <w:r w:rsidRPr="00314411">
        <w:t>Project</w:t>
      </w:r>
      <w:r w:rsidR="00D15E07" w:rsidRPr="00314411">
        <w:t>ions</w:t>
      </w:r>
      <w:r w:rsidRPr="00314411">
        <w:t>. The Applicant has entered into a lease over a 30-year term with Waterstone Properties Group, Inc. to construct the surgical pavilion. No debt financing is anticipated.</w:t>
      </w:r>
    </w:p>
    <w:p w14:paraId="1FE6FF0D" w14:textId="77777777" w:rsidR="000D4777" w:rsidRPr="00314411" w:rsidRDefault="00F02F19" w:rsidP="0044566A">
      <w:pPr>
        <w:pStyle w:val="Heading1"/>
      </w:pPr>
      <w:bookmarkStart w:id="10" w:name="_Toc80130171"/>
      <w:r w:rsidRPr="00314411">
        <w:rPr>
          <w:u w:color="3D364F"/>
        </w:rPr>
        <w:t>FEASIBILITY</w:t>
      </w:r>
      <w:bookmarkEnd w:id="10"/>
    </w:p>
    <w:p w14:paraId="05AADACC" w14:textId="699ACFC0" w:rsidR="000D4777" w:rsidRPr="00314411" w:rsidRDefault="00F02F19" w:rsidP="00ED2BFB">
      <w:pPr>
        <w:pStyle w:val="BodyText"/>
      </w:pPr>
      <w:r w:rsidRPr="00314411">
        <w:t>We analyzed the Project</w:t>
      </w:r>
      <w:r w:rsidR="00D15E07" w:rsidRPr="00314411">
        <w:t>ions</w:t>
      </w:r>
      <w:r w:rsidRPr="00314411">
        <w:t xml:space="preserve"> and Key Metrics for the Proposed Project. In preparing our analysis we considered multiple sources of informat</w:t>
      </w:r>
      <w:r w:rsidR="0091231F" w:rsidRPr="00314411">
        <w:t>ion</w:t>
      </w:r>
      <w:r w:rsidR="00213398" w:rsidRPr="00314411">
        <w:t xml:space="preserve"> </w:t>
      </w:r>
      <w:r w:rsidRPr="00314411">
        <w:t>including</w:t>
      </w:r>
      <w:r w:rsidR="00213398" w:rsidRPr="00314411">
        <w:t xml:space="preserve"> </w:t>
      </w:r>
      <w:r w:rsidRPr="00314411">
        <w:t>industry metrics, historical</w:t>
      </w:r>
      <w:r w:rsidR="00213398" w:rsidRPr="00314411">
        <w:t xml:space="preserve"> </w:t>
      </w:r>
      <w:r w:rsidRPr="00314411">
        <w:t>results, and Management expectat</w:t>
      </w:r>
      <w:r w:rsidR="00D15E07" w:rsidRPr="00314411">
        <w:t>ions</w:t>
      </w:r>
      <w:r w:rsidRPr="00314411">
        <w:t>. It is important to note that</w:t>
      </w:r>
      <w:r w:rsidR="0091231F" w:rsidRPr="00314411">
        <w:t xml:space="preserve"> the </w:t>
      </w:r>
      <w:r w:rsidRPr="00314411">
        <w:t>Projec</w:t>
      </w:r>
      <w:r w:rsidR="003E7BE2" w:rsidRPr="00314411">
        <w:t>tion</w:t>
      </w:r>
      <w:r w:rsidR="00D15E07" w:rsidRPr="00314411">
        <w:t>s</w:t>
      </w:r>
      <w:r w:rsidRPr="00314411">
        <w:t xml:space="preserve"> do not account for any anticipated changes in accounting</w:t>
      </w:r>
      <w:r w:rsidR="00213398" w:rsidRPr="00314411">
        <w:t xml:space="preserve"> standards</w:t>
      </w:r>
      <w:r w:rsidRPr="00314411">
        <w:t xml:space="preserve">. These standards, </w:t>
      </w:r>
      <w:r w:rsidR="00213398" w:rsidRPr="00314411">
        <w:t>which</w:t>
      </w:r>
      <w:r w:rsidRPr="00314411">
        <w:t xml:space="preserve"> may have a </w:t>
      </w:r>
      <w:r w:rsidR="00213398" w:rsidRPr="00314411">
        <w:t>material</w:t>
      </w:r>
      <w:r w:rsidRPr="00314411">
        <w:t xml:space="preserve"> impact on individual future years, are not anticipated to have a material impact on the aggregate Project</w:t>
      </w:r>
      <w:r w:rsidR="00D15E07" w:rsidRPr="00314411">
        <w:t>ions</w:t>
      </w:r>
      <w:r w:rsidRPr="00314411">
        <w:t>.</w:t>
      </w:r>
    </w:p>
    <w:p w14:paraId="2144D1C5" w14:textId="1F2DD130" w:rsidR="000D4777" w:rsidRPr="00314411" w:rsidRDefault="00F02F19" w:rsidP="00ED2BFB">
      <w:pPr>
        <w:pStyle w:val="BodyText"/>
      </w:pPr>
      <w:r w:rsidRPr="00314411">
        <w:t>Within</w:t>
      </w:r>
      <w:r w:rsidR="0091231F" w:rsidRPr="00314411">
        <w:t xml:space="preserve"> the </w:t>
      </w:r>
      <w:r w:rsidRPr="00314411">
        <w:t>projected financial informat</w:t>
      </w:r>
      <w:r w:rsidR="0091231F" w:rsidRPr="00314411">
        <w:t>ion</w:t>
      </w:r>
      <w:r w:rsidRPr="00314411">
        <w:t>,</w:t>
      </w:r>
      <w:r w:rsidR="0091231F" w:rsidRPr="00314411">
        <w:t xml:space="preserve"> the </w:t>
      </w:r>
      <w:r w:rsidRPr="00314411">
        <w:t>Project</w:t>
      </w:r>
      <w:r w:rsidR="00D15E07" w:rsidRPr="00314411">
        <w:t>ions</w:t>
      </w:r>
      <w:r w:rsidRPr="00314411">
        <w:t xml:space="preserve"> exhibit a cumulative operating EBITDA</w:t>
      </w:r>
      <w:r w:rsidR="00213398" w:rsidRPr="00314411">
        <w:t xml:space="preserve"> </w:t>
      </w:r>
      <w:r w:rsidRPr="00314411">
        <w:t>surplus of approximately</w:t>
      </w:r>
      <w:r w:rsidR="00213398" w:rsidRPr="00314411">
        <w:t xml:space="preserve"> </w:t>
      </w:r>
      <w:r w:rsidRPr="00314411">
        <w:t xml:space="preserve">6.0 percent of cumulative projected operating revenue for </w:t>
      </w:r>
      <w:r w:rsidR="006066B9" w:rsidRPr="00314411">
        <w:t xml:space="preserve">the </w:t>
      </w:r>
      <w:r w:rsidRPr="00314411">
        <w:t>nine years from 2021 through 2029. Based upon our review of the relevant documents and analysis of the Projections, we determined the anticipated operating</w:t>
      </w:r>
      <w:r w:rsidR="00861257" w:rsidRPr="00314411">
        <w:t xml:space="preserve"> </w:t>
      </w:r>
      <w:r w:rsidRPr="00314411">
        <w:t>surplus is a reasonable</w:t>
      </w:r>
    </w:p>
    <w:p w14:paraId="6830449C" w14:textId="77777777" w:rsidR="000D4777" w:rsidRPr="00314411" w:rsidRDefault="000D4777" w:rsidP="00ED2BFB">
      <w:pPr>
        <w:pStyle w:val="BodyText"/>
        <w:sectPr w:rsidR="000D4777" w:rsidRPr="00314411" w:rsidSect="00A72E91">
          <w:pgSz w:w="12240" w:h="15840"/>
          <w:pgMar w:top="2160" w:right="1382" w:bottom="274" w:left="1440" w:header="720" w:footer="720" w:gutter="0"/>
          <w:cols w:space="720"/>
        </w:sectPr>
      </w:pPr>
    </w:p>
    <w:p w14:paraId="1EC510E8" w14:textId="4EC35BA8" w:rsidR="000D4777" w:rsidRPr="00314411" w:rsidRDefault="00F02F19" w:rsidP="00ED2BFB">
      <w:pPr>
        <w:pStyle w:val="BodyText"/>
      </w:pPr>
      <w:r w:rsidRPr="00314411">
        <w:lastRenderedPageBreak/>
        <w:t>expectation and based upon feasible financial assumptions. Accordingly, we dete</w:t>
      </w:r>
      <w:r w:rsidR="00861257" w:rsidRPr="00314411">
        <w:t xml:space="preserve">rmined </w:t>
      </w:r>
      <w:r w:rsidRPr="00314411">
        <w:t>that the Project</w:t>
      </w:r>
      <w:r w:rsidR="00D15E07" w:rsidRPr="00314411">
        <w:t>ions</w:t>
      </w:r>
      <w:r w:rsidRPr="00314411">
        <w:t xml:space="preserve"> are reasonable and </w:t>
      </w:r>
      <w:r w:rsidR="00D15E07" w:rsidRPr="00314411">
        <w:t>feasible</w:t>
      </w:r>
      <w:r w:rsidRPr="00314411">
        <w:t>, and not likely to have a negative</w:t>
      </w:r>
      <w:r w:rsidR="00861257" w:rsidRPr="00314411">
        <w:t xml:space="preserve"> </w:t>
      </w:r>
      <w:r w:rsidRPr="00314411">
        <w:t>impact on die patient panel</w:t>
      </w:r>
      <w:r w:rsidR="00861257" w:rsidRPr="00314411">
        <w:t xml:space="preserve"> </w:t>
      </w:r>
      <w:r w:rsidRPr="00314411">
        <w:t>or</w:t>
      </w:r>
      <w:r w:rsidR="00861257" w:rsidRPr="00314411">
        <w:t xml:space="preserve"> </w:t>
      </w:r>
      <w:r w:rsidRPr="00314411">
        <w:t>result in a liquidation of assets of Heywood.</w:t>
      </w:r>
    </w:p>
    <w:p w14:paraId="1D87648C" w14:textId="7DA1FE3E" w:rsidR="000D4777" w:rsidRPr="00314411" w:rsidRDefault="00F02F19" w:rsidP="00ED2BFB">
      <w:pPr>
        <w:pStyle w:val="BodyText"/>
      </w:pPr>
      <w:r w:rsidRPr="00314411">
        <w:t>Respectively submitted,</w:t>
      </w:r>
    </w:p>
    <w:p w14:paraId="6E29093A" w14:textId="77777777" w:rsidR="000D4777" w:rsidRPr="00314411" w:rsidRDefault="00F02F19" w:rsidP="00ED2BFB">
      <w:pPr>
        <w:pStyle w:val="BodyText"/>
      </w:pPr>
      <w:r w:rsidRPr="00314411">
        <w:rPr>
          <w:noProof/>
        </w:rPr>
        <w:drawing>
          <wp:inline distT="0" distB="0" distL="0" distR="0" wp14:anchorId="22D417E8" wp14:editId="211944CD">
            <wp:extent cx="971292" cy="385762"/>
            <wp:effectExtent l="0" t="0" r="635" b="0"/>
            <wp:docPr id="1" name="image1.jpeg" descr="Signature of Erik Ly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Signature of Erik Lynch"/>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71292" cy="385762"/>
                    </a:xfrm>
                    <a:prstGeom prst="rect">
                      <a:avLst/>
                    </a:prstGeom>
                  </pic:spPr>
                </pic:pic>
              </a:graphicData>
            </a:graphic>
          </wp:inline>
        </w:drawing>
      </w:r>
    </w:p>
    <w:p w14:paraId="2838EE7D" w14:textId="659DD624" w:rsidR="000D4777" w:rsidRPr="00962812" w:rsidRDefault="00F02F19" w:rsidP="00962812">
      <w:pPr>
        <w:rPr>
          <w:rFonts w:ascii="Arial" w:hAnsi="Arial" w:cs="Arial"/>
        </w:rPr>
      </w:pPr>
      <w:r w:rsidRPr="00962812">
        <w:rPr>
          <w:rFonts w:ascii="Arial" w:hAnsi="Arial" w:cs="Arial"/>
        </w:rPr>
        <w:t>Erik Lynch</w:t>
      </w:r>
      <w:r w:rsidR="00962812" w:rsidRPr="00962812">
        <w:rPr>
          <w:rFonts w:ascii="Arial" w:hAnsi="Arial" w:cs="Arial"/>
        </w:rPr>
        <w:br/>
      </w:r>
      <w:r w:rsidRPr="00962812">
        <w:rPr>
          <w:rFonts w:ascii="Arial" w:hAnsi="Arial" w:cs="Arial"/>
        </w:rPr>
        <w:t>Pa</w:t>
      </w:r>
      <w:r w:rsidR="00D15E07" w:rsidRPr="00962812">
        <w:rPr>
          <w:rFonts w:ascii="Arial" w:hAnsi="Arial" w:cs="Arial"/>
        </w:rPr>
        <w:t>rt</w:t>
      </w:r>
      <w:r w:rsidRPr="00962812">
        <w:rPr>
          <w:rFonts w:ascii="Arial" w:hAnsi="Arial" w:cs="Arial"/>
        </w:rPr>
        <w:t>ner, BDO USA LLP</w:t>
      </w:r>
    </w:p>
    <w:sectPr w:rsidR="000D4777" w:rsidRPr="00962812" w:rsidSect="00A72E91">
      <w:pgSz w:w="12240" w:h="15840"/>
      <w:pgMar w:top="2160" w:right="13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C0552" w14:textId="77777777" w:rsidR="004503B5" w:rsidRDefault="004503B5" w:rsidP="00150FC2">
      <w:r>
        <w:separator/>
      </w:r>
    </w:p>
  </w:endnote>
  <w:endnote w:type="continuationSeparator" w:id="0">
    <w:p w14:paraId="4D6BF9A7" w14:textId="77777777" w:rsidR="004503B5" w:rsidRDefault="004503B5" w:rsidP="0015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Light"/>
      <w:tblW w:w="11312" w:type="dxa"/>
      <w:tblInd w:w="-882" w:type="dxa"/>
      <w:tblLook w:val="04A0" w:firstRow="1" w:lastRow="0" w:firstColumn="1" w:lastColumn="0" w:noHBand="0" w:noVBand="1"/>
      <w:tblCaption w:val="BDO Footer"/>
      <w:tblDescription w:val="The report accompanying these financial statements with issued by BDO USA, LLP, a Delaware limited liability partnership and U.S. member of BDO International Limited, a UK company limited by guarantee, BOD"/>
    </w:tblPr>
    <w:tblGrid>
      <w:gridCol w:w="4410"/>
      <w:gridCol w:w="3690"/>
      <w:gridCol w:w="3212"/>
    </w:tblGrid>
    <w:tr w:rsidR="00C91023" w14:paraId="2340B579" w14:textId="77777777" w:rsidTr="003B0618">
      <w:tc>
        <w:tcPr>
          <w:tcW w:w="4410" w:type="dxa"/>
        </w:tcPr>
        <w:p w14:paraId="3C522424" w14:textId="03DF34AF" w:rsidR="00C91023" w:rsidRPr="00C91023" w:rsidRDefault="00C91023">
          <w:pPr>
            <w:pStyle w:val="Footer"/>
            <w:rPr>
              <w:rFonts w:ascii="Arial" w:hAnsi="Arial" w:cs="Arial"/>
              <w:sz w:val="12"/>
              <w:szCs w:val="12"/>
            </w:rPr>
          </w:pPr>
          <w:r w:rsidRPr="00C91023">
            <w:rPr>
              <w:rFonts w:ascii="Arial" w:hAnsi="Arial" w:cs="Arial"/>
              <w:sz w:val="12"/>
              <w:szCs w:val="12"/>
            </w:rPr>
            <w:t xml:space="preserve">The report accompanying these financial statements with issued by </w:t>
          </w:r>
          <w:r w:rsidRPr="00C91023">
            <w:rPr>
              <w:rFonts w:ascii="Arial" w:hAnsi="Arial" w:cs="Arial"/>
              <w:sz w:val="12"/>
              <w:szCs w:val="12"/>
            </w:rPr>
            <w:br/>
            <w:t>BDO USA, LLP, a Delaware limited liability partnership and U.S. member of BDO International Limited, a UK company limited by guarantee.</w:t>
          </w:r>
        </w:p>
      </w:tc>
      <w:tc>
        <w:tcPr>
          <w:tcW w:w="3690" w:type="dxa"/>
        </w:tcPr>
        <w:p w14:paraId="36415FE1" w14:textId="77777777" w:rsidR="00C91023" w:rsidRDefault="00C91023">
          <w:pPr>
            <w:pStyle w:val="Footer"/>
          </w:pPr>
        </w:p>
      </w:tc>
      <w:tc>
        <w:tcPr>
          <w:tcW w:w="3212" w:type="dxa"/>
        </w:tcPr>
        <w:p w14:paraId="05081CAC" w14:textId="3BFE78DB" w:rsidR="00C91023" w:rsidRDefault="00C91023" w:rsidP="00C91023">
          <w:pPr>
            <w:pStyle w:val="Footer"/>
            <w:jc w:val="right"/>
          </w:pPr>
          <w:r>
            <w:rPr>
              <w:rFonts w:asciiTheme="minorHAnsi" w:hAnsiTheme="minorHAnsi" w:cstheme="minorHAnsi"/>
              <w:noProof/>
              <w:sz w:val="16"/>
              <w:szCs w:val="16"/>
            </w:rPr>
            <w:drawing>
              <wp:inline distT="0" distB="0" distL="0" distR="0" wp14:anchorId="2C6F3550" wp14:editId="415D0A0A">
                <wp:extent cx="1188823" cy="457240"/>
                <wp:effectExtent l="0" t="0" r="0" b="0"/>
                <wp:docPr id="3" name="Picture 3" descr="BDO Logo -red lines and blue text,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DO Logo -red lines and blue text, BDO."/>
                        <pic:cNvPicPr/>
                      </pic:nvPicPr>
                      <pic:blipFill>
                        <a:blip r:embed="rId1">
                          <a:extLst>
                            <a:ext uri="{28A0092B-C50C-407E-A947-70E740481C1C}">
                              <a14:useLocalDpi xmlns:a14="http://schemas.microsoft.com/office/drawing/2010/main" val="0"/>
                            </a:ext>
                          </a:extLst>
                        </a:blip>
                        <a:stretch>
                          <a:fillRect/>
                        </a:stretch>
                      </pic:blipFill>
                      <pic:spPr>
                        <a:xfrm>
                          <a:off x="0" y="0"/>
                          <a:ext cx="1188823" cy="457240"/>
                        </a:xfrm>
                        <a:prstGeom prst="rect">
                          <a:avLst/>
                        </a:prstGeom>
                      </pic:spPr>
                    </pic:pic>
                  </a:graphicData>
                </a:graphic>
              </wp:inline>
            </w:drawing>
          </w:r>
        </w:p>
      </w:tc>
    </w:tr>
  </w:tbl>
  <w:p w14:paraId="308FEDE4" w14:textId="77777777" w:rsidR="00C91023" w:rsidRDefault="00C91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45FFB" w14:textId="77777777" w:rsidR="00855A74" w:rsidRPr="00ED2BFB" w:rsidRDefault="00855A74" w:rsidP="00855A74">
    <w:pPr>
      <w:rPr>
        <w:rFonts w:ascii="Arial" w:hAnsi="Arial" w:cs="Arial"/>
        <w:sz w:val="10"/>
        <w:szCs w:val="10"/>
      </w:rPr>
    </w:pPr>
    <w:r w:rsidRPr="00ED2BFB">
      <w:rPr>
        <w:rFonts w:ascii="Arial" w:hAnsi="Arial" w:cs="Arial"/>
        <w:sz w:val="10"/>
        <w:szCs w:val="10"/>
      </w:rPr>
      <w:t xml:space="preserve">BDO USA, </w:t>
    </w:r>
    <w:r w:rsidRPr="00ED2BFB">
      <w:rPr>
        <w:rFonts w:ascii="Arial" w:hAnsi="Arial" w:cs="Arial"/>
        <w:i/>
        <w:sz w:val="10"/>
        <w:szCs w:val="10"/>
      </w:rPr>
      <w:t xml:space="preserve">UP, </w:t>
    </w:r>
    <w:r w:rsidRPr="00ED2BFB">
      <w:rPr>
        <w:rFonts w:ascii="Arial" w:hAnsi="Arial" w:cs="Arial"/>
        <w:sz w:val="10"/>
        <w:szCs w:val="10"/>
      </w:rPr>
      <w:t>a Delaware limited liability partnership, is the U.S. member of BDO International Limited, a UK company limited by guarantee, and forms part of</w:t>
    </w:r>
  </w:p>
  <w:p w14:paraId="40D2F2D4" w14:textId="77777777" w:rsidR="00855A74" w:rsidRPr="00ED2BFB" w:rsidRDefault="00855A74" w:rsidP="00855A74">
    <w:pPr>
      <w:spacing w:after="120"/>
      <w:rPr>
        <w:rFonts w:ascii="Arial" w:hAnsi="Arial" w:cs="Arial"/>
        <w:sz w:val="10"/>
        <w:szCs w:val="10"/>
      </w:rPr>
    </w:pPr>
    <w:r w:rsidRPr="00ED2BFB">
      <w:rPr>
        <w:rFonts w:ascii="Arial" w:hAnsi="Arial" w:cs="Arial"/>
        <w:sz w:val="10"/>
        <w:szCs w:val="10"/>
      </w:rPr>
      <w:t>the international BDO network of independent member firms.</w:t>
    </w:r>
  </w:p>
  <w:p w14:paraId="11C685F1" w14:textId="4C239415" w:rsidR="00150FC2" w:rsidRPr="00855A74" w:rsidRDefault="00855A74">
    <w:pPr>
      <w:pStyle w:val="Footer"/>
      <w:rPr>
        <w:sz w:val="10"/>
        <w:szCs w:val="10"/>
      </w:rPr>
    </w:pPr>
    <w:r w:rsidRPr="001C2438">
      <w:rPr>
        <w:rFonts w:ascii="Arial" w:hAnsi="Arial" w:cs="Arial"/>
        <w:sz w:val="10"/>
        <w:szCs w:val="10"/>
      </w:rPr>
      <w:t>BDO is the brand name for the BDO network and for each of the BDO Member Firms.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E264D" w14:textId="77777777" w:rsidR="00855A74" w:rsidRDefault="00855A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450B" w14:textId="77777777" w:rsidR="00150FC2" w:rsidRPr="00ED2BFB" w:rsidRDefault="00150FC2" w:rsidP="00ED2BFB">
    <w:pPr>
      <w:rPr>
        <w:rFonts w:ascii="Arial" w:hAnsi="Arial" w:cs="Arial"/>
        <w:sz w:val="10"/>
        <w:szCs w:val="10"/>
      </w:rPr>
    </w:pPr>
    <w:r w:rsidRPr="00ED2BFB">
      <w:rPr>
        <w:rFonts w:ascii="Arial" w:hAnsi="Arial" w:cs="Arial"/>
        <w:sz w:val="10"/>
        <w:szCs w:val="10"/>
      </w:rPr>
      <w:t xml:space="preserve">BDO USA, </w:t>
    </w:r>
    <w:r w:rsidRPr="00ED2BFB">
      <w:rPr>
        <w:rFonts w:ascii="Arial" w:hAnsi="Arial" w:cs="Arial"/>
        <w:i/>
        <w:sz w:val="10"/>
        <w:szCs w:val="10"/>
      </w:rPr>
      <w:t xml:space="preserve">UP, </w:t>
    </w:r>
    <w:r w:rsidRPr="00ED2BFB">
      <w:rPr>
        <w:rFonts w:ascii="Arial" w:hAnsi="Arial" w:cs="Arial"/>
        <w:sz w:val="10"/>
        <w:szCs w:val="10"/>
      </w:rPr>
      <w:t>a Delaware limited liability partnership, is the U.S. member of BDO International Limited, a UK company limited by guarantee, and forms part of</w:t>
    </w:r>
  </w:p>
  <w:p w14:paraId="381A8299" w14:textId="77777777" w:rsidR="00150FC2" w:rsidRPr="00ED2BFB" w:rsidRDefault="00150FC2" w:rsidP="00ED2BFB">
    <w:pPr>
      <w:rPr>
        <w:rFonts w:ascii="Arial" w:hAnsi="Arial" w:cs="Arial"/>
        <w:sz w:val="10"/>
        <w:szCs w:val="10"/>
      </w:rPr>
    </w:pPr>
    <w:r w:rsidRPr="00ED2BFB">
      <w:rPr>
        <w:rFonts w:ascii="Arial" w:hAnsi="Arial" w:cs="Arial"/>
        <w:sz w:val="10"/>
        <w:szCs w:val="10"/>
      </w:rPr>
      <w:t>the international BDO network of independent member firms.</w:t>
    </w:r>
  </w:p>
  <w:p w14:paraId="6C110BFC" w14:textId="4155B706" w:rsidR="00150FC2" w:rsidRPr="001C2438" w:rsidRDefault="00150FC2" w:rsidP="00C91023">
    <w:pPr>
      <w:pStyle w:val="Footer"/>
      <w:tabs>
        <w:tab w:val="clear" w:pos="4680"/>
        <w:tab w:val="clear" w:pos="9360"/>
        <w:tab w:val="left" w:pos="5400"/>
      </w:tabs>
      <w:rPr>
        <w:sz w:val="10"/>
        <w:szCs w:val="10"/>
      </w:rPr>
    </w:pPr>
    <w:r w:rsidRPr="001C2438">
      <w:rPr>
        <w:rFonts w:ascii="Arial" w:hAnsi="Arial" w:cs="Arial"/>
        <w:sz w:val="10"/>
        <w:szCs w:val="10"/>
      </w:rPr>
      <w:t>BDO is the brand name for the BDO network and for each of the BDO Member Firms.</w:t>
    </w:r>
    <w:r w:rsidR="00C91023">
      <w:rPr>
        <w:rFonts w:ascii="Arial" w:hAnsi="Arial" w:cs="Arial"/>
        <w:sz w:val="10"/>
        <w:szCs w:val="10"/>
      </w:rPr>
      <w:tab/>
    </w:r>
  </w:p>
  <w:p w14:paraId="6505ABAB" w14:textId="77777777" w:rsidR="00150FC2" w:rsidRDefault="00150F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9A0EE" w14:textId="77777777" w:rsidR="00150FC2" w:rsidRDefault="00150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F497C" w14:textId="77777777" w:rsidR="004503B5" w:rsidRDefault="004503B5" w:rsidP="00150FC2">
      <w:r>
        <w:separator/>
      </w:r>
    </w:p>
  </w:footnote>
  <w:footnote w:type="continuationSeparator" w:id="0">
    <w:p w14:paraId="53BBC100" w14:textId="77777777" w:rsidR="004503B5" w:rsidRDefault="004503B5" w:rsidP="00150FC2">
      <w:r>
        <w:continuationSeparator/>
      </w:r>
    </w:p>
  </w:footnote>
  <w:footnote w:id="1">
    <w:p w14:paraId="794926B8" w14:textId="3590864D" w:rsidR="00622656" w:rsidRPr="005B5F4F" w:rsidRDefault="00622656">
      <w:pPr>
        <w:pStyle w:val="FootnoteText"/>
        <w:rPr>
          <w:rFonts w:ascii="Arial" w:hAnsi="Arial" w:cs="Arial"/>
        </w:rPr>
      </w:pPr>
      <w:r w:rsidRPr="005B5F4F">
        <w:rPr>
          <w:rStyle w:val="FootnoteReference"/>
          <w:rFonts w:ascii="Arial" w:hAnsi="Arial" w:cs="Arial"/>
        </w:rPr>
        <w:footnoteRef/>
      </w:r>
      <w:r w:rsidRPr="005B5F4F">
        <w:rPr>
          <w:rFonts w:ascii="Arial" w:hAnsi="Arial" w:cs="Arial"/>
        </w:rPr>
        <w:t xml:space="preserve"> Please note, FY 2020 results for the Applicant were significantly impacted by the COVID-19 pandemic. We understand the Applicant experienced a loss of NPSR and incremental expenses related to the purchase of personal protection equipment, disinfecting supplies, additional facility cleaning services, and increased technology expenses to support remote working.</w:t>
      </w:r>
    </w:p>
  </w:footnote>
  <w:footnote w:id="2">
    <w:p w14:paraId="0687D98D" w14:textId="17BD9513" w:rsidR="00993CBA" w:rsidRPr="00387D6C" w:rsidRDefault="00993CBA" w:rsidP="00387D6C">
      <w:pPr>
        <w:rPr>
          <w:rFonts w:ascii="Arial" w:hAnsi="Arial" w:cs="Arial"/>
          <w:sz w:val="18"/>
          <w:szCs w:val="18"/>
        </w:rPr>
      </w:pPr>
      <w:r w:rsidRPr="00387D6C">
        <w:rPr>
          <w:rStyle w:val="FootnoteReference"/>
          <w:rFonts w:ascii="Arial" w:hAnsi="Arial" w:cs="Arial"/>
          <w:sz w:val="18"/>
          <w:szCs w:val="18"/>
        </w:rPr>
        <w:footnoteRef/>
      </w:r>
      <w:r w:rsidRPr="00387D6C">
        <w:rPr>
          <w:rFonts w:ascii="Arial" w:hAnsi="Arial" w:cs="Arial"/>
          <w:sz w:val="18"/>
          <w:szCs w:val="18"/>
        </w:rPr>
        <w:t xml:space="preserve"> The Projections include incremental revenue and expenses beginning in FY 2025.</w:t>
      </w:r>
      <w:r w:rsidRPr="00387D6C">
        <w:rPr>
          <w:rFonts w:ascii="Arial" w:hAnsi="Arial" w:cs="Arial"/>
          <w:iCs/>
          <w:sz w:val="18"/>
          <w:szCs w:val="18"/>
        </w:rPr>
        <w:t xml:space="preserve"> We </w:t>
      </w:r>
      <w:r w:rsidRPr="00387D6C">
        <w:rPr>
          <w:rFonts w:ascii="Arial" w:hAnsi="Arial" w:cs="Arial"/>
          <w:sz w:val="18"/>
          <w:szCs w:val="18"/>
        </w:rPr>
        <w:t>understand as of the date of preparation of our report that the first procedure may be performed at the new surgical pavilion in FY 2024; however, given an uncertainty in timing, the Projections utilize a start date in FY 2025. The Projections include a full five -year period from FY 2025 through FY 2029 of impact of the Proposed Project.</w:t>
      </w:r>
    </w:p>
  </w:footnote>
  <w:footnote w:id="3">
    <w:p w14:paraId="459A2901" w14:textId="52E9F961" w:rsidR="00993CBA" w:rsidRPr="00993CBA" w:rsidRDefault="00993CBA" w:rsidP="00993CBA">
      <w:pPr>
        <w:pStyle w:val="FootnoteText"/>
        <w:rPr>
          <w:rFonts w:ascii="Arial" w:hAnsi="Arial" w:cs="Arial"/>
          <w:sz w:val="18"/>
          <w:szCs w:val="18"/>
        </w:rPr>
      </w:pPr>
      <w:r w:rsidRPr="00993CBA">
        <w:rPr>
          <w:rStyle w:val="FootnoteReference"/>
          <w:rFonts w:ascii="Arial" w:hAnsi="Arial" w:cs="Arial"/>
          <w:sz w:val="18"/>
          <w:szCs w:val="18"/>
        </w:rPr>
        <w:footnoteRef/>
      </w:r>
      <w:r w:rsidRPr="00993CBA">
        <w:rPr>
          <w:rFonts w:ascii="Arial" w:hAnsi="Arial" w:cs="Arial"/>
          <w:sz w:val="18"/>
          <w:szCs w:val="18"/>
        </w:rPr>
        <w:t xml:space="preserve"> At a point in time, Management's plan was to construct a standalone ambulatory surgical center {" ASC”); however, we</w:t>
      </w:r>
      <w:r w:rsidRPr="00993CBA">
        <w:rPr>
          <w:rFonts w:ascii="Arial" w:hAnsi="Arial" w:cs="Arial"/>
          <w:i/>
          <w:sz w:val="18"/>
          <w:szCs w:val="18"/>
        </w:rPr>
        <w:t xml:space="preserve"> </w:t>
      </w:r>
      <w:r w:rsidRPr="00993CBA">
        <w:rPr>
          <w:rFonts w:ascii="Arial" w:hAnsi="Arial" w:cs="Arial"/>
          <w:sz w:val="18"/>
          <w:szCs w:val="18"/>
        </w:rPr>
        <w:t xml:space="preserve">understand the plans changed over time to construct a new surgical pavilion at the Hospital. As such, initially surgical procedures were classified whether they would be eligible to be performed at the ASC. The procedures referenced above reflect ASC-eligible procedures. Given all procedures would now be "eligible", this was </w:t>
      </w:r>
      <w:r w:rsidRPr="00993CBA">
        <w:rPr>
          <w:rFonts w:ascii="Arial" w:hAnsi="Arial" w:cs="Arial"/>
          <w:iCs/>
          <w:sz w:val="18"/>
          <w:szCs w:val="18"/>
        </w:rPr>
        <w:t>deemed</w:t>
      </w:r>
      <w:r w:rsidRPr="00993CBA">
        <w:rPr>
          <w:rFonts w:ascii="Arial" w:hAnsi="Arial" w:cs="Arial"/>
          <w:i/>
          <w:sz w:val="18"/>
          <w:szCs w:val="18"/>
        </w:rPr>
        <w:t xml:space="preserve"> </w:t>
      </w:r>
      <w:r w:rsidRPr="00993CBA">
        <w:rPr>
          <w:rFonts w:ascii="Arial" w:hAnsi="Arial" w:cs="Arial"/>
          <w:sz w:val="18"/>
          <w:szCs w:val="18"/>
        </w:rPr>
        <w:t>as conservative as these growth rates could be applied to all procedures rather than just the subset.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Light"/>
      <w:tblW w:w="0" w:type="auto"/>
      <w:tblLook w:val="04A0" w:firstRow="1" w:lastRow="0" w:firstColumn="1" w:lastColumn="0" w:noHBand="0" w:noVBand="1"/>
      <w:tblCaption w:val="BDO Letterhead"/>
      <w:tblDescription w:val="Telephone: 617-422-0700, Fax: 617-422-0909, www.bdo.com, One International Place, Boston, MA 02110-1745"/>
    </w:tblPr>
    <w:tblGrid>
      <w:gridCol w:w="3135"/>
      <w:gridCol w:w="3152"/>
      <w:gridCol w:w="3121"/>
    </w:tblGrid>
    <w:tr w:rsidR="00BA4306" w14:paraId="5DD451D9" w14:textId="77777777" w:rsidTr="003B0618">
      <w:tc>
        <w:tcPr>
          <w:tcW w:w="3212" w:type="dxa"/>
        </w:tcPr>
        <w:p w14:paraId="7F4D03CF" w14:textId="11AE2818" w:rsidR="00BA4306" w:rsidRDefault="00BA4306">
          <w:pPr>
            <w:pStyle w:val="Header"/>
          </w:pPr>
          <w:r>
            <w:rPr>
              <w:rFonts w:asciiTheme="minorHAnsi" w:hAnsiTheme="minorHAnsi" w:cstheme="minorHAnsi"/>
              <w:noProof/>
              <w:sz w:val="16"/>
              <w:szCs w:val="16"/>
            </w:rPr>
            <w:drawing>
              <wp:inline distT="0" distB="0" distL="0" distR="0" wp14:anchorId="6144CD13" wp14:editId="277C4020">
                <wp:extent cx="1188823" cy="457240"/>
                <wp:effectExtent l="0" t="0" r="0" b="0"/>
                <wp:docPr id="59" name="Picture 59" descr="BDO Logo -red lines and blue text,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DO Logo -red lines and blue text, BDO."/>
                        <pic:cNvPicPr/>
                      </pic:nvPicPr>
                      <pic:blipFill>
                        <a:blip r:embed="rId1">
                          <a:extLst>
                            <a:ext uri="{28A0092B-C50C-407E-A947-70E740481C1C}">
                              <a14:useLocalDpi xmlns:a14="http://schemas.microsoft.com/office/drawing/2010/main" val="0"/>
                            </a:ext>
                          </a:extLst>
                        </a:blip>
                        <a:stretch>
                          <a:fillRect/>
                        </a:stretch>
                      </pic:blipFill>
                      <pic:spPr>
                        <a:xfrm>
                          <a:off x="0" y="0"/>
                          <a:ext cx="1188823" cy="457240"/>
                        </a:xfrm>
                        <a:prstGeom prst="rect">
                          <a:avLst/>
                        </a:prstGeom>
                      </pic:spPr>
                    </pic:pic>
                  </a:graphicData>
                </a:graphic>
              </wp:inline>
            </w:drawing>
          </w:r>
        </w:p>
      </w:tc>
      <w:tc>
        <w:tcPr>
          <w:tcW w:w="3212" w:type="dxa"/>
        </w:tcPr>
        <w:p w14:paraId="2F5791C7" w14:textId="77777777" w:rsidR="00BA4306" w:rsidRPr="00BA4306" w:rsidRDefault="00BA4306" w:rsidP="00BA4306">
          <w:pPr>
            <w:pStyle w:val="Header"/>
            <w:ind w:left="1104"/>
            <w:rPr>
              <w:rFonts w:ascii="Arial" w:hAnsi="Arial" w:cs="Arial"/>
              <w:sz w:val="16"/>
              <w:szCs w:val="16"/>
            </w:rPr>
          </w:pPr>
          <w:r w:rsidRPr="00BA4306">
            <w:rPr>
              <w:rFonts w:ascii="Arial" w:hAnsi="Arial" w:cs="Arial"/>
              <w:sz w:val="16"/>
              <w:szCs w:val="16"/>
            </w:rPr>
            <w:t>Tel: 617-422-0700</w:t>
          </w:r>
        </w:p>
        <w:p w14:paraId="3369C325" w14:textId="77777777" w:rsidR="00BA4306" w:rsidRPr="00BA4306" w:rsidRDefault="00BA4306" w:rsidP="00BA4306">
          <w:pPr>
            <w:pStyle w:val="Header"/>
            <w:ind w:left="1104"/>
            <w:rPr>
              <w:rFonts w:ascii="Arial" w:hAnsi="Arial" w:cs="Arial"/>
              <w:sz w:val="16"/>
              <w:szCs w:val="16"/>
            </w:rPr>
          </w:pPr>
          <w:r w:rsidRPr="00BA4306">
            <w:rPr>
              <w:rFonts w:ascii="Arial" w:hAnsi="Arial" w:cs="Arial"/>
              <w:sz w:val="16"/>
              <w:szCs w:val="16"/>
            </w:rPr>
            <w:t>Fax: 617-422-0909</w:t>
          </w:r>
        </w:p>
        <w:p w14:paraId="48982252" w14:textId="4E1C9E9F" w:rsidR="00BA4306" w:rsidRDefault="00BA4306" w:rsidP="00BA4306">
          <w:pPr>
            <w:pStyle w:val="Header"/>
            <w:ind w:left="1104"/>
          </w:pPr>
          <w:r w:rsidRPr="00BA4306">
            <w:rPr>
              <w:rFonts w:ascii="Arial" w:hAnsi="Arial" w:cs="Arial"/>
              <w:sz w:val="16"/>
              <w:szCs w:val="16"/>
            </w:rPr>
            <w:t>www.bdo.com</w:t>
          </w:r>
        </w:p>
      </w:tc>
      <w:tc>
        <w:tcPr>
          <w:tcW w:w="3212" w:type="dxa"/>
        </w:tcPr>
        <w:p w14:paraId="42D68DBD" w14:textId="77777777" w:rsidR="00BA4306" w:rsidRDefault="00BA4306" w:rsidP="00BA4306">
          <w:pPr>
            <w:pStyle w:val="Header"/>
            <w:ind w:left="780"/>
            <w:rPr>
              <w:rFonts w:ascii="Arial" w:hAnsi="Arial" w:cs="Arial"/>
              <w:sz w:val="16"/>
              <w:szCs w:val="16"/>
            </w:rPr>
          </w:pPr>
          <w:r>
            <w:rPr>
              <w:rFonts w:ascii="Arial" w:hAnsi="Arial" w:cs="Arial"/>
              <w:sz w:val="16"/>
              <w:szCs w:val="16"/>
            </w:rPr>
            <w:t>One International Place</w:t>
          </w:r>
        </w:p>
        <w:p w14:paraId="0F698307" w14:textId="2B1D7781" w:rsidR="00BA4306" w:rsidRPr="00BA4306" w:rsidRDefault="00BA4306" w:rsidP="00BA4306">
          <w:pPr>
            <w:pStyle w:val="Header"/>
            <w:ind w:left="780"/>
            <w:rPr>
              <w:rFonts w:ascii="Arial" w:hAnsi="Arial" w:cs="Arial"/>
              <w:sz w:val="16"/>
              <w:szCs w:val="16"/>
            </w:rPr>
          </w:pPr>
          <w:r>
            <w:rPr>
              <w:rFonts w:ascii="Arial" w:hAnsi="Arial" w:cs="Arial"/>
              <w:sz w:val="16"/>
              <w:szCs w:val="16"/>
            </w:rPr>
            <w:t>Boston, MA 02110-1745</w:t>
          </w:r>
        </w:p>
      </w:tc>
    </w:tr>
  </w:tbl>
  <w:p w14:paraId="542344D7" w14:textId="77777777" w:rsidR="00BA4306" w:rsidRDefault="00BA4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A9BC" w14:textId="77777777" w:rsidR="001C2438" w:rsidRDefault="001C24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Light"/>
      <w:tblW w:w="0" w:type="auto"/>
      <w:tblLook w:val="04A0" w:firstRow="1" w:lastRow="0" w:firstColumn="1" w:lastColumn="0" w:noHBand="0" w:noVBand="1"/>
      <w:tblCaption w:val="BDO Letterhead"/>
      <w:tblDescription w:val="Telephone: 617-422-0700, Fax: 617-422-0909, www.bdo.com, One International Place, Boston, MA 02110-1745"/>
    </w:tblPr>
    <w:tblGrid>
      <w:gridCol w:w="3135"/>
      <w:gridCol w:w="3152"/>
      <w:gridCol w:w="3121"/>
    </w:tblGrid>
    <w:tr w:rsidR="00EA02B3" w14:paraId="54E3878D" w14:textId="77777777" w:rsidTr="003B0618">
      <w:trPr>
        <w:tblHeader/>
      </w:trPr>
      <w:tc>
        <w:tcPr>
          <w:tcW w:w="3212" w:type="dxa"/>
        </w:tcPr>
        <w:p w14:paraId="62A3BA74" w14:textId="77777777" w:rsidR="00EA02B3" w:rsidRDefault="00EA02B3">
          <w:pPr>
            <w:pStyle w:val="Header"/>
          </w:pPr>
          <w:r>
            <w:rPr>
              <w:rFonts w:asciiTheme="minorHAnsi" w:hAnsiTheme="minorHAnsi" w:cstheme="minorHAnsi"/>
              <w:noProof/>
              <w:sz w:val="16"/>
              <w:szCs w:val="16"/>
            </w:rPr>
            <w:drawing>
              <wp:inline distT="0" distB="0" distL="0" distR="0" wp14:anchorId="5D2FD784" wp14:editId="0F6BCBA2">
                <wp:extent cx="1188823" cy="457240"/>
                <wp:effectExtent l="0" t="0" r="0" b="0"/>
                <wp:docPr id="52" name="Picture 52" descr="BDO Logo -red lines and blue text,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DO Logo -red lines and blue text, BDO."/>
                        <pic:cNvPicPr/>
                      </pic:nvPicPr>
                      <pic:blipFill>
                        <a:blip r:embed="rId1">
                          <a:extLst>
                            <a:ext uri="{28A0092B-C50C-407E-A947-70E740481C1C}">
                              <a14:useLocalDpi xmlns:a14="http://schemas.microsoft.com/office/drawing/2010/main" val="0"/>
                            </a:ext>
                          </a:extLst>
                        </a:blip>
                        <a:stretch>
                          <a:fillRect/>
                        </a:stretch>
                      </pic:blipFill>
                      <pic:spPr>
                        <a:xfrm>
                          <a:off x="0" y="0"/>
                          <a:ext cx="1188823" cy="457240"/>
                        </a:xfrm>
                        <a:prstGeom prst="rect">
                          <a:avLst/>
                        </a:prstGeom>
                      </pic:spPr>
                    </pic:pic>
                  </a:graphicData>
                </a:graphic>
              </wp:inline>
            </w:drawing>
          </w:r>
        </w:p>
      </w:tc>
      <w:tc>
        <w:tcPr>
          <w:tcW w:w="3212" w:type="dxa"/>
        </w:tcPr>
        <w:p w14:paraId="3E34ED13" w14:textId="77777777" w:rsidR="00EA02B3" w:rsidRPr="00BA4306" w:rsidRDefault="00EA02B3" w:rsidP="00BA4306">
          <w:pPr>
            <w:pStyle w:val="Header"/>
            <w:ind w:left="1104"/>
            <w:rPr>
              <w:rFonts w:ascii="Arial" w:hAnsi="Arial" w:cs="Arial"/>
              <w:sz w:val="16"/>
              <w:szCs w:val="16"/>
            </w:rPr>
          </w:pPr>
          <w:r w:rsidRPr="00BA4306">
            <w:rPr>
              <w:rFonts w:ascii="Arial" w:hAnsi="Arial" w:cs="Arial"/>
              <w:sz w:val="16"/>
              <w:szCs w:val="16"/>
            </w:rPr>
            <w:t>Tel: 617-422-0700</w:t>
          </w:r>
        </w:p>
        <w:p w14:paraId="0F77D230" w14:textId="77777777" w:rsidR="00EA02B3" w:rsidRPr="00BA4306" w:rsidRDefault="00EA02B3" w:rsidP="00BA4306">
          <w:pPr>
            <w:pStyle w:val="Header"/>
            <w:ind w:left="1104"/>
            <w:rPr>
              <w:rFonts w:ascii="Arial" w:hAnsi="Arial" w:cs="Arial"/>
              <w:sz w:val="16"/>
              <w:szCs w:val="16"/>
            </w:rPr>
          </w:pPr>
          <w:r w:rsidRPr="00BA4306">
            <w:rPr>
              <w:rFonts w:ascii="Arial" w:hAnsi="Arial" w:cs="Arial"/>
              <w:sz w:val="16"/>
              <w:szCs w:val="16"/>
            </w:rPr>
            <w:t>Fax: 617-422-0909</w:t>
          </w:r>
        </w:p>
        <w:p w14:paraId="02C73E94" w14:textId="77777777" w:rsidR="00EA02B3" w:rsidRDefault="00EA02B3" w:rsidP="00BA4306">
          <w:pPr>
            <w:pStyle w:val="Header"/>
            <w:ind w:left="1104"/>
          </w:pPr>
          <w:r w:rsidRPr="00BA4306">
            <w:rPr>
              <w:rFonts w:ascii="Arial" w:hAnsi="Arial" w:cs="Arial"/>
              <w:sz w:val="16"/>
              <w:szCs w:val="16"/>
            </w:rPr>
            <w:t>www.bdo.com</w:t>
          </w:r>
        </w:p>
      </w:tc>
      <w:tc>
        <w:tcPr>
          <w:tcW w:w="3212" w:type="dxa"/>
        </w:tcPr>
        <w:p w14:paraId="30B85DA7" w14:textId="77777777" w:rsidR="00EA02B3" w:rsidRDefault="00EA02B3" w:rsidP="00BA4306">
          <w:pPr>
            <w:pStyle w:val="Header"/>
            <w:ind w:left="780"/>
            <w:rPr>
              <w:rFonts w:ascii="Arial" w:hAnsi="Arial" w:cs="Arial"/>
              <w:sz w:val="16"/>
              <w:szCs w:val="16"/>
            </w:rPr>
          </w:pPr>
          <w:r>
            <w:rPr>
              <w:rFonts w:ascii="Arial" w:hAnsi="Arial" w:cs="Arial"/>
              <w:sz w:val="16"/>
              <w:szCs w:val="16"/>
            </w:rPr>
            <w:t>One International Place</w:t>
          </w:r>
        </w:p>
        <w:p w14:paraId="2BED97C1" w14:textId="77777777" w:rsidR="00EA02B3" w:rsidRPr="00BA4306" w:rsidRDefault="00EA02B3" w:rsidP="00BA4306">
          <w:pPr>
            <w:pStyle w:val="Header"/>
            <w:ind w:left="780"/>
            <w:rPr>
              <w:rFonts w:ascii="Arial" w:hAnsi="Arial" w:cs="Arial"/>
              <w:sz w:val="16"/>
              <w:szCs w:val="16"/>
            </w:rPr>
          </w:pPr>
          <w:r>
            <w:rPr>
              <w:rFonts w:ascii="Arial" w:hAnsi="Arial" w:cs="Arial"/>
              <w:sz w:val="16"/>
              <w:szCs w:val="16"/>
            </w:rPr>
            <w:t>Boston, MA 02110-1745</w:t>
          </w:r>
        </w:p>
      </w:tc>
    </w:tr>
  </w:tbl>
  <w:p w14:paraId="37D40E28" w14:textId="77777777" w:rsidR="00EA02B3" w:rsidRDefault="00EA02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Light"/>
      <w:tblW w:w="0" w:type="auto"/>
      <w:tblLook w:val="04A0" w:firstRow="1" w:lastRow="0" w:firstColumn="1" w:lastColumn="0" w:noHBand="0" w:noVBand="1"/>
      <w:tblCaption w:val="Page Heading"/>
      <w:tblDescription w:val="BDO, Mr. Abbatiello, Heywood Healthcare, Inc., July 9, 2021, Page 2"/>
    </w:tblPr>
    <w:tblGrid>
      <w:gridCol w:w="3166"/>
      <w:gridCol w:w="3089"/>
      <w:gridCol w:w="3155"/>
    </w:tblGrid>
    <w:tr w:rsidR="00EA02B3" w14:paraId="2FB5FCF9" w14:textId="77777777" w:rsidTr="00BA4306">
      <w:tc>
        <w:tcPr>
          <w:tcW w:w="3212" w:type="dxa"/>
        </w:tcPr>
        <w:p w14:paraId="15592E20" w14:textId="77777777" w:rsidR="00EA02B3" w:rsidRDefault="00EA02B3">
          <w:pPr>
            <w:pStyle w:val="Header"/>
          </w:pPr>
          <w:r>
            <w:rPr>
              <w:rFonts w:asciiTheme="minorHAnsi" w:hAnsiTheme="minorHAnsi" w:cstheme="minorHAnsi"/>
              <w:noProof/>
              <w:sz w:val="16"/>
              <w:szCs w:val="16"/>
            </w:rPr>
            <w:drawing>
              <wp:inline distT="0" distB="0" distL="0" distR="0" wp14:anchorId="4217E351" wp14:editId="29788041">
                <wp:extent cx="1188823" cy="457240"/>
                <wp:effectExtent l="0" t="0" r="0" b="0"/>
                <wp:docPr id="49" name="Picture 49" descr="BDO Logo -red lines and blue text,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DO Logo -red lines and blue text, BDO."/>
                        <pic:cNvPicPr/>
                      </pic:nvPicPr>
                      <pic:blipFill>
                        <a:blip r:embed="rId1">
                          <a:extLst>
                            <a:ext uri="{28A0092B-C50C-407E-A947-70E740481C1C}">
                              <a14:useLocalDpi xmlns:a14="http://schemas.microsoft.com/office/drawing/2010/main" val="0"/>
                            </a:ext>
                          </a:extLst>
                        </a:blip>
                        <a:stretch>
                          <a:fillRect/>
                        </a:stretch>
                      </pic:blipFill>
                      <pic:spPr>
                        <a:xfrm>
                          <a:off x="0" y="0"/>
                          <a:ext cx="1188823" cy="457240"/>
                        </a:xfrm>
                        <a:prstGeom prst="rect">
                          <a:avLst/>
                        </a:prstGeom>
                      </pic:spPr>
                    </pic:pic>
                  </a:graphicData>
                </a:graphic>
              </wp:inline>
            </w:drawing>
          </w:r>
        </w:p>
      </w:tc>
      <w:tc>
        <w:tcPr>
          <w:tcW w:w="3212" w:type="dxa"/>
        </w:tcPr>
        <w:p w14:paraId="2148ACCB" w14:textId="72E7C0E0" w:rsidR="00EA02B3" w:rsidRDefault="00EA02B3" w:rsidP="00BA4306">
          <w:pPr>
            <w:pStyle w:val="Header"/>
            <w:ind w:left="1104"/>
          </w:pPr>
        </w:p>
      </w:tc>
      <w:tc>
        <w:tcPr>
          <w:tcW w:w="3212" w:type="dxa"/>
        </w:tcPr>
        <w:p w14:paraId="7C199BAB" w14:textId="278636F1" w:rsidR="00EA02B3" w:rsidRDefault="001C2438" w:rsidP="00BA4306">
          <w:pPr>
            <w:pStyle w:val="Header"/>
            <w:ind w:left="780"/>
            <w:rPr>
              <w:rFonts w:ascii="Arial" w:hAnsi="Arial" w:cs="Arial"/>
              <w:sz w:val="16"/>
              <w:szCs w:val="16"/>
            </w:rPr>
          </w:pPr>
          <w:r>
            <w:rPr>
              <w:rFonts w:ascii="Arial" w:hAnsi="Arial" w:cs="Arial"/>
              <w:sz w:val="16"/>
              <w:szCs w:val="16"/>
            </w:rPr>
            <w:t>Mr. Abbatiello</w:t>
          </w:r>
        </w:p>
        <w:p w14:paraId="62F676D1" w14:textId="4CE0710F" w:rsidR="001C2438" w:rsidRDefault="001C2438" w:rsidP="00BA4306">
          <w:pPr>
            <w:pStyle w:val="Header"/>
            <w:ind w:left="780"/>
            <w:rPr>
              <w:rFonts w:ascii="Arial" w:hAnsi="Arial" w:cs="Arial"/>
              <w:sz w:val="16"/>
              <w:szCs w:val="16"/>
            </w:rPr>
          </w:pPr>
          <w:r>
            <w:rPr>
              <w:rFonts w:ascii="Arial" w:hAnsi="Arial" w:cs="Arial"/>
              <w:sz w:val="16"/>
              <w:szCs w:val="16"/>
            </w:rPr>
            <w:t>Heywood Healthcare, Inc.</w:t>
          </w:r>
        </w:p>
        <w:p w14:paraId="595E2863" w14:textId="1E3D23B5" w:rsidR="001C2438" w:rsidRDefault="001C2438" w:rsidP="00BA4306">
          <w:pPr>
            <w:pStyle w:val="Header"/>
            <w:ind w:left="780"/>
            <w:rPr>
              <w:rFonts w:ascii="Arial" w:hAnsi="Arial" w:cs="Arial"/>
              <w:sz w:val="16"/>
              <w:szCs w:val="16"/>
            </w:rPr>
          </w:pPr>
          <w:r>
            <w:rPr>
              <w:rFonts w:ascii="Arial" w:hAnsi="Arial" w:cs="Arial"/>
              <w:sz w:val="16"/>
              <w:szCs w:val="16"/>
            </w:rPr>
            <w:t>July 9, 2021</w:t>
          </w:r>
        </w:p>
        <w:p w14:paraId="7D75EA99" w14:textId="5BA1F6EF" w:rsidR="00EA02B3" w:rsidRPr="00BA4306" w:rsidRDefault="001C2438" w:rsidP="00BA4306">
          <w:pPr>
            <w:pStyle w:val="Header"/>
            <w:ind w:left="780"/>
            <w:rPr>
              <w:rFonts w:ascii="Arial" w:hAnsi="Arial" w:cs="Arial"/>
              <w:sz w:val="16"/>
              <w:szCs w:val="16"/>
            </w:rPr>
          </w:pPr>
          <w:r>
            <w:rPr>
              <w:rFonts w:ascii="Arial" w:hAnsi="Arial" w:cs="Arial"/>
              <w:sz w:val="16"/>
              <w:szCs w:val="16"/>
            </w:rPr>
            <w:t xml:space="preserve">Page </w:t>
          </w:r>
          <w:r w:rsidRPr="001C2438">
            <w:rPr>
              <w:rFonts w:ascii="Arial" w:hAnsi="Arial" w:cs="Arial"/>
              <w:sz w:val="16"/>
              <w:szCs w:val="16"/>
            </w:rPr>
            <w:fldChar w:fldCharType="begin"/>
          </w:r>
          <w:r w:rsidRPr="001C2438">
            <w:rPr>
              <w:rFonts w:ascii="Arial" w:hAnsi="Arial" w:cs="Arial"/>
              <w:sz w:val="16"/>
              <w:szCs w:val="16"/>
            </w:rPr>
            <w:instrText xml:space="preserve"> PAGE   \* MERGEFORMAT </w:instrText>
          </w:r>
          <w:r w:rsidRPr="001C2438">
            <w:rPr>
              <w:rFonts w:ascii="Arial" w:hAnsi="Arial" w:cs="Arial"/>
              <w:sz w:val="16"/>
              <w:szCs w:val="16"/>
            </w:rPr>
            <w:fldChar w:fldCharType="separate"/>
          </w:r>
          <w:r w:rsidR="001D4EBF">
            <w:rPr>
              <w:rFonts w:ascii="Arial" w:hAnsi="Arial" w:cs="Arial"/>
              <w:noProof/>
              <w:sz w:val="16"/>
              <w:szCs w:val="16"/>
            </w:rPr>
            <w:t>9</w:t>
          </w:r>
          <w:r w:rsidRPr="001C2438">
            <w:rPr>
              <w:rFonts w:ascii="Arial" w:hAnsi="Arial" w:cs="Arial"/>
              <w:noProof/>
              <w:sz w:val="16"/>
              <w:szCs w:val="16"/>
            </w:rPr>
            <w:fldChar w:fldCharType="end"/>
          </w:r>
        </w:p>
      </w:tc>
    </w:tr>
  </w:tbl>
  <w:p w14:paraId="73B6AD01" w14:textId="77777777" w:rsidR="00EA02B3" w:rsidRDefault="00EA0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5C6C"/>
    <w:multiLevelType w:val="hybridMultilevel"/>
    <w:tmpl w:val="B716745E"/>
    <w:lvl w:ilvl="0" w:tplc="BDD631D2">
      <w:start w:val="1"/>
      <w:numFmt w:val="upperRoman"/>
      <w:lvlText w:val="%1."/>
      <w:lvlJc w:val="left"/>
      <w:pPr>
        <w:ind w:left="923" w:hanging="630"/>
      </w:pPr>
      <w:rPr>
        <w:rFonts w:hint="default"/>
        <w:w w:val="108"/>
        <w:lang w:val="en-US" w:eastAsia="en-US" w:bidi="ar-SA"/>
      </w:rPr>
    </w:lvl>
    <w:lvl w:ilvl="1" w:tplc="AE880F6E">
      <w:numFmt w:val="bullet"/>
      <w:lvlText w:val="•"/>
      <w:lvlJc w:val="left"/>
      <w:pPr>
        <w:ind w:left="1770" w:hanging="630"/>
      </w:pPr>
      <w:rPr>
        <w:rFonts w:hint="default"/>
        <w:lang w:val="en-US" w:eastAsia="en-US" w:bidi="ar-SA"/>
      </w:rPr>
    </w:lvl>
    <w:lvl w:ilvl="2" w:tplc="694C2888">
      <w:numFmt w:val="bullet"/>
      <w:lvlText w:val="•"/>
      <w:lvlJc w:val="left"/>
      <w:pPr>
        <w:ind w:left="2620" w:hanging="630"/>
      </w:pPr>
      <w:rPr>
        <w:rFonts w:hint="default"/>
        <w:lang w:val="en-US" w:eastAsia="en-US" w:bidi="ar-SA"/>
      </w:rPr>
    </w:lvl>
    <w:lvl w:ilvl="3" w:tplc="33C8DFF6">
      <w:numFmt w:val="bullet"/>
      <w:lvlText w:val="•"/>
      <w:lvlJc w:val="left"/>
      <w:pPr>
        <w:ind w:left="3470" w:hanging="630"/>
      </w:pPr>
      <w:rPr>
        <w:rFonts w:hint="default"/>
        <w:lang w:val="en-US" w:eastAsia="en-US" w:bidi="ar-SA"/>
      </w:rPr>
    </w:lvl>
    <w:lvl w:ilvl="4" w:tplc="7C8A4F5C">
      <w:numFmt w:val="bullet"/>
      <w:lvlText w:val="•"/>
      <w:lvlJc w:val="left"/>
      <w:pPr>
        <w:ind w:left="4320" w:hanging="630"/>
      </w:pPr>
      <w:rPr>
        <w:rFonts w:hint="default"/>
        <w:lang w:val="en-US" w:eastAsia="en-US" w:bidi="ar-SA"/>
      </w:rPr>
    </w:lvl>
    <w:lvl w:ilvl="5" w:tplc="E9B0937A">
      <w:numFmt w:val="bullet"/>
      <w:lvlText w:val="•"/>
      <w:lvlJc w:val="left"/>
      <w:pPr>
        <w:ind w:left="5170" w:hanging="630"/>
      </w:pPr>
      <w:rPr>
        <w:rFonts w:hint="default"/>
        <w:lang w:val="en-US" w:eastAsia="en-US" w:bidi="ar-SA"/>
      </w:rPr>
    </w:lvl>
    <w:lvl w:ilvl="6" w:tplc="5824E114">
      <w:numFmt w:val="bullet"/>
      <w:lvlText w:val="•"/>
      <w:lvlJc w:val="left"/>
      <w:pPr>
        <w:ind w:left="6020" w:hanging="630"/>
      </w:pPr>
      <w:rPr>
        <w:rFonts w:hint="default"/>
        <w:lang w:val="en-US" w:eastAsia="en-US" w:bidi="ar-SA"/>
      </w:rPr>
    </w:lvl>
    <w:lvl w:ilvl="7" w:tplc="4662AFA6">
      <w:numFmt w:val="bullet"/>
      <w:lvlText w:val="•"/>
      <w:lvlJc w:val="left"/>
      <w:pPr>
        <w:ind w:left="6870" w:hanging="630"/>
      </w:pPr>
      <w:rPr>
        <w:rFonts w:hint="default"/>
        <w:lang w:val="en-US" w:eastAsia="en-US" w:bidi="ar-SA"/>
      </w:rPr>
    </w:lvl>
    <w:lvl w:ilvl="8" w:tplc="DE6C65F6">
      <w:numFmt w:val="bullet"/>
      <w:lvlText w:val="•"/>
      <w:lvlJc w:val="left"/>
      <w:pPr>
        <w:ind w:left="7720" w:hanging="630"/>
      </w:pPr>
      <w:rPr>
        <w:rFonts w:hint="default"/>
        <w:lang w:val="en-US" w:eastAsia="en-US" w:bidi="ar-SA"/>
      </w:rPr>
    </w:lvl>
  </w:abstractNum>
  <w:abstractNum w:abstractNumId="1" w15:restartNumberingAfterBreak="0">
    <w:nsid w:val="12E346C9"/>
    <w:multiLevelType w:val="hybridMultilevel"/>
    <w:tmpl w:val="7C844230"/>
    <w:lvl w:ilvl="0" w:tplc="7A381534">
      <w:start w:val="15"/>
      <w:numFmt w:val="decimal"/>
      <w:lvlText w:val="%1."/>
      <w:lvlJc w:val="left"/>
      <w:pPr>
        <w:ind w:left="148" w:hanging="317"/>
      </w:pPr>
      <w:rPr>
        <w:rFonts w:ascii="Arial" w:eastAsia="Arial" w:hAnsi="Arial" w:cs="Arial" w:hint="default"/>
        <w:b w:val="0"/>
        <w:bCs w:val="0"/>
        <w:i w:val="0"/>
        <w:iCs w:val="0"/>
        <w:color w:val="311F2D"/>
        <w:spacing w:val="-1"/>
        <w:w w:val="85"/>
        <w:sz w:val="21"/>
        <w:szCs w:val="21"/>
        <w:lang w:val="en-US" w:eastAsia="en-US" w:bidi="ar-SA"/>
      </w:rPr>
    </w:lvl>
    <w:lvl w:ilvl="1" w:tplc="D3FC1178">
      <w:start w:val="2"/>
      <w:numFmt w:val="decimal"/>
      <w:lvlText w:val="%2."/>
      <w:lvlJc w:val="left"/>
      <w:pPr>
        <w:ind w:left="728" w:hanging="299"/>
        <w:jc w:val="right"/>
      </w:pPr>
      <w:rPr>
        <w:rFonts w:hint="default"/>
        <w:spacing w:val="-8"/>
        <w:w w:val="107"/>
        <w:lang w:val="en-US" w:eastAsia="en-US" w:bidi="ar-SA"/>
      </w:rPr>
    </w:lvl>
    <w:lvl w:ilvl="2" w:tplc="89561C1E">
      <w:numFmt w:val="bullet"/>
      <w:lvlText w:val="•"/>
      <w:lvlJc w:val="left"/>
      <w:pPr>
        <w:ind w:left="1686" w:hanging="299"/>
      </w:pPr>
      <w:rPr>
        <w:rFonts w:hint="default"/>
        <w:lang w:val="en-US" w:eastAsia="en-US" w:bidi="ar-SA"/>
      </w:rPr>
    </w:lvl>
    <w:lvl w:ilvl="3" w:tplc="103E58B0">
      <w:numFmt w:val="bullet"/>
      <w:lvlText w:val="•"/>
      <w:lvlJc w:val="left"/>
      <w:pPr>
        <w:ind w:left="2653" w:hanging="299"/>
      </w:pPr>
      <w:rPr>
        <w:rFonts w:hint="default"/>
        <w:lang w:val="en-US" w:eastAsia="en-US" w:bidi="ar-SA"/>
      </w:rPr>
    </w:lvl>
    <w:lvl w:ilvl="4" w:tplc="D7E4ED06">
      <w:numFmt w:val="bullet"/>
      <w:lvlText w:val="•"/>
      <w:lvlJc w:val="left"/>
      <w:pPr>
        <w:ind w:left="3620" w:hanging="299"/>
      </w:pPr>
      <w:rPr>
        <w:rFonts w:hint="default"/>
        <w:lang w:val="en-US" w:eastAsia="en-US" w:bidi="ar-SA"/>
      </w:rPr>
    </w:lvl>
    <w:lvl w:ilvl="5" w:tplc="B0CAAAE4">
      <w:numFmt w:val="bullet"/>
      <w:lvlText w:val="•"/>
      <w:lvlJc w:val="left"/>
      <w:pPr>
        <w:ind w:left="4586" w:hanging="299"/>
      </w:pPr>
      <w:rPr>
        <w:rFonts w:hint="default"/>
        <w:lang w:val="en-US" w:eastAsia="en-US" w:bidi="ar-SA"/>
      </w:rPr>
    </w:lvl>
    <w:lvl w:ilvl="6" w:tplc="6A0604BC">
      <w:numFmt w:val="bullet"/>
      <w:lvlText w:val="•"/>
      <w:lvlJc w:val="left"/>
      <w:pPr>
        <w:ind w:left="5553" w:hanging="299"/>
      </w:pPr>
      <w:rPr>
        <w:rFonts w:hint="default"/>
        <w:lang w:val="en-US" w:eastAsia="en-US" w:bidi="ar-SA"/>
      </w:rPr>
    </w:lvl>
    <w:lvl w:ilvl="7" w:tplc="1994AAA6">
      <w:numFmt w:val="bullet"/>
      <w:lvlText w:val="•"/>
      <w:lvlJc w:val="left"/>
      <w:pPr>
        <w:ind w:left="6520" w:hanging="299"/>
      </w:pPr>
      <w:rPr>
        <w:rFonts w:hint="default"/>
        <w:lang w:val="en-US" w:eastAsia="en-US" w:bidi="ar-SA"/>
      </w:rPr>
    </w:lvl>
    <w:lvl w:ilvl="8" w:tplc="4E1ABF3E">
      <w:numFmt w:val="bullet"/>
      <w:lvlText w:val="•"/>
      <w:lvlJc w:val="left"/>
      <w:pPr>
        <w:ind w:left="7486" w:hanging="299"/>
      </w:pPr>
      <w:rPr>
        <w:rFonts w:hint="default"/>
        <w:lang w:val="en-US" w:eastAsia="en-US" w:bidi="ar-SA"/>
      </w:rPr>
    </w:lvl>
  </w:abstractNum>
  <w:abstractNum w:abstractNumId="2" w15:restartNumberingAfterBreak="0">
    <w:nsid w:val="2810248B"/>
    <w:multiLevelType w:val="hybridMultilevel"/>
    <w:tmpl w:val="4AE0F138"/>
    <w:lvl w:ilvl="0" w:tplc="7ECA8162">
      <w:start w:val="4"/>
      <w:numFmt w:val="upperRoman"/>
      <w:lvlText w:val="%1."/>
      <w:lvlJc w:val="left"/>
      <w:pPr>
        <w:ind w:left="910" w:hanging="614"/>
        <w:jc w:val="right"/>
      </w:pPr>
      <w:rPr>
        <w:rFonts w:hint="default"/>
        <w:spacing w:val="-4"/>
        <w:w w:val="108"/>
        <w:lang w:val="en-US" w:eastAsia="en-US" w:bidi="ar-SA"/>
      </w:rPr>
    </w:lvl>
    <w:lvl w:ilvl="1" w:tplc="1CB80228">
      <w:start w:val="1"/>
      <w:numFmt w:val="decimal"/>
      <w:lvlText w:val="%2."/>
      <w:lvlJc w:val="left"/>
      <w:pPr>
        <w:ind w:left="856" w:hanging="312"/>
        <w:jc w:val="right"/>
      </w:pPr>
      <w:rPr>
        <w:rFonts w:hint="default"/>
        <w:spacing w:val="-1"/>
        <w:w w:val="105"/>
        <w:lang w:val="en-US" w:eastAsia="en-US" w:bidi="ar-SA"/>
      </w:rPr>
    </w:lvl>
    <w:lvl w:ilvl="2" w:tplc="16BA2AE6">
      <w:numFmt w:val="bullet"/>
      <w:lvlText w:val="•"/>
      <w:lvlJc w:val="left"/>
      <w:pPr>
        <w:ind w:left="1864" w:hanging="312"/>
      </w:pPr>
      <w:rPr>
        <w:rFonts w:hint="default"/>
        <w:lang w:val="en-US" w:eastAsia="en-US" w:bidi="ar-SA"/>
      </w:rPr>
    </w:lvl>
    <w:lvl w:ilvl="3" w:tplc="487088B6">
      <w:numFmt w:val="bullet"/>
      <w:lvlText w:val="•"/>
      <w:lvlJc w:val="left"/>
      <w:pPr>
        <w:ind w:left="2808" w:hanging="312"/>
      </w:pPr>
      <w:rPr>
        <w:rFonts w:hint="default"/>
        <w:lang w:val="en-US" w:eastAsia="en-US" w:bidi="ar-SA"/>
      </w:rPr>
    </w:lvl>
    <w:lvl w:ilvl="4" w:tplc="3B6C14A6">
      <w:numFmt w:val="bullet"/>
      <w:lvlText w:val="•"/>
      <w:lvlJc w:val="left"/>
      <w:pPr>
        <w:ind w:left="3753" w:hanging="312"/>
      </w:pPr>
      <w:rPr>
        <w:rFonts w:hint="default"/>
        <w:lang w:val="en-US" w:eastAsia="en-US" w:bidi="ar-SA"/>
      </w:rPr>
    </w:lvl>
    <w:lvl w:ilvl="5" w:tplc="974A991E">
      <w:numFmt w:val="bullet"/>
      <w:lvlText w:val="•"/>
      <w:lvlJc w:val="left"/>
      <w:pPr>
        <w:ind w:left="4697" w:hanging="312"/>
      </w:pPr>
      <w:rPr>
        <w:rFonts w:hint="default"/>
        <w:lang w:val="en-US" w:eastAsia="en-US" w:bidi="ar-SA"/>
      </w:rPr>
    </w:lvl>
    <w:lvl w:ilvl="6" w:tplc="A12C8F42">
      <w:numFmt w:val="bullet"/>
      <w:lvlText w:val="•"/>
      <w:lvlJc w:val="left"/>
      <w:pPr>
        <w:ind w:left="5642" w:hanging="312"/>
      </w:pPr>
      <w:rPr>
        <w:rFonts w:hint="default"/>
        <w:lang w:val="en-US" w:eastAsia="en-US" w:bidi="ar-SA"/>
      </w:rPr>
    </w:lvl>
    <w:lvl w:ilvl="7" w:tplc="53EC0FEA">
      <w:numFmt w:val="bullet"/>
      <w:lvlText w:val="•"/>
      <w:lvlJc w:val="left"/>
      <w:pPr>
        <w:ind w:left="6586" w:hanging="312"/>
      </w:pPr>
      <w:rPr>
        <w:rFonts w:hint="default"/>
        <w:lang w:val="en-US" w:eastAsia="en-US" w:bidi="ar-SA"/>
      </w:rPr>
    </w:lvl>
    <w:lvl w:ilvl="8" w:tplc="E9EEEB0E">
      <w:numFmt w:val="bullet"/>
      <w:lvlText w:val="•"/>
      <w:lvlJc w:val="left"/>
      <w:pPr>
        <w:ind w:left="7531" w:hanging="312"/>
      </w:pPr>
      <w:rPr>
        <w:rFonts w:hint="default"/>
        <w:lang w:val="en-US" w:eastAsia="en-US" w:bidi="ar-SA"/>
      </w:rPr>
    </w:lvl>
  </w:abstractNum>
  <w:abstractNum w:abstractNumId="3" w15:restartNumberingAfterBreak="0">
    <w:nsid w:val="2AC0470F"/>
    <w:multiLevelType w:val="hybridMultilevel"/>
    <w:tmpl w:val="B4EC77AE"/>
    <w:lvl w:ilvl="0" w:tplc="CC9AE67C">
      <w:start w:val="2"/>
      <w:numFmt w:val="decimal"/>
      <w:lvlText w:val="(%1)"/>
      <w:lvlJc w:val="left"/>
      <w:pPr>
        <w:ind w:left="279" w:hanging="124"/>
      </w:pPr>
      <w:rPr>
        <w:rFonts w:ascii="Arial" w:eastAsia="Arial" w:hAnsi="Arial" w:cs="Arial" w:hint="default"/>
        <w:b w:val="0"/>
        <w:bCs w:val="0"/>
        <w:i w:val="0"/>
        <w:iCs w:val="0"/>
        <w:color w:val="504959"/>
        <w:spacing w:val="-3"/>
        <w:w w:val="104"/>
        <w:sz w:val="7"/>
        <w:szCs w:val="7"/>
        <w:lang w:val="en-US" w:eastAsia="en-US" w:bidi="ar-SA"/>
      </w:rPr>
    </w:lvl>
    <w:lvl w:ilvl="1" w:tplc="ACAE11B4">
      <w:start w:val="1"/>
      <w:numFmt w:val="decimal"/>
      <w:lvlText w:val="%2."/>
      <w:lvlJc w:val="left"/>
      <w:pPr>
        <w:ind w:left="666" w:hanging="319"/>
      </w:pPr>
      <w:rPr>
        <w:rFonts w:ascii="Arial" w:eastAsia="Arial" w:hAnsi="Arial" w:cs="Arial" w:hint="default"/>
        <w:b/>
        <w:bCs/>
        <w:i w:val="0"/>
        <w:iCs w:val="0"/>
        <w:color w:val="1C1623"/>
        <w:spacing w:val="0"/>
        <w:w w:val="95"/>
        <w:sz w:val="19"/>
        <w:szCs w:val="19"/>
        <w:lang w:val="en-US" w:eastAsia="en-US" w:bidi="ar-SA"/>
      </w:rPr>
    </w:lvl>
    <w:lvl w:ilvl="2" w:tplc="73B8BAC2">
      <w:numFmt w:val="bullet"/>
      <w:lvlText w:val="•"/>
      <w:lvlJc w:val="left"/>
      <w:pPr>
        <w:ind w:left="1633" w:hanging="319"/>
      </w:pPr>
      <w:rPr>
        <w:rFonts w:hint="default"/>
        <w:lang w:val="en-US" w:eastAsia="en-US" w:bidi="ar-SA"/>
      </w:rPr>
    </w:lvl>
    <w:lvl w:ilvl="3" w:tplc="3214BAAA">
      <w:numFmt w:val="bullet"/>
      <w:lvlText w:val="•"/>
      <w:lvlJc w:val="left"/>
      <w:pPr>
        <w:ind w:left="2606" w:hanging="319"/>
      </w:pPr>
      <w:rPr>
        <w:rFonts w:hint="default"/>
        <w:lang w:val="en-US" w:eastAsia="en-US" w:bidi="ar-SA"/>
      </w:rPr>
    </w:lvl>
    <w:lvl w:ilvl="4" w:tplc="91607374">
      <w:numFmt w:val="bullet"/>
      <w:lvlText w:val="•"/>
      <w:lvlJc w:val="left"/>
      <w:pPr>
        <w:ind w:left="3580" w:hanging="319"/>
      </w:pPr>
      <w:rPr>
        <w:rFonts w:hint="default"/>
        <w:lang w:val="en-US" w:eastAsia="en-US" w:bidi="ar-SA"/>
      </w:rPr>
    </w:lvl>
    <w:lvl w:ilvl="5" w:tplc="9B6CED20">
      <w:numFmt w:val="bullet"/>
      <w:lvlText w:val="•"/>
      <w:lvlJc w:val="left"/>
      <w:pPr>
        <w:ind w:left="4553" w:hanging="319"/>
      </w:pPr>
      <w:rPr>
        <w:rFonts w:hint="default"/>
        <w:lang w:val="en-US" w:eastAsia="en-US" w:bidi="ar-SA"/>
      </w:rPr>
    </w:lvl>
    <w:lvl w:ilvl="6" w:tplc="70862E66">
      <w:numFmt w:val="bullet"/>
      <w:lvlText w:val="•"/>
      <w:lvlJc w:val="left"/>
      <w:pPr>
        <w:ind w:left="5526" w:hanging="319"/>
      </w:pPr>
      <w:rPr>
        <w:rFonts w:hint="default"/>
        <w:lang w:val="en-US" w:eastAsia="en-US" w:bidi="ar-SA"/>
      </w:rPr>
    </w:lvl>
    <w:lvl w:ilvl="7" w:tplc="57608F6A">
      <w:numFmt w:val="bullet"/>
      <w:lvlText w:val="•"/>
      <w:lvlJc w:val="left"/>
      <w:pPr>
        <w:ind w:left="6500" w:hanging="319"/>
      </w:pPr>
      <w:rPr>
        <w:rFonts w:hint="default"/>
        <w:lang w:val="en-US" w:eastAsia="en-US" w:bidi="ar-SA"/>
      </w:rPr>
    </w:lvl>
    <w:lvl w:ilvl="8" w:tplc="70FAAC30">
      <w:numFmt w:val="bullet"/>
      <w:lvlText w:val="•"/>
      <w:lvlJc w:val="left"/>
      <w:pPr>
        <w:ind w:left="7473" w:hanging="319"/>
      </w:pPr>
      <w:rPr>
        <w:rFonts w:hint="default"/>
        <w:lang w:val="en-US" w:eastAsia="en-US" w:bidi="ar-SA"/>
      </w:rPr>
    </w:lvl>
  </w:abstractNum>
  <w:abstractNum w:abstractNumId="4" w15:restartNumberingAfterBreak="0">
    <w:nsid w:val="3091717E"/>
    <w:multiLevelType w:val="hybridMultilevel"/>
    <w:tmpl w:val="62969072"/>
    <w:lvl w:ilvl="0" w:tplc="DB92300E">
      <w:start w:val="1"/>
      <w:numFmt w:val="upperLetter"/>
      <w:lvlText w:val="%1."/>
      <w:lvlJc w:val="left"/>
      <w:pPr>
        <w:ind w:left="681" w:hanging="327"/>
      </w:pPr>
      <w:rPr>
        <w:rFonts w:ascii="Arial" w:eastAsia="Arial" w:hAnsi="Arial" w:cs="Arial" w:hint="default"/>
        <w:b w:val="0"/>
        <w:bCs w:val="0"/>
        <w:i w:val="0"/>
        <w:iCs w:val="0"/>
        <w:color w:val="150F21"/>
        <w:spacing w:val="-1"/>
        <w:w w:val="96"/>
        <w:sz w:val="20"/>
        <w:szCs w:val="20"/>
        <w:lang w:val="en-US" w:eastAsia="en-US" w:bidi="ar-SA"/>
      </w:rPr>
    </w:lvl>
    <w:lvl w:ilvl="1" w:tplc="E1B0B9F6">
      <w:numFmt w:val="bullet"/>
      <w:lvlText w:val="•"/>
      <w:lvlJc w:val="left"/>
      <w:pPr>
        <w:ind w:left="1554" w:hanging="327"/>
      </w:pPr>
      <w:rPr>
        <w:rFonts w:hint="default"/>
        <w:lang w:val="en-US" w:eastAsia="en-US" w:bidi="ar-SA"/>
      </w:rPr>
    </w:lvl>
    <w:lvl w:ilvl="2" w:tplc="AC5E002A">
      <w:numFmt w:val="bullet"/>
      <w:lvlText w:val="•"/>
      <w:lvlJc w:val="left"/>
      <w:pPr>
        <w:ind w:left="2428" w:hanging="327"/>
      </w:pPr>
      <w:rPr>
        <w:rFonts w:hint="default"/>
        <w:lang w:val="en-US" w:eastAsia="en-US" w:bidi="ar-SA"/>
      </w:rPr>
    </w:lvl>
    <w:lvl w:ilvl="3" w:tplc="ABC6411A">
      <w:numFmt w:val="bullet"/>
      <w:lvlText w:val="•"/>
      <w:lvlJc w:val="left"/>
      <w:pPr>
        <w:ind w:left="3302" w:hanging="327"/>
      </w:pPr>
      <w:rPr>
        <w:rFonts w:hint="default"/>
        <w:lang w:val="en-US" w:eastAsia="en-US" w:bidi="ar-SA"/>
      </w:rPr>
    </w:lvl>
    <w:lvl w:ilvl="4" w:tplc="04B8850E">
      <w:numFmt w:val="bullet"/>
      <w:lvlText w:val="•"/>
      <w:lvlJc w:val="left"/>
      <w:pPr>
        <w:ind w:left="4176" w:hanging="327"/>
      </w:pPr>
      <w:rPr>
        <w:rFonts w:hint="default"/>
        <w:lang w:val="en-US" w:eastAsia="en-US" w:bidi="ar-SA"/>
      </w:rPr>
    </w:lvl>
    <w:lvl w:ilvl="5" w:tplc="DC82F8EE">
      <w:numFmt w:val="bullet"/>
      <w:lvlText w:val="•"/>
      <w:lvlJc w:val="left"/>
      <w:pPr>
        <w:ind w:left="5050" w:hanging="327"/>
      </w:pPr>
      <w:rPr>
        <w:rFonts w:hint="default"/>
        <w:lang w:val="en-US" w:eastAsia="en-US" w:bidi="ar-SA"/>
      </w:rPr>
    </w:lvl>
    <w:lvl w:ilvl="6" w:tplc="57188BB0">
      <w:numFmt w:val="bullet"/>
      <w:lvlText w:val="•"/>
      <w:lvlJc w:val="left"/>
      <w:pPr>
        <w:ind w:left="5924" w:hanging="327"/>
      </w:pPr>
      <w:rPr>
        <w:rFonts w:hint="default"/>
        <w:lang w:val="en-US" w:eastAsia="en-US" w:bidi="ar-SA"/>
      </w:rPr>
    </w:lvl>
    <w:lvl w:ilvl="7" w:tplc="66320348">
      <w:numFmt w:val="bullet"/>
      <w:lvlText w:val="•"/>
      <w:lvlJc w:val="left"/>
      <w:pPr>
        <w:ind w:left="6798" w:hanging="327"/>
      </w:pPr>
      <w:rPr>
        <w:rFonts w:hint="default"/>
        <w:lang w:val="en-US" w:eastAsia="en-US" w:bidi="ar-SA"/>
      </w:rPr>
    </w:lvl>
    <w:lvl w:ilvl="8" w:tplc="34DE6F24">
      <w:numFmt w:val="bullet"/>
      <w:lvlText w:val="•"/>
      <w:lvlJc w:val="left"/>
      <w:pPr>
        <w:ind w:left="7672" w:hanging="327"/>
      </w:pPr>
      <w:rPr>
        <w:rFonts w:hint="default"/>
        <w:lang w:val="en-US" w:eastAsia="en-US" w:bidi="ar-SA"/>
      </w:rPr>
    </w:lvl>
  </w:abstractNum>
  <w:abstractNum w:abstractNumId="5" w15:restartNumberingAfterBreak="0">
    <w:nsid w:val="3D89041E"/>
    <w:multiLevelType w:val="hybridMultilevel"/>
    <w:tmpl w:val="4A9CD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D3B92"/>
    <w:multiLevelType w:val="hybridMultilevel"/>
    <w:tmpl w:val="8132DA08"/>
    <w:lvl w:ilvl="0" w:tplc="2A7E852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55AF5"/>
    <w:multiLevelType w:val="hybridMultilevel"/>
    <w:tmpl w:val="E7E24932"/>
    <w:lvl w:ilvl="0" w:tplc="927ABE7A">
      <w:start w:val="1"/>
      <w:numFmt w:val="decimal"/>
      <w:pStyle w:val="ListParagraph"/>
      <w:lvlText w:val="%1."/>
      <w:lvlJc w:val="left"/>
      <w:pPr>
        <w:ind w:left="1511" w:hanging="360"/>
      </w:p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8" w15:restartNumberingAfterBreak="0">
    <w:nsid w:val="557374AC"/>
    <w:multiLevelType w:val="hybridMultilevel"/>
    <w:tmpl w:val="7CD8F3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30760"/>
    <w:multiLevelType w:val="hybridMultilevel"/>
    <w:tmpl w:val="D024727E"/>
    <w:lvl w:ilvl="0" w:tplc="DC8A34F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264772"/>
    <w:multiLevelType w:val="hybridMultilevel"/>
    <w:tmpl w:val="483475B4"/>
    <w:lvl w:ilvl="0" w:tplc="EDA0D4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num>
  <w:num w:numId="7">
    <w:abstractNumId w:val="6"/>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77"/>
    <w:rsid w:val="00006A29"/>
    <w:rsid w:val="00061F17"/>
    <w:rsid w:val="000730C1"/>
    <w:rsid w:val="00092A32"/>
    <w:rsid w:val="000B397E"/>
    <w:rsid w:val="000D4777"/>
    <w:rsid w:val="00107440"/>
    <w:rsid w:val="00136C02"/>
    <w:rsid w:val="00140591"/>
    <w:rsid w:val="00150FC2"/>
    <w:rsid w:val="0015390D"/>
    <w:rsid w:val="001A1BD4"/>
    <w:rsid w:val="001C2438"/>
    <w:rsid w:val="001D4EBF"/>
    <w:rsid w:val="00213398"/>
    <w:rsid w:val="00223718"/>
    <w:rsid w:val="00236FA3"/>
    <w:rsid w:val="0024010C"/>
    <w:rsid w:val="00260CC8"/>
    <w:rsid w:val="0028413B"/>
    <w:rsid w:val="002A3C15"/>
    <w:rsid w:val="002E1869"/>
    <w:rsid w:val="00314411"/>
    <w:rsid w:val="0033784D"/>
    <w:rsid w:val="00353A08"/>
    <w:rsid w:val="00387D6C"/>
    <w:rsid w:val="003948DB"/>
    <w:rsid w:val="003B0618"/>
    <w:rsid w:val="003B52A2"/>
    <w:rsid w:val="003D4315"/>
    <w:rsid w:val="003D4852"/>
    <w:rsid w:val="003E7BE2"/>
    <w:rsid w:val="003F491B"/>
    <w:rsid w:val="00420957"/>
    <w:rsid w:val="00420996"/>
    <w:rsid w:val="0044566A"/>
    <w:rsid w:val="004503B5"/>
    <w:rsid w:val="00487DBF"/>
    <w:rsid w:val="004D7880"/>
    <w:rsid w:val="004F083D"/>
    <w:rsid w:val="00505B31"/>
    <w:rsid w:val="00556B7A"/>
    <w:rsid w:val="005640F5"/>
    <w:rsid w:val="005B5F4F"/>
    <w:rsid w:val="005F380D"/>
    <w:rsid w:val="006066B9"/>
    <w:rsid w:val="00621B59"/>
    <w:rsid w:val="00622656"/>
    <w:rsid w:val="0063249F"/>
    <w:rsid w:val="00640EC4"/>
    <w:rsid w:val="006C0F34"/>
    <w:rsid w:val="00703753"/>
    <w:rsid w:val="00723985"/>
    <w:rsid w:val="007B7F2A"/>
    <w:rsid w:val="0080295F"/>
    <w:rsid w:val="00805749"/>
    <w:rsid w:val="00810FE7"/>
    <w:rsid w:val="008411CF"/>
    <w:rsid w:val="008512A6"/>
    <w:rsid w:val="00855A74"/>
    <w:rsid w:val="00861257"/>
    <w:rsid w:val="008973A4"/>
    <w:rsid w:val="0091231F"/>
    <w:rsid w:val="00922BA8"/>
    <w:rsid w:val="00935C5A"/>
    <w:rsid w:val="00962812"/>
    <w:rsid w:val="00993CBA"/>
    <w:rsid w:val="00A72E91"/>
    <w:rsid w:val="00A76DF1"/>
    <w:rsid w:val="00AB2711"/>
    <w:rsid w:val="00B130F7"/>
    <w:rsid w:val="00B135E0"/>
    <w:rsid w:val="00B51137"/>
    <w:rsid w:val="00BA4306"/>
    <w:rsid w:val="00BA4567"/>
    <w:rsid w:val="00BE68D6"/>
    <w:rsid w:val="00C04195"/>
    <w:rsid w:val="00C27B31"/>
    <w:rsid w:val="00C44AD1"/>
    <w:rsid w:val="00C91023"/>
    <w:rsid w:val="00C96AAA"/>
    <w:rsid w:val="00D15E07"/>
    <w:rsid w:val="00DA2138"/>
    <w:rsid w:val="00E560C9"/>
    <w:rsid w:val="00EA02B3"/>
    <w:rsid w:val="00EC7FB4"/>
    <w:rsid w:val="00ED251F"/>
    <w:rsid w:val="00ED2BFB"/>
    <w:rsid w:val="00F02F19"/>
    <w:rsid w:val="00F42493"/>
    <w:rsid w:val="00F55816"/>
    <w:rsid w:val="00FA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0131C"/>
  <w15:docId w15:val="{344D3DF5-A6F2-4AD2-8C8D-DC2C4D94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2E91"/>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44566A"/>
    <w:pPr>
      <w:keepNext/>
      <w:keepLines/>
      <w:numPr>
        <w:numId w:val="8"/>
      </w:numPr>
      <w:spacing w:before="480" w:after="360"/>
      <w:ind w:left="1008" w:hanging="720"/>
      <w:outlineLvl w:val="0"/>
    </w:pPr>
    <w:rPr>
      <w:rFonts w:ascii="Arial" w:eastAsiaTheme="majorEastAsia" w:hAnsi="Arial" w:cstheme="majorBidi"/>
      <w:sz w:val="24"/>
      <w:szCs w:val="32"/>
      <w:u w:val="single" w:color="0A051F"/>
    </w:rPr>
  </w:style>
  <w:style w:type="paragraph" w:styleId="Heading2">
    <w:name w:val="heading 2"/>
    <w:basedOn w:val="BodyText"/>
    <w:next w:val="Normal"/>
    <w:link w:val="Heading2Char"/>
    <w:autoRedefine/>
    <w:uiPriority w:val="9"/>
    <w:unhideWhenUsed/>
    <w:qFormat/>
    <w:rsid w:val="00A72E91"/>
    <w:pPr>
      <w:spacing w:after="360"/>
      <w:outlineLvl w:val="1"/>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ED2BFB"/>
    <w:pPr>
      <w:spacing w:after="240" w:line="480" w:lineRule="auto"/>
    </w:pPr>
    <w:rPr>
      <w:rFonts w:ascii="Arial" w:hAnsi="Arial"/>
      <w:szCs w:val="20"/>
    </w:rPr>
  </w:style>
  <w:style w:type="paragraph" w:styleId="ListParagraph">
    <w:name w:val="List Paragraph"/>
    <w:basedOn w:val="Normal"/>
    <w:uiPriority w:val="1"/>
    <w:qFormat/>
    <w:rsid w:val="0044566A"/>
    <w:pPr>
      <w:numPr>
        <w:numId w:val="11"/>
      </w:numPr>
      <w:spacing w:after="240" w:line="360" w:lineRule="auto"/>
      <w:ind w:left="630"/>
    </w:pPr>
    <w:rPr>
      <w:rFonts w:ascii="Arial" w:eastAsia="Arial" w:hAnsi="Arial" w:cs="Arial"/>
    </w:rPr>
  </w:style>
  <w:style w:type="paragraph" w:customStyle="1" w:styleId="TableParagraph">
    <w:name w:val="Table Paragraph"/>
    <w:basedOn w:val="Normal"/>
    <w:uiPriority w:val="1"/>
    <w:qFormat/>
    <w:pPr>
      <w:spacing w:before="17" w:line="107" w:lineRule="exact"/>
    </w:pPr>
  </w:style>
  <w:style w:type="table" w:styleId="TableGrid">
    <w:name w:val="Table Grid"/>
    <w:basedOn w:val="TableNormal"/>
    <w:uiPriority w:val="39"/>
    <w:rsid w:val="000730C1"/>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973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3A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73A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4566A"/>
    <w:rPr>
      <w:rFonts w:ascii="Arial" w:eastAsiaTheme="majorEastAsia" w:hAnsi="Arial" w:cstheme="majorBidi"/>
      <w:sz w:val="24"/>
      <w:szCs w:val="32"/>
      <w:u w:val="single" w:color="0A051F"/>
    </w:rPr>
  </w:style>
  <w:style w:type="paragraph" w:styleId="Header">
    <w:name w:val="header"/>
    <w:basedOn w:val="Normal"/>
    <w:link w:val="HeaderChar"/>
    <w:uiPriority w:val="99"/>
    <w:unhideWhenUsed/>
    <w:rsid w:val="00150FC2"/>
    <w:pPr>
      <w:tabs>
        <w:tab w:val="center" w:pos="4680"/>
        <w:tab w:val="right" w:pos="9360"/>
      </w:tabs>
    </w:pPr>
  </w:style>
  <w:style w:type="character" w:customStyle="1" w:styleId="HeaderChar">
    <w:name w:val="Header Char"/>
    <w:basedOn w:val="DefaultParagraphFont"/>
    <w:link w:val="Header"/>
    <w:uiPriority w:val="99"/>
    <w:rsid w:val="00150FC2"/>
    <w:rPr>
      <w:rFonts w:ascii="Times New Roman" w:eastAsia="Times New Roman" w:hAnsi="Times New Roman" w:cs="Times New Roman"/>
    </w:rPr>
  </w:style>
  <w:style w:type="paragraph" w:styleId="Footer">
    <w:name w:val="footer"/>
    <w:basedOn w:val="Normal"/>
    <w:link w:val="FooterChar"/>
    <w:uiPriority w:val="99"/>
    <w:unhideWhenUsed/>
    <w:rsid w:val="00150FC2"/>
    <w:pPr>
      <w:tabs>
        <w:tab w:val="center" w:pos="4680"/>
        <w:tab w:val="right" w:pos="9360"/>
      </w:tabs>
    </w:pPr>
  </w:style>
  <w:style w:type="character" w:customStyle="1" w:styleId="FooterChar">
    <w:name w:val="Footer Char"/>
    <w:basedOn w:val="DefaultParagraphFont"/>
    <w:link w:val="Footer"/>
    <w:uiPriority w:val="99"/>
    <w:rsid w:val="00150FC2"/>
    <w:rPr>
      <w:rFonts w:ascii="Times New Roman" w:eastAsia="Times New Roman" w:hAnsi="Times New Roman" w:cs="Times New Roman"/>
    </w:rPr>
  </w:style>
  <w:style w:type="table" w:styleId="TableGridLight">
    <w:name w:val="Grid Table Light"/>
    <w:basedOn w:val="TableNormal"/>
    <w:uiPriority w:val="40"/>
    <w:rsid w:val="00BA430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22656"/>
    <w:rPr>
      <w:sz w:val="20"/>
      <w:szCs w:val="20"/>
    </w:rPr>
  </w:style>
  <w:style w:type="character" w:customStyle="1" w:styleId="FootnoteTextChar">
    <w:name w:val="Footnote Text Char"/>
    <w:basedOn w:val="DefaultParagraphFont"/>
    <w:link w:val="FootnoteText"/>
    <w:uiPriority w:val="99"/>
    <w:semiHidden/>
    <w:rsid w:val="0062265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22656"/>
    <w:rPr>
      <w:vertAlign w:val="superscript"/>
    </w:rPr>
  </w:style>
  <w:style w:type="character" w:customStyle="1" w:styleId="Heading2Char">
    <w:name w:val="Heading 2 Char"/>
    <w:basedOn w:val="DefaultParagraphFont"/>
    <w:link w:val="Heading2"/>
    <w:uiPriority w:val="9"/>
    <w:rsid w:val="00A72E91"/>
    <w:rPr>
      <w:rFonts w:ascii="Arial" w:eastAsia="Times New Roman" w:hAnsi="Arial" w:cs="Arial"/>
      <w:b/>
      <w:szCs w:val="20"/>
    </w:rPr>
  </w:style>
  <w:style w:type="paragraph" w:styleId="TOCHeading">
    <w:name w:val="TOC Heading"/>
    <w:basedOn w:val="Heading1"/>
    <w:next w:val="Normal"/>
    <w:uiPriority w:val="39"/>
    <w:unhideWhenUsed/>
    <w:qFormat/>
    <w:rsid w:val="00855A74"/>
    <w:pPr>
      <w:widowControl/>
      <w:numPr>
        <w:numId w:val="0"/>
      </w:numPr>
      <w:autoSpaceDE/>
      <w:autoSpaceDN/>
      <w:spacing w:before="240" w:after="0" w:line="259" w:lineRule="auto"/>
      <w:outlineLvl w:val="9"/>
    </w:pPr>
    <w:rPr>
      <w:rFonts w:asciiTheme="majorHAnsi" w:hAnsiTheme="majorHAnsi"/>
      <w:color w:val="365F91" w:themeColor="accent1" w:themeShade="BF"/>
      <w:sz w:val="32"/>
      <w:u w:val="none"/>
    </w:rPr>
  </w:style>
  <w:style w:type="paragraph" w:styleId="TOC1">
    <w:name w:val="toc 1"/>
    <w:basedOn w:val="Normal"/>
    <w:next w:val="Normal"/>
    <w:autoRedefine/>
    <w:uiPriority w:val="39"/>
    <w:unhideWhenUsed/>
    <w:rsid w:val="00855A74"/>
    <w:pPr>
      <w:tabs>
        <w:tab w:val="left" w:pos="720"/>
        <w:tab w:val="center" w:pos="8820"/>
        <w:tab w:val="right" w:leader="dot" w:pos="9410"/>
      </w:tabs>
      <w:spacing w:after="100"/>
    </w:pPr>
  </w:style>
  <w:style w:type="paragraph" w:styleId="TOC2">
    <w:name w:val="toc 2"/>
    <w:basedOn w:val="Normal"/>
    <w:next w:val="Normal"/>
    <w:autoRedefine/>
    <w:uiPriority w:val="39"/>
    <w:unhideWhenUsed/>
    <w:rsid w:val="00855A74"/>
    <w:pPr>
      <w:spacing w:after="100"/>
      <w:ind w:left="220"/>
    </w:pPr>
  </w:style>
  <w:style w:type="character" w:styleId="Hyperlink">
    <w:name w:val="Hyperlink"/>
    <w:basedOn w:val="DefaultParagraphFont"/>
    <w:uiPriority w:val="99"/>
    <w:unhideWhenUsed/>
    <w:rsid w:val="00855A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6744">
      <w:bodyDiv w:val="1"/>
      <w:marLeft w:val="0"/>
      <w:marRight w:val="0"/>
      <w:marTop w:val="0"/>
      <w:marBottom w:val="0"/>
      <w:divBdr>
        <w:top w:val="none" w:sz="0" w:space="0" w:color="auto"/>
        <w:left w:val="none" w:sz="0" w:space="0" w:color="auto"/>
        <w:bottom w:val="none" w:sz="0" w:space="0" w:color="auto"/>
        <w:right w:val="none" w:sz="0" w:space="0" w:color="auto"/>
      </w:divBdr>
    </w:div>
    <w:div w:id="234634392">
      <w:bodyDiv w:val="1"/>
      <w:marLeft w:val="0"/>
      <w:marRight w:val="0"/>
      <w:marTop w:val="0"/>
      <w:marBottom w:val="0"/>
      <w:divBdr>
        <w:top w:val="none" w:sz="0" w:space="0" w:color="auto"/>
        <w:left w:val="none" w:sz="0" w:space="0" w:color="auto"/>
        <w:bottom w:val="none" w:sz="0" w:space="0" w:color="auto"/>
        <w:right w:val="none" w:sz="0" w:space="0" w:color="auto"/>
      </w:divBdr>
    </w:div>
    <w:div w:id="1248265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8E0B0-2080-4CC1-87FB-FA5B901F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3484</Words>
  <Characters>19863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Wong, Julia (EHS)</dc:creator>
  <cp:lastModifiedBy>Cioffari-Macphee, Diana (DPH)</cp:lastModifiedBy>
  <cp:revision>12</cp:revision>
  <dcterms:created xsi:type="dcterms:W3CDTF">2021-08-18T14:05:00Z</dcterms:created>
  <dcterms:modified xsi:type="dcterms:W3CDTF">2021-08-18T14:32:00Z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Acrobat PDFMaker 21 for Word</vt:lpwstr>
  </property>
  <property fmtid="{D5CDD505-2E9C-101B-9397-08002B2CF9AE}" pid="4" name="LastSaved">
    <vt:filetime>2021-07-28T00:00:00Z</vt:filetime>
  </property>
</Properties>
</file>