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538C7" w14:textId="77777777" w:rsidR="00E23202" w:rsidRDefault="00E23202" w:rsidP="00E23202">
      <w:pPr>
        <w:pStyle w:val="Heading1"/>
        <w:spacing w:before="0"/>
        <w:jc w:val="center"/>
      </w:pPr>
    </w:p>
    <w:p w14:paraId="57B67C15" w14:textId="77777777" w:rsidR="00E23202" w:rsidRDefault="00E23202" w:rsidP="00E23202">
      <w:pPr>
        <w:pStyle w:val="Heading1"/>
        <w:spacing w:before="0"/>
        <w:jc w:val="center"/>
      </w:pPr>
    </w:p>
    <w:p w14:paraId="6DC6934E" w14:textId="77777777" w:rsidR="00E23202" w:rsidRDefault="00E23202" w:rsidP="00E23202">
      <w:pPr>
        <w:pStyle w:val="Heading1"/>
        <w:spacing w:before="0"/>
        <w:jc w:val="center"/>
      </w:pPr>
    </w:p>
    <w:p w14:paraId="1162AC3B" w14:textId="77777777" w:rsidR="00E23202" w:rsidRDefault="00E23202" w:rsidP="00E23202">
      <w:pPr>
        <w:pStyle w:val="Heading1"/>
        <w:spacing w:before="0"/>
        <w:jc w:val="center"/>
      </w:pPr>
    </w:p>
    <w:p w14:paraId="282D5AC3" w14:textId="392DFCF2" w:rsidR="00732AF7" w:rsidRDefault="00A03644" w:rsidP="00953F8F">
      <w:pPr>
        <w:pStyle w:val="Title"/>
      </w:pPr>
      <w:r>
        <w:t>Atrius Health</w:t>
      </w:r>
      <w:r w:rsidR="003917BA">
        <w:t>, Inc.</w:t>
      </w:r>
    </w:p>
    <w:p w14:paraId="47A84658" w14:textId="6E32FBB3" w:rsidR="00E23202" w:rsidRDefault="00E23202" w:rsidP="00953F8F">
      <w:pPr>
        <w:pStyle w:val="Subtitle"/>
      </w:pPr>
      <w:r w:rsidRPr="0003005A">
        <w:t xml:space="preserve">Analysis of the Reasonableness of Assumptions </w:t>
      </w:r>
      <w:r w:rsidR="00CB20B4" w:rsidRPr="0003005A">
        <w:t xml:space="preserve">and </w:t>
      </w:r>
      <w:r w:rsidR="009718E2" w:rsidRPr="0003005A">
        <w:t>Prospective Financial Schedules</w:t>
      </w:r>
      <w:r w:rsidR="00CB20B4" w:rsidRPr="0003005A">
        <w:t xml:space="preserve"> Used to Support </w:t>
      </w:r>
      <w:r w:rsidR="00CC009B">
        <w:t>Atrius Waltham</w:t>
      </w:r>
    </w:p>
    <w:p w14:paraId="7A093E81" w14:textId="18434BF0" w:rsidR="009337DF" w:rsidRDefault="004F2545" w:rsidP="00953F8F">
      <w:pPr>
        <w:pStyle w:val="Heading1"/>
      </w:pPr>
      <w:bookmarkStart w:id="0" w:name="_Toc169878429"/>
      <w:bookmarkStart w:id="1" w:name="_Toc169878534"/>
      <w:bookmarkStart w:id="2" w:name="_Toc169878646"/>
      <w:bookmarkStart w:id="3" w:name="_Toc169878725"/>
      <w:r>
        <w:t xml:space="preserve">report dated </w:t>
      </w:r>
      <w:r w:rsidR="00D41357">
        <w:t>August</w:t>
      </w:r>
      <w:r w:rsidR="006A07E3">
        <w:t xml:space="preserve"> </w:t>
      </w:r>
      <w:r w:rsidR="00D41357">
        <w:t>13</w:t>
      </w:r>
      <w:r w:rsidR="00A60B08">
        <w:t>,</w:t>
      </w:r>
      <w:r w:rsidR="00261398">
        <w:t xml:space="preserve"> 202</w:t>
      </w:r>
      <w:r w:rsidR="00625B37">
        <w:t>4</w:t>
      </w:r>
      <w:bookmarkEnd w:id="0"/>
      <w:bookmarkEnd w:id="1"/>
      <w:bookmarkEnd w:id="2"/>
      <w:bookmarkEnd w:id="3"/>
    </w:p>
    <w:p w14:paraId="7D6C8C44" w14:textId="77777777" w:rsidR="0028032C" w:rsidRPr="0028032C" w:rsidRDefault="0028032C" w:rsidP="0028032C"/>
    <w:p w14:paraId="7554D1D2" w14:textId="77777777" w:rsidR="0028032C" w:rsidRPr="0028032C" w:rsidRDefault="0028032C" w:rsidP="0028032C"/>
    <w:p w14:paraId="404D0C7C" w14:textId="77777777" w:rsidR="0028032C" w:rsidRPr="0028032C" w:rsidRDefault="0028032C" w:rsidP="0028032C"/>
    <w:p w14:paraId="71BB5E79" w14:textId="77777777" w:rsidR="0028032C" w:rsidRPr="0028032C" w:rsidRDefault="0028032C" w:rsidP="0028032C"/>
    <w:p w14:paraId="52A43019" w14:textId="77777777" w:rsidR="0028032C" w:rsidRPr="0028032C" w:rsidRDefault="0028032C" w:rsidP="0028032C"/>
    <w:p w14:paraId="51E1AEBE" w14:textId="77777777" w:rsidR="0028032C" w:rsidRPr="0028032C" w:rsidRDefault="0028032C" w:rsidP="0028032C"/>
    <w:p w14:paraId="53D3A5AA" w14:textId="77777777" w:rsidR="0028032C" w:rsidRPr="0028032C" w:rsidRDefault="0028032C" w:rsidP="0028032C"/>
    <w:p w14:paraId="57875A6C" w14:textId="77777777" w:rsidR="0028032C" w:rsidRPr="0028032C" w:rsidRDefault="0028032C" w:rsidP="0028032C"/>
    <w:p w14:paraId="12C60144" w14:textId="77777777" w:rsidR="0028032C" w:rsidRPr="0028032C" w:rsidRDefault="0028032C" w:rsidP="0028032C"/>
    <w:p w14:paraId="024560D6" w14:textId="77777777" w:rsidR="0028032C" w:rsidRPr="0028032C" w:rsidRDefault="0028032C" w:rsidP="0028032C"/>
    <w:p w14:paraId="40DADC6A" w14:textId="77777777" w:rsidR="0028032C" w:rsidRPr="0028032C" w:rsidRDefault="0028032C" w:rsidP="0028032C"/>
    <w:p w14:paraId="5B705E9E" w14:textId="77777777" w:rsidR="0028032C" w:rsidRPr="0028032C" w:rsidRDefault="0028032C" w:rsidP="0028032C"/>
    <w:p w14:paraId="46BFA66D" w14:textId="2DC1AE70" w:rsidR="0028032C" w:rsidRPr="0028032C" w:rsidRDefault="0028032C" w:rsidP="0028032C">
      <w:pPr>
        <w:tabs>
          <w:tab w:val="left" w:pos="7937"/>
        </w:tabs>
      </w:pPr>
      <w:r>
        <w:tab/>
      </w:r>
    </w:p>
    <w:p w14:paraId="0A88208F" w14:textId="6A7E977F" w:rsidR="0028032C" w:rsidRPr="0028032C" w:rsidRDefault="0028032C" w:rsidP="0028032C">
      <w:pPr>
        <w:tabs>
          <w:tab w:val="left" w:pos="7937"/>
        </w:tabs>
        <w:sectPr w:rsidR="0028032C" w:rsidRPr="0028032C" w:rsidSect="00BB73A0">
          <w:footerReference w:type="default" r:id="rId9"/>
          <w:headerReference w:type="first" r:id="rId10"/>
          <w:footerReference w:type="first" r:id="rId11"/>
          <w:pgSz w:w="12240" w:h="15840" w:code="1"/>
          <w:pgMar w:top="1440" w:right="1699" w:bottom="1440" w:left="1699" w:header="403" w:footer="677" w:gutter="0"/>
          <w:cols w:space="720"/>
          <w:titlePg/>
          <w:docGrid w:linePitch="360"/>
        </w:sectPr>
      </w:pPr>
    </w:p>
    <w:p w14:paraId="24F66EC6" w14:textId="62DED428" w:rsidR="008E6D78" w:rsidRPr="008E6D78" w:rsidRDefault="008D0DC9" w:rsidP="008E6D78">
      <w:pPr>
        <w:pStyle w:val="TOCHeading"/>
        <w:rPr>
          <w:noProof/>
        </w:rPr>
      </w:pPr>
      <w:r>
        <w:t>Table of Contents</w:t>
      </w:r>
      <w:r>
        <w:rPr>
          <w:color w:val="666D70"/>
          <w:sz w:val="20"/>
          <w:szCs w:val="22"/>
        </w:rPr>
        <w:fldChar w:fldCharType="begin"/>
      </w:r>
      <w:r>
        <w:instrText xml:space="preserve"> TOC \h \z \t "Vln Sec Title,1,Heading 1,1,Vln Exhibit,1" </w:instrText>
      </w:r>
      <w:r>
        <w:rPr>
          <w:color w:val="666D70"/>
          <w:sz w:val="20"/>
          <w:szCs w:val="22"/>
        </w:rPr>
        <w:fldChar w:fldCharType="separate"/>
      </w:r>
    </w:p>
    <w:p w14:paraId="1D04612C" w14:textId="107EE965" w:rsidR="008E6D78" w:rsidRDefault="00C33593">
      <w:pPr>
        <w:pStyle w:val="TOC1"/>
        <w:rPr>
          <w:rFonts w:cstheme="minorBidi"/>
          <w:noProof/>
        </w:rPr>
      </w:pPr>
      <w:hyperlink w:anchor="_Toc169878726" w:history="1">
        <w:r w:rsidR="008E6D78" w:rsidRPr="00936540">
          <w:rPr>
            <w:rStyle w:val="Hyperlink"/>
            <w:noProof/>
          </w:rPr>
          <w:t>I.</w:t>
        </w:r>
        <w:r w:rsidR="008E6D78">
          <w:rPr>
            <w:rFonts w:cstheme="minorBidi"/>
            <w:noProof/>
          </w:rPr>
          <w:tab/>
        </w:r>
        <w:r w:rsidR="008E6D78" w:rsidRPr="00936540">
          <w:rPr>
            <w:rStyle w:val="Hyperlink"/>
            <w:noProof/>
          </w:rPr>
          <w:t>Executive Summary</w:t>
        </w:r>
        <w:r w:rsidR="008E6D78">
          <w:rPr>
            <w:noProof/>
            <w:webHidden/>
          </w:rPr>
          <w:tab/>
        </w:r>
        <w:r w:rsidR="008E6D78">
          <w:rPr>
            <w:noProof/>
            <w:webHidden/>
          </w:rPr>
          <w:fldChar w:fldCharType="begin"/>
        </w:r>
        <w:r w:rsidR="008E6D78">
          <w:rPr>
            <w:noProof/>
            <w:webHidden/>
          </w:rPr>
          <w:instrText xml:space="preserve"> PAGEREF _Toc169878726 \h </w:instrText>
        </w:r>
        <w:r w:rsidR="008E6D78">
          <w:rPr>
            <w:noProof/>
            <w:webHidden/>
          </w:rPr>
        </w:r>
        <w:r w:rsidR="008E6D78">
          <w:rPr>
            <w:noProof/>
            <w:webHidden/>
          </w:rPr>
          <w:fldChar w:fldCharType="separate"/>
        </w:r>
        <w:r w:rsidR="002655FE">
          <w:rPr>
            <w:noProof/>
            <w:webHidden/>
          </w:rPr>
          <w:t>2</w:t>
        </w:r>
        <w:r w:rsidR="008E6D78">
          <w:rPr>
            <w:noProof/>
            <w:webHidden/>
          </w:rPr>
          <w:fldChar w:fldCharType="end"/>
        </w:r>
      </w:hyperlink>
    </w:p>
    <w:p w14:paraId="4C109426" w14:textId="62B13979" w:rsidR="008E6D78" w:rsidRDefault="00C33593">
      <w:pPr>
        <w:pStyle w:val="TOC1"/>
        <w:rPr>
          <w:rFonts w:cstheme="minorBidi"/>
          <w:noProof/>
        </w:rPr>
      </w:pPr>
      <w:hyperlink w:anchor="_Toc169878727" w:history="1">
        <w:r w:rsidR="008E6D78" w:rsidRPr="00936540">
          <w:rPr>
            <w:rStyle w:val="Hyperlink"/>
            <w:noProof/>
          </w:rPr>
          <w:t>II.</w:t>
        </w:r>
        <w:r w:rsidR="008E6D78">
          <w:rPr>
            <w:rFonts w:cstheme="minorBidi"/>
            <w:noProof/>
          </w:rPr>
          <w:tab/>
        </w:r>
        <w:r w:rsidR="008E6D78" w:rsidRPr="00936540">
          <w:rPr>
            <w:rStyle w:val="Hyperlink"/>
            <w:noProof/>
          </w:rPr>
          <w:t>Relevant Background Information</w:t>
        </w:r>
        <w:r w:rsidR="008E6D78">
          <w:rPr>
            <w:noProof/>
            <w:webHidden/>
          </w:rPr>
          <w:tab/>
        </w:r>
        <w:r w:rsidR="008E6D78">
          <w:rPr>
            <w:noProof/>
            <w:webHidden/>
          </w:rPr>
          <w:fldChar w:fldCharType="begin"/>
        </w:r>
        <w:r w:rsidR="008E6D78">
          <w:rPr>
            <w:noProof/>
            <w:webHidden/>
          </w:rPr>
          <w:instrText xml:space="preserve"> PAGEREF _Toc169878727 \h </w:instrText>
        </w:r>
        <w:r w:rsidR="008E6D78">
          <w:rPr>
            <w:noProof/>
            <w:webHidden/>
          </w:rPr>
        </w:r>
        <w:r w:rsidR="008E6D78">
          <w:rPr>
            <w:noProof/>
            <w:webHidden/>
          </w:rPr>
          <w:fldChar w:fldCharType="separate"/>
        </w:r>
        <w:r w:rsidR="002655FE">
          <w:rPr>
            <w:noProof/>
            <w:webHidden/>
          </w:rPr>
          <w:t>2</w:t>
        </w:r>
        <w:r w:rsidR="008E6D78">
          <w:rPr>
            <w:noProof/>
            <w:webHidden/>
          </w:rPr>
          <w:fldChar w:fldCharType="end"/>
        </w:r>
      </w:hyperlink>
    </w:p>
    <w:p w14:paraId="3310545E" w14:textId="6C5637D8" w:rsidR="008E6D78" w:rsidRDefault="00C33593">
      <w:pPr>
        <w:pStyle w:val="TOC1"/>
        <w:rPr>
          <w:rFonts w:cstheme="minorBidi"/>
          <w:noProof/>
        </w:rPr>
      </w:pPr>
      <w:hyperlink w:anchor="_Toc169878728" w:history="1">
        <w:r w:rsidR="008E6D78" w:rsidRPr="00936540">
          <w:rPr>
            <w:rStyle w:val="Hyperlink"/>
            <w:noProof/>
          </w:rPr>
          <w:t>III.</w:t>
        </w:r>
        <w:r w:rsidR="008E6D78">
          <w:rPr>
            <w:rFonts w:cstheme="minorBidi"/>
            <w:noProof/>
          </w:rPr>
          <w:tab/>
        </w:r>
        <w:r w:rsidR="008E6D78" w:rsidRPr="00936540">
          <w:rPr>
            <w:rStyle w:val="Hyperlink"/>
            <w:noProof/>
          </w:rPr>
          <w:t>Scope of Analysis</w:t>
        </w:r>
        <w:r w:rsidR="008E6D78">
          <w:rPr>
            <w:noProof/>
            <w:webHidden/>
          </w:rPr>
          <w:tab/>
        </w:r>
        <w:r w:rsidR="008E6D78">
          <w:rPr>
            <w:noProof/>
            <w:webHidden/>
          </w:rPr>
          <w:fldChar w:fldCharType="begin"/>
        </w:r>
        <w:r w:rsidR="008E6D78">
          <w:rPr>
            <w:noProof/>
            <w:webHidden/>
          </w:rPr>
          <w:instrText xml:space="preserve"> PAGEREF _Toc169878728 \h </w:instrText>
        </w:r>
        <w:r w:rsidR="008E6D78">
          <w:rPr>
            <w:noProof/>
            <w:webHidden/>
          </w:rPr>
        </w:r>
        <w:r w:rsidR="008E6D78">
          <w:rPr>
            <w:noProof/>
            <w:webHidden/>
          </w:rPr>
          <w:fldChar w:fldCharType="separate"/>
        </w:r>
        <w:r w:rsidR="002655FE">
          <w:rPr>
            <w:noProof/>
            <w:webHidden/>
          </w:rPr>
          <w:t>3</w:t>
        </w:r>
        <w:r w:rsidR="008E6D78">
          <w:rPr>
            <w:noProof/>
            <w:webHidden/>
          </w:rPr>
          <w:fldChar w:fldCharType="end"/>
        </w:r>
      </w:hyperlink>
    </w:p>
    <w:p w14:paraId="14815678" w14:textId="74A5BB74" w:rsidR="008E6D78" w:rsidRDefault="00C33593">
      <w:pPr>
        <w:pStyle w:val="TOC1"/>
        <w:rPr>
          <w:rFonts w:cstheme="minorBidi"/>
          <w:noProof/>
        </w:rPr>
      </w:pPr>
      <w:hyperlink w:anchor="_Toc169878729" w:history="1">
        <w:r w:rsidR="008E6D78" w:rsidRPr="00936540">
          <w:rPr>
            <w:rStyle w:val="Hyperlink"/>
            <w:noProof/>
          </w:rPr>
          <w:t>IV.</w:t>
        </w:r>
        <w:r w:rsidR="008E6D78">
          <w:rPr>
            <w:rFonts w:cstheme="minorBidi"/>
            <w:noProof/>
          </w:rPr>
          <w:tab/>
        </w:r>
        <w:r w:rsidR="008E6D78" w:rsidRPr="00936540">
          <w:rPr>
            <w:rStyle w:val="Hyperlink"/>
            <w:noProof/>
          </w:rPr>
          <w:t>Sources of Information Utilized</w:t>
        </w:r>
        <w:r w:rsidR="008E6D78">
          <w:rPr>
            <w:noProof/>
            <w:webHidden/>
          </w:rPr>
          <w:tab/>
        </w:r>
        <w:r w:rsidR="008E6D78">
          <w:rPr>
            <w:noProof/>
            <w:webHidden/>
          </w:rPr>
          <w:fldChar w:fldCharType="begin"/>
        </w:r>
        <w:r w:rsidR="008E6D78">
          <w:rPr>
            <w:noProof/>
            <w:webHidden/>
          </w:rPr>
          <w:instrText xml:space="preserve"> PAGEREF _Toc169878729 \h </w:instrText>
        </w:r>
        <w:r w:rsidR="008E6D78">
          <w:rPr>
            <w:noProof/>
            <w:webHidden/>
          </w:rPr>
        </w:r>
        <w:r w:rsidR="008E6D78">
          <w:rPr>
            <w:noProof/>
            <w:webHidden/>
          </w:rPr>
          <w:fldChar w:fldCharType="separate"/>
        </w:r>
        <w:r w:rsidR="002655FE">
          <w:rPr>
            <w:noProof/>
            <w:webHidden/>
          </w:rPr>
          <w:t>3</w:t>
        </w:r>
        <w:r w:rsidR="008E6D78">
          <w:rPr>
            <w:noProof/>
            <w:webHidden/>
          </w:rPr>
          <w:fldChar w:fldCharType="end"/>
        </w:r>
      </w:hyperlink>
    </w:p>
    <w:p w14:paraId="40DEF589" w14:textId="6DCA4F8B" w:rsidR="008E6D78" w:rsidRDefault="00C33593">
      <w:pPr>
        <w:pStyle w:val="TOC1"/>
        <w:rPr>
          <w:rFonts w:cstheme="minorBidi"/>
          <w:noProof/>
        </w:rPr>
      </w:pPr>
      <w:hyperlink w:anchor="_Toc169878730" w:history="1">
        <w:r w:rsidR="008E6D78" w:rsidRPr="00936540">
          <w:rPr>
            <w:rStyle w:val="Hyperlink"/>
            <w:noProof/>
          </w:rPr>
          <w:t>V.</w:t>
        </w:r>
        <w:r w:rsidR="008E6D78">
          <w:rPr>
            <w:rFonts w:cstheme="minorBidi"/>
            <w:noProof/>
          </w:rPr>
          <w:tab/>
        </w:r>
        <w:r w:rsidR="008E6D78" w:rsidRPr="00936540">
          <w:rPr>
            <w:rStyle w:val="Hyperlink"/>
            <w:noProof/>
          </w:rPr>
          <w:t>Review of the Atrius Waltham Prospective Financial Schedules</w:t>
        </w:r>
        <w:r w:rsidR="008E6D78">
          <w:rPr>
            <w:noProof/>
            <w:webHidden/>
          </w:rPr>
          <w:tab/>
        </w:r>
        <w:r w:rsidR="008E6D78">
          <w:rPr>
            <w:noProof/>
            <w:webHidden/>
          </w:rPr>
          <w:fldChar w:fldCharType="begin"/>
        </w:r>
        <w:r w:rsidR="008E6D78">
          <w:rPr>
            <w:noProof/>
            <w:webHidden/>
          </w:rPr>
          <w:instrText xml:space="preserve"> PAGEREF _Toc169878730 \h </w:instrText>
        </w:r>
        <w:r w:rsidR="008E6D78">
          <w:rPr>
            <w:noProof/>
            <w:webHidden/>
          </w:rPr>
        </w:r>
        <w:r w:rsidR="008E6D78">
          <w:rPr>
            <w:noProof/>
            <w:webHidden/>
          </w:rPr>
          <w:fldChar w:fldCharType="separate"/>
        </w:r>
        <w:r w:rsidR="002655FE">
          <w:rPr>
            <w:noProof/>
            <w:webHidden/>
          </w:rPr>
          <w:t>4</w:t>
        </w:r>
        <w:r w:rsidR="008E6D78">
          <w:rPr>
            <w:noProof/>
            <w:webHidden/>
          </w:rPr>
          <w:fldChar w:fldCharType="end"/>
        </w:r>
      </w:hyperlink>
    </w:p>
    <w:p w14:paraId="447E6E99" w14:textId="7B96610C" w:rsidR="008E6D78" w:rsidRDefault="00C33593">
      <w:pPr>
        <w:pStyle w:val="TOC1"/>
        <w:rPr>
          <w:rFonts w:cstheme="minorBidi"/>
          <w:noProof/>
        </w:rPr>
      </w:pPr>
      <w:hyperlink w:anchor="_Toc169878731" w:history="1">
        <w:r w:rsidR="008E6D78" w:rsidRPr="00936540">
          <w:rPr>
            <w:rStyle w:val="Hyperlink"/>
            <w:noProof/>
          </w:rPr>
          <w:t>VI.</w:t>
        </w:r>
        <w:r w:rsidR="008E6D78">
          <w:rPr>
            <w:rFonts w:cstheme="minorBidi"/>
            <w:noProof/>
          </w:rPr>
          <w:tab/>
        </w:r>
        <w:r w:rsidR="008E6D78" w:rsidRPr="00936540">
          <w:rPr>
            <w:rStyle w:val="Hyperlink"/>
            <w:noProof/>
          </w:rPr>
          <w:t>Feasibility</w:t>
        </w:r>
        <w:r w:rsidR="008E6D78">
          <w:rPr>
            <w:noProof/>
            <w:webHidden/>
          </w:rPr>
          <w:tab/>
        </w:r>
        <w:r w:rsidR="008E6D78">
          <w:rPr>
            <w:noProof/>
            <w:webHidden/>
          </w:rPr>
          <w:fldChar w:fldCharType="begin"/>
        </w:r>
        <w:r w:rsidR="008E6D78">
          <w:rPr>
            <w:noProof/>
            <w:webHidden/>
          </w:rPr>
          <w:instrText xml:space="preserve"> PAGEREF _Toc169878731 \h </w:instrText>
        </w:r>
        <w:r w:rsidR="008E6D78">
          <w:rPr>
            <w:noProof/>
            <w:webHidden/>
          </w:rPr>
        </w:r>
        <w:r w:rsidR="008E6D78">
          <w:rPr>
            <w:noProof/>
            <w:webHidden/>
          </w:rPr>
          <w:fldChar w:fldCharType="separate"/>
        </w:r>
        <w:r w:rsidR="002655FE">
          <w:rPr>
            <w:noProof/>
            <w:webHidden/>
          </w:rPr>
          <w:t>6</w:t>
        </w:r>
        <w:r w:rsidR="008E6D78">
          <w:rPr>
            <w:noProof/>
            <w:webHidden/>
          </w:rPr>
          <w:fldChar w:fldCharType="end"/>
        </w:r>
      </w:hyperlink>
    </w:p>
    <w:p w14:paraId="4165B7A7" w14:textId="0D65E310" w:rsidR="008E6D78" w:rsidRDefault="00C33593">
      <w:pPr>
        <w:pStyle w:val="TOC1"/>
        <w:rPr>
          <w:rFonts w:cstheme="minorBidi"/>
          <w:noProof/>
        </w:rPr>
      </w:pPr>
      <w:hyperlink w:anchor="_Toc169878732" w:history="1">
        <w:r w:rsidR="008E6D78" w:rsidRPr="00936540">
          <w:rPr>
            <w:rStyle w:val="Hyperlink"/>
            <w:noProof/>
          </w:rPr>
          <w:t>VII.Assumptions and Limiting Conditions</w:t>
        </w:r>
        <w:r w:rsidR="008E6D78">
          <w:rPr>
            <w:noProof/>
            <w:webHidden/>
          </w:rPr>
          <w:tab/>
        </w:r>
        <w:r w:rsidR="008E6D78">
          <w:rPr>
            <w:noProof/>
            <w:webHidden/>
          </w:rPr>
          <w:fldChar w:fldCharType="begin"/>
        </w:r>
        <w:r w:rsidR="008E6D78">
          <w:rPr>
            <w:noProof/>
            <w:webHidden/>
          </w:rPr>
          <w:instrText xml:space="preserve"> PAGEREF _Toc169878732 \h </w:instrText>
        </w:r>
        <w:r w:rsidR="008E6D78">
          <w:rPr>
            <w:noProof/>
            <w:webHidden/>
          </w:rPr>
        </w:r>
        <w:r w:rsidR="008E6D78">
          <w:rPr>
            <w:noProof/>
            <w:webHidden/>
          </w:rPr>
          <w:fldChar w:fldCharType="separate"/>
        </w:r>
        <w:r w:rsidR="002655FE">
          <w:rPr>
            <w:noProof/>
            <w:webHidden/>
          </w:rPr>
          <w:t>6</w:t>
        </w:r>
        <w:r w:rsidR="008E6D78">
          <w:rPr>
            <w:noProof/>
            <w:webHidden/>
          </w:rPr>
          <w:fldChar w:fldCharType="end"/>
        </w:r>
      </w:hyperlink>
    </w:p>
    <w:p w14:paraId="4395D010" w14:textId="631FB217" w:rsidR="008D0DC9" w:rsidRDefault="008D0DC9" w:rsidP="00E23202">
      <w:pPr>
        <w:pStyle w:val="Heading3"/>
        <w:spacing w:before="0"/>
        <w:jc w:val="center"/>
      </w:pPr>
      <w:r>
        <w:fldChar w:fldCharType="end"/>
      </w:r>
    </w:p>
    <w:p w14:paraId="520014C4" w14:textId="77777777" w:rsidR="008D0DC9" w:rsidRDefault="008D0DC9">
      <w:pPr>
        <w:rPr>
          <w:rFonts w:asciiTheme="majorHAnsi" w:eastAsiaTheme="majorEastAsia" w:hAnsiTheme="majorHAnsi" w:cstheme="majorBidi"/>
          <w:color w:val="271361"/>
        </w:rPr>
      </w:pPr>
      <w:r>
        <w:br w:type="page"/>
      </w:r>
    </w:p>
    <w:p w14:paraId="6F81D6F0" w14:textId="77777777" w:rsidR="008B773E" w:rsidRDefault="008B773E" w:rsidP="00720B7E">
      <w:pPr>
        <w:pStyle w:val="Heading3"/>
        <w:spacing w:before="0"/>
        <w:sectPr w:rsidR="008B773E" w:rsidSect="008D0DC9">
          <w:headerReference w:type="default" r:id="rId12"/>
          <w:footerReference w:type="default" r:id="rId13"/>
          <w:footerReference w:type="first" r:id="rId14"/>
          <w:pgSz w:w="12240" w:h="15840" w:code="1"/>
          <w:pgMar w:top="1440" w:right="1699" w:bottom="1440" w:left="1699" w:header="403" w:footer="677" w:gutter="0"/>
          <w:cols w:space="720"/>
          <w:docGrid w:linePitch="360"/>
        </w:sectPr>
      </w:pPr>
    </w:p>
    <w:p w14:paraId="195299C1" w14:textId="77777777" w:rsidR="00903B34" w:rsidRDefault="00903B34" w:rsidP="00436ECD">
      <w:pPr>
        <w:rPr>
          <w:color w:val="44484A"/>
        </w:rPr>
      </w:pPr>
    </w:p>
    <w:p w14:paraId="0A521628" w14:textId="0FC90AF8" w:rsidR="004C4A0C" w:rsidRPr="0090440A" w:rsidRDefault="00A0043B" w:rsidP="00436ECD">
      <w:pPr>
        <w:rPr>
          <w:color w:val="44484A"/>
        </w:rPr>
      </w:pPr>
      <w:r>
        <w:rPr>
          <w:color w:val="44484A"/>
        </w:rPr>
        <w:t xml:space="preserve">June </w:t>
      </w:r>
      <w:r w:rsidR="006A07E3">
        <w:rPr>
          <w:color w:val="44484A"/>
        </w:rPr>
        <w:t>3</w:t>
      </w:r>
      <w:r w:rsidR="006C1D15">
        <w:rPr>
          <w:color w:val="44484A"/>
        </w:rPr>
        <w:t>1</w:t>
      </w:r>
      <w:r w:rsidR="00F75519" w:rsidRPr="00F75519">
        <w:rPr>
          <w:color w:val="44484A"/>
        </w:rPr>
        <w:t xml:space="preserve">, </w:t>
      </w:r>
      <w:r w:rsidR="00905707" w:rsidRPr="00F75519">
        <w:rPr>
          <w:color w:val="44484A"/>
        </w:rPr>
        <w:t>202</w:t>
      </w:r>
      <w:r w:rsidR="00317969" w:rsidRPr="00F75519">
        <w:rPr>
          <w:color w:val="44484A"/>
        </w:rPr>
        <w:t>4</w:t>
      </w:r>
    </w:p>
    <w:p w14:paraId="623372B4" w14:textId="77777777" w:rsidR="008913CE" w:rsidRPr="0090440A" w:rsidRDefault="008913CE" w:rsidP="00905707">
      <w:pPr>
        <w:spacing w:after="0"/>
        <w:rPr>
          <w:color w:val="44484A"/>
        </w:rPr>
      </w:pPr>
    </w:p>
    <w:p w14:paraId="082E126D" w14:textId="77777777" w:rsidR="008913CE" w:rsidRPr="0090440A" w:rsidRDefault="008913CE" w:rsidP="00903B34">
      <w:pPr>
        <w:spacing w:after="0"/>
        <w:ind w:firstLine="720"/>
        <w:rPr>
          <w:color w:val="44484A"/>
        </w:rPr>
      </w:pPr>
    </w:p>
    <w:p w14:paraId="1B4D5FEF" w14:textId="70F01854" w:rsidR="00ED4037" w:rsidRPr="00E32D00" w:rsidRDefault="00210417" w:rsidP="00905707">
      <w:pPr>
        <w:spacing w:after="0"/>
      </w:pPr>
      <w:r>
        <w:t>James Woolman</w:t>
      </w:r>
    </w:p>
    <w:p w14:paraId="19E0B34A" w14:textId="7AC12DC9" w:rsidR="00ED4037" w:rsidRPr="00E32D00" w:rsidRDefault="00210417" w:rsidP="00CB20B4">
      <w:pPr>
        <w:spacing w:after="0"/>
      </w:pPr>
      <w:r>
        <w:t>Vice President, Network Contracting and Financial Integration</w:t>
      </w:r>
    </w:p>
    <w:p w14:paraId="7CEFE5F6" w14:textId="7713A1DC" w:rsidR="00CB20B4" w:rsidRPr="00E32D00" w:rsidRDefault="009D29E6" w:rsidP="00CB20B4">
      <w:pPr>
        <w:spacing w:after="0"/>
      </w:pPr>
      <w:r w:rsidRPr="00E32D00">
        <w:t>Atrius Health</w:t>
      </w:r>
    </w:p>
    <w:p w14:paraId="447A2381" w14:textId="2AFB793F" w:rsidR="00CB20B4" w:rsidRPr="00E32D00" w:rsidRDefault="009D29E6" w:rsidP="00CB20B4">
      <w:pPr>
        <w:spacing w:after="0"/>
      </w:pPr>
      <w:r w:rsidRPr="00E32D00">
        <w:t xml:space="preserve">275 Grove </w:t>
      </w:r>
      <w:r w:rsidR="00CB20B4" w:rsidRPr="00E32D00">
        <w:t>Street</w:t>
      </w:r>
      <w:r w:rsidR="00BC44EC">
        <w:t xml:space="preserve"> </w:t>
      </w:r>
    </w:p>
    <w:p w14:paraId="1D178D31" w14:textId="610A67F9" w:rsidR="00905707" w:rsidRPr="0090440A" w:rsidRDefault="009D29E6" w:rsidP="00CB20B4">
      <w:pPr>
        <w:spacing w:after="0"/>
        <w:rPr>
          <w:color w:val="44484A"/>
        </w:rPr>
      </w:pPr>
      <w:r w:rsidRPr="00E32D00">
        <w:t>Newton</w:t>
      </w:r>
      <w:r w:rsidR="00CB20B4" w:rsidRPr="00E32D00">
        <w:t>, MA 02</w:t>
      </w:r>
      <w:r w:rsidR="00210417">
        <w:t>466</w:t>
      </w:r>
    </w:p>
    <w:p w14:paraId="0CF39B07" w14:textId="67439BBD" w:rsidR="00905707" w:rsidRDefault="00905707" w:rsidP="00905707">
      <w:pPr>
        <w:spacing w:after="0"/>
        <w:rPr>
          <w:color w:val="44484A"/>
        </w:rPr>
      </w:pPr>
    </w:p>
    <w:p w14:paraId="27BA8B29" w14:textId="77777777" w:rsidR="006C1D15" w:rsidRPr="0090440A" w:rsidRDefault="006C1D15" w:rsidP="00905707">
      <w:pPr>
        <w:spacing w:after="0"/>
        <w:rPr>
          <w:color w:val="44484A"/>
        </w:rPr>
      </w:pPr>
    </w:p>
    <w:p w14:paraId="62E21004" w14:textId="3C41069F" w:rsidR="004C4A0C" w:rsidRPr="0090440A" w:rsidRDefault="000D7614" w:rsidP="0090440A">
      <w:r w:rsidRPr="0090440A">
        <w:t xml:space="preserve">Dear Mr. </w:t>
      </w:r>
      <w:r w:rsidR="00104B76">
        <w:t>Woolman</w:t>
      </w:r>
      <w:r w:rsidR="00905707" w:rsidRPr="0090440A">
        <w:t>:</w:t>
      </w:r>
      <w:r w:rsidR="00DA4F1B" w:rsidRPr="0090440A">
        <w:t xml:space="preserve"> </w:t>
      </w:r>
    </w:p>
    <w:p w14:paraId="0AD9D950" w14:textId="7F21CC7B" w:rsidR="00BD7635" w:rsidRPr="001C59A6" w:rsidRDefault="001C59A6" w:rsidP="0090440A">
      <w:r w:rsidRPr="001C59A6">
        <w:t>Atrius Health</w:t>
      </w:r>
      <w:r w:rsidR="00893E5B" w:rsidRPr="001C59A6">
        <w:t xml:space="preserve"> (</w:t>
      </w:r>
      <w:r w:rsidR="008913CE" w:rsidRPr="001C59A6">
        <w:t xml:space="preserve">the </w:t>
      </w:r>
      <w:r w:rsidR="00893E5B" w:rsidRPr="001C59A6">
        <w:t>“Applicant” or “</w:t>
      </w:r>
      <w:r w:rsidRPr="001C59A6">
        <w:t>A</w:t>
      </w:r>
      <w:r w:rsidR="000B4348">
        <w:t>trius</w:t>
      </w:r>
      <w:r w:rsidR="00893E5B" w:rsidRPr="001C59A6">
        <w:t>”) is filing an application for a Notice of Determination of Need (“</w:t>
      </w:r>
      <w:r w:rsidR="008913CE" w:rsidRPr="001C59A6">
        <w:t>A</w:t>
      </w:r>
      <w:r w:rsidR="00893E5B" w:rsidRPr="001C59A6">
        <w:t>pplication</w:t>
      </w:r>
      <w:r w:rsidR="00491209" w:rsidRPr="006D51A4">
        <w:t>”</w:t>
      </w:r>
      <w:r w:rsidR="00893E5B" w:rsidRPr="006D51A4">
        <w:t>)</w:t>
      </w:r>
      <w:r w:rsidR="006D51A4" w:rsidRPr="006D51A4">
        <w:t xml:space="preserve"> for the development of a</w:t>
      </w:r>
      <w:r w:rsidR="00D15FA8">
        <w:t xml:space="preserve"> freestanding</w:t>
      </w:r>
      <w:r w:rsidR="006D51A4" w:rsidRPr="006D51A4">
        <w:t xml:space="preserve"> ambulatory surgery </w:t>
      </w:r>
      <w:r w:rsidR="006D51A4" w:rsidRPr="0003005A">
        <w:t>center</w:t>
      </w:r>
      <w:r w:rsidR="00D15FA8">
        <w:t xml:space="preserve"> with six operating rooms</w:t>
      </w:r>
      <w:r w:rsidR="006D51A4" w:rsidRPr="0003005A">
        <w:t xml:space="preserve"> </w:t>
      </w:r>
      <w:r w:rsidR="00893E5B" w:rsidRPr="0003005A">
        <w:t>(</w:t>
      </w:r>
      <w:r w:rsidR="00F31510">
        <w:t xml:space="preserve">the </w:t>
      </w:r>
      <w:r w:rsidR="00281CCC">
        <w:t>“</w:t>
      </w:r>
      <w:r w:rsidR="00F31510">
        <w:t xml:space="preserve">ASC”, “Atrius Waltham” or the </w:t>
      </w:r>
      <w:r w:rsidR="00893E5B" w:rsidRPr="006D51A4">
        <w:t>“</w:t>
      </w:r>
      <w:r w:rsidR="00F31510">
        <w:t>Proposed Project”</w:t>
      </w:r>
      <w:r w:rsidR="00893E5B" w:rsidRPr="0003005A">
        <w:t xml:space="preserve">) upon approval by the Massachusetts Department of Public Health. </w:t>
      </w:r>
      <w:r w:rsidR="00BD7635" w:rsidRPr="0003005A">
        <w:t>V</w:t>
      </w:r>
      <w:r w:rsidR="00BD7635" w:rsidRPr="001C59A6">
        <w:t>eralon Partners Inc. (“Veralon”) performed an analysis of the prospective financial schedules</w:t>
      </w:r>
      <w:r w:rsidR="003E33B6" w:rsidRPr="001C59A6">
        <w:t xml:space="preserve"> </w:t>
      </w:r>
      <w:r w:rsidR="00BD7635" w:rsidRPr="001C59A6">
        <w:t xml:space="preserve">prepared by </w:t>
      </w:r>
      <w:r w:rsidR="0003005A" w:rsidRPr="001B1DB6">
        <w:t>Atrius</w:t>
      </w:r>
      <w:r w:rsidR="00FA2B8F" w:rsidRPr="001B1DB6">
        <w:t xml:space="preserve"> </w:t>
      </w:r>
      <w:r w:rsidR="00893E5B" w:rsidRPr="001B1DB6">
        <w:t>in connection</w:t>
      </w:r>
      <w:r w:rsidR="00893E5B" w:rsidRPr="0003005A">
        <w:t xml:space="preserve"> with the Proposed Project in accordance with</w:t>
      </w:r>
      <w:r w:rsidR="00BD7635" w:rsidRPr="0003005A">
        <w:t xml:space="preserve"> Massachusetts Department of Public Health Determination of Need (“MA DPH DoN”) Application Instructions</w:t>
      </w:r>
      <w:r w:rsidR="00893E5B" w:rsidRPr="0003005A">
        <w:t xml:space="preserve">. </w:t>
      </w:r>
      <w:r w:rsidR="00BD7635" w:rsidRPr="001C59A6">
        <w:t xml:space="preserve">At this time, </w:t>
      </w:r>
      <w:r w:rsidR="0003005A">
        <w:t>Atrius</w:t>
      </w:r>
      <w:r w:rsidR="00CB20B4" w:rsidRPr="001C59A6">
        <w:t xml:space="preserve"> </w:t>
      </w:r>
      <w:r w:rsidR="00BD7635" w:rsidRPr="001C59A6">
        <w:t xml:space="preserve">intends to file a Determination of Need (“DoN”) application </w:t>
      </w:r>
      <w:r w:rsidR="00CB20B4" w:rsidRPr="001C59A6">
        <w:t xml:space="preserve">with </w:t>
      </w:r>
      <w:r w:rsidR="00BD7635" w:rsidRPr="00281CCC">
        <w:t xml:space="preserve">the Commonwealth of Massachusetts </w:t>
      </w:r>
      <w:r w:rsidR="00BD7635" w:rsidRPr="00F31510">
        <w:t>seeking</w:t>
      </w:r>
      <w:r w:rsidR="00BD7635" w:rsidRPr="001C59A6">
        <w:t xml:space="preserve"> approval for the Proposed Project.</w:t>
      </w:r>
    </w:p>
    <w:p w14:paraId="14D291F6" w14:textId="74FF609E" w:rsidR="008B773E" w:rsidRPr="001C59A6" w:rsidRDefault="008B773E" w:rsidP="0090440A">
      <w:r w:rsidRPr="000B4348">
        <w:t xml:space="preserve">This application includes a section regarding Financial Feasibility as referenced in the </w:t>
      </w:r>
      <w:r w:rsidR="00815258" w:rsidRPr="000B4348">
        <w:t>MA DPH DoN</w:t>
      </w:r>
      <w:r w:rsidRPr="000B4348">
        <w:t xml:space="preserve"> code section 100.210 specifically paragraph (A)(4) </w:t>
      </w:r>
      <w:r w:rsidRPr="000B4348">
        <w:rPr>
          <w:i/>
          <w:iCs/>
        </w:rPr>
        <w:t>Determination of Need Factors</w:t>
      </w:r>
      <w:r w:rsidRPr="000B4348">
        <w:t>. Th</w:t>
      </w:r>
      <w:r w:rsidR="00AA00D3" w:rsidRPr="000B4348">
        <w:t>is</w:t>
      </w:r>
      <w:r w:rsidRPr="000B4348">
        <w:t xml:space="preserve"> Financial Feasibility component of the application provides “sufficient documentation of the availability of sufficient funds for capital and ongoing operating costs</w:t>
      </w:r>
      <w:r w:rsidR="008F2E25" w:rsidRPr="000B4348">
        <w:t xml:space="preserve"> necessary to support the Proposed Project without negative impacts or consequences to the Applicant’s Patient Panel</w:t>
      </w:r>
      <w:r w:rsidRPr="000B4348">
        <w:t xml:space="preserve">.” </w:t>
      </w:r>
      <w:r w:rsidR="000D7614" w:rsidRPr="000B4348">
        <w:t>This</w:t>
      </w:r>
      <w:r w:rsidR="000D7614" w:rsidRPr="001C59A6">
        <w:t xml:space="preserve"> report details our findings </w:t>
      </w:r>
      <w:r w:rsidR="00AA00D3" w:rsidRPr="001C59A6">
        <w:t>regarding</w:t>
      </w:r>
      <w:r w:rsidR="000D7614" w:rsidRPr="001C59A6">
        <w:t xml:space="preserve"> </w:t>
      </w:r>
      <w:r w:rsidR="00C33961" w:rsidRPr="001C59A6">
        <w:t xml:space="preserve">the </w:t>
      </w:r>
      <w:r w:rsidR="00B11C2A" w:rsidRPr="001C59A6">
        <w:t xml:space="preserve">reasonableness </w:t>
      </w:r>
      <w:r w:rsidR="00C33961" w:rsidRPr="001C59A6">
        <w:t xml:space="preserve">of </w:t>
      </w:r>
      <w:r w:rsidR="008F2E25" w:rsidRPr="001C59A6">
        <w:t xml:space="preserve">the </w:t>
      </w:r>
      <w:r w:rsidR="00C33961" w:rsidRPr="001C59A6">
        <w:t xml:space="preserve">assumptions </w:t>
      </w:r>
      <w:r w:rsidR="000D7614" w:rsidRPr="001C59A6">
        <w:t xml:space="preserve">used in preparation </w:t>
      </w:r>
      <w:r w:rsidR="00C33961" w:rsidRPr="001C59A6">
        <w:t xml:space="preserve">of the prospective financial schedules, </w:t>
      </w:r>
      <w:r w:rsidR="000D7614" w:rsidRPr="001C59A6">
        <w:t xml:space="preserve">and </w:t>
      </w:r>
      <w:r w:rsidR="008F2E25" w:rsidRPr="001C59A6">
        <w:t xml:space="preserve">the </w:t>
      </w:r>
      <w:r w:rsidR="000D7614" w:rsidRPr="001C59A6">
        <w:t xml:space="preserve">feasibility of the </w:t>
      </w:r>
      <w:r w:rsidR="002157C2" w:rsidRPr="001C59A6">
        <w:t xml:space="preserve">Proposed Project based on the prospective </w:t>
      </w:r>
      <w:r w:rsidR="000D7614" w:rsidRPr="001C59A6">
        <w:t>financial</w:t>
      </w:r>
      <w:r w:rsidR="002157C2" w:rsidRPr="001C59A6">
        <w:t xml:space="preserve"> schedules</w:t>
      </w:r>
      <w:r w:rsidR="000D7614" w:rsidRPr="001C59A6">
        <w:t xml:space="preserve"> prepared</w:t>
      </w:r>
      <w:r w:rsidR="001E0387" w:rsidRPr="001C59A6">
        <w:t xml:space="preserve"> by</w:t>
      </w:r>
      <w:r w:rsidR="000D7614" w:rsidRPr="001C59A6">
        <w:t xml:space="preserve"> </w:t>
      </w:r>
      <w:r w:rsidR="001B1DB6">
        <w:t>Atrius</w:t>
      </w:r>
      <w:r w:rsidR="00521B8F" w:rsidRPr="001C59A6">
        <w:t xml:space="preserve"> </w:t>
      </w:r>
      <w:r w:rsidR="00CB20B4" w:rsidRPr="001C59A6">
        <w:t>management</w:t>
      </w:r>
      <w:r w:rsidR="00302B22" w:rsidRPr="001B1DB6">
        <w:t xml:space="preserve"> (</w:t>
      </w:r>
      <w:r w:rsidR="001E0387" w:rsidRPr="001B1DB6">
        <w:t>“</w:t>
      </w:r>
      <w:r w:rsidR="001B1DB6" w:rsidRPr="001B1DB6">
        <w:t>Atrius</w:t>
      </w:r>
      <w:r w:rsidR="001E0387" w:rsidRPr="001B1DB6">
        <w:t xml:space="preserve"> Management”</w:t>
      </w:r>
      <w:r w:rsidR="00302B22" w:rsidRPr="001B1DB6">
        <w:t>)</w:t>
      </w:r>
      <w:r w:rsidR="001E0387" w:rsidRPr="001B1DB6">
        <w:t xml:space="preserve"> </w:t>
      </w:r>
      <w:r w:rsidR="000D7614" w:rsidRPr="001B1DB6">
        <w:t>for the operation of</w:t>
      </w:r>
      <w:r w:rsidR="00A57479" w:rsidRPr="001B1DB6">
        <w:t xml:space="preserve"> </w:t>
      </w:r>
      <w:r w:rsidR="00A25C18" w:rsidRPr="001B1DB6">
        <w:t>the</w:t>
      </w:r>
      <w:r w:rsidR="00CB20B4" w:rsidRPr="001B1DB6">
        <w:t xml:space="preserve"> Proposed Project</w:t>
      </w:r>
      <w:r w:rsidR="00C10944" w:rsidRPr="001B1DB6">
        <w:t>.</w:t>
      </w:r>
      <w:r w:rsidR="000D7614" w:rsidRPr="001C59A6">
        <w:t xml:space="preserve"> </w:t>
      </w:r>
    </w:p>
    <w:p w14:paraId="33077B8C" w14:textId="27AD2A98" w:rsidR="000D7614" w:rsidRDefault="000D7614" w:rsidP="00E32D00">
      <w:r w:rsidRPr="001B1DB6">
        <w:t xml:space="preserve">This report is to be used by </w:t>
      </w:r>
      <w:r w:rsidR="001B1DB6">
        <w:t>Atrius</w:t>
      </w:r>
      <w:r w:rsidRPr="001B1DB6">
        <w:t xml:space="preserve"> in its </w:t>
      </w:r>
      <w:r w:rsidR="00303888" w:rsidRPr="001B1DB6">
        <w:t>DoN</w:t>
      </w:r>
      <w:r w:rsidRPr="001B1DB6">
        <w:t xml:space="preserve"> Application – Factor 4(a) and </w:t>
      </w:r>
      <w:r w:rsidR="003917BA">
        <w:t>is not prepared for</w:t>
      </w:r>
      <w:r w:rsidRPr="001B1DB6">
        <w:t xml:space="preserve"> distribut</w:t>
      </w:r>
      <w:r w:rsidR="003917BA">
        <w:t>ion</w:t>
      </w:r>
      <w:r w:rsidRPr="001B1DB6">
        <w:t xml:space="preserve"> for any other purpose.</w:t>
      </w:r>
      <w:r>
        <w:t xml:space="preserve"> </w:t>
      </w:r>
      <w:r w:rsidR="00BC44EC">
        <w:t xml:space="preserve"> </w:t>
      </w:r>
    </w:p>
    <w:p w14:paraId="2CEA4003" w14:textId="77777777" w:rsidR="002D3498" w:rsidRDefault="002D3498" w:rsidP="00E32D00"/>
    <w:p w14:paraId="507BAC86" w14:textId="77777777" w:rsidR="00720B7E" w:rsidRDefault="00720B7E">
      <w:pPr>
        <w:rPr>
          <w:rFonts w:asciiTheme="majorHAnsi" w:eastAsia="Times New Roman" w:hAnsiTheme="majorHAnsi" w:cs="Arial"/>
          <w:b/>
          <w:bCs/>
          <w:caps/>
          <w:color w:val="0057B8" w:themeColor="accent1"/>
          <w:spacing w:val="10"/>
          <w:kern w:val="32"/>
          <w:sz w:val="28"/>
          <w:szCs w:val="36"/>
          <w:u w:color="00CCFF"/>
        </w:rPr>
      </w:pPr>
      <w:r>
        <w:br w:type="page"/>
      </w:r>
    </w:p>
    <w:p w14:paraId="2E7D75A1" w14:textId="52242A68" w:rsidR="00436ECD" w:rsidRDefault="000D7614" w:rsidP="008D0DC9">
      <w:pPr>
        <w:pStyle w:val="Heading1"/>
        <w:numPr>
          <w:ilvl w:val="0"/>
          <w:numId w:val="7"/>
        </w:numPr>
      </w:pPr>
      <w:bookmarkStart w:id="4" w:name="_Toc169878726"/>
      <w:r>
        <w:t>Executive Summary</w:t>
      </w:r>
      <w:bookmarkEnd w:id="4"/>
      <w:r>
        <w:t xml:space="preserve"> </w:t>
      </w:r>
    </w:p>
    <w:p w14:paraId="5DD37A44" w14:textId="7C418A44" w:rsidR="00844704" w:rsidRDefault="001B1DB6" w:rsidP="00521B8F">
      <w:r>
        <w:t>Atrius</w:t>
      </w:r>
      <w:r w:rsidR="00521B8F">
        <w:t xml:space="preserve"> Management </w:t>
      </w:r>
      <w:r w:rsidR="00CA1D26">
        <w:t xml:space="preserve">provided </w:t>
      </w:r>
      <w:r w:rsidR="00784DE0">
        <w:t>ten</w:t>
      </w:r>
      <w:r w:rsidR="00545149">
        <w:t xml:space="preserve"> years</w:t>
      </w:r>
      <w:r w:rsidR="00980EC5">
        <w:t xml:space="preserve"> (202</w:t>
      </w:r>
      <w:r>
        <w:t>6</w:t>
      </w:r>
      <w:r w:rsidR="00980EC5">
        <w:t>-20</w:t>
      </w:r>
      <w:r>
        <w:t>3</w:t>
      </w:r>
      <w:r w:rsidR="00784DE0">
        <w:t>5)</w:t>
      </w:r>
      <w:r w:rsidR="00545149">
        <w:t>,</w:t>
      </w:r>
      <w:r w:rsidR="00980EC5">
        <w:t xml:space="preserve"> or the “</w:t>
      </w:r>
      <w:r w:rsidR="00545149">
        <w:t>Prospective</w:t>
      </w:r>
      <w:r w:rsidR="00980EC5">
        <w:t xml:space="preserve"> Period”)</w:t>
      </w:r>
      <w:r w:rsidR="00844704">
        <w:t xml:space="preserve"> </w:t>
      </w:r>
      <w:r w:rsidR="00545149">
        <w:t xml:space="preserve">of </w:t>
      </w:r>
      <w:r w:rsidR="00521B8F">
        <w:t>prospective financial schedules</w:t>
      </w:r>
      <w:r w:rsidR="00980EC5">
        <w:t xml:space="preserve"> (the “</w:t>
      </w:r>
      <w:r w:rsidR="00CA1D26">
        <w:t>Atrius</w:t>
      </w:r>
      <w:r w:rsidR="000623B8">
        <w:t xml:space="preserve"> </w:t>
      </w:r>
      <w:r w:rsidR="00BA005F">
        <w:t>Waltham</w:t>
      </w:r>
      <w:r w:rsidR="00CA1D26">
        <w:t xml:space="preserve"> </w:t>
      </w:r>
      <w:r w:rsidR="00980EC5" w:rsidRPr="001B1DB6">
        <w:t>Prospective Financial</w:t>
      </w:r>
      <w:r w:rsidR="00545149" w:rsidRPr="001B1DB6">
        <w:t xml:space="preserve"> Schedules</w:t>
      </w:r>
      <w:r w:rsidR="00980EC5" w:rsidRPr="001B1DB6">
        <w:t>”)</w:t>
      </w:r>
      <w:r w:rsidR="00980EC5">
        <w:t xml:space="preserve"> </w:t>
      </w:r>
      <w:r w:rsidR="00521B8F">
        <w:t>for</w:t>
      </w:r>
      <w:r w:rsidR="00F31510">
        <w:t xml:space="preserve"> Atrius Waltham</w:t>
      </w:r>
      <w:r w:rsidR="00521B8F">
        <w:t xml:space="preserve"> </w:t>
      </w:r>
      <w:r w:rsidR="00C579D0" w:rsidRPr="00DF651E">
        <w:t xml:space="preserve">under the assumption of a 100% ownership of the ASC by </w:t>
      </w:r>
      <w:r w:rsidR="001C59A6" w:rsidRPr="00DF651E">
        <w:t>A</w:t>
      </w:r>
      <w:r w:rsidRPr="00DF651E">
        <w:t>trius</w:t>
      </w:r>
      <w:r w:rsidR="00844704" w:rsidRPr="00DF651E">
        <w:t xml:space="preserve">. </w:t>
      </w:r>
    </w:p>
    <w:p w14:paraId="733A15CD" w14:textId="2E544CB2" w:rsidR="00521B8F" w:rsidRDefault="00640D56" w:rsidP="00640D56">
      <w:r>
        <w:t xml:space="preserve">The scope of </w:t>
      </w:r>
      <w:r w:rsidR="004D6C1A">
        <w:t>our</w:t>
      </w:r>
      <w:r>
        <w:t xml:space="preserve"> analysis was limited to</w:t>
      </w:r>
      <w:r w:rsidR="009C597C">
        <w:t xml:space="preserve"> </w:t>
      </w:r>
      <w:r w:rsidR="00521B8F">
        <w:t>the following:</w:t>
      </w:r>
    </w:p>
    <w:p w14:paraId="60DA21C8" w14:textId="4C17DD42" w:rsidR="00640D56" w:rsidRDefault="00435BA2" w:rsidP="00521B8F">
      <w:pPr>
        <w:pStyle w:val="VlnBullet1"/>
      </w:pPr>
      <w:r>
        <w:t xml:space="preserve">An analysis of the </w:t>
      </w:r>
      <w:r w:rsidR="001C59A6">
        <w:t>A</w:t>
      </w:r>
      <w:r w:rsidR="00DF651E">
        <w:t>trius</w:t>
      </w:r>
      <w:r w:rsidR="00E05CF7">
        <w:t xml:space="preserve"> </w:t>
      </w:r>
      <w:r w:rsidR="00281CCC">
        <w:t xml:space="preserve">Waltham </w:t>
      </w:r>
      <w:r>
        <w:t>Prospective Financial</w:t>
      </w:r>
      <w:r w:rsidR="00E05CF7">
        <w:t xml:space="preserve"> Schedules</w:t>
      </w:r>
      <w:r w:rsidR="004F509A">
        <w:t xml:space="preserve"> and the underlying assumptions used in their development; and</w:t>
      </w:r>
    </w:p>
    <w:p w14:paraId="742F6E9E" w14:textId="390990FE" w:rsidR="00E05CF7" w:rsidRDefault="00980EC5" w:rsidP="00E05CF7">
      <w:pPr>
        <w:pStyle w:val="VlnBullet1"/>
      </w:pPr>
      <w:r>
        <w:t>Select financial ratio</w:t>
      </w:r>
      <w:r w:rsidR="004F509A">
        <w:t xml:space="preserve"> analysis of the </w:t>
      </w:r>
      <w:r w:rsidR="001C59A6">
        <w:t>A</w:t>
      </w:r>
      <w:r w:rsidR="00DF651E">
        <w:t>trius</w:t>
      </w:r>
      <w:r>
        <w:t xml:space="preserve"> </w:t>
      </w:r>
      <w:r w:rsidR="00281CCC">
        <w:t xml:space="preserve">Waltham </w:t>
      </w:r>
      <w:r>
        <w:t>Prospective Financial</w:t>
      </w:r>
      <w:r w:rsidR="00E05CF7">
        <w:t xml:space="preserve"> Schedules</w:t>
      </w:r>
      <w:r>
        <w:t>.</w:t>
      </w:r>
    </w:p>
    <w:p w14:paraId="0631D331" w14:textId="7C167FCC" w:rsidR="00002973" w:rsidRDefault="00DB6B0C" w:rsidP="00640D56">
      <w:r>
        <w:t>The</w:t>
      </w:r>
      <w:r w:rsidR="003444F4">
        <w:t xml:space="preserve"> </w:t>
      </w:r>
      <w:r w:rsidR="001C59A6">
        <w:t>A</w:t>
      </w:r>
      <w:r w:rsidR="00DF651E">
        <w:t>trius</w:t>
      </w:r>
      <w:r w:rsidR="00980EC5">
        <w:t xml:space="preserve"> </w:t>
      </w:r>
      <w:r w:rsidR="00281CCC">
        <w:t xml:space="preserve">Waltham </w:t>
      </w:r>
      <w:r w:rsidR="003444F4">
        <w:t>Prospective</w:t>
      </w:r>
      <w:r>
        <w:t xml:space="preserve"> Financial</w:t>
      </w:r>
      <w:r w:rsidR="0064001C">
        <w:t xml:space="preserve"> Schedules</w:t>
      </w:r>
      <w:r w:rsidR="00C547EA">
        <w:t xml:space="preserve"> </w:t>
      </w:r>
      <w:r w:rsidR="00D20705">
        <w:t xml:space="preserve">reflect </w:t>
      </w:r>
      <w:r w:rsidR="00C547EA" w:rsidRPr="0064001C">
        <w:t xml:space="preserve">positive </w:t>
      </w:r>
      <w:r w:rsidR="0064001C" w:rsidRPr="0064001C">
        <w:t xml:space="preserve">earnings before interest, </w:t>
      </w:r>
      <w:r w:rsidR="0064001C" w:rsidRPr="00385898">
        <w:t>depreciation, and amortization (“EBIDA”)</w:t>
      </w:r>
      <w:r w:rsidR="00980EC5" w:rsidRPr="00385898">
        <w:t xml:space="preserve"> margins throughout </w:t>
      </w:r>
      <w:r w:rsidR="00E32D00" w:rsidRPr="00385898">
        <w:t xml:space="preserve">the </w:t>
      </w:r>
      <w:r w:rsidR="0064001C" w:rsidRPr="00385898">
        <w:t>Prospective</w:t>
      </w:r>
      <w:r w:rsidR="00980EC5" w:rsidRPr="00385898">
        <w:t xml:space="preserve"> Period</w:t>
      </w:r>
      <w:r w:rsidR="00385898">
        <w:t>.</w:t>
      </w:r>
      <w:r w:rsidR="00444345" w:rsidRPr="00385898">
        <w:t xml:space="preserve"> </w:t>
      </w:r>
      <w:r w:rsidR="00385898">
        <w:t>D</w:t>
      </w:r>
      <w:r w:rsidR="0097005A" w:rsidRPr="00385898">
        <w:t xml:space="preserve">ays cash on hand </w:t>
      </w:r>
      <w:r w:rsidR="00385898">
        <w:t xml:space="preserve">grows throughout the Prospective Period </w:t>
      </w:r>
      <w:r w:rsidR="00CB3494">
        <w:t>with a low cash point of 1</w:t>
      </w:r>
      <w:r w:rsidR="006D679B">
        <w:t>0</w:t>
      </w:r>
      <w:r w:rsidR="00CB3494">
        <w:t>9 days after year 1 of operation</w:t>
      </w:r>
      <w:r w:rsidR="006D679B">
        <w:t>s</w:t>
      </w:r>
      <w:r w:rsidR="00180181" w:rsidRPr="00385898">
        <w:t>.</w:t>
      </w:r>
      <w:r w:rsidR="0097005A" w:rsidRPr="00385898">
        <w:rPr>
          <w:color w:val="FF0000"/>
        </w:rPr>
        <w:t xml:space="preserve"> </w:t>
      </w:r>
      <w:r w:rsidR="00640D56" w:rsidRPr="00385898">
        <w:t xml:space="preserve">Based on our </w:t>
      </w:r>
      <w:r w:rsidR="00180181" w:rsidRPr="00385898">
        <w:t>analysis</w:t>
      </w:r>
      <w:r w:rsidR="00180181">
        <w:t xml:space="preserve"> </w:t>
      </w:r>
      <w:r w:rsidR="00640D56">
        <w:t xml:space="preserve">of the </w:t>
      </w:r>
      <w:r w:rsidR="001C59A6">
        <w:t>A</w:t>
      </w:r>
      <w:r w:rsidR="00F6457F">
        <w:t>trius</w:t>
      </w:r>
      <w:r w:rsidR="00180181">
        <w:t xml:space="preserve"> </w:t>
      </w:r>
      <w:r w:rsidR="003E3424">
        <w:t xml:space="preserve">Waltham </w:t>
      </w:r>
      <w:r w:rsidR="003444F4">
        <w:t xml:space="preserve">Prospective </w:t>
      </w:r>
      <w:r w:rsidR="00F417AF">
        <w:t>Financial</w:t>
      </w:r>
      <w:r w:rsidR="0064001C">
        <w:t xml:space="preserve"> Schedules</w:t>
      </w:r>
      <w:r w:rsidR="00640D56">
        <w:t xml:space="preserve">, we determined that the </w:t>
      </w:r>
      <w:r w:rsidR="0068347F">
        <w:t>Proposed Project is</w:t>
      </w:r>
      <w:r w:rsidR="00CB20B4">
        <w:t xml:space="preserve"> reasonable,</w:t>
      </w:r>
      <w:r w:rsidR="0068347F">
        <w:t xml:space="preserve"> </w:t>
      </w:r>
      <w:r w:rsidR="00640D56">
        <w:t>feasible and sustainable</w:t>
      </w:r>
      <w:r w:rsidR="006F48C4">
        <w:t>,</w:t>
      </w:r>
      <w:r w:rsidR="00640D56">
        <w:t xml:space="preserve"> and not likely to have a negative impact on the patient panel or result in a liquidation of assets of </w:t>
      </w:r>
      <w:r w:rsidR="00A25C18">
        <w:t>the Applicant</w:t>
      </w:r>
      <w:r w:rsidR="00640D56">
        <w:t xml:space="preserve">. </w:t>
      </w:r>
    </w:p>
    <w:p w14:paraId="13196514" w14:textId="2432420C" w:rsidR="00640D56" w:rsidRDefault="00002973" w:rsidP="00640D56">
      <w:r>
        <w:t xml:space="preserve">The COVID-19 Pandemic has disrupted the operating environment for nearly all businesses, and in particular, those operating in the healthcare industry. The below considerations, among others, have acutely impacted healthcare providers: </w:t>
      </w:r>
    </w:p>
    <w:p w14:paraId="7CE7C1E8" w14:textId="627345BC" w:rsidR="00002973" w:rsidRDefault="00002973" w:rsidP="00002973">
      <w:pPr>
        <w:pStyle w:val="VlnBullet1"/>
      </w:pPr>
      <w:r>
        <w:t>A likely permanent elevation of salary and wage expense for clinical and administrative staff, compounded by labor shortages;</w:t>
      </w:r>
    </w:p>
    <w:p w14:paraId="2AD63EE4" w14:textId="228711AA" w:rsidR="00002973" w:rsidRDefault="00002973" w:rsidP="00002973">
      <w:pPr>
        <w:pStyle w:val="VlnBullet1"/>
      </w:pPr>
      <w:r>
        <w:t xml:space="preserve">The availability of staff to meet the demands of </w:t>
      </w:r>
      <w:r w:rsidR="00487BD5">
        <w:t xml:space="preserve">budgeted/planned </w:t>
      </w:r>
      <w:r>
        <w:t>patient volumes; and</w:t>
      </w:r>
    </w:p>
    <w:p w14:paraId="0D5C32C7" w14:textId="0B9F7E4D" w:rsidR="00002973" w:rsidRDefault="00002973" w:rsidP="00002973">
      <w:pPr>
        <w:pStyle w:val="VlnBullet1"/>
      </w:pPr>
      <w:r>
        <w:t xml:space="preserve">Supply chain difficulties, contributing to </w:t>
      </w:r>
      <w:r w:rsidR="00487BD5">
        <w:t xml:space="preserve">difficulty in obtaining certain supplies, as well as </w:t>
      </w:r>
      <w:r>
        <w:t>elevated supply expenditures.</w:t>
      </w:r>
    </w:p>
    <w:p w14:paraId="6F5DE668" w14:textId="515680DB" w:rsidR="00A478EA" w:rsidRPr="009F035B" w:rsidRDefault="001C59A6">
      <w:r>
        <w:t>A</w:t>
      </w:r>
      <w:r w:rsidR="0076465D">
        <w:t>trius</w:t>
      </w:r>
      <w:r w:rsidR="006C531F">
        <w:t xml:space="preserve"> </w:t>
      </w:r>
      <w:r w:rsidR="00002973" w:rsidRPr="004473A0">
        <w:t>Management</w:t>
      </w:r>
      <w:r w:rsidR="00002973">
        <w:t xml:space="preserve"> has</w:t>
      </w:r>
      <w:r w:rsidR="00002973" w:rsidRPr="004473A0">
        <w:t xml:space="preserve"> represented that</w:t>
      </w:r>
      <w:r w:rsidR="006D1634">
        <w:t xml:space="preserve"> in the development of the</w:t>
      </w:r>
      <w:r w:rsidR="00A25C18">
        <w:t xml:space="preserve"> A</w:t>
      </w:r>
      <w:r w:rsidR="003453E0">
        <w:t>trius</w:t>
      </w:r>
      <w:r w:rsidR="003E3424">
        <w:t xml:space="preserve"> Waltham </w:t>
      </w:r>
      <w:r w:rsidR="008D192F">
        <w:t xml:space="preserve">Prospective </w:t>
      </w:r>
      <w:r w:rsidR="006D1634">
        <w:t>Financial</w:t>
      </w:r>
      <w:r w:rsidR="004A4AC7">
        <w:t xml:space="preserve"> Schedules</w:t>
      </w:r>
      <w:r w:rsidR="006D1634">
        <w:t xml:space="preserve"> and associated </w:t>
      </w:r>
      <w:r w:rsidR="004A4AC7">
        <w:t>underlying assumptions</w:t>
      </w:r>
      <w:r w:rsidR="006D1634">
        <w:t>, they have taken into consideration</w:t>
      </w:r>
      <w:r w:rsidR="00002973" w:rsidRPr="004473A0">
        <w:t xml:space="preserve"> the</w:t>
      </w:r>
      <w:r w:rsidR="00487BD5">
        <w:t xml:space="preserve"> above factors and have considered the</w:t>
      </w:r>
      <w:r w:rsidR="00002973" w:rsidRPr="004473A0">
        <w:t xml:space="preserve"> </w:t>
      </w:r>
      <w:r w:rsidR="006D1634">
        <w:t xml:space="preserve">likely ongoing/future </w:t>
      </w:r>
      <w:r w:rsidR="00002973" w:rsidRPr="004473A0">
        <w:t xml:space="preserve">impact of </w:t>
      </w:r>
      <w:r w:rsidR="00002973">
        <w:t xml:space="preserve">the </w:t>
      </w:r>
      <w:r w:rsidR="00002973" w:rsidRPr="004473A0">
        <w:t xml:space="preserve">COVID-19 </w:t>
      </w:r>
      <w:r w:rsidR="00002973">
        <w:t>Pandemic</w:t>
      </w:r>
      <w:r w:rsidR="006D1634">
        <w:t>.</w:t>
      </w:r>
    </w:p>
    <w:p w14:paraId="2EE422F8" w14:textId="6B530A4C" w:rsidR="000D7614" w:rsidRDefault="000D7614" w:rsidP="008D0DC9">
      <w:pPr>
        <w:pStyle w:val="Heading1"/>
        <w:numPr>
          <w:ilvl w:val="0"/>
          <w:numId w:val="7"/>
        </w:numPr>
      </w:pPr>
      <w:bookmarkStart w:id="5" w:name="_Toc169878727"/>
      <w:r>
        <w:t>Relevant Background I</w:t>
      </w:r>
      <w:r w:rsidR="00BC44EC">
        <w:t>n</w:t>
      </w:r>
      <w:r>
        <w:t>formation</w:t>
      </w:r>
      <w:bookmarkEnd w:id="5"/>
      <w:r>
        <w:t xml:space="preserve"> </w:t>
      </w:r>
    </w:p>
    <w:p w14:paraId="0415655B" w14:textId="77777777" w:rsidR="00D15FA8" w:rsidRDefault="00D15FA8" w:rsidP="00D15FA8">
      <w:r>
        <w:t xml:space="preserve">Atrius is a multi-specialty physician organization operating throughout eastern Massachusetts. Atrius provides primary and specialty care to adults and pediatric patients as well as radiology, laboratory, and pharmacy services. </w:t>
      </w:r>
    </w:p>
    <w:p w14:paraId="54515D8D" w14:textId="0C5EFF4B" w:rsidR="000232B1" w:rsidRDefault="00D15FA8" w:rsidP="00D15FA8">
      <w:r>
        <w:t xml:space="preserve">The ASC is a proposed freestanding ambulatory surgery center with six operating rooms, exclusively for Atrius patients, to be located in Waltham, Massachusetts. </w:t>
      </w:r>
      <w:r w:rsidR="00194824">
        <w:t xml:space="preserve">It is noted that at this time, Atrius does not currently operate </w:t>
      </w:r>
      <w:r w:rsidR="006F62DC">
        <w:t xml:space="preserve">any ambulatory surgery centers. </w:t>
      </w:r>
      <w:r>
        <w:t xml:space="preserve">Atrius will lease and renovate 22,000 gross square feet to open the Proposed Project where it will specialize in providing outpatient surgical services, performed by Atrius Health surgeons, including ear, nose and throat (“ENT”), general surgery, obstetrics and gynecology (“OB/GYN”), orthopedics, and podiatry (collectively the “Surgical Services”). Atrius is planning on contracting with Surgical Care Affiliates (“SCA"), a national leader in operational and management of ambulatory surgery centers to assist Atrius with providing core operational services for the ASC. Atrius physicians and clinical staff will provide patient care delivery. </w:t>
      </w:r>
    </w:p>
    <w:p w14:paraId="15C9C4DB" w14:textId="0F8C8777" w:rsidR="000D7614" w:rsidRDefault="000D7614" w:rsidP="008D0DC9">
      <w:pPr>
        <w:pStyle w:val="Heading1"/>
        <w:numPr>
          <w:ilvl w:val="0"/>
          <w:numId w:val="7"/>
        </w:numPr>
      </w:pPr>
      <w:bookmarkStart w:id="6" w:name="_Toc169878728"/>
      <w:r>
        <w:t xml:space="preserve">Scope of </w:t>
      </w:r>
      <w:r w:rsidR="00BC44EC">
        <w:t>A</w:t>
      </w:r>
      <w:r w:rsidR="0068347F">
        <w:t>nalysis</w:t>
      </w:r>
      <w:bookmarkEnd w:id="6"/>
    </w:p>
    <w:p w14:paraId="2B5AC2F8" w14:textId="04B97DCF" w:rsidR="00640D56" w:rsidRPr="00E337D9" w:rsidRDefault="00E50BA9" w:rsidP="00640D56">
      <w:r w:rsidRPr="00E337D9">
        <w:t xml:space="preserve">The scope of this report is limited to an analysis of </w:t>
      </w:r>
      <w:r w:rsidR="0054272E">
        <w:t>the</w:t>
      </w:r>
      <w:r w:rsidR="003444F4">
        <w:t xml:space="preserve"> </w:t>
      </w:r>
      <w:r w:rsidR="00016E06">
        <w:t xml:space="preserve">Atrius </w:t>
      </w:r>
      <w:r w:rsidR="003E3424">
        <w:t xml:space="preserve">Waltham </w:t>
      </w:r>
      <w:r w:rsidR="003444F4">
        <w:t>Prospective</w:t>
      </w:r>
      <w:r w:rsidR="0054272E">
        <w:t xml:space="preserve"> Financial</w:t>
      </w:r>
      <w:r w:rsidR="00C0623C">
        <w:t xml:space="preserve"> Schedules</w:t>
      </w:r>
      <w:r w:rsidR="0054272E">
        <w:t xml:space="preserve"> prepared by </w:t>
      </w:r>
      <w:r w:rsidR="00016E06">
        <w:t>Atrius</w:t>
      </w:r>
      <w:r w:rsidR="00C0623C">
        <w:t xml:space="preserve"> </w:t>
      </w:r>
      <w:r w:rsidR="0054272E">
        <w:t xml:space="preserve">Management and </w:t>
      </w:r>
      <w:r w:rsidR="00C933D4" w:rsidRPr="00E337D9">
        <w:t xml:space="preserve">the supporting documentation </w:t>
      </w:r>
      <w:r w:rsidRPr="00E337D9">
        <w:t xml:space="preserve">to render an opinion as to the reasonableness of </w:t>
      </w:r>
      <w:r w:rsidR="00F04D26">
        <w:t xml:space="preserve">the </w:t>
      </w:r>
      <w:r w:rsidRPr="00E337D9">
        <w:t>assumptions used in the preparation and</w:t>
      </w:r>
      <w:r w:rsidR="00D75E9F">
        <w:t xml:space="preserve"> the</w:t>
      </w:r>
      <w:r w:rsidR="00640D56" w:rsidRPr="00640D56">
        <w:t xml:space="preserve"> </w:t>
      </w:r>
      <w:r w:rsidR="00640D56" w:rsidRPr="00E337D9">
        <w:t xml:space="preserve">feasibility of the </w:t>
      </w:r>
      <w:r w:rsidR="00016E06">
        <w:t>Atrius</w:t>
      </w:r>
      <w:r w:rsidR="00C0623C">
        <w:t xml:space="preserve"> </w:t>
      </w:r>
      <w:r w:rsidR="003E3424">
        <w:t xml:space="preserve">Waltham </w:t>
      </w:r>
      <w:r w:rsidR="003444F4">
        <w:t xml:space="preserve">Prospective </w:t>
      </w:r>
      <w:r w:rsidR="000710B2">
        <w:t>Financial</w:t>
      </w:r>
      <w:r w:rsidR="00C0623C">
        <w:t xml:space="preserve"> Schedules</w:t>
      </w:r>
      <w:r w:rsidR="00640D56" w:rsidRPr="00E337D9">
        <w:t xml:space="preserve">. Reasonableness is defined within the context of this report as </w:t>
      </w:r>
      <w:r w:rsidR="00640D56" w:rsidRPr="00BB3A08">
        <w:t>supportable and proper, given the underlying information. Feasibility is defined as based on</w:t>
      </w:r>
      <w:r w:rsidR="00640D56" w:rsidRPr="00E337D9">
        <w:t xml:space="preserve"> the assumptions used,</w:t>
      </w:r>
      <w:r w:rsidR="00F74DA8">
        <w:t xml:space="preserve"> and</w:t>
      </w:r>
      <w:r w:rsidR="00640D56" w:rsidRPr="00E337D9">
        <w:t xml:space="preserve"> </w:t>
      </w:r>
      <w:r w:rsidR="00A87A62">
        <w:t xml:space="preserve">that </w:t>
      </w:r>
      <w:r w:rsidR="00640D56" w:rsidRPr="00E337D9">
        <w:t xml:space="preserve">the plan is not likely to result in a liquidation of the underlying assets or the need for reorganization. </w:t>
      </w:r>
    </w:p>
    <w:p w14:paraId="0C7CB88D" w14:textId="77777777" w:rsidR="009F035B" w:rsidRDefault="00640D56" w:rsidP="009F035B">
      <w:r w:rsidRPr="00E337D9">
        <w:t xml:space="preserve">This report is based upon prospective financial information provided to us by </w:t>
      </w:r>
      <w:r w:rsidR="00016E06">
        <w:t>Atrius</w:t>
      </w:r>
      <w:r w:rsidRPr="00016E06">
        <w:t>.</w:t>
      </w:r>
      <w:r w:rsidRPr="00E337D9">
        <w:t xml:space="preserve"> Accordingly, we do not express an opinion or any other assurances on the underlying data presented or relied upon in this report. We do not provide assurance on the achievability of the results forecasted by </w:t>
      </w:r>
      <w:r w:rsidR="001C59A6">
        <w:t>A</w:t>
      </w:r>
      <w:r w:rsidR="00F74A4E">
        <w:t>trius</w:t>
      </w:r>
      <w:r w:rsidRPr="00F74A4E">
        <w:t xml:space="preserve"> because</w:t>
      </w:r>
      <w:r w:rsidRPr="00E337D9">
        <w:t xml:space="preserve"> events and circumstances frequently do not occur as expected, and the achievement of the forecasted results are dependent on the actions, plans, and assumptions of </w:t>
      </w:r>
      <w:r w:rsidR="001C59A6">
        <w:t>A</w:t>
      </w:r>
      <w:r w:rsidR="00F74A4E">
        <w:t>trius</w:t>
      </w:r>
      <w:r w:rsidRPr="00F74A4E">
        <w:t>.</w:t>
      </w:r>
      <w:r w:rsidRPr="00E337D9">
        <w:t xml:space="preserve"> We reserve the right to update our analysis in the event that we are provided with additional information.</w:t>
      </w:r>
    </w:p>
    <w:p w14:paraId="310C0917" w14:textId="35DED995" w:rsidR="000D7614" w:rsidRDefault="000D7614" w:rsidP="009F035B">
      <w:pPr>
        <w:pStyle w:val="Heading1"/>
        <w:numPr>
          <w:ilvl w:val="0"/>
          <w:numId w:val="7"/>
        </w:numPr>
      </w:pPr>
      <w:bookmarkStart w:id="7" w:name="_Toc169878729"/>
      <w:r>
        <w:t xml:space="preserve">Sources of </w:t>
      </w:r>
      <w:r w:rsidR="00BC44EC">
        <w:t>I</w:t>
      </w:r>
      <w:r>
        <w:t xml:space="preserve">nformation </w:t>
      </w:r>
      <w:r w:rsidR="00BC44EC">
        <w:t>U</w:t>
      </w:r>
      <w:r>
        <w:t>tilized</w:t>
      </w:r>
      <w:bookmarkEnd w:id="7"/>
    </w:p>
    <w:p w14:paraId="5A9165F0" w14:textId="0EC9D2EB" w:rsidR="00AE6D72" w:rsidRDefault="00816295" w:rsidP="00816295">
      <w:r>
        <w:t>In formulating our report</w:t>
      </w:r>
      <w:r w:rsidR="00DF280E">
        <w:t xml:space="preserve">, </w:t>
      </w:r>
      <w:r w:rsidR="003E4846">
        <w:t xml:space="preserve">we reviewed the </w:t>
      </w:r>
      <w:r w:rsidR="001C59A6">
        <w:t>A</w:t>
      </w:r>
      <w:r w:rsidR="00F74A4E">
        <w:t>trius</w:t>
      </w:r>
      <w:r w:rsidR="00B955A2">
        <w:t xml:space="preserve"> </w:t>
      </w:r>
      <w:r w:rsidR="003E3424">
        <w:t xml:space="preserve">Waltham </w:t>
      </w:r>
      <w:r w:rsidR="008D192F">
        <w:t xml:space="preserve">Prospective </w:t>
      </w:r>
      <w:r w:rsidR="002C54A2">
        <w:t>Financial</w:t>
      </w:r>
      <w:r w:rsidR="00C0623C">
        <w:t xml:space="preserve"> Schedules</w:t>
      </w:r>
      <w:r w:rsidR="003E4846">
        <w:t xml:space="preserve"> </w:t>
      </w:r>
      <w:r w:rsidR="00E27DC3">
        <w:t>and</w:t>
      </w:r>
      <w:r w:rsidR="00DF280E">
        <w:t xml:space="preserve"> discussed</w:t>
      </w:r>
      <w:r w:rsidR="00746FE3">
        <w:t xml:space="preserve"> </w:t>
      </w:r>
      <w:r w:rsidR="003E4846">
        <w:t>corresponding assumptions</w:t>
      </w:r>
      <w:r w:rsidR="00DF280E">
        <w:t xml:space="preserve"> with Management</w:t>
      </w:r>
      <w:r w:rsidR="003E4846">
        <w:t xml:space="preserve">. </w:t>
      </w:r>
      <w:r>
        <w:t>The documents and information upon which we relied are identified below or are otherwise referenced in this report:</w:t>
      </w:r>
    </w:p>
    <w:p w14:paraId="68E6BE8C" w14:textId="17F5CF6A" w:rsidR="00924DB8" w:rsidRDefault="001C59A6" w:rsidP="00071BA5">
      <w:pPr>
        <w:pStyle w:val="VlnList1"/>
      </w:pPr>
      <w:r>
        <w:t>A</w:t>
      </w:r>
      <w:r w:rsidR="00F74A4E">
        <w:t>trius</w:t>
      </w:r>
      <w:r w:rsidR="00CC5ED1">
        <w:t xml:space="preserve"> </w:t>
      </w:r>
      <w:r w:rsidR="00073A0B">
        <w:t xml:space="preserve">Waltham </w:t>
      </w:r>
      <w:r w:rsidR="00A32A2A">
        <w:t>ten</w:t>
      </w:r>
      <w:r w:rsidR="00DF280E">
        <w:t>-year</w:t>
      </w:r>
      <w:r w:rsidR="00EF4CB8">
        <w:t xml:space="preserve"> </w:t>
      </w:r>
      <w:r w:rsidR="008D192F" w:rsidRPr="00924DB8">
        <w:t>P</w:t>
      </w:r>
      <w:r w:rsidR="00EF4CB8" w:rsidRPr="00924DB8">
        <w:t>rospective</w:t>
      </w:r>
      <w:r w:rsidR="00DF280E" w:rsidRPr="00924DB8">
        <w:t xml:space="preserve"> Financial</w:t>
      </w:r>
      <w:r w:rsidR="00924DB8" w:rsidRPr="00924DB8">
        <w:t xml:space="preserve"> Schedules</w:t>
      </w:r>
      <w:r w:rsidR="0025797E" w:rsidRPr="00924DB8">
        <w:t xml:space="preserve">, prepared </w:t>
      </w:r>
      <w:r w:rsidR="00EF4CB8" w:rsidRPr="00924DB8">
        <w:t xml:space="preserve">as </w:t>
      </w:r>
      <w:r w:rsidR="00EF4CB8" w:rsidRPr="00BD3782">
        <w:t xml:space="preserve">of </w:t>
      </w:r>
      <w:r w:rsidR="00A32A2A">
        <w:t>May</w:t>
      </w:r>
      <w:r w:rsidR="003E3424" w:rsidRPr="003B1693">
        <w:t xml:space="preserve"> </w:t>
      </w:r>
      <w:r w:rsidR="00A32A2A">
        <w:t>20</w:t>
      </w:r>
      <w:r w:rsidR="00924DB8" w:rsidRPr="003B1693">
        <w:t>,</w:t>
      </w:r>
      <w:r w:rsidR="00A86305" w:rsidRPr="003B1693">
        <w:t xml:space="preserve"> </w:t>
      </w:r>
      <w:r w:rsidR="00EF4CB8" w:rsidRPr="003B1693">
        <w:t>202</w:t>
      </w:r>
      <w:r w:rsidR="00A32A2A">
        <w:t>4</w:t>
      </w:r>
      <w:r w:rsidR="00071BA5" w:rsidRPr="003B1693">
        <w:t xml:space="preserve"> and</w:t>
      </w:r>
      <w:r w:rsidR="00071BA5">
        <w:t xml:space="preserve"> associated r</w:t>
      </w:r>
      <w:r w:rsidR="00E04B32">
        <w:t>evenue and expenditure assumptions</w:t>
      </w:r>
      <w:r w:rsidR="00071BA5">
        <w:t>;</w:t>
      </w:r>
    </w:p>
    <w:p w14:paraId="1CFE6248" w14:textId="27C8F9FF" w:rsidR="00CB20B4" w:rsidRPr="003B1693" w:rsidRDefault="005611AE" w:rsidP="005611AE">
      <w:pPr>
        <w:pStyle w:val="VlnList1"/>
      </w:pPr>
      <w:r>
        <w:t xml:space="preserve">An overview of the Proposed Project and associated business case </w:t>
      </w:r>
      <w:r w:rsidRPr="003B1693">
        <w:t xml:space="preserve">rationale provided by </w:t>
      </w:r>
      <w:r w:rsidR="001C59A6" w:rsidRPr="003B1693">
        <w:t>A</w:t>
      </w:r>
      <w:r w:rsidR="00F74A4E" w:rsidRPr="003B1693">
        <w:t>trius</w:t>
      </w:r>
      <w:r w:rsidR="00071BA5" w:rsidRPr="003B1693">
        <w:t xml:space="preserve">; </w:t>
      </w:r>
    </w:p>
    <w:p w14:paraId="053C0CDE" w14:textId="760C60C2" w:rsidR="005611AE" w:rsidRDefault="00CB20B4" w:rsidP="005611AE">
      <w:pPr>
        <w:pStyle w:val="VlnList1"/>
      </w:pPr>
      <w:r w:rsidRPr="003B1693">
        <w:t>CPA Report Guidelines from the Determination of Need Program, dated March 2021;</w:t>
      </w:r>
    </w:p>
    <w:p w14:paraId="2A84D107" w14:textId="646ECEBC" w:rsidR="00DB0CF8" w:rsidRDefault="00DB0CF8" w:rsidP="005611AE">
      <w:pPr>
        <w:pStyle w:val="VlnList1"/>
      </w:pPr>
      <w:r>
        <w:t>Documentation provided by Atrius related to the source of capital funding for the Proposed Project;</w:t>
      </w:r>
    </w:p>
    <w:p w14:paraId="0762AB8A" w14:textId="4F1C96CF" w:rsidR="00DB0CF8" w:rsidRPr="003B1693" w:rsidRDefault="003C7368" w:rsidP="005611AE">
      <w:pPr>
        <w:pStyle w:val="VlnList1"/>
      </w:pPr>
      <w:r>
        <w:t>Historical audited Atrius financial statements; and</w:t>
      </w:r>
    </w:p>
    <w:p w14:paraId="728C9372" w14:textId="143A0019" w:rsidR="00605386" w:rsidRDefault="00605386" w:rsidP="005611AE">
      <w:pPr>
        <w:pStyle w:val="VlnList1"/>
      </w:pPr>
      <w:r>
        <w:t xml:space="preserve">Correspondence with </w:t>
      </w:r>
      <w:r w:rsidR="001C59A6">
        <w:t>A</w:t>
      </w:r>
      <w:r w:rsidR="00F74A4E">
        <w:t>trius</w:t>
      </w:r>
      <w:r>
        <w:t xml:space="preserve"> Management</w:t>
      </w:r>
      <w:r w:rsidR="00071BA5">
        <w:t>.</w:t>
      </w:r>
    </w:p>
    <w:p w14:paraId="55C7A9EE" w14:textId="75449FC6" w:rsidR="00CB4BD4" w:rsidRDefault="00CB4BD4" w:rsidP="00CB4BD4">
      <w:pPr>
        <w:pStyle w:val="Heading1"/>
        <w:numPr>
          <w:ilvl w:val="0"/>
          <w:numId w:val="7"/>
        </w:numPr>
      </w:pPr>
      <w:bookmarkStart w:id="8" w:name="_Toc169878730"/>
      <w:r>
        <w:t xml:space="preserve">Review of the Atrius Waltham </w:t>
      </w:r>
      <w:r w:rsidR="008E6D78">
        <w:t>P</w:t>
      </w:r>
      <w:r>
        <w:t>rospective Financial Schedules</w:t>
      </w:r>
      <w:bookmarkEnd w:id="8"/>
    </w:p>
    <w:p w14:paraId="0E51C58C" w14:textId="1CCCAE4C" w:rsidR="00350CA8" w:rsidRDefault="00AE6D72" w:rsidP="007B057F">
      <w:r>
        <w:t xml:space="preserve">This section of our report summarizes our review of the reasonableness of the assumptions </w:t>
      </w:r>
      <w:r w:rsidR="00B24FA2">
        <w:t xml:space="preserve">utilized in preparing the </w:t>
      </w:r>
      <w:r w:rsidR="001C59A6">
        <w:t>A</w:t>
      </w:r>
      <w:r w:rsidR="00F74A4E">
        <w:t>trius</w:t>
      </w:r>
      <w:r w:rsidR="004C3204">
        <w:t xml:space="preserve"> </w:t>
      </w:r>
      <w:r w:rsidR="003E3424">
        <w:t xml:space="preserve">Waltham </w:t>
      </w:r>
      <w:r w:rsidR="004C3204">
        <w:t xml:space="preserve">Prospective Financial Schedules </w:t>
      </w:r>
      <w:r w:rsidR="00B24FA2">
        <w:t xml:space="preserve">as well as the </w:t>
      </w:r>
      <w:r>
        <w:t>feasibility of</w:t>
      </w:r>
      <w:r w:rsidR="00C51FCD">
        <w:t xml:space="preserve"> </w:t>
      </w:r>
      <w:r w:rsidR="00A25C18">
        <w:t>the Applicant</w:t>
      </w:r>
      <w:r>
        <w:t>.</w:t>
      </w:r>
      <w:r w:rsidR="00AF466C">
        <w:t xml:space="preserve"> </w:t>
      </w:r>
    </w:p>
    <w:p w14:paraId="4DB91752" w14:textId="48C62397" w:rsidR="00464C55" w:rsidRDefault="00350CA8" w:rsidP="007B057F">
      <w:r>
        <w:t xml:space="preserve">The Key Metrics </w:t>
      </w:r>
      <w:r w:rsidR="006A38FB">
        <w:t xml:space="preserve">used in this report </w:t>
      </w:r>
      <w:r>
        <w:t xml:space="preserve">fall into </w:t>
      </w:r>
      <w:r w:rsidR="00525067">
        <w:t>t</w:t>
      </w:r>
      <w:r w:rsidR="004C3204">
        <w:t>hree</w:t>
      </w:r>
      <w:r>
        <w:t xml:space="preserve"> categories: liquidit</w:t>
      </w:r>
      <w:r w:rsidR="00775583">
        <w:t>y</w:t>
      </w:r>
      <w:r w:rsidR="004C3204">
        <w:t xml:space="preserve">, </w:t>
      </w:r>
      <w:r w:rsidR="0094245B">
        <w:t>profitability</w:t>
      </w:r>
      <w:r w:rsidR="004C3204">
        <w:t xml:space="preserve">, and </w:t>
      </w:r>
      <w:r w:rsidR="0094245B">
        <w:t xml:space="preserve">solvency </w:t>
      </w:r>
      <w:r w:rsidR="00076682">
        <w:t>metrics</w:t>
      </w:r>
      <w:r>
        <w:t>. Liquidity</w:t>
      </w:r>
      <w:r w:rsidR="008162F8">
        <w:t xml:space="preserve"> </w:t>
      </w:r>
      <w:r w:rsidRPr="003444F4">
        <w:t xml:space="preserve">ratios measure the quality and adequacy of assets to meet current obligations as they come due. </w:t>
      </w:r>
      <w:r w:rsidR="0094245B">
        <w:t>Profitability</w:t>
      </w:r>
      <w:r w:rsidR="0094245B" w:rsidRPr="003444F4">
        <w:t xml:space="preserve"> </w:t>
      </w:r>
      <w:r w:rsidR="00BB322A" w:rsidRPr="003444F4">
        <w:t>ratios</w:t>
      </w:r>
      <w:r w:rsidR="008162F8" w:rsidRPr="003444F4">
        <w:t xml:space="preserve"> </w:t>
      </w:r>
      <w:r w:rsidRPr="003444F4">
        <w:t>are used to assist in the evaluation of management performance.</w:t>
      </w:r>
      <w:r w:rsidR="004C3204">
        <w:t xml:space="preserve"> </w:t>
      </w:r>
      <w:r w:rsidR="0094245B">
        <w:t xml:space="preserve">Solvency </w:t>
      </w:r>
      <w:r w:rsidR="004C3204">
        <w:t xml:space="preserve">ratios are used to evaluate a company’s </w:t>
      </w:r>
      <w:r w:rsidR="003B1693">
        <w:t>ability to meet its liabilities</w:t>
      </w:r>
      <w:r w:rsidR="004C3204">
        <w:t>.</w:t>
      </w:r>
      <w:r w:rsidRPr="003444F4">
        <w:t xml:space="preserve"> </w:t>
      </w:r>
    </w:p>
    <w:p w14:paraId="45C6098A" w14:textId="1FF031A8" w:rsidR="000D7614" w:rsidRPr="009B3C55" w:rsidRDefault="000D7614" w:rsidP="00B27C76">
      <w:pPr>
        <w:pStyle w:val="Heading2"/>
        <w:numPr>
          <w:ilvl w:val="0"/>
          <w:numId w:val="43"/>
        </w:numPr>
        <w:rPr>
          <w:color w:val="00567F"/>
        </w:rPr>
      </w:pPr>
      <w:r w:rsidRPr="009B3C55">
        <w:rPr>
          <w:color w:val="00567F"/>
        </w:rPr>
        <w:t xml:space="preserve">Revenues </w:t>
      </w:r>
    </w:p>
    <w:p w14:paraId="17C52D15" w14:textId="255EC1D9" w:rsidR="001C2CA9" w:rsidRDefault="002157C2" w:rsidP="006C0C7B">
      <w:r>
        <w:t>To</w:t>
      </w:r>
      <w:r w:rsidR="00214E61">
        <w:t xml:space="preserve"> determine the reasonableness of the pro</w:t>
      </w:r>
      <w:r>
        <w:t>spective</w:t>
      </w:r>
      <w:r w:rsidR="00214E61">
        <w:t xml:space="preserve"> revenues, we reviewed the underlying assumptions </w:t>
      </w:r>
      <w:r w:rsidR="00D55F7E">
        <w:t>provided by</w:t>
      </w:r>
      <w:r w:rsidR="00214E61">
        <w:t xml:space="preserve"> </w:t>
      </w:r>
      <w:r w:rsidR="0080252B">
        <w:t>A</w:t>
      </w:r>
      <w:r w:rsidR="009A4177">
        <w:t>trius</w:t>
      </w:r>
      <w:r w:rsidR="001A6273">
        <w:t xml:space="preserve"> </w:t>
      </w:r>
      <w:r w:rsidR="00214E61">
        <w:t xml:space="preserve">Management. </w:t>
      </w:r>
      <w:r w:rsidR="001A6273">
        <w:t>P</w:t>
      </w:r>
      <w:r w:rsidR="00764B8B">
        <w:t>ro</w:t>
      </w:r>
      <w:r>
        <w:t>spective</w:t>
      </w:r>
      <w:r w:rsidR="001A6273">
        <w:t xml:space="preserve"> net patient service revenues were assumed to grow approximately </w:t>
      </w:r>
      <w:r w:rsidR="0094245B" w:rsidRPr="001C5840">
        <w:t>four percent</w:t>
      </w:r>
      <w:r w:rsidR="004A3BDC">
        <w:t xml:space="preserve"> annually</w:t>
      </w:r>
      <w:r w:rsidR="00A874B2">
        <w:t xml:space="preserve"> </w:t>
      </w:r>
      <w:r w:rsidR="00A874B2" w:rsidRPr="001C5840">
        <w:t>(</w:t>
      </w:r>
      <w:r w:rsidR="00A874B2" w:rsidRPr="0094245B">
        <w:t xml:space="preserve">based on </w:t>
      </w:r>
      <w:r w:rsidR="00A874B2" w:rsidRPr="001C5840">
        <w:t>2 percent</w:t>
      </w:r>
      <w:r w:rsidR="00A874B2" w:rsidRPr="0094245B">
        <w:t xml:space="preserve"> annual growth in both case volume and revenue per case)</w:t>
      </w:r>
      <w:r w:rsidR="00A8042F" w:rsidRPr="001C5840">
        <w:t xml:space="preserve"> </w:t>
      </w:r>
      <w:r w:rsidR="00A874B2">
        <w:t>after steady state volume levels are reached</w:t>
      </w:r>
      <w:r w:rsidR="00A8042F">
        <w:t>.</w:t>
      </w:r>
      <w:r w:rsidR="00B43098">
        <w:t xml:space="preserve"> </w:t>
      </w:r>
      <w:r w:rsidR="0094245B">
        <w:t>Year one case volume is estimated to be 55 percent of stabilized year two case volume</w:t>
      </w:r>
      <w:r w:rsidR="00CE3AB9">
        <w:t>. Year two volume</w:t>
      </w:r>
      <w:r w:rsidR="001C5840">
        <w:t xml:space="preserve">s assume </w:t>
      </w:r>
      <w:r w:rsidR="00CE3AB9">
        <w:t>an 83 percent utilization</w:t>
      </w:r>
      <w:r w:rsidR="001C5840">
        <w:t xml:space="preserve"> rate</w:t>
      </w:r>
      <w:r w:rsidR="00CE3AB9">
        <w:t xml:space="preserve"> of six operating rooms.</w:t>
      </w:r>
    </w:p>
    <w:p w14:paraId="5F7C0BA1" w14:textId="45F1C0C8" w:rsidR="00D929C8" w:rsidRDefault="00D929C8" w:rsidP="006C0C7B">
      <w:r>
        <w:t xml:space="preserve">In forecasting prospective revenues, Atrius Management has taken into consideration case type when developing volume and revenue per case estimates. </w:t>
      </w:r>
    </w:p>
    <w:p w14:paraId="44006B51" w14:textId="36CBE7D0" w:rsidR="00CE3C2A" w:rsidRDefault="000F632B" w:rsidP="00095A0E">
      <w:r>
        <w:t>It is our opinion that the revenue growth</w:t>
      </w:r>
      <w:r w:rsidR="00CB20B4">
        <w:t xml:space="preserve"> of </w:t>
      </w:r>
      <w:r w:rsidR="00CE3AB9">
        <w:t>Atrius Waltham</w:t>
      </w:r>
      <w:r>
        <w:t xml:space="preserve"> </w:t>
      </w:r>
      <w:r w:rsidR="00BA0580">
        <w:t xml:space="preserve">estimated </w:t>
      </w:r>
      <w:r>
        <w:t xml:space="preserve">by Management reflects a reasonable </w:t>
      </w:r>
      <w:r w:rsidR="008847A8">
        <w:t xml:space="preserve">estimate </w:t>
      </w:r>
      <w:r>
        <w:t xml:space="preserve">of future revenues of </w:t>
      </w:r>
      <w:r w:rsidR="00A25C18">
        <w:t>the Applicant</w:t>
      </w:r>
      <w:r w:rsidR="00D15CB1">
        <w:t>.</w:t>
      </w:r>
    </w:p>
    <w:p w14:paraId="473A6F7C" w14:textId="2A2DCB34" w:rsidR="000D7614" w:rsidRPr="009B3C55" w:rsidRDefault="000D7614" w:rsidP="00B27C76">
      <w:pPr>
        <w:pStyle w:val="ListParagraph"/>
        <w:numPr>
          <w:ilvl w:val="0"/>
          <w:numId w:val="43"/>
        </w:numPr>
        <w:rPr>
          <w:rFonts w:asciiTheme="majorHAnsi" w:eastAsiaTheme="majorEastAsia" w:hAnsiTheme="majorHAnsi" w:cstheme="majorBidi"/>
          <w:b/>
          <w:bCs/>
          <w:color w:val="00567F"/>
          <w:szCs w:val="26"/>
        </w:rPr>
      </w:pPr>
      <w:r w:rsidRPr="009B3C55">
        <w:rPr>
          <w:rFonts w:asciiTheme="majorHAnsi" w:eastAsiaTheme="majorEastAsia" w:hAnsiTheme="majorHAnsi" w:cstheme="majorBidi"/>
          <w:b/>
          <w:bCs/>
          <w:color w:val="00567F"/>
          <w:szCs w:val="26"/>
        </w:rPr>
        <w:t xml:space="preserve">Expenses </w:t>
      </w:r>
    </w:p>
    <w:p w14:paraId="797DAB82" w14:textId="284EDC88" w:rsidR="002D6E7D" w:rsidRDefault="00E1370A" w:rsidP="00E1370A">
      <w:r>
        <w:t>We analyzed the expense</w:t>
      </w:r>
      <w:r w:rsidR="00237748">
        <w:t xml:space="preserve"> categories</w:t>
      </w:r>
      <w:r>
        <w:t xml:space="preserve"> </w:t>
      </w:r>
      <w:r w:rsidR="002D6E7D">
        <w:t xml:space="preserve">included in the </w:t>
      </w:r>
      <w:r w:rsidR="0080252B">
        <w:t>A</w:t>
      </w:r>
      <w:r w:rsidR="009A4177">
        <w:t>trius</w:t>
      </w:r>
      <w:r w:rsidR="00355DEF">
        <w:t xml:space="preserve"> </w:t>
      </w:r>
      <w:r w:rsidR="00CE3AB9">
        <w:t xml:space="preserve">Waltham </w:t>
      </w:r>
      <w:r w:rsidR="003444F4">
        <w:t xml:space="preserve">Prospective </w:t>
      </w:r>
      <w:r w:rsidR="002D6E7D">
        <w:t>Financial</w:t>
      </w:r>
      <w:r w:rsidR="00355DEF">
        <w:t xml:space="preserve"> Schedules</w:t>
      </w:r>
      <w:r w:rsidR="002D6E7D">
        <w:t xml:space="preserve"> </w:t>
      </w:r>
      <w:r>
        <w:t>for reasonableness</w:t>
      </w:r>
      <w:r w:rsidR="00BA0580">
        <w:t>.</w:t>
      </w:r>
      <w:r>
        <w:t xml:space="preserve"> </w:t>
      </w:r>
      <w:r w:rsidR="008B05AC">
        <w:t>O</w:t>
      </w:r>
      <w:r w:rsidR="006429A8">
        <w:t xml:space="preserve">ur approach included a review of </w:t>
      </w:r>
      <w:r w:rsidR="009F0755">
        <w:t xml:space="preserve">the total expenses for each </w:t>
      </w:r>
      <w:r w:rsidR="008B05AC">
        <w:t>expense category and expense growth assumptions in the Prospective Period</w:t>
      </w:r>
      <w:r w:rsidR="00CB20B4">
        <w:t xml:space="preserve"> for the Applicant</w:t>
      </w:r>
      <w:r w:rsidR="00C80E8D">
        <w:t xml:space="preserve">. </w:t>
      </w:r>
      <w:r w:rsidR="00794618">
        <w:t xml:space="preserve">Below are the expense categories provided in the </w:t>
      </w:r>
      <w:r w:rsidR="0080252B">
        <w:t>A</w:t>
      </w:r>
      <w:r w:rsidR="009A4177">
        <w:t>trius</w:t>
      </w:r>
      <w:r w:rsidR="00C94D62">
        <w:t xml:space="preserve"> Waltham</w:t>
      </w:r>
      <w:r w:rsidR="0002251F">
        <w:t xml:space="preserve"> </w:t>
      </w:r>
      <w:r w:rsidR="003444F4">
        <w:t xml:space="preserve">Prospective </w:t>
      </w:r>
      <w:r w:rsidR="00794618">
        <w:t>Financial</w:t>
      </w:r>
      <w:r w:rsidR="008B05AC">
        <w:t xml:space="preserve"> Schedules</w:t>
      </w:r>
      <w:r w:rsidR="00794618">
        <w:t xml:space="preserve"> along with relevant findings.</w:t>
      </w:r>
      <w:r w:rsidR="004E15D7">
        <w:t xml:space="preserve"> </w:t>
      </w:r>
      <w:r w:rsidR="00CE4E28">
        <w:t>Atrius has noted that physicians are not included in the Atrius Waltham Financial Schedules.</w:t>
      </w:r>
    </w:p>
    <w:p w14:paraId="131700F6" w14:textId="75DAA21C" w:rsidR="00777DDE" w:rsidRDefault="004E38C1" w:rsidP="00E1370A">
      <w:r w:rsidRPr="00F05453">
        <w:t xml:space="preserve">The operating expenses in the analysis include </w:t>
      </w:r>
      <w:r w:rsidRPr="00777DDE">
        <w:t xml:space="preserve">salaries and benefits, </w:t>
      </w:r>
      <w:r w:rsidR="00C94D62" w:rsidRPr="00777DDE">
        <w:t xml:space="preserve">medical </w:t>
      </w:r>
      <w:r w:rsidRPr="00777DDE">
        <w:t xml:space="preserve">supplies, </w:t>
      </w:r>
      <w:r w:rsidR="00C94D62" w:rsidRPr="00777DDE">
        <w:t xml:space="preserve">facility rent, management fees, </w:t>
      </w:r>
      <w:r w:rsidR="003E5FF6">
        <w:t xml:space="preserve">other operating expenses, and </w:t>
      </w:r>
      <w:r w:rsidR="00C94D62" w:rsidRPr="00777DDE">
        <w:t>depreciation and amortization</w:t>
      </w:r>
      <w:r w:rsidR="003E5FF6">
        <w:t>.</w:t>
      </w:r>
    </w:p>
    <w:p w14:paraId="75E6F78E" w14:textId="0DEB5FC6" w:rsidR="00D25622" w:rsidRDefault="004E38C1" w:rsidP="00D25622">
      <w:pPr>
        <w:pStyle w:val="VlnBullet1"/>
      </w:pPr>
      <w:r w:rsidRPr="00F05453">
        <w:t xml:space="preserve">Salaries and benefits account for approximately </w:t>
      </w:r>
      <w:r w:rsidR="00C94D62" w:rsidRPr="00777DDE">
        <w:t>17</w:t>
      </w:r>
      <w:r w:rsidRPr="00777DDE">
        <w:t xml:space="preserve"> percent</w:t>
      </w:r>
      <w:r w:rsidRPr="00F05453">
        <w:t xml:space="preserve"> of total operating expenses</w:t>
      </w:r>
      <w:r w:rsidR="00D25622">
        <w:t xml:space="preserve"> and are assumed to grow at 3 percent annually.</w:t>
      </w:r>
      <w:r w:rsidR="00BE6291">
        <w:t xml:space="preserve"> We note that physician expenses are not included in the Atrius Waltham Prospective Financial Schedules</w:t>
      </w:r>
      <w:r w:rsidR="00714BCD">
        <w:t xml:space="preserve"> as these salaries will be paid by Atrius, and not the ASC</w:t>
      </w:r>
      <w:r w:rsidR="00BE6291">
        <w:t>.</w:t>
      </w:r>
    </w:p>
    <w:p w14:paraId="4DF51C6C" w14:textId="51C33E4E" w:rsidR="00AF2A7F" w:rsidRDefault="00D25622" w:rsidP="00E1370A">
      <w:pPr>
        <w:pStyle w:val="VlnBullet1"/>
      </w:pPr>
      <w:r>
        <w:t>M</w:t>
      </w:r>
      <w:r w:rsidR="00C94D62" w:rsidRPr="00F05453">
        <w:t xml:space="preserve">edical </w:t>
      </w:r>
      <w:r w:rsidR="004E38C1" w:rsidRPr="00F05453">
        <w:t xml:space="preserve">supplies account for </w:t>
      </w:r>
      <w:r w:rsidR="004E38C1" w:rsidRPr="00777DDE">
        <w:t xml:space="preserve">approximately </w:t>
      </w:r>
      <w:r w:rsidR="006025CB">
        <w:t>48 to 5</w:t>
      </w:r>
      <w:r w:rsidR="006D707D">
        <w:t>3</w:t>
      </w:r>
      <w:r w:rsidR="00C94D62" w:rsidRPr="00777DDE">
        <w:t xml:space="preserve"> </w:t>
      </w:r>
      <w:r w:rsidR="004E38C1" w:rsidRPr="00777DDE">
        <w:t>percent</w:t>
      </w:r>
      <w:r w:rsidR="004E38C1" w:rsidRPr="00F05453">
        <w:t xml:space="preserve"> of</w:t>
      </w:r>
      <w:r w:rsidR="004E38C1">
        <w:t xml:space="preserve"> total operating expenses throughout the Prospective Period</w:t>
      </w:r>
      <w:r>
        <w:t xml:space="preserve"> and are assumed to grow at </w:t>
      </w:r>
      <w:r w:rsidR="004B5414">
        <w:t>4.5</w:t>
      </w:r>
      <w:r>
        <w:t xml:space="preserve"> percent annually. </w:t>
      </w:r>
      <w:r w:rsidR="00F05453">
        <w:t xml:space="preserve">Medical </w:t>
      </w:r>
      <w:r w:rsidR="004B24A7" w:rsidRPr="00777DDE">
        <w:t>S</w:t>
      </w:r>
      <w:r w:rsidR="00B43467" w:rsidRPr="00777DDE">
        <w:t xml:space="preserve">upplies were </w:t>
      </w:r>
      <w:r w:rsidR="007E52C8" w:rsidRPr="00777DDE">
        <w:t>forecasted</w:t>
      </w:r>
      <w:r w:rsidR="00AF2A7F" w:rsidRPr="00777DDE">
        <w:t xml:space="preserve"> to</w:t>
      </w:r>
      <w:r w:rsidR="004B24A7" w:rsidRPr="00777DDE">
        <w:t xml:space="preserve"> be approximately </w:t>
      </w:r>
      <w:r w:rsidR="00F05453">
        <w:t>42</w:t>
      </w:r>
      <w:r w:rsidR="004B24A7" w:rsidRPr="00777DDE">
        <w:t xml:space="preserve"> to </w:t>
      </w:r>
      <w:r w:rsidR="00F05453">
        <w:t>44</w:t>
      </w:r>
      <w:r w:rsidR="009A4177" w:rsidRPr="00777DDE">
        <w:t xml:space="preserve"> percent</w:t>
      </w:r>
      <w:r w:rsidR="004B24A7" w:rsidRPr="00777DDE">
        <w:t xml:space="preserve"> of net patient service</w:t>
      </w:r>
      <w:r w:rsidR="004B24A7" w:rsidRPr="00F05453">
        <w:t xml:space="preserve"> revenue</w:t>
      </w:r>
      <w:r w:rsidR="00F05453">
        <w:t>.</w:t>
      </w:r>
      <w:r w:rsidR="004B24A7" w:rsidRPr="00F05453">
        <w:t xml:space="preserve"> </w:t>
      </w:r>
    </w:p>
    <w:p w14:paraId="0A2D3347" w14:textId="77777777" w:rsidR="00D25622" w:rsidRDefault="004B24A7" w:rsidP="00D25622">
      <w:pPr>
        <w:pStyle w:val="VlnBullet1"/>
      </w:pPr>
      <w:r>
        <w:t>Other expen</w:t>
      </w:r>
      <w:r w:rsidR="000B7964">
        <w:t xml:space="preserve">ditures </w:t>
      </w:r>
      <w:r w:rsidR="00D25622">
        <w:t>were reviewed as follow:</w:t>
      </w:r>
    </w:p>
    <w:p w14:paraId="6885747A" w14:textId="3EF32DBA" w:rsidR="00D25622" w:rsidRDefault="00D25622" w:rsidP="00D25622">
      <w:pPr>
        <w:pStyle w:val="VlnBullet2"/>
      </w:pPr>
      <w:r>
        <w:t>F</w:t>
      </w:r>
      <w:r w:rsidR="00156D8B">
        <w:t>acility rent</w:t>
      </w:r>
      <w:r>
        <w:t xml:space="preserve"> assumed to increase approximately 3 percent annually;</w:t>
      </w:r>
    </w:p>
    <w:p w14:paraId="78D73B89" w14:textId="001A9D66" w:rsidR="00D25622" w:rsidRDefault="00D25622" w:rsidP="00D25622">
      <w:pPr>
        <w:pStyle w:val="VlnBullet2"/>
      </w:pPr>
      <w:r>
        <w:t>M</w:t>
      </w:r>
      <w:r w:rsidR="00156D8B">
        <w:t>anagement fees</w:t>
      </w:r>
      <w:r>
        <w:t xml:space="preserve"> assumed to be approximately 1.2 to 1.3 percent of net patient service revenue;</w:t>
      </w:r>
    </w:p>
    <w:p w14:paraId="2FBA7149" w14:textId="6339456E" w:rsidR="00D25622" w:rsidRDefault="00D25622" w:rsidP="00D25622">
      <w:pPr>
        <w:pStyle w:val="VlnBullet2"/>
      </w:pPr>
      <w:r>
        <w:t>I</w:t>
      </w:r>
      <w:r w:rsidR="00156D8B">
        <w:t>nsurance</w:t>
      </w:r>
      <w:r>
        <w:t xml:space="preserve"> assumed to increase </w:t>
      </w:r>
      <w:r w:rsidR="00DA3D3D">
        <w:t>2</w:t>
      </w:r>
      <w:r>
        <w:t xml:space="preserve"> percent annually</w:t>
      </w:r>
      <w:r w:rsidR="00AE3A3B">
        <w:t>;</w:t>
      </w:r>
    </w:p>
    <w:p w14:paraId="522285E3" w14:textId="57F1D2C3" w:rsidR="00D25622" w:rsidRDefault="00D25622" w:rsidP="00D25622">
      <w:pPr>
        <w:pStyle w:val="VlnBullet2"/>
      </w:pPr>
      <w:r>
        <w:t>B</w:t>
      </w:r>
      <w:r w:rsidR="00156D8B">
        <w:t>ad debt expense</w:t>
      </w:r>
      <w:r>
        <w:t xml:space="preserve"> assumed to be 2 percent of net patient service revenue</w:t>
      </w:r>
      <w:r w:rsidR="00AE3A3B">
        <w:t>;</w:t>
      </w:r>
    </w:p>
    <w:p w14:paraId="53320049" w14:textId="5EA0A4A8" w:rsidR="00AE3A3B" w:rsidRDefault="00D25622" w:rsidP="00D25622">
      <w:pPr>
        <w:pStyle w:val="VlnBullet2"/>
      </w:pPr>
      <w:r>
        <w:t>A</w:t>
      </w:r>
      <w:r w:rsidR="00156D8B">
        <w:t>nnual OM fees</w:t>
      </w:r>
      <w:r w:rsidR="00AE3A3B">
        <w:t xml:space="preserve"> </w:t>
      </w:r>
      <w:r w:rsidR="005B1C95">
        <w:t>(</w:t>
      </w:r>
      <w:r w:rsidR="001F6EC4">
        <w:t xml:space="preserve">back-office systems and processes, including: patient accounting system cost, clinical reporting, risk management/insurance, information technology, and related functions) </w:t>
      </w:r>
      <w:r w:rsidR="00AE3A3B">
        <w:t>assumed to increase 3 percent annually;</w:t>
      </w:r>
    </w:p>
    <w:p w14:paraId="724902B7" w14:textId="77777777" w:rsidR="00AA3A62" w:rsidRDefault="00AA3A62" w:rsidP="00AA3A62">
      <w:pPr>
        <w:pStyle w:val="VlnBullet2"/>
      </w:pPr>
    </w:p>
    <w:p w14:paraId="4DA6AB1E" w14:textId="56616ABF" w:rsidR="00AE3A3B" w:rsidRDefault="00156D8B" w:rsidP="00D25622">
      <w:pPr>
        <w:pStyle w:val="VlnBullet2"/>
      </w:pPr>
      <w:r>
        <w:t xml:space="preserve">RBO fee </w:t>
      </w:r>
      <w:r w:rsidR="005B1C95">
        <w:t>(</w:t>
      </w:r>
      <w:r w:rsidR="001F6EC4">
        <w:t xml:space="preserve">revenue cycle, billing, collections and coding) </w:t>
      </w:r>
      <w:r>
        <w:t>expense</w:t>
      </w:r>
      <w:r w:rsidR="00AE3A3B">
        <w:t xml:space="preserve"> assumed to be approximately 1.3 percent of net patient service revenue;</w:t>
      </w:r>
    </w:p>
    <w:p w14:paraId="57398D57" w14:textId="484D8149" w:rsidR="004B24A7" w:rsidRDefault="006E25DA" w:rsidP="00AE3A3B">
      <w:pPr>
        <w:pStyle w:val="VlnBullet2"/>
      </w:pPr>
      <w:r>
        <w:t xml:space="preserve">The </w:t>
      </w:r>
      <w:r w:rsidR="00156D8B">
        <w:t xml:space="preserve">SCA </w:t>
      </w:r>
      <w:r w:rsidR="00156D8B" w:rsidRPr="00156D8B">
        <w:t>development fee</w:t>
      </w:r>
      <w:r w:rsidR="00AE3A3B">
        <w:t xml:space="preserve"> is a one</w:t>
      </w:r>
      <w:r>
        <w:t>-</w:t>
      </w:r>
      <w:r w:rsidR="00AE3A3B">
        <w:t xml:space="preserve">time expense </w:t>
      </w:r>
      <w:r w:rsidR="00103D9C">
        <w:t xml:space="preserve">and represents planning and development costs associated with identifying a location, financial modeling of the center, and project </w:t>
      </w:r>
      <w:r w:rsidR="00CD4420">
        <w:t>management</w:t>
      </w:r>
      <w:r w:rsidR="00AE3A3B">
        <w:t>; and</w:t>
      </w:r>
    </w:p>
    <w:p w14:paraId="16E94F21" w14:textId="40049BA0" w:rsidR="00AE3A3B" w:rsidRDefault="00AE3A3B" w:rsidP="00AE3A3B">
      <w:pPr>
        <w:pStyle w:val="VlnBullet2"/>
      </w:pPr>
      <w:r>
        <w:t xml:space="preserve">Depreciation and amortization </w:t>
      </w:r>
      <w:r w:rsidR="002C79D3">
        <w:t xml:space="preserve">ranges from </w:t>
      </w:r>
      <w:r>
        <w:t>approximately $1.</w:t>
      </w:r>
      <w:r w:rsidR="002C79D3">
        <w:t>7M to $4.6M annually.</w:t>
      </w:r>
      <w:r>
        <w:t xml:space="preserve"> </w:t>
      </w:r>
    </w:p>
    <w:p w14:paraId="6F68A077" w14:textId="009FCC4A" w:rsidR="00B43467" w:rsidRDefault="00AF2A7F" w:rsidP="00E1370A">
      <w:r>
        <w:t xml:space="preserve">Based upon the foregoing, it is our opinion that the operating expenses </w:t>
      </w:r>
      <w:r w:rsidR="007E52C8">
        <w:t>forecasted</w:t>
      </w:r>
      <w:r>
        <w:t xml:space="preserve"> by </w:t>
      </w:r>
      <w:r w:rsidR="0080252B">
        <w:t>A</w:t>
      </w:r>
      <w:r w:rsidR="00CA1D26">
        <w:t>trius</w:t>
      </w:r>
      <w:r w:rsidR="00AA43C8">
        <w:t xml:space="preserve"> </w:t>
      </w:r>
      <w:r w:rsidR="00156D8B">
        <w:t xml:space="preserve">Waltham </w:t>
      </w:r>
      <w:r w:rsidR="00AA43C8">
        <w:t xml:space="preserve">Management </w:t>
      </w:r>
      <w:r>
        <w:t xml:space="preserve">are based on reasonable assumptions and are feasible for the Applicant. </w:t>
      </w:r>
    </w:p>
    <w:p w14:paraId="0CC3838D" w14:textId="6ACE3F92" w:rsidR="000D7614" w:rsidRPr="009B3C55" w:rsidRDefault="000D7614" w:rsidP="00B27C76">
      <w:pPr>
        <w:pStyle w:val="Heading2"/>
        <w:numPr>
          <w:ilvl w:val="0"/>
          <w:numId w:val="43"/>
        </w:numPr>
        <w:rPr>
          <w:color w:val="00567F"/>
        </w:rPr>
      </w:pPr>
      <w:r w:rsidRPr="009B3C55">
        <w:rPr>
          <w:color w:val="00567F"/>
        </w:rPr>
        <w:t>Capital Expenditures and Cash Flows</w:t>
      </w:r>
    </w:p>
    <w:p w14:paraId="0569C4C5" w14:textId="17E43FD6" w:rsidR="00A74FA0" w:rsidRDefault="00A74FA0" w:rsidP="00A74FA0">
      <w:r>
        <w:t xml:space="preserve">We reviewed </w:t>
      </w:r>
      <w:r w:rsidR="00572F08">
        <w:t xml:space="preserve">documentation highlighting the availability of capital funds to support the Proposed Project and the </w:t>
      </w:r>
      <w:r>
        <w:t xml:space="preserve">future cash flows to determine whether sufficient funds would be </w:t>
      </w:r>
      <w:r w:rsidR="00B35FFD">
        <w:t xml:space="preserve">available </w:t>
      </w:r>
      <w:r>
        <w:t xml:space="preserve">to sustain the operation of </w:t>
      </w:r>
      <w:r w:rsidR="002D6F5C">
        <w:t>the Applicant</w:t>
      </w:r>
      <w:r>
        <w:t xml:space="preserve">. </w:t>
      </w:r>
      <w:r w:rsidR="005B1C95">
        <w:t>Atrius has chosen not to include</w:t>
      </w:r>
      <w:r w:rsidR="00572F08">
        <w:t xml:space="preserve"> ongoing</w:t>
      </w:r>
      <w:r w:rsidR="005B1C95">
        <w:t xml:space="preserve"> capital expenditures in the Atrius Waltham Financial Schedules</w:t>
      </w:r>
      <w:r w:rsidR="00553BD9">
        <w:t xml:space="preserve"> as the facility will be newly constructed and not expected to necessitate significant capital investment in the short term</w:t>
      </w:r>
      <w:r w:rsidR="005B1C95">
        <w:t>.</w:t>
      </w:r>
      <w:r w:rsidR="00CB20B4">
        <w:t xml:space="preserve"> </w:t>
      </w:r>
      <w:r w:rsidR="00AE2BAA">
        <w:t xml:space="preserve">If capital expenditures were to </w:t>
      </w:r>
      <w:r w:rsidR="005B1C95">
        <w:t xml:space="preserve">be </w:t>
      </w:r>
      <w:r w:rsidR="00AE2BAA">
        <w:t xml:space="preserve">included in the Atrius Waltham Financial Schedules, set equal to depreciation, days cash on hand would decrease from </w:t>
      </w:r>
      <w:r w:rsidR="00344354">
        <w:t>155</w:t>
      </w:r>
      <w:r w:rsidR="00AE2BAA">
        <w:t xml:space="preserve"> to 1</w:t>
      </w:r>
      <w:r w:rsidR="00344354">
        <w:t>05</w:t>
      </w:r>
      <w:r w:rsidR="00AE2BAA">
        <w:t xml:space="preserve"> in year </w:t>
      </w:r>
      <w:r w:rsidR="00344354">
        <w:t>two of operations</w:t>
      </w:r>
      <w:r w:rsidR="00AE2BAA">
        <w:t xml:space="preserve">, </w:t>
      </w:r>
      <w:r w:rsidR="00444F85">
        <w:t>and increase</w:t>
      </w:r>
      <w:r w:rsidR="00AE2BAA">
        <w:t xml:space="preserve"> in subsequent years.</w:t>
      </w:r>
    </w:p>
    <w:p w14:paraId="01D3C0F3" w14:textId="759485F6" w:rsidR="0033718A" w:rsidRPr="00A74FA0" w:rsidRDefault="0033718A" w:rsidP="00A74FA0">
      <w:r>
        <w:t xml:space="preserve">Accordingly, we determined that the </w:t>
      </w:r>
      <w:r w:rsidR="000710B2">
        <w:t xml:space="preserve">prospective </w:t>
      </w:r>
      <w:r>
        <w:t xml:space="preserve">capital </w:t>
      </w:r>
      <w:r w:rsidR="000710B2">
        <w:t xml:space="preserve">requirements </w:t>
      </w:r>
      <w:r>
        <w:t xml:space="preserve">and resulting impact on the cash flows are reasonable. </w:t>
      </w:r>
    </w:p>
    <w:p w14:paraId="6931523B" w14:textId="1B904531" w:rsidR="000D7614" w:rsidRDefault="000D7614" w:rsidP="008D0DC9">
      <w:pPr>
        <w:pStyle w:val="Heading1"/>
        <w:numPr>
          <w:ilvl w:val="0"/>
          <w:numId w:val="7"/>
        </w:numPr>
      </w:pPr>
      <w:bookmarkStart w:id="9" w:name="_Toc169878731"/>
      <w:r>
        <w:t>Feasibility</w:t>
      </w:r>
      <w:bookmarkEnd w:id="9"/>
    </w:p>
    <w:p w14:paraId="12913453" w14:textId="3EEFA736" w:rsidR="00E37982" w:rsidRPr="005D0C91" w:rsidRDefault="0033718A" w:rsidP="005D0C91">
      <w:r w:rsidRPr="003C2C72">
        <w:t>We analyzed the</w:t>
      </w:r>
      <w:r w:rsidR="003C2C72" w:rsidRPr="003C2C72">
        <w:t xml:space="preserve"> </w:t>
      </w:r>
      <w:r w:rsidR="0080252B">
        <w:t>A</w:t>
      </w:r>
      <w:r w:rsidR="00CA1D26">
        <w:t>trius</w:t>
      </w:r>
      <w:r w:rsidR="003444F4" w:rsidRPr="003C2C72">
        <w:t xml:space="preserve"> </w:t>
      </w:r>
      <w:r w:rsidR="00156D8B">
        <w:t xml:space="preserve">Waltham </w:t>
      </w:r>
      <w:r w:rsidR="003444F4" w:rsidRPr="003C2C72">
        <w:t>Prospective</w:t>
      </w:r>
      <w:r w:rsidR="00F77973" w:rsidRPr="003C2C72">
        <w:t xml:space="preserve"> </w:t>
      </w:r>
      <w:r w:rsidR="000710B2" w:rsidRPr="003C2C72">
        <w:t>Financial</w:t>
      </w:r>
      <w:r w:rsidR="003C2C72" w:rsidRPr="003C2C72">
        <w:t xml:space="preserve"> Schedules</w:t>
      </w:r>
      <w:r w:rsidRPr="003C2C72">
        <w:t xml:space="preserve"> and </w:t>
      </w:r>
      <w:r w:rsidR="005D0C91" w:rsidRPr="003C2C72">
        <w:t>the</w:t>
      </w:r>
      <w:r w:rsidR="00B07369" w:rsidRPr="003C2C72">
        <w:t xml:space="preserve"> </w:t>
      </w:r>
      <w:r w:rsidR="003C2C72">
        <w:t xml:space="preserve">resulting </w:t>
      </w:r>
      <w:r w:rsidRPr="003C2C72">
        <w:t xml:space="preserve">Key Metrics and determined </w:t>
      </w:r>
      <w:r w:rsidR="003C2C72">
        <w:t xml:space="preserve">that the </w:t>
      </w:r>
      <w:r w:rsidR="0080252B">
        <w:t>A</w:t>
      </w:r>
      <w:r w:rsidR="00CA1D26">
        <w:t>trius</w:t>
      </w:r>
      <w:r w:rsidR="003C2C72">
        <w:t xml:space="preserve"> </w:t>
      </w:r>
      <w:r w:rsidR="00156D8B">
        <w:t xml:space="preserve">Waltham </w:t>
      </w:r>
      <w:r w:rsidR="003C2C72">
        <w:t xml:space="preserve">Prospective Financial Schedules are based </w:t>
      </w:r>
      <w:r w:rsidR="0071141D" w:rsidRPr="003C2C72">
        <w:t>on reasonable assumptions</w:t>
      </w:r>
      <w:r w:rsidRPr="003C2C72">
        <w:t>.</w:t>
      </w:r>
      <w:r>
        <w:t xml:space="preserve"> </w:t>
      </w:r>
      <w:r w:rsidR="0071141D">
        <w:t>T</w:t>
      </w:r>
      <w:r>
        <w:t xml:space="preserve">he </w:t>
      </w:r>
      <w:r w:rsidR="0080252B">
        <w:t>A</w:t>
      </w:r>
      <w:r w:rsidR="00CA1D26">
        <w:t>trius</w:t>
      </w:r>
      <w:r w:rsidR="003C2C72">
        <w:t xml:space="preserve"> </w:t>
      </w:r>
      <w:r w:rsidR="00156D8B">
        <w:t xml:space="preserve">Waltham </w:t>
      </w:r>
      <w:r w:rsidR="003444F4">
        <w:t xml:space="preserve">Prospective </w:t>
      </w:r>
      <w:r w:rsidR="006F6C3C">
        <w:t>Financial</w:t>
      </w:r>
      <w:r w:rsidR="003C2C72">
        <w:t xml:space="preserve"> Schedules</w:t>
      </w:r>
      <w:r>
        <w:t xml:space="preserve"> do not account for any anticipated changes in accounting standards. These standards, which may have a material impact on individual future years, are not anticipate</w:t>
      </w:r>
      <w:r w:rsidR="006F6C3C">
        <w:t>d</w:t>
      </w:r>
      <w:r>
        <w:t xml:space="preserve"> to have a material impact on the </w:t>
      </w:r>
      <w:r w:rsidR="00B90F47">
        <w:t>feasibility</w:t>
      </w:r>
      <w:r w:rsidR="00BA0580">
        <w:t xml:space="preserve"> of the Proposed Project</w:t>
      </w:r>
      <w:r>
        <w:t xml:space="preserve">. </w:t>
      </w:r>
    </w:p>
    <w:p w14:paraId="342AE8EF" w14:textId="77777777" w:rsidR="00AA3A62" w:rsidRDefault="00AA3A62" w:rsidP="000D7614"/>
    <w:p w14:paraId="0D28ACCB" w14:textId="01D71AC7" w:rsidR="00C73A7C" w:rsidRPr="00F50B94" w:rsidRDefault="002D6F5C" w:rsidP="000D7614">
      <w:r>
        <w:t>The Applicant</w:t>
      </w:r>
      <w:r w:rsidR="0033718A">
        <w:t xml:space="preserve"> exhibits cash surplus</w:t>
      </w:r>
      <w:r w:rsidR="00C73A7C">
        <w:t>es</w:t>
      </w:r>
      <w:r w:rsidR="00BF0CDA">
        <w:t xml:space="preserve"> from operations (defined as EBIDA)</w:t>
      </w:r>
      <w:r w:rsidR="0071141D">
        <w:t xml:space="preserve"> in the </w:t>
      </w:r>
      <w:r w:rsidR="00F23DB8">
        <w:t>A</w:t>
      </w:r>
      <w:r w:rsidR="00CA1D26">
        <w:t>trius</w:t>
      </w:r>
      <w:r w:rsidR="00020DF1">
        <w:t xml:space="preserve"> </w:t>
      </w:r>
      <w:r w:rsidR="00156D8B">
        <w:t xml:space="preserve">Waltham </w:t>
      </w:r>
      <w:r w:rsidR="005839A4">
        <w:t xml:space="preserve">Prospective </w:t>
      </w:r>
      <w:r w:rsidR="006F6C3C">
        <w:t>Financial</w:t>
      </w:r>
      <w:r w:rsidR="00020DF1">
        <w:t xml:space="preserve"> </w:t>
      </w:r>
      <w:r w:rsidR="00020DF1" w:rsidRPr="00F50B94">
        <w:t>Schedules</w:t>
      </w:r>
      <w:r w:rsidR="0033718A" w:rsidRPr="00F50B94">
        <w:t xml:space="preserve"> </w:t>
      </w:r>
      <w:r w:rsidR="00C73A7C" w:rsidRPr="00F50B94">
        <w:t xml:space="preserve">in each of the </w:t>
      </w:r>
      <w:r w:rsidR="00D15FA8">
        <w:t>ten</w:t>
      </w:r>
      <w:r w:rsidR="00841FD5" w:rsidRPr="00F50B94">
        <w:t xml:space="preserve"> prospective </w:t>
      </w:r>
      <w:r w:rsidR="00C73A7C" w:rsidRPr="00F50B94">
        <w:t>years</w:t>
      </w:r>
      <w:r w:rsidR="009117F5">
        <w:t>.</w:t>
      </w:r>
    </w:p>
    <w:p w14:paraId="5B3BF750" w14:textId="7CCCEC49" w:rsidR="000D7614" w:rsidRDefault="0033718A" w:rsidP="000D7614">
      <w:r w:rsidRPr="00F50B94">
        <w:t>Based upon our review of the relevant documents</w:t>
      </w:r>
      <w:r w:rsidR="00155CDD" w:rsidRPr="00F50B94">
        <w:t>,</w:t>
      </w:r>
      <w:r w:rsidR="00AB4E38">
        <w:t xml:space="preserve"> as referenced in Section IV</w:t>
      </w:r>
      <w:r w:rsidR="0026137D">
        <w:t>,</w:t>
      </w:r>
      <w:r w:rsidRPr="00F50B94">
        <w:t xml:space="preserve"> we determined the</w:t>
      </w:r>
      <w:r w:rsidR="00155CDD" w:rsidRPr="00F50B94">
        <w:t xml:space="preserve"> </w:t>
      </w:r>
      <w:r w:rsidR="00F23DB8" w:rsidRPr="00F50B94">
        <w:t>A</w:t>
      </w:r>
      <w:r w:rsidR="00CA1D26" w:rsidRPr="00F50B94">
        <w:t>trius</w:t>
      </w:r>
      <w:r w:rsidR="003C2C72" w:rsidRPr="00F50B94">
        <w:t xml:space="preserve"> </w:t>
      </w:r>
      <w:r w:rsidR="00F50B94" w:rsidRPr="00F50B94">
        <w:t xml:space="preserve">Waltham </w:t>
      </w:r>
      <w:r w:rsidR="005839A4" w:rsidRPr="00F50B94">
        <w:t xml:space="preserve">Prospective </w:t>
      </w:r>
      <w:r w:rsidR="00155CDD" w:rsidRPr="00F50B94">
        <w:t>Financial</w:t>
      </w:r>
      <w:r w:rsidR="003C2C72" w:rsidRPr="00F50B94">
        <w:t xml:space="preserve"> Schedules</w:t>
      </w:r>
      <w:r w:rsidR="00CB20B4" w:rsidRPr="00F50B94">
        <w:t xml:space="preserve"> exhibit a cumulative EBIDA surplus of approximately </w:t>
      </w:r>
      <w:r w:rsidR="003F155A">
        <w:t>2</w:t>
      </w:r>
      <w:r w:rsidR="007D5D96">
        <w:t>1</w:t>
      </w:r>
      <w:r w:rsidR="00036A43" w:rsidRPr="00F4414B">
        <w:t xml:space="preserve"> percent</w:t>
      </w:r>
      <w:r w:rsidR="00036A43" w:rsidRPr="00F50B94">
        <w:t xml:space="preserve"> </w:t>
      </w:r>
      <w:r w:rsidR="00CB20B4" w:rsidRPr="00F50B94">
        <w:t xml:space="preserve">of cumulative </w:t>
      </w:r>
      <w:r w:rsidR="00F4414B">
        <w:t>forecasted</w:t>
      </w:r>
      <w:r w:rsidR="00CB20B4" w:rsidRPr="00F50B94">
        <w:t xml:space="preserve"> operating revenue for the </w:t>
      </w:r>
      <w:r w:rsidR="009117F5">
        <w:t>Prospective Period</w:t>
      </w:r>
      <w:r w:rsidR="00CB20B4" w:rsidRPr="00F50B94">
        <w:t xml:space="preserve">. Based </w:t>
      </w:r>
      <w:r w:rsidR="00E03F56" w:rsidRPr="00F50B94">
        <w:t>u</w:t>
      </w:r>
      <w:r w:rsidR="00CB20B4" w:rsidRPr="00F50B94">
        <w:t xml:space="preserve">pon </w:t>
      </w:r>
      <w:r w:rsidR="00E03F56" w:rsidRPr="00F50B94">
        <w:t>our</w:t>
      </w:r>
      <w:r w:rsidR="00CB20B4" w:rsidRPr="00F50B94">
        <w:t xml:space="preserve"> review</w:t>
      </w:r>
      <w:r w:rsidR="003947BD" w:rsidRPr="00F50B94">
        <w:t xml:space="preserve">, the </w:t>
      </w:r>
      <w:r w:rsidR="00F4414B">
        <w:t xml:space="preserve">Atrius Waltham </w:t>
      </w:r>
      <w:r w:rsidR="003947BD" w:rsidRPr="00F50B94">
        <w:t xml:space="preserve">Prospective Financial </w:t>
      </w:r>
      <w:r w:rsidR="00020DF1" w:rsidRPr="00F50B94">
        <w:t>S</w:t>
      </w:r>
      <w:r w:rsidR="003947BD" w:rsidRPr="00F50B94">
        <w:t>chedules</w:t>
      </w:r>
      <w:r w:rsidR="00155CDD" w:rsidRPr="00F50B94">
        <w:t xml:space="preserve"> are</w:t>
      </w:r>
      <w:r w:rsidRPr="00F50B94">
        <w:t xml:space="preserve"> based upon </w:t>
      </w:r>
      <w:r w:rsidR="003947BD" w:rsidRPr="00F50B94">
        <w:t>reasonable and</w:t>
      </w:r>
      <w:r w:rsidR="003947BD">
        <w:t xml:space="preserve"> </w:t>
      </w:r>
      <w:r>
        <w:t xml:space="preserve">feasible assumptions. Accordingly, we determined that the </w:t>
      </w:r>
      <w:r w:rsidR="00CA1D26">
        <w:t>Atrius</w:t>
      </w:r>
      <w:r w:rsidR="003C2C72">
        <w:t xml:space="preserve"> </w:t>
      </w:r>
      <w:r w:rsidR="00F50B94">
        <w:t xml:space="preserve">Waltham </w:t>
      </w:r>
      <w:r w:rsidR="008D192F">
        <w:t xml:space="preserve">Prospective </w:t>
      </w:r>
      <w:r w:rsidR="002F0FB9">
        <w:t>Financial</w:t>
      </w:r>
      <w:r w:rsidR="003C2C72">
        <w:t xml:space="preserve"> Schedules</w:t>
      </w:r>
      <w:r w:rsidR="00306173">
        <w:t xml:space="preserve"> (associated with the </w:t>
      </w:r>
      <w:r w:rsidR="00D41357">
        <w:t>Proposed</w:t>
      </w:r>
      <w:r w:rsidR="00306173">
        <w:t xml:space="preserve"> Project)</w:t>
      </w:r>
      <w:r>
        <w:t xml:space="preserve"> are </w:t>
      </w:r>
      <w:r w:rsidR="003947BD">
        <w:t xml:space="preserve">a reasonable expectation and based on </w:t>
      </w:r>
      <w:r w:rsidR="00CC513D">
        <w:t>feasible</w:t>
      </w:r>
      <w:r>
        <w:t xml:space="preserve"> </w:t>
      </w:r>
      <w:r w:rsidR="00CC513D">
        <w:t>and sustainable</w:t>
      </w:r>
      <w:r w:rsidR="003947BD">
        <w:t xml:space="preserve"> financial project</w:t>
      </w:r>
      <w:r w:rsidR="005B2546">
        <w:t>ion</w:t>
      </w:r>
      <w:r w:rsidR="003947BD">
        <w:t>s</w:t>
      </w:r>
      <w:r w:rsidR="006420EF">
        <w:t xml:space="preserve"> which are </w:t>
      </w:r>
      <w:r w:rsidR="00CC513D">
        <w:t>not likely to have a negative impact on the</w:t>
      </w:r>
      <w:r w:rsidR="00CC730D">
        <w:t xml:space="preserve"> Atrius</w:t>
      </w:r>
      <w:r w:rsidR="00CC513D">
        <w:t xml:space="preserve"> patient panel or result in a liquidation of assets of </w:t>
      </w:r>
      <w:r w:rsidR="002D6F5C">
        <w:t>the Applicant</w:t>
      </w:r>
      <w:r w:rsidR="00CC513D">
        <w:t xml:space="preserve">. </w:t>
      </w:r>
    </w:p>
    <w:p w14:paraId="5F49046B" w14:textId="693F10FA" w:rsidR="009E2650" w:rsidRDefault="009E2650" w:rsidP="009E2650">
      <w:pPr>
        <w:pStyle w:val="Heading1"/>
        <w:numPr>
          <w:ilvl w:val="0"/>
          <w:numId w:val="7"/>
        </w:numPr>
      </w:pPr>
      <w:bookmarkStart w:id="10" w:name="_Toc169878732"/>
      <w:r>
        <w:t>Assumptions and Limiting C</w:t>
      </w:r>
      <w:r w:rsidR="00BC44EC">
        <w:t>o</w:t>
      </w:r>
      <w:r>
        <w:t>nditions</w:t>
      </w:r>
      <w:bookmarkEnd w:id="10"/>
    </w:p>
    <w:p w14:paraId="03D4B752" w14:textId="695E96A1" w:rsidR="00C850FC" w:rsidRPr="00C850FC" w:rsidRDefault="00C850FC" w:rsidP="00E37197">
      <w:r w:rsidRPr="00C850FC">
        <w:t>Veralon relied upon</w:t>
      </w:r>
      <w:r>
        <w:t xml:space="preserve"> the </w:t>
      </w:r>
      <w:r w:rsidR="00F23DB8">
        <w:t>A</w:t>
      </w:r>
      <w:r w:rsidR="00CA1D26">
        <w:t>trius</w:t>
      </w:r>
      <w:r w:rsidR="00F50B94">
        <w:t xml:space="preserve"> Waltham</w:t>
      </w:r>
      <w:r w:rsidR="003C2C72">
        <w:t xml:space="preserve"> </w:t>
      </w:r>
      <w:r>
        <w:t>Prospective Financial</w:t>
      </w:r>
      <w:r w:rsidR="00E37197">
        <w:t xml:space="preserve"> Schedules</w:t>
      </w:r>
      <w:r w:rsidRPr="00C850FC">
        <w:t xml:space="preserve"> provided by </w:t>
      </w:r>
      <w:r w:rsidR="00F4414B">
        <w:t xml:space="preserve">Atrius </w:t>
      </w:r>
      <w:r w:rsidR="00B24328">
        <w:t>Management</w:t>
      </w:r>
      <w:r>
        <w:t xml:space="preserve"> as the basis for </w:t>
      </w:r>
      <w:r w:rsidR="00F23DB8">
        <w:t>A</w:t>
      </w:r>
      <w:r w:rsidR="00CA1D26">
        <w:t>trius</w:t>
      </w:r>
      <w:r w:rsidR="00F50B94">
        <w:t xml:space="preserve"> Waltham’s’</w:t>
      </w:r>
      <w:r>
        <w:t xml:space="preserve"> future financial performance and position shown in the report.</w:t>
      </w:r>
      <w:r w:rsidRPr="00C850FC">
        <w:t xml:space="preserve"> The </w:t>
      </w:r>
      <w:r w:rsidR="00F23DB8">
        <w:t>A</w:t>
      </w:r>
      <w:r w:rsidR="00CA1D26">
        <w:t>trius</w:t>
      </w:r>
      <w:r w:rsidR="003C2C72">
        <w:t xml:space="preserve"> </w:t>
      </w:r>
      <w:r w:rsidR="00F50B94">
        <w:t xml:space="preserve">Waltham </w:t>
      </w:r>
      <w:r>
        <w:t>Prospective Financial</w:t>
      </w:r>
      <w:r w:rsidR="00EF082D">
        <w:t xml:space="preserve"> Schedules</w:t>
      </w:r>
      <w:r>
        <w:t xml:space="preserve"> </w:t>
      </w:r>
      <w:r w:rsidRPr="00C850FC">
        <w:t xml:space="preserve">provided by </w:t>
      </w:r>
      <w:r w:rsidR="00F23DB8">
        <w:t>A</w:t>
      </w:r>
      <w:r w:rsidR="00CA1D26">
        <w:t>trius</w:t>
      </w:r>
      <w:r w:rsidR="00B24328">
        <w:t xml:space="preserve"> </w:t>
      </w:r>
      <w:r w:rsidR="00F50B94">
        <w:t xml:space="preserve">Waltham </w:t>
      </w:r>
      <w:r w:rsidR="00B24328">
        <w:t>Management</w:t>
      </w:r>
      <w:r>
        <w:t xml:space="preserve"> </w:t>
      </w:r>
      <w:r w:rsidRPr="00C850FC">
        <w:t>are assumed by Veralon to be</w:t>
      </w:r>
      <w:r>
        <w:t xml:space="preserve"> </w:t>
      </w:r>
      <w:r w:rsidR="00F23DB8">
        <w:t>A</w:t>
      </w:r>
      <w:r w:rsidR="00CA1D26">
        <w:t>trius</w:t>
      </w:r>
      <w:r w:rsidR="00F50B94">
        <w:t xml:space="preserve"> </w:t>
      </w:r>
      <w:r w:rsidR="00B24328">
        <w:t>Management</w:t>
      </w:r>
      <w:r w:rsidR="00080885">
        <w:t>’s</w:t>
      </w:r>
      <w:r>
        <w:t xml:space="preserve"> most</w:t>
      </w:r>
      <w:r w:rsidRPr="00C850FC">
        <w:t xml:space="preserve"> accurate </w:t>
      </w:r>
      <w:r>
        <w:t xml:space="preserve">and complete forecast of </w:t>
      </w:r>
      <w:r w:rsidR="00F23DB8">
        <w:t>A</w:t>
      </w:r>
      <w:r w:rsidR="00CA1D26">
        <w:t>trius</w:t>
      </w:r>
      <w:r w:rsidR="00F50B94">
        <w:t xml:space="preserve"> Waltham’s </w:t>
      </w:r>
      <w:r>
        <w:t xml:space="preserve">future financial performance and position </w:t>
      </w:r>
      <w:r w:rsidRPr="00C850FC">
        <w:t>and Veralon assumes no responsibility</w:t>
      </w:r>
      <w:r>
        <w:t xml:space="preserve"> </w:t>
      </w:r>
      <w:r w:rsidRPr="00C850FC">
        <w:t>and provides no assurance of the accuracy</w:t>
      </w:r>
      <w:r>
        <w:t xml:space="preserve"> or completeness </w:t>
      </w:r>
      <w:r w:rsidRPr="00C850FC">
        <w:t>of the</w:t>
      </w:r>
      <w:r>
        <w:t xml:space="preserve"> </w:t>
      </w:r>
      <w:r w:rsidR="00F23DB8">
        <w:t>A</w:t>
      </w:r>
      <w:r w:rsidR="00CA1D26">
        <w:t>trius</w:t>
      </w:r>
      <w:r w:rsidR="003C2C72">
        <w:t xml:space="preserve"> </w:t>
      </w:r>
      <w:r w:rsidR="00F50B94">
        <w:t xml:space="preserve">Waltham </w:t>
      </w:r>
      <w:r>
        <w:t>Prospective Financial</w:t>
      </w:r>
      <w:r w:rsidR="00EF082D">
        <w:t xml:space="preserve"> Schedules</w:t>
      </w:r>
      <w:r>
        <w:t xml:space="preserve"> or the underlying data and assumptions</w:t>
      </w:r>
      <w:r w:rsidRPr="00C850FC">
        <w:t xml:space="preserve"> used in these analyses.</w:t>
      </w:r>
    </w:p>
    <w:p w14:paraId="45A44777" w14:textId="128E60AD" w:rsidR="00E15042" w:rsidRDefault="00C850FC" w:rsidP="00436ECD">
      <w:r w:rsidRPr="00C850FC">
        <w:t xml:space="preserve">Some </w:t>
      </w:r>
      <w:r>
        <w:t xml:space="preserve">of the associated </w:t>
      </w:r>
      <w:r w:rsidRPr="00C850FC">
        <w:t xml:space="preserve">assumptions inevitably will not materialize, and unanticipated events and circumstances may occur; therefore, actual results achieved during the </w:t>
      </w:r>
      <w:r>
        <w:t xml:space="preserve">forecasted time period </w:t>
      </w:r>
      <w:r w:rsidRPr="00C850FC">
        <w:t>will vary from those described in our report, and the variations may be material.</w:t>
      </w:r>
    </w:p>
    <w:p w14:paraId="73ACC0AB" w14:textId="77777777" w:rsidR="00E15042" w:rsidRDefault="00E15042" w:rsidP="00436ECD"/>
    <w:p w14:paraId="1032ADE4" w14:textId="77777777" w:rsidR="00AA3A62" w:rsidRDefault="00AA3A62" w:rsidP="00436ECD"/>
    <w:p w14:paraId="1CAAC409" w14:textId="64097A6D" w:rsidR="00A478EA" w:rsidRDefault="0003209D" w:rsidP="00436ECD">
      <w:r>
        <w:t>Respectively submitted,</w:t>
      </w:r>
    </w:p>
    <w:p w14:paraId="5A34BE9F" w14:textId="5BE9FCB6" w:rsidR="00A478EA" w:rsidRDefault="00A478EA" w:rsidP="00436ECD"/>
    <w:p w14:paraId="115893A3" w14:textId="77777777" w:rsidR="009F035B" w:rsidRDefault="0003209D" w:rsidP="00720B7E">
      <w:pPr>
        <w:spacing w:after="0"/>
      </w:pPr>
      <w:r>
        <w:t>Daniel M. Grauman, MBA, CPA/ABV</w:t>
      </w:r>
    </w:p>
    <w:p w14:paraId="31327E1D" w14:textId="34506CE1" w:rsidR="00F75519" w:rsidRPr="00F75519" w:rsidRDefault="001B42BB" w:rsidP="00720B7E">
      <w:r>
        <w:br/>
      </w:r>
      <w:r w:rsidR="00BA0580">
        <w:t>Managing Director &amp; CEO</w:t>
      </w:r>
      <w:r w:rsidR="0003209D">
        <w:br/>
        <w:t>Veralon Partners Inc</w:t>
      </w:r>
      <w:r w:rsidR="00F75519">
        <w:t>.</w:t>
      </w:r>
      <w:r w:rsidR="00720B7E" w:rsidRPr="00F75519">
        <w:t xml:space="preserve"> </w:t>
      </w:r>
    </w:p>
    <w:sectPr w:rsidR="00F75519" w:rsidRPr="00F75519" w:rsidSect="00903B34">
      <w:headerReference w:type="default" r:id="rId15"/>
      <w:headerReference w:type="first" r:id="rId16"/>
      <w:pgSz w:w="12240" w:h="15840" w:code="1"/>
      <w:pgMar w:top="1440" w:right="1699" w:bottom="1440" w:left="1699" w:header="403" w:footer="67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63D0A" w14:textId="77777777" w:rsidR="00E032C3" w:rsidRDefault="00E032C3" w:rsidP="00744358">
      <w:r>
        <w:separator/>
      </w:r>
    </w:p>
  </w:endnote>
  <w:endnote w:type="continuationSeparator" w:id="0">
    <w:p w14:paraId="18E1B361" w14:textId="77777777" w:rsidR="00E032C3" w:rsidRDefault="00E032C3" w:rsidP="0074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6"/>
    </w:tblGrid>
    <w:tr w:rsidR="00BB73A0" w14:paraId="124D8D14" w14:textId="77777777" w:rsidTr="0018371E">
      <w:tc>
        <w:tcPr>
          <w:tcW w:w="1667" w:type="pct"/>
        </w:tcPr>
        <w:p w14:paraId="3F078352" w14:textId="77777777" w:rsidR="00BB73A0" w:rsidRDefault="00BB73A0" w:rsidP="00BB73A0">
          <w:pPr>
            <w:pStyle w:val="Footer"/>
          </w:pPr>
        </w:p>
      </w:tc>
      <w:tc>
        <w:tcPr>
          <w:tcW w:w="1667" w:type="pct"/>
        </w:tcPr>
        <w:p w14:paraId="1E45B1DD" w14:textId="77777777" w:rsidR="00BB73A0" w:rsidRDefault="00BB73A0" w:rsidP="00BB73A0">
          <w:pPr>
            <w:pStyle w:val="Footer"/>
            <w:jc w:val="center"/>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C33593">
            <w:fldChar w:fldCharType="begin"/>
          </w:r>
          <w:r w:rsidR="00C33593">
            <w:instrText xml:space="preserve"> NUMPAGES  \* Arabic  \* MERGEFORMAT </w:instrText>
          </w:r>
          <w:r w:rsidR="00C33593">
            <w:fldChar w:fldCharType="separate"/>
          </w:r>
          <w:r w:rsidR="00FD7B6E">
            <w:rPr>
              <w:noProof/>
            </w:rPr>
            <w:t>1</w:t>
          </w:r>
          <w:r w:rsidR="00C33593">
            <w:rPr>
              <w:noProof/>
            </w:rPr>
            <w:fldChar w:fldCharType="end"/>
          </w:r>
        </w:p>
      </w:tc>
      <w:tc>
        <w:tcPr>
          <w:tcW w:w="1666" w:type="pct"/>
        </w:tcPr>
        <w:p w14:paraId="72C5334A" w14:textId="77777777" w:rsidR="00BB73A0" w:rsidRDefault="00BB73A0" w:rsidP="00BB73A0">
          <w:pPr>
            <w:pStyle w:val="Footer"/>
            <w:jc w:val="right"/>
          </w:pPr>
        </w:p>
      </w:tc>
    </w:tr>
  </w:tbl>
  <w:p w14:paraId="442A0105" w14:textId="77777777" w:rsidR="00BB73A0" w:rsidRDefault="00BB73A0" w:rsidP="00BB73A0">
    <w:pPr>
      <w:pStyle w:val="Footer"/>
      <w:tabs>
        <w:tab w:val="left" w:pos="90"/>
      </w:tabs>
    </w:pPr>
    <w:r>
      <w:rPr>
        <w:noProof/>
      </w:rPr>
      <w:drawing>
        <wp:anchor distT="0" distB="0" distL="114300" distR="114300" simplePos="0" relativeHeight="251664384" behindDoc="0" locked="0" layoutInCell="1" allowOverlap="1" wp14:anchorId="296D4580" wp14:editId="6AF738F8">
          <wp:simplePos x="0" y="0"/>
          <wp:positionH relativeFrom="page">
            <wp:posOffset>6263640</wp:posOffset>
          </wp:positionH>
          <wp:positionV relativeFrom="paragraph">
            <wp:posOffset>-576580</wp:posOffset>
          </wp:positionV>
          <wp:extent cx="1472184" cy="722376"/>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0F556" w14:textId="672C2C4E" w:rsidR="00C3277D" w:rsidRPr="00112BF0" w:rsidRDefault="0038501F" w:rsidP="00C3277D">
    <w:pPr>
      <w:pStyle w:val="Footer"/>
      <w:jc w:val="center"/>
      <w:rPr>
        <w:b/>
      </w:rPr>
    </w:pPr>
    <w:r>
      <w:rPr>
        <w:noProof/>
      </w:rPr>
      <w:drawing>
        <wp:anchor distT="0" distB="0" distL="114300" distR="114300" simplePos="0" relativeHeight="251682816" behindDoc="0" locked="0" layoutInCell="1" allowOverlap="1" wp14:anchorId="24ACA041" wp14:editId="037CEF5B">
          <wp:simplePos x="0" y="0"/>
          <wp:positionH relativeFrom="page">
            <wp:posOffset>6283325</wp:posOffset>
          </wp:positionH>
          <wp:positionV relativeFrom="paragraph">
            <wp:posOffset>-116205</wp:posOffset>
          </wp:positionV>
          <wp:extent cx="1472184" cy="722376"/>
          <wp:effectExtent l="0" t="0" r="0" b="0"/>
          <wp:wrapNone/>
          <wp:docPr id="2" name="Picture 2"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84E55" w14:textId="7057380C" w:rsidR="00C0281E" w:rsidRPr="00C0281E" w:rsidRDefault="008D0DC9" w:rsidP="00C0281E">
    <w:pPr>
      <w:pStyle w:val="Footer"/>
    </w:pPr>
    <w:r>
      <w:rPr>
        <w:noProof/>
      </w:rPr>
      <w:drawing>
        <wp:anchor distT="0" distB="0" distL="114300" distR="114300" simplePos="0" relativeHeight="251680768" behindDoc="0" locked="0" layoutInCell="1" allowOverlap="1" wp14:anchorId="5D0E07F0" wp14:editId="760CBFFD">
          <wp:simplePos x="0" y="0"/>
          <wp:positionH relativeFrom="page">
            <wp:posOffset>6282690</wp:posOffset>
          </wp:positionH>
          <wp:positionV relativeFrom="paragraph">
            <wp:posOffset>-109855</wp:posOffset>
          </wp:positionV>
          <wp:extent cx="1472184" cy="722376"/>
          <wp:effectExtent l="0" t="0" r="0" b="0"/>
          <wp:wrapNone/>
          <wp:docPr id="3" name="Picture 3"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B27FA" w14:textId="2A23CFF0" w:rsidR="004C4A0C" w:rsidRPr="00112BF0" w:rsidRDefault="004C4A0C" w:rsidP="00C3277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1A92F" w14:textId="77777777" w:rsidR="00E032C3" w:rsidRDefault="00E032C3" w:rsidP="00744358">
      <w:r>
        <w:separator/>
      </w:r>
    </w:p>
  </w:footnote>
  <w:footnote w:type="continuationSeparator" w:id="0">
    <w:p w14:paraId="7E7ECF32" w14:textId="77777777" w:rsidR="00E032C3" w:rsidRDefault="00E032C3" w:rsidP="0074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09B4" w14:textId="1BEAE984" w:rsidR="002E53AD" w:rsidRDefault="002E53AD" w:rsidP="002E53A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8E83" w14:textId="1E0D34A9" w:rsidR="004C4A0C" w:rsidRPr="008F220B" w:rsidRDefault="004C4A0C" w:rsidP="00C0281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B0C8B" w14:textId="1CC4D02A" w:rsidR="00903B34" w:rsidRPr="006C1D15" w:rsidRDefault="00903B34" w:rsidP="006C1D15">
    <w:pPr>
      <w:rPr>
        <w:color w:val="FF0000"/>
      </w:rPr>
    </w:pPr>
    <w:r>
      <w:t xml:space="preserve">Mr. </w:t>
    </w:r>
    <w:r w:rsidR="00210417">
      <w:t>James Woolman</w:t>
    </w:r>
    <w:r w:rsidR="00A3736C">
      <w:tab/>
    </w:r>
    <w:r w:rsidR="00A3736C">
      <w:tab/>
    </w:r>
    <w:r w:rsidR="00A3736C">
      <w:tab/>
    </w:r>
    <w:r w:rsidR="00A3736C">
      <w:tab/>
    </w:r>
    <w:r w:rsidR="00A3736C">
      <w:tab/>
    </w:r>
    <w:r w:rsidR="00A3736C">
      <w:tab/>
    </w:r>
  </w:p>
  <w:p w14:paraId="789A7405" w14:textId="0E52C1DF" w:rsidR="00903B34" w:rsidRDefault="00D41357" w:rsidP="00903B34">
    <w:pPr>
      <w:pStyle w:val="NoSpacing"/>
      <w:spacing w:after="0"/>
    </w:pPr>
    <w:r>
      <w:t>August</w:t>
    </w:r>
    <w:r w:rsidR="00B0434C">
      <w:t xml:space="preserve"> </w:t>
    </w:r>
    <w:r>
      <w:t>13</w:t>
    </w:r>
    <w:r w:rsidR="00903B34">
      <w:t>, 202</w:t>
    </w:r>
    <w:r w:rsidR="00B0434C">
      <w:t>4</w:t>
    </w:r>
  </w:p>
  <w:p w14:paraId="34AD50AC" w14:textId="20674032" w:rsidR="00903B34" w:rsidRPr="008F220B" w:rsidRDefault="00903B34" w:rsidP="00903B34">
    <w:pPr>
      <w:pStyle w:val="NoSpacing"/>
      <w:spacing w:after="0"/>
    </w:pPr>
    <w:r w:rsidRPr="008F220B">
      <w:t xml:space="preserve">Page </w:t>
    </w:r>
    <w:r>
      <w:fldChar w:fldCharType="begin"/>
    </w:r>
    <w:r>
      <w:instrText xml:space="preserve"> PAGE   \* MERGEFORMAT </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F21D5" w14:textId="174A4C23" w:rsidR="00A3736C" w:rsidRPr="00A3736C" w:rsidRDefault="00A3736C" w:rsidP="00A3736C">
    <w:pPr>
      <w:jc w:val="center"/>
      <w:rPr>
        <w:color w:val="FF0000"/>
      </w:rPr>
    </w:pPr>
  </w:p>
  <w:p w14:paraId="29F1F5AC" w14:textId="3EF91178" w:rsidR="00C33961" w:rsidRDefault="00903B34" w:rsidP="002E53AD">
    <w:pPr>
      <w:pStyle w:val="NoSpacing"/>
      <w:jc w:val="right"/>
    </w:pPr>
    <w:r w:rsidRPr="00337A06">
      <w:rPr>
        <w:noProof/>
      </w:rPr>
      <w:drawing>
        <wp:anchor distT="0" distB="0" distL="114300" distR="114300" simplePos="0" relativeHeight="251684864" behindDoc="0" locked="0" layoutInCell="1" allowOverlap="1" wp14:anchorId="742003A1" wp14:editId="761F6872">
          <wp:simplePos x="0" y="0"/>
          <wp:positionH relativeFrom="page">
            <wp:posOffset>538176</wp:posOffset>
          </wp:positionH>
          <wp:positionV relativeFrom="page">
            <wp:align>top</wp:align>
          </wp:positionV>
          <wp:extent cx="3078000" cy="1144800"/>
          <wp:effectExtent l="0" t="0" r="8255" b="0"/>
          <wp:wrapSquare wrapText="bothSides"/>
          <wp:docPr id="7" name="Picture 7" descr="Veralon&#10;Healthcare Management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eralon&#10;Healthcare Management Advisors"/>
                  <pic:cNvPicPr/>
                </pic:nvPicPr>
                <pic:blipFill>
                  <a:blip r:embed="rId1">
                    <a:extLst>
                      <a:ext uri="{28A0092B-C50C-407E-A947-70E740481C1C}">
                        <a14:useLocalDpi xmlns:a14="http://schemas.microsoft.com/office/drawing/2010/main" val="0"/>
                      </a:ext>
                    </a:extLst>
                  </a:blip>
                  <a:stretch>
                    <a:fillRect/>
                  </a:stretch>
                </pic:blipFill>
                <pic:spPr>
                  <a:xfrm>
                    <a:off x="0" y="0"/>
                    <a:ext cx="3078000" cy="114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9FA9A82"/>
    <w:lvl w:ilvl="0">
      <w:start w:val="1"/>
      <w:numFmt w:val="decimal"/>
      <w:lvlText w:val="%1."/>
      <w:lvlJc w:val="left"/>
      <w:pPr>
        <w:ind w:left="644" w:hanging="360"/>
      </w:pPr>
      <w:rPr>
        <w:rFonts w:hint="default"/>
        <w:color w:val="0075C9"/>
        <w:sz w:val="24"/>
      </w:rPr>
    </w:lvl>
  </w:abstractNum>
  <w:abstractNum w:abstractNumId="1" w15:restartNumberingAfterBreak="0">
    <w:nsid w:val="FFFFFF89"/>
    <w:multiLevelType w:val="singleLevel"/>
    <w:tmpl w:val="5D82D2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C2565"/>
    <w:multiLevelType w:val="hybridMultilevel"/>
    <w:tmpl w:val="23420806"/>
    <w:lvl w:ilvl="0" w:tplc="AD5C31F8">
      <w:start w:val="1"/>
      <w:numFmt w:val="bullet"/>
      <w:lvlText w:val="-"/>
      <w:lvlJc w:val="left"/>
      <w:pPr>
        <w:ind w:left="1800" w:hanging="360"/>
      </w:pPr>
      <w:rPr>
        <w:rFonts w:ascii="Courier New" w:hAnsi="Courier New"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230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95007"/>
    <w:multiLevelType w:val="hybridMultilevel"/>
    <w:tmpl w:val="520AA182"/>
    <w:lvl w:ilvl="0" w:tplc="39B07732">
      <w:start w:val="1"/>
      <w:numFmt w:val="bullet"/>
      <w:lvlText w:val="■"/>
      <w:lvlJc w:val="left"/>
      <w:pPr>
        <w:ind w:left="1224" w:hanging="360"/>
      </w:pPr>
      <w:rPr>
        <w:rFonts w:ascii="Times New Roman" w:hAnsi="Times New Roman" w:cs="Times New Roman" w:hint="default"/>
        <w:color w:val="F26334"/>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519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ED41A64"/>
    <w:multiLevelType w:val="multilevel"/>
    <w:tmpl w:val="DE82B654"/>
    <w:lvl w:ilvl="0">
      <w:start w:val="1"/>
      <w:numFmt w:val="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73881"/>
    <w:multiLevelType w:val="multilevel"/>
    <w:tmpl w:val="76749B1C"/>
    <w:lvl w:ilvl="0">
      <w:start w:val="1"/>
      <w:numFmt w:val="decimal"/>
      <w:pStyle w:val="VlnList1"/>
      <w:lvlText w:val="%1."/>
      <w:lvlJc w:val="left"/>
      <w:pPr>
        <w:ind w:left="720" w:hanging="360"/>
      </w:pPr>
      <w:rPr>
        <w:rFonts w:ascii="Verdana" w:hAnsi="Verdana" w:hint="default"/>
        <w:b/>
        <w:i w:val="0"/>
        <w:color w:val="2DCCD3" w:themeColor="accent5"/>
        <w:sz w:val="20"/>
        <w:szCs w:val="20"/>
      </w:rPr>
    </w:lvl>
    <w:lvl w:ilvl="1">
      <w:start w:val="1"/>
      <w:numFmt w:val="lowerLetter"/>
      <w:pStyle w:val="VlnList2"/>
      <w:lvlText w:val="%2."/>
      <w:lvlJc w:val="left"/>
      <w:pPr>
        <w:ind w:left="1080" w:hanging="360"/>
      </w:pPr>
      <w:rPr>
        <w:rFonts w:hint="default"/>
        <w:color w:val="2DCCD3" w:themeColor="accent5"/>
      </w:rPr>
    </w:lvl>
    <w:lvl w:ilvl="2">
      <w:start w:val="1"/>
      <w:numFmt w:val="lowerRoman"/>
      <w:pStyle w:val="VlnList3"/>
      <w:lvlText w:val="%3."/>
      <w:lvlJc w:val="left"/>
      <w:pPr>
        <w:ind w:left="1440" w:hanging="360"/>
      </w:pPr>
      <w:rPr>
        <w:rFonts w:hint="default"/>
        <w:color w:val="2DCCD3" w:themeColor="accent5"/>
      </w:rPr>
    </w:lvl>
    <w:lvl w:ilvl="3">
      <w:start w:val="1"/>
      <w:numFmt w:val="decimal"/>
      <w:pStyle w:val="VlnList4"/>
      <w:lvlText w:val="%4)"/>
      <w:lvlJc w:val="left"/>
      <w:pPr>
        <w:tabs>
          <w:tab w:val="num" w:pos="2160"/>
        </w:tabs>
        <w:ind w:left="1800" w:hanging="360"/>
      </w:pPr>
      <w:rPr>
        <w:rFonts w:hint="default"/>
        <w:color w:val="2DCCD3" w:themeColor="accent5"/>
      </w:rPr>
    </w:lvl>
    <w:lvl w:ilvl="4">
      <w:start w:val="1"/>
      <w:numFmt w:val="lowerLetter"/>
      <w:pStyle w:val="VlnList5"/>
      <w:lvlText w:val="%5)"/>
      <w:lvlJc w:val="left"/>
      <w:pPr>
        <w:tabs>
          <w:tab w:val="num" w:pos="2160"/>
        </w:tabs>
        <w:ind w:left="2160" w:hanging="360"/>
      </w:pPr>
      <w:rPr>
        <w:rFonts w:hint="default"/>
        <w:color w:val="2DCCD3" w:themeColor="accent5"/>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8" w15:restartNumberingAfterBreak="0">
    <w:nsid w:val="15CB4F48"/>
    <w:multiLevelType w:val="hybridMultilevel"/>
    <w:tmpl w:val="C6E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937EF"/>
    <w:multiLevelType w:val="hybridMultilevel"/>
    <w:tmpl w:val="CEF8AD92"/>
    <w:lvl w:ilvl="0" w:tplc="7CB258C6">
      <w:start w:val="1"/>
      <w:numFmt w:val="bullet"/>
      <w:lvlText w:val="-"/>
      <w:lvlJc w:val="left"/>
      <w:pPr>
        <w:ind w:left="1080" w:hanging="360"/>
      </w:pPr>
      <w:rPr>
        <w:rFonts w:ascii="Courier New" w:hAnsi="Courier New" w:hint="default"/>
        <w:bCs w:val="0"/>
        <w:iCs w:val="0"/>
        <w:color w:val="2DCCD3" w:themeColor="accent5"/>
        <w:szCs w:val="20"/>
      </w:rPr>
    </w:lvl>
    <w:lvl w:ilvl="1" w:tplc="D3BEB5B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775B5"/>
    <w:multiLevelType w:val="hybridMultilevel"/>
    <w:tmpl w:val="521ECFA6"/>
    <w:lvl w:ilvl="0" w:tplc="8D9C0006">
      <w:start w:val="1"/>
      <w:numFmt w:val="bullet"/>
      <w:lvlText w:val="-"/>
      <w:lvlJc w:val="left"/>
      <w:pPr>
        <w:tabs>
          <w:tab w:val="num" w:pos="1872"/>
        </w:tabs>
        <w:ind w:left="1872" w:hanging="288"/>
      </w:pPr>
      <w:rPr>
        <w:rFonts w:ascii="Arial Black" w:hAnsi="Arial Black" w:hint="default"/>
        <w:b/>
        <w:i w:val="0"/>
        <w:color w:val="F26334"/>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549E8"/>
    <w:multiLevelType w:val="hybridMultilevel"/>
    <w:tmpl w:val="C0B2F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1608F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86CA5"/>
    <w:multiLevelType w:val="multilevel"/>
    <w:tmpl w:val="C5562F42"/>
    <w:numStyleLink w:val="Style1"/>
  </w:abstractNum>
  <w:abstractNum w:abstractNumId="14" w15:restartNumberingAfterBreak="0">
    <w:nsid w:val="22816E7C"/>
    <w:multiLevelType w:val="hybridMultilevel"/>
    <w:tmpl w:val="BB2C2484"/>
    <w:lvl w:ilvl="0" w:tplc="1D6E5A20">
      <w:start w:val="1"/>
      <w:numFmt w:val="bullet"/>
      <w:lvlText w:val="•"/>
      <w:lvlJc w:val="left"/>
      <w:pPr>
        <w:tabs>
          <w:tab w:val="num" w:pos="720"/>
        </w:tabs>
        <w:ind w:left="720" w:hanging="360"/>
      </w:pPr>
      <w:rPr>
        <w:rFonts w:ascii="Arial" w:hAnsi="Arial" w:hint="default"/>
      </w:rPr>
    </w:lvl>
    <w:lvl w:ilvl="1" w:tplc="FFA880AC" w:tentative="1">
      <w:start w:val="1"/>
      <w:numFmt w:val="bullet"/>
      <w:lvlText w:val="•"/>
      <w:lvlJc w:val="left"/>
      <w:pPr>
        <w:tabs>
          <w:tab w:val="num" w:pos="1440"/>
        </w:tabs>
        <w:ind w:left="1440" w:hanging="360"/>
      </w:pPr>
      <w:rPr>
        <w:rFonts w:ascii="Arial" w:hAnsi="Arial" w:hint="default"/>
      </w:rPr>
    </w:lvl>
    <w:lvl w:ilvl="2" w:tplc="B8A2A3A4" w:tentative="1">
      <w:start w:val="1"/>
      <w:numFmt w:val="bullet"/>
      <w:lvlText w:val="•"/>
      <w:lvlJc w:val="left"/>
      <w:pPr>
        <w:tabs>
          <w:tab w:val="num" w:pos="2160"/>
        </w:tabs>
        <w:ind w:left="2160" w:hanging="360"/>
      </w:pPr>
      <w:rPr>
        <w:rFonts w:ascii="Arial" w:hAnsi="Arial" w:hint="default"/>
      </w:rPr>
    </w:lvl>
    <w:lvl w:ilvl="3" w:tplc="67AE1010" w:tentative="1">
      <w:start w:val="1"/>
      <w:numFmt w:val="bullet"/>
      <w:lvlText w:val="•"/>
      <w:lvlJc w:val="left"/>
      <w:pPr>
        <w:tabs>
          <w:tab w:val="num" w:pos="2880"/>
        </w:tabs>
        <w:ind w:left="2880" w:hanging="360"/>
      </w:pPr>
      <w:rPr>
        <w:rFonts w:ascii="Arial" w:hAnsi="Arial" w:hint="default"/>
      </w:rPr>
    </w:lvl>
    <w:lvl w:ilvl="4" w:tplc="81227224" w:tentative="1">
      <w:start w:val="1"/>
      <w:numFmt w:val="bullet"/>
      <w:lvlText w:val="•"/>
      <w:lvlJc w:val="left"/>
      <w:pPr>
        <w:tabs>
          <w:tab w:val="num" w:pos="3600"/>
        </w:tabs>
        <w:ind w:left="3600" w:hanging="360"/>
      </w:pPr>
      <w:rPr>
        <w:rFonts w:ascii="Arial" w:hAnsi="Arial" w:hint="default"/>
      </w:rPr>
    </w:lvl>
    <w:lvl w:ilvl="5" w:tplc="62B8C8D0" w:tentative="1">
      <w:start w:val="1"/>
      <w:numFmt w:val="bullet"/>
      <w:lvlText w:val="•"/>
      <w:lvlJc w:val="left"/>
      <w:pPr>
        <w:tabs>
          <w:tab w:val="num" w:pos="4320"/>
        </w:tabs>
        <w:ind w:left="4320" w:hanging="360"/>
      </w:pPr>
      <w:rPr>
        <w:rFonts w:ascii="Arial" w:hAnsi="Arial" w:hint="default"/>
      </w:rPr>
    </w:lvl>
    <w:lvl w:ilvl="6" w:tplc="8E549C32" w:tentative="1">
      <w:start w:val="1"/>
      <w:numFmt w:val="bullet"/>
      <w:lvlText w:val="•"/>
      <w:lvlJc w:val="left"/>
      <w:pPr>
        <w:tabs>
          <w:tab w:val="num" w:pos="5040"/>
        </w:tabs>
        <w:ind w:left="5040" w:hanging="360"/>
      </w:pPr>
      <w:rPr>
        <w:rFonts w:ascii="Arial" w:hAnsi="Arial" w:hint="default"/>
      </w:rPr>
    </w:lvl>
    <w:lvl w:ilvl="7" w:tplc="95486AE2" w:tentative="1">
      <w:start w:val="1"/>
      <w:numFmt w:val="bullet"/>
      <w:lvlText w:val="•"/>
      <w:lvlJc w:val="left"/>
      <w:pPr>
        <w:tabs>
          <w:tab w:val="num" w:pos="5760"/>
        </w:tabs>
        <w:ind w:left="5760" w:hanging="360"/>
      </w:pPr>
      <w:rPr>
        <w:rFonts w:ascii="Arial" w:hAnsi="Arial" w:hint="default"/>
      </w:rPr>
    </w:lvl>
    <w:lvl w:ilvl="8" w:tplc="C4687FE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461728"/>
    <w:multiLevelType w:val="hybridMultilevel"/>
    <w:tmpl w:val="4E2C4D72"/>
    <w:lvl w:ilvl="0" w:tplc="3C12D3F8">
      <w:start w:val="1"/>
      <w:numFmt w:val="bullet"/>
      <w:lvlText w:val="○"/>
      <w:lvlJc w:val="left"/>
      <w:pPr>
        <w:ind w:left="1800" w:hanging="360"/>
      </w:pPr>
      <w:rPr>
        <w:rFonts w:ascii="Times New Roman" w:hAnsi="Times New Roman" w:cs="Times New Roman"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6C055A7"/>
    <w:multiLevelType w:val="multilevel"/>
    <w:tmpl w:val="0374E436"/>
    <w:styleLink w:val="Style3"/>
    <w:lvl w:ilvl="0">
      <w:start w:val="1"/>
      <w:numFmt w:val="decimal"/>
      <w:lvlText w:val="%1."/>
      <w:lvlJc w:val="left"/>
      <w:pPr>
        <w:ind w:left="720" w:hanging="360"/>
      </w:pPr>
      <w:rPr>
        <w:rFonts w:ascii="Arial Bold" w:hAnsi="Arial Bold" w:hint="default"/>
        <w:b/>
        <w:i w:val="0"/>
        <w:color w:val="2DCCD3" w:themeColor="accent5"/>
        <w:sz w:val="20"/>
        <w:szCs w:val="20"/>
      </w:rPr>
    </w:lvl>
    <w:lvl w:ilvl="1">
      <w:start w:val="1"/>
      <w:numFmt w:val="lowerLetter"/>
      <w:lvlText w:val="%2."/>
      <w:lvlJc w:val="left"/>
      <w:pPr>
        <w:ind w:left="1080" w:hanging="360"/>
      </w:pPr>
      <w:rPr>
        <w:rFonts w:hint="default"/>
        <w:color w:val="2DCCD3" w:themeColor="accent5"/>
      </w:rPr>
    </w:lvl>
    <w:lvl w:ilvl="2">
      <w:start w:val="1"/>
      <w:numFmt w:val="lowerRoman"/>
      <w:lvlText w:val="%3."/>
      <w:lvlJc w:val="left"/>
      <w:pPr>
        <w:ind w:left="1440" w:hanging="360"/>
      </w:pPr>
      <w:rPr>
        <w:rFonts w:hint="default"/>
        <w:color w:val="2DCCD3" w:themeColor="accent5"/>
      </w:rPr>
    </w:lvl>
    <w:lvl w:ilvl="3">
      <w:start w:val="1"/>
      <w:numFmt w:val="decimal"/>
      <w:lvlText w:val="%4."/>
      <w:lvlJc w:val="left"/>
      <w:pPr>
        <w:tabs>
          <w:tab w:val="num" w:pos="2291"/>
        </w:tabs>
        <w:ind w:left="1800" w:hanging="360"/>
      </w:pPr>
      <w:rPr>
        <w:rFonts w:hint="default"/>
        <w:color w:val="F26334"/>
      </w:rPr>
    </w:lvl>
    <w:lvl w:ilvl="4">
      <w:start w:val="1"/>
      <w:numFmt w:val="lowerLetter"/>
      <w:lvlText w:val="%5."/>
      <w:lvlJc w:val="left"/>
      <w:pPr>
        <w:tabs>
          <w:tab w:val="num" w:pos="3600"/>
        </w:tabs>
        <w:ind w:left="2160" w:hanging="360"/>
      </w:pPr>
      <w:rPr>
        <w:rFonts w:hint="default"/>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17" w15:restartNumberingAfterBreak="0">
    <w:nsid w:val="28A328D7"/>
    <w:multiLevelType w:val="hybridMultilevel"/>
    <w:tmpl w:val="4B7EB0DC"/>
    <w:lvl w:ilvl="0" w:tplc="65C47518">
      <w:start w:val="1"/>
      <w:numFmt w:val="decimal"/>
      <w:pStyle w:val="VlnTableFootno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A1A56"/>
    <w:multiLevelType w:val="hybridMultilevel"/>
    <w:tmpl w:val="BEBA99BA"/>
    <w:lvl w:ilvl="0" w:tplc="201C30A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BB4254"/>
    <w:multiLevelType w:val="multilevel"/>
    <w:tmpl w:val="C5562F42"/>
    <w:numStyleLink w:val="Style1"/>
  </w:abstractNum>
  <w:abstractNum w:abstractNumId="20" w15:restartNumberingAfterBreak="0">
    <w:nsid w:val="43391D6B"/>
    <w:multiLevelType w:val="hybridMultilevel"/>
    <w:tmpl w:val="4A644792"/>
    <w:lvl w:ilvl="0" w:tplc="F7F66202">
      <w:start w:val="3"/>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45FF11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A8390D"/>
    <w:multiLevelType w:val="multilevel"/>
    <w:tmpl w:val="BA0E5266"/>
    <w:lvl w:ilvl="0">
      <w:start w:val="1"/>
      <w:numFmt w:val="decimal"/>
      <w:lvlText w:val="%1."/>
      <w:lvlJc w:val="left"/>
      <w:pPr>
        <w:ind w:left="1224" w:hanging="360"/>
      </w:pPr>
      <w:rPr>
        <w:rFonts w:ascii="Arial Bold" w:hAnsi="Arial Bold" w:hint="default"/>
        <w:b/>
        <w:i w:val="0"/>
        <w:color w:val="2DCCD3" w:themeColor="accent5"/>
        <w:sz w:val="20"/>
        <w:szCs w:val="20"/>
      </w:rPr>
    </w:lvl>
    <w:lvl w:ilvl="1">
      <w:start w:val="1"/>
      <w:numFmt w:val="lowerLetter"/>
      <w:lvlText w:val="%2."/>
      <w:lvlJc w:val="left"/>
      <w:pPr>
        <w:tabs>
          <w:tab w:val="num" w:pos="1576"/>
        </w:tabs>
        <w:ind w:left="1576" w:hanging="357"/>
      </w:pPr>
      <w:rPr>
        <w:rFonts w:hint="default"/>
        <w:color w:val="F26334"/>
      </w:rPr>
    </w:lvl>
    <w:lvl w:ilvl="2">
      <w:start w:val="1"/>
      <w:numFmt w:val="lowerRoman"/>
      <w:lvlText w:val="%3."/>
      <w:lvlJc w:val="left"/>
      <w:pPr>
        <w:tabs>
          <w:tab w:val="num" w:pos="1951"/>
        </w:tabs>
        <w:ind w:left="1951" w:hanging="375"/>
      </w:pPr>
      <w:rPr>
        <w:rFonts w:hint="default"/>
        <w:color w:val="F26334"/>
      </w:rPr>
    </w:lvl>
    <w:lvl w:ilvl="3">
      <w:start w:val="1"/>
      <w:numFmt w:val="decimal"/>
      <w:lvlText w:val="%4."/>
      <w:lvlJc w:val="left"/>
      <w:pPr>
        <w:tabs>
          <w:tab w:val="num" w:pos="2291"/>
        </w:tabs>
        <w:ind w:left="2291" w:hanging="357"/>
      </w:pPr>
      <w:rPr>
        <w:rFonts w:hint="default"/>
        <w:color w:val="F2633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7A95DE5"/>
    <w:multiLevelType w:val="hybridMultilevel"/>
    <w:tmpl w:val="3BD829F4"/>
    <w:lvl w:ilvl="0" w:tplc="5D32A634">
      <w:start w:val="1"/>
      <w:numFmt w:val="bullet"/>
      <w:lvlText w:val=""/>
      <w:lvlJc w:val="left"/>
      <w:pPr>
        <w:ind w:left="1080" w:hanging="360"/>
      </w:pPr>
      <w:rPr>
        <w:rFonts w:ascii="Symbol" w:hAnsi="Symbol" w:hint="default"/>
        <w:color w:val="2DCCD3" w:themeColor="accent5"/>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C72911"/>
    <w:multiLevelType w:val="hybridMultilevel"/>
    <w:tmpl w:val="8B34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75556"/>
    <w:multiLevelType w:val="multilevel"/>
    <w:tmpl w:val="BCA0BF74"/>
    <w:lvl w:ilvl="0">
      <w:start w:val="1"/>
      <w:numFmt w:val="bullet"/>
      <w:lvlText w:val=""/>
      <w:lvlJc w:val="left"/>
      <w:pPr>
        <w:ind w:left="720" w:hanging="360"/>
      </w:pPr>
      <w:rPr>
        <w:rFonts w:ascii="Symbol" w:hAnsi="Symbol" w:hint="default"/>
        <w:color w:val="2DCCD3" w:themeColor="accent5"/>
        <w:sz w:val="31"/>
        <w:szCs w:val="32"/>
      </w:rPr>
    </w:lvl>
    <w:lvl w:ilvl="1">
      <w:start w:val="1"/>
      <w:numFmt w:val="bullet"/>
      <w:lvlText w:val="○"/>
      <w:lvlJc w:val="left"/>
      <w:pPr>
        <w:ind w:left="1080" w:hanging="360"/>
      </w:pPr>
      <w:rPr>
        <w:rFonts w:ascii="Times New Roman" w:hAnsi="Times New Roman" w:cs="Times New Roman" w:hint="default"/>
        <w:color w:val="2DCCD3" w:themeColor="accent5"/>
        <w:sz w:val="26"/>
        <w:szCs w:val="26"/>
      </w:rPr>
    </w:lvl>
    <w:lvl w:ilvl="2">
      <w:start w:val="1"/>
      <w:numFmt w:val="bullet"/>
      <w:lvlText w:val="-"/>
      <w:lvlJc w:val="left"/>
      <w:pPr>
        <w:ind w:left="1440" w:hanging="360"/>
      </w:pPr>
      <w:rPr>
        <w:rFonts w:ascii="Courier New" w:hAnsi="Courier New" w:hint="default"/>
        <w:color w:val="2DCCD3" w:themeColor="accent5"/>
      </w:rPr>
    </w:lvl>
    <w:lvl w:ilvl="3">
      <w:start w:val="1"/>
      <w:numFmt w:val="bullet"/>
      <w:lvlText w:val=""/>
      <w:lvlJc w:val="left"/>
      <w:pPr>
        <w:ind w:left="1800" w:hanging="360"/>
      </w:pPr>
      <w:rPr>
        <w:rFonts w:ascii="Symbol" w:hAnsi="Symbol" w:hint="default"/>
        <w:color w:val="2DCCD3" w:themeColor="accent5"/>
        <w:sz w:val="24"/>
        <w:szCs w:val="24"/>
      </w:rPr>
    </w:lvl>
    <w:lvl w:ilvl="4">
      <w:start w:val="1"/>
      <w:numFmt w:val="bullet"/>
      <w:lvlText w:val="○"/>
      <w:lvlJc w:val="left"/>
      <w:pPr>
        <w:ind w:left="2160" w:hanging="360"/>
      </w:pPr>
      <w:rPr>
        <w:rFonts w:ascii="Times New Roman" w:hAnsi="Times New Roman" w:cs="Times New Roman" w:hint="default"/>
        <w:color w:val="2DCCD3" w:themeColor="accent5"/>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BAC50BF"/>
    <w:multiLevelType w:val="hybridMultilevel"/>
    <w:tmpl w:val="D75691D2"/>
    <w:lvl w:ilvl="0" w:tplc="A7D4E264">
      <w:start w:val="1"/>
      <w:numFmt w:val="decimal"/>
      <w:lvlText w:val="%1)"/>
      <w:lvlJc w:val="left"/>
      <w:pPr>
        <w:ind w:left="2160" w:hanging="360"/>
      </w:pPr>
      <w:rPr>
        <w:rFonts w:hint="default"/>
        <w:color w:val="2DCCD3" w:themeColor="accent5"/>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0756C76"/>
    <w:multiLevelType w:val="hybridMultilevel"/>
    <w:tmpl w:val="721C2BE8"/>
    <w:lvl w:ilvl="0" w:tplc="96E07A3A">
      <w:start w:val="1"/>
      <w:numFmt w:val="lowerLetter"/>
      <w:lvlText w:val="%1."/>
      <w:lvlJc w:val="left"/>
      <w:pPr>
        <w:ind w:left="1939"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8" w15:restartNumberingAfterBreak="0">
    <w:nsid w:val="549E70B8"/>
    <w:multiLevelType w:val="multilevel"/>
    <w:tmpl w:val="04987CEE"/>
    <w:lvl w:ilvl="0">
      <w:start w:val="1"/>
      <w:numFmt w:val="bullet"/>
      <w:lvlText w:val=""/>
      <w:lvlJc w:val="left"/>
      <w:pPr>
        <w:ind w:left="360" w:firstLine="0"/>
      </w:pPr>
      <w:rPr>
        <w:rFonts w:ascii="Symbol" w:hAnsi="Symbol" w:hint="default"/>
        <w:color w:val="2DCCD3" w:themeColor="accent5"/>
        <w:sz w:val="28"/>
      </w:rPr>
    </w:lvl>
    <w:lvl w:ilvl="1">
      <w:start w:val="1"/>
      <w:numFmt w:val="bullet"/>
      <w:lvlText w:val="○"/>
      <w:lvlJc w:val="left"/>
      <w:pPr>
        <w:ind w:left="720" w:firstLine="0"/>
      </w:pPr>
      <w:rPr>
        <w:rFonts w:ascii="Times New Roman" w:hAnsi="Times New Roman" w:cs="Times New Roman" w:hint="default"/>
        <w:color w:val="2DCCD3" w:themeColor="accent5"/>
        <w:sz w:val="28"/>
      </w:rPr>
    </w:lvl>
    <w:lvl w:ilvl="2">
      <w:start w:val="1"/>
      <w:numFmt w:val="bullet"/>
      <w:lvlText w:val="-"/>
      <w:lvlJc w:val="left"/>
      <w:pPr>
        <w:ind w:left="1080" w:firstLine="0"/>
      </w:pPr>
      <w:rPr>
        <w:rFonts w:ascii="Courier New" w:hAnsi="Courier New" w:hint="default"/>
        <w:color w:val="2DCCD3" w:themeColor="accent5"/>
      </w:rPr>
    </w:lvl>
    <w:lvl w:ilvl="3">
      <w:start w:val="1"/>
      <w:numFmt w:val="bullet"/>
      <w:lvlText w:val=""/>
      <w:lvlJc w:val="left"/>
      <w:pPr>
        <w:ind w:left="1440" w:firstLine="0"/>
      </w:pPr>
      <w:rPr>
        <w:rFonts w:ascii="Symbol" w:hAnsi="Symbol" w:hint="default"/>
        <w:color w:val="2DCCD3" w:themeColor="accent5"/>
        <w:sz w:val="20"/>
      </w:rPr>
    </w:lvl>
    <w:lvl w:ilvl="4">
      <w:start w:val="1"/>
      <w:numFmt w:val="bullet"/>
      <w:lvlText w:val="○"/>
      <w:lvlJc w:val="left"/>
      <w:pPr>
        <w:ind w:left="1800" w:firstLine="0"/>
      </w:pPr>
      <w:rPr>
        <w:rFonts w:ascii="Times New Roman" w:hAnsi="Times New Roman" w:cs="Times New Roman" w:hint="default"/>
        <w:color w:val="2DCCD3" w:themeColor="accent5"/>
        <w:sz w:val="20"/>
      </w:rPr>
    </w:lvl>
    <w:lvl w:ilvl="5">
      <w:start w:val="1"/>
      <w:numFmt w:val="lowerRoman"/>
      <w:lvlText w:val="(%6)"/>
      <w:lvlJc w:val="lef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abstractNum w:abstractNumId="29" w15:restartNumberingAfterBreak="0">
    <w:nsid w:val="568E57A6"/>
    <w:multiLevelType w:val="multilevel"/>
    <w:tmpl w:val="DE82B654"/>
    <w:lvl w:ilvl="0">
      <w:start w:val="1"/>
      <w:numFmt w:val="bullet"/>
      <w:pStyle w:val="List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C441EE"/>
    <w:multiLevelType w:val="multilevel"/>
    <w:tmpl w:val="469E747E"/>
    <w:styleLink w:val="Style2"/>
    <w:lvl w:ilvl="0">
      <w:start w:val="1"/>
      <w:numFmt w:val="bullet"/>
      <w:lvlText w:val=""/>
      <w:lvlJc w:val="left"/>
      <w:pPr>
        <w:ind w:left="720" w:hanging="360"/>
      </w:pPr>
      <w:rPr>
        <w:rFonts w:ascii="Symbol" w:hAnsi="Symbol" w:hint="default"/>
        <w:color w:val="2DCCD3" w:themeColor="accent5"/>
        <w:sz w:val="28"/>
      </w:rPr>
    </w:lvl>
    <w:lvl w:ilvl="1">
      <w:start w:val="1"/>
      <w:numFmt w:val="bullet"/>
      <w:lvlText w:val="○"/>
      <w:lvlJc w:val="left"/>
      <w:pPr>
        <w:ind w:left="1080" w:hanging="360"/>
      </w:pPr>
      <w:rPr>
        <w:rFonts w:ascii="Times New Roman" w:hAnsi="Times New Roman" w:cs="Times New Roman" w:hint="default"/>
        <w:color w:val="2DCCD3" w:themeColor="accent5"/>
      </w:rPr>
    </w:lvl>
    <w:lvl w:ilvl="2">
      <w:start w:val="1"/>
      <w:numFmt w:val="bullet"/>
      <w:lvlText w:val="-"/>
      <w:lvlJc w:val="left"/>
      <w:pPr>
        <w:ind w:left="1440" w:hanging="360"/>
      </w:pPr>
      <w:rPr>
        <w:rFonts w:ascii="Courier New" w:hAnsi="Courier New" w:hint="default"/>
        <w:color w:val="2DCCD3" w:themeColor="accent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59416CAC"/>
    <w:multiLevelType w:val="hybridMultilevel"/>
    <w:tmpl w:val="A6BE6778"/>
    <w:lvl w:ilvl="0" w:tplc="F0EAF154">
      <w:start w:val="1"/>
      <w:numFmt w:val="lowerRoman"/>
      <w:pStyle w:val="ListNumber"/>
      <w:lvlText w:val="%1."/>
      <w:lvlJc w:val="left"/>
      <w:pPr>
        <w:ind w:left="1004" w:hanging="360"/>
      </w:pPr>
      <w:rPr>
        <w:rFonts w:ascii="Arial Bold" w:hAnsi="Arial Bold" w:hint="default"/>
        <w:b/>
        <w:i w:val="0"/>
        <w:color w:val="F26334"/>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CAD107B"/>
    <w:multiLevelType w:val="hybridMultilevel"/>
    <w:tmpl w:val="4DE01F9E"/>
    <w:lvl w:ilvl="0" w:tplc="815E639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0A4B04"/>
    <w:multiLevelType w:val="multilevel"/>
    <w:tmpl w:val="C5562F42"/>
    <w:styleLink w:val="Style1"/>
    <w:lvl w:ilvl="0">
      <w:start w:val="1"/>
      <w:numFmt w:val="bullet"/>
      <w:lvlText w:val=""/>
      <w:lvlJc w:val="left"/>
      <w:pPr>
        <w:ind w:left="720" w:hanging="360"/>
      </w:pPr>
      <w:rPr>
        <w:rFonts w:ascii="Symbol" w:hAnsi="Symbol" w:hint="default"/>
        <w:color w:val="2DCCD3" w:themeColor="accent5"/>
        <w:position w:val="-4"/>
        <w:sz w:val="36"/>
      </w:rPr>
    </w:lvl>
    <w:lvl w:ilvl="1">
      <w:start w:val="1"/>
      <w:numFmt w:val="bullet"/>
      <w:lvlText w:val="-"/>
      <w:lvlJc w:val="left"/>
      <w:pPr>
        <w:ind w:left="1080" w:hanging="360"/>
      </w:pPr>
      <w:rPr>
        <w:rFonts w:ascii="Courier New" w:hAnsi="Courier New" w:hint="default"/>
        <w:color w:val="2DCCD3" w:themeColor="accent5"/>
      </w:rPr>
    </w:lvl>
    <w:lvl w:ilvl="2">
      <w:start w:val="1"/>
      <w:numFmt w:val="bullet"/>
      <w:lvlText w:val="○"/>
      <w:lvlJc w:val="left"/>
      <w:pPr>
        <w:ind w:left="1440" w:hanging="360"/>
      </w:pPr>
      <w:rPr>
        <w:rFonts w:ascii="Times New Roman" w:hAnsi="Times New Roman" w:cs="Times New Roman"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7B4465"/>
    <w:multiLevelType w:val="hybridMultilevel"/>
    <w:tmpl w:val="7E46E814"/>
    <w:lvl w:ilvl="0" w:tplc="E2A0C62A">
      <w:start w:val="1"/>
      <w:numFmt w:val="bullet"/>
      <w:lvlText w:val=""/>
      <w:lvlJc w:val="left"/>
      <w:pPr>
        <w:ind w:left="1170" w:hanging="360"/>
      </w:pPr>
      <w:rPr>
        <w:rFonts w:ascii="Symbol" w:hAnsi="Symbol" w:hint="default"/>
        <w:color w:val="2DCCD3" w:themeColor="accent5"/>
        <w:sz w:val="3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E934C69"/>
    <w:multiLevelType w:val="multilevel"/>
    <w:tmpl w:val="06D4416A"/>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6F9C78FE"/>
    <w:multiLevelType w:val="hybridMultilevel"/>
    <w:tmpl w:val="DD1295AA"/>
    <w:lvl w:ilvl="0" w:tplc="10560D6C">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911DB2"/>
    <w:multiLevelType w:val="hybridMultilevel"/>
    <w:tmpl w:val="8968F426"/>
    <w:lvl w:ilvl="0" w:tplc="7D0CDD8C">
      <w:start w:val="1"/>
      <w:numFmt w:val="lowerLetter"/>
      <w:lvlText w:val="%1)"/>
      <w:lvlJc w:val="left"/>
      <w:pPr>
        <w:ind w:left="2520" w:hanging="360"/>
      </w:pPr>
      <w:rPr>
        <w:rFonts w:hint="default"/>
        <w:color w:val="2DCCD3" w:themeColor="accent5"/>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40770C4"/>
    <w:multiLevelType w:val="hybridMultilevel"/>
    <w:tmpl w:val="D6FC3A12"/>
    <w:lvl w:ilvl="0" w:tplc="111E1952">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DA1844"/>
    <w:multiLevelType w:val="hybridMultilevel"/>
    <w:tmpl w:val="E0A6D964"/>
    <w:lvl w:ilvl="0" w:tplc="F8D24C7E">
      <w:start w:val="1"/>
      <w:numFmt w:val="lowerRoman"/>
      <w:lvlText w:val="%1."/>
      <w:lvlJc w:val="left"/>
      <w:pPr>
        <w:ind w:left="2296"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3016" w:hanging="360"/>
      </w:pPr>
    </w:lvl>
    <w:lvl w:ilvl="2" w:tplc="0409001B" w:tentative="1">
      <w:start w:val="1"/>
      <w:numFmt w:val="lowerRoman"/>
      <w:lvlText w:val="%3."/>
      <w:lvlJc w:val="right"/>
      <w:pPr>
        <w:ind w:left="3736" w:hanging="180"/>
      </w:pPr>
    </w:lvl>
    <w:lvl w:ilvl="3" w:tplc="0409000F" w:tentative="1">
      <w:start w:val="1"/>
      <w:numFmt w:val="decimal"/>
      <w:lvlText w:val="%4."/>
      <w:lvlJc w:val="left"/>
      <w:pPr>
        <w:ind w:left="4456" w:hanging="360"/>
      </w:pPr>
    </w:lvl>
    <w:lvl w:ilvl="4" w:tplc="04090019" w:tentative="1">
      <w:start w:val="1"/>
      <w:numFmt w:val="lowerLetter"/>
      <w:lvlText w:val="%5."/>
      <w:lvlJc w:val="left"/>
      <w:pPr>
        <w:ind w:left="5176" w:hanging="360"/>
      </w:pPr>
    </w:lvl>
    <w:lvl w:ilvl="5" w:tplc="0409001B" w:tentative="1">
      <w:start w:val="1"/>
      <w:numFmt w:val="lowerRoman"/>
      <w:lvlText w:val="%6."/>
      <w:lvlJc w:val="right"/>
      <w:pPr>
        <w:ind w:left="5896" w:hanging="180"/>
      </w:pPr>
    </w:lvl>
    <w:lvl w:ilvl="6" w:tplc="0409000F" w:tentative="1">
      <w:start w:val="1"/>
      <w:numFmt w:val="decimal"/>
      <w:lvlText w:val="%7."/>
      <w:lvlJc w:val="left"/>
      <w:pPr>
        <w:ind w:left="6616" w:hanging="360"/>
      </w:pPr>
    </w:lvl>
    <w:lvl w:ilvl="7" w:tplc="04090019" w:tentative="1">
      <w:start w:val="1"/>
      <w:numFmt w:val="lowerLetter"/>
      <w:lvlText w:val="%8."/>
      <w:lvlJc w:val="left"/>
      <w:pPr>
        <w:ind w:left="7336" w:hanging="360"/>
      </w:pPr>
    </w:lvl>
    <w:lvl w:ilvl="8" w:tplc="0409001B" w:tentative="1">
      <w:start w:val="1"/>
      <w:numFmt w:val="lowerRoman"/>
      <w:lvlText w:val="%9."/>
      <w:lvlJc w:val="right"/>
      <w:pPr>
        <w:ind w:left="8056" w:hanging="180"/>
      </w:pPr>
    </w:lvl>
  </w:abstractNum>
  <w:abstractNum w:abstractNumId="40" w15:restartNumberingAfterBreak="0">
    <w:nsid w:val="78EB2D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DC32D1"/>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6769245">
    <w:abstractNumId w:val="12"/>
  </w:num>
  <w:num w:numId="2" w16cid:durableId="1416050156">
    <w:abstractNumId w:val="29"/>
  </w:num>
  <w:num w:numId="3" w16cid:durableId="1509710033">
    <w:abstractNumId w:val="31"/>
  </w:num>
  <w:num w:numId="4" w16cid:durableId="1726173332">
    <w:abstractNumId w:val="33"/>
  </w:num>
  <w:num w:numId="5" w16cid:durableId="665061509">
    <w:abstractNumId w:val="30"/>
  </w:num>
  <w:num w:numId="6" w16cid:durableId="1182089457">
    <w:abstractNumId w:val="7"/>
  </w:num>
  <w:num w:numId="7" w16cid:durableId="1288127023">
    <w:abstractNumId w:val="18"/>
  </w:num>
  <w:num w:numId="8" w16cid:durableId="334260363">
    <w:abstractNumId w:val="11"/>
  </w:num>
  <w:num w:numId="9" w16cid:durableId="891623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424080">
    <w:abstractNumId w:val="35"/>
  </w:num>
  <w:num w:numId="11" w16cid:durableId="1901094362">
    <w:abstractNumId w:val="17"/>
    <w:lvlOverride w:ilvl="0">
      <w:startOverride w:val="1"/>
    </w:lvlOverride>
  </w:num>
  <w:num w:numId="12" w16cid:durableId="643781110">
    <w:abstractNumId w:val="16"/>
  </w:num>
  <w:num w:numId="13" w16cid:durableId="1367946750">
    <w:abstractNumId w:val="1"/>
  </w:num>
  <w:num w:numId="14" w16cid:durableId="338428684">
    <w:abstractNumId w:val="0"/>
  </w:num>
  <w:num w:numId="15" w16cid:durableId="2002615229">
    <w:abstractNumId w:val="4"/>
  </w:num>
  <w:num w:numId="16" w16cid:durableId="673075100">
    <w:abstractNumId w:val="9"/>
  </w:num>
  <w:num w:numId="17" w16cid:durableId="1008873624">
    <w:abstractNumId w:val="10"/>
  </w:num>
  <w:num w:numId="18" w16cid:durableId="1246458657">
    <w:abstractNumId w:val="22"/>
  </w:num>
  <w:num w:numId="19" w16cid:durableId="567351897">
    <w:abstractNumId w:val="9"/>
    <w:lvlOverride w:ilvl="0">
      <w:startOverride w:val="1"/>
    </w:lvlOverride>
  </w:num>
  <w:num w:numId="20" w16cid:durableId="1909723955">
    <w:abstractNumId w:val="15"/>
  </w:num>
  <w:num w:numId="21" w16cid:durableId="23872150">
    <w:abstractNumId w:val="19"/>
  </w:num>
  <w:num w:numId="22" w16cid:durableId="1161703163">
    <w:abstractNumId w:val="6"/>
  </w:num>
  <w:num w:numId="23" w16cid:durableId="1947031053">
    <w:abstractNumId w:val="13"/>
  </w:num>
  <w:num w:numId="24" w16cid:durableId="1005788437">
    <w:abstractNumId w:val="27"/>
  </w:num>
  <w:num w:numId="25" w16cid:durableId="270283664">
    <w:abstractNumId w:val="39"/>
  </w:num>
  <w:num w:numId="26" w16cid:durableId="1462842825">
    <w:abstractNumId w:val="40"/>
  </w:num>
  <w:num w:numId="27" w16cid:durableId="190191245">
    <w:abstractNumId w:val="17"/>
  </w:num>
  <w:num w:numId="28" w16cid:durableId="1500269316">
    <w:abstractNumId w:val="2"/>
  </w:num>
  <w:num w:numId="29" w16cid:durableId="1723409427">
    <w:abstractNumId w:val="36"/>
  </w:num>
  <w:num w:numId="30" w16cid:durableId="1900744581">
    <w:abstractNumId w:val="21"/>
  </w:num>
  <w:num w:numId="31" w16cid:durableId="2074037295">
    <w:abstractNumId w:val="25"/>
  </w:num>
  <w:num w:numId="32" w16cid:durableId="544373186">
    <w:abstractNumId w:val="23"/>
  </w:num>
  <w:num w:numId="33" w16cid:durableId="1775586724">
    <w:abstractNumId w:val="38"/>
  </w:num>
  <w:num w:numId="34" w16cid:durableId="854729561">
    <w:abstractNumId w:val="28"/>
  </w:num>
  <w:num w:numId="35" w16cid:durableId="1360543977">
    <w:abstractNumId w:val="37"/>
  </w:num>
  <w:num w:numId="36" w16cid:durableId="1906330370">
    <w:abstractNumId w:val="26"/>
  </w:num>
  <w:num w:numId="37" w16cid:durableId="104275354">
    <w:abstractNumId w:val="34"/>
  </w:num>
  <w:num w:numId="38" w16cid:durableId="588588537">
    <w:abstractNumId w:val="5"/>
  </w:num>
  <w:num w:numId="39" w16cid:durableId="1310359427">
    <w:abstractNumId w:val="3"/>
  </w:num>
  <w:num w:numId="40" w16cid:durableId="344551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752566">
    <w:abstractNumId w:val="8"/>
  </w:num>
  <w:num w:numId="42" w16cid:durableId="153380873">
    <w:abstractNumId w:val="20"/>
  </w:num>
  <w:num w:numId="43" w16cid:durableId="103816784">
    <w:abstractNumId w:val="32"/>
  </w:num>
  <w:num w:numId="44" w16cid:durableId="743912703">
    <w:abstractNumId w:val="24"/>
  </w:num>
  <w:num w:numId="45" w16cid:durableId="441077881">
    <w:abstractNumId w:val="41"/>
  </w:num>
  <w:num w:numId="46" w16cid:durableId="298408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6E"/>
    <w:rsid w:val="00002017"/>
    <w:rsid w:val="00002973"/>
    <w:rsid w:val="00003D9D"/>
    <w:rsid w:val="0000698A"/>
    <w:rsid w:val="0000747E"/>
    <w:rsid w:val="00010501"/>
    <w:rsid w:val="000157EF"/>
    <w:rsid w:val="00016E06"/>
    <w:rsid w:val="0001756A"/>
    <w:rsid w:val="00020DF1"/>
    <w:rsid w:val="0002218D"/>
    <w:rsid w:val="0002251F"/>
    <w:rsid w:val="000232B1"/>
    <w:rsid w:val="000237FC"/>
    <w:rsid w:val="000274E3"/>
    <w:rsid w:val="00027880"/>
    <w:rsid w:val="0003005A"/>
    <w:rsid w:val="0003055D"/>
    <w:rsid w:val="0003209D"/>
    <w:rsid w:val="00036A43"/>
    <w:rsid w:val="00037815"/>
    <w:rsid w:val="00040D7F"/>
    <w:rsid w:val="00041B59"/>
    <w:rsid w:val="00044B68"/>
    <w:rsid w:val="0004580E"/>
    <w:rsid w:val="000458B1"/>
    <w:rsid w:val="00053CFA"/>
    <w:rsid w:val="000551FA"/>
    <w:rsid w:val="00057E47"/>
    <w:rsid w:val="000623B8"/>
    <w:rsid w:val="00064ED8"/>
    <w:rsid w:val="00067062"/>
    <w:rsid w:val="000710B2"/>
    <w:rsid w:val="00071BA5"/>
    <w:rsid w:val="000728C1"/>
    <w:rsid w:val="00073A0B"/>
    <w:rsid w:val="00073F44"/>
    <w:rsid w:val="00076682"/>
    <w:rsid w:val="00080885"/>
    <w:rsid w:val="000814D1"/>
    <w:rsid w:val="00081BE3"/>
    <w:rsid w:val="00081F4E"/>
    <w:rsid w:val="0008416A"/>
    <w:rsid w:val="00091B09"/>
    <w:rsid w:val="0009244C"/>
    <w:rsid w:val="00094CE8"/>
    <w:rsid w:val="00095A0E"/>
    <w:rsid w:val="00095C45"/>
    <w:rsid w:val="000A3B7F"/>
    <w:rsid w:val="000A4AAC"/>
    <w:rsid w:val="000A5148"/>
    <w:rsid w:val="000A5804"/>
    <w:rsid w:val="000A693C"/>
    <w:rsid w:val="000A713F"/>
    <w:rsid w:val="000B0174"/>
    <w:rsid w:val="000B02FE"/>
    <w:rsid w:val="000B0BDE"/>
    <w:rsid w:val="000B130B"/>
    <w:rsid w:val="000B3F04"/>
    <w:rsid w:val="000B4348"/>
    <w:rsid w:val="000B488A"/>
    <w:rsid w:val="000B61E4"/>
    <w:rsid w:val="000B7964"/>
    <w:rsid w:val="000C121B"/>
    <w:rsid w:val="000C2F14"/>
    <w:rsid w:val="000D61E7"/>
    <w:rsid w:val="000D7614"/>
    <w:rsid w:val="000E0CCC"/>
    <w:rsid w:val="000E7C5B"/>
    <w:rsid w:val="000F0AE8"/>
    <w:rsid w:val="000F1952"/>
    <w:rsid w:val="000F38BC"/>
    <w:rsid w:val="000F4160"/>
    <w:rsid w:val="000F632B"/>
    <w:rsid w:val="000F70DB"/>
    <w:rsid w:val="001005EA"/>
    <w:rsid w:val="00101B0E"/>
    <w:rsid w:val="00102212"/>
    <w:rsid w:val="00103D9C"/>
    <w:rsid w:val="001045E1"/>
    <w:rsid w:val="00104B76"/>
    <w:rsid w:val="0010789B"/>
    <w:rsid w:val="00112BF0"/>
    <w:rsid w:val="00114AD3"/>
    <w:rsid w:val="00115396"/>
    <w:rsid w:val="00120A87"/>
    <w:rsid w:val="00123252"/>
    <w:rsid w:val="001239BA"/>
    <w:rsid w:val="0012601E"/>
    <w:rsid w:val="0012644B"/>
    <w:rsid w:val="00126667"/>
    <w:rsid w:val="001273FC"/>
    <w:rsid w:val="001334F7"/>
    <w:rsid w:val="00133D64"/>
    <w:rsid w:val="001349CC"/>
    <w:rsid w:val="00136D0B"/>
    <w:rsid w:val="00137B04"/>
    <w:rsid w:val="00151284"/>
    <w:rsid w:val="001516DA"/>
    <w:rsid w:val="0015186B"/>
    <w:rsid w:val="00151902"/>
    <w:rsid w:val="001522A2"/>
    <w:rsid w:val="0015336A"/>
    <w:rsid w:val="001543D1"/>
    <w:rsid w:val="00154E3B"/>
    <w:rsid w:val="00155A43"/>
    <w:rsid w:val="00155CDD"/>
    <w:rsid w:val="001568BF"/>
    <w:rsid w:val="00156B4D"/>
    <w:rsid w:val="00156D8B"/>
    <w:rsid w:val="00160981"/>
    <w:rsid w:val="001614EB"/>
    <w:rsid w:val="00161ED4"/>
    <w:rsid w:val="0016645A"/>
    <w:rsid w:val="0017100C"/>
    <w:rsid w:val="00172D73"/>
    <w:rsid w:val="00175CA8"/>
    <w:rsid w:val="00175CEE"/>
    <w:rsid w:val="0017668A"/>
    <w:rsid w:val="00176C98"/>
    <w:rsid w:val="00177BAA"/>
    <w:rsid w:val="001800ED"/>
    <w:rsid w:val="00180181"/>
    <w:rsid w:val="00180BD6"/>
    <w:rsid w:val="00182232"/>
    <w:rsid w:val="00190B01"/>
    <w:rsid w:val="001916B7"/>
    <w:rsid w:val="00192859"/>
    <w:rsid w:val="00194824"/>
    <w:rsid w:val="00195605"/>
    <w:rsid w:val="001A1BD6"/>
    <w:rsid w:val="001A32A1"/>
    <w:rsid w:val="001A6273"/>
    <w:rsid w:val="001B1DB6"/>
    <w:rsid w:val="001B2D95"/>
    <w:rsid w:val="001B42BB"/>
    <w:rsid w:val="001B5D6F"/>
    <w:rsid w:val="001B741A"/>
    <w:rsid w:val="001B79E1"/>
    <w:rsid w:val="001C1AB2"/>
    <w:rsid w:val="001C29FB"/>
    <w:rsid w:val="001C2CA9"/>
    <w:rsid w:val="001C5840"/>
    <w:rsid w:val="001C59A6"/>
    <w:rsid w:val="001D07F8"/>
    <w:rsid w:val="001D099C"/>
    <w:rsid w:val="001D3FD1"/>
    <w:rsid w:val="001D64F4"/>
    <w:rsid w:val="001E0387"/>
    <w:rsid w:val="001E49A3"/>
    <w:rsid w:val="001E65C3"/>
    <w:rsid w:val="001F1622"/>
    <w:rsid w:val="001F1FB4"/>
    <w:rsid w:val="001F4BFA"/>
    <w:rsid w:val="001F6AA0"/>
    <w:rsid w:val="001F6EC4"/>
    <w:rsid w:val="00200F06"/>
    <w:rsid w:val="00203B9D"/>
    <w:rsid w:val="00210183"/>
    <w:rsid w:val="00210417"/>
    <w:rsid w:val="002138D3"/>
    <w:rsid w:val="00214E61"/>
    <w:rsid w:val="002157C2"/>
    <w:rsid w:val="002228F1"/>
    <w:rsid w:val="002232D1"/>
    <w:rsid w:val="0022383A"/>
    <w:rsid w:val="00223846"/>
    <w:rsid w:val="00223BDB"/>
    <w:rsid w:val="002246BD"/>
    <w:rsid w:val="00230C1E"/>
    <w:rsid w:val="00233ACC"/>
    <w:rsid w:val="00235B6E"/>
    <w:rsid w:val="00236B6F"/>
    <w:rsid w:val="00237748"/>
    <w:rsid w:val="00241B37"/>
    <w:rsid w:val="002425A9"/>
    <w:rsid w:val="002457E8"/>
    <w:rsid w:val="00252305"/>
    <w:rsid w:val="002562CA"/>
    <w:rsid w:val="0025750F"/>
    <w:rsid w:val="0025797E"/>
    <w:rsid w:val="002579E7"/>
    <w:rsid w:val="00260B9D"/>
    <w:rsid w:val="0026137D"/>
    <w:rsid w:val="00261398"/>
    <w:rsid w:val="002614D5"/>
    <w:rsid w:val="0026325A"/>
    <w:rsid w:val="00263977"/>
    <w:rsid w:val="00264612"/>
    <w:rsid w:val="002655FE"/>
    <w:rsid w:val="00266A78"/>
    <w:rsid w:val="0027086D"/>
    <w:rsid w:val="00270EDA"/>
    <w:rsid w:val="002745E5"/>
    <w:rsid w:val="002769EA"/>
    <w:rsid w:val="0028032C"/>
    <w:rsid w:val="00281CCC"/>
    <w:rsid w:val="00282AB7"/>
    <w:rsid w:val="00286251"/>
    <w:rsid w:val="0028771A"/>
    <w:rsid w:val="00290417"/>
    <w:rsid w:val="0029187E"/>
    <w:rsid w:val="00294A33"/>
    <w:rsid w:val="00297BA8"/>
    <w:rsid w:val="002A3697"/>
    <w:rsid w:val="002A3939"/>
    <w:rsid w:val="002A442B"/>
    <w:rsid w:val="002C24B8"/>
    <w:rsid w:val="002C4217"/>
    <w:rsid w:val="002C54A2"/>
    <w:rsid w:val="002C7609"/>
    <w:rsid w:val="002C79D3"/>
    <w:rsid w:val="002D0CBD"/>
    <w:rsid w:val="002D193E"/>
    <w:rsid w:val="002D22AE"/>
    <w:rsid w:val="002D2941"/>
    <w:rsid w:val="002D3498"/>
    <w:rsid w:val="002D3EC6"/>
    <w:rsid w:val="002D66AA"/>
    <w:rsid w:val="002D6E7D"/>
    <w:rsid w:val="002D6F5C"/>
    <w:rsid w:val="002E0747"/>
    <w:rsid w:val="002E53AD"/>
    <w:rsid w:val="002F0FB9"/>
    <w:rsid w:val="002F37F5"/>
    <w:rsid w:val="002F387D"/>
    <w:rsid w:val="00301E90"/>
    <w:rsid w:val="00302B22"/>
    <w:rsid w:val="00303888"/>
    <w:rsid w:val="00306173"/>
    <w:rsid w:val="003110EF"/>
    <w:rsid w:val="003122FE"/>
    <w:rsid w:val="00315BE4"/>
    <w:rsid w:val="00315C21"/>
    <w:rsid w:val="00317969"/>
    <w:rsid w:val="00323542"/>
    <w:rsid w:val="003238C2"/>
    <w:rsid w:val="003257B5"/>
    <w:rsid w:val="00326310"/>
    <w:rsid w:val="0032675E"/>
    <w:rsid w:val="00326A61"/>
    <w:rsid w:val="00336332"/>
    <w:rsid w:val="0033718A"/>
    <w:rsid w:val="00337A06"/>
    <w:rsid w:val="003400F6"/>
    <w:rsid w:val="00340764"/>
    <w:rsid w:val="003408E9"/>
    <w:rsid w:val="00344354"/>
    <w:rsid w:val="003444F4"/>
    <w:rsid w:val="003453E0"/>
    <w:rsid w:val="00347EF5"/>
    <w:rsid w:val="00350CA8"/>
    <w:rsid w:val="003516AD"/>
    <w:rsid w:val="003542DC"/>
    <w:rsid w:val="003544B9"/>
    <w:rsid w:val="00355DEF"/>
    <w:rsid w:val="0035667A"/>
    <w:rsid w:val="0035797C"/>
    <w:rsid w:val="00357B62"/>
    <w:rsid w:val="00362C69"/>
    <w:rsid w:val="003637EE"/>
    <w:rsid w:val="00364E70"/>
    <w:rsid w:val="00366AA5"/>
    <w:rsid w:val="00366CA8"/>
    <w:rsid w:val="0037262D"/>
    <w:rsid w:val="00372E32"/>
    <w:rsid w:val="00372E3A"/>
    <w:rsid w:val="00373514"/>
    <w:rsid w:val="00377F41"/>
    <w:rsid w:val="00383D7E"/>
    <w:rsid w:val="0038501F"/>
    <w:rsid w:val="00385898"/>
    <w:rsid w:val="00390CBB"/>
    <w:rsid w:val="003917BA"/>
    <w:rsid w:val="00392255"/>
    <w:rsid w:val="00392BFE"/>
    <w:rsid w:val="003947BD"/>
    <w:rsid w:val="003A4963"/>
    <w:rsid w:val="003A506D"/>
    <w:rsid w:val="003A729D"/>
    <w:rsid w:val="003B0CC9"/>
    <w:rsid w:val="003B1693"/>
    <w:rsid w:val="003B3564"/>
    <w:rsid w:val="003B55B6"/>
    <w:rsid w:val="003C2C72"/>
    <w:rsid w:val="003C465F"/>
    <w:rsid w:val="003C4BF0"/>
    <w:rsid w:val="003C51AF"/>
    <w:rsid w:val="003C7368"/>
    <w:rsid w:val="003D2555"/>
    <w:rsid w:val="003E05AC"/>
    <w:rsid w:val="003E0C30"/>
    <w:rsid w:val="003E10FD"/>
    <w:rsid w:val="003E154D"/>
    <w:rsid w:val="003E33B6"/>
    <w:rsid w:val="003E3424"/>
    <w:rsid w:val="003E45F5"/>
    <w:rsid w:val="003E4846"/>
    <w:rsid w:val="003E5C23"/>
    <w:rsid w:val="003E5FF6"/>
    <w:rsid w:val="003E74C7"/>
    <w:rsid w:val="003F155A"/>
    <w:rsid w:val="003F23EB"/>
    <w:rsid w:val="003F4F95"/>
    <w:rsid w:val="003F6B0D"/>
    <w:rsid w:val="00403CE0"/>
    <w:rsid w:val="00404316"/>
    <w:rsid w:val="004077C9"/>
    <w:rsid w:val="0041403D"/>
    <w:rsid w:val="00420BF3"/>
    <w:rsid w:val="00420D07"/>
    <w:rsid w:val="004279BD"/>
    <w:rsid w:val="00427ACB"/>
    <w:rsid w:val="00432565"/>
    <w:rsid w:val="004331AC"/>
    <w:rsid w:val="00435BA2"/>
    <w:rsid w:val="00436ECD"/>
    <w:rsid w:val="004372A5"/>
    <w:rsid w:val="00440D7C"/>
    <w:rsid w:val="00440FC5"/>
    <w:rsid w:val="004434BE"/>
    <w:rsid w:val="00443F0B"/>
    <w:rsid w:val="00444345"/>
    <w:rsid w:val="00444D37"/>
    <w:rsid w:val="00444D9A"/>
    <w:rsid w:val="00444F85"/>
    <w:rsid w:val="004456F1"/>
    <w:rsid w:val="00445D97"/>
    <w:rsid w:val="00446391"/>
    <w:rsid w:val="00450CF5"/>
    <w:rsid w:val="00450EA6"/>
    <w:rsid w:val="0045335C"/>
    <w:rsid w:val="00464C55"/>
    <w:rsid w:val="00465222"/>
    <w:rsid w:val="00465D6F"/>
    <w:rsid w:val="00466DDE"/>
    <w:rsid w:val="004702EC"/>
    <w:rsid w:val="004718DA"/>
    <w:rsid w:val="004778B7"/>
    <w:rsid w:val="0048028C"/>
    <w:rsid w:val="0048262A"/>
    <w:rsid w:val="004842D2"/>
    <w:rsid w:val="004861A8"/>
    <w:rsid w:val="00486206"/>
    <w:rsid w:val="00487BD5"/>
    <w:rsid w:val="004905BB"/>
    <w:rsid w:val="00491209"/>
    <w:rsid w:val="00492395"/>
    <w:rsid w:val="0049778A"/>
    <w:rsid w:val="004A2E87"/>
    <w:rsid w:val="004A3BDC"/>
    <w:rsid w:val="004A4AC7"/>
    <w:rsid w:val="004A741D"/>
    <w:rsid w:val="004B24A7"/>
    <w:rsid w:val="004B268E"/>
    <w:rsid w:val="004B3061"/>
    <w:rsid w:val="004B5414"/>
    <w:rsid w:val="004B5E3E"/>
    <w:rsid w:val="004B5FA9"/>
    <w:rsid w:val="004B7217"/>
    <w:rsid w:val="004B7BA5"/>
    <w:rsid w:val="004C1217"/>
    <w:rsid w:val="004C138E"/>
    <w:rsid w:val="004C3047"/>
    <w:rsid w:val="004C3204"/>
    <w:rsid w:val="004C3588"/>
    <w:rsid w:val="004C4A0C"/>
    <w:rsid w:val="004C761C"/>
    <w:rsid w:val="004D16E4"/>
    <w:rsid w:val="004D4C88"/>
    <w:rsid w:val="004D6C1A"/>
    <w:rsid w:val="004D71E9"/>
    <w:rsid w:val="004E0860"/>
    <w:rsid w:val="004E0B6B"/>
    <w:rsid w:val="004E0D6E"/>
    <w:rsid w:val="004E131D"/>
    <w:rsid w:val="004E15D7"/>
    <w:rsid w:val="004E2BD8"/>
    <w:rsid w:val="004E31EE"/>
    <w:rsid w:val="004E38C1"/>
    <w:rsid w:val="004F11D9"/>
    <w:rsid w:val="004F1382"/>
    <w:rsid w:val="004F142E"/>
    <w:rsid w:val="004F1A8D"/>
    <w:rsid w:val="004F2545"/>
    <w:rsid w:val="004F46C8"/>
    <w:rsid w:val="004F501F"/>
    <w:rsid w:val="004F509A"/>
    <w:rsid w:val="005001A0"/>
    <w:rsid w:val="00504C50"/>
    <w:rsid w:val="00505144"/>
    <w:rsid w:val="005053FC"/>
    <w:rsid w:val="00506CB6"/>
    <w:rsid w:val="00510391"/>
    <w:rsid w:val="00511DFB"/>
    <w:rsid w:val="0051542E"/>
    <w:rsid w:val="005160C0"/>
    <w:rsid w:val="00521B8F"/>
    <w:rsid w:val="00523B9C"/>
    <w:rsid w:val="005240FC"/>
    <w:rsid w:val="00525067"/>
    <w:rsid w:val="005317C5"/>
    <w:rsid w:val="00532927"/>
    <w:rsid w:val="00536729"/>
    <w:rsid w:val="0054272E"/>
    <w:rsid w:val="00543A88"/>
    <w:rsid w:val="00545149"/>
    <w:rsid w:val="00546F15"/>
    <w:rsid w:val="005479AD"/>
    <w:rsid w:val="00550174"/>
    <w:rsid w:val="00551B8A"/>
    <w:rsid w:val="005524E6"/>
    <w:rsid w:val="00553BD9"/>
    <w:rsid w:val="0055504C"/>
    <w:rsid w:val="00560E63"/>
    <w:rsid w:val="005611AE"/>
    <w:rsid w:val="0057258F"/>
    <w:rsid w:val="00572F08"/>
    <w:rsid w:val="00581038"/>
    <w:rsid w:val="005829B1"/>
    <w:rsid w:val="00582B96"/>
    <w:rsid w:val="005836CB"/>
    <w:rsid w:val="005839A4"/>
    <w:rsid w:val="00584624"/>
    <w:rsid w:val="00595BF9"/>
    <w:rsid w:val="005A32DF"/>
    <w:rsid w:val="005A7B9E"/>
    <w:rsid w:val="005B1497"/>
    <w:rsid w:val="005B1C95"/>
    <w:rsid w:val="005B1DEF"/>
    <w:rsid w:val="005B2546"/>
    <w:rsid w:val="005B682E"/>
    <w:rsid w:val="005C0BAC"/>
    <w:rsid w:val="005C0F28"/>
    <w:rsid w:val="005C1DF4"/>
    <w:rsid w:val="005C24DA"/>
    <w:rsid w:val="005C285C"/>
    <w:rsid w:val="005C5BC2"/>
    <w:rsid w:val="005D0C91"/>
    <w:rsid w:val="005D1030"/>
    <w:rsid w:val="005E0371"/>
    <w:rsid w:val="005E0C23"/>
    <w:rsid w:val="005E7D2F"/>
    <w:rsid w:val="005F15F5"/>
    <w:rsid w:val="005F3CCB"/>
    <w:rsid w:val="005F4072"/>
    <w:rsid w:val="005F4531"/>
    <w:rsid w:val="0060176D"/>
    <w:rsid w:val="00602321"/>
    <w:rsid w:val="006025CB"/>
    <w:rsid w:val="00602C65"/>
    <w:rsid w:val="00603093"/>
    <w:rsid w:val="00603578"/>
    <w:rsid w:val="00603E21"/>
    <w:rsid w:val="00605386"/>
    <w:rsid w:val="00606696"/>
    <w:rsid w:val="00606FEA"/>
    <w:rsid w:val="00612842"/>
    <w:rsid w:val="00614438"/>
    <w:rsid w:val="00614AFF"/>
    <w:rsid w:val="00614F10"/>
    <w:rsid w:val="00620151"/>
    <w:rsid w:val="00622C7B"/>
    <w:rsid w:val="0062362F"/>
    <w:rsid w:val="00625B37"/>
    <w:rsid w:val="0062742D"/>
    <w:rsid w:val="0063016E"/>
    <w:rsid w:val="00630838"/>
    <w:rsid w:val="00634BCF"/>
    <w:rsid w:val="0064001C"/>
    <w:rsid w:val="00640D56"/>
    <w:rsid w:val="006413C7"/>
    <w:rsid w:val="006420EF"/>
    <w:rsid w:val="006429A8"/>
    <w:rsid w:val="00643435"/>
    <w:rsid w:val="00645A84"/>
    <w:rsid w:val="00652935"/>
    <w:rsid w:val="0065480C"/>
    <w:rsid w:val="00661315"/>
    <w:rsid w:val="00662048"/>
    <w:rsid w:val="0066291F"/>
    <w:rsid w:val="006643D3"/>
    <w:rsid w:val="00667B02"/>
    <w:rsid w:val="00667C11"/>
    <w:rsid w:val="00677881"/>
    <w:rsid w:val="0068347F"/>
    <w:rsid w:val="00684F06"/>
    <w:rsid w:val="0069002C"/>
    <w:rsid w:val="006954D7"/>
    <w:rsid w:val="00696D0F"/>
    <w:rsid w:val="006A07E3"/>
    <w:rsid w:val="006A38FB"/>
    <w:rsid w:val="006B0525"/>
    <w:rsid w:val="006B0890"/>
    <w:rsid w:val="006B5DE4"/>
    <w:rsid w:val="006B6C67"/>
    <w:rsid w:val="006C0C7B"/>
    <w:rsid w:val="006C1D15"/>
    <w:rsid w:val="006C531F"/>
    <w:rsid w:val="006C53F0"/>
    <w:rsid w:val="006C627B"/>
    <w:rsid w:val="006C639E"/>
    <w:rsid w:val="006C75D3"/>
    <w:rsid w:val="006C7A16"/>
    <w:rsid w:val="006D1634"/>
    <w:rsid w:val="006D44E7"/>
    <w:rsid w:val="006D51A4"/>
    <w:rsid w:val="006D570E"/>
    <w:rsid w:val="006D679B"/>
    <w:rsid w:val="006D707D"/>
    <w:rsid w:val="006E25DA"/>
    <w:rsid w:val="006E272B"/>
    <w:rsid w:val="006E3D9F"/>
    <w:rsid w:val="006E7D96"/>
    <w:rsid w:val="006F2C97"/>
    <w:rsid w:val="006F48C4"/>
    <w:rsid w:val="006F62DC"/>
    <w:rsid w:val="006F6C3C"/>
    <w:rsid w:val="006F7BA7"/>
    <w:rsid w:val="0070102B"/>
    <w:rsid w:val="00701579"/>
    <w:rsid w:val="007024E1"/>
    <w:rsid w:val="00702A7D"/>
    <w:rsid w:val="0070321F"/>
    <w:rsid w:val="00704C95"/>
    <w:rsid w:val="0070643C"/>
    <w:rsid w:val="0071141D"/>
    <w:rsid w:val="00714BCD"/>
    <w:rsid w:val="00714CE8"/>
    <w:rsid w:val="00720203"/>
    <w:rsid w:val="007208DF"/>
    <w:rsid w:val="00720B7E"/>
    <w:rsid w:val="00720BD1"/>
    <w:rsid w:val="007253B2"/>
    <w:rsid w:val="007311D3"/>
    <w:rsid w:val="00732AF7"/>
    <w:rsid w:val="00737F2B"/>
    <w:rsid w:val="00741208"/>
    <w:rsid w:val="00744358"/>
    <w:rsid w:val="00745FF7"/>
    <w:rsid w:val="00746FE3"/>
    <w:rsid w:val="00750876"/>
    <w:rsid w:val="00751625"/>
    <w:rsid w:val="00753426"/>
    <w:rsid w:val="00753E86"/>
    <w:rsid w:val="0075484C"/>
    <w:rsid w:val="00755FAD"/>
    <w:rsid w:val="00757600"/>
    <w:rsid w:val="00757A49"/>
    <w:rsid w:val="00763502"/>
    <w:rsid w:val="0076465D"/>
    <w:rsid w:val="00764B8B"/>
    <w:rsid w:val="00766BE4"/>
    <w:rsid w:val="00770E0A"/>
    <w:rsid w:val="00775583"/>
    <w:rsid w:val="00777012"/>
    <w:rsid w:val="0077742E"/>
    <w:rsid w:val="00777668"/>
    <w:rsid w:val="00777DDE"/>
    <w:rsid w:val="007805A5"/>
    <w:rsid w:val="00780863"/>
    <w:rsid w:val="00781CA7"/>
    <w:rsid w:val="00784DE0"/>
    <w:rsid w:val="007877D1"/>
    <w:rsid w:val="00791956"/>
    <w:rsid w:val="0079201B"/>
    <w:rsid w:val="00792353"/>
    <w:rsid w:val="00794618"/>
    <w:rsid w:val="007A2034"/>
    <w:rsid w:val="007A73E0"/>
    <w:rsid w:val="007B057F"/>
    <w:rsid w:val="007B600A"/>
    <w:rsid w:val="007B63C9"/>
    <w:rsid w:val="007C2418"/>
    <w:rsid w:val="007C43E2"/>
    <w:rsid w:val="007C5B8E"/>
    <w:rsid w:val="007C5DC0"/>
    <w:rsid w:val="007D4FF2"/>
    <w:rsid w:val="007D5D96"/>
    <w:rsid w:val="007D609D"/>
    <w:rsid w:val="007E1B8C"/>
    <w:rsid w:val="007E52C8"/>
    <w:rsid w:val="007F069C"/>
    <w:rsid w:val="007F148A"/>
    <w:rsid w:val="007F6993"/>
    <w:rsid w:val="007F78F2"/>
    <w:rsid w:val="008023D7"/>
    <w:rsid w:val="0080252B"/>
    <w:rsid w:val="0080544B"/>
    <w:rsid w:val="00807418"/>
    <w:rsid w:val="00811BB8"/>
    <w:rsid w:val="0081493C"/>
    <w:rsid w:val="00815119"/>
    <w:rsid w:val="00815258"/>
    <w:rsid w:val="00816295"/>
    <w:rsid w:val="008162F8"/>
    <w:rsid w:val="00821189"/>
    <w:rsid w:val="00821341"/>
    <w:rsid w:val="0082175F"/>
    <w:rsid w:val="00822FA5"/>
    <w:rsid w:val="00823005"/>
    <w:rsid w:val="0082572B"/>
    <w:rsid w:val="00825B8C"/>
    <w:rsid w:val="00826ED8"/>
    <w:rsid w:val="00830533"/>
    <w:rsid w:val="00831470"/>
    <w:rsid w:val="00831495"/>
    <w:rsid w:val="00833C97"/>
    <w:rsid w:val="008354A1"/>
    <w:rsid w:val="00841BB2"/>
    <w:rsid w:val="00841FD5"/>
    <w:rsid w:val="00843171"/>
    <w:rsid w:val="00844704"/>
    <w:rsid w:val="0084501F"/>
    <w:rsid w:val="008452B6"/>
    <w:rsid w:val="00846B1E"/>
    <w:rsid w:val="00847E77"/>
    <w:rsid w:val="00851DDE"/>
    <w:rsid w:val="00854E99"/>
    <w:rsid w:val="00860DA8"/>
    <w:rsid w:val="0086223B"/>
    <w:rsid w:val="00862537"/>
    <w:rsid w:val="008631CE"/>
    <w:rsid w:val="008632FC"/>
    <w:rsid w:val="00865518"/>
    <w:rsid w:val="00865A46"/>
    <w:rsid w:val="00865D04"/>
    <w:rsid w:val="008660C9"/>
    <w:rsid w:val="00866C4C"/>
    <w:rsid w:val="00867B5C"/>
    <w:rsid w:val="00872881"/>
    <w:rsid w:val="0087514E"/>
    <w:rsid w:val="008836C1"/>
    <w:rsid w:val="0088435C"/>
    <w:rsid w:val="008847A8"/>
    <w:rsid w:val="0088537F"/>
    <w:rsid w:val="00886A10"/>
    <w:rsid w:val="008913CE"/>
    <w:rsid w:val="00892690"/>
    <w:rsid w:val="0089292C"/>
    <w:rsid w:val="00893E5B"/>
    <w:rsid w:val="008950E5"/>
    <w:rsid w:val="00895E1A"/>
    <w:rsid w:val="0089722A"/>
    <w:rsid w:val="008A195C"/>
    <w:rsid w:val="008A2A9A"/>
    <w:rsid w:val="008A38BF"/>
    <w:rsid w:val="008A4FE0"/>
    <w:rsid w:val="008A5332"/>
    <w:rsid w:val="008A56EA"/>
    <w:rsid w:val="008B039E"/>
    <w:rsid w:val="008B04A9"/>
    <w:rsid w:val="008B05AC"/>
    <w:rsid w:val="008B0FC5"/>
    <w:rsid w:val="008B1C8E"/>
    <w:rsid w:val="008B22DF"/>
    <w:rsid w:val="008B28CB"/>
    <w:rsid w:val="008B472E"/>
    <w:rsid w:val="008B773E"/>
    <w:rsid w:val="008B7A5A"/>
    <w:rsid w:val="008C34A2"/>
    <w:rsid w:val="008C4A54"/>
    <w:rsid w:val="008C7B46"/>
    <w:rsid w:val="008D0DC9"/>
    <w:rsid w:val="008D192F"/>
    <w:rsid w:val="008D28E7"/>
    <w:rsid w:val="008D42FE"/>
    <w:rsid w:val="008D5FD2"/>
    <w:rsid w:val="008D6809"/>
    <w:rsid w:val="008E26C9"/>
    <w:rsid w:val="008E373F"/>
    <w:rsid w:val="008E4B63"/>
    <w:rsid w:val="008E509E"/>
    <w:rsid w:val="008E6698"/>
    <w:rsid w:val="008E6D78"/>
    <w:rsid w:val="008F1ED8"/>
    <w:rsid w:val="008F2E25"/>
    <w:rsid w:val="008F542D"/>
    <w:rsid w:val="008F5A96"/>
    <w:rsid w:val="00903B34"/>
    <w:rsid w:val="0090440A"/>
    <w:rsid w:val="00904592"/>
    <w:rsid w:val="00905707"/>
    <w:rsid w:val="00906F23"/>
    <w:rsid w:val="009116DE"/>
    <w:rsid w:val="009117F5"/>
    <w:rsid w:val="00911823"/>
    <w:rsid w:val="009128F4"/>
    <w:rsid w:val="009208C9"/>
    <w:rsid w:val="00923AC8"/>
    <w:rsid w:val="00924DB8"/>
    <w:rsid w:val="00925056"/>
    <w:rsid w:val="00926573"/>
    <w:rsid w:val="00930227"/>
    <w:rsid w:val="009319F3"/>
    <w:rsid w:val="009337DF"/>
    <w:rsid w:val="0093388C"/>
    <w:rsid w:val="009350C9"/>
    <w:rsid w:val="0094245B"/>
    <w:rsid w:val="0094652A"/>
    <w:rsid w:val="00953537"/>
    <w:rsid w:val="00953F8F"/>
    <w:rsid w:val="009553C9"/>
    <w:rsid w:val="009614C4"/>
    <w:rsid w:val="00961BF5"/>
    <w:rsid w:val="00962596"/>
    <w:rsid w:val="009649CF"/>
    <w:rsid w:val="00964A4E"/>
    <w:rsid w:val="00965052"/>
    <w:rsid w:val="00965625"/>
    <w:rsid w:val="009671BC"/>
    <w:rsid w:val="0097005A"/>
    <w:rsid w:val="009718E2"/>
    <w:rsid w:val="0097313E"/>
    <w:rsid w:val="00980EC5"/>
    <w:rsid w:val="009863BC"/>
    <w:rsid w:val="0098660F"/>
    <w:rsid w:val="00986BCA"/>
    <w:rsid w:val="0099304F"/>
    <w:rsid w:val="00997577"/>
    <w:rsid w:val="00997D9F"/>
    <w:rsid w:val="009A09C9"/>
    <w:rsid w:val="009A4177"/>
    <w:rsid w:val="009A5DF0"/>
    <w:rsid w:val="009B1239"/>
    <w:rsid w:val="009B1CEA"/>
    <w:rsid w:val="009B3B04"/>
    <w:rsid w:val="009B3C55"/>
    <w:rsid w:val="009B6A89"/>
    <w:rsid w:val="009C28F4"/>
    <w:rsid w:val="009C597C"/>
    <w:rsid w:val="009D29E6"/>
    <w:rsid w:val="009D43C0"/>
    <w:rsid w:val="009D5428"/>
    <w:rsid w:val="009D5521"/>
    <w:rsid w:val="009D7081"/>
    <w:rsid w:val="009E1B2C"/>
    <w:rsid w:val="009E1E41"/>
    <w:rsid w:val="009E2650"/>
    <w:rsid w:val="009E3AD1"/>
    <w:rsid w:val="009E4E71"/>
    <w:rsid w:val="009E7600"/>
    <w:rsid w:val="009E7C13"/>
    <w:rsid w:val="009E7EF1"/>
    <w:rsid w:val="009F035B"/>
    <w:rsid w:val="009F0755"/>
    <w:rsid w:val="009F2CF9"/>
    <w:rsid w:val="009F34A3"/>
    <w:rsid w:val="009F34BD"/>
    <w:rsid w:val="009F37A0"/>
    <w:rsid w:val="009F51C8"/>
    <w:rsid w:val="009F5637"/>
    <w:rsid w:val="009F72FF"/>
    <w:rsid w:val="009F7FC5"/>
    <w:rsid w:val="00A0043B"/>
    <w:rsid w:val="00A014AB"/>
    <w:rsid w:val="00A021B0"/>
    <w:rsid w:val="00A02394"/>
    <w:rsid w:val="00A03644"/>
    <w:rsid w:val="00A04321"/>
    <w:rsid w:val="00A07219"/>
    <w:rsid w:val="00A07817"/>
    <w:rsid w:val="00A112B8"/>
    <w:rsid w:val="00A11AD5"/>
    <w:rsid w:val="00A12A1D"/>
    <w:rsid w:val="00A1647A"/>
    <w:rsid w:val="00A22E18"/>
    <w:rsid w:val="00A25C18"/>
    <w:rsid w:val="00A32A2A"/>
    <w:rsid w:val="00A33CFD"/>
    <w:rsid w:val="00A34D74"/>
    <w:rsid w:val="00A3736C"/>
    <w:rsid w:val="00A37C71"/>
    <w:rsid w:val="00A41114"/>
    <w:rsid w:val="00A419BE"/>
    <w:rsid w:val="00A423DA"/>
    <w:rsid w:val="00A43689"/>
    <w:rsid w:val="00A45137"/>
    <w:rsid w:val="00A4653A"/>
    <w:rsid w:val="00A46CFA"/>
    <w:rsid w:val="00A46FDD"/>
    <w:rsid w:val="00A47254"/>
    <w:rsid w:val="00A4783D"/>
    <w:rsid w:val="00A478EA"/>
    <w:rsid w:val="00A50797"/>
    <w:rsid w:val="00A51F62"/>
    <w:rsid w:val="00A5505F"/>
    <w:rsid w:val="00A56BAC"/>
    <w:rsid w:val="00A57479"/>
    <w:rsid w:val="00A57529"/>
    <w:rsid w:val="00A57EF7"/>
    <w:rsid w:val="00A609D7"/>
    <w:rsid w:val="00A60B08"/>
    <w:rsid w:val="00A61320"/>
    <w:rsid w:val="00A63429"/>
    <w:rsid w:val="00A640CA"/>
    <w:rsid w:val="00A72EC5"/>
    <w:rsid w:val="00A732FE"/>
    <w:rsid w:val="00A74FA0"/>
    <w:rsid w:val="00A76E16"/>
    <w:rsid w:val="00A77A3E"/>
    <w:rsid w:val="00A77D39"/>
    <w:rsid w:val="00A8042F"/>
    <w:rsid w:val="00A824EA"/>
    <w:rsid w:val="00A830E3"/>
    <w:rsid w:val="00A837AA"/>
    <w:rsid w:val="00A8426F"/>
    <w:rsid w:val="00A86305"/>
    <w:rsid w:val="00A863B4"/>
    <w:rsid w:val="00A874B2"/>
    <w:rsid w:val="00A8765F"/>
    <w:rsid w:val="00A87A62"/>
    <w:rsid w:val="00A91506"/>
    <w:rsid w:val="00A92864"/>
    <w:rsid w:val="00A93755"/>
    <w:rsid w:val="00A963ED"/>
    <w:rsid w:val="00A965D0"/>
    <w:rsid w:val="00A9668E"/>
    <w:rsid w:val="00AA00D3"/>
    <w:rsid w:val="00AA0E95"/>
    <w:rsid w:val="00AA3A62"/>
    <w:rsid w:val="00AA3FD8"/>
    <w:rsid w:val="00AA43C8"/>
    <w:rsid w:val="00AA4671"/>
    <w:rsid w:val="00AA5B07"/>
    <w:rsid w:val="00AA5FE9"/>
    <w:rsid w:val="00AB1F36"/>
    <w:rsid w:val="00AB3251"/>
    <w:rsid w:val="00AB4E38"/>
    <w:rsid w:val="00AB6D15"/>
    <w:rsid w:val="00AC3690"/>
    <w:rsid w:val="00AC69F3"/>
    <w:rsid w:val="00AC7C39"/>
    <w:rsid w:val="00AD003A"/>
    <w:rsid w:val="00AD18B4"/>
    <w:rsid w:val="00AD33CB"/>
    <w:rsid w:val="00AD38AB"/>
    <w:rsid w:val="00AE0E2F"/>
    <w:rsid w:val="00AE2BAA"/>
    <w:rsid w:val="00AE3A3B"/>
    <w:rsid w:val="00AE4C14"/>
    <w:rsid w:val="00AE5FEF"/>
    <w:rsid w:val="00AE6D72"/>
    <w:rsid w:val="00AE7B63"/>
    <w:rsid w:val="00AE7CFB"/>
    <w:rsid w:val="00AF0E93"/>
    <w:rsid w:val="00AF21D9"/>
    <w:rsid w:val="00AF2A7F"/>
    <w:rsid w:val="00AF2DCD"/>
    <w:rsid w:val="00AF3344"/>
    <w:rsid w:val="00AF361C"/>
    <w:rsid w:val="00AF376A"/>
    <w:rsid w:val="00AF466C"/>
    <w:rsid w:val="00AF482A"/>
    <w:rsid w:val="00AF4C28"/>
    <w:rsid w:val="00AF5021"/>
    <w:rsid w:val="00AF520D"/>
    <w:rsid w:val="00AF62F3"/>
    <w:rsid w:val="00AF6D57"/>
    <w:rsid w:val="00B00796"/>
    <w:rsid w:val="00B01E12"/>
    <w:rsid w:val="00B021FF"/>
    <w:rsid w:val="00B0434C"/>
    <w:rsid w:val="00B07369"/>
    <w:rsid w:val="00B10C9C"/>
    <w:rsid w:val="00B11C2A"/>
    <w:rsid w:val="00B13D6B"/>
    <w:rsid w:val="00B17360"/>
    <w:rsid w:val="00B2267C"/>
    <w:rsid w:val="00B23D7F"/>
    <w:rsid w:val="00B24328"/>
    <w:rsid w:val="00B24FA2"/>
    <w:rsid w:val="00B27C76"/>
    <w:rsid w:val="00B300D2"/>
    <w:rsid w:val="00B35E06"/>
    <w:rsid w:val="00B35FFD"/>
    <w:rsid w:val="00B43098"/>
    <w:rsid w:val="00B43467"/>
    <w:rsid w:val="00B444DD"/>
    <w:rsid w:val="00B46B6F"/>
    <w:rsid w:val="00B470CC"/>
    <w:rsid w:val="00B474B0"/>
    <w:rsid w:val="00B53007"/>
    <w:rsid w:val="00B54102"/>
    <w:rsid w:val="00B636D7"/>
    <w:rsid w:val="00B64C82"/>
    <w:rsid w:val="00B650FF"/>
    <w:rsid w:val="00B6662F"/>
    <w:rsid w:val="00B67901"/>
    <w:rsid w:val="00B7040D"/>
    <w:rsid w:val="00B71D82"/>
    <w:rsid w:val="00B72BDD"/>
    <w:rsid w:val="00B73202"/>
    <w:rsid w:val="00B76C9E"/>
    <w:rsid w:val="00B82769"/>
    <w:rsid w:val="00B84C5C"/>
    <w:rsid w:val="00B86C66"/>
    <w:rsid w:val="00B90092"/>
    <w:rsid w:val="00B90F47"/>
    <w:rsid w:val="00B922F5"/>
    <w:rsid w:val="00B955A2"/>
    <w:rsid w:val="00B9712F"/>
    <w:rsid w:val="00BA005F"/>
    <w:rsid w:val="00BA0258"/>
    <w:rsid w:val="00BA031D"/>
    <w:rsid w:val="00BA0580"/>
    <w:rsid w:val="00BA1757"/>
    <w:rsid w:val="00BA191A"/>
    <w:rsid w:val="00BA1CC1"/>
    <w:rsid w:val="00BA20A9"/>
    <w:rsid w:val="00BA2AB5"/>
    <w:rsid w:val="00BA5198"/>
    <w:rsid w:val="00BA53AC"/>
    <w:rsid w:val="00BB322A"/>
    <w:rsid w:val="00BB3A08"/>
    <w:rsid w:val="00BB4D4E"/>
    <w:rsid w:val="00BB73A0"/>
    <w:rsid w:val="00BC2693"/>
    <w:rsid w:val="00BC44EC"/>
    <w:rsid w:val="00BC5C24"/>
    <w:rsid w:val="00BC5E16"/>
    <w:rsid w:val="00BD1443"/>
    <w:rsid w:val="00BD3782"/>
    <w:rsid w:val="00BD38F0"/>
    <w:rsid w:val="00BD392C"/>
    <w:rsid w:val="00BD4351"/>
    <w:rsid w:val="00BD5390"/>
    <w:rsid w:val="00BD60FA"/>
    <w:rsid w:val="00BD7635"/>
    <w:rsid w:val="00BE04DE"/>
    <w:rsid w:val="00BE118A"/>
    <w:rsid w:val="00BE4805"/>
    <w:rsid w:val="00BE6291"/>
    <w:rsid w:val="00BE693B"/>
    <w:rsid w:val="00BF01E6"/>
    <w:rsid w:val="00BF0534"/>
    <w:rsid w:val="00BF06A5"/>
    <w:rsid w:val="00BF0CDA"/>
    <w:rsid w:val="00BF33C7"/>
    <w:rsid w:val="00BF416F"/>
    <w:rsid w:val="00BF42CF"/>
    <w:rsid w:val="00BF4E61"/>
    <w:rsid w:val="00C019B6"/>
    <w:rsid w:val="00C0281E"/>
    <w:rsid w:val="00C02D60"/>
    <w:rsid w:val="00C03D4C"/>
    <w:rsid w:val="00C0623C"/>
    <w:rsid w:val="00C06246"/>
    <w:rsid w:val="00C0670D"/>
    <w:rsid w:val="00C10944"/>
    <w:rsid w:val="00C117E1"/>
    <w:rsid w:val="00C12BE2"/>
    <w:rsid w:val="00C1359B"/>
    <w:rsid w:val="00C13915"/>
    <w:rsid w:val="00C21056"/>
    <w:rsid w:val="00C2193E"/>
    <w:rsid w:val="00C23780"/>
    <w:rsid w:val="00C23C75"/>
    <w:rsid w:val="00C310DA"/>
    <w:rsid w:val="00C319E7"/>
    <w:rsid w:val="00C3277D"/>
    <w:rsid w:val="00C33593"/>
    <w:rsid w:val="00C33961"/>
    <w:rsid w:val="00C37532"/>
    <w:rsid w:val="00C40BB0"/>
    <w:rsid w:val="00C42A49"/>
    <w:rsid w:val="00C461AA"/>
    <w:rsid w:val="00C51FCD"/>
    <w:rsid w:val="00C52E06"/>
    <w:rsid w:val="00C54485"/>
    <w:rsid w:val="00C547EA"/>
    <w:rsid w:val="00C579D0"/>
    <w:rsid w:val="00C6213B"/>
    <w:rsid w:val="00C70A77"/>
    <w:rsid w:val="00C73A7C"/>
    <w:rsid w:val="00C75270"/>
    <w:rsid w:val="00C80E8D"/>
    <w:rsid w:val="00C81014"/>
    <w:rsid w:val="00C81B47"/>
    <w:rsid w:val="00C81BC6"/>
    <w:rsid w:val="00C82D3E"/>
    <w:rsid w:val="00C834E8"/>
    <w:rsid w:val="00C850FC"/>
    <w:rsid w:val="00C920B8"/>
    <w:rsid w:val="00C932BA"/>
    <w:rsid w:val="00C933D4"/>
    <w:rsid w:val="00C94D62"/>
    <w:rsid w:val="00C9585D"/>
    <w:rsid w:val="00CA17F3"/>
    <w:rsid w:val="00CA18CB"/>
    <w:rsid w:val="00CA1D26"/>
    <w:rsid w:val="00CA44C7"/>
    <w:rsid w:val="00CA53A6"/>
    <w:rsid w:val="00CA5921"/>
    <w:rsid w:val="00CA679A"/>
    <w:rsid w:val="00CA68F3"/>
    <w:rsid w:val="00CA6C79"/>
    <w:rsid w:val="00CA7269"/>
    <w:rsid w:val="00CB20B4"/>
    <w:rsid w:val="00CB31AD"/>
    <w:rsid w:val="00CB3494"/>
    <w:rsid w:val="00CB4AAF"/>
    <w:rsid w:val="00CB4BD4"/>
    <w:rsid w:val="00CB749A"/>
    <w:rsid w:val="00CC009B"/>
    <w:rsid w:val="00CC455F"/>
    <w:rsid w:val="00CC513D"/>
    <w:rsid w:val="00CC5B44"/>
    <w:rsid w:val="00CC5ED1"/>
    <w:rsid w:val="00CC730D"/>
    <w:rsid w:val="00CD1056"/>
    <w:rsid w:val="00CD3BA5"/>
    <w:rsid w:val="00CD4420"/>
    <w:rsid w:val="00CD4896"/>
    <w:rsid w:val="00CE247D"/>
    <w:rsid w:val="00CE3568"/>
    <w:rsid w:val="00CE395F"/>
    <w:rsid w:val="00CE3AB9"/>
    <w:rsid w:val="00CE3BAC"/>
    <w:rsid w:val="00CE3C2A"/>
    <w:rsid w:val="00CE4E28"/>
    <w:rsid w:val="00CE5A80"/>
    <w:rsid w:val="00CF1B0E"/>
    <w:rsid w:val="00CF2575"/>
    <w:rsid w:val="00D009E6"/>
    <w:rsid w:val="00D03B74"/>
    <w:rsid w:val="00D03D0A"/>
    <w:rsid w:val="00D03F54"/>
    <w:rsid w:val="00D041EA"/>
    <w:rsid w:val="00D11F91"/>
    <w:rsid w:val="00D125B8"/>
    <w:rsid w:val="00D130D5"/>
    <w:rsid w:val="00D13113"/>
    <w:rsid w:val="00D13356"/>
    <w:rsid w:val="00D135EB"/>
    <w:rsid w:val="00D15CB1"/>
    <w:rsid w:val="00D15FA8"/>
    <w:rsid w:val="00D17A73"/>
    <w:rsid w:val="00D20705"/>
    <w:rsid w:val="00D220BD"/>
    <w:rsid w:val="00D25622"/>
    <w:rsid w:val="00D262D4"/>
    <w:rsid w:val="00D26BD6"/>
    <w:rsid w:val="00D26CCD"/>
    <w:rsid w:val="00D31C54"/>
    <w:rsid w:val="00D32CC6"/>
    <w:rsid w:val="00D33533"/>
    <w:rsid w:val="00D35B3A"/>
    <w:rsid w:val="00D35FBB"/>
    <w:rsid w:val="00D36E70"/>
    <w:rsid w:val="00D3731A"/>
    <w:rsid w:val="00D41357"/>
    <w:rsid w:val="00D43754"/>
    <w:rsid w:val="00D44DE1"/>
    <w:rsid w:val="00D45203"/>
    <w:rsid w:val="00D4686D"/>
    <w:rsid w:val="00D50C64"/>
    <w:rsid w:val="00D55F7E"/>
    <w:rsid w:val="00D5616B"/>
    <w:rsid w:val="00D609C3"/>
    <w:rsid w:val="00D62B45"/>
    <w:rsid w:val="00D65B9F"/>
    <w:rsid w:val="00D701DD"/>
    <w:rsid w:val="00D7588C"/>
    <w:rsid w:val="00D75E9F"/>
    <w:rsid w:val="00D80A60"/>
    <w:rsid w:val="00D836D7"/>
    <w:rsid w:val="00D854F4"/>
    <w:rsid w:val="00D85996"/>
    <w:rsid w:val="00D90BB1"/>
    <w:rsid w:val="00D90D83"/>
    <w:rsid w:val="00D91E7D"/>
    <w:rsid w:val="00D929C8"/>
    <w:rsid w:val="00DA1B3C"/>
    <w:rsid w:val="00DA2384"/>
    <w:rsid w:val="00DA3A0A"/>
    <w:rsid w:val="00DA3D3D"/>
    <w:rsid w:val="00DA49D1"/>
    <w:rsid w:val="00DA4F1B"/>
    <w:rsid w:val="00DA5117"/>
    <w:rsid w:val="00DA55BE"/>
    <w:rsid w:val="00DA64E3"/>
    <w:rsid w:val="00DA7696"/>
    <w:rsid w:val="00DB0713"/>
    <w:rsid w:val="00DB0CF8"/>
    <w:rsid w:val="00DB1574"/>
    <w:rsid w:val="00DB3BB6"/>
    <w:rsid w:val="00DB6B0C"/>
    <w:rsid w:val="00DC4EBA"/>
    <w:rsid w:val="00DC59B5"/>
    <w:rsid w:val="00DC5A0C"/>
    <w:rsid w:val="00DC6071"/>
    <w:rsid w:val="00DC7AE4"/>
    <w:rsid w:val="00DD4EA2"/>
    <w:rsid w:val="00DE6B62"/>
    <w:rsid w:val="00DE7583"/>
    <w:rsid w:val="00DF280E"/>
    <w:rsid w:val="00DF651E"/>
    <w:rsid w:val="00DF676A"/>
    <w:rsid w:val="00DF6885"/>
    <w:rsid w:val="00E0173C"/>
    <w:rsid w:val="00E01A9E"/>
    <w:rsid w:val="00E032C3"/>
    <w:rsid w:val="00E03F56"/>
    <w:rsid w:val="00E04B32"/>
    <w:rsid w:val="00E05783"/>
    <w:rsid w:val="00E05A6B"/>
    <w:rsid w:val="00E05CF7"/>
    <w:rsid w:val="00E1370A"/>
    <w:rsid w:val="00E15042"/>
    <w:rsid w:val="00E17725"/>
    <w:rsid w:val="00E23202"/>
    <w:rsid w:val="00E27DC3"/>
    <w:rsid w:val="00E30C33"/>
    <w:rsid w:val="00E31B42"/>
    <w:rsid w:val="00E32D00"/>
    <w:rsid w:val="00E337D9"/>
    <w:rsid w:val="00E33875"/>
    <w:rsid w:val="00E35AE4"/>
    <w:rsid w:val="00E37197"/>
    <w:rsid w:val="00E37982"/>
    <w:rsid w:val="00E40370"/>
    <w:rsid w:val="00E4539D"/>
    <w:rsid w:val="00E45A13"/>
    <w:rsid w:val="00E4775A"/>
    <w:rsid w:val="00E50BA9"/>
    <w:rsid w:val="00E51F03"/>
    <w:rsid w:val="00E60336"/>
    <w:rsid w:val="00E6425D"/>
    <w:rsid w:val="00E66D0B"/>
    <w:rsid w:val="00E70C7B"/>
    <w:rsid w:val="00E82359"/>
    <w:rsid w:val="00E87391"/>
    <w:rsid w:val="00E94AE7"/>
    <w:rsid w:val="00E96EA5"/>
    <w:rsid w:val="00EA2490"/>
    <w:rsid w:val="00EA2904"/>
    <w:rsid w:val="00EA3C58"/>
    <w:rsid w:val="00EA6A92"/>
    <w:rsid w:val="00EA7028"/>
    <w:rsid w:val="00EA7A4F"/>
    <w:rsid w:val="00EB05F6"/>
    <w:rsid w:val="00EB119A"/>
    <w:rsid w:val="00EB1805"/>
    <w:rsid w:val="00EB614B"/>
    <w:rsid w:val="00EB6CDE"/>
    <w:rsid w:val="00EC5F6D"/>
    <w:rsid w:val="00EC6769"/>
    <w:rsid w:val="00EC74C5"/>
    <w:rsid w:val="00ED3AF7"/>
    <w:rsid w:val="00ED4037"/>
    <w:rsid w:val="00ED4ED7"/>
    <w:rsid w:val="00EE1FFD"/>
    <w:rsid w:val="00EE2F2C"/>
    <w:rsid w:val="00EE396C"/>
    <w:rsid w:val="00EE45A7"/>
    <w:rsid w:val="00EE46C8"/>
    <w:rsid w:val="00EE5106"/>
    <w:rsid w:val="00EE66C8"/>
    <w:rsid w:val="00EF082D"/>
    <w:rsid w:val="00EF4CB8"/>
    <w:rsid w:val="00EF723E"/>
    <w:rsid w:val="00F02F4A"/>
    <w:rsid w:val="00F04D26"/>
    <w:rsid w:val="00F04FFF"/>
    <w:rsid w:val="00F05453"/>
    <w:rsid w:val="00F20309"/>
    <w:rsid w:val="00F20A3C"/>
    <w:rsid w:val="00F23DB8"/>
    <w:rsid w:val="00F274A4"/>
    <w:rsid w:val="00F31399"/>
    <w:rsid w:val="00F31510"/>
    <w:rsid w:val="00F32529"/>
    <w:rsid w:val="00F34B5A"/>
    <w:rsid w:val="00F417AF"/>
    <w:rsid w:val="00F4412B"/>
    <w:rsid w:val="00F4414B"/>
    <w:rsid w:val="00F442CB"/>
    <w:rsid w:val="00F4620E"/>
    <w:rsid w:val="00F5010F"/>
    <w:rsid w:val="00F5040F"/>
    <w:rsid w:val="00F50B94"/>
    <w:rsid w:val="00F536F3"/>
    <w:rsid w:val="00F541FA"/>
    <w:rsid w:val="00F568FD"/>
    <w:rsid w:val="00F56F83"/>
    <w:rsid w:val="00F60B00"/>
    <w:rsid w:val="00F62056"/>
    <w:rsid w:val="00F62658"/>
    <w:rsid w:val="00F6457F"/>
    <w:rsid w:val="00F6783D"/>
    <w:rsid w:val="00F71FAA"/>
    <w:rsid w:val="00F73824"/>
    <w:rsid w:val="00F74A4E"/>
    <w:rsid w:val="00F74DA8"/>
    <w:rsid w:val="00F75519"/>
    <w:rsid w:val="00F77973"/>
    <w:rsid w:val="00F84C24"/>
    <w:rsid w:val="00F936A2"/>
    <w:rsid w:val="00F94D87"/>
    <w:rsid w:val="00F976DE"/>
    <w:rsid w:val="00FA2B8F"/>
    <w:rsid w:val="00FA396C"/>
    <w:rsid w:val="00FA3DBE"/>
    <w:rsid w:val="00FA6286"/>
    <w:rsid w:val="00FB236A"/>
    <w:rsid w:val="00FB70C3"/>
    <w:rsid w:val="00FC263B"/>
    <w:rsid w:val="00FC5683"/>
    <w:rsid w:val="00FC5EA6"/>
    <w:rsid w:val="00FC6F9D"/>
    <w:rsid w:val="00FD3276"/>
    <w:rsid w:val="00FD691F"/>
    <w:rsid w:val="00FD7B6E"/>
    <w:rsid w:val="00FE2BD4"/>
    <w:rsid w:val="00FE2F79"/>
    <w:rsid w:val="00FF3AE0"/>
    <w:rsid w:val="00FF4EFA"/>
    <w:rsid w:val="00FF54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CEDE"/>
  <w15:chartTrackingRefBased/>
  <w15:docId w15:val="{E356D980-DC08-40AD-A515-6673122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593"/>
    <w:rPr>
      <w:kern w:val="2"/>
      <w14:ligatures w14:val="standardContextual"/>
    </w:rPr>
  </w:style>
  <w:style w:type="paragraph" w:styleId="Heading1">
    <w:name w:val="heading 1"/>
    <w:basedOn w:val="Normal"/>
    <w:next w:val="Normal"/>
    <w:link w:val="Heading1Char"/>
    <w:uiPriority w:val="9"/>
    <w:qFormat/>
    <w:rsid w:val="00C94D62"/>
    <w:pPr>
      <w:keepNext/>
      <w:spacing w:before="240" w:after="60"/>
      <w:outlineLvl w:val="0"/>
    </w:pPr>
    <w:rPr>
      <w:rFonts w:asciiTheme="majorHAnsi" w:eastAsia="Times New Roman" w:hAnsiTheme="majorHAnsi" w:cs="Arial"/>
      <w:b/>
      <w:bCs/>
      <w:caps/>
      <w:color w:val="0057B8" w:themeColor="accent1"/>
      <w:spacing w:val="10"/>
      <w:kern w:val="32"/>
      <w:sz w:val="28"/>
      <w:szCs w:val="36"/>
      <w:u w:color="00CCFF"/>
    </w:rPr>
  </w:style>
  <w:style w:type="paragraph" w:styleId="Heading2">
    <w:name w:val="heading 2"/>
    <w:basedOn w:val="Normal"/>
    <w:next w:val="Normal"/>
    <w:link w:val="Heading2Char"/>
    <w:uiPriority w:val="9"/>
    <w:qFormat/>
    <w:rsid w:val="00C94D62"/>
    <w:pPr>
      <w:keepNext/>
      <w:keepLines/>
      <w:spacing w:before="360" w:after="120"/>
      <w:outlineLvl w:val="1"/>
    </w:pPr>
    <w:rPr>
      <w:rFonts w:asciiTheme="majorHAnsi" w:eastAsiaTheme="majorEastAsia" w:hAnsiTheme="majorHAnsi" w:cstheme="majorBidi"/>
      <w:b/>
      <w:bCs/>
      <w:color w:val="51B5E0"/>
      <w:szCs w:val="26"/>
    </w:rPr>
  </w:style>
  <w:style w:type="paragraph" w:styleId="Heading3">
    <w:name w:val="heading 3"/>
    <w:basedOn w:val="Normal"/>
    <w:next w:val="Normal"/>
    <w:link w:val="Heading3Char"/>
    <w:uiPriority w:val="9"/>
    <w:qFormat/>
    <w:rsid w:val="00C94D62"/>
    <w:pPr>
      <w:keepNext/>
      <w:keepLines/>
      <w:spacing w:before="360" w:after="120"/>
      <w:outlineLvl w:val="2"/>
    </w:pPr>
    <w:rPr>
      <w:rFonts w:asciiTheme="majorHAnsi" w:eastAsiaTheme="majorEastAsia" w:hAnsiTheme="majorHAnsi" w:cstheme="majorBidi"/>
      <w:color w:val="271361"/>
    </w:rPr>
  </w:style>
  <w:style w:type="paragraph" w:styleId="Heading4">
    <w:name w:val="heading 4"/>
    <w:basedOn w:val="Normal"/>
    <w:next w:val="Normal"/>
    <w:link w:val="Heading4Char"/>
    <w:uiPriority w:val="9"/>
    <w:qFormat/>
    <w:rsid w:val="00C94D62"/>
    <w:pPr>
      <w:keepNext/>
      <w:keepLines/>
      <w:spacing w:before="360" w:after="120"/>
      <w:outlineLvl w:val="3"/>
    </w:pPr>
    <w:rPr>
      <w:rFonts w:asciiTheme="majorHAnsi" w:eastAsiaTheme="majorEastAsia" w:hAnsiTheme="majorHAnsi" w:cstheme="majorBidi"/>
      <w:b/>
      <w:iCs/>
      <w:caps/>
      <w:color w:val="0057B8" w:themeColor="accent1"/>
      <w:sz w:val="21"/>
    </w:rPr>
  </w:style>
  <w:style w:type="paragraph" w:styleId="Heading5">
    <w:name w:val="heading 5"/>
    <w:basedOn w:val="Normal"/>
    <w:next w:val="Normal"/>
    <w:link w:val="Heading5Char"/>
    <w:uiPriority w:val="9"/>
    <w:qFormat/>
    <w:rsid w:val="00C94D62"/>
    <w:pPr>
      <w:keepNext/>
      <w:keepLines/>
      <w:spacing w:before="360" w:after="120"/>
      <w:outlineLvl w:val="4"/>
    </w:pPr>
    <w:rPr>
      <w:rFonts w:asciiTheme="majorHAnsi" w:eastAsiaTheme="majorEastAsia" w:hAnsiTheme="majorHAnsi" w:cstheme="majorBidi"/>
      <w:caps/>
      <w:color w:val="271361"/>
      <w:sz w:val="21"/>
    </w:rPr>
  </w:style>
  <w:style w:type="paragraph" w:styleId="Heading6">
    <w:name w:val="heading 6"/>
    <w:basedOn w:val="Normal"/>
    <w:next w:val="Normal"/>
    <w:link w:val="Heading6Char"/>
    <w:uiPriority w:val="9"/>
    <w:unhideWhenUsed/>
    <w:qFormat/>
    <w:rsid w:val="00C94D62"/>
    <w:pPr>
      <w:keepNext/>
      <w:keepLines/>
      <w:spacing w:before="360" w:after="120"/>
      <w:outlineLvl w:val="5"/>
    </w:pPr>
    <w:rPr>
      <w:rFonts w:asciiTheme="majorHAnsi" w:eastAsiaTheme="majorEastAsia" w:hAnsiTheme="majorHAnsi" w:cstheme="majorBidi"/>
      <w:color w:val="51B5E0"/>
      <w:sz w:val="21"/>
    </w:rPr>
  </w:style>
  <w:style w:type="paragraph" w:styleId="Heading7">
    <w:name w:val="heading 7"/>
    <w:basedOn w:val="Normal"/>
    <w:next w:val="Normal"/>
    <w:link w:val="Heading7Char"/>
    <w:uiPriority w:val="9"/>
    <w:semiHidden/>
    <w:unhideWhenUsed/>
    <w:qFormat/>
    <w:rsid w:val="00C94D62"/>
    <w:pPr>
      <w:keepNext/>
      <w:keepLines/>
      <w:spacing w:before="40" w:after="0"/>
      <w:outlineLvl w:val="6"/>
    </w:pPr>
    <w:rPr>
      <w:rFonts w:asciiTheme="majorHAnsi" w:eastAsiaTheme="majorEastAsia" w:hAnsiTheme="majorHAnsi" w:cstheme="majorBidi"/>
      <w:i/>
      <w:iCs/>
      <w:color w:val="002A5B" w:themeColor="accent1" w:themeShade="7F"/>
    </w:rPr>
  </w:style>
  <w:style w:type="character" w:default="1" w:styleId="DefaultParagraphFont">
    <w:name w:val="Default Paragraph Font"/>
    <w:uiPriority w:val="1"/>
    <w:semiHidden/>
    <w:unhideWhenUsed/>
    <w:rsid w:val="00C335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3593"/>
  </w:style>
  <w:style w:type="paragraph" w:styleId="Header">
    <w:name w:val="header"/>
    <w:basedOn w:val="Normal"/>
    <w:link w:val="HeaderChar"/>
    <w:uiPriority w:val="99"/>
    <w:unhideWhenUsed/>
    <w:rsid w:val="00C94D62"/>
    <w:pPr>
      <w:tabs>
        <w:tab w:val="center" w:pos="4680"/>
        <w:tab w:val="right" w:pos="9360"/>
      </w:tabs>
    </w:pPr>
  </w:style>
  <w:style w:type="character" w:customStyle="1" w:styleId="HeaderChar">
    <w:name w:val="Header Char"/>
    <w:basedOn w:val="DefaultParagraphFont"/>
    <w:link w:val="Header"/>
    <w:uiPriority w:val="99"/>
    <w:rsid w:val="00C94D62"/>
    <w:rPr>
      <w:color w:val="44484A"/>
      <w:sz w:val="20"/>
    </w:rPr>
  </w:style>
  <w:style w:type="paragraph" w:styleId="Footer">
    <w:name w:val="footer"/>
    <w:basedOn w:val="Normal"/>
    <w:link w:val="FooterChar"/>
    <w:uiPriority w:val="99"/>
    <w:unhideWhenUsed/>
    <w:rsid w:val="00C94D62"/>
    <w:pPr>
      <w:tabs>
        <w:tab w:val="center" w:pos="4680"/>
        <w:tab w:val="right" w:pos="9360"/>
      </w:tabs>
    </w:pPr>
    <w:rPr>
      <w:sz w:val="12"/>
    </w:rPr>
  </w:style>
  <w:style w:type="character" w:customStyle="1" w:styleId="FooterChar">
    <w:name w:val="Footer Char"/>
    <w:basedOn w:val="DefaultParagraphFont"/>
    <w:link w:val="Footer"/>
    <w:uiPriority w:val="99"/>
    <w:rsid w:val="00C94D62"/>
    <w:rPr>
      <w:color w:val="44484A"/>
      <w:sz w:val="12"/>
    </w:rPr>
  </w:style>
  <w:style w:type="paragraph" w:styleId="BalloonText">
    <w:name w:val="Balloon Text"/>
    <w:basedOn w:val="Normal"/>
    <w:link w:val="BalloonTextChar"/>
    <w:uiPriority w:val="99"/>
    <w:semiHidden/>
    <w:unhideWhenUsed/>
    <w:rsid w:val="00C94D62"/>
    <w:rPr>
      <w:rFonts w:ascii="Tahoma" w:hAnsi="Tahoma" w:cs="Tahoma"/>
      <w:sz w:val="16"/>
      <w:szCs w:val="16"/>
    </w:rPr>
  </w:style>
  <w:style w:type="character" w:customStyle="1" w:styleId="BalloonTextChar">
    <w:name w:val="Balloon Text Char"/>
    <w:basedOn w:val="DefaultParagraphFont"/>
    <w:link w:val="BalloonText"/>
    <w:uiPriority w:val="99"/>
    <w:semiHidden/>
    <w:rsid w:val="00C94D62"/>
    <w:rPr>
      <w:rFonts w:ascii="Tahoma" w:hAnsi="Tahoma" w:cs="Tahoma"/>
      <w:color w:val="44484A"/>
      <w:sz w:val="16"/>
      <w:szCs w:val="16"/>
    </w:rPr>
  </w:style>
  <w:style w:type="paragraph" w:styleId="BodyText">
    <w:name w:val="Body Text"/>
    <w:basedOn w:val="Normal"/>
    <w:link w:val="BodyTextChar"/>
    <w:rsid w:val="00C94D62"/>
  </w:style>
  <w:style w:type="character" w:customStyle="1" w:styleId="BodyTextChar">
    <w:name w:val="Body Text Char"/>
    <w:basedOn w:val="DefaultParagraphFont"/>
    <w:link w:val="BodyText"/>
    <w:rsid w:val="00C94D62"/>
    <w:rPr>
      <w:color w:val="44484A"/>
      <w:sz w:val="20"/>
    </w:rPr>
  </w:style>
  <w:style w:type="paragraph" w:styleId="NoSpacing">
    <w:name w:val="No Spacing"/>
    <w:uiPriority w:val="1"/>
    <w:qFormat/>
    <w:rsid w:val="00C94D62"/>
    <w:pPr>
      <w:spacing w:after="120" w:line="240" w:lineRule="auto"/>
    </w:pPr>
    <w:rPr>
      <w:color w:val="44484A"/>
      <w:sz w:val="20"/>
    </w:rPr>
  </w:style>
  <w:style w:type="character" w:styleId="PlaceholderText">
    <w:name w:val="Placeholder Text"/>
    <w:basedOn w:val="DefaultParagraphFont"/>
    <w:uiPriority w:val="99"/>
    <w:semiHidden/>
    <w:rsid w:val="00C94D62"/>
    <w:rPr>
      <w:color w:val="808080"/>
    </w:rPr>
  </w:style>
  <w:style w:type="character" w:customStyle="1" w:styleId="Heading1Char">
    <w:name w:val="Heading 1 Char"/>
    <w:basedOn w:val="DefaultParagraphFont"/>
    <w:link w:val="Heading1"/>
    <w:uiPriority w:val="9"/>
    <w:rsid w:val="00C94D62"/>
    <w:rPr>
      <w:rFonts w:asciiTheme="majorHAnsi" w:eastAsia="Times New Roman" w:hAnsiTheme="majorHAnsi" w:cs="Arial"/>
      <w:b/>
      <w:bCs/>
      <w:caps/>
      <w:color w:val="0057B8" w:themeColor="accent1"/>
      <w:spacing w:val="10"/>
      <w:kern w:val="32"/>
      <w:sz w:val="28"/>
      <w:szCs w:val="36"/>
      <w:u w:color="00CCFF"/>
    </w:rPr>
  </w:style>
  <w:style w:type="character" w:customStyle="1" w:styleId="Heading2Char">
    <w:name w:val="Heading 2 Char"/>
    <w:basedOn w:val="DefaultParagraphFont"/>
    <w:link w:val="Heading2"/>
    <w:uiPriority w:val="9"/>
    <w:rsid w:val="00C94D62"/>
    <w:rPr>
      <w:rFonts w:asciiTheme="majorHAnsi" w:eastAsiaTheme="majorEastAsia" w:hAnsiTheme="majorHAnsi" w:cstheme="majorBidi"/>
      <w:b/>
      <w:bCs/>
      <w:color w:val="51B5E0"/>
      <w:sz w:val="24"/>
      <w:szCs w:val="26"/>
    </w:rPr>
  </w:style>
  <w:style w:type="character" w:customStyle="1" w:styleId="Heading3Char">
    <w:name w:val="Heading 3 Char"/>
    <w:basedOn w:val="DefaultParagraphFont"/>
    <w:link w:val="Heading3"/>
    <w:uiPriority w:val="9"/>
    <w:rsid w:val="00C94D62"/>
    <w:rPr>
      <w:rFonts w:asciiTheme="majorHAnsi" w:eastAsiaTheme="majorEastAsia" w:hAnsiTheme="majorHAnsi" w:cstheme="majorBidi"/>
      <w:color w:val="271361"/>
      <w:sz w:val="24"/>
      <w:szCs w:val="24"/>
    </w:rPr>
  </w:style>
  <w:style w:type="table" w:styleId="TableGrid">
    <w:name w:val="Table Grid"/>
    <w:basedOn w:val="TableNormal"/>
    <w:uiPriority w:val="59"/>
    <w:rsid w:val="00C94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C94D62"/>
    <w:pPr>
      <w:numPr>
        <w:numId w:val="1"/>
      </w:numPr>
    </w:pPr>
  </w:style>
  <w:style w:type="character" w:styleId="BookTitle">
    <w:name w:val="Book Title"/>
    <w:basedOn w:val="DefaultParagraphFont"/>
    <w:uiPriority w:val="33"/>
    <w:qFormat/>
    <w:rsid w:val="00C94D62"/>
    <w:rPr>
      <w:b/>
      <w:bCs/>
      <w:i/>
      <w:iCs/>
      <w:spacing w:val="5"/>
    </w:rPr>
  </w:style>
  <w:style w:type="paragraph" w:styleId="Caption">
    <w:name w:val="caption"/>
    <w:basedOn w:val="Normal"/>
    <w:next w:val="Normal"/>
    <w:uiPriority w:val="35"/>
    <w:unhideWhenUsed/>
    <w:qFormat/>
    <w:rsid w:val="00C94D62"/>
    <w:pPr>
      <w:jc w:val="center"/>
    </w:pPr>
    <w:rPr>
      <w:iCs/>
      <w:color w:val="5B6770"/>
      <w:szCs w:val="18"/>
    </w:rPr>
  </w:style>
  <w:style w:type="table" w:styleId="GridTable1Light-Accent1">
    <w:name w:val="Grid Table 1 Light Accent 1"/>
    <w:basedOn w:val="TableNormal"/>
    <w:uiPriority w:val="46"/>
    <w:rsid w:val="00C94D62"/>
    <w:pPr>
      <w:spacing w:after="0" w:line="240" w:lineRule="auto"/>
    </w:pPr>
    <w:tblPr>
      <w:tblStyleRowBandSize w:val="1"/>
      <w:tblStyleColBandSize w:val="1"/>
      <w:tblBorders>
        <w:top w:val="single" w:sz="4" w:space="0" w:color="7CB9FF" w:themeColor="accent1" w:themeTint="66"/>
        <w:left w:val="single" w:sz="4" w:space="0" w:color="7CB9FF" w:themeColor="accent1" w:themeTint="66"/>
        <w:bottom w:val="single" w:sz="4" w:space="0" w:color="7CB9FF" w:themeColor="accent1" w:themeTint="66"/>
        <w:right w:val="single" w:sz="4" w:space="0" w:color="7CB9FF" w:themeColor="accent1" w:themeTint="66"/>
        <w:insideH w:val="single" w:sz="4" w:space="0" w:color="7CB9FF" w:themeColor="accent1" w:themeTint="66"/>
        <w:insideV w:val="single" w:sz="4" w:space="0" w:color="7CB9FF" w:themeColor="accent1" w:themeTint="66"/>
      </w:tblBorders>
    </w:tblPr>
    <w:tblStylePr w:type="firstRow">
      <w:rPr>
        <w:b/>
        <w:bCs/>
      </w:rPr>
      <w:tblPr/>
      <w:tcPr>
        <w:tcBorders>
          <w:bottom w:val="single" w:sz="12" w:space="0" w:color="3B97FF" w:themeColor="accent1" w:themeTint="99"/>
        </w:tcBorders>
      </w:tcPr>
    </w:tblStylePr>
    <w:tblStylePr w:type="lastRow">
      <w:rPr>
        <w:b/>
        <w:bCs/>
      </w:rPr>
      <w:tblPr/>
      <w:tcPr>
        <w:tcBorders>
          <w:top w:val="double" w:sz="2" w:space="0" w:color="3B97FF"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94D62"/>
    <w:pPr>
      <w:spacing w:after="0" w:line="240" w:lineRule="auto"/>
    </w:pPr>
    <w:tblPr>
      <w:tblStyleRowBandSize w:val="1"/>
      <w:tblStyleColBandSize w:val="1"/>
      <w:tblBorders>
        <w:top w:val="single" w:sz="4" w:space="0" w:color="80E0E4" w:themeColor="accent5" w:themeTint="99"/>
        <w:left w:val="single" w:sz="4" w:space="0" w:color="80E0E4" w:themeColor="accent5" w:themeTint="99"/>
        <w:bottom w:val="single" w:sz="4" w:space="0" w:color="80E0E4" w:themeColor="accent5" w:themeTint="99"/>
        <w:right w:val="single" w:sz="4" w:space="0" w:color="80E0E4" w:themeColor="accent5" w:themeTint="99"/>
        <w:insideH w:val="single" w:sz="4" w:space="0" w:color="80E0E4" w:themeColor="accent5" w:themeTint="99"/>
        <w:insideV w:val="single" w:sz="4" w:space="0" w:color="80E0E4" w:themeColor="accent5" w:themeTint="99"/>
      </w:tblBorders>
    </w:tblPr>
    <w:tblStylePr w:type="firstRow">
      <w:rPr>
        <w:b/>
        <w:bCs/>
        <w:color w:val="FFFFFF" w:themeColor="background1"/>
      </w:rPr>
      <w:tblPr/>
      <w:tcPr>
        <w:tcBorders>
          <w:top w:val="single" w:sz="4" w:space="0" w:color="2DCCD3" w:themeColor="accent5"/>
          <w:left w:val="single" w:sz="4" w:space="0" w:color="2DCCD3" w:themeColor="accent5"/>
          <w:bottom w:val="single" w:sz="4" w:space="0" w:color="2DCCD3" w:themeColor="accent5"/>
          <w:right w:val="single" w:sz="4" w:space="0" w:color="2DCCD3" w:themeColor="accent5"/>
          <w:insideH w:val="nil"/>
          <w:insideV w:val="nil"/>
        </w:tcBorders>
        <w:shd w:val="clear" w:color="auto" w:fill="2DCCD3" w:themeFill="accent5"/>
      </w:tcPr>
    </w:tblStylePr>
    <w:tblStylePr w:type="lastRow">
      <w:rPr>
        <w:b/>
        <w:bCs/>
      </w:rPr>
      <w:tblPr/>
      <w:tcPr>
        <w:tcBorders>
          <w:top w:val="double" w:sz="4" w:space="0" w:color="2DCCD3" w:themeColor="accent5"/>
        </w:tcBorders>
      </w:tcPr>
    </w:tblStylePr>
    <w:tblStylePr w:type="firstCol">
      <w:rPr>
        <w:b/>
        <w:bCs/>
      </w:rPr>
    </w:tblStylePr>
    <w:tblStylePr w:type="lastCol">
      <w:rPr>
        <w:b/>
        <w:bCs/>
      </w:rPr>
    </w:tblStylePr>
    <w:tblStylePr w:type="band1Vert">
      <w:tblPr/>
      <w:tcPr>
        <w:shd w:val="clear" w:color="auto" w:fill="D4F4F6" w:themeFill="accent5" w:themeFillTint="33"/>
      </w:tcPr>
    </w:tblStylePr>
    <w:tblStylePr w:type="band1Horz">
      <w:tblPr/>
      <w:tcPr>
        <w:shd w:val="clear" w:color="auto" w:fill="D4F4F6" w:themeFill="accent5" w:themeFillTint="33"/>
      </w:tcPr>
    </w:tblStylePr>
  </w:style>
  <w:style w:type="character" w:customStyle="1" w:styleId="Heading4Char">
    <w:name w:val="Heading 4 Char"/>
    <w:basedOn w:val="DefaultParagraphFont"/>
    <w:link w:val="Heading4"/>
    <w:uiPriority w:val="9"/>
    <w:rsid w:val="00C94D62"/>
    <w:rPr>
      <w:rFonts w:asciiTheme="majorHAnsi" w:eastAsiaTheme="majorEastAsia" w:hAnsiTheme="majorHAnsi" w:cstheme="majorBidi"/>
      <w:b/>
      <w:iCs/>
      <w:caps/>
      <w:color w:val="0057B8" w:themeColor="accent1"/>
      <w:sz w:val="21"/>
    </w:rPr>
  </w:style>
  <w:style w:type="character" w:customStyle="1" w:styleId="Heading5Char">
    <w:name w:val="Heading 5 Char"/>
    <w:basedOn w:val="DefaultParagraphFont"/>
    <w:link w:val="Heading5"/>
    <w:uiPriority w:val="9"/>
    <w:rsid w:val="00C94D62"/>
    <w:rPr>
      <w:rFonts w:asciiTheme="majorHAnsi" w:eastAsiaTheme="majorEastAsia" w:hAnsiTheme="majorHAnsi" w:cstheme="majorBidi"/>
      <w:caps/>
      <w:color w:val="271361"/>
      <w:sz w:val="21"/>
    </w:rPr>
  </w:style>
  <w:style w:type="character" w:styleId="Hyperlink">
    <w:name w:val="Hyperlink"/>
    <w:basedOn w:val="DefaultParagraphFont"/>
    <w:uiPriority w:val="99"/>
    <w:unhideWhenUsed/>
    <w:rsid w:val="00C94D62"/>
    <w:rPr>
      <w:color w:val="0057B8" w:themeColor="hyperlink"/>
      <w:u w:val="single"/>
    </w:rPr>
  </w:style>
  <w:style w:type="paragraph" w:styleId="ListBullet">
    <w:name w:val="List Bullet"/>
    <w:basedOn w:val="Normal"/>
    <w:uiPriority w:val="99"/>
    <w:unhideWhenUsed/>
    <w:rsid w:val="00C94D62"/>
    <w:pPr>
      <w:numPr>
        <w:numId w:val="2"/>
      </w:numPr>
      <w:contextualSpacing/>
    </w:pPr>
  </w:style>
  <w:style w:type="paragraph" w:styleId="ListNumber">
    <w:name w:val="List Number"/>
    <w:basedOn w:val="Normal"/>
    <w:uiPriority w:val="99"/>
    <w:unhideWhenUsed/>
    <w:rsid w:val="00C94D62"/>
    <w:pPr>
      <w:numPr>
        <w:numId w:val="3"/>
      </w:numPr>
      <w:contextualSpacing/>
    </w:pPr>
  </w:style>
  <w:style w:type="paragraph" w:styleId="ListParagraph">
    <w:name w:val="List Paragraph"/>
    <w:basedOn w:val="Normal"/>
    <w:uiPriority w:val="34"/>
    <w:qFormat/>
    <w:rsid w:val="00C94D62"/>
    <w:pPr>
      <w:ind w:left="360"/>
      <w:contextualSpacing/>
    </w:pPr>
  </w:style>
  <w:style w:type="paragraph" w:styleId="NormalWeb">
    <w:name w:val="Normal (Web)"/>
    <w:basedOn w:val="Normal"/>
    <w:uiPriority w:val="99"/>
    <w:semiHidden/>
    <w:unhideWhenUsed/>
    <w:rsid w:val="00C94D62"/>
    <w:rPr>
      <w:rFonts w:ascii="Times New Roman" w:hAnsi="Times New Roman" w:cs="Times New Roman"/>
    </w:rPr>
  </w:style>
  <w:style w:type="numbering" w:customStyle="1" w:styleId="Style1">
    <w:name w:val="Style1"/>
    <w:uiPriority w:val="99"/>
    <w:rsid w:val="00C94D62"/>
    <w:pPr>
      <w:numPr>
        <w:numId w:val="4"/>
      </w:numPr>
    </w:pPr>
  </w:style>
  <w:style w:type="numbering" w:customStyle="1" w:styleId="Style2">
    <w:name w:val="Style2"/>
    <w:uiPriority w:val="99"/>
    <w:rsid w:val="00C94D62"/>
    <w:pPr>
      <w:numPr>
        <w:numId w:val="5"/>
      </w:numPr>
    </w:pPr>
  </w:style>
  <w:style w:type="numbering" w:customStyle="1" w:styleId="Style3">
    <w:name w:val="Style3"/>
    <w:uiPriority w:val="99"/>
    <w:rsid w:val="00C94D62"/>
    <w:pPr>
      <w:numPr>
        <w:numId w:val="12"/>
      </w:numPr>
    </w:pPr>
  </w:style>
  <w:style w:type="paragraph" w:styleId="Subtitle">
    <w:name w:val="Subtitle"/>
    <w:basedOn w:val="Normal"/>
    <w:next w:val="Normal"/>
    <w:link w:val="SubtitleChar"/>
    <w:uiPriority w:val="11"/>
    <w:qFormat/>
    <w:rsid w:val="00C94D62"/>
    <w:pPr>
      <w:numPr>
        <w:ilvl w:val="1"/>
      </w:numPr>
      <w:spacing w:before="480"/>
    </w:pPr>
    <w:rPr>
      <w:rFonts w:eastAsiaTheme="minorEastAsia"/>
      <w:color w:val="0057B8" w:themeColor="accent1"/>
      <w:spacing w:val="15"/>
      <w:sz w:val="36"/>
    </w:rPr>
  </w:style>
  <w:style w:type="character" w:customStyle="1" w:styleId="SubtitleChar">
    <w:name w:val="Subtitle Char"/>
    <w:basedOn w:val="DefaultParagraphFont"/>
    <w:link w:val="Subtitle"/>
    <w:uiPriority w:val="11"/>
    <w:rsid w:val="00C94D62"/>
    <w:rPr>
      <w:rFonts w:eastAsiaTheme="minorEastAsia"/>
      <w:color w:val="0057B8" w:themeColor="accent1"/>
      <w:spacing w:val="15"/>
      <w:sz w:val="36"/>
    </w:rPr>
  </w:style>
  <w:style w:type="paragraph" w:styleId="Title">
    <w:name w:val="Title"/>
    <w:basedOn w:val="Normal"/>
    <w:next w:val="Normal"/>
    <w:link w:val="TitleChar"/>
    <w:uiPriority w:val="10"/>
    <w:qFormat/>
    <w:rsid w:val="00C94D62"/>
    <w:pPr>
      <w:contextualSpacing/>
    </w:pPr>
    <w:rPr>
      <w:rFonts w:asciiTheme="majorHAnsi" w:eastAsiaTheme="majorEastAsia" w:hAnsiTheme="majorHAnsi" w:cstheme="majorBidi"/>
      <w:color w:val="271361"/>
      <w:spacing w:val="-10"/>
      <w:kern w:val="28"/>
      <w:sz w:val="48"/>
      <w:szCs w:val="56"/>
    </w:rPr>
  </w:style>
  <w:style w:type="character" w:customStyle="1" w:styleId="TitleChar">
    <w:name w:val="Title Char"/>
    <w:basedOn w:val="DefaultParagraphFont"/>
    <w:link w:val="Title"/>
    <w:uiPriority w:val="10"/>
    <w:rsid w:val="00C94D62"/>
    <w:rPr>
      <w:rFonts w:asciiTheme="majorHAnsi" w:eastAsiaTheme="majorEastAsia" w:hAnsiTheme="majorHAnsi" w:cstheme="majorBidi"/>
      <w:color w:val="271361"/>
      <w:spacing w:val="-10"/>
      <w:kern w:val="28"/>
      <w:sz w:val="48"/>
      <w:szCs w:val="56"/>
    </w:rPr>
  </w:style>
  <w:style w:type="paragraph" w:styleId="TOC1">
    <w:name w:val="toc 1"/>
    <w:basedOn w:val="Normal"/>
    <w:next w:val="Normal"/>
    <w:autoRedefine/>
    <w:uiPriority w:val="39"/>
    <w:unhideWhenUsed/>
    <w:rsid w:val="002D3498"/>
    <w:pPr>
      <w:tabs>
        <w:tab w:val="left" w:pos="440"/>
        <w:tab w:val="right" w:leader="dot" w:pos="8832"/>
      </w:tabs>
      <w:spacing w:after="100"/>
    </w:pPr>
    <w:rPr>
      <w:rFonts w:eastAsiaTheme="minorEastAsia" w:cs="Times New Roman"/>
    </w:rPr>
  </w:style>
  <w:style w:type="paragraph" w:styleId="TOC2">
    <w:name w:val="toc 2"/>
    <w:basedOn w:val="Normal"/>
    <w:next w:val="Normal"/>
    <w:autoRedefine/>
    <w:uiPriority w:val="39"/>
    <w:unhideWhenUsed/>
    <w:rsid w:val="00C94D62"/>
    <w:pPr>
      <w:spacing w:after="100"/>
      <w:ind w:left="220"/>
    </w:pPr>
    <w:rPr>
      <w:rFonts w:eastAsiaTheme="minorEastAsia" w:cs="Times New Roman"/>
    </w:rPr>
  </w:style>
  <w:style w:type="paragraph" w:styleId="TOC3">
    <w:name w:val="toc 3"/>
    <w:basedOn w:val="Normal"/>
    <w:next w:val="Normal"/>
    <w:autoRedefine/>
    <w:uiPriority w:val="39"/>
    <w:unhideWhenUsed/>
    <w:rsid w:val="00C94D62"/>
    <w:pPr>
      <w:spacing w:after="100"/>
      <w:ind w:left="440"/>
    </w:pPr>
    <w:rPr>
      <w:rFonts w:eastAsiaTheme="minorEastAsia" w:cs="Times New Roman"/>
    </w:rPr>
  </w:style>
  <w:style w:type="paragraph" w:styleId="TOCHeading">
    <w:name w:val="TOC Heading"/>
    <w:basedOn w:val="Heading1"/>
    <w:next w:val="Normal"/>
    <w:uiPriority w:val="39"/>
    <w:unhideWhenUsed/>
    <w:qFormat/>
    <w:rsid w:val="00C94D62"/>
    <w:pPr>
      <w:spacing w:line="480" w:lineRule="auto"/>
    </w:pPr>
    <w:rPr>
      <w:b w:val="0"/>
      <w:bCs w:val="0"/>
      <w:caps w:val="0"/>
      <w:color w:val="004089" w:themeColor="accent1" w:themeShade="BF"/>
      <w:sz w:val="32"/>
      <w:szCs w:val="32"/>
    </w:rPr>
  </w:style>
  <w:style w:type="paragraph" w:customStyle="1" w:styleId="VlnBullet1">
    <w:name w:val="Vln Bullet 1"/>
    <w:basedOn w:val="BodyText"/>
    <w:qFormat/>
    <w:rsid w:val="00C94D62"/>
    <w:pPr>
      <w:numPr>
        <w:numId w:val="40"/>
      </w:numPr>
      <w:contextualSpacing/>
    </w:pPr>
  </w:style>
  <w:style w:type="paragraph" w:customStyle="1" w:styleId="VlnBullet2">
    <w:name w:val="Vln Bullet 2"/>
    <w:basedOn w:val="VlnBullet1"/>
    <w:qFormat/>
    <w:rsid w:val="00C94D62"/>
    <w:pPr>
      <w:numPr>
        <w:ilvl w:val="1"/>
      </w:numPr>
    </w:pPr>
    <w:rPr>
      <w:rFonts w:eastAsia="Times New Roman" w:cs="Times New Roman"/>
    </w:rPr>
  </w:style>
  <w:style w:type="paragraph" w:customStyle="1" w:styleId="VlnBullet3">
    <w:name w:val="Vln Bullet 3"/>
    <w:basedOn w:val="VlnBullet1"/>
    <w:qFormat/>
    <w:rsid w:val="00C94D62"/>
    <w:pPr>
      <w:numPr>
        <w:ilvl w:val="2"/>
      </w:numPr>
    </w:pPr>
  </w:style>
  <w:style w:type="paragraph" w:customStyle="1" w:styleId="VlnBullet4">
    <w:name w:val="Vln Bullet 4"/>
    <w:basedOn w:val="VlnBullet1"/>
    <w:qFormat/>
    <w:rsid w:val="00C94D62"/>
    <w:pPr>
      <w:numPr>
        <w:ilvl w:val="3"/>
      </w:numPr>
    </w:pPr>
  </w:style>
  <w:style w:type="paragraph" w:customStyle="1" w:styleId="VlnBullet5">
    <w:name w:val="Vln Bullet 5"/>
    <w:basedOn w:val="VlnBullet1"/>
    <w:qFormat/>
    <w:rsid w:val="00C94D62"/>
    <w:pPr>
      <w:numPr>
        <w:ilvl w:val="4"/>
      </w:numPr>
    </w:pPr>
  </w:style>
  <w:style w:type="paragraph" w:customStyle="1" w:styleId="VlnCaptionFigure">
    <w:name w:val="Vln Caption Figure"/>
    <w:basedOn w:val="Caption"/>
    <w:next w:val="Normal"/>
    <w:rsid w:val="00C94D62"/>
    <w:pPr>
      <w:keepNext/>
      <w:spacing w:before="200"/>
    </w:pPr>
    <w:rPr>
      <w:rFonts w:ascii="Verdana" w:eastAsia="Times New Roman" w:hAnsi="Verdana" w:cs="Arial"/>
      <w:bCs/>
      <w:i/>
      <w:color w:val="auto"/>
      <w:kern w:val="22"/>
    </w:rPr>
  </w:style>
  <w:style w:type="paragraph" w:customStyle="1" w:styleId="VlnCaptionTable">
    <w:name w:val="Vln Caption Table"/>
    <w:basedOn w:val="Caption"/>
    <w:next w:val="Normal"/>
    <w:autoRedefine/>
    <w:rsid w:val="00C94D62"/>
    <w:pPr>
      <w:keepNext/>
      <w:spacing w:before="60"/>
    </w:pPr>
    <w:rPr>
      <w:rFonts w:ascii="Verdana" w:eastAsia="Times New Roman" w:hAnsi="Verdana" w:cs="Arial"/>
      <w:bCs/>
      <w:kern w:val="22"/>
    </w:rPr>
  </w:style>
  <w:style w:type="paragraph" w:customStyle="1" w:styleId="VlnExhibit">
    <w:name w:val="Vln Exhibit"/>
    <w:basedOn w:val="Title"/>
    <w:qFormat/>
    <w:rsid w:val="00C94D62"/>
    <w:pPr>
      <w:spacing w:before="4800"/>
    </w:pPr>
  </w:style>
  <w:style w:type="paragraph" w:customStyle="1" w:styleId="VlnExhibitHeading1">
    <w:name w:val="Vln Exhibit Heading 1"/>
    <w:basedOn w:val="Heading1"/>
    <w:next w:val="BodyText"/>
    <w:qFormat/>
    <w:rsid w:val="00C94D62"/>
  </w:style>
  <w:style w:type="paragraph" w:customStyle="1" w:styleId="VlnList1">
    <w:name w:val="Vln List 1"/>
    <w:basedOn w:val="Normal"/>
    <w:qFormat/>
    <w:rsid w:val="00C94D62"/>
    <w:pPr>
      <w:numPr>
        <w:numId w:val="6"/>
      </w:numPr>
      <w:contextualSpacing/>
    </w:pPr>
    <w:rPr>
      <w:rFonts w:eastAsia="Times New Roman" w:cs="Times New Roman"/>
    </w:rPr>
  </w:style>
  <w:style w:type="paragraph" w:customStyle="1" w:styleId="VlnList2">
    <w:name w:val="Vln List 2"/>
    <w:basedOn w:val="VlnList1"/>
    <w:qFormat/>
    <w:rsid w:val="00C94D62"/>
    <w:pPr>
      <w:numPr>
        <w:ilvl w:val="1"/>
      </w:numPr>
    </w:pPr>
  </w:style>
  <w:style w:type="paragraph" w:customStyle="1" w:styleId="VlnList3">
    <w:name w:val="Vln List 3"/>
    <w:basedOn w:val="VlnList1"/>
    <w:qFormat/>
    <w:rsid w:val="00C94D62"/>
    <w:pPr>
      <w:numPr>
        <w:ilvl w:val="2"/>
      </w:numPr>
    </w:pPr>
  </w:style>
  <w:style w:type="paragraph" w:customStyle="1" w:styleId="VlnList4">
    <w:name w:val="Vln List 4"/>
    <w:basedOn w:val="VlnList1"/>
    <w:qFormat/>
    <w:rsid w:val="00C94D62"/>
    <w:pPr>
      <w:numPr>
        <w:ilvl w:val="3"/>
      </w:numPr>
    </w:pPr>
  </w:style>
  <w:style w:type="paragraph" w:customStyle="1" w:styleId="VlnList5">
    <w:name w:val="Vln List 5"/>
    <w:basedOn w:val="VlnList1"/>
    <w:qFormat/>
    <w:rsid w:val="00C94D62"/>
    <w:pPr>
      <w:numPr>
        <w:ilvl w:val="4"/>
      </w:numPr>
    </w:pPr>
  </w:style>
  <w:style w:type="table" w:customStyle="1" w:styleId="VlnTable">
    <w:name w:val="Vln Table"/>
    <w:basedOn w:val="TableNormal"/>
    <w:uiPriority w:val="99"/>
    <w:rsid w:val="00C94D62"/>
    <w:pPr>
      <w:spacing w:before="120" w:after="0" w:line="240" w:lineRule="auto"/>
    </w:pPr>
    <w:rPr>
      <w:color w:val="5B6770"/>
      <w:sz w:val="20"/>
    </w:rPr>
    <w:tblPr>
      <w:tblStyleRowBandSize w:val="1"/>
      <w:tblStyleColBandSize w:val="1"/>
    </w:tblPr>
    <w:tblStylePr w:type="firstRow">
      <w:pPr>
        <w:wordWrap/>
        <w:spacing w:beforeLines="0" w:before="120" w:beforeAutospacing="0" w:afterLines="0" w:after="0" w:afterAutospacing="0" w:line="240" w:lineRule="auto"/>
      </w:pPr>
      <w:rPr>
        <w:rFonts w:asciiTheme="minorHAnsi" w:hAnsiTheme="minorHAnsi"/>
        <w:b/>
        <w:i w:val="0"/>
        <w:color w:val="000000" w:themeColor="text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fir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la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band1Vert">
      <w:pPr>
        <w:wordWrap/>
      </w:pPr>
    </w:tblStylePr>
    <w:tblStylePr w:type="band2Vert">
      <w:pPr>
        <w:wordWrap/>
      </w:pPr>
    </w:tblStylePr>
    <w:tblStylePr w:type="band1Horz">
      <w:pPr>
        <w:wordWrap/>
      </w:pPr>
      <w:rPr>
        <w:color w:val="000000" w:themeColor="text1"/>
      </w:rPr>
    </w:tblStylePr>
    <w:tblStylePr w:type="band2Horz">
      <w:pPr>
        <w:wordWrap/>
      </w:pPr>
    </w:tblStylePr>
    <w:tblStylePr w:type="seCell">
      <w:pPr>
        <w:wordWrap/>
      </w:pPr>
    </w:tblStylePr>
    <w:tblStylePr w:type="swCell">
      <w:tblPr/>
      <w:tcPr>
        <w:tcBorders>
          <w:top w:val="nil"/>
          <w:left w:val="nil"/>
          <w:bottom w:val="nil"/>
          <w:right w:val="nil"/>
          <w:insideH w:val="nil"/>
          <w:insideV w:val="nil"/>
          <w:tl2br w:val="nil"/>
          <w:tr2bl w:val="nil"/>
        </w:tcBorders>
      </w:tcPr>
    </w:tblStylePr>
  </w:style>
  <w:style w:type="paragraph" w:customStyle="1" w:styleId="VlnTableBullet">
    <w:name w:val="Vln Table Bullet"/>
    <w:basedOn w:val="VlnBullet1"/>
    <w:qFormat/>
    <w:rsid w:val="00C94D62"/>
    <w:pPr>
      <w:spacing w:after="0"/>
      <w:ind w:left="360"/>
    </w:pPr>
  </w:style>
  <w:style w:type="paragraph" w:customStyle="1" w:styleId="VlnTableFootnote">
    <w:name w:val="Vln Table Footnote"/>
    <w:basedOn w:val="ListParagraph"/>
    <w:qFormat/>
    <w:rsid w:val="00C94D62"/>
    <w:pPr>
      <w:numPr>
        <w:numId w:val="11"/>
      </w:numPr>
      <w:spacing w:before="60"/>
      <w:ind w:left="342"/>
    </w:pPr>
    <w:rPr>
      <w:color w:val="53565A"/>
      <w:sz w:val="16"/>
      <w:szCs w:val="16"/>
    </w:rPr>
  </w:style>
  <w:style w:type="character" w:customStyle="1" w:styleId="Heading6Char">
    <w:name w:val="Heading 6 Char"/>
    <w:basedOn w:val="DefaultParagraphFont"/>
    <w:link w:val="Heading6"/>
    <w:uiPriority w:val="9"/>
    <w:rsid w:val="00C94D62"/>
    <w:rPr>
      <w:rFonts w:asciiTheme="majorHAnsi" w:eastAsiaTheme="majorEastAsia" w:hAnsiTheme="majorHAnsi" w:cstheme="majorBidi"/>
      <w:color w:val="51B5E0"/>
      <w:sz w:val="21"/>
    </w:rPr>
  </w:style>
  <w:style w:type="table" w:customStyle="1" w:styleId="VlnTable2">
    <w:name w:val="Vln Table 2"/>
    <w:basedOn w:val="TableNormal"/>
    <w:uiPriority w:val="99"/>
    <w:rsid w:val="00C94D62"/>
    <w:pPr>
      <w:spacing w:before="120" w:after="0" w:line="240" w:lineRule="auto"/>
    </w:pPr>
    <w:rPr>
      <w:color w:val="5B6770"/>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FFFFFF" w:themeColor="background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bottom w:val="nil"/>
        </w:tcBorders>
      </w:tcPr>
    </w:tblStylePr>
    <w:tblStylePr w:type="band2Horz">
      <w:tblPr/>
      <w:tcPr>
        <w:tcBorders>
          <w:top w:val="nil"/>
          <w:left w:val="nil"/>
          <w:bottom w:val="nil"/>
          <w:right w:val="nil"/>
          <w:insideH w:val="nil"/>
          <w:insideV w:val="nil"/>
          <w:tl2br w:val="nil"/>
          <w:tr2bl w:val="nil"/>
        </w:tcBorders>
        <w:shd w:val="clear" w:color="auto" w:fill="E7F6F7"/>
      </w:tcPr>
    </w:tblStylePr>
    <w:tblStylePr w:type="swCell">
      <w:tblPr/>
      <w:tcPr>
        <w:tcBorders>
          <w:top w:val="single" w:sz="4" w:space="0" w:color="2DCCD3" w:themeColor="accent5"/>
          <w:left w:val="nil"/>
          <w:bottom w:val="single" w:sz="4" w:space="0" w:color="2DCCD3" w:themeColor="accent5"/>
          <w:right w:val="nil"/>
          <w:insideH w:val="nil"/>
          <w:insideV w:val="nil"/>
          <w:tl2br w:val="nil"/>
          <w:tr2bl w:val="nil"/>
        </w:tcBorders>
      </w:tcPr>
    </w:tblStylePr>
  </w:style>
  <w:style w:type="paragraph" w:customStyle="1" w:styleId="VlnSecTitle">
    <w:name w:val="Vln Sec Title"/>
    <w:basedOn w:val="Title"/>
    <w:next w:val="BodyText"/>
    <w:qFormat/>
    <w:rsid w:val="00C94D62"/>
  </w:style>
  <w:style w:type="character" w:styleId="CommentReference">
    <w:name w:val="annotation reference"/>
    <w:basedOn w:val="DefaultParagraphFont"/>
    <w:uiPriority w:val="99"/>
    <w:semiHidden/>
    <w:unhideWhenUsed/>
    <w:rsid w:val="009337DF"/>
    <w:rPr>
      <w:sz w:val="16"/>
      <w:szCs w:val="16"/>
    </w:rPr>
  </w:style>
  <w:style w:type="paragraph" w:styleId="CommentText">
    <w:name w:val="annotation text"/>
    <w:basedOn w:val="Normal"/>
    <w:link w:val="CommentTextChar"/>
    <w:uiPriority w:val="99"/>
    <w:unhideWhenUsed/>
    <w:rsid w:val="009337DF"/>
    <w:rPr>
      <w:szCs w:val="20"/>
    </w:rPr>
  </w:style>
  <w:style w:type="character" w:customStyle="1" w:styleId="CommentTextChar">
    <w:name w:val="Comment Text Char"/>
    <w:basedOn w:val="DefaultParagraphFont"/>
    <w:link w:val="CommentText"/>
    <w:uiPriority w:val="99"/>
    <w:rsid w:val="009337DF"/>
    <w:rPr>
      <w:color w:val="44484A"/>
      <w:sz w:val="20"/>
      <w:szCs w:val="20"/>
    </w:rPr>
  </w:style>
  <w:style w:type="paragraph" w:styleId="CommentSubject">
    <w:name w:val="annotation subject"/>
    <w:basedOn w:val="CommentText"/>
    <w:next w:val="CommentText"/>
    <w:link w:val="CommentSubjectChar"/>
    <w:uiPriority w:val="99"/>
    <w:semiHidden/>
    <w:unhideWhenUsed/>
    <w:rsid w:val="009337DF"/>
    <w:rPr>
      <w:b/>
      <w:bCs/>
    </w:rPr>
  </w:style>
  <w:style w:type="character" w:customStyle="1" w:styleId="CommentSubjectChar">
    <w:name w:val="Comment Subject Char"/>
    <w:basedOn w:val="CommentTextChar"/>
    <w:link w:val="CommentSubject"/>
    <w:uiPriority w:val="99"/>
    <w:semiHidden/>
    <w:rsid w:val="009337DF"/>
    <w:rPr>
      <w:b/>
      <w:bCs/>
      <w:color w:val="44484A"/>
      <w:sz w:val="20"/>
      <w:szCs w:val="20"/>
    </w:rPr>
  </w:style>
  <w:style w:type="paragraph" w:styleId="FootnoteText">
    <w:name w:val="footnote text"/>
    <w:basedOn w:val="Normal"/>
    <w:link w:val="FootnoteTextChar"/>
    <w:uiPriority w:val="99"/>
    <w:semiHidden/>
    <w:unhideWhenUsed/>
    <w:rsid w:val="00C94D62"/>
    <w:rPr>
      <w:szCs w:val="20"/>
    </w:rPr>
  </w:style>
  <w:style w:type="character" w:customStyle="1" w:styleId="FootnoteTextChar">
    <w:name w:val="Footnote Text Char"/>
    <w:basedOn w:val="DefaultParagraphFont"/>
    <w:link w:val="FootnoteText"/>
    <w:uiPriority w:val="99"/>
    <w:semiHidden/>
    <w:rsid w:val="00C94D62"/>
    <w:rPr>
      <w:color w:val="44484A"/>
      <w:sz w:val="20"/>
      <w:szCs w:val="20"/>
    </w:rPr>
  </w:style>
  <w:style w:type="character" w:styleId="FootnoteReference">
    <w:name w:val="footnote reference"/>
    <w:basedOn w:val="DefaultParagraphFont"/>
    <w:uiPriority w:val="99"/>
    <w:semiHidden/>
    <w:unhideWhenUsed/>
    <w:rsid w:val="00C94D62"/>
    <w:rPr>
      <w:vertAlign w:val="superscript"/>
    </w:rPr>
  </w:style>
  <w:style w:type="character" w:styleId="UnresolvedMention">
    <w:name w:val="Unresolved Mention"/>
    <w:basedOn w:val="DefaultParagraphFont"/>
    <w:uiPriority w:val="99"/>
    <w:semiHidden/>
    <w:unhideWhenUsed/>
    <w:rsid w:val="00816295"/>
    <w:rPr>
      <w:color w:val="605E5C"/>
      <w:shd w:val="clear" w:color="auto" w:fill="E1DFDD"/>
    </w:rPr>
  </w:style>
  <w:style w:type="character" w:customStyle="1" w:styleId="Heading7Char">
    <w:name w:val="Heading 7 Char"/>
    <w:basedOn w:val="DefaultParagraphFont"/>
    <w:link w:val="Heading7"/>
    <w:uiPriority w:val="9"/>
    <w:semiHidden/>
    <w:rsid w:val="00C94D62"/>
    <w:rPr>
      <w:rFonts w:asciiTheme="majorHAnsi" w:eastAsiaTheme="majorEastAsia" w:hAnsiTheme="majorHAnsi" w:cstheme="majorBidi"/>
      <w:i/>
      <w:iCs/>
      <w:color w:val="002A5B" w:themeColor="accent1" w:themeShade="7F"/>
      <w:sz w:val="20"/>
    </w:rPr>
  </w:style>
  <w:style w:type="table" w:customStyle="1" w:styleId="VlnTable1">
    <w:name w:val="Vln Table 1"/>
    <w:basedOn w:val="TableNormal"/>
    <w:uiPriority w:val="99"/>
    <w:rsid w:val="00C94D62"/>
    <w:pPr>
      <w:spacing w:before="120" w:after="0" w:line="240" w:lineRule="auto"/>
    </w:pPr>
    <w:rPr>
      <w:color w:val="53565A"/>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5B6770" w:themeColor="background2"/>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band1Horz">
      <w:pPr>
        <w:wordWrap/>
      </w:pPr>
      <w:tblPr/>
      <w:tcPr>
        <w:tcBorders>
          <w:top w:val="nil"/>
          <w:left w:val="nil"/>
          <w:bottom w:val="nil"/>
          <w:right w:val="nil"/>
          <w:insideH w:val="nil"/>
          <w:insideV w:val="nil"/>
          <w:tl2br w:val="nil"/>
          <w:tr2bl w:val="nil"/>
        </w:tcBorders>
      </w:tcPr>
    </w:tblStylePr>
    <w:tblStylePr w:type="band2Horz">
      <w:pPr>
        <w:wordWrap/>
      </w:pPr>
      <w:tblPr/>
      <w:tcPr>
        <w:tcBorders>
          <w:top w:val="nil"/>
          <w:left w:val="nil"/>
          <w:bottom w:val="nil"/>
          <w:right w:val="nil"/>
          <w:insideH w:val="nil"/>
          <w:insideV w:val="nil"/>
          <w:tl2br w:val="nil"/>
          <w:tr2bl w:val="nil"/>
        </w:tcBorders>
      </w:tcPr>
    </w:tblStylePr>
    <w:tblStylePr w:type="seCell">
      <w:tblPr/>
      <w:tcPr>
        <w:tcBorders>
          <w:bottom w:val="single" w:sz="4" w:space="0" w:color="2DCCD3" w:themeColor="accent5"/>
        </w:tcBorders>
      </w:tcPr>
    </w:tblStylePr>
    <w:tblStylePr w:type="swCell">
      <w:tblPr/>
      <w:tcPr>
        <w:tcBorders>
          <w:top w:val="single" w:sz="4" w:space="0" w:color="2DCCD3" w:themeColor="accent5"/>
          <w:left w:val="nil"/>
          <w:bottom w:val="nil"/>
          <w:right w:val="nil"/>
          <w:insideH w:val="nil"/>
          <w:insideV w:val="nil"/>
          <w:tl2br w:val="nil"/>
          <w:tr2bl w:val="nil"/>
        </w:tcBorders>
      </w:tcPr>
    </w:tblStylePr>
  </w:style>
  <w:style w:type="numbering" w:customStyle="1" w:styleId="VlnBullets">
    <w:name w:val="Vln Bullets"/>
    <w:uiPriority w:val="99"/>
    <w:rsid w:val="00C94D62"/>
    <w:pPr>
      <w:numPr>
        <w:numId w:val="10"/>
      </w:numPr>
    </w:pPr>
  </w:style>
  <w:style w:type="character" w:styleId="SubtleEmphasis">
    <w:name w:val="Subtle Emphasis"/>
    <w:basedOn w:val="DefaultParagraphFont"/>
    <w:uiPriority w:val="19"/>
    <w:qFormat/>
    <w:rsid w:val="00C94D62"/>
    <w:rPr>
      <w:i/>
      <w:iCs/>
      <w:color w:val="404040" w:themeColor="text1" w:themeTint="BF"/>
    </w:rPr>
  </w:style>
  <w:style w:type="paragraph" w:styleId="Revision">
    <w:name w:val="Revision"/>
    <w:hidden/>
    <w:uiPriority w:val="99"/>
    <w:semiHidden/>
    <w:rsid w:val="00AF0E93"/>
    <w:pPr>
      <w:spacing w:after="0" w:line="240" w:lineRule="auto"/>
    </w:pPr>
    <w:rPr>
      <w:color w:val="44484A"/>
      <w:sz w:val="20"/>
    </w:rPr>
  </w:style>
  <w:style w:type="character" w:customStyle="1" w:styleId="cf01">
    <w:name w:val="cf01"/>
    <w:basedOn w:val="DefaultParagraphFont"/>
    <w:rsid w:val="00036A43"/>
    <w:rPr>
      <w:rFonts w:ascii="Segoe UI" w:hAnsi="Segoe UI" w:cs="Segoe UI" w:hint="default"/>
      <w:color w:val="44484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5118">
      <w:bodyDiv w:val="1"/>
      <w:marLeft w:val="0"/>
      <w:marRight w:val="0"/>
      <w:marTop w:val="0"/>
      <w:marBottom w:val="0"/>
      <w:divBdr>
        <w:top w:val="none" w:sz="0" w:space="0" w:color="auto"/>
        <w:left w:val="none" w:sz="0" w:space="0" w:color="auto"/>
        <w:bottom w:val="none" w:sz="0" w:space="0" w:color="auto"/>
        <w:right w:val="none" w:sz="0" w:space="0" w:color="auto"/>
      </w:divBdr>
    </w:div>
    <w:div w:id="537084702">
      <w:bodyDiv w:val="1"/>
      <w:marLeft w:val="0"/>
      <w:marRight w:val="0"/>
      <w:marTop w:val="0"/>
      <w:marBottom w:val="0"/>
      <w:divBdr>
        <w:top w:val="none" w:sz="0" w:space="0" w:color="auto"/>
        <w:left w:val="none" w:sz="0" w:space="0" w:color="auto"/>
        <w:bottom w:val="none" w:sz="0" w:space="0" w:color="auto"/>
        <w:right w:val="none" w:sz="0" w:space="0" w:color="auto"/>
      </w:divBdr>
    </w:div>
    <w:div w:id="703560360">
      <w:bodyDiv w:val="1"/>
      <w:marLeft w:val="0"/>
      <w:marRight w:val="0"/>
      <w:marTop w:val="0"/>
      <w:marBottom w:val="0"/>
      <w:divBdr>
        <w:top w:val="none" w:sz="0" w:space="0" w:color="auto"/>
        <w:left w:val="none" w:sz="0" w:space="0" w:color="auto"/>
        <w:bottom w:val="none" w:sz="0" w:space="0" w:color="auto"/>
        <w:right w:val="none" w:sz="0" w:space="0" w:color="auto"/>
      </w:divBdr>
    </w:div>
    <w:div w:id="1065031449">
      <w:bodyDiv w:val="1"/>
      <w:marLeft w:val="0"/>
      <w:marRight w:val="0"/>
      <w:marTop w:val="0"/>
      <w:marBottom w:val="0"/>
      <w:divBdr>
        <w:top w:val="none" w:sz="0" w:space="0" w:color="auto"/>
        <w:left w:val="none" w:sz="0" w:space="0" w:color="auto"/>
        <w:bottom w:val="none" w:sz="0" w:space="0" w:color="auto"/>
        <w:right w:val="none" w:sz="0" w:space="0" w:color="auto"/>
      </w:divBdr>
    </w:div>
    <w:div w:id="1135950565">
      <w:bodyDiv w:val="1"/>
      <w:marLeft w:val="0"/>
      <w:marRight w:val="0"/>
      <w:marTop w:val="0"/>
      <w:marBottom w:val="0"/>
      <w:divBdr>
        <w:top w:val="none" w:sz="0" w:space="0" w:color="auto"/>
        <w:left w:val="none" w:sz="0" w:space="0" w:color="auto"/>
        <w:bottom w:val="none" w:sz="0" w:space="0" w:color="auto"/>
        <w:right w:val="none" w:sz="0" w:space="0" w:color="auto"/>
      </w:divBdr>
      <w:divsChild>
        <w:div w:id="50354086">
          <w:marLeft w:val="274"/>
          <w:marRight w:val="0"/>
          <w:marTop w:val="150"/>
          <w:marBottom w:val="240"/>
          <w:divBdr>
            <w:top w:val="none" w:sz="0" w:space="0" w:color="auto"/>
            <w:left w:val="none" w:sz="0" w:space="0" w:color="auto"/>
            <w:bottom w:val="none" w:sz="0" w:space="0" w:color="auto"/>
            <w:right w:val="none" w:sz="0" w:space="0" w:color="auto"/>
          </w:divBdr>
        </w:div>
        <w:div w:id="513301575">
          <w:marLeft w:val="274"/>
          <w:marRight w:val="0"/>
          <w:marTop w:val="150"/>
          <w:marBottom w:val="240"/>
          <w:divBdr>
            <w:top w:val="none" w:sz="0" w:space="0" w:color="auto"/>
            <w:left w:val="none" w:sz="0" w:space="0" w:color="auto"/>
            <w:bottom w:val="none" w:sz="0" w:space="0" w:color="auto"/>
            <w:right w:val="none" w:sz="0" w:space="0" w:color="auto"/>
          </w:divBdr>
        </w:div>
      </w:divsChild>
    </w:div>
    <w:div w:id="1196577797">
      <w:bodyDiv w:val="1"/>
      <w:marLeft w:val="0"/>
      <w:marRight w:val="0"/>
      <w:marTop w:val="0"/>
      <w:marBottom w:val="0"/>
      <w:divBdr>
        <w:top w:val="none" w:sz="0" w:space="0" w:color="auto"/>
        <w:left w:val="none" w:sz="0" w:space="0" w:color="auto"/>
        <w:bottom w:val="none" w:sz="0" w:space="0" w:color="auto"/>
        <w:right w:val="none" w:sz="0" w:space="0" w:color="auto"/>
      </w:divBdr>
    </w:div>
    <w:div w:id="17873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Veralon">
  <a:themeElements>
    <a:clrScheme name="Veralon">
      <a:dk1>
        <a:sysClr val="windowText" lastClr="000000"/>
      </a:dk1>
      <a:lt1>
        <a:sysClr val="window" lastClr="FFFFFF"/>
      </a:lt1>
      <a:dk2>
        <a:srgbClr val="0057B8"/>
      </a:dk2>
      <a:lt2>
        <a:srgbClr val="5B6770"/>
      </a:lt2>
      <a:accent1>
        <a:srgbClr val="0057B8"/>
      </a:accent1>
      <a:accent2>
        <a:srgbClr val="FFD100"/>
      </a:accent2>
      <a:accent3>
        <a:srgbClr val="5F259F"/>
      </a:accent3>
      <a:accent4>
        <a:srgbClr val="CE0037"/>
      </a:accent4>
      <a:accent5>
        <a:srgbClr val="2DCCD3"/>
      </a:accent5>
      <a:accent6>
        <a:srgbClr val="FF8200"/>
      </a:accent6>
      <a:hlink>
        <a:srgbClr val="0057B8"/>
      </a:hlink>
      <a:folHlink>
        <a:srgbClr val="201547"/>
      </a:folHlink>
    </a:clrScheme>
    <a:fontScheme name="Veral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eralon" id="{29E87DA8-5C08-4018-8432-6BA279E93E11}" vid="{09607FB6-DBFD-45D9-84FF-28B2490B8B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KBIMANAGE!2123585.1</documentid>
  <senderid>EBK</senderid>
  <senderemail>EKRETCHMER@KB-LAW.COM</senderemail>
  <lastmodified>2024-08-13T15:58:00.0000000-04:00</lastmodified>
  <database>KBIMANAGE</database>
</properties>
</file>

<file path=customXml/itemProps1.xml><?xml version="1.0" encoding="utf-8"?>
<ds:datastoreItem xmlns:ds="http://schemas.openxmlformats.org/officeDocument/2006/customXml" ds:itemID="{4A607F40-0AC5-4862-AA0E-704F46EE5C0B}">
  <ds:schemaRefs>
    <ds:schemaRef ds:uri="http://schemas.openxmlformats.org/officeDocument/2006/bibliography"/>
  </ds:schemaRefs>
</ds:datastoreItem>
</file>

<file path=customXml/itemProps2.xml><?xml version="1.0" encoding="utf-8"?>
<ds:datastoreItem xmlns:ds="http://schemas.openxmlformats.org/officeDocument/2006/customXml" ds:itemID="{BA2146E0-8277-4828-9B4A-AF675F063DD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Veralon Partners Inc.; www.veralon.com ; 877.676.3600</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Roie Rennert</dc:creator>
  <cp:keywords/>
  <dc:description/>
  <cp:lastModifiedBy>Harrison, Deborah (EHS)</cp:lastModifiedBy>
  <cp:revision>2</cp:revision>
  <cp:lastPrinted>2024-08-13T19:33:00Z</cp:lastPrinted>
  <dcterms:created xsi:type="dcterms:W3CDTF">2024-08-27T12:17:00Z</dcterms:created>
  <dcterms:modified xsi:type="dcterms:W3CDTF">2024-08-27T12:17:00Z</dcterms:modified>
</cp:coreProperties>
</file>