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BDBD" w14:textId="77777777" w:rsidR="00675B7B" w:rsidRDefault="00675B7B" w:rsidP="00675B7B">
      <w:pPr>
        <w:autoSpaceDE w:val="0"/>
        <w:autoSpaceDN w:val="0"/>
        <w:adjustRightInd w:val="0"/>
        <w:spacing w:after="0" w:line="240" w:lineRule="auto"/>
        <w:rPr>
          <w:rFonts w:ascii="TimesNewRomanPS-BoldMT" w:hAnsi="TimesNewRomanPS-BoldMT" w:cs="TimesNewRomanPS-BoldMT"/>
          <w:b/>
          <w:bCs/>
          <w:sz w:val="36"/>
          <w:szCs w:val="36"/>
        </w:rPr>
      </w:pPr>
      <w:bookmarkStart w:id="0" w:name="B1d8deb1575b0413ca8d587f95faf89d8"/>
      <w:bookmarkEnd w:id="0"/>
    </w:p>
    <w:p w14:paraId="22714C8A" w14:textId="77777777" w:rsidR="00675B7B" w:rsidRDefault="00675B7B" w:rsidP="00675B7B">
      <w:pPr>
        <w:autoSpaceDE w:val="0"/>
        <w:autoSpaceDN w:val="0"/>
        <w:adjustRightInd w:val="0"/>
        <w:spacing w:after="0" w:line="240" w:lineRule="auto"/>
        <w:jc w:val="center"/>
        <w:rPr>
          <w:rFonts w:ascii="TimesNewRomanPS-BoldMT" w:hAnsi="TimesNewRomanPS-BoldMT" w:cs="TimesNewRomanPS-BoldMT"/>
          <w:b/>
          <w:bCs/>
          <w:sz w:val="36"/>
          <w:szCs w:val="36"/>
        </w:rPr>
      </w:pPr>
    </w:p>
    <w:p w14:paraId="5044E9A0" w14:textId="77777777" w:rsidR="00675B7B" w:rsidRDefault="00675B7B" w:rsidP="00675B7B">
      <w:pPr>
        <w:autoSpaceDE w:val="0"/>
        <w:autoSpaceDN w:val="0"/>
        <w:adjustRightInd w:val="0"/>
        <w:spacing w:after="0" w:line="240" w:lineRule="auto"/>
        <w:jc w:val="center"/>
        <w:rPr>
          <w:rFonts w:ascii="TimesNewRomanPS-BoldMT" w:hAnsi="TimesNewRomanPS-BoldMT" w:cs="TimesNewRomanPS-BoldMT"/>
          <w:b/>
          <w:bCs/>
          <w:sz w:val="36"/>
          <w:szCs w:val="36"/>
        </w:rPr>
      </w:pPr>
    </w:p>
    <w:p w14:paraId="2D96DB4C" w14:textId="77777777" w:rsidR="00675B7B" w:rsidRDefault="00675B7B" w:rsidP="00675B7B">
      <w:pPr>
        <w:autoSpaceDE w:val="0"/>
        <w:autoSpaceDN w:val="0"/>
        <w:adjustRightInd w:val="0"/>
        <w:spacing w:after="0" w:line="240" w:lineRule="auto"/>
        <w:jc w:val="center"/>
        <w:rPr>
          <w:rFonts w:ascii="TimesNewRomanPS-BoldMT" w:hAnsi="TimesNewRomanPS-BoldMT" w:cs="TimesNewRomanPS-BoldMT"/>
          <w:b/>
          <w:bCs/>
          <w:sz w:val="36"/>
          <w:szCs w:val="36"/>
        </w:rPr>
      </w:pPr>
    </w:p>
    <w:p w14:paraId="32CEB810" w14:textId="7EC38373" w:rsidR="00675B7B" w:rsidRDefault="00675B7B" w:rsidP="00675B7B">
      <w:pPr>
        <w:autoSpaceDE w:val="0"/>
        <w:autoSpaceDN w:val="0"/>
        <w:adjustRightInd w:val="0"/>
        <w:spacing w:after="0" w:line="240" w:lineRule="auto"/>
        <w:jc w:val="center"/>
        <w:rPr>
          <w:rFonts w:ascii="TimesNewRomanPS-BoldMT" w:hAnsi="TimesNewRomanPS-BoldMT" w:cs="TimesNewRomanPS-BoldMT"/>
          <w:b/>
          <w:bCs/>
          <w:sz w:val="36"/>
          <w:szCs w:val="36"/>
        </w:rPr>
      </w:pPr>
      <w:r>
        <w:rPr>
          <w:rFonts w:ascii="TimesNewRomanPS-BoldMT" w:hAnsi="TimesNewRomanPS-BoldMT" w:cs="TimesNewRomanPS-BoldMT"/>
          <w:b/>
          <w:bCs/>
          <w:sz w:val="36"/>
          <w:szCs w:val="36"/>
        </w:rPr>
        <w:t>APPENDIX 3</w:t>
      </w:r>
    </w:p>
    <w:p w14:paraId="61A13471" w14:textId="77777777" w:rsidR="00675B7B" w:rsidRDefault="00675B7B" w:rsidP="00675B7B">
      <w:pPr>
        <w:autoSpaceDE w:val="0"/>
        <w:autoSpaceDN w:val="0"/>
        <w:adjustRightInd w:val="0"/>
        <w:spacing w:after="0" w:line="240" w:lineRule="auto"/>
        <w:jc w:val="center"/>
        <w:rPr>
          <w:rFonts w:ascii="TimesNewRomanPS-BoldMT" w:hAnsi="TimesNewRomanPS-BoldMT" w:cs="TimesNewRomanPS-BoldMT"/>
          <w:b/>
          <w:bCs/>
          <w:sz w:val="36"/>
          <w:szCs w:val="36"/>
        </w:rPr>
      </w:pPr>
    </w:p>
    <w:p w14:paraId="567B5CAB" w14:textId="3F77FB8E" w:rsidR="00675B7B" w:rsidRDefault="00675B7B" w:rsidP="00675B7B">
      <w:pPr>
        <w:spacing w:after="0" w:line="240" w:lineRule="auto"/>
        <w:jc w:val="center"/>
        <w:rPr>
          <w:rFonts w:ascii="Times New Roman" w:hAnsi="Times New Roman" w:cs="Times New Roman"/>
          <w:b/>
        </w:rPr>
        <w:sectPr w:rsidR="00675B7B" w:rsidSect="00EB2BA6">
          <w:footerReference w:type="default" r:id="rId8"/>
          <w:pgSz w:w="12240" w:h="15840" w:code="1"/>
          <w:pgMar w:top="720" w:right="720" w:bottom="720" w:left="960" w:header="0" w:footer="0" w:gutter="0"/>
          <w:cols w:space="720"/>
          <w:titlePg/>
          <w:docGrid w:linePitch="360"/>
        </w:sectPr>
      </w:pPr>
      <w:r>
        <w:rPr>
          <w:rFonts w:ascii="TimesNewRomanPS-BoldMT" w:hAnsi="TimesNewRomanPS-BoldMT" w:cs="TimesNewRomanPS-BoldMT"/>
          <w:b/>
          <w:bCs/>
          <w:sz w:val="36"/>
          <w:szCs w:val="36"/>
        </w:rPr>
        <w:t>FACTOR 4 FINANCIAL FEASIBILITY REPORT</w:t>
      </w:r>
    </w:p>
    <w:p w14:paraId="685E051D" w14:textId="77777777" w:rsidR="00F3760D" w:rsidRPr="005C2CC3" w:rsidRDefault="00F3760D" w:rsidP="005C2CC3">
      <w:pPr>
        <w:spacing w:after="0" w:line="240" w:lineRule="auto"/>
        <w:jc w:val="center"/>
        <w:rPr>
          <w:rFonts w:ascii="Times New Roman" w:hAnsi="Times New Roman" w:cs="Times New Roman"/>
          <w:b/>
        </w:rPr>
      </w:pPr>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490BA010" w14:textId="34EBA35B" w:rsidR="00AE71E8" w:rsidRPr="00B70452" w:rsidRDefault="002D2D24" w:rsidP="005C2C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Beth Israel Lahey </w:t>
      </w:r>
      <w:r w:rsidR="00B260E8">
        <w:rPr>
          <w:rFonts w:ascii="Times New Roman" w:hAnsi="Times New Roman" w:cs="Times New Roman"/>
          <w:b/>
          <w:sz w:val="28"/>
          <w:szCs w:val="28"/>
        </w:rPr>
        <w:t>Health</w:t>
      </w:r>
      <w:r w:rsidR="0065480C">
        <w:rPr>
          <w:rFonts w:ascii="Times New Roman" w:hAnsi="Times New Roman" w:cs="Times New Roman"/>
          <w:b/>
          <w:sz w:val="28"/>
          <w:szCs w:val="28"/>
        </w:rPr>
        <w:t>, Inc.</w:t>
      </w:r>
      <w:r w:rsidR="00B260E8">
        <w:rPr>
          <w:rFonts w:ascii="Times New Roman" w:hAnsi="Times New Roman" w:cs="Times New Roman"/>
          <w:b/>
          <w:sz w:val="28"/>
          <w:szCs w:val="28"/>
        </w:rPr>
        <w:t xml:space="preserve"> </w:t>
      </w:r>
    </w:p>
    <w:p w14:paraId="5E086831" w14:textId="59A52176" w:rsidR="00AE71E8" w:rsidRPr="00DB0B26" w:rsidRDefault="00AE71E8" w:rsidP="005C2CC3">
      <w:pPr>
        <w:spacing w:after="0" w:line="240" w:lineRule="auto"/>
        <w:jc w:val="center"/>
        <w:rPr>
          <w:rFonts w:ascii="Times New Roman" w:hAnsi="Times New Roman" w:cs="Times New Roman"/>
          <w:b/>
        </w:rPr>
      </w:pPr>
      <w:r w:rsidRPr="00DB0B26">
        <w:rPr>
          <w:rFonts w:ascii="Times New Roman" w:hAnsi="Times New Roman" w:cs="Times New Roman"/>
          <w:b/>
        </w:rPr>
        <w:t>Analysis of the Reasonableness of Assumptions Used For and</w:t>
      </w:r>
      <w:r w:rsidR="002D2D24">
        <w:rPr>
          <w:rFonts w:ascii="Times New Roman" w:hAnsi="Times New Roman" w:cs="Times New Roman"/>
          <w:b/>
        </w:rPr>
        <w:t xml:space="preserve"> </w:t>
      </w:r>
    </w:p>
    <w:p w14:paraId="03920C9A" w14:textId="40F21B3E" w:rsidR="00FB06A1" w:rsidRPr="00DB0B26" w:rsidRDefault="00AE71E8" w:rsidP="005C2CC3">
      <w:pPr>
        <w:spacing w:after="0" w:line="240" w:lineRule="auto"/>
        <w:jc w:val="center"/>
        <w:rPr>
          <w:rFonts w:ascii="Times New Roman" w:hAnsi="Times New Roman" w:cs="Times New Roman"/>
          <w:b/>
          <w:color w:val="FF0000"/>
        </w:rPr>
      </w:pPr>
      <w:r w:rsidRPr="00DB0B26">
        <w:rPr>
          <w:rFonts w:ascii="Times New Roman" w:hAnsi="Times New Roman" w:cs="Times New Roman"/>
          <w:b/>
        </w:rPr>
        <w:t>Feasibility of Projected Financial</w:t>
      </w:r>
      <w:r w:rsidR="0096461A">
        <w:rPr>
          <w:rFonts w:ascii="Times New Roman" w:hAnsi="Times New Roman" w:cs="Times New Roman"/>
          <w:b/>
        </w:rPr>
        <w:t xml:space="preserve"> Information</w:t>
      </w:r>
      <w:r w:rsidRPr="00DB0B26">
        <w:rPr>
          <w:rFonts w:ascii="Times New Roman" w:hAnsi="Times New Roman" w:cs="Times New Roman"/>
          <w:b/>
        </w:rPr>
        <w:t xml:space="preserve"> associated</w:t>
      </w:r>
      <w:r w:rsidR="00925AAF">
        <w:rPr>
          <w:rFonts w:ascii="Times New Roman" w:hAnsi="Times New Roman" w:cs="Times New Roman"/>
          <w:b/>
        </w:rPr>
        <w:t xml:space="preserve"> with the</w:t>
      </w:r>
      <w:r w:rsidRPr="00DB0B26">
        <w:rPr>
          <w:rFonts w:ascii="Times New Roman" w:hAnsi="Times New Roman" w:cs="Times New Roman"/>
          <w:b/>
        </w:rPr>
        <w:t xml:space="preserve"> </w:t>
      </w:r>
      <w:r w:rsidR="00925AAF">
        <w:rPr>
          <w:rFonts w:ascii="Times New Roman" w:hAnsi="Times New Roman" w:cs="Times New Roman"/>
          <w:b/>
        </w:rPr>
        <w:t xml:space="preserve">reactivation of </w:t>
      </w:r>
      <w:r w:rsidR="0010712F">
        <w:rPr>
          <w:rFonts w:ascii="Times New Roman" w:hAnsi="Times New Roman" w:cs="Times New Roman"/>
          <w:b/>
        </w:rPr>
        <w:t>one</w:t>
      </w:r>
      <w:r w:rsidR="00925AAF">
        <w:rPr>
          <w:rFonts w:ascii="Times New Roman" w:hAnsi="Times New Roman" w:cs="Times New Roman"/>
          <w:b/>
        </w:rPr>
        <w:t xml:space="preserve"> existing dormant linear accelerator</w:t>
      </w:r>
      <w:r w:rsidR="002D2D24">
        <w:rPr>
          <w:rFonts w:ascii="Times New Roman" w:hAnsi="Times New Roman" w:cs="Times New Roman"/>
          <w:b/>
        </w:rPr>
        <w:t xml:space="preserve"> at</w:t>
      </w:r>
      <w:r w:rsidR="00A2519F">
        <w:rPr>
          <w:rFonts w:ascii="Times New Roman" w:hAnsi="Times New Roman" w:cs="Times New Roman"/>
          <w:b/>
        </w:rPr>
        <w:t xml:space="preserve"> </w:t>
      </w:r>
      <w:r w:rsidR="0066105C">
        <w:rPr>
          <w:rFonts w:ascii="Times New Roman" w:hAnsi="Times New Roman" w:cs="Times New Roman"/>
          <w:b/>
        </w:rPr>
        <w:t xml:space="preserve">Beth </w:t>
      </w:r>
      <w:r w:rsidR="002D2D24">
        <w:rPr>
          <w:rFonts w:ascii="Times New Roman" w:hAnsi="Times New Roman" w:cs="Times New Roman"/>
          <w:b/>
        </w:rPr>
        <w:t xml:space="preserve">Israel </w:t>
      </w:r>
      <w:r w:rsidR="0065480C">
        <w:rPr>
          <w:rFonts w:ascii="Times New Roman" w:hAnsi="Times New Roman" w:cs="Times New Roman"/>
          <w:b/>
        </w:rPr>
        <w:t xml:space="preserve">Deaconess </w:t>
      </w:r>
      <w:r w:rsidR="004C5751">
        <w:rPr>
          <w:rFonts w:ascii="Times New Roman" w:hAnsi="Times New Roman" w:cs="Times New Roman"/>
          <w:b/>
        </w:rPr>
        <w:t xml:space="preserve">Hospital </w:t>
      </w:r>
      <w:r w:rsidR="00EE6367">
        <w:rPr>
          <w:rFonts w:ascii="Times New Roman" w:hAnsi="Times New Roman" w:cs="Times New Roman"/>
          <w:b/>
        </w:rPr>
        <w:t>–</w:t>
      </w:r>
      <w:r w:rsidR="004C5751">
        <w:rPr>
          <w:rFonts w:ascii="Times New Roman" w:hAnsi="Times New Roman" w:cs="Times New Roman"/>
          <w:b/>
        </w:rPr>
        <w:t xml:space="preserve"> </w:t>
      </w:r>
      <w:r w:rsidR="0065480C">
        <w:rPr>
          <w:rFonts w:ascii="Times New Roman" w:hAnsi="Times New Roman" w:cs="Times New Roman"/>
          <w:b/>
        </w:rPr>
        <w:t>Plymouth</w:t>
      </w:r>
      <w:r w:rsidR="00EE6367">
        <w:rPr>
          <w:rFonts w:ascii="Times New Roman" w:hAnsi="Times New Roman" w:cs="Times New Roman"/>
          <w:b/>
        </w:rPr>
        <w:t>, Inc.</w:t>
      </w:r>
    </w:p>
    <w:p w14:paraId="14FA1989" w14:textId="77777777" w:rsidR="003E1FCD" w:rsidRPr="00F22C5C" w:rsidRDefault="003E1FCD" w:rsidP="005C2CC3">
      <w:pPr>
        <w:spacing w:after="0" w:line="240" w:lineRule="auto"/>
        <w:jc w:val="center"/>
        <w:rPr>
          <w:rFonts w:ascii="Times New Roman" w:hAnsi="Times New Roman" w:cs="Times New Roman"/>
          <w:b/>
          <w:highlight w:val="yellow"/>
        </w:rPr>
      </w:pPr>
    </w:p>
    <w:p w14:paraId="59B248FA" w14:textId="03C4E635" w:rsidR="00FB06A1" w:rsidRPr="00C15F13" w:rsidRDefault="00FB06A1" w:rsidP="005C2CC3">
      <w:pPr>
        <w:spacing w:after="0" w:line="240" w:lineRule="auto"/>
        <w:jc w:val="center"/>
        <w:rPr>
          <w:rFonts w:ascii="Times New Roman" w:hAnsi="Times New Roman" w:cs="Times New Roman"/>
          <w:b/>
        </w:rPr>
      </w:pPr>
      <w:r w:rsidRPr="00C15F13">
        <w:rPr>
          <w:rFonts w:ascii="Times New Roman" w:hAnsi="Times New Roman" w:cs="Times New Roman"/>
          <w:b/>
        </w:rPr>
        <w:t xml:space="preserve">For </w:t>
      </w:r>
      <w:r w:rsidR="00965E27">
        <w:rPr>
          <w:rFonts w:ascii="Times New Roman" w:hAnsi="Times New Roman" w:cs="Times New Roman"/>
          <w:b/>
        </w:rPr>
        <w:t xml:space="preserve">Years </w:t>
      </w:r>
      <w:r w:rsidR="0065480C">
        <w:rPr>
          <w:rFonts w:ascii="Times New Roman" w:hAnsi="Times New Roman" w:cs="Times New Roman"/>
          <w:b/>
        </w:rPr>
        <w:t xml:space="preserve">Ending September 30, </w:t>
      </w:r>
      <w:proofErr w:type="gramStart"/>
      <w:r w:rsidR="0065480C">
        <w:rPr>
          <w:rFonts w:ascii="Times New Roman" w:hAnsi="Times New Roman" w:cs="Times New Roman"/>
          <w:b/>
        </w:rPr>
        <w:t>2024</w:t>
      </w:r>
      <w:proofErr w:type="gramEnd"/>
      <w:r w:rsidR="0065480C">
        <w:rPr>
          <w:rFonts w:ascii="Times New Roman" w:hAnsi="Times New Roman" w:cs="Times New Roman"/>
          <w:b/>
        </w:rPr>
        <w:t xml:space="preserve"> through September 30, 2028</w:t>
      </w:r>
    </w:p>
    <w:p w14:paraId="27A67F1B" w14:textId="77777777" w:rsidR="00FB06A1" w:rsidRPr="00F22C5C" w:rsidRDefault="00FB06A1" w:rsidP="005C2CC3">
      <w:pPr>
        <w:spacing w:after="0" w:line="240" w:lineRule="auto"/>
        <w:jc w:val="center"/>
        <w:rPr>
          <w:rFonts w:ascii="Times New Roman" w:hAnsi="Times New Roman" w:cs="Times New Roman"/>
          <w:b/>
          <w:caps/>
          <w:highlight w:val="yellow"/>
        </w:rPr>
      </w:pPr>
    </w:p>
    <w:p w14:paraId="3966F1F2" w14:textId="77777777" w:rsidR="00FB06A1" w:rsidRPr="00F22C5C" w:rsidRDefault="00FB06A1" w:rsidP="005C2CC3">
      <w:pPr>
        <w:spacing w:after="0" w:line="240" w:lineRule="auto"/>
        <w:jc w:val="center"/>
        <w:rPr>
          <w:rFonts w:ascii="Times New Roman" w:hAnsi="Times New Roman" w:cs="Times New Roman"/>
          <w:b/>
          <w:highlight w:val="yellow"/>
        </w:rPr>
      </w:pPr>
    </w:p>
    <w:p w14:paraId="3D5CA12A" w14:textId="77777777" w:rsidR="00FB06A1" w:rsidRPr="00F22C5C" w:rsidRDefault="00FB06A1" w:rsidP="005C2CC3">
      <w:pPr>
        <w:spacing w:after="0" w:line="240" w:lineRule="auto"/>
        <w:jc w:val="center"/>
        <w:rPr>
          <w:rFonts w:ascii="Times New Roman" w:hAnsi="Times New Roman" w:cs="Times New Roman"/>
          <w:b/>
          <w:highlight w:val="yellow"/>
        </w:rPr>
      </w:pPr>
    </w:p>
    <w:p w14:paraId="259F9057" w14:textId="77777777" w:rsidR="00FB06A1" w:rsidRPr="00F22C5C" w:rsidRDefault="00FB06A1" w:rsidP="005C2CC3">
      <w:pPr>
        <w:spacing w:after="0" w:line="240" w:lineRule="auto"/>
        <w:jc w:val="center"/>
        <w:rPr>
          <w:rFonts w:ascii="Times New Roman" w:hAnsi="Times New Roman" w:cs="Times New Roman"/>
          <w:b/>
          <w:highlight w:val="yellow"/>
        </w:rPr>
      </w:pPr>
    </w:p>
    <w:p w14:paraId="114E3F6B" w14:textId="77777777" w:rsidR="00FB06A1" w:rsidRPr="00F22C5C" w:rsidRDefault="00FB06A1" w:rsidP="005C2CC3">
      <w:pPr>
        <w:spacing w:after="0" w:line="240" w:lineRule="auto"/>
        <w:jc w:val="center"/>
        <w:rPr>
          <w:rFonts w:ascii="Times New Roman" w:hAnsi="Times New Roman" w:cs="Times New Roman"/>
          <w:b/>
          <w:highlight w:val="yellow"/>
        </w:rPr>
      </w:pPr>
    </w:p>
    <w:p w14:paraId="01E3AE09" w14:textId="77777777" w:rsidR="00FB06A1" w:rsidRPr="00F22C5C" w:rsidRDefault="00FB06A1" w:rsidP="005C2CC3">
      <w:pPr>
        <w:spacing w:after="0" w:line="240" w:lineRule="auto"/>
        <w:jc w:val="center"/>
        <w:rPr>
          <w:rFonts w:ascii="Times New Roman" w:hAnsi="Times New Roman" w:cs="Times New Roman"/>
          <w:b/>
          <w:highlight w:val="yellow"/>
        </w:rPr>
      </w:pPr>
    </w:p>
    <w:p w14:paraId="169851A9" w14:textId="77777777" w:rsidR="00FB06A1" w:rsidRPr="00F22C5C" w:rsidRDefault="00FB06A1" w:rsidP="005C2CC3">
      <w:pPr>
        <w:spacing w:after="0" w:line="240" w:lineRule="auto"/>
        <w:jc w:val="center"/>
        <w:rPr>
          <w:rFonts w:ascii="Times New Roman" w:hAnsi="Times New Roman" w:cs="Times New Roman"/>
          <w:b/>
          <w:highlight w:val="yellow"/>
        </w:rPr>
      </w:pPr>
    </w:p>
    <w:p w14:paraId="6C817153" w14:textId="77777777" w:rsidR="00FB06A1" w:rsidRPr="00F22C5C" w:rsidRDefault="00FB06A1" w:rsidP="005C2CC3">
      <w:pPr>
        <w:spacing w:after="0" w:line="240" w:lineRule="auto"/>
        <w:jc w:val="center"/>
        <w:rPr>
          <w:rFonts w:ascii="Times New Roman" w:hAnsi="Times New Roman" w:cs="Times New Roman"/>
          <w:b/>
          <w:highlight w:val="yellow"/>
        </w:rPr>
      </w:pPr>
    </w:p>
    <w:p w14:paraId="3CE55F16" w14:textId="77777777" w:rsidR="00FB06A1" w:rsidRPr="00F22C5C" w:rsidRDefault="00FB06A1" w:rsidP="005C2CC3">
      <w:pPr>
        <w:spacing w:after="0" w:line="240" w:lineRule="auto"/>
        <w:jc w:val="center"/>
        <w:rPr>
          <w:rFonts w:ascii="Times New Roman" w:hAnsi="Times New Roman" w:cs="Times New Roman"/>
          <w:b/>
          <w:highlight w:val="yellow"/>
        </w:rPr>
      </w:pPr>
    </w:p>
    <w:p w14:paraId="467D920E" w14:textId="77777777" w:rsidR="00FB06A1" w:rsidRPr="00F22C5C" w:rsidRDefault="00FB06A1" w:rsidP="005C2CC3">
      <w:pPr>
        <w:spacing w:after="0" w:line="240" w:lineRule="auto"/>
        <w:jc w:val="center"/>
        <w:rPr>
          <w:rFonts w:ascii="Times New Roman" w:hAnsi="Times New Roman" w:cs="Times New Roman"/>
          <w:b/>
          <w:highlight w:val="yellow"/>
        </w:rPr>
      </w:pPr>
    </w:p>
    <w:p w14:paraId="5A58EC5D" w14:textId="77777777" w:rsidR="00FB06A1" w:rsidRPr="00F22C5C" w:rsidRDefault="00FB06A1" w:rsidP="005C2CC3">
      <w:pPr>
        <w:spacing w:after="0" w:line="240" w:lineRule="auto"/>
        <w:jc w:val="center"/>
        <w:rPr>
          <w:rFonts w:ascii="Times New Roman" w:hAnsi="Times New Roman" w:cs="Times New Roman"/>
          <w:b/>
          <w:highlight w:val="yellow"/>
        </w:rPr>
      </w:pPr>
    </w:p>
    <w:p w14:paraId="20709E5A" w14:textId="77777777" w:rsidR="00FB06A1" w:rsidRPr="00F22C5C" w:rsidRDefault="00FB06A1" w:rsidP="005C2CC3">
      <w:pPr>
        <w:spacing w:after="0" w:line="240" w:lineRule="auto"/>
        <w:jc w:val="center"/>
        <w:rPr>
          <w:rFonts w:ascii="Times New Roman" w:hAnsi="Times New Roman" w:cs="Times New Roman"/>
          <w:b/>
          <w:highlight w:val="yellow"/>
        </w:rPr>
      </w:pPr>
    </w:p>
    <w:p w14:paraId="1B77B21F" w14:textId="77777777" w:rsidR="005C2CC3" w:rsidRPr="00F22C5C" w:rsidRDefault="005C2CC3" w:rsidP="00AE71E8">
      <w:pPr>
        <w:jc w:val="center"/>
        <w:rPr>
          <w:highlight w:val="yellow"/>
        </w:rPr>
        <w:sectPr w:rsidR="005C2CC3" w:rsidRPr="00F22C5C" w:rsidSect="00EB2BA6">
          <w:pgSz w:w="12240" w:h="15840" w:code="1"/>
          <w:pgMar w:top="720" w:right="720" w:bottom="720" w:left="960" w:header="0" w:footer="0" w:gutter="0"/>
          <w:cols w:space="720"/>
          <w:titlePg/>
          <w:docGrid w:linePitch="360"/>
        </w:sectPr>
      </w:pPr>
    </w:p>
    <w:p w14:paraId="59F9176B" w14:textId="7D839FD6" w:rsidR="00414C8B" w:rsidRPr="009E10C8" w:rsidRDefault="005B0979" w:rsidP="00414C8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beth israel lahey health</w:t>
      </w:r>
      <w:r w:rsidR="0031537F">
        <w:rPr>
          <w:rFonts w:ascii="Times New Roman" w:hAnsi="Times New Roman" w:cs="Times New Roman"/>
          <w:b/>
          <w:caps/>
          <w:sz w:val="24"/>
          <w:szCs w:val="24"/>
        </w:rPr>
        <w:t>, INC.</w:t>
      </w:r>
    </w:p>
    <w:p w14:paraId="44043AA3" w14:textId="77777777" w:rsidR="00FB06A1" w:rsidRPr="00F22C5C" w:rsidRDefault="00FB06A1" w:rsidP="005C2CC3">
      <w:pPr>
        <w:spacing w:after="0" w:line="240" w:lineRule="auto"/>
        <w:jc w:val="center"/>
        <w:rPr>
          <w:rFonts w:ascii="Times New Roman" w:hAnsi="Times New Roman" w:cs="Times New Roman"/>
          <w:highlight w:val="yellow"/>
        </w:rPr>
      </w:pPr>
    </w:p>
    <w:p w14:paraId="714A6617" w14:textId="77777777" w:rsidR="00414C8B" w:rsidRPr="00F22C5C" w:rsidRDefault="00414C8B" w:rsidP="005C2CC3">
      <w:pPr>
        <w:spacing w:after="0" w:line="240" w:lineRule="auto"/>
        <w:jc w:val="center"/>
        <w:rPr>
          <w:rFonts w:ascii="Times New Roman" w:hAnsi="Times New Roman" w:cs="Times New Roman"/>
          <w:highlight w:val="yellow"/>
        </w:rPr>
      </w:pPr>
    </w:p>
    <w:p w14:paraId="4E3B6941" w14:textId="77777777" w:rsidR="00414C8B" w:rsidRPr="00F22C5C" w:rsidRDefault="00414C8B" w:rsidP="005C2CC3">
      <w:pPr>
        <w:spacing w:after="0" w:line="240" w:lineRule="auto"/>
        <w:jc w:val="center"/>
        <w:rPr>
          <w:rFonts w:ascii="Times New Roman" w:hAnsi="Times New Roman" w:cs="Times New Roman"/>
          <w:highlight w:val="yellow"/>
        </w:rPr>
      </w:pPr>
    </w:p>
    <w:p w14:paraId="5841C7D7" w14:textId="77777777" w:rsidR="00414C8B" w:rsidRPr="00F22C5C" w:rsidRDefault="00414C8B" w:rsidP="005C2CC3">
      <w:pPr>
        <w:spacing w:after="0" w:line="240" w:lineRule="auto"/>
        <w:jc w:val="center"/>
        <w:rPr>
          <w:rFonts w:ascii="Times New Roman" w:hAnsi="Times New Roman" w:cs="Times New Roman"/>
          <w:highlight w:val="yellow"/>
        </w:rPr>
      </w:pPr>
    </w:p>
    <w:p w14:paraId="6E9C6C27" w14:textId="77777777" w:rsidR="00414C8B" w:rsidRPr="00F22C5C" w:rsidRDefault="00414C8B" w:rsidP="005C2CC3">
      <w:pPr>
        <w:spacing w:after="0" w:line="240" w:lineRule="auto"/>
        <w:jc w:val="center"/>
        <w:rPr>
          <w:rFonts w:ascii="Times New Roman" w:hAnsi="Times New Roman" w:cs="Times New Roman"/>
          <w:highlight w:val="yellow"/>
        </w:rPr>
      </w:pPr>
    </w:p>
    <w:p w14:paraId="01EE0756" w14:textId="77777777" w:rsidR="00FB06A1" w:rsidRPr="00F22C5C" w:rsidRDefault="005C2CC3" w:rsidP="005C2CC3">
      <w:pPr>
        <w:spacing w:after="0" w:line="240" w:lineRule="auto"/>
        <w:jc w:val="center"/>
        <w:rPr>
          <w:rFonts w:ascii="Times New Roman" w:hAnsi="Times New Roman" w:cs="Times New Roman"/>
          <w:b/>
          <w:caps/>
        </w:rPr>
      </w:pPr>
      <w:r w:rsidRPr="00F22C5C">
        <w:rPr>
          <w:rFonts w:ascii="Times New Roman" w:hAnsi="Times New Roman" w:cs="Times New Roman"/>
          <w:b/>
          <w:caps/>
        </w:rPr>
        <w:t>T</w:t>
      </w:r>
      <w:r w:rsidR="00FB06A1" w:rsidRPr="00F22C5C">
        <w:rPr>
          <w:rFonts w:ascii="Times New Roman" w:hAnsi="Times New Roman" w:cs="Times New Roman"/>
          <w:b/>
          <w:caps/>
        </w:rPr>
        <w:t>able of Contents</w:t>
      </w:r>
    </w:p>
    <w:p w14:paraId="239C28C3" w14:textId="77777777" w:rsidR="00FB06A1" w:rsidRDefault="00FB06A1" w:rsidP="005C2CC3">
      <w:pPr>
        <w:spacing w:after="0" w:line="240" w:lineRule="auto"/>
        <w:jc w:val="center"/>
        <w:rPr>
          <w:rFonts w:ascii="Times New Roman" w:hAnsi="Times New Roman" w:cs="Times New Roman"/>
        </w:rPr>
      </w:pPr>
    </w:p>
    <w:p w14:paraId="054586EF" w14:textId="1EE01B21" w:rsidR="00B24885" w:rsidRPr="009C64AF" w:rsidRDefault="00B24885" w:rsidP="00B24885">
      <w:pPr>
        <w:spacing w:after="0" w:line="240" w:lineRule="auto"/>
        <w:jc w:val="cente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9C64AF">
        <w:rPr>
          <w:rFonts w:ascii="Times New Roman" w:hAnsi="Times New Roman" w:cs="Times New Roman"/>
          <w:u w:val="single"/>
        </w:rPr>
        <w:t>Page</w:t>
      </w:r>
    </w:p>
    <w:p w14:paraId="38D4955D" w14:textId="77777777" w:rsidR="00414C8B" w:rsidRPr="00F22C5C" w:rsidRDefault="00414C8B" w:rsidP="005C2CC3">
      <w:pPr>
        <w:spacing w:after="0" w:line="240" w:lineRule="auto"/>
        <w:jc w:val="center"/>
        <w:rPr>
          <w:rFonts w:ascii="Times New Roman" w:hAnsi="Times New Roman" w:cs="Times New Roman"/>
        </w:rPr>
      </w:pPr>
    </w:p>
    <w:p w14:paraId="4E72D711"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Executive Summary</w:t>
      </w:r>
      <w:r w:rsidR="00D703DF" w:rsidRPr="00F22C5C">
        <w:rPr>
          <w:rFonts w:ascii="Times New Roman" w:hAnsi="Times New Roman" w:cs="Times New Roman"/>
        </w:rPr>
        <w:tab/>
        <w:t>1</w:t>
      </w:r>
    </w:p>
    <w:p w14:paraId="26B18F8E" w14:textId="77777777" w:rsidR="00FB06A1" w:rsidRPr="00F22C5C" w:rsidRDefault="00FB06A1" w:rsidP="005C2CC3">
      <w:pPr>
        <w:spacing w:after="0" w:line="240" w:lineRule="auto"/>
        <w:rPr>
          <w:rFonts w:ascii="Times New Roman" w:hAnsi="Times New Roman" w:cs="Times New Roman"/>
        </w:rPr>
      </w:pPr>
    </w:p>
    <w:p w14:paraId="04DCEF0A" w14:textId="77777777" w:rsidR="00414C8B" w:rsidRPr="00F22C5C" w:rsidRDefault="00414C8B" w:rsidP="005C2CC3">
      <w:pPr>
        <w:spacing w:after="0" w:line="240" w:lineRule="auto"/>
        <w:rPr>
          <w:rFonts w:ascii="Times New Roman" w:hAnsi="Times New Roman" w:cs="Times New Roman"/>
        </w:rPr>
      </w:pPr>
    </w:p>
    <w:p w14:paraId="2ACB0BCE"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Relevant Background Information</w:t>
      </w:r>
      <w:r w:rsidR="00D703DF" w:rsidRPr="00F22C5C">
        <w:rPr>
          <w:rFonts w:ascii="Times New Roman" w:hAnsi="Times New Roman" w:cs="Times New Roman"/>
        </w:rPr>
        <w:tab/>
      </w:r>
      <w:r w:rsidR="007A2AB6" w:rsidRPr="00F22C5C">
        <w:rPr>
          <w:rFonts w:ascii="Times New Roman" w:hAnsi="Times New Roman" w:cs="Times New Roman"/>
        </w:rPr>
        <w:t>1</w:t>
      </w:r>
    </w:p>
    <w:p w14:paraId="4A90A804" w14:textId="77777777" w:rsidR="00FB06A1" w:rsidRPr="00F22C5C" w:rsidRDefault="00FB06A1" w:rsidP="005C2CC3">
      <w:pPr>
        <w:spacing w:after="0" w:line="240" w:lineRule="auto"/>
        <w:rPr>
          <w:rFonts w:ascii="Times New Roman" w:hAnsi="Times New Roman" w:cs="Times New Roman"/>
        </w:rPr>
      </w:pPr>
    </w:p>
    <w:p w14:paraId="2A8A748D" w14:textId="77777777" w:rsidR="00414C8B" w:rsidRPr="00F22C5C" w:rsidRDefault="00414C8B" w:rsidP="005C2CC3">
      <w:pPr>
        <w:spacing w:after="0" w:line="240" w:lineRule="auto"/>
        <w:rPr>
          <w:rFonts w:ascii="Times New Roman" w:hAnsi="Times New Roman" w:cs="Times New Roman"/>
        </w:rPr>
      </w:pPr>
    </w:p>
    <w:p w14:paraId="1CA6098F"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Scope of Report</w:t>
      </w:r>
      <w:r w:rsidR="00D703DF" w:rsidRPr="00F22C5C">
        <w:rPr>
          <w:rFonts w:ascii="Times New Roman" w:hAnsi="Times New Roman" w:cs="Times New Roman"/>
        </w:rPr>
        <w:tab/>
      </w:r>
      <w:r w:rsidR="007A2AB6" w:rsidRPr="00F22C5C">
        <w:rPr>
          <w:rFonts w:ascii="Times New Roman" w:hAnsi="Times New Roman" w:cs="Times New Roman"/>
        </w:rPr>
        <w:t>2</w:t>
      </w:r>
    </w:p>
    <w:p w14:paraId="28C97F9A" w14:textId="77777777" w:rsidR="00FB06A1" w:rsidRPr="00F22C5C" w:rsidRDefault="00FB06A1" w:rsidP="005C2CC3">
      <w:pPr>
        <w:spacing w:after="0" w:line="240" w:lineRule="auto"/>
        <w:rPr>
          <w:rFonts w:ascii="Times New Roman" w:hAnsi="Times New Roman" w:cs="Times New Roman"/>
        </w:rPr>
      </w:pPr>
    </w:p>
    <w:p w14:paraId="553109D1" w14:textId="77777777" w:rsidR="00414C8B" w:rsidRPr="00F22C5C" w:rsidRDefault="00414C8B" w:rsidP="005C2CC3">
      <w:pPr>
        <w:spacing w:after="0" w:line="240" w:lineRule="auto"/>
        <w:rPr>
          <w:rFonts w:ascii="Times New Roman" w:hAnsi="Times New Roman" w:cs="Times New Roman"/>
        </w:rPr>
      </w:pPr>
    </w:p>
    <w:p w14:paraId="55526CB8" w14:textId="00C8133E"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Primary Sources of Information Utilized</w:t>
      </w:r>
      <w:r w:rsidR="00D703DF" w:rsidRPr="00F22C5C">
        <w:rPr>
          <w:rFonts w:ascii="Times New Roman" w:hAnsi="Times New Roman" w:cs="Times New Roman"/>
        </w:rPr>
        <w:tab/>
      </w:r>
      <w:r w:rsidR="0024733A" w:rsidRPr="00F22C5C">
        <w:rPr>
          <w:rFonts w:ascii="Times New Roman" w:hAnsi="Times New Roman" w:cs="Times New Roman"/>
        </w:rPr>
        <w:t>2</w:t>
      </w:r>
      <w:r w:rsidR="007E3F3B">
        <w:rPr>
          <w:rFonts w:ascii="Times New Roman" w:hAnsi="Times New Roman" w:cs="Times New Roman"/>
        </w:rPr>
        <w:t xml:space="preserve"> - 3</w:t>
      </w:r>
    </w:p>
    <w:p w14:paraId="5621A7DC" w14:textId="77777777" w:rsidR="00FB06A1" w:rsidRPr="00F22C5C" w:rsidRDefault="00FB06A1" w:rsidP="005C2CC3">
      <w:pPr>
        <w:spacing w:after="0" w:line="240" w:lineRule="auto"/>
        <w:rPr>
          <w:rFonts w:ascii="Times New Roman" w:hAnsi="Times New Roman" w:cs="Times New Roman"/>
        </w:rPr>
      </w:pPr>
    </w:p>
    <w:p w14:paraId="643174AB" w14:textId="77777777" w:rsidR="00414C8B" w:rsidRPr="00F22C5C" w:rsidRDefault="00414C8B" w:rsidP="005C2CC3">
      <w:pPr>
        <w:spacing w:after="0" w:line="240" w:lineRule="auto"/>
        <w:rPr>
          <w:rFonts w:ascii="Times New Roman" w:hAnsi="Times New Roman" w:cs="Times New Roman"/>
        </w:rPr>
      </w:pPr>
    </w:p>
    <w:p w14:paraId="5855A47A" w14:textId="04DF5553"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Review of the Projections</w:t>
      </w:r>
      <w:r w:rsidR="00D703DF" w:rsidRPr="00F22C5C">
        <w:rPr>
          <w:rFonts w:ascii="Times New Roman" w:hAnsi="Times New Roman" w:cs="Times New Roman"/>
        </w:rPr>
        <w:tab/>
      </w:r>
      <w:r w:rsidR="007A2AB6" w:rsidRPr="00F22C5C">
        <w:rPr>
          <w:rFonts w:ascii="Times New Roman" w:hAnsi="Times New Roman" w:cs="Times New Roman"/>
        </w:rPr>
        <w:t>3 -</w:t>
      </w:r>
      <w:r w:rsidR="00DB44FB">
        <w:rPr>
          <w:rFonts w:ascii="Times New Roman" w:hAnsi="Times New Roman" w:cs="Times New Roman"/>
        </w:rPr>
        <w:t xml:space="preserve"> </w:t>
      </w:r>
      <w:r w:rsidR="007E3F3B">
        <w:rPr>
          <w:rFonts w:ascii="Times New Roman" w:hAnsi="Times New Roman" w:cs="Times New Roman"/>
        </w:rPr>
        <w:t>5</w:t>
      </w:r>
    </w:p>
    <w:p w14:paraId="6893CCC9" w14:textId="77777777" w:rsidR="00FB06A1" w:rsidRPr="00F22C5C" w:rsidRDefault="00FB06A1" w:rsidP="005C2CC3">
      <w:pPr>
        <w:spacing w:after="0" w:line="240" w:lineRule="auto"/>
        <w:rPr>
          <w:rFonts w:ascii="Times New Roman" w:hAnsi="Times New Roman" w:cs="Times New Roman"/>
        </w:rPr>
      </w:pPr>
    </w:p>
    <w:p w14:paraId="09242D83" w14:textId="77777777" w:rsidR="00414C8B" w:rsidRPr="00F22C5C" w:rsidRDefault="00414C8B" w:rsidP="005C2CC3">
      <w:pPr>
        <w:spacing w:after="0" w:line="240" w:lineRule="auto"/>
        <w:rPr>
          <w:rFonts w:ascii="Times New Roman" w:hAnsi="Times New Roman" w:cs="Times New Roman"/>
        </w:rPr>
      </w:pPr>
    </w:p>
    <w:p w14:paraId="4BF2C30C" w14:textId="1E64C03B"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Feasibility</w:t>
      </w:r>
      <w:r w:rsidR="00D703DF" w:rsidRPr="00F22C5C">
        <w:rPr>
          <w:rFonts w:ascii="Times New Roman" w:hAnsi="Times New Roman" w:cs="Times New Roman"/>
        </w:rPr>
        <w:tab/>
      </w:r>
      <w:r w:rsidR="00DB44FB">
        <w:rPr>
          <w:rFonts w:ascii="Times New Roman" w:hAnsi="Times New Roman" w:cs="Times New Roman"/>
        </w:rPr>
        <w:t>5</w:t>
      </w:r>
    </w:p>
    <w:p w14:paraId="3B316FA3" w14:textId="77777777" w:rsidR="00FB06A1" w:rsidRPr="00F22C5C" w:rsidRDefault="00FB06A1" w:rsidP="005C2CC3">
      <w:pPr>
        <w:spacing w:after="0" w:line="240" w:lineRule="auto"/>
        <w:rPr>
          <w:rFonts w:ascii="Times New Roman" w:hAnsi="Times New Roman" w:cs="Times New Roman"/>
        </w:rPr>
      </w:pPr>
    </w:p>
    <w:p w14:paraId="7294969B" w14:textId="77777777" w:rsidR="00FB06A1" w:rsidRPr="00F22C5C" w:rsidRDefault="00FB06A1" w:rsidP="005C2CC3">
      <w:pPr>
        <w:spacing w:after="0" w:line="240" w:lineRule="auto"/>
        <w:rPr>
          <w:rFonts w:ascii="Times New Roman" w:hAnsi="Times New Roman" w:cs="Times New Roman"/>
          <w:highlight w:val="yellow"/>
        </w:rPr>
      </w:pPr>
    </w:p>
    <w:p w14:paraId="4962A2B5" w14:textId="77777777" w:rsidR="00FB06A1" w:rsidRPr="00F22C5C" w:rsidRDefault="00FB06A1" w:rsidP="005C2CC3">
      <w:pPr>
        <w:spacing w:after="0" w:line="240" w:lineRule="auto"/>
        <w:rPr>
          <w:rFonts w:ascii="Times New Roman" w:hAnsi="Times New Roman" w:cs="Times New Roman"/>
          <w:highlight w:val="yellow"/>
        </w:rPr>
      </w:pPr>
    </w:p>
    <w:p w14:paraId="6808D0E5" w14:textId="77777777" w:rsidR="00FB06A1" w:rsidRPr="00F22C5C" w:rsidRDefault="00FB06A1" w:rsidP="005C2CC3">
      <w:pPr>
        <w:spacing w:after="0" w:line="240" w:lineRule="auto"/>
        <w:rPr>
          <w:rFonts w:ascii="Times New Roman" w:hAnsi="Times New Roman" w:cs="Times New Roman"/>
          <w:highlight w:val="yellow"/>
        </w:rPr>
      </w:pPr>
    </w:p>
    <w:p w14:paraId="3542C48C" w14:textId="77777777" w:rsidR="00FB06A1" w:rsidRPr="00F22C5C" w:rsidRDefault="00FB06A1" w:rsidP="005C2CC3">
      <w:pPr>
        <w:spacing w:after="0" w:line="240" w:lineRule="auto"/>
        <w:rPr>
          <w:rFonts w:ascii="Times New Roman" w:hAnsi="Times New Roman" w:cs="Times New Roman"/>
          <w:highlight w:val="yellow"/>
        </w:rPr>
      </w:pPr>
    </w:p>
    <w:p w14:paraId="5D7B0327" w14:textId="77777777" w:rsidR="005C2CC3" w:rsidRPr="00F22C5C" w:rsidRDefault="005C2CC3" w:rsidP="00FB06A1">
      <w:pPr>
        <w:rPr>
          <w:highlight w:val="yellow"/>
        </w:rPr>
        <w:sectPr w:rsidR="005C2CC3" w:rsidRPr="00F22C5C" w:rsidSect="002F35BE">
          <w:pgSz w:w="12240" w:h="15840" w:code="1"/>
          <w:pgMar w:top="720" w:right="720" w:bottom="720" w:left="960" w:header="0" w:footer="0" w:gutter="0"/>
          <w:cols w:space="720"/>
          <w:titlePg/>
          <w:docGrid w:linePitch="360"/>
        </w:sectPr>
      </w:pPr>
    </w:p>
    <w:p w14:paraId="5334D645" w14:textId="6BBF2768" w:rsidR="00414C8B" w:rsidRPr="00E72ED7" w:rsidRDefault="002367C6" w:rsidP="00414C8B">
      <w:pPr>
        <w:spacing w:after="0" w:line="240" w:lineRule="auto"/>
        <w:rPr>
          <w:rFonts w:ascii="Times New Roman" w:hAnsi="Times New Roman" w:cs="Times New Roman"/>
        </w:rPr>
      </w:pPr>
      <w:bookmarkStart w:id="1" w:name="_Hlk527538595"/>
      <w:r w:rsidRPr="00F850E7">
        <w:rPr>
          <w:rFonts w:ascii="Times New Roman" w:hAnsi="Times New Roman" w:cs="Times New Roman"/>
        </w:rPr>
        <w:lastRenderedPageBreak/>
        <w:t>Septembe</w:t>
      </w:r>
      <w:r w:rsidR="00F850E7" w:rsidRPr="00F850E7">
        <w:rPr>
          <w:rFonts w:ascii="Times New Roman" w:hAnsi="Times New Roman" w:cs="Times New Roman"/>
        </w:rPr>
        <w:t>r 28</w:t>
      </w:r>
      <w:r w:rsidR="00932485" w:rsidRPr="00F850E7">
        <w:rPr>
          <w:rFonts w:ascii="Times New Roman" w:hAnsi="Times New Roman" w:cs="Times New Roman"/>
        </w:rPr>
        <w:t>, 2023</w:t>
      </w:r>
    </w:p>
    <w:bookmarkEnd w:id="1"/>
    <w:p w14:paraId="2D0CEC82" w14:textId="77777777" w:rsidR="00414C8B" w:rsidRPr="00F22C5C" w:rsidRDefault="00414C8B" w:rsidP="00414C8B">
      <w:pPr>
        <w:spacing w:after="0" w:line="240" w:lineRule="auto"/>
        <w:rPr>
          <w:rFonts w:ascii="Times New Roman" w:hAnsi="Times New Roman" w:cs="Times New Roman"/>
          <w:highlight w:val="yellow"/>
        </w:rPr>
      </w:pPr>
    </w:p>
    <w:p w14:paraId="63DA1017" w14:textId="77777777" w:rsidR="00414C8B" w:rsidRPr="009E10C8" w:rsidRDefault="00414C8B" w:rsidP="00414C8B">
      <w:pPr>
        <w:spacing w:after="0" w:line="240" w:lineRule="auto"/>
        <w:rPr>
          <w:rFonts w:ascii="Times New Roman" w:hAnsi="Times New Roman" w:cs="Times New Roman"/>
        </w:rPr>
      </w:pPr>
    </w:p>
    <w:p w14:paraId="3FA82C87" w14:textId="5F795275" w:rsidR="007B62F8" w:rsidRPr="009E10C8" w:rsidRDefault="00A80D76" w:rsidP="00414C8B">
      <w:pPr>
        <w:spacing w:after="0" w:line="240" w:lineRule="auto"/>
        <w:rPr>
          <w:rFonts w:ascii="Times New Roman" w:hAnsi="Times New Roman" w:cs="Times New Roman"/>
        </w:rPr>
      </w:pPr>
      <w:r w:rsidRPr="009E10C8">
        <w:rPr>
          <w:rFonts w:ascii="Times New Roman" w:hAnsi="Times New Roman" w:cs="Times New Roman"/>
        </w:rPr>
        <w:t xml:space="preserve">Mr. </w:t>
      </w:r>
      <w:r w:rsidR="005D25CC">
        <w:rPr>
          <w:rFonts w:ascii="Times New Roman" w:hAnsi="Times New Roman" w:cs="Times New Roman"/>
        </w:rPr>
        <w:t>Jim Jenkins</w:t>
      </w:r>
    </w:p>
    <w:p w14:paraId="31C11FA5" w14:textId="4C18EF84" w:rsidR="00F90DDD" w:rsidRPr="00D11B75" w:rsidRDefault="005D25CC" w:rsidP="00414C8B">
      <w:pPr>
        <w:spacing w:after="0" w:line="240" w:lineRule="auto"/>
        <w:rPr>
          <w:rFonts w:ascii="Times New Roman" w:hAnsi="Times New Roman" w:cs="Times New Roman"/>
        </w:rPr>
      </w:pPr>
      <w:r>
        <w:rPr>
          <w:rFonts w:ascii="Times New Roman" w:hAnsi="Times New Roman" w:cs="Times New Roman"/>
        </w:rPr>
        <w:t xml:space="preserve">Chief Financial Officer </w:t>
      </w:r>
    </w:p>
    <w:p w14:paraId="58E7C64C" w14:textId="69603E92" w:rsidR="00F90DDD" w:rsidRPr="00D11B75" w:rsidRDefault="005D25CC" w:rsidP="00414C8B">
      <w:pPr>
        <w:spacing w:after="0" w:line="240" w:lineRule="auto"/>
        <w:rPr>
          <w:rFonts w:ascii="Times New Roman" w:hAnsi="Times New Roman" w:cs="Times New Roman"/>
        </w:rPr>
      </w:pPr>
      <w:r>
        <w:rPr>
          <w:rFonts w:ascii="Times New Roman" w:hAnsi="Times New Roman" w:cs="Times New Roman"/>
        </w:rPr>
        <w:t>Beth Israel Deaconess</w:t>
      </w:r>
      <w:r w:rsidR="00AB0848">
        <w:rPr>
          <w:rFonts w:ascii="Times New Roman" w:hAnsi="Times New Roman" w:cs="Times New Roman"/>
        </w:rPr>
        <w:t xml:space="preserve"> Hospital </w:t>
      </w:r>
      <w:r w:rsidR="00F16EFB">
        <w:rPr>
          <w:rFonts w:ascii="Times New Roman" w:hAnsi="Times New Roman" w:cs="Times New Roman"/>
        </w:rPr>
        <w:t>–</w:t>
      </w:r>
      <w:r>
        <w:rPr>
          <w:rFonts w:ascii="Times New Roman" w:hAnsi="Times New Roman" w:cs="Times New Roman"/>
        </w:rPr>
        <w:t xml:space="preserve"> Plymouth</w:t>
      </w:r>
      <w:r w:rsidR="00F16EFB">
        <w:rPr>
          <w:rFonts w:ascii="Times New Roman" w:hAnsi="Times New Roman" w:cs="Times New Roman"/>
        </w:rPr>
        <w:t xml:space="preserve">, Inc. </w:t>
      </w:r>
    </w:p>
    <w:p w14:paraId="4EAF24C7" w14:textId="1BC2F869" w:rsidR="00F90DDD" w:rsidRPr="00D11B75" w:rsidRDefault="005D25CC" w:rsidP="00414C8B">
      <w:pPr>
        <w:spacing w:after="0" w:line="240" w:lineRule="auto"/>
        <w:rPr>
          <w:rFonts w:ascii="Times New Roman" w:hAnsi="Times New Roman" w:cs="Times New Roman"/>
        </w:rPr>
      </w:pPr>
      <w:r>
        <w:rPr>
          <w:rFonts w:ascii="Times New Roman" w:hAnsi="Times New Roman" w:cs="Times New Roman"/>
        </w:rPr>
        <w:t>275 Sandwich Street</w:t>
      </w:r>
    </w:p>
    <w:p w14:paraId="3022D7F6" w14:textId="7EFE048D" w:rsidR="00F90DDD" w:rsidRPr="00C15F13" w:rsidRDefault="00F408BB" w:rsidP="00414C8B">
      <w:pPr>
        <w:spacing w:after="0" w:line="240" w:lineRule="auto"/>
        <w:rPr>
          <w:rFonts w:ascii="Times New Roman" w:hAnsi="Times New Roman" w:cs="Times New Roman"/>
        </w:rPr>
      </w:pPr>
      <w:r>
        <w:rPr>
          <w:rFonts w:ascii="Times New Roman" w:hAnsi="Times New Roman" w:cs="Times New Roman"/>
        </w:rPr>
        <w:t>Plymouth, MA 02360</w:t>
      </w:r>
    </w:p>
    <w:p w14:paraId="43C3C0E6" w14:textId="77777777" w:rsidR="00F90DDD" w:rsidRPr="005D25CC" w:rsidRDefault="00F90DDD" w:rsidP="00414C8B">
      <w:pPr>
        <w:spacing w:after="0" w:line="240" w:lineRule="auto"/>
        <w:rPr>
          <w:rFonts w:ascii="Times New Roman" w:hAnsi="Times New Roman" w:cs="Times New Roman"/>
        </w:rPr>
      </w:pPr>
    </w:p>
    <w:p w14:paraId="47CC0ACD" w14:textId="17CAEC97" w:rsidR="00F90DDD" w:rsidRPr="005D25CC" w:rsidRDefault="00F90DDD" w:rsidP="00414C8B">
      <w:pPr>
        <w:spacing w:after="0" w:line="240" w:lineRule="auto"/>
        <w:rPr>
          <w:rFonts w:ascii="Times New Roman" w:hAnsi="Times New Roman" w:cs="Times New Roman"/>
        </w:rPr>
      </w:pPr>
      <w:r w:rsidRPr="005D25CC">
        <w:rPr>
          <w:rFonts w:ascii="Times New Roman" w:hAnsi="Times New Roman" w:cs="Times New Roman"/>
        </w:rPr>
        <w:t>Dear Mr.</w:t>
      </w:r>
      <w:r w:rsidR="00116082" w:rsidRPr="005D25CC">
        <w:rPr>
          <w:rFonts w:ascii="Times New Roman" w:hAnsi="Times New Roman" w:cs="Times New Roman"/>
        </w:rPr>
        <w:t xml:space="preserve"> </w:t>
      </w:r>
      <w:r w:rsidR="005D25CC" w:rsidRPr="005D25CC">
        <w:rPr>
          <w:rFonts w:ascii="Times New Roman" w:hAnsi="Times New Roman" w:cs="Times New Roman"/>
        </w:rPr>
        <w:t>Jenkins</w:t>
      </w:r>
      <w:r w:rsidRPr="005D25CC">
        <w:rPr>
          <w:rFonts w:ascii="Times New Roman" w:hAnsi="Times New Roman" w:cs="Times New Roman"/>
        </w:rPr>
        <w:t>:</w:t>
      </w:r>
    </w:p>
    <w:p w14:paraId="79C72CBE" w14:textId="77777777" w:rsidR="00F90DDD" w:rsidRPr="0027471F" w:rsidRDefault="00F90DDD" w:rsidP="00414C8B">
      <w:pPr>
        <w:spacing w:after="0" w:line="240" w:lineRule="auto"/>
        <w:rPr>
          <w:rFonts w:ascii="Times New Roman" w:hAnsi="Times New Roman" w:cs="Times New Roman"/>
        </w:rPr>
      </w:pPr>
    </w:p>
    <w:p w14:paraId="690C5FCB" w14:textId="0D33AFE3" w:rsidR="00F90DDD" w:rsidRPr="00675C72" w:rsidRDefault="00F90DDD" w:rsidP="00414C8B">
      <w:pPr>
        <w:spacing w:after="0" w:line="240" w:lineRule="auto"/>
        <w:jc w:val="both"/>
        <w:rPr>
          <w:rFonts w:ascii="Times New Roman" w:hAnsi="Times New Roman" w:cs="Times New Roman"/>
        </w:rPr>
      </w:pPr>
      <w:r w:rsidRPr="0027471F">
        <w:rPr>
          <w:rFonts w:ascii="Times New Roman" w:hAnsi="Times New Roman" w:cs="Times New Roman"/>
        </w:rPr>
        <w:t xml:space="preserve">We have performed an analysis of the financial projections prepared by </w:t>
      </w:r>
      <w:r w:rsidR="008251B8" w:rsidRPr="0027471F">
        <w:rPr>
          <w:rFonts w:ascii="Times New Roman" w:hAnsi="Times New Roman" w:cs="Times New Roman"/>
        </w:rPr>
        <w:t xml:space="preserve">Beth Israel </w:t>
      </w:r>
      <w:r w:rsidR="00731957">
        <w:rPr>
          <w:rFonts w:ascii="Times New Roman" w:hAnsi="Times New Roman" w:cs="Times New Roman"/>
        </w:rPr>
        <w:t>Lahey Health, Inc.</w:t>
      </w:r>
      <w:r w:rsidR="008251B8" w:rsidRPr="0027471F">
        <w:rPr>
          <w:rFonts w:ascii="Times New Roman" w:hAnsi="Times New Roman" w:cs="Times New Roman"/>
        </w:rPr>
        <w:t xml:space="preserve"> (</w:t>
      </w:r>
      <w:r w:rsidR="00731957">
        <w:rPr>
          <w:rFonts w:ascii="Times New Roman" w:hAnsi="Times New Roman" w:cs="Times New Roman"/>
        </w:rPr>
        <w:t>the “Applicant”</w:t>
      </w:r>
      <w:r w:rsidR="00DC6E5D">
        <w:rPr>
          <w:rFonts w:ascii="Times New Roman" w:hAnsi="Times New Roman" w:cs="Times New Roman"/>
        </w:rPr>
        <w:t xml:space="preserve"> or “BILH”</w:t>
      </w:r>
      <w:r w:rsidR="00FC4CA3" w:rsidRPr="0027471F">
        <w:rPr>
          <w:rFonts w:ascii="Times New Roman" w:hAnsi="Times New Roman" w:cs="Times New Roman"/>
        </w:rPr>
        <w:t>)</w:t>
      </w:r>
      <w:r w:rsidR="0075449A" w:rsidRPr="0027471F">
        <w:rPr>
          <w:rFonts w:ascii="Times New Roman" w:hAnsi="Times New Roman" w:cs="Times New Roman"/>
        </w:rPr>
        <w:t xml:space="preserve"> </w:t>
      </w:r>
      <w:r w:rsidRPr="0027471F">
        <w:rPr>
          <w:rFonts w:ascii="Times New Roman" w:hAnsi="Times New Roman" w:cs="Times New Roman"/>
        </w:rPr>
        <w:t xml:space="preserve">detailing the projected operations of </w:t>
      </w:r>
      <w:bookmarkStart w:id="2" w:name="_Hlk22279446"/>
      <w:r w:rsidR="002B3DD2" w:rsidRPr="002B3DD2">
        <w:rPr>
          <w:rFonts w:ascii="Times New Roman" w:hAnsi="Times New Roman" w:cs="Times New Roman"/>
        </w:rPr>
        <w:t xml:space="preserve">the reactivation of one existing dormant linear accelerator at </w:t>
      </w:r>
      <w:r w:rsidR="002B3DD2" w:rsidRPr="002B3DD2">
        <w:rPr>
          <w:rFonts w:ascii="Times New Roman" w:eastAsia="Times New Roman" w:hAnsi="Times New Roman" w:cs="Times New Roman"/>
          <w:kern w:val="2"/>
        </w:rPr>
        <w:t>Beth Israel Deaconess Hospital - Plymouth, Inc.</w:t>
      </w:r>
      <w:r w:rsidR="00F362ED">
        <w:rPr>
          <w:rFonts w:ascii="Times New Roman" w:eastAsia="Times New Roman" w:hAnsi="Times New Roman" w:cs="Times New Roman"/>
          <w:kern w:val="2"/>
        </w:rPr>
        <w:t xml:space="preserve"> </w:t>
      </w:r>
      <w:r w:rsidR="0094286D" w:rsidRPr="00675C72">
        <w:rPr>
          <w:rFonts w:ascii="Times New Roman" w:hAnsi="Times New Roman" w:cs="Times New Roman"/>
        </w:rPr>
        <w:t>(“</w:t>
      </w:r>
      <w:r w:rsidR="00731957">
        <w:rPr>
          <w:rFonts w:ascii="Times New Roman" w:hAnsi="Times New Roman" w:cs="Times New Roman"/>
        </w:rPr>
        <w:t>BID Plymouth</w:t>
      </w:r>
      <w:r w:rsidR="0094286D" w:rsidRPr="00675C72">
        <w:rPr>
          <w:rFonts w:ascii="Times New Roman" w:hAnsi="Times New Roman" w:cs="Times New Roman"/>
        </w:rPr>
        <w:t>”)</w:t>
      </w:r>
      <w:bookmarkEnd w:id="2"/>
      <w:r w:rsidR="002233EA">
        <w:rPr>
          <w:rFonts w:ascii="Times New Roman" w:hAnsi="Times New Roman" w:cs="Times New Roman"/>
        </w:rPr>
        <w:t xml:space="preserve">, </w:t>
      </w:r>
      <w:r w:rsidR="002233EA" w:rsidRPr="00731957">
        <w:rPr>
          <w:rFonts w:ascii="Times New Roman" w:hAnsi="Times New Roman" w:cs="Times New Roman"/>
        </w:rPr>
        <w:t xml:space="preserve">a hospital located </w:t>
      </w:r>
      <w:r w:rsidR="00F362ED">
        <w:rPr>
          <w:rFonts w:ascii="Times New Roman" w:hAnsi="Times New Roman" w:cs="Times New Roman"/>
        </w:rPr>
        <w:t xml:space="preserve">at 275 Sandwich St, </w:t>
      </w:r>
      <w:r w:rsidR="00731957">
        <w:rPr>
          <w:rFonts w:ascii="Times New Roman" w:hAnsi="Times New Roman" w:cs="Times New Roman"/>
        </w:rPr>
        <w:t xml:space="preserve">Plymouth, </w:t>
      </w:r>
      <w:r w:rsidR="00967731">
        <w:rPr>
          <w:rFonts w:ascii="Times New Roman" w:hAnsi="Times New Roman" w:cs="Times New Roman"/>
        </w:rPr>
        <w:t>MA</w:t>
      </w:r>
      <w:r w:rsidR="00803540">
        <w:rPr>
          <w:rFonts w:ascii="Times New Roman" w:hAnsi="Times New Roman" w:cs="Times New Roman"/>
        </w:rPr>
        <w:t xml:space="preserve"> </w:t>
      </w:r>
      <w:r w:rsidR="0010774A" w:rsidRPr="00675C72">
        <w:rPr>
          <w:rFonts w:ascii="Times New Roman" w:hAnsi="Times New Roman" w:cs="Times New Roman"/>
        </w:rPr>
        <w:t>(the “Project”)</w:t>
      </w:r>
      <w:r w:rsidR="00A0500F" w:rsidRPr="00675C72">
        <w:rPr>
          <w:rFonts w:ascii="Times New Roman" w:hAnsi="Times New Roman" w:cs="Times New Roman"/>
        </w:rPr>
        <w:t xml:space="preserve">. </w:t>
      </w:r>
      <w:bookmarkStart w:id="3" w:name="_Hlk21453432"/>
      <w:r w:rsidR="00622908" w:rsidRPr="00675C72">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3"/>
      <w:r w:rsidR="00622908" w:rsidRPr="00675C72">
        <w:rPr>
          <w:rFonts w:ascii="Times New Roman" w:hAnsi="Times New Roman" w:cs="Times New Roman"/>
        </w:rPr>
        <w:t xml:space="preserve"> of </w:t>
      </w:r>
      <w:r w:rsidR="00182C56" w:rsidRPr="00675C72">
        <w:rPr>
          <w:rFonts w:ascii="Times New Roman" w:hAnsi="Times New Roman" w:cs="Times New Roman"/>
        </w:rPr>
        <w:t xml:space="preserve">the </w:t>
      </w:r>
      <w:r w:rsidR="008970C7">
        <w:rPr>
          <w:rFonts w:ascii="Times New Roman" w:hAnsi="Times New Roman" w:cs="Times New Roman"/>
        </w:rPr>
        <w:t>Project</w:t>
      </w:r>
      <w:r w:rsidR="00622908" w:rsidRPr="00675C72">
        <w:rPr>
          <w:rFonts w:ascii="Times New Roman" w:hAnsi="Times New Roman" w:cs="Times New Roman"/>
        </w:rPr>
        <w:t xml:space="preserve"> as prepared by the management </w:t>
      </w:r>
      <w:r w:rsidR="00675C72" w:rsidRPr="00675C72">
        <w:rPr>
          <w:rFonts w:ascii="Times New Roman" w:hAnsi="Times New Roman" w:cs="Times New Roman"/>
        </w:rPr>
        <w:t>of</w:t>
      </w:r>
      <w:r w:rsidR="00DC6358" w:rsidRPr="00675C72">
        <w:rPr>
          <w:rFonts w:ascii="Times New Roman" w:hAnsi="Times New Roman" w:cs="Times New Roman"/>
        </w:rPr>
        <w:t xml:space="preserve"> </w:t>
      </w:r>
      <w:r w:rsidR="00A0500F" w:rsidRPr="00675C72">
        <w:rPr>
          <w:rFonts w:ascii="Times New Roman" w:hAnsi="Times New Roman" w:cs="Times New Roman"/>
        </w:rPr>
        <w:t>BID</w:t>
      </w:r>
      <w:r w:rsidR="00975A24" w:rsidRPr="00675C72">
        <w:rPr>
          <w:rFonts w:ascii="Times New Roman" w:hAnsi="Times New Roman" w:cs="Times New Roman"/>
        </w:rPr>
        <w:t xml:space="preserve"> </w:t>
      </w:r>
      <w:r w:rsidR="00A0500F" w:rsidRPr="00675C72">
        <w:rPr>
          <w:rFonts w:ascii="Times New Roman" w:hAnsi="Times New Roman" w:cs="Times New Roman"/>
        </w:rPr>
        <w:t>Plymouth</w:t>
      </w:r>
      <w:r w:rsidR="002B48D1" w:rsidRPr="00675C72">
        <w:rPr>
          <w:rFonts w:ascii="Times New Roman" w:hAnsi="Times New Roman" w:cs="Times New Roman"/>
        </w:rPr>
        <w:t xml:space="preserve"> </w:t>
      </w:r>
      <w:r w:rsidR="00622908" w:rsidRPr="00675C72">
        <w:rPr>
          <w:rFonts w:ascii="Times New Roman" w:hAnsi="Times New Roman" w:cs="Times New Roman"/>
        </w:rPr>
        <w:t xml:space="preserve">(“Management”). This report is to be included by </w:t>
      </w:r>
      <w:r w:rsidR="000412A0" w:rsidRPr="00675C72">
        <w:rPr>
          <w:rFonts w:ascii="Times New Roman" w:hAnsi="Times New Roman" w:cs="Times New Roman"/>
        </w:rPr>
        <w:t>the Applicant</w:t>
      </w:r>
      <w:r w:rsidR="005E0E37" w:rsidRPr="00675C72">
        <w:rPr>
          <w:rFonts w:ascii="Times New Roman" w:hAnsi="Times New Roman" w:cs="Times New Roman"/>
        </w:rPr>
        <w:t xml:space="preserve"> </w:t>
      </w:r>
      <w:r w:rsidR="00622908" w:rsidRPr="00675C72">
        <w:rPr>
          <w:rFonts w:ascii="Times New Roman" w:hAnsi="Times New Roman" w:cs="Times New Roman"/>
        </w:rPr>
        <w:t xml:space="preserve">in its </w:t>
      </w:r>
      <w:r w:rsidR="0049110C">
        <w:rPr>
          <w:rFonts w:ascii="Times New Roman" w:hAnsi="Times New Roman" w:cs="Times New Roman"/>
        </w:rPr>
        <w:t>Determination of Need (“</w:t>
      </w:r>
      <w:r w:rsidR="00622908" w:rsidRPr="00675C72">
        <w:rPr>
          <w:rFonts w:ascii="Times New Roman" w:hAnsi="Times New Roman" w:cs="Times New Roman"/>
        </w:rPr>
        <w:t>DON</w:t>
      </w:r>
      <w:r w:rsidR="0049110C">
        <w:rPr>
          <w:rFonts w:ascii="Times New Roman" w:hAnsi="Times New Roman" w:cs="Times New Roman"/>
        </w:rPr>
        <w:t>”)</w:t>
      </w:r>
      <w:r w:rsidR="00622908" w:rsidRPr="00675C72">
        <w:rPr>
          <w:rFonts w:ascii="Times New Roman" w:hAnsi="Times New Roman" w:cs="Times New Roman"/>
        </w:rPr>
        <w:t xml:space="preserve"> </w:t>
      </w:r>
      <w:r w:rsidR="00A0636A" w:rsidRPr="00675C72">
        <w:rPr>
          <w:rFonts w:ascii="Times New Roman" w:hAnsi="Times New Roman" w:cs="Times New Roman"/>
        </w:rPr>
        <w:t>application</w:t>
      </w:r>
      <w:r w:rsidR="009D69E1" w:rsidRPr="00675C72">
        <w:rPr>
          <w:rFonts w:ascii="Times New Roman" w:hAnsi="Times New Roman" w:cs="Times New Roman"/>
        </w:rPr>
        <w:t>, (s</w:t>
      </w:r>
      <w:r w:rsidR="00A0636A" w:rsidRPr="00675C72">
        <w:rPr>
          <w:rFonts w:ascii="Times New Roman" w:hAnsi="Times New Roman" w:cs="Times New Roman"/>
        </w:rPr>
        <w:t>ee Factor 4(a)</w:t>
      </w:r>
      <w:r w:rsidR="00F10D3B" w:rsidRPr="00675C72">
        <w:rPr>
          <w:rFonts w:ascii="Times New Roman" w:hAnsi="Times New Roman" w:cs="Times New Roman"/>
        </w:rPr>
        <w:t xml:space="preserve"> of the DON</w:t>
      </w:r>
      <w:r w:rsidR="009D69E1" w:rsidRPr="00675C72">
        <w:rPr>
          <w:rFonts w:ascii="Times New Roman" w:hAnsi="Times New Roman" w:cs="Times New Roman"/>
        </w:rPr>
        <w:t>)</w:t>
      </w:r>
      <w:r w:rsidR="00A0636A" w:rsidRPr="00675C72">
        <w:rPr>
          <w:rFonts w:ascii="Times New Roman" w:hAnsi="Times New Roman" w:cs="Times New Roman"/>
        </w:rPr>
        <w:t xml:space="preserve"> and should not be distributed or relied upon for any other purpose.</w:t>
      </w:r>
    </w:p>
    <w:p w14:paraId="1AC3E8CF" w14:textId="77777777" w:rsidR="00A0636A" w:rsidRPr="00675C72" w:rsidRDefault="00A0636A" w:rsidP="00414C8B">
      <w:pPr>
        <w:spacing w:after="0" w:line="240" w:lineRule="auto"/>
        <w:jc w:val="both"/>
        <w:rPr>
          <w:rFonts w:ascii="Times New Roman" w:hAnsi="Times New Roman" w:cs="Times New Roman"/>
        </w:rPr>
      </w:pPr>
    </w:p>
    <w:p w14:paraId="68C6FC8D" w14:textId="230A838D" w:rsidR="00A0636A" w:rsidRPr="00D95092" w:rsidRDefault="00A0636A"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Executive Summary</w:t>
      </w:r>
    </w:p>
    <w:p w14:paraId="34D3A5A2" w14:textId="77777777" w:rsidR="00A0636A" w:rsidRPr="00E00B70" w:rsidRDefault="00A0636A" w:rsidP="00414C8B">
      <w:pPr>
        <w:spacing w:after="0" w:line="240" w:lineRule="auto"/>
        <w:jc w:val="both"/>
        <w:rPr>
          <w:rFonts w:ascii="Times New Roman" w:hAnsi="Times New Roman" w:cs="Times New Roman"/>
        </w:rPr>
      </w:pPr>
    </w:p>
    <w:p w14:paraId="36860DB8" w14:textId="1A3085D2" w:rsidR="00A0636A" w:rsidRPr="005D25CC" w:rsidRDefault="00A0636A" w:rsidP="004F5964">
      <w:pPr>
        <w:spacing w:after="0" w:line="240" w:lineRule="auto"/>
        <w:ind w:left="360"/>
        <w:jc w:val="both"/>
        <w:rPr>
          <w:rFonts w:ascii="Times New Roman" w:hAnsi="Times New Roman" w:cs="Times New Roman"/>
          <w:highlight w:val="yellow"/>
        </w:rPr>
      </w:pPr>
      <w:r w:rsidRPr="00E00B70">
        <w:rPr>
          <w:rFonts w:ascii="Times New Roman" w:hAnsi="Times New Roman" w:cs="Times New Roman"/>
        </w:rPr>
        <w:t xml:space="preserve">The scope of our analysis was limited to the </w:t>
      </w:r>
      <w:r w:rsidR="0054233A" w:rsidRPr="00E00B70">
        <w:rPr>
          <w:rFonts w:ascii="Times New Roman" w:hAnsi="Times New Roman" w:cs="Times New Roman"/>
        </w:rPr>
        <w:t>five-year</w:t>
      </w:r>
      <w:r w:rsidRPr="00E00B70">
        <w:rPr>
          <w:rFonts w:ascii="Times New Roman" w:hAnsi="Times New Roman" w:cs="Times New Roman"/>
        </w:rPr>
        <w:t xml:space="preserve"> financial projections</w:t>
      </w:r>
      <w:r w:rsidR="00FC3A5E">
        <w:rPr>
          <w:rFonts w:ascii="Times New Roman" w:hAnsi="Times New Roman" w:cs="Times New Roman"/>
        </w:rPr>
        <w:t xml:space="preserve"> for the fiscal years ending September 30, </w:t>
      </w:r>
      <w:proofErr w:type="gramStart"/>
      <w:r w:rsidR="00FC3A5E">
        <w:rPr>
          <w:rFonts w:ascii="Times New Roman" w:hAnsi="Times New Roman" w:cs="Times New Roman"/>
        </w:rPr>
        <w:t>2024</w:t>
      </w:r>
      <w:proofErr w:type="gramEnd"/>
      <w:r w:rsidR="00FC3A5E">
        <w:rPr>
          <w:rFonts w:ascii="Times New Roman" w:hAnsi="Times New Roman" w:cs="Times New Roman"/>
        </w:rPr>
        <w:t xml:space="preserve"> through September 30, 2028 </w:t>
      </w:r>
      <w:r w:rsidRPr="00E00B70">
        <w:rPr>
          <w:rFonts w:ascii="Times New Roman" w:hAnsi="Times New Roman" w:cs="Times New Roman"/>
        </w:rPr>
        <w:t xml:space="preserve">(the </w:t>
      </w:r>
      <w:r w:rsidR="00B63155" w:rsidRPr="00E00B70">
        <w:rPr>
          <w:rFonts w:ascii="Times New Roman" w:hAnsi="Times New Roman" w:cs="Times New Roman"/>
        </w:rPr>
        <w:t>“Projections</w:t>
      </w:r>
      <w:r w:rsidRPr="00E00B70">
        <w:rPr>
          <w:rFonts w:ascii="Times New Roman" w:hAnsi="Times New Roman" w:cs="Times New Roman"/>
        </w:rPr>
        <w:t xml:space="preserve">”) prepared by </w:t>
      </w:r>
      <w:r w:rsidR="002B48D1" w:rsidRPr="00E00B70">
        <w:rPr>
          <w:rFonts w:ascii="Times New Roman" w:hAnsi="Times New Roman" w:cs="Times New Roman"/>
        </w:rPr>
        <w:t>Management</w:t>
      </w:r>
      <w:r w:rsidR="003251A7" w:rsidRPr="00E00B70">
        <w:rPr>
          <w:rFonts w:ascii="Times New Roman" w:hAnsi="Times New Roman" w:cs="Times New Roman"/>
        </w:rPr>
        <w:t>,</w:t>
      </w:r>
      <w:r w:rsidR="00EE73D1">
        <w:rPr>
          <w:rFonts w:ascii="Times New Roman" w:hAnsi="Times New Roman" w:cs="Times New Roman"/>
        </w:rPr>
        <w:t xml:space="preserve"> </w:t>
      </w:r>
      <w:r w:rsidRPr="00E00B70">
        <w:rPr>
          <w:rFonts w:ascii="Times New Roman" w:hAnsi="Times New Roman" w:cs="Times New Roman"/>
        </w:rPr>
        <w:t>and the related supporting documentation</w:t>
      </w:r>
      <w:r w:rsidR="001C4E70" w:rsidRPr="00E00B70">
        <w:rPr>
          <w:rFonts w:ascii="Times New Roman" w:hAnsi="Times New Roman" w:cs="Times New Roman"/>
        </w:rPr>
        <w:t xml:space="preserve"> </w:t>
      </w:r>
      <w:r w:rsidR="001C4E70" w:rsidRPr="00F83CB2">
        <w:rPr>
          <w:rFonts w:ascii="Times New Roman" w:hAnsi="Times New Roman" w:cs="Times New Roman"/>
        </w:rPr>
        <w:t xml:space="preserve">provided by </w:t>
      </w:r>
      <w:r w:rsidR="004D3AAF" w:rsidRPr="00F83CB2">
        <w:rPr>
          <w:rFonts w:ascii="Times New Roman" w:hAnsi="Times New Roman" w:cs="Times New Roman"/>
        </w:rPr>
        <w:t>Management</w:t>
      </w:r>
      <w:r w:rsidR="00347E4B" w:rsidRPr="00F83CB2">
        <w:rPr>
          <w:rFonts w:ascii="Times New Roman" w:hAnsi="Times New Roman" w:cs="Times New Roman"/>
        </w:rPr>
        <w:t>.</w:t>
      </w:r>
      <w:r w:rsidR="00531EEB" w:rsidRPr="00F83CB2">
        <w:rPr>
          <w:rFonts w:ascii="Times New Roman" w:hAnsi="Times New Roman" w:cs="Times New Roman"/>
        </w:rPr>
        <w:t xml:space="preserve"> </w:t>
      </w:r>
      <w:r w:rsidR="00347E4B" w:rsidRPr="00F83CB2">
        <w:rPr>
          <w:rFonts w:ascii="Times New Roman" w:hAnsi="Times New Roman" w:cs="Times New Roman"/>
        </w:rPr>
        <w:t xml:space="preserve"> The purpose is</w:t>
      </w:r>
      <w:r w:rsidRPr="00F83CB2">
        <w:rPr>
          <w:rFonts w:ascii="Times New Roman" w:hAnsi="Times New Roman" w:cs="Times New Roman"/>
        </w:rPr>
        <w:t xml:space="preserve"> </w:t>
      </w:r>
      <w:r w:rsidR="00485827" w:rsidRPr="00F83CB2">
        <w:rPr>
          <w:rFonts w:ascii="Times New Roman" w:hAnsi="Times New Roman" w:cs="Times New Roman"/>
        </w:rPr>
        <w:t>to</w:t>
      </w:r>
      <w:r w:rsidR="00F10D3B" w:rsidRPr="00F83CB2">
        <w:rPr>
          <w:rFonts w:ascii="Times New Roman" w:hAnsi="Times New Roman" w:cs="Times New Roman"/>
        </w:rPr>
        <w:t xml:space="preserve"> assess</w:t>
      </w:r>
      <w:r w:rsidRPr="00F83CB2">
        <w:rPr>
          <w:rFonts w:ascii="Times New Roman" w:hAnsi="Times New Roman" w:cs="Times New Roman"/>
        </w:rPr>
        <w:t xml:space="preserve"> the reasonableness of assumptions used in the preparation</w:t>
      </w:r>
      <w:r w:rsidR="00531EEB" w:rsidRPr="00F83CB2">
        <w:rPr>
          <w:rFonts w:ascii="Times New Roman" w:hAnsi="Times New Roman" w:cs="Times New Roman"/>
        </w:rPr>
        <w:t xml:space="preserve"> and feasibility</w:t>
      </w:r>
      <w:r w:rsidRPr="00F83CB2">
        <w:rPr>
          <w:rFonts w:ascii="Times New Roman" w:hAnsi="Times New Roman" w:cs="Times New Roman"/>
        </w:rPr>
        <w:t xml:space="preserve"> of the projections with regards to</w:t>
      </w:r>
      <w:r w:rsidR="000412A0" w:rsidRPr="00F83CB2">
        <w:rPr>
          <w:rFonts w:ascii="Times New Roman" w:hAnsi="Times New Roman" w:cs="Times New Roman"/>
        </w:rPr>
        <w:t xml:space="preserve"> </w:t>
      </w:r>
      <w:r w:rsidR="00AD2C33" w:rsidRPr="002B3DD2">
        <w:rPr>
          <w:rFonts w:ascii="Times New Roman" w:hAnsi="Times New Roman" w:cs="Times New Roman"/>
        </w:rPr>
        <w:t>the reactivation of one</w:t>
      </w:r>
      <w:r w:rsidR="00AD2C33">
        <w:rPr>
          <w:rFonts w:ascii="Times New Roman" w:hAnsi="Times New Roman" w:cs="Times New Roman"/>
        </w:rPr>
        <w:t xml:space="preserve"> </w:t>
      </w:r>
      <w:r w:rsidR="00AD2C33" w:rsidRPr="002B3DD2">
        <w:rPr>
          <w:rFonts w:ascii="Times New Roman" w:hAnsi="Times New Roman" w:cs="Times New Roman"/>
        </w:rPr>
        <w:t xml:space="preserve">existing dormant linear accelerator at </w:t>
      </w:r>
      <w:r w:rsidR="003375F8">
        <w:rPr>
          <w:rFonts w:ascii="Times New Roman" w:hAnsi="Times New Roman" w:cs="Times New Roman"/>
        </w:rPr>
        <w:t>BID Plymouth</w:t>
      </w:r>
      <w:r w:rsidR="00F83CB2" w:rsidRPr="00F83CB2">
        <w:rPr>
          <w:rFonts w:ascii="Times New Roman" w:hAnsi="Times New Roman" w:cs="Times New Roman"/>
        </w:rPr>
        <w:t xml:space="preserve">. </w:t>
      </w:r>
    </w:p>
    <w:p w14:paraId="4FC92BD4" w14:textId="77777777" w:rsidR="00414C8B" w:rsidRPr="00E431B1" w:rsidRDefault="00414C8B" w:rsidP="004F5964">
      <w:pPr>
        <w:spacing w:after="0" w:line="240" w:lineRule="auto"/>
        <w:ind w:left="360"/>
        <w:jc w:val="both"/>
        <w:rPr>
          <w:rFonts w:ascii="Times New Roman" w:hAnsi="Times New Roman" w:cs="Times New Roman"/>
        </w:rPr>
      </w:pPr>
    </w:p>
    <w:p w14:paraId="73A331A3" w14:textId="3BFE11A2" w:rsidR="00A0636A" w:rsidRPr="00F83CB2" w:rsidRDefault="00A94257" w:rsidP="004F5964">
      <w:pPr>
        <w:spacing w:after="0" w:line="240" w:lineRule="auto"/>
        <w:ind w:left="360"/>
        <w:jc w:val="both"/>
        <w:rPr>
          <w:rFonts w:ascii="Times New Roman" w:hAnsi="Times New Roman" w:cs="Times New Roman"/>
        </w:rPr>
      </w:pPr>
      <w:r w:rsidRPr="00E431B1">
        <w:rPr>
          <w:rFonts w:ascii="Times New Roman" w:hAnsi="Times New Roman" w:cs="Times New Roman"/>
        </w:rPr>
        <w:t>Except for the fiscal year ending September 30, 2024, the Project is projected to have positive overall cash flows</w:t>
      </w:r>
      <w:r w:rsidR="0061337E" w:rsidRPr="00E431B1">
        <w:rPr>
          <w:rFonts w:ascii="Times New Roman" w:hAnsi="Times New Roman" w:cs="Times New Roman"/>
        </w:rPr>
        <w:t xml:space="preserve"> (see section V of this report)</w:t>
      </w:r>
      <w:r w:rsidRPr="00E431B1">
        <w:rPr>
          <w:rFonts w:ascii="Times New Roman" w:hAnsi="Times New Roman" w:cs="Times New Roman"/>
        </w:rPr>
        <w:t xml:space="preserve">. </w:t>
      </w:r>
      <w:r w:rsidR="00347E4B" w:rsidRPr="00E431B1">
        <w:rPr>
          <w:rFonts w:ascii="Times New Roman" w:hAnsi="Times New Roman" w:cs="Times New Roman"/>
        </w:rPr>
        <w:t>W</w:t>
      </w:r>
      <w:r w:rsidR="0054233A" w:rsidRPr="00E431B1">
        <w:rPr>
          <w:rFonts w:ascii="Times New Roman" w:hAnsi="Times New Roman" w:cs="Times New Roman"/>
        </w:rPr>
        <w:t xml:space="preserve">e determined that the projections were not likely to result in a scenario where there are insufficient funds available for the ongoing operating costs required to support </w:t>
      </w:r>
      <w:r w:rsidR="00721FBE" w:rsidRPr="00E431B1">
        <w:rPr>
          <w:rFonts w:ascii="Times New Roman" w:hAnsi="Times New Roman" w:cs="Times New Roman"/>
        </w:rPr>
        <w:t xml:space="preserve">the </w:t>
      </w:r>
      <w:r w:rsidR="00F83CB2" w:rsidRPr="00E431B1">
        <w:rPr>
          <w:rFonts w:ascii="Times New Roman" w:hAnsi="Times New Roman" w:cs="Times New Roman"/>
        </w:rPr>
        <w:t xml:space="preserve">use of </w:t>
      </w:r>
      <w:r w:rsidR="000C490D" w:rsidRPr="00E431B1">
        <w:rPr>
          <w:rFonts w:ascii="Times New Roman" w:hAnsi="Times New Roman" w:cs="Times New Roman"/>
        </w:rPr>
        <w:t>the</w:t>
      </w:r>
      <w:r w:rsidR="00F83CB2" w:rsidRPr="00E431B1">
        <w:rPr>
          <w:rFonts w:ascii="Times New Roman" w:hAnsi="Times New Roman" w:cs="Times New Roman"/>
        </w:rPr>
        <w:t xml:space="preserve"> linear accelerator</w:t>
      </w:r>
      <w:r w:rsidR="0054233A" w:rsidRPr="00F83CB2">
        <w:rPr>
          <w:rFonts w:ascii="Times New Roman" w:hAnsi="Times New Roman" w:cs="Times New Roman"/>
        </w:rPr>
        <w:t xml:space="preserve">.  </w:t>
      </w:r>
      <w:r w:rsidR="00F83CB2" w:rsidRPr="00F83CB2">
        <w:rPr>
          <w:rFonts w:ascii="Times New Roman" w:hAnsi="Times New Roman" w:cs="Times New Roman"/>
        </w:rPr>
        <w:t>I</w:t>
      </w:r>
      <w:r w:rsidR="0054233A" w:rsidRPr="00F83CB2">
        <w:rPr>
          <w:rFonts w:ascii="Times New Roman" w:hAnsi="Times New Roman" w:cs="Times New Roman"/>
        </w:rPr>
        <w:t xml:space="preserve">t is not anticipated that </w:t>
      </w:r>
      <w:r w:rsidR="00CF4328" w:rsidRPr="00F83CB2">
        <w:rPr>
          <w:rFonts w:ascii="Times New Roman" w:hAnsi="Times New Roman" w:cs="Times New Roman"/>
        </w:rPr>
        <w:t>the Applicant</w:t>
      </w:r>
      <w:r w:rsidR="004F5FB2" w:rsidRPr="00F83CB2">
        <w:rPr>
          <w:rFonts w:ascii="Times New Roman" w:hAnsi="Times New Roman" w:cs="Times New Roman"/>
        </w:rPr>
        <w:t xml:space="preserve"> </w:t>
      </w:r>
      <w:r w:rsidR="0054233A" w:rsidRPr="00F83CB2">
        <w:rPr>
          <w:rFonts w:ascii="Times New Roman" w:hAnsi="Times New Roman" w:cs="Times New Roman"/>
        </w:rPr>
        <w:t>will require any</w:t>
      </w:r>
      <w:r w:rsidR="002F3120" w:rsidRPr="00F83CB2">
        <w:rPr>
          <w:rFonts w:ascii="Times New Roman" w:hAnsi="Times New Roman" w:cs="Times New Roman"/>
        </w:rPr>
        <w:t xml:space="preserve"> </w:t>
      </w:r>
      <w:r w:rsidR="0054233A" w:rsidRPr="00F83CB2">
        <w:rPr>
          <w:rFonts w:ascii="Times New Roman" w:hAnsi="Times New Roman" w:cs="Times New Roman"/>
        </w:rPr>
        <w:t xml:space="preserve">financing associated with this </w:t>
      </w:r>
      <w:r w:rsidR="00A60B6D">
        <w:rPr>
          <w:rFonts w:ascii="Times New Roman" w:hAnsi="Times New Roman" w:cs="Times New Roman"/>
        </w:rPr>
        <w:t>P</w:t>
      </w:r>
      <w:r w:rsidR="00F83CB2" w:rsidRPr="00F83CB2">
        <w:rPr>
          <w:rFonts w:ascii="Times New Roman" w:hAnsi="Times New Roman" w:cs="Times New Roman"/>
        </w:rPr>
        <w:t>roject</w:t>
      </w:r>
      <w:r w:rsidR="0054233A" w:rsidRPr="00F83CB2">
        <w:rPr>
          <w:rFonts w:ascii="Times New Roman" w:hAnsi="Times New Roman" w:cs="Times New Roman"/>
        </w:rPr>
        <w:t xml:space="preserve">.  </w:t>
      </w:r>
      <w:r w:rsidR="00347E4B" w:rsidRPr="00F83CB2">
        <w:rPr>
          <w:rFonts w:ascii="Times New Roman" w:hAnsi="Times New Roman" w:cs="Times New Roman"/>
        </w:rPr>
        <w:t>I</w:t>
      </w:r>
      <w:r w:rsidR="0054233A" w:rsidRPr="00F83CB2">
        <w:rPr>
          <w:rFonts w:ascii="Times New Roman" w:hAnsi="Times New Roman" w:cs="Times New Roman"/>
        </w:rPr>
        <w:t>t</w:t>
      </w:r>
      <w:r w:rsidR="00531EEB" w:rsidRPr="00F83CB2">
        <w:rPr>
          <w:rFonts w:ascii="Times New Roman" w:hAnsi="Times New Roman" w:cs="Times New Roman"/>
        </w:rPr>
        <w:t xml:space="preserve"> is</w:t>
      </w:r>
      <w:r w:rsidR="0054233A" w:rsidRPr="00F83CB2">
        <w:rPr>
          <w:rFonts w:ascii="Times New Roman" w:hAnsi="Times New Roman" w:cs="Times New Roman"/>
        </w:rPr>
        <w:t xml:space="preserve"> our </w:t>
      </w:r>
      <w:r w:rsidR="00F10D3B" w:rsidRPr="00F83CB2">
        <w:rPr>
          <w:rFonts w:ascii="Times New Roman" w:hAnsi="Times New Roman" w:cs="Times New Roman"/>
        </w:rPr>
        <w:t>conclusion</w:t>
      </w:r>
      <w:r w:rsidR="0054233A" w:rsidRPr="00F83CB2">
        <w:rPr>
          <w:rFonts w:ascii="Times New Roman" w:hAnsi="Times New Roman" w:cs="Times New Roman"/>
        </w:rPr>
        <w:t xml:space="preserve"> that the projections are financially feasible </w:t>
      </w:r>
      <w:r w:rsidR="00F10D3B" w:rsidRPr="00F83CB2">
        <w:rPr>
          <w:rFonts w:ascii="Times New Roman" w:hAnsi="Times New Roman" w:cs="Times New Roman"/>
        </w:rPr>
        <w:t>and within the financial capability of</w:t>
      </w:r>
      <w:r w:rsidR="0054233A" w:rsidRPr="00F83CB2">
        <w:rPr>
          <w:rFonts w:ascii="Times New Roman" w:hAnsi="Times New Roman" w:cs="Times New Roman"/>
        </w:rPr>
        <w:t xml:space="preserve"> </w:t>
      </w:r>
      <w:r w:rsidR="000412A0" w:rsidRPr="00F83CB2">
        <w:rPr>
          <w:rFonts w:ascii="Times New Roman" w:hAnsi="Times New Roman" w:cs="Times New Roman"/>
        </w:rPr>
        <w:t xml:space="preserve">the </w:t>
      </w:r>
      <w:r w:rsidR="007B2914" w:rsidRPr="00F83CB2">
        <w:rPr>
          <w:rFonts w:ascii="Times New Roman" w:hAnsi="Times New Roman" w:cs="Times New Roman"/>
        </w:rPr>
        <w:t>Applicant</w:t>
      </w:r>
      <w:r w:rsidR="00CF4328" w:rsidRPr="00F83CB2">
        <w:rPr>
          <w:rFonts w:ascii="Times New Roman" w:hAnsi="Times New Roman" w:cs="Times New Roman"/>
        </w:rPr>
        <w:t xml:space="preserve"> </w:t>
      </w:r>
      <w:r w:rsidR="0054233A" w:rsidRPr="00F83CB2">
        <w:rPr>
          <w:rFonts w:ascii="Times New Roman" w:hAnsi="Times New Roman" w:cs="Times New Roman"/>
        </w:rPr>
        <w:t>as detailed below.</w:t>
      </w:r>
    </w:p>
    <w:p w14:paraId="1A498301" w14:textId="77777777" w:rsidR="00A864D9" w:rsidRPr="00F83CB2" w:rsidRDefault="00A864D9" w:rsidP="00822807">
      <w:pPr>
        <w:spacing w:after="0" w:line="240" w:lineRule="auto"/>
        <w:jc w:val="both"/>
        <w:rPr>
          <w:rFonts w:ascii="Times New Roman" w:hAnsi="Times New Roman" w:cs="Times New Roman"/>
        </w:rPr>
      </w:pPr>
    </w:p>
    <w:p w14:paraId="5C3A60B8" w14:textId="50A4875A" w:rsidR="00EC7ADE" w:rsidRPr="00D95092" w:rsidRDefault="00EC7ADE"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Relevant Background Information</w:t>
      </w:r>
    </w:p>
    <w:p w14:paraId="469D57B2" w14:textId="77777777" w:rsidR="00EC7ADE" w:rsidRPr="00E05FDD" w:rsidRDefault="00EC7ADE" w:rsidP="00EC7ADE">
      <w:pPr>
        <w:spacing w:after="0" w:line="240" w:lineRule="auto"/>
        <w:rPr>
          <w:rFonts w:ascii="Times New Roman" w:hAnsi="Times New Roman" w:cs="Times New Roman"/>
        </w:rPr>
      </w:pPr>
    </w:p>
    <w:p w14:paraId="6995B877" w14:textId="05C9464B" w:rsidR="00C710C3" w:rsidRPr="00FF336B" w:rsidRDefault="00EC7ADE" w:rsidP="00C710C3">
      <w:pPr>
        <w:spacing w:after="0" w:line="240" w:lineRule="auto"/>
        <w:ind w:left="360"/>
        <w:jc w:val="both"/>
        <w:rPr>
          <w:rFonts w:ascii="Times New Roman" w:hAnsi="Times New Roman" w:cs="Times New Roman"/>
        </w:rPr>
      </w:pPr>
      <w:r w:rsidRPr="00E05FDD">
        <w:rPr>
          <w:rFonts w:ascii="Times New Roman" w:hAnsi="Times New Roman" w:cs="Times New Roman"/>
        </w:rPr>
        <w:t>Refer to Factor 1</w:t>
      </w:r>
      <w:r w:rsidR="00F10D3B" w:rsidRPr="00E05FDD">
        <w:rPr>
          <w:rFonts w:ascii="Times New Roman" w:hAnsi="Times New Roman" w:cs="Times New Roman"/>
        </w:rPr>
        <w:t xml:space="preserve"> of the DON application</w:t>
      </w:r>
      <w:r w:rsidRPr="00E05FDD">
        <w:rPr>
          <w:rFonts w:ascii="Times New Roman" w:hAnsi="Times New Roman" w:cs="Times New Roman"/>
        </w:rPr>
        <w:t xml:space="preserve"> for </w:t>
      </w:r>
      <w:r w:rsidR="00415AC8" w:rsidRPr="00E05FDD">
        <w:rPr>
          <w:rFonts w:ascii="Times New Roman" w:hAnsi="Times New Roman" w:cs="Times New Roman"/>
        </w:rPr>
        <w:t xml:space="preserve">a </w:t>
      </w:r>
      <w:r w:rsidRPr="00E05FDD">
        <w:rPr>
          <w:rFonts w:ascii="Times New Roman" w:hAnsi="Times New Roman" w:cs="Times New Roman"/>
        </w:rPr>
        <w:t>description of the scope of the</w:t>
      </w:r>
      <w:r w:rsidR="000B3094" w:rsidRPr="00E05FDD">
        <w:rPr>
          <w:rFonts w:ascii="Times New Roman" w:hAnsi="Times New Roman" w:cs="Times New Roman"/>
        </w:rPr>
        <w:t xml:space="preserve"> </w:t>
      </w:r>
      <w:r w:rsidR="007B2914" w:rsidRPr="00E05FDD">
        <w:rPr>
          <w:rFonts w:ascii="Times New Roman" w:hAnsi="Times New Roman" w:cs="Times New Roman"/>
        </w:rPr>
        <w:t>A</w:t>
      </w:r>
      <w:r w:rsidR="000B3094" w:rsidRPr="00E05FDD">
        <w:rPr>
          <w:rFonts w:ascii="Times New Roman" w:hAnsi="Times New Roman" w:cs="Times New Roman"/>
        </w:rPr>
        <w:t>pplicant</w:t>
      </w:r>
      <w:r w:rsidR="001411AC" w:rsidRPr="00E05FDD">
        <w:rPr>
          <w:rFonts w:ascii="Times New Roman" w:hAnsi="Times New Roman" w:cs="Times New Roman"/>
        </w:rPr>
        <w:t>,</w:t>
      </w:r>
      <w:r w:rsidR="000B3094" w:rsidRPr="00E05FDD">
        <w:rPr>
          <w:rFonts w:ascii="Times New Roman" w:hAnsi="Times New Roman" w:cs="Times New Roman"/>
        </w:rPr>
        <w:t xml:space="preserve"> as well as the</w:t>
      </w:r>
      <w:r w:rsidRPr="00E05FDD">
        <w:rPr>
          <w:rFonts w:ascii="Times New Roman" w:hAnsi="Times New Roman" w:cs="Times New Roman"/>
        </w:rPr>
        <w:t xml:space="preserve"> overall description</w:t>
      </w:r>
      <w:r w:rsidR="000B3094" w:rsidRPr="00E05FDD">
        <w:rPr>
          <w:rFonts w:ascii="Times New Roman" w:hAnsi="Times New Roman" w:cs="Times New Roman"/>
        </w:rPr>
        <w:t xml:space="preserve"> and rationale</w:t>
      </w:r>
      <w:r w:rsidRPr="00E05FDD">
        <w:rPr>
          <w:rFonts w:ascii="Times New Roman" w:hAnsi="Times New Roman" w:cs="Times New Roman"/>
        </w:rPr>
        <w:t xml:space="preserve"> </w:t>
      </w:r>
      <w:r w:rsidR="00C710C3">
        <w:rPr>
          <w:rFonts w:ascii="Times New Roman" w:hAnsi="Times New Roman" w:cs="Times New Roman"/>
        </w:rPr>
        <w:t>for</w:t>
      </w:r>
      <w:r w:rsidR="00CF31F3" w:rsidRPr="00E05FDD">
        <w:rPr>
          <w:rFonts w:ascii="Times New Roman" w:hAnsi="Times New Roman" w:cs="Times New Roman"/>
        </w:rPr>
        <w:t xml:space="preserve"> </w:t>
      </w:r>
      <w:r w:rsidR="00C710C3">
        <w:rPr>
          <w:rFonts w:ascii="Times New Roman" w:hAnsi="Times New Roman" w:cs="Times New Roman"/>
        </w:rPr>
        <w:t xml:space="preserve">the </w:t>
      </w:r>
      <w:r w:rsidR="00C710C3" w:rsidRPr="002B3DD2">
        <w:rPr>
          <w:rFonts w:ascii="Times New Roman" w:hAnsi="Times New Roman" w:cs="Times New Roman"/>
        </w:rPr>
        <w:t xml:space="preserve">reactivation of one existing dormant linear accelerator </w:t>
      </w:r>
      <w:r w:rsidR="00C710C3" w:rsidRPr="00FF336B">
        <w:rPr>
          <w:rFonts w:ascii="Times New Roman" w:hAnsi="Times New Roman" w:cs="Times New Roman"/>
        </w:rPr>
        <w:t xml:space="preserve">at </w:t>
      </w:r>
      <w:r w:rsidR="00C710C3">
        <w:rPr>
          <w:rFonts w:ascii="Times New Roman" w:hAnsi="Times New Roman" w:cs="Times New Roman"/>
        </w:rPr>
        <w:t>BID Plymouth</w:t>
      </w:r>
      <w:r w:rsidR="00C710C3" w:rsidRPr="00FF336B">
        <w:rPr>
          <w:rFonts w:ascii="Times New Roman" w:hAnsi="Times New Roman" w:cs="Times New Roman"/>
        </w:rPr>
        <w:t>.</w:t>
      </w:r>
    </w:p>
    <w:p w14:paraId="3F298AF0" w14:textId="2FD2941C" w:rsidR="003F7B79" w:rsidRPr="00E05FDD" w:rsidRDefault="00235365" w:rsidP="004F5964">
      <w:pPr>
        <w:spacing w:after="0" w:line="240" w:lineRule="auto"/>
        <w:ind w:left="360"/>
        <w:jc w:val="both"/>
        <w:rPr>
          <w:rFonts w:ascii="Times New Roman" w:hAnsi="Times New Roman" w:cs="Times New Roman"/>
          <w:color w:val="FF0000"/>
        </w:rPr>
      </w:pPr>
      <w:r>
        <w:rPr>
          <w:rFonts w:ascii="Times New Roman" w:hAnsi="Times New Roman" w:cs="Times New Roman"/>
        </w:rPr>
        <w:t xml:space="preserve">. </w:t>
      </w:r>
    </w:p>
    <w:p w14:paraId="0338E96D" w14:textId="22B93926" w:rsidR="00822807" w:rsidRDefault="00822807" w:rsidP="00414C8B">
      <w:pPr>
        <w:spacing w:after="0" w:line="240" w:lineRule="auto"/>
        <w:jc w:val="both"/>
        <w:rPr>
          <w:rFonts w:ascii="Times New Roman" w:hAnsi="Times New Roman" w:cs="Times New Roman"/>
        </w:rPr>
      </w:pPr>
    </w:p>
    <w:p w14:paraId="73FEA2CF" w14:textId="77777777" w:rsidR="00B731F7" w:rsidRDefault="00B731F7" w:rsidP="002F3120">
      <w:pPr>
        <w:spacing w:after="0" w:line="240" w:lineRule="auto"/>
        <w:jc w:val="center"/>
        <w:rPr>
          <w:rFonts w:ascii="Times New Roman" w:hAnsi="Times New Roman" w:cs="Times New Roman"/>
        </w:rPr>
      </w:pPr>
    </w:p>
    <w:p w14:paraId="6FD575F4" w14:textId="77777777" w:rsidR="00B731F7" w:rsidRDefault="00B731F7" w:rsidP="002F3120">
      <w:pPr>
        <w:spacing w:after="0" w:line="240" w:lineRule="auto"/>
        <w:jc w:val="center"/>
        <w:rPr>
          <w:rFonts w:ascii="Times New Roman" w:hAnsi="Times New Roman" w:cs="Times New Roman"/>
        </w:rPr>
      </w:pPr>
    </w:p>
    <w:p w14:paraId="04C94EE7" w14:textId="77777777" w:rsidR="00992A14" w:rsidRDefault="00992A14" w:rsidP="002F3120">
      <w:pPr>
        <w:spacing w:after="0" w:line="240" w:lineRule="auto"/>
        <w:jc w:val="center"/>
        <w:rPr>
          <w:rFonts w:ascii="Times New Roman" w:hAnsi="Times New Roman" w:cs="Times New Roman"/>
        </w:rPr>
      </w:pPr>
    </w:p>
    <w:p w14:paraId="42449855" w14:textId="77777777" w:rsidR="00992A14" w:rsidRDefault="00992A14" w:rsidP="002F3120">
      <w:pPr>
        <w:spacing w:after="0" w:line="240" w:lineRule="auto"/>
        <w:jc w:val="center"/>
        <w:rPr>
          <w:rFonts w:ascii="Times New Roman" w:hAnsi="Times New Roman" w:cs="Times New Roman"/>
        </w:rPr>
      </w:pPr>
    </w:p>
    <w:p w14:paraId="5A017E0D" w14:textId="77777777" w:rsidR="00B731F7" w:rsidRDefault="00B731F7" w:rsidP="002F3120">
      <w:pPr>
        <w:spacing w:after="0" w:line="240" w:lineRule="auto"/>
        <w:jc w:val="center"/>
        <w:rPr>
          <w:rFonts w:ascii="Times New Roman" w:hAnsi="Times New Roman" w:cs="Times New Roman"/>
        </w:rPr>
      </w:pPr>
    </w:p>
    <w:p w14:paraId="683780D3" w14:textId="26B71DDD" w:rsidR="00A864D9" w:rsidRPr="00E05FDD" w:rsidRDefault="00A864D9" w:rsidP="002F3120">
      <w:pPr>
        <w:spacing w:after="0" w:line="240" w:lineRule="auto"/>
        <w:jc w:val="center"/>
        <w:rPr>
          <w:rFonts w:ascii="Times New Roman" w:hAnsi="Times New Roman" w:cs="Times New Roman"/>
        </w:rPr>
        <w:sectPr w:rsidR="00A864D9" w:rsidRPr="00E05FDD" w:rsidSect="00CB5EA8">
          <w:headerReference w:type="default" r:id="rId9"/>
          <w:footerReference w:type="default" r:id="rId10"/>
          <w:pgSz w:w="12240" w:h="15840" w:code="1"/>
          <w:pgMar w:top="2880" w:right="720" w:bottom="990" w:left="965" w:header="0" w:footer="107" w:gutter="0"/>
          <w:cols w:space="720"/>
          <w:docGrid w:linePitch="360"/>
        </w:sectPr>
      </w:pPr>
      <w:r w:rsidRPr="00E05FDD">
        <w:rPr>
          <w:rFonts w:ascii="Times New Roman" w:hAnsi="Times New Roman" w:cs="Times New Roman"/>
        </w:rPr>
        <w:t>-1-</w:t>
      </w:r>
    </w:p>
    <w:p w14:paraId="6E666515" w14:textId="77777777" w:rsidR="00A60B6D" w:rsidRPr="009E10C8" w:rsidRDefault="00A60B6D" w:rsidP="00A60B6D">
      <w:pPr>
        <w:spacing w:after="0" w:line="240" w:lineRule="auto"/>
        <w:rPr>
          <w:rFonts w:ascii="Times New Roman" w:hAnsi="Times New Roman" w:cs="Times New Roman"/>
        </w:rPr>
      </w:pPr>
      <w:r w:rsidRPr="009E10C8">
        <w:rPr>
          <w:rFonts w:ascii="Times New Roman" w:hAnsi="Times New Roman" w:cs="Times New Roman"/>
        </w:rPr>
        <w:lastRenderedPageBreak/>
        <w:t xml:space="preserve">Mr. </w:t>
      </w:r>
      <w:r>
        <w:rPr>
          <w:rFonts w:ascii="Times New Roman" w:hAnsi="Times New Roman" w:cs="Times New Roman"/>
        </w:rPr>
        <w:t>Jim Jenkins</w:t>
      </w:r>
    </w:p>
    <w:p w14:paraId="3B273BA7" w14:textId="77777777" w:rsidR="00727986" w:rsidRPr="00D11B75" w:rsidRDefault="00727986" w:rsidP="00727986">
      <w:pPr>
        <w:spacing w:after="0" w:line="240" w:lineRule="auto"/>
        <w:rPr>
          <w:rFonts w:ascii="Times New Roman" w:hAnsi="Times New Roman" w:cs="Times New Roman"/>
        </w:rPr>
      </w:pPr>
      <w:r>
        <w:rPr>
          <w:rFonts w:ascii="Times New Roman" w:hAnsi="Times New Roman" w:cs="Times New Roman"/>
        </w:rPr>
        <w:t xml:space="preserve">Beth Israel Deaconess Hospital – Plymouth, Inc. </w:t>
      </w:r>
    </w:p>
    <w:p w14:paraId="06CFCEAB" w14:textId="1DD8C385" w:rsidR="002367C6" w:rsidRPr="00E72ED7" w:rsidRDefault="002367C6" w:rsidP="002367C6">
      <w:pPr>
        <w:spacing w:after="0" w:line="240" w:lineRule="auto"/>
        <w:rPr>
          <w:rFonts w:ascii="Times New Roman" w:hAnsi="Times New Roman" w:cs="Times New Roman"/>
        </w:rPr>
      </w:pPr>
      <w:r w:rsidRPr="00F850E7">
        <w:rPr>
          <w:rFonts w:ascii="Times New Roman" w:hAnsi="Times New Roman" w:cs="Times New Roman"/>
        </w:rPr>
        <w:t xml:space="preserve">September </w:t>
      </w:r>
      <w:r w:rsidR="00F850E7" w:rsidRPr="00F850E7">
        <w:rPr>
          <w:rFonts w:ascii="Times New Roman" w:hAnsi="Times New Roman" w:cs="Times New Roman"/>
        </w:rPr>
        <w:t>28</w:t>
      </w:r>
      <w:r w:rsidRPr="00F850E7">
        <w:rPr>
          <w:rFonts w:ascii="Times New Roman" w:hAnsi="Times New Roman" w:cs="Times New Roman"/>
        </w:rPr>
        <w:t>, 2023</w:t>
      </w:r>
    </w:p>
    <w:p w14:paraId="2801C476" w14:textId="77777777" w:rsidR="007B62F8" w:rsidRPr="00A60B6D" w:rsidRDefault="007B62F8" w:rsidP="00F02FDA">
      <w:pPr>
        <w:spacing w:after="0" w:line="180" w:lineRule="auto"/>
        <w:rPr>
          <w:rFonts w:ascii="Times New Roman" w:hAnsi="Times New Roman" w:cs="Times New Roman"/>
        </w:rPr>
      </w:pPr>
    </w:p>
    <w:p w14:paraId="66DA9AC3" w14:textId="77777777" w:rsidR="00CD664D" w:rsidRPr="00A60B6D" w:rsidRDefault="00CD664D" w:rsidP="00F02FDA">
      <w:pPr>
        <w:spacing w:after="0" w:line="180" w:lineRule="auto"/>
        <w:rPr>
          <w:rFonts w:ascii="Times New Roman" w:hAnsi="Times New Roman" w:cs="Times New Roman"/>
        </w:rPr>
      </w:pPr>
    </w:p>
    <w:p w14:paraId="4655F784" w14:textId="3EF69B9D" w:rsidR="005D2A57" w:rsidRPr="00D95092" w:rsidRDefault="005D2A57"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Scope of Report</w:t>
      </w:r>
    </w:p>
    <w:p w14:paraId="1A90CA1F" w14:textId="77777777" w:rsidR="001A1D31" w:rsidRPr="00A60B6D" w:rsidRDefault="001A1D31" w:rsidP="00F02FDA">
      <w:pPr>
        <w:spacing w:after="0" w:line="180" w:lineRule="auto"/>
        <w:jc w:val="both"/>
        <w:rPr>
          <w:rFonts w:ascii="Times New Roman" w:hAnsi="Times New Roman" w:cs="Times New Roman"/>
        </w:rPr>
      </w:pPr>
    </w:p>
    <w:p w14:paraId="6B056748" w14:textId="17641AE9" w:rsidR="005D2A57" w:rsidRPr="005D25CC" w:rsidRDefault="005D2A57" w:rsidP="00F02FDA">
      <w:pPr>
        <w:spacing w:after="0" w:line="240" w:lineRule="auto"/>
        <w:ind w:left="360"/>
        <w:jc w:val="both"/>
        <w:rPr>
          <w:rFonts w:ascii="Times New Roman" w:hAnsi="Times New Roman" w:cs="Times New Roman"/>
          <w:highlight w:val="yellow"/>
        </w:rPr>
      </w:pPr>
      <w:r w:rsidRPr="00A60B6D">
        <w:rPr>
          <w:rFonts w:ascii="Times New Roman" w:hAnsi="Times New Roman" w:cs="Times New Roman"/>
        </w:rPr>
        <w:t xml:space="preserve">The scope of this report is limited to an analysis of the five-year financial projections prepared by </w:t>
      </w:r>
      <w:r w:rsidR="00785290" w:rsidRPr="00A60B6D">
        <w:rPr>
          <w:rFonts w:ascii="Times New Roman" w:hAnsi="Times New Roman" w:cs="Times New Roman"/>
        </w:rPr>
        <w:t>Management</w:t>
      </w:r>
      <w:r w:rsidRPr="00A60B6D">
        <w:rPr>
          <w:rFonts w:ascii="Times New Roman" w:hAnsi="Times New Roman" w:cs="Times New Roman"/>
        </w:rPr>
        <w:t xml:space="preserve"> and the supporting documentation</w:t>
      </w:r>
      <w:r w:rsidR="00192115" w:rsidRPr="00A60B6D">
        <w:rPr>
          <w:rFonts w:ascii="Times New Roman" w:hAnsi="Times New Roman" w:cs="Times New Roman"/>
        </w:rPr>
        <w:t xml:space="preserve"> </w:t>
      </w:r>
      <w:proofErr w:type="gramStart"/>
      <w:r w:rsidR="00192115" w:rsidRPr="00A60B6D">
        <w:rPr>
          <w:rFonts w:ascii="Times New Roman" w:hAnsi="Times New Roman" w:cs="Times New Roman"/>
        </w:rPr>
        <w:t>in order</w:t>
      </w:r>
      <w:r w:rsidRPr="00A60B6D">
        <w:rPr>
          <w:rFonts w:ascii="Times New Roman" w:hAnsi="Times New Roman" w:cs="Times New Roman"/>
        </w:rPr>
        <w:t xml:space="preserve"> to</w:t>
      </w:r>
      <w:proofErr w:type="gramEnd"/>
      <w:r w:rsidRPr="00A60B6D">
        <w:rPr>
          <w:rFonts w:ascii="Times New Roman" w:hAnsi="Times New Roman" w:cs="Times New Roman"/>
        </w:rPr>
        <w:t xml:space="preserve"> </w:t>
      </w:r>
      <w:r w:rsidR="00B764B6" w:rsidRPr="00A60B6D">
        <w:rPr>
          <w:rFonts w:ascii="Times New Roman" w:hAnsi="Times New Roman" w:cs="Times New Roman"/>
        </w:rPr>
        <w:t>assess</w:t>
      </w:r>
      <w:r w:rsidRPr="00A60B6D">
        <w:rPr>
          <w:rFonts w:ascii="Times New Roman" w:hAnsi="Times New Roman" w:cs="Times New Roman"/>
        </w:rPr>
        <w:t xml:space="preserve"> the </w:t>
      </w:r>
      <w:r w:rsidRPr="00856C1B">
        <w:rPr>
          <w:rFonts w:ascii="Times New Roman" w:hAnsi="Times New Roman" w:cs="Times New Roman"/>
        </w:rPr>
        <w:t xml:space="preserve">reasonableness of assumptions used in the preparation and feasibility of the projections with regards to </w:t>
      </w:r>
      <w:r w:rsidR="000412A0" w:rsidRPr="00856C1B">
        <w:rPr>
          <w:rFonts w:ascii="Times New Roman" w:hAnsi="Times New Roman" w:cs="Times New Roman"/>
        </w:rPr>
        <w:t xml:space="preserve">the </w:t>
      </w:r>
      <w:r w:rsidR="00A60B6D" w:rsidRPr="00856C1B">
        <w:rPr>
          <w:rFonts w:ascii="Times New Roman" w:hAnsi="Times New Roman" w:cs="Times New Roman"/>
        </w:rPr>
        <w:t>P</w:t>
      </w:r>
      <w:r w:rsidR="000412A0" w:rsidRPr="00856C1B">
        <w:rPr>
          <w:rFonts w:ascii="Times New Roman" w:hAnsi="Times New Roman" w:cs="Times New Roman"/>
        </w:rPr>
        <w:t>roject</w:t>
      </w:r>
      <w:r w:rsidRPr="00856C1B">
        <w:rPr>
          <w:rFonts w:ascii="Times New Roman" w:hAnsi="Times New Roman" w:cs="Times New Roman"/>
        </w:rPr>
        <w:t xml:space="preserve">.  Our analysis of the </w:t>
      </w:r>
      <w:r w:rsidR="009D69E1" w:rsidRPr="00856C1B">
        <w:rPr>
          <w:rFonts w:ascii="Times New Roman" w:hAnsi="Times New Roman" w:cs="Times New Roman"/>
        </w:rPr>
        <w:t>p</w:t>
      </w:r>
      <w:r w:rsidRPr="00856C1B">
        <w:rPr>
          <w:rFonts w:ascii="Times New Roman" w:hAnsi="Times New Roman" w:cs="Times New Roman"/>
        </w:rPr>
        <w:t>rojections and conclusions contained within this report are based upon our detailed review of all relevant information (</w:t>
      </w:r>
      <w:r w:rsidR="00B376A5" w:rsidRPr="00856C1B">
        <w:rPr>
          <w:rFonts w:ascii="Times New Roman" w:hAnsi="Times New Roman" w:cs="Times New Roman"/>
        </w:rPr>
        <w:t>s</w:t>
      </w:r>
      <w:r w:rsidRPr="00856C1B">
        <w:rPr>
          <w:rFonts w:ascii="Times New Roman" w:hAnsi="Times New Roman" w:cs="Times New Roman"/>
        </w:rPr>
        <w:t xml:space="preserve">ee section </w:t>
      </w:r>
      <w:r w:rsidR="00B376A5" w:rsidRPr="00856C1B">
        <w:rPr>
          <w:rFonts w:ascii="Times New Roman" w:hAnsi="Times New Roman" w:cs="Times New Roman"/>
        </w:rPr>
        <w:t>IV</w:t>
      </w:r>
      <w:r w:rsidR="00F10D3B" w:rsidRPr="00856C1B">
        <w:rPr>
          <w:rFonts w:ascii="Times New Roman" w:hAnsi="Times New Roman" w:cs="Times New Roman"/>
        </w:rPr>
        <w:t xml:space="preserve"> of th</w:t>
      </w:r>
      <w:r w:rsidR="002C7CE4" w:rsidRPr="00856C1B">
        <w:rPr>
          <w:rFonts w:ascii="Times New Roman" w:hAnsi="Times New Roman" w:cs="Times New Roman"/>
        </w:rPr>
        <w:t>is</w:t>
      </w:r>
      <w:r w:rsidR="00F10D3B" w:rsidRPr="00856C1B">
        <w:rPr>
          <w:rFonts w:ascii="Times New Roman" w:hAnsi="Times New Roman" w:cs="Times New Roman"/>
        </w:rPr>
        <w:t xml:space="preserve"> report</w:t>
      </w:r>
      <w:r w:rsidRPr="00856C1B">
        <w:rPr>
          <w:rFonts w:ascii="Times New Roman" w:hAnsi="Times New Roman" w:cs="Times New Roman"/>
        </w:rPr>
        <w:t xml:space="preserve">). We have gained an understanding </w:t>
      </w:r>
      <w:r w:rsidR="00D7214A" w:rsidRPr="00856C1B">
        <w:rPr>
          <w:rFonts w:ascii="Times New Roman" w:hAnsi="Times New Roman" w:cs="Times New Roman"/>
        </w:rPr>
        <w:t>through</w:t>
      </w:r>
      <w:r w:rsidRPr="00856C1B">
        <w:rPr>
          <w:rFonts w:ascii="Times New Roman" w:hAnsi="Times New Roman" w:cs="Times New Roman"/>
        </w:rPr>
        <w:t xml:space="preserve"> our review of the information provided by Management</w:t>
      </w:r>
      <w:r w:rsidR="002C7CE4" w:rsidRPr="00856C1B">
        <w:rPr>
          <w:rFonts w:ascii="Times New Roman" w:hAnsi="Times New Roman" w:cs="Times New Roman"/>
        </w:rPr>
        <w:t>,</w:t>
      </w:r>
      <w:r w:rsidR="00F10D3B" w:rsidRPr="00856C1B">
        <w:rPr>
          <w:rFonts w:ascii="Times New Roman" w:hAnsi="Times New Roman" w:cs="Times New Roman"/>
        </w:rPr>
        <w:t xml:space="preserve"> </w:t>
      </w:r>
      <w:r w:rsidRPr="00856C1B">
        <w:rPr>
          <w:rFonts w:ascii="Times New Roman" w:hAnsi="Times New Roman" w:cs="Times New Roman"/>
        </w:rPr>
        <w:t>a</w:t>
      </w:r>
      <w:r w:rsidR="00DF1A30" w:rsidRPr="00856C1B">
        <w:rPr>
          <w:rFonts w:ascii="Times New Roman" w:hAnsi="Times New Roman" w:cs="Times New Roman"/>
        </w:rPr>
        <w:t xml:space="preserve">s well as a review of </w:t>
      </w:r>
      <w:r w:rsidRPr="00856C1B">
        <w:rPr>
          <w:rFonts w:ascii="Times New Roman" w:hAnsi="Times New Roman" w:cs="Times New Roman"/>
        </w:rPr>
        <w:t>the DON application.</w:t>
      </w:r>
    </w:p>
    <w:p w14:paraId="49581750" w14:textId="77777777" w:rsidR="005D2A57" w:rsidRPr="005D25CC" w:rsidRDefault="005D2A57" w:rsidP="00B376A5">
      <w:pPr>
        <w:spacing w:after="0" w:line="240" w:lineRule="auto"/>
        <w:ind w:left="360"/>
        <w:rPr>
          <w:rFonts w:ascii="Times New Roman" w:hAnsi="Times New Roman" w:cs="Times New Roman"/>
          <w:highlight w:val="yellow"/>
        </w:rPr>
      </w:pPr>
    </w:p>
    <w:p w14:paraId="5383301A" w14:textId="119B20D0" w:rsidR="00F61A21" w:rsidRPr="00645AE3" w:rsidRDefault="00EC7ADE" w:rsidP="00B376A5">
      <w:pPr>
        <w:spacing w:after="0" w:line="240" w:lineRule="auto"/>
        <w:ind w:left="360"/>
        <w:jc w:val="both"/>
        <w:rPr>
          <w:rFonts w:ascii="Times New Roman" w:hAnsi="Times New Roman" w:cs="Times New Roman"/>
          <w:color w:val="538135" w:themeColor="accent6" w:themeShade="BF"/>
        </w:rPr>
      </w:pPr>
      <w:r w:rsidRPr="00645AE3">
        <w:rPr>
          <w:rFonts w:ascii="Times New Roman" w:hAnsi="Times New Roman" w:cs="Times New Roman"/>
        </w:rPr>
        <w:t xml:space="preserve">Reasonableness is defined within the context of this report as supportable and proper, given the underlying information.  Feasibility is defined </w:t>
      </w:r>
      <w:r w:rsidR="00192115" w:rsidRPr="00645AE3">
        <w:rPr>
          <w:rFonts w:ascii="Times New Roman" w:hAnsi="Times New Roman" w:cs="Times New Roman"/>
        </w:rPr>
        <w:t>as bas</w:t>
      </w:r>
      <w:r w:rsidR="00B954AE" w:rsidRPr="00645AE3">
        <w:rPr>
          <w:rFonts w:ascii="Times New Roman" w:hAnsi="Times New Roman" w:cs="Times New Roman"/>
        </w:rPr>
        <w:t>e</w:t>
      </w:r>
      <w:r w:rsidR="00192115" w:rsidRPr="00645AE3">
        <w:rPr>
          <w:rFonts w:ascii="Times New Roman" w:hAnsi="Times New Roman" w:cs="Times New Roman"/>
        </w:rPr>
        <w:t>d</w:t>
      </w:r>
      <w:r w:rsidR="00B954AE" w:rsidRPr="00645AE3">
        <w:rPr>
          <w:rFonts w:ascii="Times New Roman" w:hAnsi="Times New Roman" w:cs="Times New Roman"/>
        </w:rPr>
        <w:t xml:space="preserve"> </w:t>
      </w:r>
      <w:r w:rsidRPr="00645AE3">
        <w:rPr>
          <w:rFonts w:ascii="Times New Roman" w:hAnsi="Times New Roman" w:cs="Times New Roman"/>
        </w:rPr>
        <w:t>on the assumptions used</w:t>
      </w:r>
      <w:r w:rsidR="00145E6B" w:rsidRPr="00645AE3">
        <w:rPr>
          <w:rFonts w:ascii="Times New Roman" w:hAnsi="Times New Roman" w:cs="Times New Roman"/>
        </w:rPr>
        <w:t>,</w:t>
      </w:r>
      <w:r w:rsidRPr="00645AE3">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645AE3">
        <w:rPr>
          <w:rFonts w:ascii="Times New Roman" w:hAnsi="Times New Roman" w:cs="Times New Roman"/>
        </w:rPr>
        <w:t xml:space="preserve"> </w:t>
      </w:r>
      <w:r w:rsidR="003F7B79" w:rsidRPr="00645AE3">
        <w:rPr>
          <w:rFonts w:ascii="Times New Roman" w:hAnsi="Times New Roman" w:cs="Times New Roman"/>
        </w:rPr>
        <w:t>the Applicant</w:t>
      </w:r>
      <w:r w:rsidR="00740A85" w:rsidRPr="00645AE3">
        <w:rPr>
          <w:rFonts w:ascii="Times New Roman" w:hAnsi="Times New Roman" w:cs="Times New Roman"/>
        </w:rPr>
        <w:t xml:space="preserve">’s existing patient panel. </w:t>
      </w:r>
    </w:p>
    <w:p w14:paraId="6AD93FB1" w14:textId="77777777" w:rsidR="00EC7ADE" w:rsidRPr="00645AE3" w:rsidRDefault="00EC7ADE" w:rsidP="00B376A5">
      <w:pPr>
        <w:spacing w:after="0" w:line="240" w:lineRule="auto"/>
        <w:ind w:left="360"/>
        <w:jc w:val="both"/>
        <w:rPr>
          <w:rFonts w:ascii="Times New Roman" w:hAnsi="Times New Roman" w:cs="Times New Roman"/>
        </w:rPr>
      </w:pPr>
    </w:p>
    <w:p w14:paraId="2B6D58DF" w14:textId="7BB91F10" w:rsidR="00EC7ADE" w:rsidRPr="00192E69" w:rsidRDefault="00EC7ADE" w:rsidP="00B376A5">
      <w:pPr>
        <w:spacing w:after="0" w:line="240" w:lineRule="auto"/>
        <w:ind w:left="360"/>
        <w:jc w:val="both"/>
        <w:rPr>
          <w:rFonts w:ascii="Times New Roman" w:hAnsi="Times New Roman" w:cs="Times New Roman"/>
        </w:rPr>
      </w:pPr>
      <w:r w:rsidRPr="00645AE3">
        <w:rPr>
          <w:rFonts w:ascii="Times New Roman" w:hAnsi="Times New Roman" w:cs="Times New Roman"/>
        </w:rPr>
        <w:t xml:space="preserve">This report is based upon historical and prospective financial information provided to us by Management.  </w:t>
      </w:r>
      <w:r w:rsidR="00485827" w:rsidRPr="00645AE3">
        <w:rPr>
          <w:rFonts w:ascii="Times New Roman" w:hAnsi="Times New Roman" w:cs="Times New Roman"/>
        </w:rPr>
        <w:t xml:space="preserve">If </w:t>
      </w:r>
      <w:r w:rsidRPr="00645AE3">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645AE3">
        <w:rPr>
          <w:rFonts w:ascii="Times New Roman" w:hAnsi="Times New Roman" w:cs="Times New Roman"/>
        </w:rPr>
        <w:t>Management</w:t>
      </w:r>
      <w:r w:rsidRPr="00645AE3">
        <w:rPr>
          <w:rFonts w:ascii="Times New Roman" w:hAnsi="Times New Roman" w:cs="Times New Roman"/>
        </w:rPr>
        <w:t xml:space="preserve"> because events and circumstances frequently do not occur as expected, and the achievement of the forecasted results </w:t>
      </w:r>
      <w:r w:rsidR="00B764B6" w:rsidRPr="00645AE3">
        <w:rPr>
          <w:rFonts w:ascii="Times New Roman" w:hAnsi="Times New Roman" w:cs="Times New Roman"/>
        </w:rPr>
        <w:t>is</w:t>
      </w:r>
      <w:r w:rsidRPr="00645AE3">
        <w:rPr>
          <w:rFonts w:ascii="Times New Roman" w:hAnsi="Times New Roman" w:cs="Times New Roman"/>
        </w:rPr>
        <w:t xml:space="preserve"> dependent on the actions, plans, and assumptions of </w:t>
      </w:r>
      <w:r w:rsidR="009D69E1" w:rsidRPr="00192E69">
        <w:rPr>
          <w:rFonts w:ascii="Times New Roman" w:hAnsi="Times New Roman" w:cs="Times New Roman"/>
        </w:rPr>
        <w:t>M</w:t>
      </w:r>
      <w:r w:rsidRPr="00192E69">
        <w:rPr>
          <w:rFonts w:ascii="Times New Roman" w:hAnsi="Times New Roman" w:cs="Times New Roman"/>
        </w:rPr>
        <w:t xml:space="preserve">anagement.  We reserve the right to update our </w:t>
      </w:r>
      <w:proofErr w:type="gramStart"/>
      <w:r w:rsidRPr="00192E69">
        <w:rPr>
          <w:rFonts w:ascii="Times New Roman" w:hAnsi="Times New Roman" w:cs="Times New Roman"/>
        </w:rPr>
        <w:t>analysis</w:t>
      </w:r>
      <w:r w:rsidR="00B764B6" w:rsidRPr="00192E69">
        <w:rPr>
          <w:rFonts w:ascii="Times New Roman" w:hAnsi="Times New Roman" w:cs="Times New Roman"/>
        </w:rPr>
        <w:t>,</w:t>
      </w:r>
      <w:r w:rsidRPr="00192E69">
        <w:rPr>
          <w:rFonts w:ascii="Times New Roman" w:hAnsi="Times New Roman" w:cs="Times New Roman"/>
        </w:rPr>
        <w:t xml:space="preserve"> </w:t>
      </w:r>
      <w:r w:rsidR="00485827" w:rsidRPr="00192E69">
        <w:rPr>
          <w:rFonts w:ascii="Times New Roman" w:hAnsi="Times New Roman" w:cs="Times New Roman"/>
        </w:rPr>
        <w:t>if</w:t>
      </w:r>
      <w:proofErr w:type="gramEnd"/>
      <w:r w:rsidRPr="00192E69">
        <w:rPr>
          <w:rFonts w:ascii="Times New Roman" w:hAnsi="Times New Roman" w:cs="Times New Roman"/>
        </w:rPr>
        <w:t xml:space="preserve"> we are provided with additional information.</w:t>
      </w:r>
    </w:p>
    <w:p w14:paraId="1CF72853" w14:textId="566CFBE6" w:rsidR="00650F41" w:rsidRPr="00B731F7" w:rsidRDefault="00650F41" w:rsidP="00F02FDA">
      <w:pPr>
        <w:spacing w:after="0" w:line="180" w:lineRule="auto"/>
        <w:jc w:val="both"/>
        <w:rPr>
          <w:rFonts w:ascii="Times New Roman" w:hAnsi="Times New Roman" w:cs="Times New Roman"/>
          <w:b/>
          <w:u w:val="single"/>
        </w:rPr>
      </w:pPr>
    </w:p>
    <w:p w14:paraId="50D2AC4D" w14:textId="1564EFF7" w:rsidR="00650F41" w:rsidRPr="005750D6" w:rsidRDefault="00650F41"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Primary Sources of Information Utilized</w:t>
      </w:r>
    </w:p>
    <w:p w14:paraId="3D28EFFF" w14:textId="77777777" w:rsidR="00650F41" w:rsidRPr="005D25CC" w:rsidRDefault="00650F41" w:rsidP="00F02FDA">
      <w:pPr>
        <w:spacing w:after="0" w:line="180" w:lineRule="auto"/>
        <w:jc w:val="both"/>
        <w:rPr>
          <w:rFonts w:ascii="Times New Roman" w:hAnsi="Times New Roman" w:cs="Times New Roman"/>
          <w:highlight w:val="yellow"/>
        </w:rPr>
      </w:pPr>
    </w:p>
    <w:p w14:paraId="668BE44C" w14:textId="2AD82570" w:rsidR="00650F41" w:rsidRPr="00E048A0" w:rsidRDefault="00650F41" w:rsidP="00F02FDA">
      <w:pPr>
        <w:widowControl w:val="0"/>
        <w:spacing w:after="0" w:line="240" w:lineRule="auto"/>
        <w:ind w:left="360"/>
        <w:jc w:val="both"/>
        <w:rPr>
          <w:rFonts w:ascii="Times New Roman" w:hAnsi="Times New Roman" w:cs="Times New Roman"/>
          <w:color w:val="FF0000"/>
        </w:rPr>
      </w:pPr>
      <w:r w:rsidRPr="00192E69">
        <w:rPr>
          <w:rFonts w:ascii="Times New Roman" w:hAnsi="Times New Roman" w:cs="Times New Roman"/>
        </w:rPr>
        <w:t xml:space="preserve">In formulating our opinions and conclusions contained in this report, we obtained and reviewed various documents </w:t>
      </w:r>
      <w:r w:rsidR="00740C38" w:rsidRPr="00192E69">
        <w:rPr>
          <w:rFonts w:ascii="Times New Roman" w:hAnsi="Times New Roman" w:cs="Times New Roman"/>
        </w:rPr>
        <w:t xml:space="preserve">obtained </w:t>
      </w:r>
      <w:r w:rsidRPr="00192E69">
        <w:rPr>
          <w:rFonts w:ascii="Times New Roman" w:hAnsi="Times New Roman" w:cs="Times New Roman"/>
        </w:rPr>
        <w:t xml:space="preserve">from Management. The documents and information we </w:t>
      </w:r>
      <w:r w:rsidR="00150E95">
        <w:rPr>
          <w:rFonts w:ascii="Times New Roman" w:hAnsi="Times New Roman" w:cs="Times New Roman"/>
        </w:rPr>
        <w:t>reviewed</w:t>
      </w:r>
      <w:r w:rsidRPr="00192E69">
        <w:rPr>
          <w:rFonts w:ascii="Times New Roman" w:hAnsi="Times New Roman" w:cs="Times New Roman"/>
        </w:rPr>
        <w:t xml:space="preserve"> and relied on are noted below and/or </w:t>
      </w:r>
      <w:r w:rsidRPr="00E048A0">
        <w:rPr>
          <w:rFonts w:ascii="Times New Roman" w:hAnsi="Times New Roman" w:cs="Times New Roman"/>
        </w:rPr>
        <w:t>referenced in this report:</w:t>
      </w:r>
      <w:r w:rsidR="00126305" w:rsidRPr="00E048A0">
        <w:rPr>
          <w:rFonts w:ascii="Times New Roman" w:hAnsi="Times New Roman" w:cs="Times New Roman"/>
        </w:rPr>
        <w:t xml:space="preserve"> </w:t>
      </w:r>
    </w:p>
    <w:p w14:paraId="60854C86" w14:textId="77777777" w:rsidR="00FB38AE" w:rsidRPr="00E048A0" w:rsidRDefault="00FB38AE" w:rsidP="00FB38AE">
      <w:pPr>
        <w:pStyle w:val="ListParagraph"/>
        <w:widowControl w:val="0"/>
        <w:spacing w:after="0" w:line="240" w:lineRule="auto"/>
        <w:ind w:left="1080"/>
        <w:jc w:val="both"/>
        <w:rPr>
          <w:rFonts w:ascii="Times New Roman" w:hAnsi="Times New Roman" w:cs="Times New Roman"/>
        </w:rPr>
      </w:pPr>
      <w:bookmarkStart w:id="4" w:name="_Hlk93502841"/>
    </w:p>
    <w:p w14:paraId="01170E6A" w14:textId="6EDB820A" w:rsidR="00D12037" w:rsidRPr="00E048A0" w:rsidRDefault="00FB38AE" w:rsidP="00D54881">
      <w:pPr>
        <w:pStyle w:val="ListParagraph"/>
        <w:widowControl w:val="0"/>
        <w:numPr>
          <w:ilvl w:val="0"/>
          <w:numId w:val="7"/>
        </w:numPr>
        <w:spacing w:after="0" w:line="240" w:lineRule="auto"/>
        <w:jc w:val="both"/>
        <w:rPr>
          <w:rFonts w:ascii="Times New Roman" w:hAnsi="Times New Roman" w:cs="Times New Roman"/>
        </w:rPr>
      </w:pPr>
      <w:r w:rsidRPr="00E048A0">
        <w:rPr>
          <w:rFonts w:ascii="Times New Roman" w:hAnsi="Times New Roman" w:cs="Times New Roman"/>
        </w:rPr>
        <w:t>Historical</w:t>
      </w:r>
      <w:r w:rsidRPr="00690D54">
        <w:rPr>
          <w:rFonts w:ascii="Times New Roman" w:hAnsi="Times New Roman" w:cs="Times New Roman"/>
        </w:rPr>
        <w:t xml:space="preserve"> </w:t>
      </w:r>
      <w:r w:rsidR="006A7624">
        <w:rPr>
          <w:rFonts w:ascii="Times New Roman" w:hAnsi="Times New Roman" w:cs="Times New Roman"/>
        </w:rPr>
        <w:t xml:space="preserve">3D, IMRT, and SBRT </w:t>
      </w:r>
      <w:r w:rsidRPr="00690D54">
        <w:rPr>
          <w:rFonts w:ascii="Times New Roman" w:hAnsi="Times New Roman" w:cs="Times New Roman"/>
        </w:rPr>
        <w:t xml:space="preserve">volume </w:t>
      </w:r>
      <w:r w:rsidR="00690D54" w:rsidRPr="00690D54">
        <w:rPr>
          <w:rFonts w:ascii="Times New Roman" w:hAnsi="Times New Roman" w:cs="Times New Roman"/>
        </w:rPr>
        <w:t>for the one linear accelerator</w:t>
      </w:r>
      <w:r w:rsidRPr="00690D54">
        <w:rPr>
          <w:rFonts w:ascii="Times New Roman" w:hAnsi="Times New Roman" w:cs="Times New Roman"/>
        </w:rPr>
        <w:t xml:space="preserve"> </w:t>
      </w:r>
      <w:r w:rsidR="00525BAA">
        <w:rPr>
          <w:rFonts w:ascii="Times New Roman" w:hAnsi="Times New Roman" w:cs="Times New Roman"/>
        </w:rPr>
        <w:t xml:space="preserve">currently </w:t>
      </w:r>
      <w:r w:rsidR="00690D54" w:rsidRPr="00690D54">
        <w:rPr>
          <w:rFonts w:ascii="Times New Roman" w:hAnsi="Times New Roman" w:cs="Times New Roman"/>
        </w:rPr>
        <w:t>in service at B</w:t>
      </w:r>
      <w:r w:rsidR="00BD7CD7">
        <w:rPr>
          <w:rFonts w:ascii="Times New Roman" w:hAnsi="Times New Roman" w:cs="Times New Roman"/>
        </w:rPr>
        <w:t xml:space="preserve">ID Plymouth </w:t>
      </w:r>
      <w:r w:rsidR="00690D54" w:rsidRPr="00690D54">
        <w:rPr>
          <w:rFonts w:ascii="Times New Roman" w:hAnsi="Times New Roman" w:cs="Times New Roman"/>
        </w:rPr>
        <w:t xml:space="preserve">for the </w:t>
      </w:r>
      <w:r w:rsidR="00BD7CD7">
        <w:rPr>
          <w:rFonts w:ascii="Times New Roman" w:hAnsi="Times New Roman" w:cs="Times New Roman"/>
        </w:rPr>
        <w:t>fiscal years</w:t>
      </w:r>
      <w:r w:rsidR="00690D54" w:rsidRPr="00690D54">
        <w:rPr>
          <w:rFonts w:ascii="Times New Roman" w:hAnsi="Times New Roman" w:cs="Times New Roman"/>
        </w:rPr>
        <w:t xml:space="preserve"> </w:t>
      </w:r>
      <w:r w:rsidRPr="008B516F">
        <w:rPr>
          <w:rFonts w:ascii="Times New Roman" w:hAnsi="Times New Roman" w:cs="Times New Roman"/>
        </w:rPr>
        <w:t xml:space="preserve">ended </w:t>
      </w:r>
      <w:r w:rsidR="008B516F" w:rsidRPr="008B516F">
        <w:rPr>
          <w:rFonts w:ascii="Times New Roman" w:hAnsi="Times New Roman" w:cs="Times New Roman"/>
        </w:rPr>
        <w:t>September 30</w:t>
      </w:r>
      <w:r w:rsidRPr="008B516F">
        <w:rPr>
          <w:rFonts w:ascii="Times New Roman" w:hAnsi="Times New Roman" w:cs="Times New Roman"/>
        </w:rPr>
        <w:t>,</w:t>
      </w:r>
      <w:r w:rsidR="00311BE4" w:rsidRPr="008B516F">
        <w:rPr>
          <w:rFonts w:ascii="Times New Roman" w:hAnsi="Times New Roman" w:cs="Times New Roman"/>
        </w:rPr>
        <w:t xml:space="preserve"> </w:t>
      </w:r>
      <w:proofErr w:type="gramStart"/>
      <w:r w:rsidR="00311BE4" w:rsidRPr="008B516F">
        <w:rPr>
          <w:rFonts w:ascii="Times New Roman" w:hAnsi="Times New Roman" w:cs="Times New Roman"/>
        </w:rPr>
        <w:t>2021</w:t>
      </w:r>
      <w:proofErr w:type="gramEnd"/>
      <w:r w:rsidR="00311BE4" w:rsidRPr="008B516F">
        <w:rPr>
          <w:rFonts w:ascii="Times New Roman" w:hAnsi="Times New Roman" w:cs="Times New Roman"/>
        </w:rPr>
        <w:t xml:space="preserve"> and</w:t>
      </w:r>
      <w:r w:rsidR="00311BE4">
        <w:rPr>
          <w:rFonts w:ascii="Times New Roman" w:hAnsi="Times New Roman" w:cs="Times New Roman"/>
        </w:rPr>
        <w:t xml:space="preserve"> 2022</w:t>
      </w:r>
      <w:r w:rsidRPr="00E048A0">
        <w:rPr>
          <w:rFonts w:ascii="Times New Roman" w:hAnsi="Times New Roman" w:cs="Times New Roman"/>
        </w:rPr>
        <w:t>.</w:t>
      </w:r>
    </w:p>
    <w:p w14:paraId="58EDDDD0" w14:textId="77777777" w:rsidR="00223311" w:rsidRPr="00E048A0" w:rsidRDefault="00223311" w:rsidP="00223311">
      <w:pPr>
        <w:pStyle w:val="ListParagraph"/>
        <w:widowControl w:val="0"/>
        <w:spacing w:after="0" w:line="240" w:lineRule="auto"/>
        <w:ind w:left="1080"/>
        <w:jc w:val="both"/>
        <w:rPr>
          <w:rFonts w:ascii="Times New Roman" w:hAnsi="Times New Roman" w:cs="Times New Roman"/>
        </w:rPr>
      </w:pPr>
    </w:p>
    <w:p w14:paraId="5AE91EFF" w14:textId="41937D08" w:rsidR="00223311" w:rsidRDefault="00223311" w:rsidP="00223311">
      <w:pPr>
        <w:pStyle w:val="ListParagraph"/>
        <w:widowControl w:val="0"/>
        <w:numPr>
          <w:ilvl w:val="0"/>
          <w:numId w:val="7"/>
        </w:numPr>
        <w:spacing w:after="0" w:line="240" w:lineRule="auto"/>
        <w:jc w:val="both"/>
        <w:rPr>
          <w:rFonts w:ascii="Times New Roman" w:hAnsi="Times New Roman" w:cs="Times New Roman"/>
        </w:rPr>
      </w:pPr>
      <w:r w:rsidRPr="00E048A0">
        <w:rPr>
          <w:rFonts w:ascii="Times New Roman" w:hAnsi="Times New Roman" w:cs="Times New Roman"/>
        </w:rPr>
        <w:t xml:space="preserve">Historical revenue </w:t>
      </w:r>
      <w:r w:rsidR="006406D8">
        <w:rPr>
          <w:rFonts w:ascii="Times New Roman" w:hAnsi="Times New Roman" w:cs="Times New Roman"/>
        </w:rPr>
        <w:t xml:space="preserve">and expenses </w:t>
      </w:r>
      <w:r w:rsidR="00E048A0" w:rsidRPr="00E048A0">
        <w:rPr>
          <w:rFonts w:ascii="Times New Roman" w:hAnsi="Times New Roman" w:cs="Times New Roman"/>
        </w:rPr>
        <w:t xml:space="preserve">for the one linear accelerator </w:t>
      </w:r>
      <w:r w:rsidR="00525BAA">
        <w:rPr>
          <w:rFonts w:ascii="Times New Roman" w:hAnsi="Times New Roman" w:cs="Times New Roman"/>
        </w:rPr>
        <w:t xml:space="preserve">currently </w:t>
      </w:r>
      <w:r w:rsidR="00E048A0" w:rsidRPr="00E048A0">
        <w:rPr>
          <w:rFonts w:ascii="Times New Roman" w:hAnsi="Times New Roman" w:cs="Times New Roman"/>
        </w:rPr>
        <w:t xml:space="preserve">in service at </w:t>
      </w:r>
      <w:r w:rsidR="00A91642">
        <w:rPr>
          <w:rFonts w:ascii="Times New Roman" w:hAnsi="Times New Roman" w:cs="Times New Roman"/>
        </w:rPr>
        <w:t>BID Plymouth</w:t>
      </w:r>
      <w:r w:rsidR="00E048A0" w:rsidRPr="00E048A0">
        <w:rPr>
          <w:rFonts w:ascii="Times New Roman" w:hAnsi="Times New Roman" w:cs="Times New Roman"/>
        </w:rPr>
        <w:t xml:space="preserve"> for the </w:t>
      </w:r>
      <w:r w:rsidR="006406D8">
        <w:rPr>
          <w:rFonts w:ascii="Times New Roman" w:hAnsi="Times New Roman" w:cs="Times New Roman"/>
        </w:rPr>
        <w:t xml:space="preserve">fiscal </w:t>
      </w:r>
      <w:r w:rsidR="00A91642">
        <w:rPr>
          <w:rFonts w:ascii="Times New Roman" w:hAnsi="Times New Roman" w:cs="Times New Roman"/>
        </w:rPr>
        <w:t>years</w:t>
      </w:r>
      <w:r w:rsidR="00E048A0" w:rsidRPr="00E048A0">
        <w:rPr>
          <w:rFonts w:ascii="Times New Roman" w:hAnsi="Times New Roman" w:cs="Times New Roman"/>
        </w:rPr>
        <w:t xml:space="preserve"> ended</w:t>
      </w:r>
      <w:r w:rsidRPr="00E048A0">
        <w:rPr>
          <w:rFonts w:ascii="Times New Roman" w:hAnsi="Times New Roman" w:cs="Times New Roman"/>
        </w:rPr>
        <w:t xml:space="preserve"> </w:t>
      </w:r>
      <w:r w:rsidR="008B516F" w:rsidRPr="008B516F">
        <w:rPr>
          <w:rFonts w:ascii="Times New Roman" w:hAnsi="Times New Roman" w:cs="Times New Roman"/>
        </w:rPr>
        <w:t>September 30</w:t>
      </w:r>
      <w:r w:rsidR="00311BE4" w:rsidRPr="008B516F">
        <w:rPr>
          <w:rFonts w:ascii="Times New Roman" w:hAnsi="Times New Roman" w:cs="Times New Roman"/>
        </w:rPr>
        <w:t xml:space="preserve">, </w:t>
      </w:r>
      <w:proofErr w:type="gramStart"/>
      <w:r w:rsidR="00311BE4">
        <w:rPr>
          <w:rFonts w:ascii="Times New Roman" w:hAnsi="Times New Roman" w:cs="Times New Roman"/>
        </w:rPr>
        <w:t>2021</w:t>
      </w:r>
      <w:proofErr w:type="gramEnd"/>
      <w:r w:rsidR="00311BE4">
        <w:rPr>
          <w:rFonts w:ascii="Times New Roman" w:hAnsi="Times New Roman" w:cs="Times New Roman"/>
        </w:rPr>
        <w:t xml:space="preserve"> and 2022</w:t>
      </w:r>
      <w:r w:rsidR="00311BE4" w:rsidRPr="00E048A0">
        <w:rPr>
          <w:rFonts w:ascii="Times New Roman" w:hAnsi="Times New Roman" w:cs="Times New Roman"/>
        </w:rPr>
        <w:t>.</w:t>
      </w:r>
    </w:p>
    <w:p w14:paraId="4B8A3984" w14:textId="77777777" w:rsidR="00B36C44" w:rsidRPr="00B36C44" w:rsidRDefault="00B36C44" w:rsidP="00B36C44">
      <w:pPr>
        <w:pStyle w:val="ListParagraph"/>
        <w:rPr>
          <w:rFonts w:ascii="Times New Roman" w:hAnsi="Times New Roman" w:cs="Times New Roman"/>
        </w:rPr>
      </w:pPr>
    </w:p>
    <w:p w14:paraId="0DECABDF" w14:textId="4C1E60EC" w:rsidR="00B36C44" w:rsidRPr="00E048A0" w:rsidRDefault="00B36C44" w:rsidP="00223311">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Beth Israel Lahey Health, Inc. and Affiliates audited consolidated financial statements as of and for the years ended September 30, </w:t>
      </w:r>
      <w:proofErr w:type="gramStart"/>
      <w:r>
        <w:rPr>
          <w:rFonts w:ascii="Times New Roman" w:hAnsi="Times New Roman" w:cs="Times New Roman"/>
        </w:rPr>
        <w:t>2021</w:t>
      </w:r>
      <w:proofErr w:type="gramEnd"/>
      <w:r>
        <w:rPr>
          <w:rFonts w:ascii="Times New Roman" w:hAnsi="Times New Roman" w:cs="Times New Roman"/>
        </w:rPr>
        <w:t xml:space="preserve"> and September 30, 2022. </w:t>
      </w:r>
    </w:p>
    <w:p w14:paraId="49224E06" w14:textId="099A8E1C" w:rsidR="003833D4" w:rsidRPr="00E048A0" w:rsidRDefault="003833D4" w:rsidP="003833D4">
      <w:pPr>
        <w:pStyle w:val="ListParagraph"/>
        <w:widowControl w:val="0"/>
        <w:spacing w:after="0" w:line="240" w:lineRule="auto"/>
        <w:ind w:left="1080"/>
        <w:jc w:val="both"/>
        <w:rPr>
          <w:rFonts w:ascii="Times New Roman" w:hAnsi="Times New Roman" w:cs="Times New Roman"/>
        </w:rPr>
      </w:pPr>
    </w:p>
    <w:p w14:paraId="73FD1F06" w14:textId="3E912716" w:rsidR="003833D4" w:rsidRPr="004D03F9" w:rsidRDefault="003833D4" w:rsidP="00D54881">
      <w:pPr>
        <w:pStyle w:val="ListParagraph"/>
        <w:widowControl w:val="0"/>
        <w:numPr>
          <w:ilvl w:val="0"/>
          <w:numId w:val="7"/>
        </w:numPr>
        <w:spacing w:after="0" w:line="240" w:lineRule="auto"/>
        <w:jc w:val="both"/>
        <w:rPr>
          <w:rFonts w:ascii="Times New Roman" w:hAnsi="Times New Roman" w:cs="Times New Roman"/>
        </w:rPr>
      </w:pPr>
      <w:r w:rsidRPr="004D03F9">
        <w:rPr>
          <w:rFonts w:ascii="Times New Roman" w:hAnsi="Times New Roman" w:cs="Times New Roman"/>
        </w:rPr>
        <w:t>Projected</w:t>
      </w:r>
      <w:r w:rsidR="00BE5E77">
        <w:rPr>
          <w:rFonts w:ascii="Times New Roman" w:hAnsi="Times New Roman" w:cs="Times New Roman"/>
        </w:rPr>
        <w:t xml:space="preserve"> 3D, IMRT, and SBRT</w:t>
      </w:r>
      <w:r w:rsidRPr="004D03F9">
        <w:rPr>
          <w:rFonts w:ascii="Times New Roman" w:hAnsi="Times New Roman" w:cs="Times New Roman"/>
        </w:rPr>
        <w:t xml:space="preserve"> volume </w:t>
      </w:r>
      <w:r w:rsidR="004D03F9" w:rsidRPr="004D03F9">
        <w:rPr>
          <w:rFonts w:ascii="Times New Roman" w:hAnsi="Times New Roman" w:cs="Times New Roman"/>
        </w:rPr>
        <w:t xml:space="preserve">for the </w:t>
      </w:r>
      <w:r w:rsidR="00A91642">
        <w:rPr>
          <w:rFonts w:ascii="Times New Roman" w:hAnsi="Times New Roman" w:cs="Times New Roman"/>
        </w:rPr>
        <w:t>fiscal years ending September 30, 2024, 2025, 2026, 2027, and 2028</w:t>
      </w:r>
      <w:r w:rsidRPr="004D03F9">
        <w:rPr>
          <w:rFonts w:ascii="Times New Roman" w:hAnsi="Times New Roman" w:cs="Times New Roman"/>
        </w:rPr>
        <w:t xml:space="preserve">. </w:t>
      </w:r>
    </w:p>
    <w:p w14:paraId="690EAA1E" w14:textId="02CBA29A" w:rsidR="00D12037" w:rsidRPr="005D25CC" w:rsidRDefault="00D12037" w:rsidP="00D12037">
      <w:pPr>
        <w:widowControl w:val="0"/>
        <w:spacing w:after="0" w:line="240" w:lineRule="auto"/>
        <w:jc w:val="both"/>
        <w:rPr>
          <w:rFonts w:ascii="Times New Roman" w:hAnsi="Times New Roman" w:cs="Times New Roman"/>
          <w:highlight w:val="yellow"/>
        </w:rPr>
      </w:pPr>
    </w:p>
    <w:bookmarkEnd w:id="4"/>
    <w:p w14:paraId="27846B1F" w14:textId="510286E4" w:rsidR="00D54881" w:rsidRPr="000F722A" w:rsidRDefault="00650F41" w:rsidP="00D54881">
      <w:pPr>
        <w:pStyle w:val="ListParagraph"/>
        <w:widowControl w:val="0"/>
        <w:numPr>
          <w:ilvl w:val="0"/>
          <w:numId w:val="7"/>
        </w:numPr>
        <w:spacing w:after="0" w:line="240" w:lineRule="auto"/>
        <w:jc w:val="both"/>
        <w:rPr>
          <w:rFonts w:ascii="Times New Roman" w:hAnsi="Times New Roman" w:cs="Times New Roman"/>
        </w:rPr>
      </w:pPr>
      <w:r w:rsidRPr="000F722A">
        <w:rPr>
          <w:rFonts w:ascii="Times New Roman" w:hAnsi="Times New Roman" w:cs="Times New Roman"/>
        </w:rPr>
        <w:t>Projected</w:t>
      </w:r>
      <w:r w:rsidR="00F301FD" w:rsidRPr="000F722A">
        <w:rPr>
          <w:rFonts w:ascii="Times New Roman" w:hAnsi="Times New Roman" w:cs="Times New Roman"/>
        </w:rPr>
        <w:t xml:space="preserve"> </w:t>
      </w:r>
      <w:r w:rsidRPr="000F722A">
        <w:rPr>
          <w:rFonts w:ascii="Times New Roman" w:hAnsi="Times New Roman" w:cs="Times New Roman"/>
        </w:rPr>
        <w:t xml:space="preserve">revenue and expenses </w:t>
      </w:r>
      <w:r w:rsidR="00F301FD" w:rsidRPr="000F722A">
        <w:rPr>
          <w:rFonts w:ascii="Times New Roman" w:hAnsi="Times New Roman" w:cs="Times New Roman"/>
        </w:rPr>
        <w:t xml:space="preserve">for the Project </w:t>
      </w:r>
      <w:r w:rsidRPr="000F722A">
        <w:rPr>
          <w:rFonts w:ascii="Times New Roman" w:hAnsi="Times New Roman" w:cs="Times New Roman"/>
        </w:rPr>
        <w:t xml:space="preserve">for </w:t>
      </w:r>
      <w:r w:rsidR="00F113CB">
        <w:rPr>
          <w:rFonts w:ascii="Times New Roman" w:hAnsi="Times New Roman" w:cs="Times New Roman"/>
        </w:rPr>
        <w:t>the fiscal years ending September 30, 2024, 2025, 2026, 2027, and 2028</w:t>
      </w:r>
      <w:r w:rsidR="00965E27" w:rsidRPr="000F722A">
        <w:rPr>
          <w:rFonts w:ascii="Times New Roman" w:hAnsi="Times New Roman" w:cs="Times New Roman"/>
        </w:rPr>
        <w:t>.</w:t>
      </w:r>
    </w:p>
    <w:p w14:paraId="70D951E9" w14:textId="77777777" w:rsidR="00111822" w:rsidRPr="000F722A" w:rsidRDefault="00111822" w:rsidP="00111822">
      <w:pPr>
        <w:pStyle w:val="ListParagraph"/>
        <w:rPr>
          <w:rFonts w:ascii="Times New Roman" w:hAnsi="Times New Roman" w:cs="Times New Roman"/>
        </w:rPr>
      </w:pPr>
    </w:p>
    <w:p w14:paraId="1CEE0F4B" w14:textId="118DD8D0" w:rsidR="00AE08C3" w:rsidRPr="000F722A" w:rsidRDefault="00111822" w:rsidP="000F722A">
      <w:pPr>
        <w:pStyle w:val="ListParagraph"/>
        <w:widowControl w:val="0"/>
        <w:numPr>
          <w:ilvl w:val="0"/>
          <w:numId w:val="7"/>
        </w:numPr>
        <w:spacing w:after="0" w:line="240" w:lineRule="auto"/>
        <w:jc w:val="both"/>
        <w:rPr>
          <w:rFonts w:ascii="Times New Roman" w:hAnsi="Times New Roman" w:cs="Times New Roman"/>
        </w:rPr>
      </w:pPr>
      <w:r w:rsidRPr="000F722A">
        <w:rPr>
          <w:rFonts w:ascii="Times New Roman" w:hAnsi="Times New Roman" w:cs="Times New Roman"/>
        </w:rPr>
        <w:t>Projected</w:t>
      </w:r>
      <w:r w:rsidR="00F301FD" w:rsidRPr="000F722A">
        <w:rPr>
          <w:rFonts w:ascii="Times New Roman" w:hAnsi="Times New Roman" w:cs="Times New Roman"/>
        </w:rPr>
        <w:t xml:space="preserve"> statements of </w:t>
      </w:r>
      <w:r w:rsidRPr="000F722A">
        <w:rPr>
          <w:rFonts w:ascii="Times New Roman" w:hAnsi="Times New Roman" w:cs="Times New Roman"/>
        </w:rPr>
        <w:t>cash flow</w:t>
      </w:r>
      <w:r w:rsidR="00501E8B" w:rsidRPr="000F722A">
        <w:rPr>
          <w:rFonts w:ascii="Times New Roman" w:hAnsi="Times New Roman" w:cs="Times New Roman"/>
        </w:rPr>
        <w:t>s</w:t>
      </w:r>
      <w:r w:rsidRPr="000F722A">
        <w:rPr>
          <w:rFonts w:ascii="Times New Roman" w:hAnsi="Times New Roman" w:cs="Times New Roman"/>
        </w:rPr>
        <w:t xml:space="preserve"> </w:t>
      </w:r>
      <w:r w:rsidR="003C74E8">
        <w:rPr>
          <w:rFonts w:ascii="Times New Roman" w:hAnsi="Times New Roman" w:cs="Times New Roman"/>
        </w:rPr>
        <w:t xml:space="preserve">from operations for the Project </w:t>
      </w:r>
      <w:r w:rsidRPr="000F722A">
        <w:rPr>
          <w:rFonts w:ascii="Times New Roman" w:hAnsi="Times New Roman" w:cs="Times New Roman"/>
        </w:rPr>
        <w:t>for</w:t>
      </w:r>
      <w:r w:rsidR="00F301FD" w:rsidRPr="000F722A">
        <w:rPr>
          <w:rFonts w:ascii="Times New Roman" w:hAnsi="Times New Roman" w:cs="Times New Roman"/>
        </w:rPr>
        <w:t xml:space="preserve"> the </w:t>
      </w:r>
      <w:r w:rsidR="003C74E8">
        <w:rPr>
          <w:rFonts w:ascii="Times New Roman" w:hAnsi="Times New Roman" w:cs="Times New Roman"/>
        </w:rPr>
        <w:t xml:space="preserve">fiscal years ending September 30, 2024, 2025, 2026, 2027, and 2028. </w:t>
      </w:r>
    </w:p>
    <w:p w14:paraId="7331B054" w14:textId="77777777" w:rsidR="003C5BD0" w:rsidRPr="005D25CC" w:rsidRDefault="003C5BD0" w:rsidP="003C5BD0">
      <w:pPr>
        <w:pStyle w:val="ListParagraph"/>
        <w:rPr>
          <w:rFonts w:ascii="Times New Roman" w:hAnsi="Times New Roman" w:cs="Times New Roman"/>
          <w:highlight w:val="yellow"/>
        </w:rPr>
      </w:pPr>
    </w:p>
    <w:p w14:paraId="493E3986" w14:textId="7C62C8F9" w:rsidR="003C5BD0" w:rsidRDefault="003C5BD0" w:rsidP="00D54881">
      <w:pPr>
        <w:pStyle w:val="ListParagraph"/>
        <w:widowControl w:val="0"/>
        <w:numPr>
          <w:ilvl w:val="0"/>
          <w:numId w:val="7"/>
        </w:numPr>
        <w:spacing w:after="0" w:line="240" w:lineRule="auto"/>
        <w:jc w:val="both"/>
        <w:rPr>
          <w:rFonts w:ascii="Times New Roman" w:hAnsi="Times New Roman" w:cs="Times New Roman"/>
        </w:rPr>
      </w:pPr>
      <w:r w:rsidRPr="00FD7713">
        <w:rPr>
          <w:rFonts w:ascii="Times New Roman" w:hAnsi="Times New Roman" w:cs="Times New Roman"/>
        </w:rPr>
        <w:t xml:space="preserve">Proposed </w:t>
      </w:r>
      <w:r w:rsidR="00FD7713" w:rsidRPr="00FD7713">
        <w:rPr>
          <w:rFonts w:ascii="Times New Roman" w:hAnsi="Times New Roman" w:cs="Times New Roman"/>
        </w:rPr>
        <w:t xml:space="preserve">service </w:t>
      </w:r>
      <w:r w:rsidRPr="00FD7713">
        <w:rPr>
          <w:rFonts w:ascii="Times New Roman" w:hAnsi="Times New Roman" w:cs="Times New Roman"/>
        </w:rPr>
        <w:t xml:space="preserve">agreement </w:t>
      </w:r>
      <w:r w:rsidR="00FD7713" w:rsidRPr="00FD7713">
        <w:rPr>
          <w:rFonts w:ascii="Times New Roman" w:hAnsi="Times New Roman" w:cs="Times New Roman"/>
        </w:rPr>
        <w:t xml:space="preserve">for the linear accelerator </w:t>
      </w:r>
      <w:r w:rsidR="005F47DE" w:rsidRPr="00FD7713">
        <w:rPr>
          <w:rFonts w:ascii="Times New Roman" w:hAnsi="Times New Roman" w:cs="Times New Roman"/>
        </w:rPr>
        <w:t xml:space="preserve">between </w:t>
      </w:r>
      <w:r w:rsidR="00FD7713" w:rsidRPr="00FD7713">
        <w:rPr>
          <w:rFonts w:ascii="Times New Roman" w:hAnsi="Times New Roman" w:cs="Times New Roman"/>
        </w:rPr>
        <w:t xml:space="preserve">Varian </w:t>
      </w:r>
      <w:r w:rsidR="006E698F">
        <w:rPr>
          <w:rFonts w:ascii="Times New Roman" w:hAnsi="Times New Roman" w:cs="Times New Roman"/>
        </w:rPr>
        <w:t xml:space="preserve">Medical Systems </w:t>
      </w:r>
      <w:r w:rsidR="00991353" w:rsidRPr="00FD7713">
        <w:rPr>
          <w:rFonts w:ascii="Times New Roman" w:hAnsi="Times New Roman" w:cs="Times New Roman"/>
        </w:rPr>
        <w:t xml:space="preserve">and Beth Israel </w:t>
      </w:r>
      <w:r w:rsidR="00FD7713" w:rsidRPr="00FD7713">
        <w:rPr>
          <w:rFonts w:ascii="Times New Roman" w:hAnsi="Times New Roman" w:cs="Times New Roman"/>
        </w:rPr>
        <w:t>Deaconess</w:t>
      </w:r>
      <w:r w:rsidR="001E308D">
        <w:rPr>
          <w:rFonts w:ascii="Times New Roman" w:hAnsi="Times New Roman" w:cs="Times New Roman"/>
        </w:rPr>
        <w:t xml:space="preserve"> </w:t>
      </w:r>
      <w:r w:rsidR="005271E9">
        <w:rPr>
          <w:rFonts w:ascii="Times New Roman" w:hAnsi="Times New Roman" w:cs="Times New Roman"/>
        </w:rPr>
        <w:t>–</w:t>
      </w:r>
      <w:r w:rsidR="001E308D">
        <w:rPr>
          <w:rFonts w:ascii="Times New Roman" w:hAnsi="Times New Roman" w:cs="Times New Roman"/>
        </w:rPr>
        <w:t xml:space="preserve"> Plymouth</w:t>
      </w:r>
      <w:r w:rsidR="001435D4">
        <w:rPr>
          <w:rFonts w:ascii="Times New Roman" w:hAnsi="Times New Roman" w:cs="Times New Roman"/>
        </w:rPr>
        <w:t>, Inc.</w:t>
      </w:r>
      <w:r w:rsidR="005271E9">
        <w:rPr>
          <w:rFonts w:ascii="Times New Roman" w:hAnsi="Times New Roman" w:cs="Times New Roman"/>
        </w:rPr>
        <w:t xml:space="preserve"> for the </w:t>
      </w:r>
      <w:r w:rsidR="00A76643">
        <w:rPr>
          <w:rFonts w:ascii="Times New Roman" w:hAnsi="Times New Roman" w:cs="Times New Roman"/>
        </w:rPr>
        <w:t xml:space="preserve">first three years of operations. </w:t>
      </w:r>
    </w:p>
    <w:p w14:paraId="23CE6172" w14:textId="77777777" w:rsidR="00767BE7" w:rsidRPr="00D95092" w:rsidRDefault="00767BE7" w:rsidP="00D95092">
      <w:pPr>
        <w:widowControl w:val="0"/>
        <w:spacing w:after="0" w:line="240" w:lineRule="auto"/>
        <w:jc w:val="both"/>
        <w:rPr>
          <w:rFonts w:ascii="Times New Roman" w:hAnsi="Times New Roman" w:cs="Times New Roman"/>
        </w:rPr>
      </w:pPr>
    </w:p>
    <w:p w14:paraId="4305B156" w14:textId="13F46E19" w:rsidR="00767BE7" w:rsidRPr="009C638B" w:rsidRDefault="00767BE7" w:rsidP="00767BE7">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Total project costs of the Applicant are </w:t>
      </w:r>
      <w:r w:rsidR="00EA4ADC">
        <w:rPr>
          <w:rFonts w:ascii="Times New Roman" w:hAnsi="Times New Roman" w:cs="Times New Roman"/>
        </w:rPr>
        <w:t>comprised</w:t>
      </w:r>
      <w:r>
        <w:rPr>
          <w:rFonts w:ascii="Times New Roman" w:hAnsi="Times New Roman" w:cs="Times New Roman"/>
        </w:rPr>
        <w:t xml:space="preserve"> of estimated renovation costs of $34,500.</w:t>
      </w:r>
    </w:p>
    <w:p w14:paraId="56403D5E" w14:textId="77777777" w:rsidR="002F5FF3" w:rsidRDefault="002F5FF3" w:rsidP="00F02FDA">
      <w:pPr>
        <w:widowControl w:val="0"/>
        <w:spacing w:after="0" w:line="240" w:lineRule="auto"/>
        <w:jc w:val="center"/>
        <w:rPr>
          <w:rFonts w:ascii="Times New Roman" w:hAnsi="Times New Roman" w:cs="Times New Roman"/>
        </w:rPr>
      </w:pPr>
    </w:p>
    <w:p w14:paraId="45D592EF" w14:textId="77777777" w:rsidR="00414C8B" w:rsidRPr="005D25CC" w:rsidRDefault="00414C8B" w:rsidP="00414C8B">
      <w:pPr>
        <w:spacing w:after="0" w:line="240" w:lineRule="auto"/>
        <w:rPr>
          <w:rFonts w:ascii="Times New Roman" w:hAnsi="Times New Roman" w:cs="Times New Roman"/>
          <w:highlight w:val="yellow"/>
        </w:rPr>
        <w:sectPr w:rsidR="00414C8B" w:rsidRPr="005D25CC" w:rsidSect="006A1A6B">
          <w:headerReference w:type="default" r:id="rId11"/>
          <w:footerReference w:type="first" r:id="rId12"/>
          <w:pgSz w:w="12240" w:h="15840" w:code="1"/>
          <w:pgMar w:top="648" w:right="720" w:bottom="648" w:left="965" w:header="0" w:footer="0" w:gutter="0"/>
          <w:pgNumType w:start="2"/>
          <w:cols w:space="720"/>
          <w:titlePg/>
          <w:docGrid w:linePitch="360"/>
        </w:sectPr>
      </w:pPr>
    </w:p>
    <w:p w14:paraId="5E7C58D7" w14:textId="77777777" w:rsidR="000646F7" w:rsidRPr="009E10C8" w:rsidRDefault="000646F7" w:rsidP="000646F7">
      <w:pPr>
        <w:spacing w:after="0" w:line="240" w:lineRule="auto"/>
        <w:rPr>
          <w:rFonts w:ascii="Times New Roman" w:hAnsi="Times New Roman" w:cs="Times New Roman"/>
        </w:rPr>
      </w:pPr>
      <w:r w:rsidRPr="009E10C8">
        <w:rPr>
          <w:rFonts w:ascii="Times New Roman" w:hAnsi="Times New Roman" w:cs="Times New Roman"/>
        </w:rPr>
        <w:lastRenderedPageBreak/>
        <w:t xml:space="preserve">Mr. </w:t>
      </w:r>
      <w:r>
        <w:rPr>
          <w:rFonts w:ascii="Times New Roman" w:hAnsi="Times New Roman" w:cs="Times New Roman"/>
        </w:rPr>
        <w:t>Jim Jenkins</w:t>
      </w:r>
    </w:p>
    <w:p w14:paraId="6B284A56" w14:textId="77777777" w:rsidR="00727986" w:rsidRPr="00885A90" w:rsidRDefault="00727986" w:rsidP="00727986">
      <w:pPr>
        <w:spacing w:after="0" w:line="240" w:lineRule="auto"/>
        <w:rPr>
          <w:rFonts w:ascii="Times New Roman" w:hAnsi="Times New Roman" w:cs="Times New Roman"/>
        </w:rPr>
      </w:pPr>
      <w:r w:rsidRPr="00885A90">
        <w:rPr>
          <w:rFonts w:ascii="Times New Roman" w:hAnsi="Times New Roman" w:cs="Times New Roman"/>
        </w:rPr>
        <w:t xml:space="preserve">Beth Israel Deaconess Hospital – Plymouth, Inc. </w:t>
      </w:r>
    </w:p>
    <w:p w14:paraId="6D381E6E" w14:textId="19B18CD0" w:rsidR="002367C6" w:rsidRPr="00E72ED7" w:rsidRDefault="002367C6" w:rsidP="002367C6">
      <w:pPr>
        <w:spacing w:after="0" w:line="240" w:lineRule="auto"/>
        <w:rPr>
          <w:rFonts w:ascii="Times New Roman" w:hAnsi="Times New Roman" w:cs="Times New Roman"/>
        </w:rPr>
      </w:pPr>
      <w:r w:rsidRPr="00885A90">
        <w:rPr>
          <w:rFonts w:ascii="Times New Roman" w:hAnsi="Times New Roman" w:cs="Times New Roman"/>
        </w:rPr>
        <w:t>September</w:t>
      </w:r>
      <w:r w:rsidR="00885A90" w:rsidRPr="00885A90">
        <w:rPr>
          <w:rFonts w:ascii="Times New Roman" w:hAnsi="Times New Roman" w:cs="Times New Roman"/>
        </w:rPr>
        <w:t xml:space="preserve"> 28</w:t>
      </w:r>
      <w:r w:rsidRPr="00885A90">
        <w:rPr>
          <w:rFonts w:ascii="Times New Roman" w:hAnsi="Times New Roman" w:cs="Times New Roman"/>
        </w:rPr>
        <w:t>, 2023</w:t>
      </w:r>
    </w:p>
    <w:p w14:paraId="79716FA5" w14:textId="5A5EE93F" w:rsidR="00454FE0" w:rsidRDefault="00454FE0" w:rsidP="00454FE0">
      <w:pPr>
        <w:spacing w:after="0" w:line="240" w:lineRule="auto"/>
        <w:jc w:val="both"/>
        <w:rPr>
          <w:rFonts w:ascii="Times New Roman" w:hAnsi="Times New Roman" w:cs="Times New Roman"/>
          <w:highlight w:val="yellow"/>
        </w:rPr>
      </w:pPr>
    </w:p>
    <w:p w14:paraId="0519855E" w14:textId="77777777" w:rsidR="005C57E6" w:rsidRPr="005D25CC" w:rsidRDefault="005C57E6" w:rsidP="00454FE0">
      <w:pPr>
        <w:spacing w:after="0" w:line="240" w:lineRule="auto"/>
        <w:jc w:val="both"/>
        <w:rPr>
          <w:rFonts w:ascii="Times New Roman" w:hAnsi="Times New Roman" w:cs="Times New Roman"/>
          <w:highlight w:val="yellow"/>
        </w:rPr>
      </w:pPr>
    </w:p>
    <w:p w14:paraId="1745D285" w14:textId="77777777" w:rsidR="00244AD8" w:rsidRPr="00235609" w:rsidRDefault="00244AD8" w:rsidP="00D95092">
      <w:pPr>
        <w:pStyle w:val="Heading3"/>
        <w:numPr>
          <w:ilvl w:val="0"/>
          <w:numId w:val="34"/>
        </w:numPr>
        <w:rPr>
          <w:rStyle w:val="SubtleEmphasis"/>
          <w:rFonts w:asciiTheme="minorHAnsi" w:eastAsiaTheme="minorHAnsi" w:hAnsiTheme="minorHAnsi" w:cstheme="minorBidi"/>
          <w:i w:val="0"/>
          <w:iCs w:val="0"/>
          <w:color w:val="auto"/>
          <w:sz w:val="22"/>
          <w:szCs w:val="22"/>
        </w:rPr>
      </w:pPr>
      <w:r w:rsidRPr="008F418A">
        <w:rPr>
          <w:rStyle w:val="SubtleEmphasis"/>
          <w:rFonts w:ascii="Times New Roman" w:hAnsi="Times New Roman" w:cs="Times New Roman"/>
          <w:b/>
          <w:bCs/>
          <w:i w:val="0"/>
          <w:iCs w:val="0"/>
          <w:color w:val="auto"/>
          <w:sz w:val="22"/>
          <w:szCs w:val="22"/>
          <w:u w:val="single"/>
        </w:rPr>
        <w:t>Primary Sources of Information Utilized</w:t>
      </w:r>
    </w:p>
    <w:p w14:paraId="5DCEC80E" w14:textId="77777777" w:rsidR="00D1119B" w:rsidRDefault="00D1119B" w:rsidP="001C657C">
      <w:pPr>
        <w:tabs>
          <w:tab w:val="left" w:pos="360"/>
        </w:tabs>
        <w:spacing w:after="0" w:line="240" w:lineRule="auto"/>
        <w:jc w:val="both"/>
        <w:rPr>
          <w:rFonts w:ascii="Times New Roman" w:hAnsi="Times New Roman" w:cs="Times New Roman"/>
          <w:b/>
          <w:highlight w:val="yellow"/>
          <w:u w:val="single"/>
        </w:rPr>
      </w:pPr>
    </w:p>
    <w:p w14:paraId="57C430BF" w14:textId="77777777" w:rsidR="00F02E3D" w:rsidRDefault="00F02E3D" w:rsidP="00F02E3D">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DON</w:t>
      </w:r>
      <w:r w:rsidRPr="009C638B">
        <w:rPr>
          <w:rFonts w:ascii="Times New Roman" w:hAnsi="Times New Roman" w:cs="Times New Roman"/>
        </w:rPr>
        <w:t xml:space="preserve"> Application Instructions dated March 2017.</w:t>
      </w:r>
    </w:p>
    <w:p w14:paraId="1D5D3E28" w14:textId="77777777" w:rsidR="00F02E3D" w:rsidRDefault="00F02E3D" w:rsidP="00D95092">
      <w:pPr>
        <w:pStyle w:val="ListParagraph"/>
        <w:spacing w:after="0" w:line="240" w:lineRule="auto"/>
        <w:ind w:left="1080"/>
        <w:jc w:val="both"/>
        <w:rPr>
          <w:rFonts w:ascii="Times New Roman" w:hAnsi="Times New Roman" w:cs="Times New Roman"/>
        </w:rPr>
      </w:pPr>
    </w:p>
    <w:p w14:paraId="7D51F0DB" w14:textId="0BBAEE86" w:rsidR="00D1119B" w:rsidRDefault="00D1119B" w:rsidP="00D1119B">
      <w:pPr>
        <w:pStyle w:val="ListParagraph"/>
        <w:numPr>
          <w:ilvl w:val="0"/>
          <w:numId w:val="7"/>
        </w:numPr>
        <w:spacing w:after="0" w:line="240" w:lineRule="auto"/>
        <w:jc w:val="both"/>
        <w:rPr>
          <w:rFonts w:ascii="Times New Roman" w:hAnsi="Times New Roman" w:cs="Times New Roman"/>
        </w:rPr>
      </w:pPr>
      <w:r w:rsidRPr="009C638B">
        <w:rPr>
          <w:rFonts w:ascii="Times New Roman" w:hAnsi="Times New Roman" w:cs="Times New Roman"/>
        </w:rPr>
        <w:t xml:space="preserve">DON Narrative draft provided </w:t>
      </w:r>
      <w:r>
        <w:rPr>
          <w:rFonts w:ascii="Times New Roman" w:hAnsi="Times New Roman" w:cs="Times New Roman"/>
        </w:rPr>
        <w:t>September 20, 2023</w:t>
      </w:r>
      <w:r w:rsidRPr="009C638B">
        <w:rPr>
          <w:rFonts w:ascii="Times New Roman" w:hAnsi="Times New Roman" w:cs="Times New Roman"/>
        </w:rPr>
        <w:t>.</w:t>
      </w:r>
    </w:p>
    <w:p w14:paraId="4B91FB51" w14:textId="77777777" w:rsidR="00D1119B" w:rsidRPr="00206318" w:rsidRDefault="00D1119B" w:rsidP="00D1119B">
      <w:pPr>
        <w:pStyle w:val="ListParagraph"/>
        <w:rPr>
          <w:rFonts w:ascii="Times New Roman" w:hAnsi="Times New Roman" w:cs="Times New Roman"/>
        </w:rPr>
      </w:pPr>
    </w:p>
    <w:p w14:paraId="3A6332B6" w14:textId="77777777" w:rsidR="00D1119B" w:rsidRDefault="00D1119B" w:rsidP="00D1119B">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DON Application Form. </w:t>
      </w:r>
    </w:p>
    <w:p w14:paraId="21C7F6C4" w14:textId="77777777" w:rsidR="00A46D08" w:rsidRPr="00A46D08" w:rsidRDefault="00A46D08" w:rsidP="00A46D08">
      <w:pPr>
        <w:spacing w:after="0" w:line="240" w:lineRule="auto"/>
        <w:jc w:val="both"/>
        <w:rPr>
          <w:rFonts w:ascii="Times New Roman" w:hAnsi="Times New Roman" w:cs="Times New Roman"/>
        </w:rPr>
      </w:pPr>
    </w:p>
    <w:p w14:paraId="3C2BF559" w14:textId="7CF045E9" w:rsidR="00921CBB" w:rsidRPr="00D95092" w:rsidRDefault="00921CBB" w:rsidP="00D95092">
      <w:pPr>
        <w:pStyle w:val="Heading3"/>
        <w:numPr>
          <w:ilvl w:val="0"/>
          <w:numId w:val="34"/>
        </w:numPr>
        <w:rPr>
          <w:rStyle w:val="SubtleEmphasis"/>
          <w:rFonts w:ascii="Times New Roman" w:hAnsi="Times New Roman" w:cs="Times New Roman"/>
          <w:b/>
          <w:bCs/>
          <w:i w:val="0"/>
          <w:iCs w:val="0"/>
          <w:color w:val="auto"/>
          <w:sz w:val="22"/>
          <w:szCs w:val="22"/>
          <w:u w:val="single"/>
        </w:rPr>
      </w:pPr>
      <w:r w:rsidRPr="00D95092">
        <w:rPr>
          <w:rStyle w:val="SubtleEmphasis"/>
          <w:rFonts w:ascii="Times New Roman" w:hAnsi="Times New Roman" w:cs="Times New Roman"/>
          <w:b/>
          <w:bCs/>
          <w:i w:val="0"/>
          <w:iCs w:val="0"/>
          <w:color w:val="auto"/>
          <w:sz w:val="22"/>
          <w:szCs w:val="22"/>
          <w:u w:val="single"/>
        </w:rPr>
        <w:t xml:space="preserve">Review of the Projections </w:t>
      </w:r>
    </w:p>
    <w:p w14:paraId="309F2AAA" w14:textId="77777777" w:rsidR="00855F81" w:rsidRPr="00FF336B" w:rsidRDefault="00855F81" w:rsidP="00855F81">
      <w:pPr>
        <w:spacing w:after="0" w:line="240" w:lineRule="auto"/>
        <w:jc w:val="both"/>
        <w:rPr>
          <w:rFonts w:ascii="Times New Roman" w:hAnsi="Times New Roman" w:cs="Times New Roman"/>
          <w:b/>
        </w:rPr>
      </w:pPr>
    </w:p>
    <w:p w14:paraId="65348C74" w14:textId="5688C18A" w:rsidR="00855F81" w:rsidRPr="00FF336B" w:rsidRDefault="00855F81" w:rsidP="00967707">
      <w:pPr>
        <w:spacing w:after="0" w:line="240" w:lineRule="auto"/>
        <w:ind w:left="360"/>
        <w:jc w:val="both"/>
        <w:rPr>
          <w:rFonts w:ascii="Times New Roman" w:hAnsi="Times New Roman" w:cs="Times New Roman"/>
        </w:rPr>
      </w:pPr>
      <w:r w:rsidRPr="00FF336B">
        <w:rPr>
          <w:rFonts w:ascii="Times New Roman" w:hAnsi="Times New Roman" w:cs="Times New Roman"/>
        </w:rPr>
        <w:t>This section of the report summarizes our review of the reasonableness of the assumptions used and feasibility of the projections.  The table</w:t>
      </w:r>
      <w:r w:rsidR="00485827" w:rsidRPr="00FF336B">
        <w:rPr>
          <w:rFonts w:ascii="Times New Roman" w:hAnsi="Times New Roman" w:cs="Times New Roman"/>
        </w:rPr>
        <w:t>s</w:t>
      </w:r>
      <w:r w:rsidRPr="00FF336B">
        <w:rPr>
          <w:rFonts w:ascii="Times New Roman" w:hAnsi="Times New Roman" w:cs="Times New Roman"/>
        </w:rPr>
        <w:t xml:space="preserve"> </w:t>
      </w:r>
      <w:r w:rsidR="00485827" w:rsidRPr="00FF336B">
        <w:rPr>
          <w:rFonts w:ascii="Times New Roman" w:hAnsi="Times New Roman" w:cs="Times New Roman"/>
        </w:rPr>
        <w:t>that follow</w:t>
      </w:r>
      <w:r w:rsidRPr="00FF336B">
        <w:rPr>
          <w:rFonts w:ascii="Times New Roman" w:hAnsi="Times New Roman" w:cs="Times New Roman"/>
        </w:rPr>
        <w:t xml:space="preserve"> summarize the projected results</w:t>
      </w:r>
      <w:r w:rsidR="00650F41" w:rsidRPr="00FF336B">
        <w:rPr>
          <w:rFonts w:ascii="Times New Roman" w:hAnsi="Times New Roman" w:cs="Times New Roman"/>
        </w:rPr>
        <w:t xml:space="preserve"> </w:t>
      </w:r>
      <w:r w:rsidR="00C30ED9">
        <w:rPr>
          <w:rFonts w:ascii="Times New Roman" w:hAnsi="Times New Roman" w:cs="Times New Roman"/>
        </w:rPr>
        <w:t xml:space="preserve">of </w:t>
      </w:r>
      <w:r w:rsidR="00C30ED9" w:rsidRPr="002B3DD2">
        <w:rPr>
          <w:rFonts w:ascii="Times New Roman" w:hAnsi="Times New Roman" w:cs="Times New Roman"/>
        </w:rPr>
        <w:t xml:space="preserve">the reactivation of one existing dormant linear accelerator </w:t>
      </w:r>
      <w:r w:rsidR="00FF336B" w:rsidRPr="00FF336B">
        <w:rPr>
          <w:rFonts w:ascii="Times New Roman" w:hAnsi="Times New Roman" w:cs="Times New Roman"/>
        </w:rPr>
        <w:t xml:space="preserve">at </w:t>
      </w:r>
      <w:r w:rsidR="003862AC">
        <w:rPr>
          <w:rFonts w:ascii="Times New Roman" w:hAnsi="Times New Roman" w:cs="Times New Roman"/>
        </w:rPr>
        <w:t>BID Plymouth</w:t>
      </w:r>
      <w:r w:rsidR="00FF336B" w:rsidRPr="00FF336B">
        <w:rPr>
          <w:rFonts w:ascii="Times New Roman" w:hAnsi="Times New Roman" w:cs="Times New Roman"/>
        </w:rPr>
        <w:t>.</w:t>
      </w:r>
    </w:p>
    <w:p w14:paraId="2BFD3008" w14:textId="77777777" w:rsidR="00650F41" w:rsidRPr="005D25CC" w:rsidRDefault="00650F41" w:rsidP="003E2C9D">
      <w:pPr>
        <w:spacing w:after="0" w:line="180" w:lineRule="auto"/>
        <w:jc w:val="center"/>
        <w:rPr>
          <w:rFonts w:ascii="Times New Roman" w:hAnsi="Times New Roman" w:cs="Times New Roman"/>
          <w:highlight w:val="yellow"/>
        </w:rPr>
      </w:pPr>
    </w:p>
    <w:p w14:paraId="2B288058" w14:textId="77777777" w:rsidR="00024AEA" w:rsidRPr="00BF2132" w:rsidRDefault="00024AEA" w:rsidP="00024AEA">
      <w:pPr>
        <w:widowControl w:val="0"/>
        <w:spacing w:after="0" w:line="240" w:lineRule="auto"/>
        <w:ind w:left="360"/>
        <w:jc w:val="both"/>
        <w:rPr>
          <w:rFonts w:ascii="Times New Roman" w:hAnsi="Times New Roman" w:cs="Times New Roman"/>
          <w:b/>
        </w:rPr>
      </w:pPr>
      <w:r w:rsidRPr="00BF2132">
        <w:rPr>
          <w:rFonts w:ascii="Times New Roman" w:hAnsi="Times New Roman" w:cs="Times New Roman"/>
          <w:b/>
        </w:rPr>
        <w:t>Revenues</w:t>
      </w:r>
    </w:p>
    <w:p w14:paraId="7A579026" w14:textId="30FB7D85" w:rsidR="00237FBD" w:rsidRPr="005D25CC" w:rsidRDefault="00024AEA" w:rsidP="00237FBD">
      <w:pPr>
        <w:widowControl w:val="0"/>
        <w:spacing w:after="0" w:line="240" w:lineRule="auto"/>
        <w:ind w:left="360"/>
        <w:jc w:val="both"/>
        <w:rPr>
          <w:rFonts w:ascii="Times New Roman" w:hAnsi="Times New Roman" w:cs="Times New Roman"/>
          <w:highlight w:val="yellow"/>
        </w:rPr>
      </w:pPr>
      <w:r w:rsidRPr="00BF2132">
        <w:rPr>
          <w:rFonts w:ascii="Times New Roman" w:hAnsi="Times New Roman" w:cs="Times New Roman"/>
        </w:rPr>
        <w:t xml:space="preserve">We </w:t>
      </w:r>
      <w:r w:rsidR="004F3A1C" w:rsidRPr="00BF2132">
        <w:rPr>
          <w:rFonts w:ascii="Times New Roman" w:hAnsi="Times New Roman" w:cs="Times New Roman"/>
        </w:rPr>
        <w:t xml:space="preserve">have </w:t>
      </w:r>
      <w:r w:rsidRPr="00BF2132">
        <w:rPr>
          <w:rFonts w:ascii="Times New Roman" w:hAnsi="Times New Roman" w:cs="Times New Roman"/>
        </w:rPr>
        <w:t>reviewed and analyzed the net operating revenues in the historical and projected financial information.</w:t>
      </w:r>
      <w:r w:rsidR="00EB19F1" w:rsidRPr="00BF2132">
        <w:rPr>
          <w:rFonts w:ascii="Times New Roman" w:hAnsi="Times New Roman" w:cs="Times New Roman"/>
        </w:rPr>
        <w:t xml:space="preserve"> </w:t>
      </w:r>
      <w:r w:rsidR="005B2B25" w:rsidRPr="00BF2132">
        <w:rPr>
          <w:rFonts w:ascii="Times New Roman" w:hAnsi="Times New Roman" w:cs="Times New Roman"/>
        </w:rPr>
        <w:t>For the purposes of this pro forma, v</w:t>
      </w:r>
      <w:r w:rsidR="00EB19F1" w:rsidRPr="00BF2132">
        <w:rPr>
          <w:rFonts w:ascii="Times New Roman" w:hAnsi="Times New Roman" w:cs="Times New Roman"/>
        </w:rPr>
        <w:t>olume</w:t>
      </w:r>
      <w:r w:rsidR="00835A15" w:rsidRPr="00BF2132">
        <w:rPr>
          <w:rFonts w:ascii="Times New Roman" w:hAnsi="Times New Roman" w:cs="Times New Roman"/>
        </w:rPr>
        <w:t xml:space="preserve"> </w:t>
      </w:r>
      <w:r w:rsidR="00EB19F1" w:rsidRPr="00BF2132">
        <w:rPr>
          <w:rFonts w:ascii="Times New Roman" w:hAnsi="Times New Roman" w:cs="Times New Roman"/>
        </w:rPr>
        <w:t xml:space="preserve">is broken out between </w:t>
      </w:r>
      <w:r w:rsidR="00BF2132" w:rsidRPr="00BF2132">
        <w:rPr>
          <w:rFonts w:ascii="Times New Roman" w:hAnsi="Times New Roman" w:cs="Times New Roman"/>
        </w:rPr>
        <w:t>conformal radiation therapy (“3D”), intensity modulate</w:t>
      </w:r>
      <w:r w:rsidR="003812FE">
        <w:rPr>
          <w:rFonts w:ascii="Times New Roman" w:hAnsi="Times New Roman" w:cs="Times New Roman"/>
        </w:rPr>
        <w:t xml:space="preserve">d radiation </w:t>
      </w:r>
      <w:r w:rsidR="003812FE" w:rsidRPr="00386896">
        <w:rPr>
          <w:rFonts w:ascii="Times New Roman" w:hAnsi="Times New Roman" w:cs="Times New Roman"/>
        </w:rPr>
        <w:t xml:space="preserve">therapy </w:t>
      </w:r>
      <w:r w:rsidR="00BF2132" w:rsidRPr="00386896">
        <w:rPr>
          <w:rFonts w:ascii="Times New Roman" w:hAnsi="Times New Roman" w:cs="Times New Roman"/>
        </w:rPr>
        <w:t>(“IMRT”), and stereotactic body radiation therapy (“SBRT”)</w:t>
      </w:r>
      <w:r w:rsidR="0050575A" w:rsidRPr="00386896">
        <w:rPr>
          <w:rFonts w:ascii="Times New Roman" w:hAnsi="Times New Roman" w:cs="Times New Roman"/>
        </w:rPr>
        <w:t xml:space="preserve"> as the charges per </w:t>
      </w:r>
      <w:r w:rsidR="00B40A36" w:rsidRPr="00386896">
        <w:rPr>
          <w:rFonts w:ascii="Times New Roman" w:hAnsi="Times New Roman" w:cs="Times New Roman"/>
        </w:rPr>
        <w:t>treatment</w:t>
      </w:r>
      <w:r w:rsidR="0050575A" w:rsidRPr="00386896">
        <w:rPr>
          <w:rFonts w:ascii="Times New Roman" w:hAnsi="Times New Roman" w:cs="Times New Roman"/>
        </w:rPr>
        <w:t xml:space="preserve"> vary</w:t>
      </w:r>
      <w:r w:rsidR="00EB19F1" w:rsidRPr="00386896">
        <w:rPr>
          <w:rFonts w:ascii="Times New Roman" w:hAnsi="Times New Roman" w:cs="Times New Roman"/>
        </w:rPr>
        <w:t xml:space="preserve">. </w:t>
      </w:r>
      <w:r w:rsidR="00B26811" w:rsidRPr="00386896">
        <w:rPr>
          <w:rFonts w:ascii="Times New Roman" w:hAnsi="Times New Roman" w:cs="Times New Roman"/>
        </w:rPr>
        <w:t>Based on discussions with management, net revenue is based on the average of Commercial (</w:t>
      </w:r>
      <w:r w:rsidR="00386896" w:rsidRPr="00386896">
        <w:rPr>
          <w:rFonts w:ascii="Times New Roman" w:hAnsi="Times New Roman" w:cs="Times New Roman"/>
        </w:rPr>
        <w:t>24</w:t>
      </w:r>
      <w:r w:rsidR="00B26811" w:rsidRPr="00386896">
        <w:rPr>
          <w:rFonts w:ascii="Times New Roman" w:hAnsi="Times New Roman" w:cs="Times New Roman"/>
        </w:rPr>
        <w:t>%)</w:t>
      </w:r>
      <w:r w:rsidR="00203617" w:rsidRPr="00386896">
        <w:rPr>
          <w:rFonts w:ascii="Times New Roman" w:hAnsi="Times New Roman" w:cs="Times New Roman"/>
        </w:rPr>
        <w:t>, Medicare (</w:t>
      </w:r>
      <w:r w:rsidR="00386896" w:rsidRPr="00386896">
        <w:rPr>
          <w:rFonts w:ascii="Times New Roman" w:hAnsi="Times New Roman" w:cs="Times New Roman"/>
        </w:rPr>
        <w:t>9</w:t>
      </w:r>
      <w:r w:rsidR="00203617" w:rsidRPr="00386896">
        <w:rPr>
          <w:rFonts w:ascii="Times New Roman" w:hAnsi="Times New Roman" w:cs="Times New Roman"/>
        </w:rPr>
        <w:t xml:space="preserve">%), and </w:t>
      </w:r>
      <w:r w:rsidR="00B5696F" w:rsidRPr="00386896">
        <w:rPr>
          <w:rFonts w:ascii="Times New Roman" w:hAnsi="Times New Roman" w:cs="Times New Roman"/>
        </w:rPr>
        <w:t>Medicaid/other (</w:t>
      </w:r>
      <w:r w:rsidR="00386896" w:rsidRPr="00386896">
        <w:rPr>
          <w:rFonts w:ascii="Times New Roman" w:hAnsi="Times New Roman" w:cs="Times New Roman"/>
        </w:rPr>
        <w:t>67</w:t>
      </w:r>
      <w:r w:rsidR="00B5696F" w:rsidRPr="00386896">
        <w:rPr>
          <w:rFonts w:ascii="Times New Roman" w:hAnsi="Times New Roman" w:cs="Times New Roman"/>
        </w:rPr>
        <w:t>%) reimbursement</w:t>
      </w:r>
      <w:r w:rsidR="00B5696F" w:rsidRPr="0050344B">
        <w:rPr>
          <w:rFonts w:ascii="Times New Roman" w:hAnsi="Times New Roman" w:cs="Times New Roman"/>
        </w:rPr>
        <w:t xml:space="preserve"> rates. </w:t>
      </w:r>
      <w:r w:rsidR="001C3FC2" w:rsidRPr="0050344B">
        <w:rPr>
          <w:rFonts w:ascii="Times New Roman" w:hAnsi="Times New Roman" w:cs="Times New Roman"/>
        </w:rPr>
        <w:t>Management</w:t>
      </w:r>
      <w:r w:rsidR="001C3FC2">
        <w:rPr>
          <w:rFonts w:ascii="Times New Roman" w:hAnsi="Times New Roman" w:cs="Times New Roman"/>
        </w:rPr>
        <w:t xml:space="preserve"> has projected a </w:t>
      </w:r>
      <w:r w:rsidR="00D575E8">
        <w:rPr>
          <w:rFonts w:ascii="Times New Roman" w:hAnsi="Times New Roman" w:cs="Times New Roman"/>
        </w:rPr>
        <w:t>3</w:t>
      </w:r>
      <w:r w:rsidR="001C3FC2">
        <w:rPr>
          <w:rFonts w:ascii="Times New Roman" w:hAnsi="Times New Roman" w:cs="Times New Roman"/>
        </w:rPr>
        <w:t>% increase annually in net revenue per treatment type</w:t>
      </w:r>
      <w:r w:rsidR="00886D47">
        <w:rPr>
          <w:rFonts w:ascii="Times New Roman" w:hAnsi="Times New Roman" w:cs="Times New Roman"/>
        </w:rPr>
        <w:t xml:space="preserve"> for the fiscal years ending September 30, </w:t>
      </w:r>
      <w:proofErr w:type="gramStart"/>
      <w:r w:rsidR="00886D47">
        <w:rPr>
          <w:rFonts w:ascii="Times New Roman" w:hAnsi="Times New Roman" w:cs="Times New Roman"/>
        </w:rPr>
        <w:t>2024</w:t>
      </w:r>
      <w:proofErr w:type="gramEnd"/>
      <w:r w:rsidR="00886D47">
        <w:rPr>
          <w:rFonts w:ascii="Times New Roman" w:hAnsi="Times New Roman" w:cs="Times New Roman"/>
        </w:rPr>
        <w:t xml:space="preserve"> through September 30, 2028.</w:t>
      </w:r>
      <w:r w:rsidR="00D437EE">
        <w:rPr>
          <w:rFonts w:ascii="Times New Roman" w:hAnsi="Times New Roman" w:cs="Times New Roman"/>
        </w:rPr>
        <w:t xml:space="preserve"> </w:t>
      </w:r>
    </w:p>
    <w:p w14:paraId="327D5783" w14:textId="77777777" w:rsidR="00826A2E" w:rsidRDefault="00826A2E" w:rsidP="003E2C9D">
      <w:pPr>
        <w:widowControl w:val="0"/>
        <w:spacing w:after="0" w:line="180" w:lineRule="auto"/>
        <w:ind w:left="360"/>
        <w:jc w:val="both"/>
        <w:rPr>
          <w:rFonts w:ascii="Times New Roman" w:hAnsi="Times New Roman" w:cs="Times New Roman"/>
        </w:rPr>
      </w:pPr>
    </w:p>
    <w:p w14:paraId="6F7F6032" w14:textId="61AE48AD" w:rsidR="00E158EB" w:rsidRDefault="00E158EB" w:rsidP="00D075F6">
      <w:pPr>
        <w:widowControl w:val="0"/>
        <w:spacing w:after="0" w:line="240" w:lineRule="auto"/>
        <w:ind w:left="360"/>
        <w:jc w:val="both"/>
        <w:rPr>
          <w:rFonts w:ascii="Times New Roman" w:hAnsi="Times New Roman" w:cs="Times New Roman"/>
          <w:shd w:val="clear" w:color="auto" w:fill="FFFF00"/>
        </w:rPr>
      </w:pPr>
      <w:r w:rsidRPr="00D35B7F">
        <w:rPr>
          <w:rFonts w:ascii="Times New Roman" w:hAnsi="Times New Roman" w:cs="Times New Roman"/>
        </w:rPr>
        <w:t xml:space="preserve">The volume disclosed in the table below </w:t>
      </w:r>
      <w:r w:rsidR="00D35B7F" w:rsidRPr="00D35B7F">
        <w:rPr>
          <w:rFonts w:ascii="Times New Roman" w:hAnsi="Times New Roman" w:cs="Times New Roman"/>
        </w:rPr>
        <w:t>represents total</w:t>
      </w:r>
      <w:r w:rsidR="00210AB0">
        <w:rPr>
          <w:rFonts w:ascii="Times New Roman" w:hAnsi="Times New Roman" w:cs="Times New Roman"/>
        </w:rPr>
        <w:t xml:space="preserve"> new starts and</w:t>
      </w:r>
      <w:r w:rsidR="00D35B7F" w:rsidRPr="00D35B7F">
        <w:rPr>
          <w:rFonts w:ascii="Times New Roman" w:hAnsi="Times New Roman" w:cs="Times New Roman"/>
        </w:rPr>
        <w:t xml:space="preserve"> treatments </w:t>
      </w:r>
      <w:r w:rsidR="00584CED">
        <w:rPr>
          <w:rFonts w:ascii="Times New Roman" w:hAnsi="Times New Roman" w:cs="Times New Roman"/>
        </w:rPr>
        <w:t xml:space="preserve">projected to be performed </w:t>
      </w:r>
      <w:r w:rsidR="00133985">
        <w:rPr>
          <w:rFonts w:ascii="Times New Roman" w:hAnsi="Times New Roman" w:cs="Times New Roman"/>
        </w:rPr>
        <w:t>using the</w:t>
      </w:r>
      <w:r w:rsidR="00F2731F">
        <w:rPr>
          <w:rFonts w:ascii="Times New Roman" w:hAnsi="Times New Roman" w:cs="Times New Roman"/>
        </w:rPr>
        <w:t xml:space="preserve"> reactivated</w:t>
      </w:r>
      <w:r w:rsidR="00133985">
        <w:rPr>
          <w:rFonts w:ascii="Times New Roman" w:hAnsi="Times New Roman" w:cs="Times New Roman"/>
        </w:rPr>
        <w:t xml:space="preserve"> linear accelerator </w:t>
      </w:r>
      <w:r w:rsidR="00402B08">
        <w:rPr>
          <w:rFonts w:ascii="Times New Roman" w:hAnsi="Times New Roman" w:cs="Times New Roman"/>
        </w:rPr>
        <w:t xml:space="preserve">for </w:t>
      </w:r>
      <w:r w:rsidR="00233E62">
        <w:rPr>
          <w:rFonts w:ascii="Times New Roman" w:hAnsi="Times New Roman" w:cs="Times New Roman"/>
        </w:rPr>
        <w:t>the</w:t>
      </w:r>
      <w:r w:rsidR="00D74D69">
        <w:rPr>
          <w:rFonts w:ascii="Times New Roman" w:hAnsi="Times New Roman" w:cs="Times New Roman"/>
        </w:rPr>
        <w:t xml:space="preserve"> </w:t>
      </w:r>
      <w:r w:rsidR="00D06512">
        <w:rPr>
          <w:rFonts w:ascii="Times New Roman" w:hAnsi="Times New Roman" w:cs="Times New Roman"/>
        </w:rPr>
        <w:t xml:space="preserve">fiscal </w:t>
      </w:r>
      <w:r w:rsidR="00402B08">
        <w:rPr>
          <w:rFonts w:ascii="Times New Roman" w:hAnsi="Times New Roman" w:cs="Times New Roman"/>
        </w:rPr>
        <w:t xml:space="preserve">years ending September 30, </w:t>
      </w:r>
      <w:proofErr w:type="gramStart"/>
      <w:r w:rsidR="00402B08">
        <w:rPr>
          <w:rFonts w:ascii="Times New Roman" w:hAnsi="Times New Roman" w:cs="Times New Roman"/>
        </w:rPr>
        <w:t>2024</w:t>
      </w:r>
      <w:proofErr w:type="gramEnd"/>
      <w:r w:rsidR="00402B08">
        <w:rPr>
          <w:rFonts w:ascii="Times New Roman" w:hAnsi="Times New Roman" w:cs="Times New Roman"/>
        </w:rPr>
        <w:t xml:space="preserve"> through September 30, 2028</w:t>
      </w:r>
      <w:r w:rsidR="00E96A2E">
        <w:rPr>
          <w:rFonts w:ascii="Times New Roman" w:hAnsi="Times New Roman" w:cs="Times New Roman"/>
        </w:rPr>
        <w:t xml:space="preserve">. </w:t>
      </w:r>
      <w:r w:rsidR="00D830B1">
        <w:rPr>
          <w:rFonts w:ascii="Times New Roman" w:hAnsi="Times New Roman" w:cs="Times New Roman"/>
        </w:rPr>
        <w:t xml:space="preserve">Management </w:t>
      </w:r>
      <w:r w:rsidR="007A1581">
        <w:rPr>
          <w:rFonts w:ascii="Times New Roman" w:hAnsi="Times New Roman" w:cs="Times New Roman"/>
        </w:rPr>
        <w:t>assumes</w:t>
      </w:r>
      <w:r w:rsidR="00A22E04">
        <w:rPr>
          <w:rFonts w:ascii="Times New Roman" w:hAnsi="Times New Roman" w:cs="Times New Roman"/>
        </w:rPr>
        <w:t xml:space="preserve"> any increase in 3D, IMRT, or SBRT volume</w:t>
      </w:r>
      <w:r w:rsidR="00316956">
        <w:rPr>
          <w:rFonts w:ascii="Times New Roman" w:hAnsi="Times New Roman" w:cs="Times New Roman"/>
        </w:rPr>
        <w:t xml:space="preserve"> </w:t>
      </w:r>
      <w:r w:rsidR="00D830B1">
        <w:rPr>
          <w:rFonts w:ascii="Times New Roman" w:hAnsi="Times New Roman" w:cs="Times New Roman"/>
        </w:rPr>
        <w:t>over the current volume as of the</w:t>
      </w:r>
      <w:r w:rsidR="00381525">
        <w:rPr>
          <w:rFonts w:ascii="Times New Roman" w:hAnsi="Times New Roman" w:cs="Times New Roman"/>
        </w:rPr>
        <w:t xml:space="preserve"> fiscal</w:t>
      </w:r>
      <w:r w:rsidR="00D830B1">
        <w:rPr>
          <w:rFonts w:ascii="Times New Roman" w:hAnsi="Times New Roman" w:cs="Times New Roman"/>
        </w:rPr>
        <w:t xml:space="preserve"> year ended September 30, </w:t>
      </w:r>
      <w:proofErr w:type="gramStart"/>
      <w:r w:rsidR="00D830B1">
        <w:rPr>
          <w:rFonts w:ascii="Times New Roman" w:hAnsi="Times New Roman" w:cs="Times New Roman"/>
        </w:rPr>
        <w:t>2022</w:t>
      </w:r>
      <w:proofErr w:type="gramEnd"/>
      <w:r w:rsidR="00D830B1">
        <w:rPr>
          <w:rFonts w:ascii="Times New Roman" w:hAnsi="Times New Roman" w:cs="Times New Roman"/>
        </w:rPr>
        <w:t xml:space="preserve"> will be performed using the </w:t>
      </w:r>
      <w:r w:rsidR="009431BC">
        <w:rPr>
          <w:rFonts w:ascii="Times New Roman" w:hAnsi="Times New Roman" w:cs="Times New Roman"/>
        </w:rPr>
        <w:t>reactivated</w:t>
      </w:r>
      <w:r w:rsidR="00D830B1">
        <w:rPr>
          <w:rFonts w:ascii="Times New Roman" w:hAnsi="Times New Roman" w:cs="Times New Roman"/>
        </w:rPr>
        <w:t xml:space="preserve"> linear accelerator. </w:t>
      </w:r>
      <w:r w:rsidR="00233E62" w:rsidRPr="001518AB">
        <w:rPr>
          <w:rFonts w:ascii="Times New Roman" w:hAnsi="Times New Roman" w:cs="Times New Roman"/>
        </w:rPr>
        <w:t xml:space="preserve">Based on discussions with </w:t>
      </w:r>
      <w:r w:rsidR="00233E62" w:rsidRPr="008C45CE">
        <w:rPr>
          <w:rFonts w:ascii="Times New Roman" w:hAnsi="Times New Roman" w:cs="Times New Roman"/>
        </w:rPr>
        <w:t>Management</w:t>
      </w:r>
      <w:r w:rsidR="00552DEB" w:rsidRPr="008C45CE">
        <w:rPr>
          <w:rFonts w:ascii="Times New Roman" w:hAnsi="Times New Roman" w:cs="Times New Roman"/>
        </w:rPr>
        <w:t xml:space="preserve"> </w:t>
      </w:r>
      <w:r w:rsidR="00233E62" w:rsidRPr="008C45CE">
        <w:rPr>
          <w:rFonts w:ascii="Times New Roman" w:hAnsi="Times New Roman" w:cs="Times New Roman"/>
        </w:rPr>
        <w:t>and review of the information provided, 3D</w:t>
      </w:r>
      <w:r w:rsidR="00947842" w:rsidRPr="008C45CE">
        <w:rPr>
          <w:rFonts w:ascii="Times New Roman" w:hAnsi="Times New Roman" w:cs="Times New Roman"/>
        </w:rPr>
        <w:t xml:space="preserve"> </w:t>
      </w:r>
      <w:r w:rsidR="00EB6D37">
        <w:rPr>
          <w:rFonts w:ascii="Times New Roman" w:hAnsi="Times New Roman" w:cs="Times New Roman"/>
        </w:rPr>
        <w:t xml:space="preserve">new starts </w:t>
      </w:r>
      <w:r w:rsidR="00233E62" w:rsidRPr="008C45CE">
        <w:rPr>
          <w:rFonts w:ascii="Times New Roman" w:hAnsi="Times New Roman" w:cs="Times New Roman"/>
        </w:rPr>
        <w:t xml:space="preserve">require an average of </w:t>
      </w:r>
      <w:r w:rsidR="00947842" w:rsidRPr="008C45CE">
        <w:rPr>
          <w:rFonts w:ascii="Times New Roman" w:hAnsi="Times New Roman" w:cs="Times New Roman"/>
        </w:rPr>
        <w:t>12</w:t>
      </w:r>
      <w:r w:rsidR="00233E62" w:rsidRPr="008C45CE">
        <w:rPr>
          <w:rFonts w:ascii="Times New Roman" w:hAnsi="Times New Roman" w:cs="Times New Roman"/>
        </w:rPr>
        <w:t xml:space="preserve"> treatments</w:t>
      </w:r>
      <w:r w:rsidR="00947842" w:rsidRPr="008C45CE">
        <w:rPr>
          <w:rFonts w:ascii="Times New Roman" w:hAnsi="Times New Roman" w:cs="Times New Roman"/>
        </w:rPr>
        <w:t xml:space="preserve">, IMRT </w:t>
      </w:r>
      <w:r w:rsidR="00EB6D37">
        <w:rPr>
          <w:rFonts w:ascii="Times New Roman" w:hAnsi="Times New Roman" w:cs="Times New Roman"/>
        </w:rPr>
        <w:t>new starts</w:t>
      </w:r>
      <w:r w:rsidR="00947842" w:rsidRPr="008C45CE">
        <w:rPr>
          <w:rFonts w:ascii="Times New Roman" w:hAnsi="Times New Roman" w:cs="Times New Roman"/>
        </w:rPr>
        <w:t xml:space="preserve"> require </w:t>
      </w:r>
      <w:r w:rsidR="00947842" w:rsidRPr="007520A4">
        <w:rPr>
          <w:rFonts w:ascii="Times New Roman" w:hAnsi="Times New Roman" w:cs="Times New Roman"/>
        </w:rPr>
        <w:t xml:space="preserve">an average of 30 treatments, </w:t>
      </w:r>
      <w:r w:rsidR="00233E62" w:rsidRPr="007520A4">
        <w:rPr>
          <w:rFonts w:ascii="Times New Roman" w:hAnsi="Times New Roman" w:cs="Times New Roman"/>
        </w:rPr>
        <w:t xml:space="preserve">and SBRT </w:t>
      </w:r>
      <w:r w:rsidR="00EB6D37" w:rsidRPr="007520A4">
        <w:rPr>
          <w:rFonts w:ascii="Times New Roman" w:hAnsi="Times New Roman" w:cs="Times New Roman"/>
        </w:rPr>
        <w:t xml:space="preserve">new </w:t>
      </w:r>
      <w:r w:rsidR="00670685" w:rsidRPr="007520A4">
        <w:rPr>
          <w:rFonts w:ascii="Times New Roman" w:hAnsi="Times New Roman" w:cs="Times New Roman"/>
        </w:rPr>
        <w:t>starts</w:t>
      </w:r>
      <w:r w:rsidR="00233E62" w:rsidRPr="007520A4">
        <w:rPr>
          <w:rFonts w:ascii="Times New Roman" w:hAnsi="Times New Roman" w:cs="Times New Roman"/>
        </w:rPr>
        <w:t xml:space="preserve"> require an average of </w:t>
      </w:r>
      <w:r w:rsidR="00AC06EB" w:rsidRPr="007520A4">
        <w:rPr>
          <w:rFonts w:ascii="Times New Roman" w:hAnsi="Times New Roman" w:cs="Times New Roman"/>
        </w:rPr>
        <w:t>4</w:t>
      </w:r>
      <w:r w:rsidR="00233E62" w:rsidRPr="007520A4">
        <w:rPr>
          <w:rFonts w:ascii="Times New Roman" w:hAnsi="Times New Roman" w:cs="Times New Roman"/>
        </w:rPr>
        <w:t xml:space="preserve"> treatments. </w:t>
      </w:r>
      <w:r w:rsidR="00B5696F" w:rsidRPr="007520A4">
        <w:rPr>
          <w:rFonts w:ascii="Times New Roman" w:hAnsi="Times New Roman" w:cs="Times New Roman"/>
        </w:rPr>
        <w:t xml:space="preserve">Annual growth for 3D and IMRT is estimated to be 2% for the fiscal years ending September 30, </w:t>
      </w:r>
      <w:proofErr w:type="gramStart"/>
      <w:r w:rsidR="00B5696F" w:rsidRPr="007520A4">
        <w:rPr>
          <w:rFonts w:ascii="Times New Roman" w:hAnsi="Times New Roman" w:cs="Times New Roman"/>
        </w:rPr>
        <w:t>202</w:t>
      </w:r>
      <w:r w:rsidR="00D552BF" w:rsidRPr="007520A4">
        <w:rPr>
          <w:rFonts w:ascii="Times New Roman" w:hAnsi="Times New Roman" w:cs="Times New Roman"/>
        </w:rPr>
        <w:t>4</w:t>
      </w:r>
      <w:proofErr w:type="gramEnd"/>
      <w:r w:rsidR="00B5696F" w:rsidRPr="007520A4">
        <w:rPr>
          <w:rFonts w:ascii="Times New Roman" w:hAnsi="Times New Roman" w:cs="Times New Roman"/>
        </w:rPr>
        <w:t xml:space="preserve"> through September 30, 2028. Annual growth for SBRT treatments is estimated to be </w:t>
      </w:r>
      <w:r w:rsidR="007520A4" w:rsidRPr="007520A4">
        <w:rPr>
          <w:rFonts w:ascii="Times New Roman" w:hAnsi="Times New Roman" w:cs="Times New Roman"/>
        </w:rPr>
        <w:t>43</w:t>
      </w:r>
      <w:r w:rsidR="00B5696F" w:rsidRPr="007520A4">
        <w:rPr>
          <w:rFonts w:ascii="Times New Roman" w:hAnsi="Times New Roman" w:cs="Times New Roman"/>
        </w:rPr>
        <w:t xml:space="preserve">% for the year ending September 30, 2024, </w:t>
      </w:r>
      <w:r w:rsidR="007520A4" w:rsidRPr="007520A4">
        <w:rPr>
          <w:rFonts w:ascii="Times New Roman" w:hAnsi="Times New Roman" w:cs="Times New Roman"/>
        </w:rPr>
        <w:t>23</w:t>
      </w:r>
      <w:r w:rsidR="00B5696F" w:rsidRPr="007520A4">
        <w:rPr>
          <w:rFonts w:ascii="Times New Roman" w:hAnsi="Times New Roman" w:cs="Times New Roman"/>
        </w:rPr>
        <w:t xml:space="preserve">% for the year ending September 30, 2025, </w:t>
      </w:r>
      <w:r w:rsidR="007520A4" w:rsidRPr="007520A4">
        <w:rPr>
          <w:rFonts w:ascii="Times New Roman" w:hAnsi="Times New Roman" w:cs="Times New Roman"/>
        </w:rPr>
        <w:t xml:space="preserve">12% for the year ending September 30, 2026, </w:t>
      </w:r>
      <w:r w:rsidR="00B5696F" w:rsidRPr="007520A4">
        <w:rPr>
          <w:rFonts w:ascii="Times New Roman" w:hAnsi="Times New Roman" w:cs="Times New Roman"/>
        </w:rPr>
        <w:t xml:space="preserve">and </w:t>
      </w:r>
      <w:r w:rsidR="007520A4" w:rsidRPr="007520A4">
        <w:rPr>
          <w:rFonts w:ascii="Times New Roman" w:hAnsi="Times New Roman" w:cs="Times New Roman"/>
        </w:rPr>
        <w:t>5</w:t>
      </w:r>
      <w:r w:rsidR="00B5696F" w:rsidRPr="007520A4">
        <w:rPr>
          <w:rFonts w:ascii="Times New Roman" w:hAnsi="Times New Roman" w:cs="Times New Roman"/>
        </w:rPr>
        <w:t xml:space="preserve">% for fiscal years ending September 30, </w:t>
      </w:r>
      <w:proofErr w:type="gramStart"/>
      <w:r w:rsidR="00B5696F" w:rsidRPr="007520A4">
        <w:rPr>
          <w:rFonts w:ascii="Times New Roman" w:hAnsi="Times New Roman" w:cs="Times New Roman"/>
        </w:rPr>
        <w:t>202</w:t>
      </w:r>
      <w:r w:rsidR="007520A4" w:rsidRPr="007520A4">
        <w:rPr>
          <w:rFonts w:ascii="Times New Roman" w:hAnsi="Times New Roman" w:cs="Times New Roman"/>
        </w:rPr>
        <w:t>7</w:t>
      </w:r>
      <w:proofErr w:type="gramEnd"/>
      <w:r w:rsidR="00B5696F" w:rsidRPr="007520A4">
        <w:rPr>
          <w:rFonts w:ascii="Times New Roman" w:hAnsi="Times New Roman" w:cs="Times New Roman"/>
        </w:rPr>
        <w:t xml:space="preserve"> </w:t>
      </w:r>
      <w:r w:rsidR="007520A4" w:rsidRPr="007520A4">
        <w:rPr>
          <w:rFonts w:ascii="Times New Roman" w:hAnsi="Times New Roman" w:cs="Times New Roman"/>
        </w:rPr>
        <w:t>and 2</w:t>
      </w:r>
      <w:r w:rsidR="00B5696F" w:rsidRPr="007520A4">
        <w:rPr>
          <w:rFonts w:ascii="Times New Roman" w:hAnsi="Times New Roman" w:cs="Times New Roman"/>
        </w:rPr>
        <w:t>028.</w:t>
      </w:r>
    </w:p>
    <w:p w14:paraId="0BC57377" w14:textId="77777777" w:rsidR="00AB21DD" w:rsidRPr="005D25CC" w:rsidRDefault="00AB21DD" w:rsidP="003E2C9D">
      <w:pPr>
        <w:widowControl w:val="0"/>
        <w:spacing w:after="0" w:line="180" w:lineRule="auto"/>
        <w:jc w:val="both"/>
        <w:rPr>
          <w:rFonts w:ascii="Times New Roman" w:hAnsi="Times New Roman" w:cs="Times New Roman"/>
          <w:highlight w:val="yellow"/>
        </w:rPr>
      </w:pPr>
      <w:bookmarkStart w:id="5" w:name="_Hlk529540330"/>
    </w:p>
    <w:p w14:paraId="23C84D18" w14:textId="42EA45A1" w:rsidR="00AB21DD" w:rsidRPr="005D25CC" w:rsidRDefault="00AB21DD" w:rsidP="00AB21DD">
      <w:pPr>
        <w:widowControl w:val="0"/>
        <w:spacing w:after="0" w:line="240" w:lineRule="auto"/>
        <w:ind w:left="360"/>
        <w:jc w:val="both"/>
        <w:rPr>
          <w:rFonts w:ascii="Times New Roman" w:hAnsi="Times New Roman" w:cs="Times New Roman"/>
          <w:highlight w:val="yellow"/>
        </w:rPr>
      </w:pPr>
      <w:r w:rsidRPr="001C657C">
        <w:rPr>
          <w:rFonts w:ascii="Times New Roman" w:hAnsi="Times New Roman" w:cs="Times New Roman"/>
        </w:rPr>
        <w:t xml:space="preserve">The table below provides a summary of some of the key information for the projected </w:t>
      </w:r>
      <w:r w:rsidR="00EA4ADC">
        <w:rPr>
          <w:rFonts w:ascii="Times New Roman" w:hAnsi="Times New Roman" w:cs="Times New Roman"/>
        </w:rPr>
        <w:t xml:space="preserve">incremental </w:t>
      </w:r>
      <w:r w:rsidRPr="001C657C">
        <w:rPr>
          <w:rFonts w:ascii="Times New Roman" w:hAnsi="Times New Roman" w:cs="Times New Roman"/>
        </w:rPr>
        <w:t>volume and revenues by year</w:t>
      </w:r>
      <w:r w:rsidR="007C290A">
        <w:rPr>
          <w:rFonts w:ascii="Times New Roman" w:hAnsi="Times New Roman" w:cs="Times New Roman"/>
        </w:rPr>
        <w:t xml:space="preserve"> </w:t>
      </w:r>
      <w:r w:rsidR="00E5385F">
        <w:rPr>
          <w:rFonts w:ascii="Times New Roman" w:hAnsi="Times New Roman" w:cs="Times New Roman"/>
        </w:rPr>
        <w:t xml:space="preserve">for the reactivated linear accelerator </w:t>
      </w:r>
      <w:r w:rsidR="007C290A">
        <w:rPr>
          <w:rFonts w:ascii="Times New Roman" w:hAnsi="Times New Roman" w:cs="Times New Roman"/>
        </w:rPr>
        <w:t>(fiscal year September)</w:t>
      </w:r>
      <w:r w:rsidRPr="001C657C">
        <w:rPr>
          <w:rFonts w:ascii="Times New Roman" w:hAnsi="Times New Roman" w:cs="Times New Roman"/>
        </w:rPr>
        <w:t xml:space="preserve">: </w:t>
      </w:r>
    </w:p>
    <w:p w14:paraId="564249EA" w14:textId="77777777" w:rsidR="00AB21DD" w:rsidRDefault="00AB21DD" w:rsidP="00AB21DD">
      <w:pPr>
        <w:widowControl w:val="0"/>
        <w:spacing w:after="0" w:line="240" w:lineRule="auto"/>
        <w:ind w:left="360"/>
        <w:jc w:val="both"/>
        <w:rPr>
          <w:rFonts w:ascii="Times New Roman" w:hAnsi="Times New Roman" w:cs="Times New Roman"/>
          <w:color w:val="FF0000"/>
          <w:highlight w:val="yellow"/>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350"/>
        <w:gridCol w:w="1170"/>
        <w:gridCol w:w="1260"/>
        <w:gridCol w:w="1350"/>
        <w:gridCol w:w="1260"/>
        <w:gridCol w:w="1260"/>
      </w:tblGrid>
      <w:tr w:rsidR="00002FE5" w14:paraId="27D16153" w14:textId="77777777" w:rsidTr="00E35C48">
        <w:trPr>
          <w:cantSplit/>
          <w:tblHeader/>
          <w:jc w:val="center"/>
        </w:trPr>
        <w:tc>
          <w:tcPr>
            <w:tcW w:w="2430" w:type="dxa"/>
          </w:tcPr>
          <w:p w14:paraId="3180B3E8" w14:textId="77777777" w:rsidR="00002FE5" w:rsidRDefault="00002FE5">
            <w:pPr>
              <w:jc w:val="center"/>
              <w:rPr>
                <w:rFonts w:cs="Times New Roman"/>
                <w:sz w:val="16"/>
                <w:szCs w:val="16"/>
                <w:highlight w:val="yellow"/>
              </w:rPr>
            </w:pPr>
          </w:p>
          <w:p w14:paraId="31829D2E" w14:textId="77777777" w:rsidR="00002FE5" w:rsidRDefault="00002FE5">
            <w:pPr>
              <w:jc w:val="center"/>
              <w:rPr>
                <w:rFonts w:cs="Times New Roman"/>
                <w:sz w:val="16"/>
                <w:szCs w:val="16"/>
                <w:highlight w:val="yellow"/>
              </w:rPr>
            </w:pPr>
          </w:p>
          <w:p w14:paraId="7AD4B5A4" w14:textId="77777777" w:rsidR="00002FE5" w:rsidRDefault="00002FE5">
            <w:pPr>
              <w:jc w:val="center"/>
              <w:rPr>
                <w:rFonts w:cs="Times New Roman"/>
                <w:sz w:val="16"/>
                <w:szCs w:val="16"/>
                <w:highlight w:val="yellow"/>
                <w:u w:val="single"/>
              </w:rPr>
            </w:pPr>
            <w:r>
              <w:rPr>
                <w:rFonts w:cs="Times New Roman"/>
                <w:sz w:val="16"/>
                <w:szCs w:val="16"/>
                <w:u w:val="single"/>
              </w:rPr>
              <w:t>Category</w:t>
            </w:r>
          </w:p>
        </w:tc>
        <w:tc>
          <w:tcPr>
            <w:tcW w:w="1350" w:type="dxa"/>
            <w:tcBorders>
              <w:top w:val="nil"/>
              <w:left w:val="nil"/>
              <w:bottom w:val="single" w:sz="4" w:space="0" w:color="auto"/>
              <w:right w:val="nil"/>
            </w:tcBorders>
            <w:hideMark/>
          </w:tcPr>
          <w:p w14:paraId="4D493CCE" w14:textId="77777777" w:rsidR="00002FE5" w:rsidRDefault="00002FE5">
            <w:pPr>
              <w:jc w:val="center"/>
              <w:rPr>
                <w:rFonts w:cs="Times New Roman"/>
                <w:sz w:val="16"/>
                <w:szCs w:val="16"/>
              </w:rPr>
            </w:pPr>
            <w:r>
              <w:rPr>
                <w:rFonts w:cs="Times New Roman"/>
                <w:sz w:val="16"/>
                <w:szCs w:val="16"/>
              </w:rPr>
              <w:t>Fiscal year ended September 30, 2022 (actual)</w:t>
            </w:r>
          </w:p>
        </w:tc>
        <w:tc>
          <w:tcPr>
            <w:tcW w:w="1170" w:type="dxa"/>
            <w:tcBorders>
              <w:top w:val="nil"/>
              <w:left w:val="nil"/>
              <w:bottom w:val="single" w:sz="4" w:space="0" w:color="auto"/>
              <w:right w:val="nil"/>
            </w:tcBorders>
            <w:hideMark/>
          </w:tcPr>
          <w:p w14:paraId="0DAE77CA" w14:textId="77777777" w:rsidR="00002FE5" w:rsidRDefault="00002FE5">
            <w:pPr>
              <w:jc w:val="center"/>
              <w:rPr>
                <w:rFonts w:cs="Times New Roman"/>
                <w:sz w:val="16"/>
                <w:szCs w:val="16"/>
              </w:rPr>
            </w:pPr>
            <w:r>
              <w:rPr>
                <w:rFonts w:cs="Times New Roman"/>
                <w:sz w:val="16"/>
                <w:szCs w:val="16"/>
              </w:rPr>
              <w:t>Projected/</w:t>
            </w:r>
          </w:p>
          <w:p w14:paraId="793648C3" w14:textId="77777777" w:rsidR="00002FE5" w:rsidRDefault="00002FE5">
            <w:pPr>
              <w:jc w:val="center"/>
              <w:rPr>
                <w:rFonts w:cs="Times New Roman"/>
                <w:sz w:val="16"/>
                <w:szCs w:val="16"/>
              </w:rPr>
            </w:pPr>
            <w:r>
              <w:rPr>
                <w:rFonts w:cs="Times New Roman"/>
                <w:sz w:val="16"/>
                <w:szCs w:val="16"/>
              </w:rPr>
              <w:t>pro-forma</w:t>
            </w:r>
          </w:p>
          <w:p w14:paraId="32924C83" w14:textId="518A5E43" w:rsidR="00002FE5" w:rsidRDefault="00002FE5">
            <w:pPr>
              <w:jc w:val="center"/>
              <w:rPr>
                <w:rFonts w:cs="Times New Roman"/>
                <w:sz w:val="16"/>
                <w:szCs w:val="16"/>
              </w:rPr>
            </w:pPr>
            <w:r>
              <w:rPr>
                <w:rFonts w:cs="Times New Roman"/>
                <w:sz w:val="16"/>
                <w:szCs w:val="16"/>
              </w:rPr>
              <w:t>2024</w:t>
            </w:r>
            <w:r w:rsidR="00B3687F">
              <w:rPr>
                <w:rFonts w:cs="Times New Roman"/>
                <w:sz w:val="16"/>
                <w:szCs w:val="16"/>
              </w:rPr>
              <w:t xml:space="preserve"> </w:t>
            </w:r>
          </w:p>
        </w:tc>
        <w:tc>
          <w:tcPr>
            <w:tcW w:w="1260" w:type="dxa"/>
            <w:tcBorders>
              <w:top w:val="nil"/>
              <w:left w:val="nil"/>
              <w:bottom w:val="single" w:sz="4" w:space="0" w:color="auto"/>
              <w:right w:val="nil"/>
            </w:tcBorders>
            <w:hideMark/>
          </w:tcPr>
          <w:p w14:paraId="318E182E" w14:textId="77777777" w:rsidR="00002FE5" w:rsidRDefault="00002FE5">
            <w:pPr>
              <w:jc w:val="center"/>
              <w:rPr>
                <w:rFonts w:cs="Times New Roman"/>
                <w:sz w:val="16"/>
                <w:szCs w:val="16"/>
              </w:rPr>
            </w:pPr>
            <w:r>
              <w:rPr>
                <w:rFonts w:cs="Times New Roman"/>
                <w:sz w:val="16"/>
                <w:szCs w:val="16"/>
              </w:rPr>
              <w:t>Projected/</w:t>
            </w:r>
          </w:p>
          <w:p w14:paraId="33426757" w14:textId="77777777" w:rsidR="00002FE5" w:rsidRDefault="00002FE5">
            <w:pPr>
              <w:jc w:val="center"/>
              <w:rPr>
                <w:rFonts w:cs="Times New Roman"/>
                <w:sz w:val="16"/>
                <w:szCs w:val="16"/>
              </w:rPr>
            </w:pPr>
            <w:r>
              <w:rPr>
                <w:rFonts w:cs="Times New Roman"/>
                <w:sz w:val="16"/>
                <w:szCs w:val="16"/>
              </w:rPr>
              <w:t>pro-forma</w:t>
            </w:r>
          </w:p>
          <w:p w14:paraId="15834B27" w14:textId="77777777" w:rsidR="00002FE5" w:rsidRDefault="00002FE5">
            <w:pPr>
              <w:jc w:val="center"/>
              <w:rPr>
                <w:rFonts w:cs="Times New Roman"/>
                <w:sz w:val="16"/>
                <w:szCs w:val="16"/>
              </w:rPr>
            </w:pPr>
            <w:r>
              <w:rPr>
                <w:rFonts w:cs="Times New Roman"/>
                <w:sz w:val="16"/>
                <w:szCs w:val="16"/>
              </w:rPr>
              <w:t>2025</w:t>
            </w:r>
          </w:p>
        </w:tc>
        <w:tc>
          <w:tcPr>
            <w:tcW w:w="1350" w:type="dxa"/>
            <w:tcBorders>
              <w:top w:val="nil"/>
              <w:left w:val="nil"/>
              <w:bottom w:val="single" w:sz="4" w:space="0" w:color="auto"/>
              <w:right w:val="nil"/>
            </w:tcBorders>
            <w:hideMark/>
          </w:tcPr>
          <w:p w14:paraId="68E6C2C6" w14:textId="77777777" w:rsidR="00002FE5" w:rsidRDefault="00002FE5">
            <w:pPr>
              <w:jc w:val="center"/>
              <w:rPr>
                <w:rFonts w:cs="Times New Roman"/>
                <w:sz w:val="16"/>
                <w:szCs w:val="16"/>
              </w:rPr>
            </w:pPr>
            <w:r>
              <w:rPr>
                <w:rFonts w:cs="Times New Roman"/>
                <w:sz w:val="16"/>
                <w:szCs w:val="16"/>
              </w:rPr>
              <w:t>Projected/</w:t>
            </w:r>
          </w:p>
          <w:p w14:paraId="77CB1B30" w14:textId="77777777" w:rsidR="00002FE5" w:rsidRDefault="00002FE5">
            <w:pPr>
              <w:jc w:val="center"/>
              <w:rPr>
                <w:rFonts w:cs="Times New Roman"/>
                <w:sz w:val="16"/>
                <w:szCs w:val="16"/>
              </w:rPr>
            </w:pPr>
            <w:r>
              <w:rPr>
                <w:rFonts w:cs="Times New Roman"/>
                <w:sz w:val="16"/>
                <w:szCs w:val="16"/>
              </w:rPr>
              <w:t>pro-forma</w:t>
            </w:r>
          </w:p>
          <w:p w14:paraId="45DF0AE8" w14:textId="77777777" w:rsidR="00002FE5" w:rsidRDefault="00002FE5">
            <w:pPr>
              <w:jc w:val="center"/>
              <w:rPr>
                <w:rFonts w:cs="Times New Roman"/>
                <w:sz w:val="16"/>
                <w:szCs w:val="16"/>
              </w:rPr>
            </w:pPr>
            <w:r>
              <w:rPr>
                <w:rFonts w:cs="Times New Roman"/>
                <w:sz w:val="16"/>
                <w:szCs w:val="16"/>
              </w:rPr>
              <w:t>2026</w:t>
            </w:r>
          </w:p>
        </w:tc>
        <w:tc>
          <w:tcPr>
            <w:tcW w:w="1260" w:type="dxa"/>
            <w:tcBorders>
              <w:top w:val="nil"/>
              <w:left w:val="nil"/>
              <w:bottom w:val="single" w:sz="4" w:space="0" w:color="auto"/>
              <w:right w:val="nil"/>
            </w:tcBorders>
            <w:hideMark/>
          </w:tcPr>
          <w:p w14:paraId="18B23389" w14:textId="77777777" w:rsidR="00002FE5" w:rsidRDefault="00002FE5">
            <w:pPr>
              <w:jc w:val="center"/>
              <w:rPr>
                <w:rFonts w:cs="Times New Roman"/>
                <w:sz w:val="16"/>
                <w:szCs w:val="16"/>
              </w:rPr>
            </w:pPr>
            <w:r>
              <w:rPr>
                <w:rFonts w:cs="Times New Roman"/>
                <w:sz w:val="16"/>
                <w:szCs w:val="16"/>
              </w:rPr>
              <w:t>Projected/</w:t>
            </w:r>
          </w:p>
          <w:p w14:paraId="076FCCAA" w14:textId="77777777" w:rsidR="00002FE5" w:rsidRDefault="00002FE5">
            <w:pPr>
              <w:jc w:val="center"/>
              <w:rPr>
                <w:rFonts w:cs="Times New Roman"/>
                <w:sz w:val="16"/>
                <w:szCs w:val="16"/>
              </w:rPr>
            </w:pPr>
            <w:r>
              <w:rPr>
                <w:rFonts w:cs="Times New Roman"/>
                <w:sz w:val="16"/>
                <w:szCs w:val="16"/>
              </w:rPr>
              <w:t>pro-forma</w:t>
            </w:r>
          </w:p>
          <w:p w14:paraId="670B4A95" w14:textId="77777777" w:rsidR="00002FE5" w:rsidRDefault="00002FE5">
            <w:pPr>
              <w:jc w:val="center"/>
              <w:rPr>
                <w:rFonts w:cs="Times New Roman"/>
                <w:sz w:val="16"/>
                <w:szCs w:val="16"/>
              </w:rPr>
            </w:pPr>
            <w:r>
              <w:rPr>
                <w:rFonts w:cs="Times New Roman"/>
                <w:sz w:val="16"/>
                <w:szCs w:val="16"/>
              </w:rPr>
              <w:t>2027</w:t>
            </w:r>
          </w:p>
        </w:tc>
        <w:tc>
          <w:tcPr>
            <w:tcW w:w="1260" w:type="dxa"/>
            <w:tcBorders>
              <w:top w:val="nil"/>
              <w:left w:val="nil"/>
              <w:bottom w:val="single" w:sz="4" w:space="0" w:color="auto"/>
              <w:right w:val="nil"/>
            </w:tcBorders>
            <w:hideMark/>
          </w:tcPr>
          <w:p w14:paraId="37391224" w14:textId="77777777" w:rsidR="00002FE5" w:rsidRDefault="00002FE5">
            <w:pPr>
              <w:jc w:val="center"/>
              <w:rPr>
                <w:rFonts w:cs="Times New Roman"/>
                <w:sz w:val="16"/>
                <w:szCs w:val="16"/>
              </w:rPr>
            </w:pPr>
            <w:r>
              <w:rPr>
                <w:rFonts w:cs="Times New Roman"/>
                <w:sz w:val="16"/>
                <w:szCs w:val="16"/>
              </w:rPr>
              <w:t>Projected/</w:t>
            </w:r>
          </w:p>
          <w:p w14:paraId="2379CB04" w14:textId="77777777" w:rsidR="00002FE5" w:rsidRDefault="00002FE5">
            <w:pPr>
              <w:jc w:val="center"/>
              <w:rPr>
                <w:rFonts w:cs="Times New Roman"/>
                <w:sz w:val="16"/>
                <w:szCs w:val="16"/>
              </w:rPr>
            </w:pPr>
            <w:r>
              <w:rPr>
                <w:rFonts w:cs="Times New Roman"/>
                <w:sz w:val="16"/>
                <w:szCs w:val="16"/>
              </w:rPr>
              <w:t>pro-forma</w:t>
            </w:r>
          </w:p>
          <w:p w14:paraId="126E2D6D" w14:textId="77777777" w:rsidR="00002FE5" w:rsidRDefault="00002FE5">
            <w:pPr>
              <w:jc w:val="center"/>
              <w:rPr>
                <w:rFonts w:cs="Times New Roman"/>
                <w:sz w:val="16"/>
                <w:szCs w:val="16"/>
              </w:rPr>
            </w:pPr>
            <w:r>
              <w:rPr>
                <w:rFonts w:cs="Times New Roman"/>
                <w:sz w:val="16"/>
                <w:szCs w:val="16"/>
              </w:rPr>
              <w:t>2028</w:t>
            </w:r>
          </w:p>
        </w:tc>
      </w:tr>
      <w:tr w:rsidR="00002FE5" w14:paraId="22B52F23" w14:textId="77777777" w:rsidTr="00E35C48">
        <w:trPr>
          <w:cantSplit/>
          <w:jc w:val="center"/>
        </w:trPr>
        <w:tc>
          <w:tcPr>
            <w:tcW w:w="2430" w:type="dxa"/>
            <w:shd w:val="clear" w:color="auto" w:fill="auto"/>
            <w:hideMark/>
          </w:tcPr>
          <w:p w14:paraId="268F85DF" w14:textId="77777777" w:rsidR="00002FE5" w:rsidRDefault="00002FE5">
            <w:pPr>
              <w:jc w:val="left"/>
              <w:rPr>
                <w:rFonts w:cs="Times New Roman"/>
                <w:sz w:val="16"/>
                <w:szCs w:val="16"/>
              </w:rPr>
            </w:pPr>
            <w:r>
              <w:rPr>
                <w:rFonts w:cs="Times New Roman"/>
                <w:sz w:val="16"/>
                <w:szCs w:val="16"/>
              </w:rPr>
              <w:t>Volume – New starts – 3D</w:t>
            </w:r>
          </w:p>
        </w:tc>
        <w:tc>
          <w:tcPr>
            <w:tcW w:w="1350" w:type="dxa"/>
            <w:shd w:val="clear" w:color="auto" w:fill="auto"/>
            <w:hideMark/>
          </w:tcPr>
          <w:p w14:paraId="6B0F71E2" w14:textId="77777777" w:rsidR="00002FE5" w:rsidRDefault="00002FE5">
            <w:pPr>
              <w:jc w:val="right"/>
              <w:rPr>
                <w:rFonts w:cs="Times New Roman"/>
                <w:sz w:val="16"/>
                <w:szCs w:val="16"/>
              </w:rPr>
            </w:pPr>
            <w:r>
              <w:rPr>
                <w:rFonts w:cs="Times New Roman"/>
                <w:sz w:val="16"/>
                <w:szCs w:val="16"/>
              </w:rPr>
              <w:t>213</w:t>
            </w:r>
          </w:p>
        </w:tc>
        <w:tc>
          <w:tcPr>
            <w:tcW w:w="1170" w:type="dxa"/>
            <w:shd w:val="clear" w:color="auto" w:fill="auto"/>
            <w:hideMark/>
          </w:tcPr>
          <w:p w14:paraId="4A90DBF1" w14:textId="0F75CEEA" w:rsidR="00002FE5" w:rsidRDefault="00A86F50">
            <w:pPr>
              <w:jc w:val="right"/>
              <w:rPr>
                <w:rFonts w:cs="Times New Roman"/>
                <w:sz w:val="16"/>
                <w:szCs w:val="16"/>
              </w:rPr>
            </w:pPr>
            <w:r>
              <w:rPr>
                <w:rFonts w:cs="Times New Roman"/>
                <w:sz w:val="16"/>
                <w:szCs w:val="16"/>
              </w:rPr>
              <w:t>5</w:t>
            </w:r>
          </w:p>
        </w:tc>
        <w:tc>
          <w:tcPr>
            <w:tcW w:w="1260" w:type="dxa"/>
            <w:shd w:val="clear" w:color="auto" w:fill="auto"/>
            <w:hideMark/>
          </w:tcPr>
          <w:p w14:paraId="32529BAC" w14:textId="6DE50BC0" w:rsidR="00002FE5" w:rsidRDefault="00A86F50">
            <w:pPr>
              <w:jc w:val="right"/>
              <w:rPr>
                <w:rFonts w:cs="Times New Roman"/>
                <w:sz w:val="16"/>
                <w:szCs w:val="16"/>
              </w:rPr>
            </w:pPr>
            <w:r>
              <w:rPr>
                <w:rFonts w:cs="Times New Roman"/>
                <w:sz w:val="16"/>
                <w:szCs w:val="16"/>
              </w:rPr>
              <w:t>10</w:t>
            </w:r>
          </w:p>
        </w:tc>
        <w:tc>
          <w:tcPr>
            <w:tcW w:w="1350" w:type="dxa"/>
            <w:shd w:val="clear" w:color="auto" w:fill="auto"/>
            <w:hideMark/>
          </w:tcPr>
          <w:p w14:paraId="262AD746" w14:textId="4EFC656F" w:rsidR="00002FE5" w:rsidRDefault="00002FE5">
            <w:pPr>
              <w:jc w:val="right"/>
              <w:rPr>
                <w:rFonts w:cs="Times New Roman"/>
                <w:sz w:val="16"/>
                <w:szCs w:val="16"/>
              </w:rPr>
            </w:pPr>
            <w:r>
              <w:rPr>
                <w:rFonts w:cs="Times New Roman"/>
                <w:sz w:val="16"/>
                <w:szCs w:val="16"/>
              </w:rPr>
              <w:t>1</w:t>
            </w:r>
            <w:r w:rsidR="00A86F50">
              <w:rPr>
                <w:rFonts w:cs="Times New Roman"/>
                <w:sz w:val="16"/>
                <w:szCs w:val="16"/>
              </w:rPr>
              <w:t>5</w:t>
            </w:r>
          </w:p>
        </w:tc>
        <w:tc>
          <w:tcPr>
            <w:tcW w:w="1260" w:type="dxa"/>
            <w:shd w:val="clear" w:color="auto" w:fill="auto"/>
            <w:hideMark/>
          </w:tcPr>
          <w:p w14:paraId="54915E56" w14:textId="2226BE14" w:rsidR="00002FE5" w:rsidRDefault="00A86F50">
            <w:pPr>
              <w:jc w:val="right"/>
              <w:rPr>
                <w:rFonts w:cs="Times New Roman"/>
                <w:sz w:val="16"/>
                <w:szCs w:val="16"/>
              </w:rPr>
            </w:pPr>
            <w:r>
              <w:rPr>
                <w:rFonts w:cs="Times New Roman"/>
                <w:sz w:val="16"/>
                <w:szCs w:val="16"/>
              </w:rPr>
              <w:t>20</w:t>
            </w:r>
          </w:p>
        </w:tc>
        <w:tc>
          <w:tcPr>
            <w:tcW w:w="1260" w:type="dxa"/>
            <w:shd w:val="clear" w:color="auto" w:fill="auto"/>
            <w:hideMark/>
          </w:tcPr>
          <w:p w14:paraId="67DCF523" w14:textId="55B91A9C" w:rsidR="00002FE5" w:rsidRDefault="00A86F50">
            <w:pPr>
              <w:jc w:val="right"/>
              <w:rPr>
                <w:rFonts w:cs="Times New Roman"/>
                <w:sz w:val="16"/>
                <w:szCs w:val="16"/>
              </w:rPr>
            </w:pPr>
            <w:r>
              <w:rPr>
                <w:rFonts w:cs="Times New Roman"/>
                <w:sz w:val="16"/>
                <w:szCs w:val="16"/>
              </w:rPr>
              <w:t>25</w:t>
            </w:r>
          </w:p>
        </w:tc>
      </w:tr>
      <w:tr w:rsidR="00002FE5" w14:paraId="0FAC7CB6" w14:textId="77777777" w:rsidTr="00E35C48">
        <w:trPr>
          <w:cantSplit/>
          <w:jc w:val="center"/>
        </w:trPr>
        <w:tc>
          <w:tcPr>
            <w:tcW w:w="2430" w:type="dxa"/>
            <w:shd w:val="clear" w:color="auto" w:fill="auto"/>
            <w:hideMark/>
          </w:tcPr>
          <w:p w14:paraId="1BDE0904" w14:textId="77777777" w:rsidR="00002FE5" w:rsidRDefault="00002FE5">
            <w:pPr>
              <w:jc w:val="left"/>
              <w:rPr>
                <w:rFonts w:cs="Times New Roman"/>
                <w:sz w:val="16"/>
                <w:szCs w:val="16"/>
              </w:rPr>
            </w:pPr>
            <w:r>
              <w:rPr>
                <w:rFonts w:cs="Times New Roman"/>
                <w:sz w:val="16"/>
                <w:szCs w:val="16"/>
              </w:rPr>
              <w:t>Volume – New starts – IMRT</w:t>
            </w:r>
          </w:p>
        </w:tc>
        <w:tc>
          <w:tcPr>
            <w:tcW w:w="1350" w:type="dxa"/>
            <w:shd w:val="clear" w:color="auto" w:fill="auto"/>
            <w:hideMark/>
          </w:tcPr>
          <w:p w14:paraId="300C93E1" w14:textId="77777777" w:rsidR="00002FE5" w:rsidRDefault="00002FE5">
            <w:pPr>
              <w:jc w:val="right"/>
              <w:rPr>
                <w:rFonts w:cs="Times New Roman"/>
                <w:sz w:val="16"/>
                <w:szCs w:val="16"/>
              </w:rPr>
            </w:pPr>
            <w:r>
              <w:rPr>
                <w:rFonts w:cs="Times New Roman"/>
                <w:sz w:val="16"/>
                <w:szCs w:val="16"/>
              </w:rPr>
              <w:t>177</w:t>
            </w:r>
          </w:p>
        </w:tc>
        <w:tc>
          <w:tcPr>
            <w:tcW w:w="1170" w:type="dxa"/>
            <w:shd w:val="clear" w:color="auto" w:fill="auto"/>
            <w:hideMark/>
          </w:tcPr>
          <w:p w14:paraId="6D91E5C5" w14:textId="640357BD" w:rsidR="00002FE5" w:rsidRDefault="00A86F50">
            <w:pPr>
              <w:jc w:val="right"/>
              <w:rPr>
                <w:rFonts w:cs="Times New Roman"/>
                <w:sz w:val="16"/>
                <w:szCs w:val="16"/>
              </w:rPr>
            </w:pPr>
            <w:r>
              <w:rPr>
                <w:rFonts w:cs="Times New Roman"/>
                <w:sz w:val="16"/>
                <w:szCs w:val="16"/>
              </w:rPr>
              <w:t>5</w:t>
            </w:r>
          </w:p>
        </w:tc>
        <w:tc>
          <w:tcPr>
            <w:tcW w:w="1260" w:type="dxa"/>
            <w:shd w:val="clear" w:color="auto" w:fill="auto"/>
            <w:hideMark/>
          </w:tcPr>
          <w:p w14:paraId="112897E7" w14:textId="3F242045" w:rsidR="00002FE5" w:rsidRDefault="00A86F50">
            <w:pPr>
              <w:jc w:val="right"/>
              <w:rPr>
                <w:rFonts w:cs="Times New Roman"/>
                <w:sz w:val="16"/>
                <w:szCs w:val="16"/>
              </w:rPr>
            </w:pPr>
            <w:r>
              <w:rPr>
                <w:rFonts w:cs="Times New Roman"/>
                <w:sz w:val="16"/>
                <w:szCs w:val="16"/>
              </w:rPr>
              <w:t>9</w:t>
            </w:r>
          </w:p>
        </w:tc>
        <w:tc>
          <w:tcPr>
            <w:tcW w:w="1350" w:type="dxa"/>
            <w:shd w:val="clear" w:color="auto" w:fill="auto"/>
            <w:hideMark/>
          </w:tcPr>
          <w:p w14:paraId="5D582A98" w14:textId="0B8E6EB1" w:rsidR="00002FE5" w:rsidRDefault="00002FE5">
            <w:pPr>
              <w:jc w:val="right"/>
              <w:rPr>
                <w:rFonts w:cs="Times New Roman"/>
                <w:sz w:val="16"/>
                <w:szCs w:val="16"/>
              </w:rPr>
            </w:pPr>
            <w:r>
              <w:rPr>
                <w:rFonts w:cs="Times New Roman"/>
                <w:sz w:val="16"/>
                <w:szCs w:val="16"/>
              </w:rPr>
              <w:t>1</w:t>
            </w:r>
            <w:r w:rsidR="00A86F50">
              <w:rPr>
                <w:rFonts w:cs="Times New Roman"/>
                <w:sz w:val="16"/>
                <w:szCs w:val="16"/>
              </w:rPr>
              <w:t>3</w:t>
            </w:r>
          </w:p>
        </w:tc>
        <w:tc>
          <w:tcPr>
            <w:tcW w:w="1260" w:type="dxa"/>
            <w:shd w:val="clear" w:color="auto" w:fill="auto"/>
            <w:hideMark/>
          </w:tcPr>
          <w:p w14:paraId="1A66F378" w14:textId="601D7B4B" w:rsidR="00002FE5" w:rsidRDefault="00A86F50">
            <w:pPr>
              <w:jc w:val="right"/>
              <w:rPr>
                <w:rFonts w:cs="Times New Roman"/>
                <w:sz w:val="16"/>
                <w:szCs w:val="16"/>
              </w:rPr>
            </w:pPr>
            <w:r>
              <w:rPr>
                <w:rFonts w:cs="Times New Roman"/>
                <w:sz w:val="16"/>
                <w:szCs w:val="16"/>
              </w:rPr>
              <w:t>17</w:t>
            </w:r>
          </w:p>
        </w:tc>
        <w:tc>
          <w:tcPr>
            <w:tcW w:w="1260" w:type="dxa"/>
            <w:shd w:val="clear" w:color="auto" w:fill="auto"/>
            <w:hideMark/>
          </w:tcPr>
          <w:p w14:paraId="7A970BCC" w14:textId="44F321FE" w:rsidR="00002FE5" w:rsidRDefault="00A86F50">
            <w:pPr>
              <w:jc w:val="right"/>
              <w:rPr>
                <w:rFonts w:cs="Times New Roman"/>
                <w:sz w:val="16"/>
                <w:szCs w:val="16"/>
              </w:rPr>
            </w:pPr>
            <w:r>
              <w:rPr>
                <w:rFonts w:cs="Times New Roman"/>
                <w:sz w:val="16"/>
                <w:szCs w:val="16"/>
              </w:rPr>
              <w:t>20</w:t>
            </w:r>
          </w:p>
        </w:tc>
      </w:tr>
      <w:tr w:rsidR="00002FE5" w14:paraId="6D32CD68" w14:textId="77777777" w:rsidTr="00E35C48">
        <w:trPr>
          <w:cantSplit/>
          <w:jc w:val="center"/>
        </w:trPr>
        <w:tc>
          <w:tcPr>
            <w:tcW w:w="2430" w:type="dxa"/>
            <w:shd w:val="clear" w:color="auto" w:fill="auto"/>
            <w:hideMark/>
          </w:tcPr>
          <w:p w14:paraId="6738FF4C" w14:textId="77777777" w:rsidR="00002FE5" w:rsidRDefault="00002FE5">
            <w:pPr>
              <w:jc w:val="left"/>
              <w:rPr>
                <w:rFonts w:cs="Times New Roman"/>
                <w:sz w:val="16"/>
                <w:szCs w:val="16"/>
              </w:rPr>
            </w:pPr>
            <w:r>
              <w:rPr>
                <w:rFonts w:cs="Times New Roman"/>
                <w:sz w:val="16"/>
                <w:szCs w:val="16"/>
              </w:rPr>
              <w:t>Volume – New starts – SBRT</w:t>
            </w:r>
          </w:p>
        </w:tc>
        <w:tc>
          <w:tcPr>
            <w:tcW w:w="1350" w:type="dxa"/>
            <w:tcBorders>
              <w:top w:val="nil"/>
              <w:left w:val="nil"/>
              <w:bottom w:val="single" w:sz="4" w:space="0" w:color="auto"/>
              <w:right w:val="nil"/>
            </w:tcBorders>
            <w:shd w:val="clear" w:color="auto" w:fill="auto"/>
            <w:hideMark/>
          </w:tcPr>
          <w:p w14:paraId="10A6F4C2" w14:textId="77777777" w:rsidR="00002FE5" w:rsidRDefault="00002FE5">
            <w:pPr>
              <w:jc w:val="right"/>
              <w:rPr>
                <w:rFonts w:cs="Times New Roman"/>
                <w:sz w:val="16"/>
                <w:szCs w:val="16"/>
              </w:rPr>
            </w:pPr>
            <w:r>
              <w:rPr>
                <w:rFonts w:cs="Times New Roman"/>
                <w:sz w:val="16"/>
                <w:szCs w:val="16"/>
              </w:rPr>
              <w:t>46</w:t>
            </w:r>
          </w:p>
        </w:tc>
        <w:tc>
          <w:tcPr>
            <w:tcW w:w="1170" w:type="dxa"/>
            <w:tcBorders>
              <w:top w:val="nil"/>
              <w:left w:val="nil"/>
              <w:bottom w:val="single" w:sz="4" w:space="0" w:color="auto"/>
              <w:right w:val="nil"/>
            </w:tcBorders>
            <w:shd w:val="clear" w:color="auto" w:fill="auto"/>
            <w:hideMark/>
          </w:tcPr>
          <w:p w14:paraId="70086A66" w14:textId="4F45B16E" w:rsidR="00002FE5" w:rsidRDefault="00A86F50">
            <w:pPr>
              <w:jc w:val="right"/>
              <w:rPr>
                <w:rFonts w:cs="Times New Roman"/>
                <w:sz w:val="16"/>
                <w:szCs w:val="16"/>
              </w:rPr>
            </w:pPr>
            <w:r>
              <w:rPr>
                <w:rFonts w:cs="Times New Roman"/>
                <w:sz w:val="16"/>
                <w:szCs w:val="16"/>
              </w:rPr>
              <w:t>20</w:t>
            </w:r>
          </w:p>
        </w:tc>
        <w:tc>
          <w:tcPr>
            <w:tcW w:w="1260" w:type="dxa"/>
            <w:tcBorders>
              <w:top w:val="nil"/>
              <w:left w:val="nil"/>
              <w:bottom w:val="single" w:sz="4" w:space="0" w:color="auto"/>
              <w:right w:val="nil"/>
            </w:tcBorders>
            <w:shd w:val="clear" w:color="auto" w:fill="auto"/>
            <w:hideMark/>
          </w:tcPr>
          <w:p w14:paraId="0DE6C68A" w14:textId="410CC80B" w:rsidR="00002FE5" w:rsidRDefault="00A86F50">
            <w:pPr>
              <w:jc w:val="right"/>
              <w:rPr>
                <w:rFonts w:cs="Times New Roman"/>
                <w:sz w:val="16"/>
                <w:szCs w:val="16"/>
              </w:rPr>
            </w:pPr>
            <w:r>
              <w:rPr>
                <w:rFonts w:cs="Times New Roman"/>
                <w:sz w:val="16"/>
                <w:szCs w:val="16"/>
              </w:rPr>
              <w:t>35</w:t>
            </w:r>
          </w:p>
        </w:tc>
        <w:tc>
          <w:tcPr>
            <w:tcW w:w="1350" w:type="dxa"/>
            <w:tcBorders>
              <w:top w:val="nil"/>
              <w:left w:val="nil"/>
              <w:bottom w:val="single" w:sz="4" w:space="0" w:color="auto"/>
              <w:right w:val="nil"/>
            </w:tcBorders>
            <w:shd w:val="clear" w:color="auto" w:fill="auto"/>
            <w:hideMark/>
          </w:tcPr>
          <w:p w14:paraId="695B5CCB" w14:textId="45773FA6" w:rsidR="00002FE5" w:rsidRDefault="00A86F50">
            <w:pPr>
              <w:jc w:val="right"/>
              <w:rPr>
                <w:rFonts w:cs="Times New Roman"/>
                <w:sz w:val="16"/>
                <w:szCs w:val="16"/>
              </w:rPr>
            </w:pPr>
            <w:r>
              <w:rPr>
                <w:rFonts w:cs="Times New Roman"/>
                <w:sz w:val="16"/>
                <w:szCs w:val="16"/>
              </w:rPr>
              <w:t>45</w:t>
            </w:r>
          </w:p>
        </w:tc>
        <w:tc>
          <w:tcPr>
            <w:tcW w:w="1260" w:type="dxa"/>
            <w:tcBorders>
              <w:top w:val="nil"/>
              <w:left w:val="nil"/>
              <w:bottom w:val="single" w:sz="4" w:space="0" w:color="auto"/>
              <w:right w:val="nil"/>
            </w:tcBorders>
            <w:shd w:val="clear" w:color="auto" w:fill="auto"/>
            <w:hideMark/>
          </w:tcPr>
          <w:p w14:paraId="7103CE94" w14:textId="065DBAAE" w:rsidR="00002FE5" w:rsidRDefault="00A86F50">
            <w:pPr>
              <w:jc w:val="right"/>
              <w:rPr>
                <w:rFonts w:cs="Times New Roman"/>
                <w:sz w:val="16"/>
                <w:szCs w:val="16"/>
              </w:rPr>
            </w:pPr>
            <w:r>
              <w:rPr>
                <w:rFonts w:cs="Times New Roman"/>
                <w:sz w:val="16"/>
                <w:szCs w:val="16"/>
              </w:rPr>
              <w:t>50</w:t>
            </w:r>
          </w:p>
        </w:tc>
        <w:tc>
          <w:tcPr>
            <w:tcW w:w="1260" w:type="dxa"/>
            <w:tcBorders>
              <w:top w:val="nil"/>
              <w:left w:val="nil"/>
              <w:bottom w:val="single" w:sz="4" w:space="0" w:color="auto"/>
              <w:right w:val="nil"/>
            </w:tcBorders>
            <w:shd w:val="clear" w:color="auto" w:fill="auto"/>
            <w:hideMark/>
          </w:tcPr>
          <w:p w14:paraId="3A19071E" w14:textId="2BBA1E49" w:rsidR="00002FE5" w:rsidRDefault="00A86F50">
            <w:pPr>
              <w:jc w:val="right"/>
              <w:rPr>
                <w:rFonts w:cs="Times New Roman"/>
                <w:sz w:val="16"/>
                <w:szCs w:val="16"/>
              </w:rPr>
            </w:pPr>
            <w:r>
              <w:rPr>
                <w:rFonts w:cs="Times New Roman"/>
                <w:sz w:val="16"/>
                <w:szCs w:val="16"/>
              </w:rPr>
              <w:t>55</w:t>
            </w:r>
          </w:p>
        </w:tc>
      </w:tr>
      <w:tr w:rsidR="00002FE5" w14:paraId="421146BD" w14:textId="77777777" w:rsidTr="00E35C48">
        <w:trPr>
          <w:cantSplit/>
          <w:jc w:val="center"/>
        </w:trPr>
        <w:tc>
          <w:tcPr>
            <w:tcW w:w="2430" w:type="dxa"/>
            <w:shd w:val="clear" w:color="auto" w:fill="auto"/>
            <w:hideMark/>
          </w:tcPr>
          <w:p w14:paraId="50FF01DF" w14:textId="388060A6" w:rsidR="00002FE5" w:rsidRDefault="00002FE5">
            <w:pPr>
              <w:jc w:val="left"/>
              <w:rPr>
                <w:rFonts w:cs="Times New Roman"/>
                <w:sz w:val="16"/>
                <w:szCs w:val="16"/>
              </w:rPr>
            </w:pPr>
            <w:r>
              <w:rPr>
                <w:rFonts w:cs="Times New Roman"/>
                <w:sz w:val="16"/>
                <w:szCs w:val="16"/>
              </w:rPr>
              <w:t xml:space="preserve">Total </w:t>
            </w:r>
            <w:r w:rsidR="00B835C5">
              <w:rPr>
                <w:rFonts w:cs="Times New Roman"/>
                <w:sz w:val="16"/>
                <w:szCs w:val="16"/>
              </w:rPr>
              <w:t>n</w:t>
            </w:r>
            <w:r>
              <w:rPr>
                <w:rFonts w:cs="Times New Roman"/>
                <w:sz w:val="16"/>
                <w:szCs w:val="16"/>
              </w:rPr>
              <w:t>e</w:t>
            </w:r>
            <w:r w:rsidR="00D15078">
              <w:rPr>
                <w:rFonts w:cs="Times New Roman"/>
                <w:sz w:val="16"/>
                <w:szCs w:val="16"/>
              </w:rPr>
              <w:t>w</w:t>
            </w:r>
            <w:r>
              <w:rPr>
                <w:rFonts w:cs="Times New Roman"/>
                <w:sz w:val="16"/>
                <w:szCs w:val="16"/>
              </w:rPr>
              <w:t xml:space="preserve"> starts</w:t>
            </w:r>
          </w:p>
        </w:tc>
        <w:tc>
          <w:tcPr>
            <w:tcW w:w="1350" w:type="dxa"/>
            <w:tcBorders>
              <w:top w:val="single" w:sz="4" w:space="0" w:color="auto"/>
              <w:left w:val="nil"/>
              <w:bottom w:val="double" w:sz="4" w:space="0" w:color="auto"/>
              <w:right w:val="nil"/>
            </w:tcBorders>
            <w:shd w:val="clear" w:color="auto" w:fill="auto"/>
            <w:hideMark/>
          </w:tcPr>
          <w:p w14:paraId="61F7A1D9" w14:textId="77777777" w:rsidR="00002FE5" w:rsidRDefault="00002FE5">
            <w:pPr>
              <w:tabs>
                <w:tab w:val="decimal" w:pos="621"/>
              </w:tabs>
              <w:jc w:val="right"/>
              <w:rPr>
                <w:rFonts w:cs="Times New Roman"/>
                <w:sz w:val="16"/>
                <w:szCs w:val="16"/>
              </w:rPr>
            </w:pPr>
            <w:r>
              <w:rPr>
                <w:rFonts w:cs="Times New Roman"/>
                <w:sz w:val="16"/>
                <w:szCs w:val="16"/>
              </w:rPr>
              <w:t>436</w:t>
            </w:r>
          </w:p>
        </w:tc>
        <w:tc>
          <w:tcPr>
            <w:tcW w:w="1170" w:type="dxa"/>
            <w:tcBorders>
              <w:top w:val="single" w:sz="4" w:space="0" w:color="auto"/>
              <w:left w:val="nil"/>
              <w:bottom w:val="double" w:sz="4" w:space="0" w:color="auto"/>
              <w:right w:val="nil"/>
            </w:tcBorders>
            <w:shd w:val="clear" w:color="auto" w:fill="auto"/>
            <w:hideMark/>
          </w:tcPr>
          <w:p w14:paraId="7408F9DD" w14:textId="08C08237" w:rsidR="00002FE5" w:rsidRDefault="00A86F50">
            <w:pPr>
              <w:jc w:val="right"/>
              <w:rPr>
                <w:rFonts w:cs="Times New Roman"/>
                <w:sz w:val="16"/>
                <w:szCs w:val="16"/>
              </w:rPr>
            </w:pPr>
            <w:r>
              <w:rPr>
                <w:rFonts w:cs="Times New Roman"/>
                <w:sz w:val="16"/>
                <w:szCs w:val="16"/>
              </w:rPr>
              <w:t>30</w:t>
            </w:r>
          </w:p>
        </w:tc>
        <w:tc>
          <w:tcPr>
            <w:tcW w:w="1260" w:type="dxa"/>
            <w:tcBorders>
              <w:top w:val="single" w:sz="4" w:space="0" w:color="auto"/>
              <w:left w:val="nil"/>
              <w:bottom w:val="double" w:sz="4" w:space="0" w:color="auto"/>
              <w:right w:val="nil"/>
            </w:tcBorders>
            <w:shd w:val="clear" w:color="auto" w:fill="auto"/>
            <w:hideMark/>
          </w:tcPr>
          <w:p w14:paraId="1766930A" w14:textId="71FA2231" w:rsidR="00002FE5" w:rsidRDefault="00A86F50">
            <w:pPr>
              <w:jc w:val="right"/>
              <w:rPr>
                <w:rFonts w:cs="Times New Roman"/>
                <w:sz w:val="16"/>
                <w:szCs w:val="16"/>
              </w:rPr>
            </w:pPr>
            <w:r>
              <w:rPr>
                <w:rFonts w:cs="Times New Roman"/>
                <w:sz w:val="16"/>
                <w:szCs w:val="16"/>
              </w:rPr>
              <w:t>54</w:t>
            </w:r>
          </w:p>
        </w:tc>
        <w:tc>
          <w:tcPr>
            <w:tcW w:w="1350" w:type="dxa"/>
            <w:tcBorders>
              <w:top w:val="single" w:sz="4" w:space="0" w:color="auto"/>
              <w:left w:val="nil"/>
              <w:bottom w:val="double" w:sz="4" w:space="0" w:color="auto"/>
              <w:right w:val="nil"/>
            </w:tcBorders>
            <w:shd w:val="clear" w:color="auto" w:fill="auto"/>
            <w:hideMark/>
          </w:tcPr>
          <w:p w14:paraId="5523B4EF" w14:textId="06040CCF" w:rsidR="00002FE5" w:rsidRDefault="00A86F50">
            <w:pPr>
              <w:jc w:val="right"/>
              <w:rPr>
                <w:rFonts w:cs="Times New Roman"/>
                <w:sz w:val="16"/>
                <w:szCs w:val="16"/>
              </w:rPr>
            </w:pPr>
            <w:r>
              <w:rPr>
                <w:rFonts w:cs="Times New Roman"/>
                <w:sz w:val="16"/>
                <w:szCs w:val="16"/>
              </w:rPr>
              <w:t>73</w:t>
            </w:r>
          </w:p>
        </w:tc>
        <w:tc>
          <w:tcPr>
            <w:tcW w:w="1260" w:type="dxa"/>
            <w:tcBorders>
              <w:top w:val="single" w:sz="4" w:space="0" w:color="auto"/>
              <w:left w:val="nil"/>
              <w:bottom w:val="double" w:sz="4" w:space="0" w:color="auto"/>
              <w:right w:val="nil"/>
            </w:tcBorders>
            <w:shd w:val="clear" w:color="auto" w:fill="auto"/>
            <w:hideMark/>
          </w:tcPr>
          <w:p w14:paraId="55E1078B" w14:textId="5D37F7D4" w:rsidR="00002FE5" w:rsidRDefault="00A86F50">
            <w:pPr>
              <w:jc w:val="right"/>
              <w:rPr>
                <w:rFonts w:cs="Times New Roman"/>
                <w:sz w:val="16"/>
                <w:szCs w:val="16"/>
              </w:rPr>
            </w:pPr>
            <w:r>
              <w:rPr>
                <w:rFonts w:cs="Times New Roman"/>
                <w:sz w:val="16"/>
                <w:szCs w:val="16"/>
              </w:rPr>
              <w:t>87</w:t>
            </w:r>
          </w:p>
        </w:tc>
        <w:tc>
          <w:tcPr>
            <w:tcW w:w="1260" w:type="dxa"/>
            <w:tcBorders>
              <w:top w:val="single" w:sz="4" w:space="0" w:color="auto"/>
              <w:left w:val="nil"/>
              <w:bottom w:val="double" w:sz="4" w:space="0" w:color="auto"/>
              <w:right w:val="nil"/>
            </w:tcBorders>
            <w:shd w:val="clear" w:color="auto" w:fill="auto"/>
            <w:hideMark/>
          </w:tcPr>
          <w:p w14:paraId="34EB4DB7" w14:textId="705AEAC3" w:rsidR="00002FE5" w:rsidRDefault="00A86F50">
            <w:pPr>
              <w:jc w:val="right"/>
              <w:rPr>
                <w:rFonts w:cs="Times New Roman"/>
                <w:sz w:val="16"/>
                <w:szCs w:val="16"/>
              </w:rPr>
            </w:pPr>
            <w:r>
              <w:rPr>
                <w:rFonts w:cs="Times New Roman"/>
                <w:sz w:val="16"/>
                <w:szCs w:val="16"/>
              </w:rPr>
              <w:t>100</w:t>
            </w:r>
          </w:p>
        </w:tc>
      </w:tr>
      <w:tr w:rsidR="00002FE5" w14:paraId="6C607C59" w14:textId="77777777" w:rsidTr="00E35C48">
        <w:trPr>
          <w:cantSplit/>
          <w:jc w:val="center"/>
        </w:trPr>
        <w:tc>
          <w:tcPr>
            <w:tcW w:w="2430" w:type="dxa"/>
            <w:shd w:val="clear" w:color="auto" w:fill="auto"/>
            <w:hideMark/>
          </w:tcPr>
          <w:p w14:paraId="4942A0E4" w14:textId="77777777" w:rsidR="004F13C0" w:rsidRDefault="004F13C0">
            <w:pPr>
              <w:rPr>
                <w:rFonts w:cs="Times New Roman"/>
                <w:sz w:val="16"/>
                <w:szCs w:val="16"/>
              </w:rPr>
            </w:pPr>
          </w:p>
          <w:p w14:paraId="2BD391A9" w14:textId="580B6C32" w:rsidR="00002FE5" w:rsidRDefault="00002FE5">
            <w:pPr>
              <w:rPr>
                <w:rFonts w:cs="Times New Roman"/>
                <w:sz w:val="16"/>
                <w:szCs w:val="16"/>
              </w:rPr>
            </w:pPr>
            <w:r>
              <w:rPr>
                <w:rFonts w:cs="Times New Roman"/>
                <w:sz w:val="16"/>
                <w:szCs w:val="16"/>
              </w:rPr>
              <w:t>Volume - # of treatments – 3D</w:t>
            </w:r>
          </w:p>
        </w:tc>
        <w:tc>
          <w:tcPr>
            <w:tcW w:w="1350" w:type="dxa"/>
            <w:shd w:val="clear" w:color="auto" w:fill="auto"/>
            <w:hideMark/>
          </w:tcPr>
          <w:p w14:paraId="0B6DA3DB" w14:textId="77777777" w:rsidR="004F13C0" w:rsidRDefault="004F13C0">
            <w:pPr>
              <w:tabs>
                <w:tab w:val="decimal" w:pos="621"/>
              </w:tabs>
              <w:jc w:val="right"/>
              <w:rPr>
                <w:rFonts w:cs="Times New Roman"/>
                <w:sz w:val="16"/>
                <w:szCs w:val="16"/>
              </w:rPr>
            </w:pPr>
          </w:p>
          <w:p w14:paraId="6E87C16E" w14:textId="1C2325CB" w:rsidR="00002FE5" w:rsidRDefault="00B5103C">
            <w:pPr>
              <w:tabs>
                <w:tab w:val="decimal" w:pos="621"/>
              </w:tabs>
              <w:jc w:val="right"/>
              <w:rPr>
                <w:rFonts w:cs="Times New Roman"/>
                <w:sz w:val="16"/>
                <w:szCs w:val="16"/>
              </w:rPr>
            </w:pPr>
            <w:r>
              <w:rPr>
                <w:rFonts w:cs="Times New Roman"/>
                <w:sz w:val="16"/>
                <w:szCs w:val="16"/>
              </w:rPr>
              <w:t>2,531</w:t>
            </w:r>
          </w:p>
        </w:tc>
        <w:tc>
          <w:tcPr>
            <w:tcW w:w="1170" w:type="dxa"/>
            <w:shd w:val="clear" w:color="auto" w:fill="auto"/>
            <w:hideMark/>
          </w:tcPr>
          <w:p w14:paraId="45EC3DFB" w14:textId="77777777" w:rsidR="004F13C0" w:rsidRDefault="004F13C0">
            <w:pPr>
              <w:tabs>
                <w:tab w:val="decimal" w:pos="621"/>
              </w:tabs>
              <w:jc w:val="right"/>
              <w:rPr>
                <w:rFonts w:cs="Times New Roman"/>
                <w:sz w:val="16"/>
                <w:szCs w:val="16"/>
              </w:rPr>
            </w:pPr>
          </w:p>
          <w:p w14:paraId="69148C46" w14:textId="0833CA80" w:rsidR="00002FE5" w:rsidRDefault="00A2516A">
            <w:pPr>
              <w:tabs>
                <w:tab w:val="decimal" w:pos="621"/>
              </w:tabs>
              <w:jc w:val="right"/>
              <w:rPr>
                <w:rFonts w:cs="Times New Roman"/>
                <w:sz w:val="16"/>
                <w:szCs w:val="16"/>
              </w:rPr>
            </w:pPr>
            <w:r>
              <w:rPr>
                <w:rFonts w:cs="Times New Roman"/>
                <w:sz w:val="16"/>
                <w:szCs w:val="16"/>
              </w:rPr>
              <w:t>59</w:t>
            </w:r>
          </w:p>
        </w:tc>
        <w:tc>
          <w:tcPr>
            <w:tcW w:w="1260" w:type="dxa"/>
            <w:shd w:val="clear" w:color="auto" w:fill="auto"/>
            <w:hideMark/>
          </w:tcPr>
          <w:p w14:paraId="4E0A66E9" w14:textId="77777777" w:rsidR="004F13C0" w:rsidRDefault="004F13C0">
            <w:pPr>
              <w:tabs>
                <w:tab w:val="decimal" w:pos="690"/>
              </w:tabs>
              <w:jc w:val="right"/>
              <w:rPr>
                <w:rFonts w:cs="Times New Roman"/>
                <w:sz w:val="16"/>
                <w:szCs w:val="16"/>
              </w:rPr>
            </w:pPr>
          </w:p>
          <w:p w14:paraId="5456483F" w14:textId="1312A9D7" w:rsidR="00002FE5" w:rsidRPr="00A2516A" w:rsidRDefault="00A2516A">
            <w:pPr>
              <w:tabs>
                <w:tab w:val="decimal" w:pos="690"/>
              </w:tabs>
              <w:jc w:val="right"/>
              <w:rPr>
                <w:rFonts w:cs="Times New Roman"/>
                <w:sz w:val="16"/>
                <w:szCs w:val="16"/>
              </w:rPr>
            </w:pPr>
            <w:r w:rsidRPr="00A2516A">
              <w:rPr>
                <w:rFonts w:cs="Times New Roman"/>
                <w:sz w:val="16"/>
                <w:szCs w:val="16"/>
              </w:rPr>
              <w:t>119</w:t>
            </w:r>
          </w:p>
        </w:tc>
        <w:tc>
          <w:tcPr>
            <w:tcW w:w="1350" w:type="dxa"/>
            <w:shd w:val="clear" w:color="auto" w:fill="auto"/>
            <w:hideMark/>
          </w:tcPr>
          <w:p w14:paraId="1F8E1648" w14:textId="77777777" w:rsidR="004F13C0" w:rsidRDefault="004F13C0">
            <w:pPr>
              <w:tabs>
                <w:tab w:val="decimal" w:pos="731"/>
              </w:tabs>
              <w:jc w:val="right"/>
              <w:rPr>
                <w:rFonts w:cs="Times New Roman"/>
                <w:sz w:val="16"/>
                <w:szCs w:val="16"/>
              </w:rPr>
            </w:pPr>
          </w:p>
          <w:p w14:paraId="0D1E8B88" w14:textId="001ACF44" w:rsidR="00002FE5" w:rsidRPr="00A2516A" w:rsidRDefault="00A2516A">
            <w:pPr>
              <w:tabs>
                <w:tab w:val="decimal" w:pos="731"/>
              </w:tabs>
              <w:jc w:val="right"/>
              <w:rPr>
                <w:rFonts w:cs="Times New Roman"/>
                <w:sz w:val="16"/>
                <w:szCs w:val="16"/>
              </w:rPr>
            </w:pPr>
            <w:r w:rsidRPr="00A2516A">
              <w:rPr>
                <w:rFonts w:cs="Times New Roman"/>
                <w:sz w:val="16"/>
                <w:szCs w:val="16"/>
              </w:rPr>
              <w:t>178</w:t>
            </w:r>
          </w:p>
        </w:tc>
        <w:tc>
          <w:tcPr>
            <w:tcW w:w="1260" w:type="dxa"/>
            <w:shd w:val="clear" w:color="auto" w:fill="auto"/>
            <w:hideMark/>
          </w:tcPr>
          <w:p w14:paraId="0986CDB1" w14:textId="77777777" w:rsidR="004F13C0" w:rsidRDefault="004F13C0">
            <w:pPr>
              <w:tabs>
                <w:tab w:val="decimal" w:pos="652"/>
              </w:tabs>
              <w:jc w:val="right"/>
              <w:rPr>
                <w:rFonts w:cs="Times New Roman"/>
                <w:sz w:val="16"/>
                <w:szCs w:val="16"/>
              </w:rPr>
            </w:pPr>
          </w:p>
          <w:p w14:paraId="67DB906F" w14:textId="28F992F0" w:rsidR="00002FE5" w:rsidRPr="00A2516A" w:rsidRDefault="00A2516A">
            <w:pPr>
              <w:tabs>
                <w:tab w:val="decimal" w:pos="652"/>
              </w:tabs>
              <w:jc w:val="right"/>
              <w:rPr>
                <w:rFonts w:cs="Times New Roman"/>
                <w:sz w:val="16"/>
                <w:szCs w:val="16"/>
              </w:rPr>
            </w:pPr>
            <w:r w:rsidRPr="00A2516A">
              <w:rPr>
                <w:rFonts w:cs="Times New Roman"/>
                <w:sz w:val="16"/>
                <w:szCs w:val="16"/>
              </w:rPr>
              <w:t>237</w:t>
            </w:r>
          </w:p>
        </w:tc>
        <w:tc>
          <w:tcPr>
            <w:tcW w:w="1260" w:type="dxa"/>
            <w:shd w:val="clear" w:color="auto" w:fill="auto"/>
            <w:hideMark/>
          </w:tcPr>
          <w:p w14:paraId="40AE0FD5" w14:textId="77777777" w:rsidR="004F13C0" w:rsidRDefault="004F13C0">
            <w:pPr>
              <w:tabs>
                <w:tab w:val="decimal" w:pos="688"/>
              </w:tabs>
              <w:jc w:val="right"/>
              <w:rPr>
                <w:rFonts w:cs="Times New Roman"/>
                <w:sz w:val="16"/>
                <w:szCs w:val="16"/>
              </w:rPr>
            </w:pPr>
          </w:p>
          <w:p w14:paraId="6D40DCB8" w14:textId="138DC43D" w:rsidR="00002FE5" w:rsidRPr="00A2516A" w:rsidRDefault="00A2516A">
            <w:pPr>
              <w:tabs>
                <w:tab w:val="decimal" w:pos="688"/>
              </w:tabs>
              <w:jc w:val="right"/>
              <w:rPr>
                <w:rFonts w:cs="Times New Roman"/>
                <w:sz w:val="16"/>
                <w:szCs w:val="16"/>
              </w:rPr>
            </w:pPr>
            <w:r w:rsidRPr="00A2516A">
              <w:rPr>
                <w:rFonts w:cs="Times New Roman"/>
                <w:sz w:val="16"/>
                <w:szCs w:val="16"/>
              </w:rPr>
              <w:t>297</w:t>
            </w:r>
          </w:p>
        </w:tc>
      </w:tr>
      <w:tr w:rsidR="00002FE5" w14:paraId="7A2CE753" w14:textId="77777777" w:rsidTr="00E35C48">
        <w:trPr>
          <w:cantSplit/>
          <w:jc w:val="center"/>
        </w:trPr>
        <w:tc>
          <w:tcPr>
            <w:tcW w:w="2430" w:type="dxa"/>
            <w:shd w:val="clear" w:color="auto" w:fill="auto"/>
            <w:hideMark/>
          </w:tcPr>
          <w:p w14:paraId="4C8F45C3" w14:textId="77777777" w:rsidR="00002FE5" w:rsidRDefault="00002FE5">
            <w:pPr>
              <w:rPr>
                <w:rFonts w:cs="Times New Roman"/>
                <w:sz w:val="16"/>
                <w:szCs w:val="16"/>
              </w:rPr>
            </w:pPr>
            <w:r>
              <w:rPr>
                <w:rFonts w:cs="Times New Roman"/>
                <w:sz w:val="16"/>
                <w:szCs w:val="16"/>
              </w:rPr>
              <w:t>Volume - # of treatments – IMRT</w:t>
            </w:r>
          </w:p>
        </w:tc>
        <w:tc>
          <w:tcPr>
            <w:tcW w:w="1350" w:type="dxa"/>
            <w:shd w:val="clear" w:color="auto" w:fill="auto"/>
            <w:hideMark/>
          </w:tcPr>
          <w:p w14:paraId="2F74252E" w14:textId="66B51F31" w:rsidR="00002FE5" w:rsidRDefault="00B5103C">
            <w:pPr>
              <w:tabs>
                <w:tab w:val="decimal" w:pos="621"/>
              </w:tabs>
              <w:jc w:val="right"/>
              <w:rPr>
                <w:rFonts w:cs="Times New Roman"/>
                <w:sz w:val="16"/>
                <w:szCs w:val="16"/>
              </w:rPr>
            </w:pPr>
            <w:r>
              <w:rPr>
                <w:rFonts w:cs="Times New Roman"/>
                <w:sz w:val="16"/>
                <w:szCs w:val="16"/>
              </w:rPr>
              <w:t>5,25</w:t>
            </w:r>
            <w:r w:rsidR="000E0EC0">
              <w:rPr>
                <w:rFonts w:cs="Times New Roman"/>
                <w:sz w:val="16"/>
                <w:szCs w:val="16"/>
              </w:rPr>
              <w:t>5</w:t>
            </w:r>
          </w:p>
        </w:tc>
        <w:tc>
          <w:tcPr>
            <w:tcW w:w="1170" w:type="dxa"/>
            <w:shd w:val="clear" w:color="auto" w:fill="auto"/>
            <w:hideMark/>
          </w:tcPr>
          <w:p w14:paraId="15C3194D" w14:textId="2C1B580A" w:rsidR="00002FE5" w:rsidRDefault="00A2516A">
            <w:pPr>
              <w:tabs>
                <w:tab w:val="decimal" w:pos="621"/>
              </w:tabs>
              <w:jc w:val="right"/>
              <w:rPr>
                <w:rFonts w:cs="Times New Roman"/>
                <w:sz w:val="16"/>
                <w:szCs w:val="16"/>
              </w:rPr>
            </w:pPr>
            <w:r>
              <w:rPr>
                <w:rFonts w:cs="Times New Roman"/>
                <w:sz w:val="16"/>
                <w:szCs w:val="16"/>
              </w:rPr>
              <w:t>149</w:t>
            </w:r>
          </w:p>
        </w:tc>
        <w:tc>
          <w:tcPr>
            <w:tcW w:w="1260" w:type="dxa"/>
            <w:shd w:val="clear" w:color="auto" w:fill="auto"/>
            <w:hideMark/>
          </w:tcPr>
          <w:p w14:paraId="78AE4C4D" w14:textId="77CCA52D" w:rsidR="00002FE5" w:rsidRPr="00A2516A" w:rsidRDefault="00A2516A">
            <w:pPr>
              <w:tabs>
                <w:tab w:val="decimal" w:pos="690"/>
              </w:tabs>
              <w:jc w:val="right"/>
              <w:rPr>
                <w:rFonts w:cs="Times New Roman"/>
                <w:sz w:val="16"/>
                <w:szCs w:val="16"/>
              </w:rPr>
            </w:pPr>
            <w:r w:rsidRPr="00A2516A">
              <w:rPr>
                <w:rFonts w:cs="Times New Roman"/>
                <w:sz w:val="16"/>
                <w:szCs w:val="16"/>
              </w:rPr>
              <w:t>267</w:t>
            </w:r>
          </w:p>
        </w:tc>
        <w:tc>
          <w:tcPr>
            <w:tcW w:w="1350" w:type="dxa"/>
            <w:shd w:val="clear" w:color="auto" w:fill="auto"/>
            <w:hideMark/>
          </w:tcPr>
          <w:p w14:paraId="51B2220E" w14:textId="314910C8" w:rsidR="00002FE5" w:rsidRPr="00A2516A" w:rsidRDefault="00A2516A">
            <w:pPr>
              <w:tabs>
                <w:tab w:val="decimal" w:pos="731"/>
              </w:tabs>
              <w:jc w:val="right"/>
              <w:rPr>
                <w:rFonts w:cs="Times New Roman"/>
                <w:sz w:val="16"/>
                <w:szCs w:val="16"/>
              </w:rPr>
            </w:pPr>
            <w:r w:rsidRPr="00A2516A">
              <w:rPr>
                <w:rFonts w:cs="Times New Roman"/>
                <w:sz w:val="16"/>
                <w:szCs w:val="16"/>
              </w:rPr>
              <w:t>386</w:t>
            </w:r>
          </w:p>
        </w:tc>
        <w:tc>
          <w:tcPr>
            <w:tcW w:w="1260" w:type="dxa"/>
            <w:shd w:val="clear" w:color="auto" w:fill="auto"/>
            <w:hideMark/>
          </w:tcPr>
          <w:p w14:paraId="39D14522" w14:textId="401D3C3E" w:rsidR="00002FE5" w:rsidRPr="00A2516A" w:rsidRDefault="00A2516A">
            <w:pPr>
              <w:tabs>
                <w:tab w:val="decimal" w:pos="652"/>
              </w:tabs>
              <w:jc w:val="right"/>
              <w:rPr>
                <w:rFonts w:cs="Times New Roman"/>
                <w:sz w:val="16"/>
                <w:szCs w:val="16"/>
              </w:rPr>
            </w:pPr>
            <w:r w:rsidRPr="00A2516A">
              <w:rPr>
                <w:rFonts w:cs="Times New Roman"/>
                <w:sz w:val="16"/>
                <w:szCs w:val="16"/>
              </w:rPr>
              <w:t>505</w:t>
            </w:r>
          </w:p>
        </w:tc>
        <w:tc>
          <w:tcPr>
            <w:tcW w:w="1260" w:type="dxa"/>
            <w:shd w:val="clear" w:color="auto" w:fill="auto"/>
            <w:hideMark/>
          </w:tcPr>
          <w:p w14:paraId="2C55FF39" w14:textId="68F512D8" w:rsidR="00002FE5" w:rsidRPr="00A2516A" w:rsidRDefault="00A2516A">
            <w:pPr>
              <w:tabs>
                <w:tab w:val="decimal" w:pos="688"/>
              </w:tabs>
              <w:jc w:val="right"/>
              <w:rPr>
                <w:rFonts w:cs="Times New Roman"/>
                <w:sz w:val="16"/>
                <w:szCs w:val="16"/>
              </w:rPr>
            </w:pPr>
            <w:r w:rsidRPr="00A2516A">
              <w:rPr>
                <w:rFonts w:cs="Times New Roman"/>
                <w:sz w:val="16"/>
                <w:szCs w:val="16"/>
              </w:rPr>
              <w:t>594</w:t>
            </w:r>
          </w:p>
        </w:tc>
      </w:tr>
      <w:tr w:rsidR="00002FE5" w14:paraId="6A5CA68D" w14:textId="77777777" w:rsidTr="00E35C48">
        <w:trPr>
          <w:cantSplit/>
          <w:jc w:val="center"/>
        </w:trPr>
        <w:tc>
          <w:tcPr>
            <w:tcW w:w="2430" w:type="dxa"/>
            <w:shd w:val="clear" w:color="auto" w:fill="auto"/>
            <w:hideMark/>
          </w:tcPr>
          <w:p w14:paraId="27B34F25" w14:textId="77777777" w:rsidR="00002FE5" w:rsidRDefault="00002FE5">
            <w:pPr>
              <w:rPr>
                <w:rFonts w:cs="Times New Roman"/>
                <w:sz w:val="16"/>
                <w:szCs w:val="16"/>
              </w:rPr>
            </w:pPr>
            <w:r>
              <w:rPr>
                <w:rFonts w:cs="Times New Roman"/>
                <w:sz w:val="16"/>
                <w:szCs w:val="16"/>
              </w:rPr>
              <w:t>Volume - # of treatments - SBRT</w:t>
            </w:r>
          </w:p>
        </w:tc>
        <w:tc>
          <w:tcPr>
            <w:tcW w:w="1350" w:type="dxa"/>
            <w:tcBorders>
              <w:top w:val="nil"/>
              <w:left w:val="nil"/>
              <w:bottom w:val="single" w:sz="4" w:space="0" w:color="auto"/>
              <w:right w:val="nil"/>
            </w:tcBorders>
            <w:shd w:val="clear" w:color="auto" w:fill="auto"/>
            <w:hideMark/>
          </w:tcPr>
          <w:p w14:paraId="24EFF8D0" w14:textId="4967D0DA" w:rsidR="00002FE5" w:rsidRDefault="00B5103C">
            <w:pPr>
              <w:tabs>
                <w:tab w:val="decimal" w:pos="621"/>
              </w:tabs>
              <w:jc w:val="right"/>
              <w:rPr>
                <w:rFonts w:cs="Times New Roman"/>
                <w:sz w:val="16"/>
                <w:szCs w:val="16"/>
              </w:rPr>
            </w:pPr>
            <w:r>
              <w:rPr>
                <w:rFonts w:cs="Times New Roman"/>
                <w:sz w:val="16"/>
                <w:szCs w:val="16"/>
              </w:rPr>
              <w:t>159</w:t>
            </w:r>
          </w:p>
        </w:tc>
        <w:tc>
          <w:tcPr>
            <w:tcW w:w="1170" w:type="dxa"/>
            <w:tcBorders>
              <w:top w:val="nil"/>
              <w:left w:val="nil"/>
              <w:bottom w:val="single" w:sz="4" w:space="0" w:color="auto"/>
              <w:right w:val="nil"/>
            </w:tcBorders>
            <w:shd w:val="clear" w:color="auto" w:fill="auto"/>
            <w:hideMark/>
          </w:tcPr>
          <w:p w14:paraId="25290A26" w14:textId="7D4C1357" w:rsidR="00002FE5" w:rsidRDefault="00A2516A">
            <w:pPr>
              <w:tabs>
                <w:tab w:val="decimal" w:pos="621"/>
              </w:tabs>
              <w:jc w:val="right"/>
              <w:rPr>
                <w:rFonts w:cs="Times New Roman"/>
                <w:sz w:val="16"/>
                <w:szCs w:val="16"/>
              </w:rPr>
            </w:pPr>
            <w:r>
              <w:rPr>
                <w:rFonts w:cs="Times New Roman"/>
                <w:sz w:val="16"/>
                <w:szCs w:val="16"/>
              </w:rPr>
              <w:t>69</w:t>
            </w:r>
          </w:p>
        </w:tc>
        <w:tc>
          <w:tcPr>
            <w:tcW w:w="1260" w:type="dxa"/>
            <w:tcBorders>
              <w:top w:val="nil"/>
              <w:left w:val="nil"/>
              <w:bottom w:val="single" w:sz="4" w:space="0" w:color="auto"/>
              <w:right w:val="nil"/>
            </w:tcBorders>
            <w:shd w:val="clear" w:color="auto" w:fill="auto"/>
            <w:hideMark/>
          </w:tcPr>
          <w:p w14:paraId="32770B54" w14:textId="31535B23" w:rsidR="00002FE5" w:rsidRPr="00A2516A" w:rsidRDefault="00A2516A">
            <w:pPr>
              <w:tabs>
                <w:tab w:val="decimal" w:pos="690"/>
              </w:tabs>
              <w:jc w:val="right"/>
              <w:rPr>
                <w:rFonts w:cs="Times New Roman"/>
                <w:sz w:val="16"/>
                <w:szCs w:val="16"/>
              </w:rPr>
            </w:pPr>
            <w:r w:rsidRPr="00A2516A">
              <w:rPr>
                <w:rFonts w:cs="Times New Roman"/>
                <w:sz w:val="16"/>
                <w:szCs w:val="16"/>
              </w:rPr>
              <w:t>121</w:t>
            </w:r>
          </w:p>
        </w:tc>
        <w:tc>
          <w:tcPr>
            <w:tcW w:w="1350" w:type="dxa"/>
            <w:tcBorders>
              <w:top w:val="nil"/>
              <w:left w:val="nil"/>
              <w:bottom w:val="single" w:sz="4" w:space="0" w:color="auto"/>
              <w:right w:val="nil"/>
            </w:tcBorders>
            <w:shd w:val="clear" w:color="auto" w:fill="auto"/>
            <w:hideMark/>
          </w:tcPr>
          <w:p w14:paraId="1BFA5FD9" w14:textId="54A42593" w:rsidR="00002FE5" w:rsidRPr="00A2516A" w:rsidRDefault="00A2516A">
            <w:pPr>
              <w:tabs>
                <w:tab w:val="decimal" w:pos="731"/>
              </w:tabs>
              <w:jc w:val="right"/>
              <w:rPr>
                <w:rFonts w:cs="Times New Roman"/>
                <w:sz w:val="16"/>
                <w:szCs w:val="16"/>
              </w:rPr>
            </w:pPr>
            <w:r w:rsidRPr="00A2516A">
              <w:rPr>
                <w:rFonts w:cs="Times New Roman"/>
                <w:sz w:val="16"/>
                <w:szCs w:val="16"/>
              </w:rPr>
              <w:t>156</w:t>
            </w:r>
          </w:p>
        </w:tc>
        <w:tc>
          <w:tcPr>
            <w:tcW w:w="1260" w:type="dxa"/>
            <w:tcBorders>
              <w:top w:val="nil"/>
              <w:left w:val="nil"/>
              <w:bottom w:val="single" w:sz="4" w:space="0" w:color="auto"/>
              <w:right w:val="nil"/>
            </w:tcBorders>
            <w:shd w:val="clear" w:color="auto" w:fill="auto"/>
            <w:hideMark/>
          </w:tcPr>
          <w:p w14:paraId="6F3BC280" w14:textId="06862A81" w:rsidR="00002FE5" w:rsidRPr="00A2516A" w:rsidRDefault="00A2516A">
            <w:pPr>
              <w:tabs>
                <w:tab w:val="decimal" w:pos="652"/>
              </w:tabs>
              <w:jc w:val="right"/>
              <w:rPr>
                <w:rFonts w:cs="Times New Roman"/>
                <w:sz w:val="16"/>
                <w:szCs w:val="16"/>
              </w:rPr>
            </w:pPr>
            <w:r w:rsidRPr="00A2516A">
              <w:rPr>
                <w:rFonts w:cs="Times New Roman"/>
                <w:sz w:val="16"/>
                <w:szCs w:val="16"/>
              </w:rPr>
              <w:t>173</w:t>
            </w:r>
          </w:p>
        </w:tc>
        <w:tc>
          <w:tcPr>
            <w:tcW w:w="1260" w:type="dxa"/>
            <w:tcBorders>
              <w:top w:val="nil"/>
              <w:left w:val="nil"/>
              <w:bottom w:val="single" w:sz="4" w:space="0" w:color="auto"/>
              <w:right w:val="nil"/>
            </w:tcBorders>
            <w:shd w:val="clear" w:color="auto" w:fill="auto"/>
            <w:hideMark/>
          </w:tcPr>
          <w:p w14:paraId="62A18AF4" w14:textId="0BBAD89E" w:rsidR="00002FE5" w:rsidRPr="00A2516A" w:rsidRDefault="00A2516A">
            <w:pPr>
              <w:tabs>
                <w:tab w:val="decimal" w:pos="688"/>
              </w:tabs>
              <w:jc w:val="right"/>
              <w:rPr>
                <w:rFonts w:cs="Times New Roman"/>
                <w:sz w:val="16"/>
                <w:szCs w:val="16"/>
              </w:rPr>
            </w:pPr>
            <w:r w:rsidRPr="00A2516A">
              <w:rPr>
                <w:rFonts w:cs="Times New Roman"/>
                <w:sz w:val="16"/>
                <w:szCs w:val="16"/>
              </w:rPr>
              <w:t>190</w:t>
            </w:r>
          </w:p>
        </w:tc>
      </w:tr>
      <w:tr w:rsidR="00002FE5" w14:paraId="0B388A56" w14:textId="77777777" w:rsidTr="00E35C48">
        <w:trPr>
          <w:cantSplit/>
          <w:jc w:val="center"/>
        </w:trPr>
        <w:tc>
          <w:tcPr>
            <w:tcW w:w="2430" w:type="dxa"/>
            <w:shd w:val="clear" w:color="auto" w:fill="auto"/>
            <w:hideMark/>
          </w:tcPr>
          <w:p w14:paraId="7F6E6F59" w14:textId="5689BE0B" w:rsidR="00002FE5" w:rsidRDefault="00002FE5">
            <w:pPr>
              <w:ind w:hanging="11"/>
              <w:jc w:val="left"/>
              <w:rPr>
                <w:rFonts w:cs="Times New Roman"/>
                <w:sz w:val="16"/>
                <w:szCs w:val="16"/>
              </w:rPr>
            </w:pPr>
            <w:r>
              <w:rPr>
                <w:rFonts w:cs="Times New Roman"/>
                <w:sz w:val="16"/>
                <w:szCs w:val="16"/>
              </w:rPr>
              <w:t xml:space="preserve">Total </w:t>
            </w:r>
            <w:r w:rsidR="00B835C5">
              <w:rPr>
                <w:rFonts w:cs="Times New Roman"/>
                <w:sz w:val="16"/>
                <w:szCs w:val="16"/>
              </w:rPr>
              <w:t>t</w:t>
            </w:r>
            <w:r>
              <w:rPr>
                <w:rFonts w:cs="Times New Roman"/>
                <w:sz w:val="16"/>
                <w:szCs w:val="16"/>
              </w:rPr>
              <w:t xml:space="preserve">reatments </w:t>
            </w:r>
          </w:p>
        </w:tc>
        <w:tc>
          <w:tcPr>
            <w:tcW w:w="1350" w:type="dxa"/>
            <w:tcBorders>
              <w:top w:val="single" w:sz="4" w:space="0" w:color="auto"/>
              <w:left w:val="nil"/>
              <w:bottom w:val="double" w:sz="4" w:space="0" w:color="auto"/>
              <w:right w:val="nil"/>
            </w:tcBorders>
            <w:shd w:val="clear" w:color="auto" w:fill="auto"/>
            <w:hideMark/>
          </w:tcPr>
          <w:p w14:paraId="4AB29A66" w14:textId="714361EF" w:rsidR="00002FE5" w:rsidRDefault="00B5103C">
            <w:pPr>
              <w:tabs>
                <w:tab w:val="decimal" w:pos="621"/>
              </w:tabs>
              <w:jc w:val="right"/>
              <w:rPr>
                <w:rFonts w:cs="Times New Roman"/>
                <w:sz w:val="16"/>
                <w:szCs w:val="16"/>
              </w:rPr>
            </w:pPr>
            <w:r>
              <w:rPr>
                <w:rFonts w:cs="Times New Roman"/>
                <w:sz w:val="16"/>
                <w:szCs w:val="16"/>
              </w:rPr>
              <w:t>7,94</w:t>
            </w:r>
            <w:r w:rsidR="000E0EC0">
              <w:rPr>
                <w:rFonts w:cs="Times New Roman"/>
                <w:sz w:val="16"/>
                <w:szCs w:val="16"/>
              </w:rPr>
              <w:t>5</w:t>
            </w:r>
          </w:p>
        </w:tc>
        <w:tc>
          <w:tcPr>
            <w:tcW w:w="1170" w:type="dxa"/>
            <w:tcBorders>
              <w:top w:val="single" w:sz="4" w:space="0" w:color="auto"/>
              <w:left w:val="nil"/>
              <w:bottom w:val="double" w:sz="4" w:space="0" w:color="auto"/>
              <w:right w:val="nil"/>
            </w:tcBorders>
            <w:shd w:val="clear" w:color="auto" w:fill="auto"/>
            <w:hideMark/>
          </w:tcPr>
          <w:p w14:paraId="40DA18A4" w14:textId="5234A975" w:rsidR="00002FE5" w:rsidRDefault="00A2516A">
            <w:pPr>
              <w:tabs>
                <w:tab w:val="decimal" w:pos="621"/>
              </w:tabs>
              <w:jc w:val="right"/>
              <w:rPr>
                <w:rFonts w:cs="Times New Roman"/>
                <w:sz w:val="16"/>
                <w:szCs w:val="16"/>
              </w:rPr>
            </w:pPr>
            <w:r>
              <w:rPr>
                <w:rFonts w:cs="Times New Roman"/>
                <w:sz w:val="16"/>
                <w:szCs w:val="16"/>
              </w:rPr>
              <w:t>277</w:t>
            </w:r>
          </w:p>
        </w:tc>
        <w:tc>
          <w:tcPr>
            <w:tcW w:w="1260" w:type="dxa"/>
            <w:tcBorders>
              <w:top w:val="single" w:sz="4" w:space="0" w:color="auto"/>
              <w:left w:val="nil"/>
              <w:bottom w:val="double" w:sz="4" w:space="0" w:color="auto"/>
              <w:right w:val="nil"/>
            </w:tcBorders>
            <w:shd w:val="clear" w:color="auto" w:fill="auto"/>
            <w:hideMark/>
          </w:tcPr>
          <w:p w14:paraId="09F02067" w14:textId="2A63F872" w:rsidR="00002FE5" w:rsidRPr="00A2516A" w:rsidRDefault="00A2516A">
            <w:pPr>
              <w:tabs>
                <w:tab w:val="decimal" w:pos="690"/>
              </w:tabs>
              <w:jc w:val="right"/>
              <w:rPr>
                <w:rFonts w:cs="Times New Roman"/>
                <w:sz w:val="16"/>
                <w:szCs w:val="16"/>
              </w:rPr>
            </w:pPr>
            <w:r w:rsidRPr="00A2516A">
              <w:rPr>
                <w:rFonts w:cs="Times New Roman"/>
                <w:sz w:val="16"/>
                <w:szCs w:val="16"/>
              </w:rPr>
              <w:t>507</w:t>
            </w:r>
          </w:p>
        </w:tc>
        <w:tc>
          <w:tcPr>
            <w:tcW w:w="1350" w:type="dxa"/>
            <w:tcBorders>
              <w:top w:val="single" w:sz="4" w:space="0" w:color="auto"/>
              <w:left w:val="nil"/>
              <w:bottom w:val="double" w:sz="4" w:space="0" w:color="auto"/>
              <w:right w:val="nil"/>
            </w:tcBorders>
            <w:shd w:val="clear" w:color="auto" w:fill="auto"/>
            <w:hideMark/>
          </w:tcPr>
          <w:p w14:paraId="5C17B435" w14:textId="6824A0A2" w:rsidR="00002FE5" w:rsidRPr="00A2516A" w:rsidRDefault="00A2516A">
            <w:pPr>
              <w:tabs>
                <w:tab w:val="decimal" w:pos="731"/>
              </w:tabs>
              <w:jc w:val="right"/>
              <w:rPr>
                <w:rFonts w:cs="Times New Roman"/>
                <w:sz w:val="16"/>
                <w:szCs w:val="16"/>
              </w:rPr>
            </w:pPr>
            <w:r w:rsidRPr="00A2516A">
              <w:rPr>
                <w:rFonts w:cs="Times New Roman"/>
                <w:sz w:val="16"/>
                <w:szCs w:val="16"/>
              </w:rPr>
              <w:t>720</w:t>
            </w:r>
          </w:p>
        </w:tc>
        <w:tc>
          <w:tcPr>
            <w:tcW w:w="1260" w:type="dxa"/>
            <w:tcBorders>
              <w:top w:val="single" w:sz="4" w:space="0" w:color="auto"/>
              <w:left w:val="nil"/>
              <w:bottom w:val="double" w:sz="4" w:space="0" w:color="auto"/>
              <w:right w:val="nil"/>
            </w:tcBorders>
            <w:shd w:val="clear" w:color="auto" w:fill="auto"/>
            <w:hideMark/>
          </w:tcPr>
          <w:p w14:paraId="14693637" w14:textId="5198A063" w:rsidR="00002FE5" w:rsidRPr="00A2516A" w:rsidRDefault="00A2516A">
            <w:pPr>
              <w:tabs>
                <w:tab w:val="decimal" w:pos="652"/>
              </w:tabs>
              <w:jc w:val="right"/>
              <w:rPr>
                <w:rFonts w:cs="Times New Roman"/>
                <w:sz w:val="16"/>
                <w:szCs w:val="16"/>
              </w:rPr>
            </w:pPr>
            <w:r w:rsidRPr="00A2516A">
              <w:rPr>
                <w:rFonts w:cs="Times New Roman"/>
                <w:sz w:val="16"/>
                <w:szCs w:val="16"/>
              </w:rPr>
              <w:t>915</w:t>
            </w:r>
          </w:p>
        </w:tc>
        <w:tc>
          <w:tcPr>
            <w:tcW w:w="1260" w:type="dxa"/>
            <w:tcBorders>
              <w:top w:val="single" w:sz="4" w:space="0" w:color="auto"/>
              <w:left w:val="nil"/>
              <w:bottom w:val="double" w:sz="4" w:space="0" w:color="auto"/>
              <w:right w:val="nil"/>
            </w:tcBorders>
            <w:shd w:val="clear" w:color="auto" w:fill="auto"/>
            <w:hideMark/>
          </w:tcPr>
          <w:p w14:paraId="2351911B" w14:textId="4F189A4B" w:rsidR="00002FE5" w:rsidRPr="00A2516A" w:rsidRDefault="00A2516A">
            <w:pPr>
              <w:tabs>
                <w:tab w:val="decimal" w:pos="688"/>
              </w:tabs>
              <w:jc w:val="right"/>
              <w:rPr>
                <w:rFonts w:cs="Times New Roman"/>
                <w:sz w:val="16"/>
                <w:szCs w:val="16"/>
              </w:rPr>
            </w:pPr>
            <w:r w:rsidRPr="00A2516A">
              <w:rPr>
                <w:rFonts w:cs="Times New Roman"/>
                <w:sz w:val="16"/>
                <w:szCs w:val="16"/>
              </w:rPr>
              <w:t>1,081</w:t>
            </w:r>
          </w:p>
        </w:tc>
      </w:tr>
      <w:tr w:rsidR="00002FE5" w14:paraId="3DC96B44" w14:textId="77777777" w:rsidTr="00E35C48">
        <w:trPr>
          <w:cantSplit/>
          <w:trHeight w:val="171"/>
          <w:jc w:val="center"/>
        </w:trPr>
        <w:tc>
          <w:tcPr>
            <w:tcW w:w="2430" w:type="dxa"/>
            <w:shd w:val="clear" w:color="auto" w:fill="auto"/>
            <w:hideMark/>
          </w:tcPr>
          <w:p w14:paraId="1A1730BC" w14:textId="77777777" w:rsidR="004F13C0" w:rsidRDefault="004F13C0">
            <w:pPr>
              <w:ind w:left="67" w:hanging="67"/>
              <w:rPr>
                <w:rFonts w:cs="Times New Roman"/>
                <w:sz w:val="16"/>
                <w:szCs w:val="16"/>
              </w:rPr>
            </w:pPr>
          </w:p>
          <w:p w14:paraId="131FAA56" w14:textId="70A236A4" w:rsidR="00002FE5" w:rsidRDefault="00002FE5">
            <w:pPr>
              <w:ind w:left="67" w:hanging="67"/>
              <w:rPr>
                <w:rFonts w:cs="Times New Roman"/>
                <w:sz w:val="16"/>
                <w:szCs w:val="16"/>
              </w:rPr>
            </w:pPr>
            <w:r>
              <w:rPr>
                <w:rFonts w:cs="Times New Roman"/>
                <w:sz w:val="16"/>
                <w:szCs w:val="16"/>
              </w:rPr>
              <w:t>Total revenue, net</w:t>
            </w:r>
          </w:p>
        </w:tc>
        <w:tc>
          <w:tcPr>
            <w:tcW w:w="1350" w:type="dxa"/>
            <w:shd w:val="clear" w:color="auto" w:fill="auto"/>
            <w:hideMark/>
          </w:tcPr>
          <w:p w14:paraId="762C604E" w14:textId="77777777" w:rsidR="004F13C0" w:rsidRDefault="004F13C0">
            <w:pPr>
              <w:tabs>
                <w:tab w:val="decimal" w:pos="621"/>
              </w:tabs>
              <w:jc w:val="right"/>
              <w:rPr>
                <w:rFonts w:cs="Times New Roman"/>
                <w:sz w:val="16"/>
                <w:szCs w:val="16"/>
              </w:rPr>
            </w:pPr>
          </w:p>
          <w:p w14:paraId="40D65559" w14:textId="06B55938" w:rsidR="00002FE5" w:rsidRDefault="00002FE5">
            <w:pPr>
              <w:tabs>
                <w:tab w:val="decimal" w:pos="621"/>
              </w:tabs>
              <w:jc w:val="right"/>
              <w:rPr>
                <w:rFonts w:cs="Times New Roman"/>
                <w:sz w:val="16"/>
                <w:szCs w:val="16"/>
              </w:rPr>
            </w:pPr>
            <w:r>
              <w:rPr>
                <w:rFonts w:cs="Times New Roman"/>
                <w:sz w:val="16"/>
                <w:szCs w:val="16"/>
              </w:rPr>
              <w:t>-</w:t>
            </w:r>
          </w:p>
        </w:tc>
        <w:tc>
          <w:tcPr>
            <w:tcW w:w="1170" w:type="dxa"/>
            <w:tcBorders>
              <w:top w:val="double" w:sz="4" w:space="0" w:color="auto"/>
              <w:left w:val="nil"/>
              <w:bottom w:val="nil"/>
              <w:right w:val="nil"/>
            </w:tcBorders>
            <w:shd w:val="clear" w:color="auto" w:fill="auto"/>
            <w:hideMark/>
          </w:tcPr>
          <w:p w14:paraId="45CBF417" w14:textId="77777777" w:rsidR="004F13C0" w:rsidRDefault="004F13C0">
            <w:pPr>
              <w:tabs>
                <w:tab w:val="decimal" w:pos="621"/>
              </w:tabs>
              <w:jc w:val="right"/>
              <w:rPr>
                <w:rFonts w:cs="Times New Roman"/>
                <w:sz w:val="16"/>
                <w:szCs w:val="16"/>
              </w:rPr>
            </w:pPr>
          </w:p>
          <w:p w14:paraId="79950255" w14:textId="21681964" w:rsidR="00002FE5" w:rsidRDefault="00002FE5">
            <w:pPr>
              <w:tabs>
                <w:tab w:val="decimal" w:pos="621"/>
              </w:tabs>
              <w:jc w:val="right"/>
              <w:rPr>
                <w:rFonts w:cs="Times New Roman"/>
                <w:sz w:val="16"/>
                <w:szCs w:val="16"/>
              </w:rPr>
            </w:pPr>
            <w:r>
              <w:rPr>
                <w:rFonts w:cs="Times New Roman"/>
                <w:sz w:val="16"/>
                <w:szCs w:val="16"/>
              </w:rPr>
              <w:t xml:space="preserve">$        </w:t>
            </w:r>
            <w:r w:rsidR="0066506B">
              <w:rPr>
                <w:rFonts w:cs="Times New Roman"/>
                <w:sz w:val="16"/>
                <w:szCs w:val="16"/>
              </w:rPr>
              <w:t>239,505</w:t>
            </w:r>
          </w:p>
        </w:tc>
        <w:tc>
          <w:tcPr>
            <w:tcW w:w="1260" w:type="dxa"/>
            <w:tcBorders>
              <w:top w:val="double" w:sz="4" w:space="0" w:color="auto"/>
              <w:left w:val="nil"/>
              <w:bottom w:val="nil"/>
              <w:right w:val="nil"/>
            </w:tcBorders>
            <w:shd w:val="clear" w:color="auto" w:fill="auto"/>
            <w:hideMark/>
          </w:tcPr>
          <w:p w14:paraId="48FB8F69" w14:textId="77777777" w:rsidR="004F13C0" w:rsidRDefault="004F13C0">
            <w:pPr>
              <w:tabs>
                <w:tab w:val="decimal" w:pos="750"/>
              </w:tabs>
              <w:jc w:val="right"/>
              <w:rPr>
                <w:rFonts w:cs="Times New Roman"/>
                <w:sz w:val="16"/>
                <w:szCs w:val="16"/>
              </w:rPr>
            </w:pPr>
          </w:p>
          <w:p w14:paraId="64877043" w14:textId="2AEE0659" w:rsidR="00002FE5" w:rsidRDefault="00002FE5">
            <w:pPr>
              <w:tabs>
                <w:tab w:val="decimal" w:pos="750"/>
              </w:tabs>
              <w:jc w:val="right"/>
              <w:rPr>
                <w:rFonts w:cs="Times New Roman"/>
                <w:sz w:val="16"/>
                <w:szCs w:val="16"/>
              </w:rPr>
            </w:pPr>
            <w:r>
              <w:rPr>
                <w:rFonts w:cs="Times New Roman"/>
                <w:sz w:val="16"/>
                <w:szCs w:val="16"/>
              </w:rPr>
              <w:t xml:space="preserve">$          </w:t>
            </w:r>
            <w:r w:rsidR="0066506B">
              <w:rPr>
                <w:rFonts w:cs="Times New Roman"/>
                <w:sz w:val="16"/>
                <w:szCs w:val="16"/>
              </w:rPr>
              <w:t>442,569</w:t>
            </w:r>
          </w:p>
        </w:tc>
        <w:tc>
          <w:tcPr>
            <w:tcW w:w="1350" w:type="dxa"/>
            <w:tcBorders>
              <w:top w:val="double" w:sz="4" w:space="0" w:color="auto"/>
              <w:left w:val="nil"/>
              <w:bottom w:val="nil"/>
              <w:right w:val="nil"/>
            </w:tcBorders>
            <w:shd w:val="clear" w:color="auto" w:fill="auto"/>
            <w:hideMark/>
          </w:tcPr>
          <w:p w14:paraId="6BC5C653" w14:textId="77777777" w:rsidR="004F13C0" w:rsidRDefault="004F13C0">
            <w:pPr>
              <w:tabs>
                <w:tab w:val="decimal" w:pos="750"/>
              </w:tabs>
              <w:jc w:val="right"/>
              <w:rPr>
                <w:rFonts w:cs="Times New Roman"/>
                <w:sz w:val="16"/>
                <w:szCs w:val="16"/>
              </w:rPr>
            </w:pPr>
          </w:p>
          <w:p w14:paraId="3AEA9E12" w14:textId="2F262E61" w:rsidR="00002FE5" w:rsidRDefault="00002FE5">
            <w:pPr>
              <w:tabs>
                <w:tab w:val="decimal" w:pos="750"/>
              </w:tabs>
              <w:jc w:val="right"/>
              <w:rPr>
                <w:rFonts w:cs="Times New Roman"/>
                <w:sz w:val="16"/>
                <w:szCs w:val="16"/>
              </w:rPr>
            </w:pPr>
            <w:r>
              <w:rPr>
                <w:rFonts w:cs="Times New Roman"/>
                <w:sz w:val="16"/>
                <w:szCs w:val="16"/>
              </w:rPr>
              <w:t xml:space="preserve">$             </w:t>
            </w:r>
            <w:r w:rsidR="0066506B">
              <w:rPr>
                <w:rFonts w:cs="Times New Roman"/>
                <w:sz w:val="16"/>
                <w:szCs w:val="16"/>
              </w:rPr>
              <w:t>625,089</w:t>
            </w:r>
          </w:p>
        </w:tc>
        <w:tc>
          <w:tcPr>
            <w:tcW w:w="1260" w:type="dxa"/>
            <w:tcBorders>
              <w:top w:val="double" w:sz="4" w:space="0" w:color="auto"/>
              <w:left w:val="nil"/>
              <w:bottom w:val="nil"/>
              <w:right w:val="nil"/>
            </w:tcBorders>
            <w:shd w:val="clear" w:color="auto" w:fill="auto"/>
            <w:hideMark/>
          </w:tcPr>
          <w:p w14:paraId="154C1C5C" w14:textId="77777777" w:rsidR="004F13C0" w:rsidRDefault="004F13C0">
            <w:pPr>
              <w:tabs>
                <w:tab w:val="decimal" w:pos="750"/>
              </w:tabs>
              <w:jc w:val="right"/>
              <w:rPr>
                <w:rFonts w:cs="Times New Roman"/>
                <w:sz w:val="16"/>
                <w:szCs w:val="16"/>
              </w:rPr>
            </w:pPr>
          </w:p>
          <w:p w14:paraId="55BEE950" w14:textId="6CDE85C9" w:rsidR="00002FE5" w:rsidRDefault="00002FE5">
            <w:pPr>
              <w:tabs>
                <w:tab w:val="decimal" w:pos="750"/>
              </w:tabs>
              <w:jc w:val="right"/>
              <w:rPr>
                <w:rFonts w:cs="Times New Roman"/>
                <w:sz w:val="16"/>
                <w:szCs w:val="16"/>
              </w:rPr>
            </w:pPr>
            <w:r>
              <w:rPr>
                <w:rFonts w:cs="Times New Roman"/>
                <w:sz w:val="16"/>
                <w:szCs w:val="16"/>
              </w:rPr>
              <w:t xml:space="preserve">$         </w:t>
            </w:r>
            <w:r w:rsidR="0066506B">
              <w:rPr>
                <w:rFonts w:cs="Times New Roman"/>
                <w:sz w:val="16"/>
                <w:szCs w:val="16"/>
              </w:rPr>
              <w:t>784,673</w:t>
            </w:r>
          </w:p>
        </w:tc>
        <w:tc>
          <w:tcPr>
            <w:tcW w:w="1260" w:type="dxa"/>
            <w:tcBorders>
              <w:top w:val="double" w:sz="4" w:space="0" w:color="auto"/>
              <w:left w:val="nil"/>
              <w:bottom w:val="nil"/>
              <w:right w:val="nil"/>
            </w:tcBorders>
            <w:shd w:val="clear" w:color="auto" w:fill="auto"/>
            <w:hideMark/>
          </w:tcPr>
          <w:p w14:paraId="3247D2D6" w14:textId="77777777" w:rsidR="004F13C0" w:rsidRDefault="004F13C0">
            <w:pPr>
              <w:tabs>
                <w:tab w:val="decimal" w:pos="750"/>
              </w:tabs>
              <w:jc w:val="right"/>
              <w:rPr>
                <w:rFonts w:cs="Times New Roman"/>
                <w:sz w:val="16"/>
                <w:szCs w:val="16"/>
              </w:rPr>
            </w:pPr>
          </w:p>
          <w:p w14:paraId="18097490" w14:textId="1F5D3DCC" w:rsidR="00002FE5" w:rsidRDefault="00002FE5">
            <w:pPr>
              <w:tabs>
                <w:tab w:val="decimal" w:pos="750"/>
              </w:tabs>
              <w:jc w:val="right"/>
              <w:rPr>
                <w:rFonts w:cs="Times New Roman"/>
                <w:sz w:val="16"/>
                <w:szCs w:val="16"/>
              </w:rPr>
            </w:pPr>
            <w:r>
              <w:rPr>
                <w:rFonts w:cs="Times New Roman"/>
                <w:sz w:val="16"/>
                <w:szCs w:val="16"/>
              </w:rPr>
              <w:t xml:space="preserve">$          </w:t>
            </w:r>
            <w:r w:rsidR="0066506B">
              <w:rPr>
                <w:rFonts w:cs="Times New Roman"/>
                <w:sz w:val="16"/>
                <w:szCs w:val="16"/>
              </w:rPr>
              <w:t>932,241</w:t>
            </w:r>
          </w:p>
        </w:tc>
      </w:tr>
      <w:tr w:rsidR="00002FE5" w14:paraId="12263BC5" w14:textId="77777777" w:rsidTr="00E35C48">
        <w:trPr>
          <w:cantSplit/>
          <w:trHeight w:val="171"/>
          <w:jc w:val="center"/>
        </w:trPr>
        <w:tc>
          <w:tcPr>
            <w:tcW w:w="2430" w:type="dxa"/>
            <w:shd w:val="clear" w:color="auto" w:fill="auto"/>
            <w:hideMark/>
          </w:tcPr>
          <w:p w14:paraId="7324D6F5" w14:textId="37E5540A" w:rsidR="00002FE5" w:rsidRDefault="00002FE5">
            <w:pPr>
              <w:ind w:left="67" w:hanging="67"/>
              <w:rPr>
                <w:rFonts w:cs="Times New Roman"/>
                <w:sz w:val="16"/>
                <w:szCs w:val="16"/>
              </w:rPr>
            </w:pPr>
            <w:r>
              <w:rPr>
                <w:rFonts w:cs="Times New Roman"/>
                <w:sz w:val="16"/>
                <w:szCs w:val="16"/>
              </w:rPr>
              <w:t xml:space="preserve">Net revenue per </w:t>
            </w:r>
            <w:r w:rsidR="00907EF7">
              <w:rPr>
                <w:rFonts w:cs="Times New Roman"/>
                <w:sz w:val="16"/>
                <w:szCs w:val="16"/>
              </w:rPr>
              <w:t xml:space="preserve">new start </w:t>
            </w:r>
          </w:p>
        </w:tc>
        <w:tc>
          <w:tcPr>
            <w:tcW w:w="1350" w:type="dxa"/>
            <w:shd w:val="clear" w:color="auto" w:fill="auto"/>
            <w:hideMark/>
          </w:tcPr>
          <w:p w14:paraId="67576B3D" w14:textId="77777777" w:rsidR="00002FE5" w:rsidRDefault="00002FE5">
            <w:pPr>
              <w:tabs>
                <w:tab w:val="decimal" w:pos="621"/>
              </w:tabs>
              <w:jc w:val="right"/>
              <w:rPr>
                <w:rFonts w:cs="Times New Roman"/>
                <w:sz w:val="16"/>
                <w:szCs w:val="16"/>
              </w:rPr>
            </w:pPr>
            <w:r>
              <w:rPr>
                <w:rFonts w:cs="Times New Roman"/>
                <w:sz w:val="16"/>
                <w:szCs w:val="16"/>
              </w:rPr>
              <w:t>-</w:t>
            </w:r>
          </w:p>
        </w:tc>
        <w:tc>
          <w:tcPr>
            <w:tcW w:w="1170" w:type="dxa"/>
            <w:shd w:val="clear" w:color="auto" w:fill="auto"/>
            <w:hideMark/>
          </w:tcPr>
          <w:p w14:paraId="1FB9F547" w14:textId="61C48B44" w:rsidR="00002FE5" w:rsidRDefault="00002FE5">
            <w:pPr>
              <w:tabs>
                <w:tab w:val="decimal" w:pos="621"/>
              </w:tabs>
              <w:jc w:val="right"/>
              <w:rPr>
                <w:rFonts w:cs="Times New Roman"/>
                <w:sz w:val="16"/>
                <w:szCs w:val="16"/>
              </w:rPr>
            </w:pPr>
            <w:r>
              <w:rPr>
                <w:rFonts w:cs="Times New Roman"/>
                <w:sz w:val="16"/>
                <w:szCs w:val="16"/>
              </w:rPr>
              <w:t xml:space="preserve">$        </w:t>
            </w:r>
            <w:r w:rsidR="0066506B">
              <w:rPr>
                <w:rFonts w:cs="Times New Roman"/>
                <w:sz w:val="16"/>
                <w:szCs w:val="16"/>
              </w:rPr>
              <w:t xml:space="preserve">   </w:t>
            </w:r>
            <w:r>
              <w:rPr>
                <w:rFonts w:cs="Times New Roman"/>
                <w:sz w:val="16"/>
                <w:szCs w:val="16"/>
              </w:rPr>
              <w:t xml:space="preserve"> </w:t>
            </w:r>
            <w:r w:rsidR="00F235A4">
              <w:rPr>
                <w:rFonts w:cs="Times New Roman"/>
                <w:sz w:val="16"/>
                <w:szCs w:val="16"/>
              </w:rPr>
              <w:t>7,983</w:t>
            </w:r>
          </w:p>
        </w:tc>
        <w:tc>
          <w:tcPr>
            <w:tcW w:w="1260" w:type="dxa"/>
            <w:shd w:val="clear" w:color="auto" w:fill="auto"/>
            <w:hideMark/>
          </w:tcPr>
          <w:p w14:paraId="3C0370C5" w14:textId="43D23335" w:rsidR="00002FE5" w:rsidRDefault="00002FE5">
            <w:pPr>
              <w:tabs>
                <w:tab w:val="decimal" w:pos="750"/>
              </w:tabs>
              <w:jc w:val="right"/>
              <w:rPr>
                <w:rFonts w:cs="Times New Roman"/>
                <w:sz w:val="16"/>
                <w:szCs w:val="16"/>
              </w:rPr>
            </w:pPr>
            <w:r>
              <w:rPr>
                <w:rFonts w:cs="Times New Roman"/>
                <w:sz w:val="16"/>
                <w:szCs w:val="16"/>
              </w:rPr>
              <w:t xml:space="preserve">$    </w:t>
            </w:r>
            <w:r w:rsidR="0066506B">
              <w:rPr>
                <w:rFonts w:cs="Times New Roman"/>
                <w:sz w:val="16"/>
                <w:szCs w:val="16"/>
              </w:rPr>
              <w:t xml:space="preserve">   </w:t>
            </w:r>
            <w:r>
              <w:rPr>
                <w:rFonts w:cs="Times New Roman"/>
                <w:sz w:val="16"/>
                <w:szCs w:val="16"/>
              </w:rPr>
              <w:t xml:space="preserve">       </w:t>
            </w:r>
            <w:r w:rsidR="00F235A4">
              <w:rPr>
                <w:rFonts w:cs="Times New Roman"/>
                <w:sz w:val="16"/>
                <w:szCs w:val="16"/>
              </w:rPr>
              <w:t>8,196</w:t>
            </w:r>
          </w:p>
        </w:tc>
        <w:tc>
          <w:tcPr>
            <w:tcW w:w="1350" w:type="dxa"/>
            <w:shd w:val="clear" w:color="auto" w:fill="auto"/>
            <w:hideMark/>
          </w:tcPr>
          <w:p w14:paraId="6B0A1672" w14:textId="5D9A298A" w:rsidR="00002FE5" w:rsidRDefault="00002FE5">
            <w:pPr>
              <w:tabs>
                <w:tab w:val="decimal" w:pos="750"/>
              </w:tabs>
              <w:jc w:val="right"/>
              <w:rPr>
                <w:rFonts w:cs="Times New Roman"/>
                <w:sz w:val="16"/>
                <w:szCs w:val="16"/>
              </w:rPr>
            </w:pPr>
            <w:r>
              <w:rPr>
                <w:rFonts w:cs="Times New Roman"/>
                <w:sz w:val="16"/>
                <w:szCs w:val="16"/>
              </w:rPr>
              <w:t xml:space="preserve">$                 </w:t>
            </w:r>
            <w:r w:rsidR="00F235A4">
              <w:rPr>
                <w:rFonts w:cs="Times New Roman"/>
                <w:sz w:val="16"/>
                <w:szCs w:val="16"/>
              </w:rPr>
              <w:t>8,563</w:t>
            </w:r>
            <w:r>
              <w:rPr>
                <w:rFonts w:cs="Times New Roman"/>
                <w:sz w:val="16"/>
                <w:szCs w:val="16"/>
              </w:rPr>
              <w:t xml:space="preserve">                 </w:t>
            </w:r>
          </w:p>
        </w:tc>
        <w:tc>
          <w:tcPr>
            <w:tcW w:w="1260" w:type="dxa"/>
            <w:shd w:val="clear" w:color="auto" w:fill="auto"/>
            <w:hideMark/>
          </w:tcPr>
          <w:p w14:paraId="7D0C0E4B" w14:textId="301E0018" w:rsidR="00002FE5" w:rsidRDefault="00002FE5">
            <w:pPr>
              <w:tabs>
                <w:tab w:val="decimal" w:pos="750"/>
              </w:tabs>
              <w:jc w:val="right"/>
              <w:rPr>
                <w:rFonts w:cs="Times New Roman"/>
                <w:sz w:val="16"/>
                <w:szCs w:val="16"/>
              </w:rPr>
            </w:pPr>
            <w:r>
              <w:rPr>
                <w:rFonts w:cs="Times New Roman"/>
                <w:sz w:val="16"/>
                <w:szCs w:val="16"/>
              </w:rPr>
              <w:t xml:space="preserve">$              </w:t>
            </w:r>
            <w:r w:rsidR="00F235A4">
              <w:rPr>
                <w:rFonts w:cs="Times New Roman"/>
                <w:sz w:val="16"/>
                <w:szCs w:val="16"/>
              </w:rPr>
              <w:t>9,019</w:t>
            </w:r>
            <w:r w:rsidR="0066506B">
              <w:rPr>
                <w:rFonts w:cs="Times New Roman"/>
                <w:sz w:val="16"/>
                <w:szCs w:val="16"/>
              </w:rPr>
              <w:t xml:space="preserve"> </w:t>
            </w:r>
          </w:p>
        </w:tc>
        <w:tc>
          <w:tcPr>
            <w:tcW w:w="1260" w:type="dxa"/>
            <w:shd w:val="clear" w:color="auto" w:fill="auto"/>
            <w:hideMark/>
          </w:tcPr>
          <w:p w14:paraId="528D4F40" w14:textId="37063DAF" w:rsidR="00002FE5" w:rsidRDefault="00002FE5">
            <w:pPr>
              <w:tabs>
                <w:tab w:val="decimal" w:pos="750"/>
              </w:tabs>
              <w:jc w:val="right"/>
              <w:rPr>
                <w:rFonts w:cs="Times New Roman"/>
                <w:sz w:val="16"/>
                <w:szCs w:val="16"/>
              </w:rPr>
            </w:pPr>
            <w:r>
              <w:rPr>
                <w:rFonts w:cs="Times New Roman"/>
                <w:sz w:val="16"/>
                <w:szCs w:val="16"/>
              </w:rPr>
              <w:t xml:space="preserve">$              </w:t>
            </w:r>
            <w:r w:rsidR="00F235A4">
              <w:rPr>
                <w:rFonts w:cs="Times New Roman"/>
                <w:sz w:val="16"/>
                <w:szCs w:val="16"/>
              </w:rPr>
              <w:t>9,322</w:t>
            </w:r>
          </w:p>
        </w:tc>
      </w:tr>
      <w:bookmarkEnd w:id="5"/>
    </w:tbl>
    <w:p w14:paraId="403A503A" w14:textId="77777777" w:rsidR="00EE0912" w:rsidRDefault="00EE0912" w:rsidP="00EE0912">
      <w:pPr>
        <w:widowControl w:val="0"/>
        <w:spacing w:after="0" w:line="240" w:lineRule="auto"/>
        <w:ind w:left="360"/>
        <w:jc w:val="both"/>
        <w:rPr>
          <w:rFonts w:ascii="Times New Roman" w:hAnsi="Times New Roman" w:cs="Times New Roman"/>
        </w:rPr>
      </w:pPr>
    </w:p>
    <w:p w14:paraId="3A3CDAC4" w14:textId="7527C489" w:rsidR="00433D8B" w:rsidRDefault="00EE0912" w:rsidP="00EB73A6">
      <w:pPr>
        <w:widowControl w:val="0"/>
        <w:spacing w:after="0" w:line="240" w:lineRule="auto"/>
        <w:ind w:left="360"/>
        <w:jc w:val="both"/>
        <w:rPr>
          <w:rFonts w:ascii="Times New Roman" w:hAnsi="Times New Roman" w:cs="Times New Roman"/>
        </w:rPr>
      </w:pPr>
      <w:r>
        <w:rPr>
          <w:rFonts w:ascii="Times New Roman" w:hAnsi="Times New Roman" w:cs="Times New Roman"/>
        </w:rPr>
        <w:t xml:space="preserve">Per review of historical reimbursement rates for the year ended September 30, 2022, the average reimbursement </w:t>
      </w:r>
      <w:r w:rsidR="00FB0A3C">
        <w:rPr>
          <w:rFonts w:ascii="Times New Roman" w:hAnsi="Times New Roman" w:cs="Times New Roman"/>
        </w:rPr>
        <w:t xml:space="preserve">for 3D, IMRT, and SBRT is approximately </w:t>
      </w:r>
      <w:r w:rsidR="001B32F1">
        <w:rPr>
          <w:rFonts w:ascii="Times New Roman" w:hAnsi="Times New Roman" w:cs="Times New Roman"/>
        </w:rPr>
        <w:t>$</w:t>
      </w:r>
      <w:r w:rsidR="00C37DED">
        <w:rPr>
          <w:rFonts w:ascii="Times New Roman" w:hAnsi="Times New Roman" w:cs="Times New Roman"/>
        </w:rPr>
        <w:t>4,562</w:t>
      </w:r>
      <w:r w:rsidR="001B32F1">
        <w:rPr>
          <w:rFonts w:ascii="Times New Roman" w:hAnsi="Times New Roman" w:cs="Times New Roman"/>
        </w:rPr>
        <w:t>, $</w:t>
      </w:r>
      <w:r w:rsidR="00C37DED">
        <w:rPr>
          <w:rFonts w:ascii="Times New Roman" w:hAnsi="Times New Roman" w:cs="Times New Roman"/>
        </w:rPr>
        <w:t>18,141</w:t>
      </w:r>
      <w:r w:rsidR="001B32F1">
        <w:rPr>
          <w:rFonts w:ascii="Times New Roman" w:hAnsi="Times New Roman" w:cs="Times New Roman"/>
        </w:rPr>
        <w:t>, and $</w:t>
      </w:r>
      <w:r w:rsidR="00C37DED">
        <w:rPr>
          <w:rFonts w:ascii="Times New Roman" w:hAnsi="Times New Roman" w:cs="Times New Roman"/>
        </w:rPr>
        <w:t>5,951</w:t>
      </w:r>
      <w:r w:rsidR="005539B4">
        <w:rPr>
          <w:rFonts w:ascii="Times New Roman" w:hAnsi="Times New Roman" w:cs="Times New Roman"/>
        </w:rPr>
        <w:t xml:space="preserve"> </w:t>
      </w:r>
      <w:r w:rsidR="001B32F1">
        <w:rPr>
          <w:rFonts w:ascii="Times New Roman" w:hAnsi="Times New Roman" w:cs="Times New Roman"/>
        </w:rPr>
        <w:t xml:space="preserve">per </w:t>
      </w:r>
      <w:r w:rsidR="00DA0F34">
        <w:rPr>
          <w:rFonts w:ascii="Times New Roman" w:hAnsi="Times New Roman" w:cs="Times New Roman"/>
        </w:rPr>
        <w:t>new start</w:t>
      </w:r>
      <w:r w:rsidR="005539B4">
        <w:rPr>
          <w:rFonts w:ascii="Times New Roman" w:hAnsi="Times New Roman" w:cs="Times New Roman"/>
        </w:rPr>
        <w:t>, respectively</w:t>
      </w:r>
      <w:r w:rsidR="001B32F1">
        <w:rPr>
          <w:rFonts w:ascii="Times New Roman" w:hAnsi="Times New Roman" w:cs="Times New Roman"/>
        </w:rPr>
        <w:t xml:space="preserve">. </w:t>
      </w:r>
      <w:r w:rsidR="00EB73A6">
        <w:rPr>
          <w:rFonts w:ascii="Times New Roman" w:hAnsi="Times New Roman" w:cs="Times New Roman"/>
        </w:rPr>
        <w:t xml:space="preserve">The above net revenue </w:t>
      </w:r>
      <w:r w:rsidR="00630DEE">
        <w:rPr>
          <w:rFonts w:ascii="Times New Roman" w:hAnsi="Times New Roman" w:cs="Times New Roman"/>
        </w:rPr>
        <w:t xml:space="preserve">per </w:t>
      </w:r>
      <w:r w:rsidR="00907EF7">
        <w:rPr>
          <w:rFonts w:ascii="Times New Roman" w:hAnsi="Times New Roman" w:cs="Times New Roman"/>
        </w:rPr>
        <w:t>new start</w:t>
      </w:r>
      <w:r w:rsidR="003E0BDA">
        <w:rPr>
          <w:rFonts w:ascii="Times New Roman" w:hAnsi="Times New Roman" w:cs="Times New Roman"/>
        </w:rPr>
        <w:t xml:space="preserve"> </w:t>
      </w:r>
      <w:r w:rsidR="00EB73A6">
        <w:rPr>
          <w:rFonts w:ascii="Times New Roman" w:hAnsi="Times New Roman" w:cs="Times New Roman"/>
        </w:rPr>
        <w:t>is a blended rate based on type and number of treatments performed.</w:t>
      </w:r>
      <w:r w:rsidR="003E0BDA">
        <w:rPr>
          <w:rFonts w:ascii="Times New Roman" w:hAnsi="Times New Roman" w:cs="Times New Roman"/>
        </w:rPr>
        <w:t xml:space="preserve"> </w:t>
      </w:r>
    </w:p>
    <w:p w14:paraId="5FF8E98C" w14:textId="522B2474" w:rsidR="000646F7" w:rsidRPr="009E10C8" w:rsidRDefault="006D7174" w:rsidP="000646F7">
      <w:pPr>
        <w:spacing w:after="0" w:line="240" w:lineRule="auto"/>
        <w:rPr>
          <w:rFonts w:ascii="Times New Roman" w:hAnsi="Times New Roman" w:cs="Times New Roman"/>
        </w:rPr>
      </w:pPr>
      <w:r>
        <w:rPr>
          <w:rFonts w:ascii="Times New Roman" w:hAnsi="Times New Roman" w:cs="Times New Roman"/>
        </w:rPr>
        <w:br w:type="page"/>
      </w:r>
      <w:r w:rsidR="000646F7" w:rsidRPr="009E10C8">
        <w:rPr>
          <w:rFonts w:ascii="Times New Roman" w:hAnsi="Times New Roman" w:cs="Times New Roman"/>
        </w:rPr>
        <w:lastRenderedPageBreak/>
        <w:t xml:space="preserve">Mr. </w:t>
      </w:r>
      <w:r w:rsidR="000646F7">
        <w:rPr>
          <w:rFonts w:ascii="Times New Roman" w:hAnsi="Times New Roman" w:cs="Times New Roman"/>
        </w:rPr>
        <w:t>Jim Jenkins</w:t>
      </w:r>
    </w:p>
    <w:p w14:paraId="03B8A8D3" w14:textId="77777777" w:rsidR="00727986" w:rsidRPr="00D11B75" w:rsidRDefault="00727986" w:rsidP="00727986">
      <w:pPr>
        <w:spacing w:after="0" w:line="240" w:lineRule="auto"/>
        <w:rPr>
          <w:rFonts w:ascii="Times New Roman" w:hAnsi="Times New Roman" w:cs="Times New Roman"/>
        </w:rPr>
      </w:pPr>
      <w:r>
        <w:rPr>
          <w:rFonts w:ascii="Times New Roman" w:hAnsi="Times New Roman" w:cs="Times New Roman"/>
        </w:rPr>
        <w:t xml:space="preserve">Beth Israel Deaconess Hospital – Plymouth, Inc. </w:t>
      </w:r>
    </w:p>
    <w:p w14:paraId="1CF45787" w14:textId="5AACF472" w:rsidR="002367C6" w:rsidRPr="00E72ED7" w:rsidRDefault="002367C6" w:rsidP="002367C6">
      <w:pPr>
        <w:spacing w:after="0" w:line="240" w:lineRule="auto"/>
        <w:rPr>
          <w:rFonts w:ascii="Times New Roman" w:hAnsi="Times New Roman" w:cs="Times New Roman"/>
        </w:rPr>
      </w:pPr>
      <w:r w:rsidRPr="000C3EAA">
        <w:rPr>
          <w:rFonts w:ascii="Times New Roman" w:hAnsi="Times New Roman" w:cs="Times New Roman"/>
        </w:rPr>
        <w:t xml:space="preserve">September </w:t>
      </w:r>
      <w:r w:rsidR="000C3EAA" w:rsidRPr="000C3EAA">
        <w:rPr>
          <w:rFonts w:ascii="Times New Roman" w:hAnsi="Times New Roman" w:cs="Times New Roman"/>
        </w:rPr>
        <w:t>28</w:t>
      </w:r>
      <w:r w:rsidRPr="000C3EAA">
        <w:rPr>
          <w:rFonts w:ascii="Times New Roman" w:hAnsi="Times New Roman" w:cs="Times New Roman"/>
        </w:rPr>
        <w:t>, 2023</w:t>
      </w:r>
    </w:p>
    <w:p w14:paraId="0EDCAAF8" w14:textId="77777777" w:rsidR="006014C2" w:rsidRDefault="006014C2" w:rsidP="006014C2">
      <w:pPr>
        <w:widowControl w:val="0"/>
        <w:spacing w:after="0" w:line="240" w:lineRule="auto"/>
        <w:rPr>
          <w:rFonts w:ascii="Times New Roman" w:hAnsi="Times New Roman" w:cs="Times New Roman"/>
          <w:highlight w:val="yellow"/>
        </w:rPr>
      </w:pPr>
    </w:p>
    <w:p w14:paraId="2ABAF444" w14:textId="77777777" w:rsidR="00784922" w:rsidRPr="005D25CC" w:rsidRDefault="00784922" w:rsidP="006014C2">
      <w:pPr>
        <w:widowControl w:val="0"/>
        <w:spacing w:after="0" w:line="240" w:lineRule="auto"/>
        <w:rPr>
          <w:rFonts w:ascii="Times New Roman" w:hAnsi="Times New Roman" w:cs="Times New Roman"/>
          <w:highlight w:val="yellow"/>
        </w:rPr>
      </w:pPr>
    </w:p>
    <w:p w14:paraId="4D8998F2" w14:textId="584D1AF3" w:rsidR="006014C2" w:rsidRPr="00D95092" w:rsidRDefault="006014C2" w:rsidP="00D95092">
      <w:pPr>
        <w:pStyle w:val="Heading3"/>
        <w:numPr>
          <w:ilvl w:val="0"/>
          <w:numId w:val="35"/>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 xml:space="preserve">Review of the </w:t>
      </w:r>
      <w:r w:rsidR="0032017C" w:rsidRPr="00D95092">
        <w:rPr>
          <w:rStyle w:val="SubtleEmphasis"/>
          <w:rFonts w:ascii="Times New Roman" w:hAnsi="Times New Roman" w:cs="Times New Roman"/>
          <w:b/>
          <w:i w:val="0"/>
          <w:iCs w:val="0"/>
          <w:color w:val="auto"/>
          <w:sz w:val="22"/>
          <w:szCs w:val="22"/>
          <w:u w:val="single"/>
        </w:rPr>
        <w:t>Projections (</w:t>
      </w:r>
      <w:r w:rsidRPr="00D95092">
        <w:rPr>
          <w:rStyle w:val="SubtleEmphasis"/>
          <w:rFonts w:ascii="Times New Roman" w:hAnsi="Times New Roman" w:cs="Times New Roman"/>
          <w:b/>
          <w:i w:val="0"/>
          <w:iCs w:val="0"/>
          <w:color w:val="auto"/>
          <w:sz w:val="22"/>
          <w:szCs w:val="22"/>
          <w:u w:val="single"/>
        </w:rPr>
        <w:t>continued)</w:t>
      </w:r>
    </w:p>
    <w:p w14:paraId="7A5AA9E0" w14:textId="77777777" w:rsidR="00451336" w:rsidRDefault="00451336" w:rsidP="00451336">
      <w:pPr>
        <w:pStyle w:val="ListParagraph"/>
        <w:widowControl w:val="0"/>
        <w:tabs>
          <w:tab w:val="left" w:pos="360"/>
        </w:tabs>
        <w:spacing w:after="0" w:line="240" w:lineRule="auto"/>
        <w:ind w:left="360"/>
        <w:jc w:val="both"/>
        <w:rPr>
          <w:rFonts w:ascii="Times New Roman" w:hAnsi="Times New Roman" w:cs="Times New Roman"/>
          <w:b/>
        </w:rPr>
      </w:pPr>
    </w:p>
    <w:p w14:paraId="5587E843" w14:textId="26D98074" w:rsidR="00184CD3" w:rsidRPr="00923DBA" w:rsidRDefault="00184CD3" w:rsidP="00184CD3">
      <w:pPr>
        <w:widowControl w:val="0"/>
        <w:spacing w:after="0" w:line="240" w:lineRule="auto"/>
        <w:ind w:left="360"/>
        <w:jc w:val="both"/>
        <w:rPr>
          <w:rFonts w:ascii="Times New Roman" w:hAnsi="Times New Roman" w:cs="Times New Roman"/>
        </w:rPr>
      </w:pPr>
      <w:r w:rsidRPr="00923DBA">
        <w:rPr>
          <w:rFonts w:ascii="Times New Roman" w:hAnsi="Times New Roman" w:cs="Times New Roman"/>
        </w:rPr>
        <w:t>We analyzed the projected/pro-forma</w:t>
      </w:r>
      <w:r w:rsidR="00BA3E62">
        <w:rPr>
          <w:rFonts w:ascii="Times New Roman" w:hAnsi="Times New Roman" w:cs="Times New Roman"/>
        </w:rPr>
        <w:t xml:space="preserve"> incremental</w:t>
      </w:r>
      <w:r w:rsidRPr="00923DBA">
        <w:rPr>
          <w:rFonts w:ascii="Times New Roman" w:hAnsi="Times New Roman" w:cs="Times New Roman"/>
        </w:rPr>
        <w:t xml:space="preserve"> </w:t>
      </w:r>
      <w:r>
        <w:rPr>
          <w:rFonts w:ascii="Times New Roman" w:hAnsi="Times New Roman" w:cs="Times New Roman"/>
        </w:rPr>
        <w:t>net revenue</w:t>
      </w:r>
      <w:r w:rsidRPr="00923DBA">
        <w:rPr>
          <w:rFonts w:ascii="Times New Roman" w:hAnsi="Times New Roman" w:cs="Times New Roman"/>
        </w:rPr>
        <w:t xml:space="preserve"> </w:t>
      </w:r>
      <w:r w:rsidR="00BA3E62">
        <w:rPr>
          <w:rFonts w:ascii="Times New Roman" w:hAnsi="Times New Roman" w:cs="Times New Roman"/>
        </w:rPr>
        <w:t xml:space="preserve">for the reactivated linear accelerator </w:t>
      </w:r>
      <w:r w:rsidRPr="00923DBA">
        <w:rPr>
          <w:rFonts w:ascii="Times New Roman" w:hAnsi="Times New Roman" w:cs="Times New Roman"/>
        </w:rPr>
        <w:t xml:space="preserve">for </w:t>
      </w:r>
      <w:r>
        <w:rPr>
          <w:rFonts w:ascii="Times New Roman" w:hAnsi="Times New Roman" w:cs="Times New Roman"/>
        </w:rPr>
        <w:t xml:space="preserve">the fiscal years ending September 30, </w:t>
      </w:r>
      <w:proofErr w:type="gramStart"/>
      <w:r>
        <w:rPr>
          <w:rFonts w:ascii="Times New Roman" w:hAnsi="Times New Roman" w:cs="Times New Roman"/>
        </w:rPr>
        <w:t>2024</w:t>
      </w:r>
      <w:proofErr w:type="gramEnd"/>
      <w:r>
        <w:rPr>
          <w:rFonts w:ascii="Times New Roman" w:hAnsi="Times New Roman" w:cs="Times New Roman"/>
        </w:rPr>
        <w:t xml:space="preserve"> through September 30, 2028 </w:t>
      </w:r>
      <w:r w:rsidRPr="00923DBA">
        <w:rPr>
          <w:rFonts w:ascii="Times New Roman" w:hAnsi="Times New Roman" w:cs="Times New Roman"/>
        </w:rPr>
        <w:t>to assess the reasonableness of the pro-forma statements.</w:t>
      </w:r>
      <w:r>
        <w:rPr>
          <w:rFonts w:ascii="Times New Roman" w:hAnsi="Times New Roman" w:cs="Times New Roman"/>
        </w:rPr>
        <w:t xml:space="preserve"> </w:t>
      </w:r>
      <w:r w:rsidRPr="00923DBA">
        <w:rPr>
          <w:rFonts w:ascii="Times New Roman" w:hAnsi="Times New Roman" w:cs="Times New Roman"/>
        </w:rPr>
        <w:t xml:space="preserve">Based on our analysis, the pro-forma </w:t>
      </w:r>
      <w:r>
        <w:rPr>
          <w:rFonts w:ascii="Times New Roman" w:hAnsi="Times New Roman" w:cs="Times New Roman"/>
        </w:rPr>
        <w:t>net</w:t>
      </w:r>
      <w:r w:rsidRPr="00923DBA">
        <w:rPr>
          <w:rFonts w:ascii="Times New Roman" w:hAnsi="Times New Roman" w:cs="Times New Roman"/>
        </w:rPr>
        <w:t xml:space="preserve"> </w:t>
      </w:r>
      <w:r>
        <w:rPr>
          <w:rFonts w:ascii="Times New Roman" w:hAnsi="Times New Roman" w:cs="Times New Roman"/>
        </w:rPr>
        <w:t>revenue</w:t>
      </w:r>
      <w:r w:rsidRPr="00923DBA">
        <w:rPr>
          <w:rFonts w:ascii="Times New Roman" w:hAnsi="Times New Roman" w:cs="Times New Roman"/>
        </w:rPr>
        <w:t xml:space="preserve"> </w:t>
      </w:r>
      <w:r>
        <w:rPr>
          <w:rFonts w:ascii="Times New Roman" w:hAnsi="Times New Roman" w:cs="Times New Roman"/>
        </w:rPr>
        <w:t xml:space="preserve">projected by Management is a reasonable estimation and conservative. </w:t>
      </w:r>
    </w:p>
    <w:p w14:paraId="4352AB71" w14:textId="77777777" w:rsidR="00184CD3" w:rsidRDefault="00184CD3" w:rsidP="00451336">
      <w:pPr>
        <w:pStyle w:val="ListParagraph"/>
        <w:widowControl w:val="0"/>
        <w:tabs>
          <w:tab w:val="left" w:pos="360"/>
        </w:tabs>
        <w:spacing w:after="0" w:line="240" w:lineRule="auto"/>
        <w:ind w:left="360"/>
        <w:jc w:val="both"/>
        <w:rPr>
          <w:rFonts w:ascii="Times New Roman" w:hAnsi="Times New Roman" w:cs="Times New Roman"/>
          <w:b/>
        </w:rPr>
      </w:pPr>
    </w:p>
    <w:p w14:paraId="03A29B82" w14:textId="77777777" w:rsidR="005C57E6" w:rsidRPr="00F60306" w:rsidRDefault="005C57E6" w:rsidP="005C57E6">
      <w:pPr>
        <w:spacing w:after="0" w:line="240" w:lineRule="auto"/>
        <w:ind w:left="360"/>
        <w:jc w:val="both"/>
        <w:rPr>
          <w:rFonts w:ascii="Times New Roman" w:hAnsi="Times New Roman" w:cs="Times New Roman"/>
          <w:b/>
        </w:rPr>
      </w:pPr>
      <w:r w:rsidRPr="00F60306">
        <w:rPr>
          <w:rFonts w:ascii="Times New Roman" w:hAnsi="Times New Roman" w:cs="Times New Roman"/>
          <w:b/>
        </w:rPr>
        <w:t>Expenses</w:t>
      </w:r>
    </w:p>
    <w:p w14:paraId="10348A4B" w14:textId="4ED1437E" w:rsidR="005C57E6" w:rsidRPr="00F60306" w:rsidRDefault="005C57E6" w:rsidP="005C57E6">
      <w:pPr>
        <w:spacing w:after="0" w:line="240" w:lineRule="auto"/>
        <w:ind w:left="360"/>
        <w:jc w:val="both"/>
        <w:rPr>
          <w:rFonts w:ascii="Times New Roman" w:hAnsi="Times New Roman" w:cs="Times New Roman"/>
        </w:rPr>
      </w:pPr>
      <w:r w:rsidRPr="00F60306">
        <w:rPr>
          <w:rFonts w:ascii="Times New Roman" w:hAnsi="Times New Roman" w:cs="Times New Roman"/>
        </w:rPr>
        <w:t>We analyzed each of the categorized expenses for reasonableness and feasibility as it relates to the projected revenue. The table below provides a summary of some of the key information for the projected expenses by year</w:t>
      </w:r>
      <w:r>
        <w:rPr>
          <w:rFonts w:ascii="Times New Roman" w:hAnsi="Times New Roman" w:cs="Times New Roman"/>
        </w:rPr>
        <w:t xml:space="preserve"> </w:t>
      </w:r>
      <w:r w:rsidR="00E5385F">
        <w:rPr>
          <w:rFonts w:ascii="Times New Roman" w:hAnsi="Times New Roman" w:cs="Times New Roman"/>
        </w:rPr>
        <w:t xml:space="preserve">for the reactivated linear accelerator </w:t>
      </w:r>
      <w:r>
        <w:rPr>
          <w:rFonts w:ascii="Times New Roman" w:hAnsi="Times New Roman" w:cs="Times New Roman"/>
        </w:rPr>
        <w:t>(fiscal year September)</w:t>
      </w:r>
      <w:r w:rsidRPr="00F60306">
        <w:rPr>
          <w:rFonts w:ascii="Times New Roman" w:hAnsi="Times New Roman" w:cs="Times New Roman"/>
        </w:rPr>
        <w:t xml:space="preserve">: </w:t>
      </w:r>
    </w:p>
    <w:p w14:paraId="4AAA1E56" w14:textId="77777777" w:rsidR="005C57E6" w:rsidRPr="005D25CC" w:rsidRDefault="005C57E6" w:rsidP="005C57E6">
      <w:pPr>
        <w:spacing w:after="0" w:line="240" w:lineRule="auto"/>
        <w:ind w:left="360"/>
        <w:jc w:val="both"/>
        <w:rPr>
          <w:rFonts w:ascii="Times New Roman" w:hAnsi="Times New Roman" w:cs="Times New Roman"/>
          <w:highlight w:val="yellow"/>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260"/>
      </w:tblGrid>
      <w:tr w:rsidR="005C57E6" w:rsidRPr="005D25CC" w14:paraId="662DEA80" w14:textId="77777777" w:rsidTr="00E35C48">
        <w:trPr>
          <w:cantSplit/>
          <w:tblHeader/>
          <w:jc w:val="center"/>
        </w:trPr>
        <w:tc>
          <w:tcPr>
            <w:tcW w:w="2430" w:type="dxa"/>
          </w:tcPr>
          <w:p w14:paraId="7B5AA0D4" w14:textId="77777777" w:rsidR="005C57E6" w:rsidRPr="00875D5F" w:rsidRDefault="005C57E6" w:rsidP="00C75A96">
            <w:pPr>
              <w:jc w:val="center"/>
              <w:rPr>
                <w:rFonts w:cs="Times New Roman"/>
                <w:sz w:val="16"/>
                <w:szCs w:val="16"/>
              </w:rPr>
            </w:pPr>
          </w:p>
          <w:p w14:paraId="5ED8F22E" w14:textId="77777777" w:rsidR="005C57E6" w:rsidRPr="00875D5F" w:rsidRDefault="005C57E6" w:rsidP="00C75A96">
            <w:pPr>
              <w:jc w:val="center"/>
              <w:rPr>
                <w:rFonts w:cs="Times New Roman"/>
                <w:sz w:val="16"/>
                <w:szCs w:val="16"/>
              </w:rPr>
            </w:pPr>
          </w:p>
          <w:p w14:paraId="43CFB0A4" w14:textId="19A014EA" w:rsidR="005C57E6" w:rsidRPr="00875D5F" w:rsidRDefault="00187449" w:rsidP="00C75A96">
            <w:pPr>
              <w:jc w:val="center"/>
              <w:rPr>
                <w:rFonts w:cs="Times New Roman"/>
                <w:sz w:val="16"/>
                <w:szCs w:val="16"/>
                <w:u w:val="single"/>
              </w:rPr>
            </w:pPr>
            <w:r w:rsidRPr="00875D5F">
              <w:rPr>
                <w:rFonts w:cs="Times New Roman"/>
                <w:sz w:val="16"/>
                <w:szCs w:val="16"/>
                <w:u w:val="single"/>
              </w:rPr>
              <w:t>Expenses</w:t>
            </w:r>
          </w:p>
        </w:tc>
        <w:tc>
          <w:tcPr>
            <w:tcW w:w="1260" w:type="dxa"/>
            <w:tcBorders>
              <w:bottom w:val="single" w:sz="4" w:space="0" w:color="auto"/>
            </w:tcBorders>
          </w:tcPr>
          <w:p w14:paraId="11B86CEE" w14:textId="77777777" w:rsidR="005C57E6" w:rsidRPr="00875D5F" w:rsidRDefault="005C57E6" w:rsidP="00C75A96">
            <w:pPr>
              <w:jc w:val="center"/>
              <w:rPr>
                <w:rFonts w:cs="Times New Roman"/>
                <w:sz w:val="16"/>
                <w:szCs w:val="16"/>
              </w:rPr>
            </w:pPr>
            <w:r w:rsidRPr="00875D5F">
              <w:rPr>
                <w:rFonts w:cs="Times New Roman"/>
                <w:sz w:val="16"/>
                <w:szCs w:val="16"/>
              </w:rPr>
              <w:t>Projected/</w:t>
            </w:r>
          </w:p>
          <w:p w14:paraId="6B37A8C5" w14:textId="77777777" w:rsidR="005C57E6" w:rsidRPr="00875D5F" w:rsidRDefault="005C57E6" w:rsidP="00C75A96">
            <w:pPr>
              <w:jc w:val="center"/>
              <w:rPr>
                <w:rFonts w:cs="Times New Roman"/>
                <w:sz w:val="16"/>
                <w:szCs w:val="16"/>
              </w:rPr>
            </w:pPr>
            <w:r w:rsidRPr="00875D5F">
              <w:rPr>
                <w:rFonts w:cs="Times New Roman"/>
                <w:sz w:val="16"/>
                <w:szCs w:val="16"/>
              </w:rPr>
              <w:t>pro-forma</w:t>
            </w:r>
          </w:p>
          <w:p w14:paraId="51528441" w14:textId="77777777" w:rsidR="005C57E6" w:rsidRPr="00875D5F" w:rsidRDefault="005C57E6" w:rsidP="00C75A96">
            <w:pPr>
              <w:jc w:val="center"/>
              <w:rPr>
                <w:rFonts w:cs="Times New Roman"/>
                <w:sz w:val="16"/>
                <w:szCs w:val="16"/>
              </w:rPr>
            </w:pPr>
            <w:r w:rsidRPr="00875D5F">
              <w:rPr>
                <w:rFonts w:cs="Times New Roman"/>
                <w:sz w:val="16"/>
                <w:szCs w:val="16"/>
              </w:rPr>
              <w:t>2024</w:t>
            </w:r>
          </w:p>
        </w:tc>
        <w:tc>
          <w:tcPr>
            <w:tcW w:w="1260" w:type="dxa"/>
            <w:tcBorders>
              <w:bottom w:val="single" w:sz="4" w:space="0" w:color="auto"/>
            </w:tcBorders>
          </w:tcPr>
          <w:p w14:paraId="65A880A9" w14:textId="77777777" w:rsidR="005C57E6" w:rsidRPr="00875D5F" w:rsidRDefault="005C57E6" w:rsidP="00C75A96">
            <w:pPr>
              <w:jc w:val="center"/>
              <w:rPr>
                <w:rFonts w:cs="Times New Roman"/>
                <w:sz w:val="16"/>
                <w:szCs w:val="16"/>
              </w:rPr>
            </w:pPr>
            <w:r w:rsidRPr="00875D5F">
              <w:rPr>
                <w:rFonts w:cs="Times New Roman"/>
                <w:sz w:val="16"/>
                <w:szCs w:val="16"/>
              </w:rPr>
              <w:t>Projected/</w:t>
            </w:r>
          </w:p>
          <w:p w14:paraId="0C5CC570" w14:textId="77777777" w:rsidR="005C57E6" w:rsidRPr="00875D5F" w:rsidRDefault="005C57E6" w:rsidP="00C75A96">
            <w:pPr>
              <w:jc w:val="center"/>
              <w:rPr>
                <w:rFonts w:cs="Times New Roman"/>
                <w:sz w:val="16"/>
                <w:szCs w:val="16"/>
              </w:rPr>
            </w:pPr>
            <w:r w:rsidRPr="00875D5F">
              <w:rPr>
                <w:rFonts w:cs="Times New Roman"/>
                <w:sz w:val="16"/>
                <w:szCs w:val="16"/>
              </w:rPr>
              <w:t>pro-forma</w:t>
            </w:r>
          </w:p>
          <w:p w14:paraId="5E0F1EB2" w14:textId="77777777" w:rsidR="005C57E6" w:rsidRPr="00875D5F" w:rsidRDefault="005C57E6" w:rsidP="00C75A96">
            <w:pPr>
              <w:jc w:val="center"/>
              <w:rPr>
                <w:rFonts w:cs="Times New Roman"/>
                <w:sz w:val="16"/>
                <w:szCs w:val="16"/>
              </w:rPr>
            </w:pPr>
            <w:r w:rsidRPr="00875D5F">
              <w:rPr>
                <w:rFonts w:cs="Times New Roman"/>
                <w:sz w:val="16"/>
                <w:szCs w:val="16"/>
              </w:rPr>
              <w:t>2025</w:t>
            </w:r>
          </w:p>
        </w:tc>
        <w:tc>
          <w:tcPr>
            <w:tcW w:w="1350" w:type="dxa"/>
            <w:tcBorders>
              <w:bottom w:val="single" w:sz="4" w:space="0" w:color="auto"/>
            </w:tcBorders>
          </w:tcPr>
          <w:p w14:paraId="051977AC" w14:textId="77777777" w:rsidR="005C57E6" w:rsidRPr="00875D5F" w:rsidRDefault="005C57E6" w:rsidP="00C75A96">
            <w:pPr>
              <w:jc w:val="center"/>
              <w:rPr>
                <w:rFonts w:cs="Times New Roman"/>
                <w:sz w:val="16"/>
                <w:szCs w:val="16"/>
              </w:rPr>
            </w:pPr>
            <w:r w:rsidRPr="00875D5F">
              <w:rPr>
                <w:rFonts w:cs="Times New Roman"/>
                <w:sz w:val="16"/>
                <w:szCs w:val="16"/>
              </w:rPr>
              <w:t>Projected/</w:t>
            </w:r>
          </w:p>
          <w:p w14:paraId="3D10AF44" w14:textId="77777777" w:rsidR="005C57E6" w:rsidRPr="00875D5F" w:rsidRDefault="005C57E6" w:rsidP="00C75A96">
            <w:pPr>
              <w:jc w:val="center"/>
              <w:rPr>
                <w:rFonts w:cs="Times New Roman"/>
                <w:sz w:val="16"/>
                <w:szCs w:val="16"/>
              </w:rPr>
            </w:pPr>
            <w:r w:rsidRPr="00875D5F">
              <w:rPr>
                <w:rFonts w:cs="Times New Roman"/>
                <w:sz w:val="16"/>
                <w:szCs w:val="16"/>
              </w:rPr>
              <w:t>pro-forma</w:t>
            </w:r>
          </w:p>
          <w:p w14:paraId="44209CDE" w14:textId="77777777" w:rsidR="005C57E6" w:rsidRPr="00875D5F" w:rsidRDefault="005C57E6" w:rsidP="00C75A96">
            <w:pPr>
              <w:jc w:val="center"/>
              <w:rPr>
                <w:rFonts w:cs="Times New Roman"/>
                <w:sz w:val="16"/>
                <w:szCs w:val="16"/>
              </w:rPr>
            </w:pPr>
            <w:r w:rsidRPr="00875D5F">
              <w:rPr>
                <w:rFonts w:cs="Times New Roman"/>
                <w:sz w:val="16"/>
                <w:szCs w:val="16"/>
              </w:rPr>
              <w:t>2026</w:t>
            </w:r>
          </w:p>
        </w:tc>
        <w:tc>
          <w:tcPr>
            <w:tcW w:w="1260" w:type="dxa"/>
            <w:tcBorders>
              <w:bottom w:val="single" w:sz="4" w:space="0" w:color="auto"/>
            </w:tcBorders>
          </w:tcPr>
          <w:p w14:paraId="322ED055" w14:textId="77777777" w:rsidR="005C57E6" w:rsidRPr="00875D5F" w:rsidRDefault="005C57E6" w:rsidP="00C75A96">
            <w:pPr>
              <w:jc w:val="center"/>
              <w:rPr>
                <w:rFonts w:cs="Times New Roman"/>
                <w:sz w:val="16"/>
                <w:szCs w:val="16"/>
              </w:rPr>
            </w:pPr>
            <w:r w:rsidRPr="00875D5F">
              <w:rPr>
                <w:rFonts w:cs="Times New Roman"/>
                <w:sz w:val="16"/>
                <w:szCs w:val="16"/>
              </w:rPr>
              <w:t>Projected/</w:t>
            </w:r>
          </w:p>
          <w:p w14:paraId="48FB24FF" w14:textId="77777777" w:rsidR="005C57E6" w:rsidRPr="00875D5F" w:rsidRDefault="005C57E6" w:rsidP="00C75A96">
            <w:pPr>
              <w:jc w:val="center"/>
              <w:rPr>
                <w:rFonts w:cs="Times New Roman"/>
                <w:sz w:val="16"/>
                <w:szCs w:val="16"/>
              </w:rPr>
            </w:pPr>
            <w:r w:rsidRPr="00875D5F">
              <w:rPr>
                <w:rFonts w:cs="Times New Roman"/>
                <w:sz w:val="16"/>
                <w:szCs w:val="16"/>
              </w:rPr>
              <w:t>pro-forma</w:t>
            </w:r>
          </w:p>
          <w:p w14:paraId="65C7157D" w14:textId="77777777" w:rsidR="005C57E6" w:rsidRPr="00875D5F" w:rsidRDefault="005C57E6" w:rsidP="00C75A96">
            <w:pPr>
              <w:jc w:val="center"/>
              <w:rPr>
                <w:rFonts w:cs="Times New Roman"/>
                <w:sz w:val="16"/>
                <w:szCs w:val="16"/>
              </w:rPr>
            </w:pPr>
            <w:r w:rsidRPr="00875D5F">
              <w:rPr>
                <w:rFonts w:cs="Times New Roman"/>
                <w:sz w:val="16"/>
                <w:szCs w:val="16"/>
              </w:rPr>
              <w:t>2027</w:t>
            </w:r>
          </w:p>
        </w:tc>
        <w:tc>
          <w:tcPr>
            <w:tcW w:w="1260" w:type="dxa"/>
            <w:tcBorders>
              <w:bottom w:val="single" w:sz="4" w:space="0" w:color="auto"/>
            </w:tcBorders>
          </w:tcPr>
          <w:p w14:paraId="219047DC" w14:textId="77777777" w:rsidR="005C57E6" w:rsidRPr="00875D5F" w:rsidRDefault="005C57E6" w:rsidP="00C75A96">
            <w:pPr>
              <w:jc w:val="center"/>
              <w:rPr>
                <w:rFonts w:cs="Times New Roman"/>
                <w:sz w:val="16"/>
                <w:szCs w:val="16"/>
              </w:rPr>
            </w:pPr>
            <w:r w:rsidRPr="00875D5F">
              <w:rPr>
                <w:rFonts w:cs="Times New Roman"/>
                <w:sz w:val="16"/>
                <w:szCs w:val="16"/>
              </w:rPr>
              <w:t>Projected/</w:t>
            </w:r>
          </w:p>
          <w:p w14:paraId="37218888" w14:textId="77777777" w:rsidR="005C57E6" w:rsidRPr="00875D5F" w:rsidRDefault="005C57E6" w:rsidP="00C75A96">
            <w:pPr>
              <w:jc w:val="center"/>
              <w:rPr>
                <w:rFonts w:cs="Times New Roman"/>
                <w:sz w:val="16"/>
                <w:szCs w:val="16"/>
              </w:rPr>
            </w:pPr>
            <w:r w:rsidRPr="00875D5F">
              <w:rPr>
                <w:rFonts w:cs="Times New Roman"/>
                <w:sz w:val="16"/>
                <w:szCs w:val="16"/>
              </w:rPr>
              <w:t>pro-forma</w:t>
            </w:r>
          </w:p>
          <w:p w14:paraId="1C7F996F" w14:textId="77777777" w:rsidR="005C57E6" w:rsidRPr="00875D5F" w:rsidRDefault="005C57E6" w:rsidP="00C75A96">
            <w:pPr>
              <w:jc w:val="center"/>
              <w:rPr>
                <w:rFonts w:cs="Times New Roman"/>
                <w:sz w:val="16"/>
                <w:szCs w:val="16"/>
              </w:rPr>
            </w:pPr>
            <w:r w:rsidRPr="00875D5F">
              <w:rPr>
                <w:rFonts w:cs="Times New Roman"/>
                <w:sz w:val="16"/>
                <w:szCs w:val="16"/>
              </w:rPr>
              <w:t>2028</w:t>
            </w:r>
          </w:p>
        </w:tc>
      </w:tr>
      <w:tr w:rsidR="005C57E6" w:rsidRPr="005D25CC" w14:paraId="766AFF87" w14:textId="77777777" w:rsidTr="00E35C48">
        <w:trPr>
          <w:cantSplit/>
          <w:jc w:val="center"/>
        </w:trPr>
        <w:tc>
          <w:tcPr>
            <w:tcW w:w="2430" w:type="dxa"/>
          </w:tcPr>
          <w:p w14:paraId="0A8A0CAA" w14:textId="2D4F15F9" w:rsidR="005C57E6" w:rsidRPr="00875D5F" w:rsidRDefault="005C57E6" w:rsidP="00C75A96">
            <w:pPr>
              <w:ind w:hanging="19"/>
              <w:jc w:val="left"/>
              <w:rPr>
                <w:rFonts w:cs="Times New Roman"/>
                <w:sz w:val="16"/>
                <w:szCs w:val="16"/>
              </w:rPr>
            </w:pPr>
            <w:r w:rsidRPr="00875D5F">
              <w:rPr>
                <w:rFonts w:cs="Times New Roman"/>
                <w:sz w:val="16"/>
                <w:szCs w:val="16"/>
              </w:rPr>
              <w:t>Salaries and wages (1)</w:t>
            </w:r>
          </w:p>
        </w:tc>
        <w:tc>
          <w:tcPr>
            <w:tcW w:w="1260" w:type="dxa"/>
          </w:tcPr>
          <w:p w14:paraId="6D149944" w14:textId="764B4638" w:rsidR="005C57E6" w:rsidRPr="00875D5F" w:rsidRDefault="005C57E6" w:rsidP="00C75A96">
            <w:pPr>
              <w:tabs>
                <w:tab w:val="decimal" w:pos="738"/>
              </w:tabs>
              <w:jc w:val="right"/>
              <w:rPr>
                <w:rFonts w:cs="Times New Roman"/>
                <w:sz w:val="16"/>
                <w:szCs w:val="16"/>
              </w:rPr>
            </w:pPr>
            <w:r w:rsidRPr="00875D5F">
              <w:rPr>
                <w:rFonts w:cs="Times New Roman"/>
                <w:sz w:val="16"/>
                <w:szCs w:val="16"/>
              </w:rPr>
              <w:t xml:space="preserve">$    </w:t>
            </w:r>
            <w:r w:rsidR="00287BEB" w:rsidRPr="00875D5F">
              <w:rPr>
                <w:rFonts w:cs="Times New Roman"/>
                <w:sz w:val="16"/>
                <w:szCs w:val="16"/>
              </w:rPr>
              <w:t xml:space="preserve"> </w:t>
            </w:r>
            <w:r w:rsidRPr="00875D5F">
              <w:rPr>
                <w:rFonts w:cs="Times New Roman"/>
                <w:sz w:val="16"/>
                <w:szCs w:val="16"/>
              </w:rPr>
              <w:t xml:space="preserve">     </w:t>
            </w:r>
            <w:r w:rsidR="00CF7A6F" w:rsidRPr="00875D5F">
              <w:rPr>
                <w:rFonts w:cs="Times New Roman"/>
                <w:sz w:val="16"/>
                <w:szCs w:val="16"/>
              </w:rPr>
              <w:t xml:space="preserve">  </w:t>
            </w:r>
            <w:r w:rsidR="00FB0843" w:rsidRPr="00875D5F">
              <w:rPr>
                <w:rFonts w:cs="Times New Roman"/>
                <w:sz w:val="16"/>
                <w:szCs w:val="16"/>
              </w:rPr>
              <w:t>49,282</w:t>
            </w:r>
          </w:p>
        </w:tc>
        <w:tc>
          <w:tcPr>
            <w:tcW w:w="1260" w:type="dxa"/>
          </w:tcPr>
          <w:p w14:paraId="4A48B8CB" w14:textId="40D1BE51" w:rsidR="005C57E6" w:rsidRPr="00875D5F" w:rsidRDefault="005C57E6" w:rsidP="00C75A96">
            <w:pPr>
              <w:tabs>
                <w:tab w:val="decimal" w:pos="690"/>
              </w:tabs>
              <w:jc w:val="right"/>
              <w:rPr>
                <w:rFonts w:cs="Times New Roman"/>
                <w:sz w:val="16"/>
                <w:szCs w:val="16"/>
              </w:rPr>
            </w:pPr>
            <w:r w:rsidRPr="00875D5F">
              <w:rPr>
                <w:rFonts w:cs="Times New Roman"/>
                <w:sz w:val="16"/>
                <w:szCs w:val="16"/>
              </w:rPr>
              <w:t xml:space="preserve">$          </w:t>
            </w:r>
            <w:r w:rsidR="00CF7A6F" w:rsidRPr="00875D5F">
              <w:rPr>
                <w:rFonts w:cs="Times New Roman"/>
                <w:sz w:val="16"/>
                <w:szCs w:val="16"/>
              </w:rPr>
              <w:t xml:space="preserve"> </w:t>
            </w:r>
            <w:r w:rsidR="00FB0843" w:rsidRPr="00875D5F">
              <w:rPr>
                <w:rFonts w:cs="Times New Roman"/>
                <w:sz w:val="16"/>
                <w:szCs w:val="16"/>
              </w:rPr>
              <w:t>50,</w:t>
            </w:r>
            <w:r w:rsidR="00FF011D">
              <w:rPr>
                <w:rFonts w:cs="Times New Roman"/>
                <w:sz w:val="16"/>
                <w:szCs w:val="16"/>
              </w:rPr>
              <w:t>760</w:t>
            </w:r>
          </w:p>
        </w:tc>
        <w:tc>
          <w:tcPr>
            <w:tcW w:w="1350" w:type="dxa"/>
          </w:tcPr>
          <w:p w14:paraId="62E61D95" w14:textId="497EF986" w:rsidR="005C57E6" w:rsidRPr="00875D5F" w:rsidRDefault="005C57E6" w:rsidP="00C75A96">
            <w:pPr>
              <w:tabs>
                <w:tab w:val="decimal" w:pos="731"/>
              </w:tabs>
              <w:jc w:val="right"/>
              <w:rPr>
                <w:rFonts w:cs="Times New Roman"/>
                <w:sz w:val="16"/>
                <w:szCs w:val="16"/>
              </w:rPr>
            </w:pPr>
            <w:r w:rsidRPr="00875D5F">
              <w:rPr>
                <w:rFonts w:cs="Times New Roman"/>
                <w:sz w:val="16"/>
                <w:szCs w:val="16"/>
              </w:rPr>
              <w:t xml:space="preserve">$         </w:t>
            </w:r>
            <w:r w:rsidR="00CF7A6F" w:rsidRPr="00875D5F">
              <w:rPr>
                <w:rFonts w:cs="Times New Roman"/>
                <w:sz w:val="16"/>
                <w:szCs w:val="16"/>
              </w:rPr>
              <w:t xml:space="preserve">  </w:t>
            </w:r>
            <w:r w:rsidRPr="00875D5F">
              <w:rPr>
                <w:rFonts w:cs="Times New Roman"/>
                <w:sz w:val="16"/>
                <w:szCs w:val="16"/>
              </w:rPr>
              <w:t xml:space="preserve"> </w:t>
            </w:r>
            <w:r w:rsidR="00FB0843" w:rsidRPr="00875D5F">
              <w:rPr>
                <w:rFonts w:cs="Times New Roman"/>
                <w:sz w:val="16"/>
                <w:szCs w:val="16"/>
              </w:rPr>
              <w:t>5</w:t>
            </w:r>
            <w:r w:rsidR="00FF011D">
              <w:rPr>
                <w:rFonts w:cs="Times New Roman"/>
                <w:sz w:val="16"/>
                <w:szCs w:val="16"/>
              </w:rPr>
              <w:t>2,283</w:t>
            </w:r>
          </w:p>
        </w:tc>
        <w:tc>
          <w:tcPr>
            <w:tcW w:w="1260" w:type="dxa"/>
          </w:tcPr>
          <w:p w14:paraId="3109D52A" w14:textId="27376A30" w:rsidR="005C57E6" w:rsidRPr="00875D5F" w:rsidRDefault="005C57E6" w:rsidP="00C75A96">
            <w:pPr>
              <w:tabs>
                <w:tab w:val="decimal" w:pos="652"/>
              </w:tabs>
              <w:jc w:val="right"/>
              <w:rPr>
                <w:rFonts w:cs="Times New Roman"/>
                <w:sz w:val="16"/>
                <w:szCs w:val="16"/>
              </w:rPr>
            </w:pPr>
            <w:r w:rsidRPr="00875D5F">
              <w:rPr>
                <w:rFonts w:cs="Times New Roman"/>
                <w:sz w:val="16"/>
                <w:szCs w:val="16"/>
              </w:rPr>
              <w:t xml:space="preserve">$         </w:t>
            </w:r>
            <w:r w:rsidR="00CF7A6F" w:rsidRPr="00875D5F">
              <w:rPr>
                <w:rFonts w:cs="Times New Roman"/>
                <w:sz w:val="16"/>
                <w:szCs w:val="16"/>
              </w:rPr>
              <w:t xml:space="preserve">  </w:t>
            </w:r>
            <w:r w:rsidRPr="00875D5F">
              <w:rPr>
                <w:rFonts w:cs="Times New Roman"/>
                <w:sz w:val="16"/>
                <w:szCs w:val="16"/>
              </w:rPr>
              <w:t xml:space="preserve"> </w:t>
            </w:r>
            <w:r w:rsidR="00BD059D" w:rsidRPr="00875D5F">
              <w:rPr>
                <w:rFonts w:cs="Times New Roman"/>
                <w:sz w:val="16"/>
                <w:szCs w:val="16"/>
              </w:rPr>
              <w:t>5</w:t>
            </w:r>
            <w:r w:rsidR="00FF011D">
              <w:rPr>
                <w:rFonts w:cs="Times New Roman"/>
                <w:sz w:val="16"/>
                <w:szCs w:val="16"/>
              </w:rPr>
              <w:t>3,852</w:t>
            </w:r>
          </w:p>
        </w:tc>
        <w:tc>
          <w:tcPr>
            <w:tcW w:w="1260" w:type="dxa"/>
          </w:tcPr>
          <w:p w14:paraId="614385A5" w14:textId="13F18B7B" w:rsidR="005C57E6" w:rsidRPr="00875D5F" w:rsidRDefault="005C57E6" w:rsidP="00C75A96">
            <w:pPr>
              <w:tabs>
                <w:tab w:val="decimal" w:pos="688"/>
              </w:tabs>
              <w:jc w:val="right"/>
              <w:rPr>
                <w:rFonts w:cs="Times New Roman"/>
                <w:sz w:val="16"/>
                <w:szCs w:val="16"/>
              </w:rPr>
            </w:pPr>
            <w:r w:rsidRPr="00875D5F">
              <w:rPr>
                <w:rFonts w:cs="Times New Roman"/>
                <w:sz w:val="16"/>
                <w:szCs w:val="16"/>
              </w:rPr>
              <w:t xml:space="preserve">$          </w:t>
            </w:r>
            <w:r w:rsidR="00BD059D" w:rsidRPr="00875D5F">
              <w:rPr>
                <w:rFonts w:cs="Times New Roman"/>
                <w:sz w:val="16"/>
                <w:szCs w:val="16"/>
              </w:rPr>
              <w:t>5</w:t>
            </w:r>
            <w:r w:rsidR="00FF011D">
              <w:rPr>
                <w:rFonts w:cs="Times New Roman"/>
                <w:sz w:val="16"/>
                <w:szCs w:val="16"/>
              </w:rPr>
              <w:t>5,467</w:t>
            </w:r>
          </w:p>
        </w:tc>
      </w:tr>
      <w:tr w:rsidR="00F02E3D" w:rsidRPr="005D25CC" w14:paraId="6BEB577F" w14:textId="77777777" w:rsidTr="00E35C48">
        <w:trPr>
          <w:cantSplit/>
          <w:jc w:val="center"/>
        </w:trPr>
        <w:tc>
          <w:tcPr>
            <w:tcW w:w="2430" w:type="dxa"/>
          </w:tcPr>
          <w:p w14:paraId="6266ADE6" w14:textId="35554704" w:rsidR="00F02E3D" w:rsidRPr="00875D5F" w:rsidRDefault="00F02E3D" w:rsidP="00F02E3D">
            <w:pPr>
              <w:ind w:hanging="19"/>
              <w:rPr>
                <w:rFonts w:cs="Times New Roman"/>
                <w:sz w:val="16"/>
                <w:szCs w:val="16"/>
              </w:rPr>
            </w:pPr>
            <w:r w:rsidRPr="00875D5F">
              <w:rPr>
                <w:rFonts w:cs="Times New Roman"/>
                <w:sz w:val="16"/>
                <w:szCs w:val="16"/>
              </w:rPr>
              <w:t>Fringe Benefits (2)</w:t>
            </w:r>
          </w:p>
        </w:tc>
        <w:tc>
          <w:tcPr>
            <w:tcW w:w="1260" w:type="dxa"/>
          </w:tcPr>
          <w:p w14:paraId="182A326A" w14:textId="0639B591" w:rsidR="00F02E3D" w:rsidRPr="00875D5F" w:rsidRDefault="00BD059D" w:rsidP="00F02E3D">
            <w:pPr>
              <w:tabs>
                <w:tab w:val="decimal" w:pos="738"/>
              </w:tabs>
              <w:jc w:val="right"/>
              <w:rPr>
                <w:rFonts w:cs="Times New Roman"/>
                <w:sz w:val="16"/>
                <w:szCs w:val="16"/>
              </w:rPr>
            </w:pPr>
            <w:r w:rsidRPr="00875D5F">
              <w:rPr>
                <w:rFonts w:cs="Times New Roman"/>
                <w:sz w:val="16"/>
                <w:szCs w:val="16"/>
              </w:rPr>
              <w:t>12,321</w:t>
            </w:r>
          </w:p>
        </w:tc>
        <w:tc>
          <w:tcPr>
            <w:tcW w:w="1260" w:type="dxa"/>
          </w:tcPr>
          <w:p w14:paraId="25DCC887" w14:textId="6390F466" w:rsidR="00F02E3D" w:rsidRPr="00875D5F" w:rsidRDefault="00BD059D" w:rsidP="00F02E3D">
            <w:pPr>
              <w:tabs>
                <w:tab w:val="decimal" w:pos="690"/>
              </w:tabs>
              <w:jc w:val="right"/>
              <w:rPr>
                <w:rFonts w:cs="Times New Roman"/>
                <w:sz w:val="16"/>
                <w:szCs w:val="16"/>
              </w:rPr>
            </w:pPr>
            <w:r w:rsidRPr="00875D5F">
              <w:rPr>
                <w:rFonts w:cs="Times New Roman"/>
                <w:sz w:val="16"/>
                <w:szCs w:val="16"/>
              </w:rPr>
              <w:t>12,</w:t>
            </w:r>
            <w:r w:rsidR="00FF011D">
              <w:rPr>
                <w:rFonts w:cs="Times New Roman"/>
                <w:sz w:val="16"/>
                <w:szCs w:val="16"/>
              </w:rPr>
              <w:t>690</w:t>
            </w:r>
          </w:p>
        </w:tc>
        <w:tc>
          <w:tcPr>
            <w:tcW w:w="1350" w:type="dxa"/>
          </w:tcPr>
          <w:p w14:paraId="2205A97A" w14:textId="176A83AF" w:rsidR="00F02E3D" w:rsidRPr="00875D5F" w:rsidRDefault="00BD059D" w:rsidP="00F02E3D">
            <w:pPr>
              <w:tabs>
                <w:tab w:val="decimal" w:pos="731"/>
              </w:tabs>
              <w:jc w:val="right"/>
              <w:rPr>
                <w:rFonts w:cs="Times New Roman"/>
                <w:sz w:val="16"/>
                <w:szCs w:val="16"/>
              </w:rPr>
            </w:pPr>
            <w:r w:rsidRPr="00875D5F">
              <w:rPr>
                <w:rFonts w:cs="Times New Roman"/>
                <w:sz w:val="16"/>
                <w:szCs w:val="16"/>
              </w:rPr>
              <w:t>1</w:t>
            </w:r>
            <w:r w:rsidR="00FF011D">
              <w:rPr>
                <w:rFonts w:cs="Times New Roman"/>
                <w:sz w:val="16"/>
                <w:szCs w:val="16"/>
              </w:rPr>
              <w:t>3,071</w:t>
            </w:r>
          </w:p>
        </w:tc>
        <w:tc>
          <w:tcPr>
            <w:tcW w:w="1260" w:type="dxa"/>
          </w:tcPr>
          <w:p w14:paraId="4E437D45" w14:textId="2FB1E3F3" w:rsidR="00F02E3D" w:rsidRPr="00875D5F" w:rsidRDefault="00BD059D" w:rsidP="00F02E3D">
            <w:pPr>
              <w:tabs>
                <w:tab w:val="decimal" w:pos="652"/>
              </w:tabs>
              <w:jc w:val="right"/>
              <w:rPr>
                <w:rFonts w:cs="Times New Roman"/>
                <w:sz w:val="16"/>
                <w:szCs w:val="16"/>
              </w:rPr>
            </w:pPr>
            <w:r w:rsidRPr="00875D5F">
              <w:rPr>
                <w:rFonts w:cs="Times New Roman"/>
                <w:sz w:val="16"/>
                <w:szCs w:val="16"/>
              </w:rPr>
              <w:t>13</w:t>
            </w:r>
            <w:r w:rsidR="00FF011D">
              <w:rPr>
                <w:rFonts w:cs="Times New Roman"/>
                <w:sz w:val="16"/>
                <w:szCs w:val="16"/>
              </w:rPr>
              <w:t>,463</w:t>
            </w:r>
          </w:p>
        </w:tc>
        <w:tc>
          <w:tcPr>
            <w:tcW w:w="1260" w:type="dxa"/>
          </w:tcPr>
          <w:p w14:paraId="0E2992A4" w14:textId="0A2C970B" w:rsidR="00F02E3D" w:rsidRPr="00875D5F" w:rsidRDefault="00BD059D" w:rsidP="00F02E3D">
            <w:pPr>
              <w:tabs>
                <w:tab w:val="decimal" w:pos="688"/>
              </w:tabs>
              <w:jc w:val="right"/>
              <w:rPr>
                <w:rFonts w:cs="Times New Roman"/>
                <w:sz w:val="16"/>
                <w:szCs w:val="16"/>
              </w:rPr>
            </w:pPr>
            <w:r w:rsidRPr="00875D5F">
              <w:rPr>
                <w:rFonts w:cs="Times New Roman"/>
                <w:sz w:val="16"/>
                <w:szCs w:val="16"/>
              </w:rPr>
              <w:t>13,</w:t>
            </w:r>
            <w:r w:rsidR="00FF011D">
              <w:rPr>
                <w:rFonts w:cs="Times New Roman"/>
                <w:sz w:val="16"/>
                <w:szCs w:val="16"/>
              </w:rPr>
              <w:t>867</w:t>
            </w:r>
          </w:p>
        </w:tc>
      </w:tr>
      <w:tr w:rsidR="005C57E6" w:rsidRPr="005D25CC" w14:paraId="63154084" w14:textId="77777777" w:rsidTr="00E35C48">
        <w:trPr>
          <w:cantSplit/>
          <w:jc w:val="center"/>
        </w:trPr>
        <w:tc>
          <w:tcPr>
            <w:tcW w:w="2430" w:type="dxa"/>
          </w:tcPr>
          <w:p w14:paraId="01D9D02A" w14:textId="3480B192" w:rsidR="005C57E6" w:rsidRPr="00875D5F" w:rsidRDefault="005C57E6" w:rsidP="00C75A96">
            <w:pPr>
              <w:ind w:hanging="19"/>
              <w:rPr>
                <w:rFonts w:cs="Times New Roman"/>
                <w:sz w:val="16"/>
                <w:szCs w:val="16"/>
              </w:rPr>
            </w:pPr>
            <w:r w:rsidRPr="00875D5F">
              <w:rPr>
                <w:rFonts w:cs="Times New Roman"/>
                <w:sz w:val="16"/>
                <w:szCs w:val="16"/>
              </w:rPr>
              <w:t>Maintenance (</w:t>
            </w:r>
            <w:r w:rsidR="00F02E3D" w:rsidRPr="00875D5F">
              <w:rPr>
                <w:rFonts w:cs="Times New Roman"/>
                <w:sz w:val="16"/>
                <w:szCs w:val="16"/>
              </w:rPr>
              <w:t>3</w:t>
            </w:r>
            <w:r w:rsidRPr="00875D5F">
              <w:rPr>
                <w:rFonts w:cs="Times New Roman"/>
                <w:sz w:val="16"/>
                <w:szCs w:val="16"/>
              </w:rPr>
              <w:t>)</w:t>
            </w:r>
          </w:p>
        </w:tc>
        <w:tc>
          <w:tcPr>
            <w:tcW w:w="1260" w:type="dxa"/>
          </w:tcPr>
          <w:p w14:paraId="1C1380F3" w14:textId="77777777" w:rsidR="005C57E6" w:rsidRPr="00875D5F" w:rsidRDefault="005C57E6" w:rsidP="00C75A96">
            <w:pPr>
              <w:tabs>
                <w:tab w:val="decimal" w:pos="738"/>
              </w:tabs>
              <w:jc w:val="right"/>
              <w:rPr>
                <w:rFonts w:cs="Times New Roman"/>
                <w:sz w:val="16"/>
                <w:szCs w:val="16"/>
              </w:rPr>
            </w:pPr>
            <w:r w:rsidRPr="00875D5F">
              <w:rPr>
                <w:rFonts w:cs="Times New Roman"/>
                <w:sz w:val="16"/>
                <w:szCs w:val="16"/>
              </w:rPr>
              <w:t>155,380</w:t>
            </w:r>
          </w:p>
        </w:tc>
        <w:tc>
          <w:tcPr>
            <w:tcW w:w="1260" w:type="dxa"/>
          </w:tcPr>
          <w:p w14:paraId="3346ABC5" w14:textId="77777777" w:rsidR="005C57E6" w:rsidRPr="00875D5F" w:rsidRDefault="005C57E6" w:rsidP="00C75A96">
            <w:pPr>
              <w:tabs>
                <w:tab w:val="decimal" w:pos="690"/>
              </w:tabs>
              <w:jc w:val="right"/>
              <w:rPr>
                <w:rFonts w:cs="Times New Roman"/>
                <w:sz w:val="16"/>
                <w:szCs w:val="16"/>
              </w:rPr>
            </w:pPr>
            <w:r w:rsidRPr="00875D5F">
              <w:rPr>
                <w:rFonts w:cs="Times New Roman"/>
                <w:sz w:val="16"/>
                <w:szCs w:val="16"/>
              </w:rPr>
              <w:t>155,380</w:t>
            </w:r>
          </w:p>
        </w:tc>
        <w:tc>
          <w:tcPr>
            <w:tcW w:w="1350" w:type="dxa"/>
          </w:tcPr>
          <w:p w14:paraId="3938659B" w14:textId="77777777" w:rsidR="005C57E6" w:rsidRPr="00875D5F" w:rsidRDefault="005C57E6" w:rsidP="00C75A96">
            <w:pPr>
              <w:tabs>
                <w:tab w:val="decimal" w:pos="731"/>
              </w:tabs>
              <w:jc w:val="right"/>
              <w:rPr>
                <w:rFonts w:cs="Times New Roman"/>
                <w:sz w:val="16"/>
                <w:szCs w:val="16"/>
              </w:rPr>
            </w:pPr>
            <w:r w:rsidRPr="00875D5F">
              <w:rPr>
                <w:rFonts w:cs="Times New Roman"/>
                <w:sz w:val="16"/>
                <w:szCs w:val="16"/>
              </w:rPr>
              <w:t>155,380</w:t>
            </w:r>
          </w:p>
        </w:tc>
        <w:tc>
          <w:tcPr>
            <w:tcW w:w="1260" w:type="dxa"/>
          </w:tcPr>
          <w:p w14:paraId="439EB843" w14:textId="3E1ADAD3" w:rsidR="005C57E6" w:rsidRPr="00875D5F" w:rsidRDefault="005C57E6" w:rsidP="00C75A96">
            <w:pPr>
              <w:tabs>
                <w:tab w:val="decimal" w:pos="652"/>
              </w:tabs>
              <w:jc w:val="right"/>
              <w:rPr>
                <w:rFonts w:cs="Times New Roman"/>
                <w:sz w:val="16"/>
                <w:szCs w:val="16"/>
              </w:rPr>
            </w:pPr>
            <w:r w:rsidRPr="00875D5F">
              <w:rPr>
                <w:rFonts w:cs="Times New Roman"/>
                <w:sz w:val="16"/>
                <w:szCs w:val="16"/>
              </w:rPr>
              <w:t>1</w:t>
            </w:r>
            <w:r w:rsidR="00FF011D">
              <w:rPr>
                <w:rFonts w:cs="Times New Roman"/>
                <w:sz w:val="16"/>
                <w:szCs w:val="16"/>
              </w:rPr>
              <w:t>60,041</w:t>
            </w:r>
          </w:p>
        </w:tc>
        <w:tc>
          <w:tcPr>
            <w:tcW w:w="1260" w:type="dxa"/>
          </w:tcPr>
          <w:p w14:paraId="3B0FAAB9" w14:textId="2048ADAF" w:rsidR="005C57E6" w:rsidRPr="00875D5F" w:rsidRDefault="005C57E6" w:rsidP="00C75A96">
            <w:pPr>
              <w:tabs>
                <w:tab w:val="decimal" w:pos="688"/>
              </w:tabs>
              <w:jc w:val="right"/>
              <w:rPr>
                <w:rFonts w:cs="Times New Roman"/>
                <w:sz w:val="16"/>
                <w:szCs w:val="16"/>
              </w:rPr>
            </w:pPr>
            <w:r w:rsidRPr="00875D5F">
              <w:rPr>
                <w:rFonts w:cs="Times New Roman"/>
                <w:sz w:val="16"/>
                <w:szCs w:val="16"/>
              </w:rPr>
              <w:t>1</w:t>
            </w:r>
            <w:r w:rsidR="00FF011D">
              <w:rPr>
                <w:rFonts w:cs="Times New Roman"/>
                <w:sz w:val="16"/>
                <w:szCs w:val="16"/>
              </w:rPr>
              <w:t>60,041</w:t>
            </w:r>
          </w:p>
        </w:tc>
      </w:tr>
      <w:tr w:rsidR="005C57E6" w:rsidRPr="005D25CC" w14:paraId="2B27C676" w14:textId="77777777" w:rsidTr="00E35C48">
        <w:trPr>
          <w:cantSplit/>
          <w:jc w:val="center"/>
        </w:trPr>
        <w:tc>
          <w:tcPr>
            <w:tcW w:w="2430" w:type="dxa"/>
          </w:tcPr>
          <w:p w14:paraId="4158E277" w14:textId="4828F73E" w:rsidR="005C57E6" w:rsidRPr="00875D5F" w:rsidRDefault="005C57E6" w:rsidP="00C75A96">
            <w:pPr>
              <w:ind w:hanging="19"/>
              <w:rPr>
                <w:rFonts w:cs="Times New Roman"/>
                <w:sz w:val="16"/>
                <w:szCs w:val="16"/>
              </w:rPr>
            </w:pPr>
            <w:r w:rsidRPr="00875D5F">
              <w:rPr>
                <w:rFonts w:cs="Times New Roman"/>
                <w:sz w:val="16"/>
                <w:szCs w:val="16"/>
              </w:rPr>
              <w:t>Fees (</w:t>
            </w:r>
            <w:r w:rsidR="00F02E3D" w:rsidRPr="00875D5F">
              <w:rPr>
                <w:rFonts w:cs="Times New Roman"/>
                <w:sz w:val="16"/>
                <w:szCs w:val="16"/>
              </w:rPr>
              <w:t>4</w:t>
            </w:r>
            <w:r w:rsidRPr="00875D5F">
              <w:rPr>
                <w:rFonts w:cs="Times New Roman"/>
                <w:sz w:val="16"/>
                <w:szCs w:val="16"/>
              </w:rPr>
              <w:t>)</w:t>
            </w:r>
          </w:p>
        </w:tc>
        <w:tc>
          <w:tcPr>
            <w:tcW w:w="1260" w:type="dxa"/>
          </w:tcPr>
          <w:p w14:paraId="09F4D942" w14:textId="66A1F11E" w:rsidR="005C57E6" w:rsidRPr="00875D5F" w:rsidRDefault="00BD059D" w:rsidP="00C75A96">
            <w:pPr>
              <w:tabs>
                <w:tab w:val="decimal" w:pos="738"/>
              </w:tabs>
              <w:jc w:val="right"/>
              <w:rPr>
                <w:rFonts w:cs="Times New Roman"/>
                <w:sz w:val="16"/>
                <w:szCs w:val="16"/>
              </w:rPr>
            </w:pPr>
            <w:r w:rsidRPr="00875D5F">
              <w:rPr>
                <w:rFonts w:cs="Times New Roman"/>
                <w:sz w:val="16"/>
                <w:szCs w:val="16"/>
              </w:rPr>
              <w:t>156,815</w:t>
            </w:r>
          </w:p>
        </w:tc>
        <w:tc>
          <w:tcPr>
            <w:tcW w:w="1260" w:type="dxa"/>
          </w:tcPr>
          <w:p w14:paraId="113F6D48" w14:textId="2BF28776" w:rsidR="005C57E6" w:rsidRPr="00875D5F" w:rsidRDefault="006C4F54" w:rsidP="00C75A96">
            <w:pPr>
              <w:tabs>
                <w:tab w:val="decimal" w:pos="690"/>
              </w:tabs>
              <w:jc w:val="right"/>
              <w:rPr>
                <w:rFonts w:cs="Times New Roman"/>
                <w:sz w:val="16"/>
                <w:szCs w:val="16"/>
              </w:rPr>
            </w:pPr>
            <w:r w:rsidRPr="00875D5F">
              <w:rPr>
                <w:rFonts w:cs="Times New Roman"/>
                <w:sz w:val="16"/>
                <w:szCs w:val="16"/>
              </w:rPr>
              <w:t>1</w:t>
            </w:r>
            <w:r w:rsidR="00FF011D">
              <w:rPr>
                <w:rFonts w:cs="Times New Roman"/>
                <w:sz w:val="16"/>
                <w:szCs w:val="16"/>
              </w:rPr>
              <w:t>59,74</w:t>
            </w:r>
            <w:r w:rsidR="002F7939">
              <w:rPr>
                <w:rFonts w:cs="Times New Roman"/>
                <w:sz w:val="16"/>
                <w:szCs w:val="16"/>
              </w:rPr>
              <w:t>4</w:t>
            </w:r>
          </w:p>
        </w:tc>
        <w:tc>
          <w:tcPr>
            <w:tcW w:w="1350" w:type="dxa"/>
          </w:tcPr>
          <w:p w14:paraId="49500E64" w14:textId="47FB4E7E" w:rsidR="005C57E6" w:rsidRPr="00875D5F" w:rsidRDefault="006C4F54" w:rsidP="00C75A96">
            <w:pPr>
              <w:tabs>
                <w:tab w:val="decimal" w:pos="731"/>
              </w:tabs>
              <w:jc w:val="right"/>
              <w:rPr>
                <w:rFonts w:cs="Times New Roman"/>
                <w:sz w:val="16"/>
                <w:szCs w:val="16"/>
              </w:rPr>
            </w:pPr>
            <w:r w:rsidRPr="00875D5F">
              <w:rPr>
                <w:rFonts w:cs="Times New Roman"/>
                <w:sz w:val="16"/>
                <w:szCs w:val="16"/>
              </w:rPr>
              <w:t>16</w:t>
            </w:r>
            <w:r w:rsidR="00FF011D">
              <w:rPr>
                <w:rFonts w:cs="Times New Roman"/>
                <w:sz w:val="16"/>
                <w:szCs w:val="16"/>
              </w:rPr>
              <w:t>4,535</w:t>
            </w:r>
          </w:p>
        </w:tc>
        <w:tc>
          <w:tcPr>
            <w:tcW w:w="1260" w:type="dxa"/>
          </w:tcPr>
          <w:p w14:paraId="1F44E4C0" w14:textId="5EA2C644" w:rsidR="005C57E6" w:rsidRPr="00875D5F" w:rsidRDefault="006C4F54" w:rsidP="00C75A96">
            <w:pPr>
              <w:tabs>
                <w:tab w:val="decimal" w:pos="652"/>
              </w:tabs>
              <w:jc w:val="right"/>
              <w:rPr>
                <w:rFonts w:cs="Times New Roman"/>
                <w:sz w:val="16"/>
                <w:szCs w:val="16"/>
              </w:rPr>
            </w:pPr>
            <w:r w:rsidRPr="00875D5F">
              <w:rPr>
                <w:rFonts w:cs="Times New Roman"/>
                <w:sz w:val="16"/>
                <w:szCs w:val="16"/>
              </w:rPr>
              <w:t>16</w:t>
            </w:r>
            <w:r w:rsidR="00FF011D">
              <w:rPr>
                <w:rFonts w:cs="Times New Roman"/>
                <w:sz w:val="16"/>
                <w:szCs w:val="16"/>
              </w:rPr>
              <w:t>9,47</w:t>
            </w:r>
            <w:r w:rsidR="002F7939">
              <w:rPr>
                <w:rFonts w:cs="Times New Roman"/>
                <w:sz w:val="16"/>
                <w:szCs w:val="16"/>
              </w:rPr>
              <w:t>2</w:t>
            </w:r>
          </w:p>
        </w:tc>
        <w:tc>
          <w:tcPr>
            <w:tcW w:w="1260" w:type="dxa"/>
          </w:tcPr>
          <w:p w14:paraId="31086C19" w14:textId="21F13C47" w:rsidR="005C57E6" w:rsidRPr="00875D5F" w:rsidRDefault="006C4F54" w:rsidP="00C75A96">
            <w:pPr>
              <w:tabs>
                <w:tab w:val="decimal" w:pos="688"/>
              </w:tabs>
              <w:jc w:val="right"/>
              <w:rPr>
                <w:rFonts w:cs="Times New Roman"/>
                <w:sz w:val="16"/>
                <w:szCs w:val="16"/>
              </w:rPr>
            </w:pPr>
            <w:r w:rsidRPr="00875D5F">
              <w:rPr>
                <w:rFonts w:cs="Times New Roman"/>
                <w:sz w:val="16"/>
                <w:szCs w:val="16"/>
              </w:rPr>
              <w:t>17</w:t>
            </w:r>
            <w:r w:rsidR="00FF011D">
              <w:rPr>
                <w:rFonts w:cs="Times New Roman"/>
                <w:sz w:val="16"/>
                <w:szCs w:val="16"/>
              </w:rPr>
              <w:t>4,55</w:t>
            </w:r>
            <w:r w:rsidR="002F7939">
              <w:rPr>
                <w:rFonts w:cs="Times New Roman"/>
                <w:sz w:val="16"/>
                <w:szCs w:val="16"/>
              </w:rPr>
              <w:t>6</w:t>
            </w:r>
          </w:p>
        </w:tc>
      </w:tr>
      <w:tr w:rsidR="008972B6" w:rsidRPr="005D25CC" w14:paraId="358357F6" w14:textId="77777777" w:rsidTr="00E35C48">
        <w:trPr>
          <w:cantSplit/>
          <w:jc w:val="center"/>
        </w:trPr>
        <w:tc>
          <w:tcPr>
            <w:tcW w:w="2430" w:type="dxa"/>
          </w:tcPr>
          <w:p w14:paraId="1232221C" w14:textId="6DAC05CE" w:rsidR="008972B6" w:rsidRPr="00875D5F" w:rsidRDefault="008972B6" w:rsidP="00C75A96">
            <w:pPr>
              <w:ind w:hanging="19"/>
              <w:rPr>
                <w:rFonts w:cs="Times New Roman"/>
                <w:sz w:val="16"/>
                <w:szCs w:val="16"/>
              </w:rPr>
            </w:pPr>
            <w:r w:rsidRPr="00875D5F">
              <w:rPr>
                <w:rFonts w:cs="Times New Roman"/>
                <w:sz w:val="16"/>
                <w:szCs w:val="16"/>
              </w:rPr>
              <w:t>Depreciation</w:t>
            </w:r>
            <w:r w:rsidR="00805FC0" w:rsidRPr="00875D5F">
              <w:rPr>
                <w:rFonts w:cs="Times New Roman"/>
                <w:sz w:val="16"/>
                <w:szCs w:val="16"/>
              </w:rPr>
              <w:t xml:space="preserve"> (</w:t>
            </w:r>
            <w:r w:rsidR="00F02E3D" w:rsidRPr="00875D5F">
              <w:rPr>
                <w:rFonts w:cs="Times New Roman"/>
                <w:sz w:val="16"/>
                <w:szCs w:val="16"/>
              </w:rPr>
              <w:t>5</w:t>
            </w:r>
            <w:r w:rsidR="00805FC0" w:rsidRPr="00875D5F">
              <w:rPr>
                <w:rFonts w:cs="Times New Roman"/>
                <w:sz w:val="16"/>
                <w:szCs w:val="16"/>
              </w:rPr>
              <w:t>)</w:t>
            </w:r>
          </w:p>
        </w:tc>
        <w:tc>
          <w:tcPr>
            <w:tcW w:w="1260" w:type="dxa"/>
            <w:tcBorders>
              <w:bottom w:val="single" w:sz="4" w:space="0" w:color="auto"/>
            </w:tcBorders>
          </w:tcPr>
          <w:p w14:paraId="28534B90" w14:textId="7941B22A" w:rsidR="008972B6" w:rsidRPr="00875D5F" w:rsidRDefault="008972B6" w:rsidP="00C75A96">
            <w:pPr>
              <w:tabs>
                <w:tab w:val="decimal" w:pos="738"/>
              </w:tabs>
              <w:jc w:val="right"/>
              <w:rPr>
                <w:rFonts w:cs="Times New Roman"/>
                <w:sz w:val="16"/>
                <w:szCs w:val="16"/>
              </w:rPr>
            </w:pPr>
            <w:r w:rsidRPr="00875D5F">
              <w:rPr>
                <w:rFonts w:cs="Times New Roman"/>
                <w:sz w:val="16"/>
                <w:szCs w:val="16"/>
              </w:rPr>
              <w:t>3,672</w:t>
            </w:r>
          </w:p>
        </w:tc>
        <w:tc>
          <w:tcPr>
            <w:tcW w:w="1260" w:type="dxa"/>
            <w:tcBorders>
              <w:bottom w:val="single" w:sz="4" w:space="0" w:color="auto"/>
            </w:tcBorders>
          </w:tcPr>
          <w:p w14:paraId="1E86A06B" w14:textId="14627A01" w:rsidR="008972B6" w:rsidRPr="00875D5F" w:rsidRDefault="008972B6" w:rsidP="00C75A96">
            <w:pPr>
              <w:tabs>
                <w:tab w:val="decimal" w:pos="690"/>
              </w:tabs>
              <w:jc w:val="right"/>
              <w:rPr>
                <w:rFonts w:cs="Times New Roman"/>
                <w:sz w:val="16"/>
                <w:szCs w:val="16"/>
              </w:rPr>
            </w:pPr>
            <w:r w:rsidRPr="00875D5F">
              <w:rPr>
                <w:rFonts w:cs="Times New Roman"/>
                <w:sz w:val="16"/>
                <w:szCs w:val="16"/>
              </w:rPr>
              <w:t>3,672</w:t>
            </w:r>
          </w:p>
        </w:tc>
        <w:tc>
          <w:tcPr>
            <w:tcW w:w="1350" w:type="dxa"/>
            <w:tcBorders>
              <w:bottom w:val="single" w:sz="4" w:space="0" w:color="auto"/>
            </w:tcBorders>
          </w:tcPr>
          <w:p w14:paraId="2DC4D8D4" w14:textId="2E68002D" w:rsidR="008972B6" w:rsidRPr="00875D5F" w:rsidRDefault="008972B6" w:rsidP="00C75A96">
            <w:pPr>
              <w:tabs>
                <w:tab w:val="decimal" w:pos="731"/>
              </w:tabs>
              <w:jc w:val="right"/>
              <w:rPr>
                <w:rFonts w:cs="Times New Roman"/>
                <w:sz w:val="16"/>
                <w:szCs w:val="16"/>
              </w:rPr>
            </w:pPr>
            <w:r w:rsidRPr="00875D5F">
              <w:rPr>
                <w:rFonts w:cs="Times New Roman"/>
                <w:sz w:val="16"/>
                <w:szCs w:val="16"/>
              </w:rPr>
              <w:t>3,672</w:t>
            </w:r>
          </w:p>
        </w:tc>
        <w:tc>
          <w:tcPr>
            <w:tcW w:w="1260" w:type="dxa"/>
            <w:tcBorders>
              <w:bottom w:val="single" w:sz="4" w:space="0" w:color="auto"/>
            </w:tcBorders>
          </w:tcPr>
          <w:p w14:paraId="73BEFA14" w14:textId="4A68E065" w:rsidR="008972B6" w:rsidRPr="00875D5F" w:rsidRDefault="008972B6" w:rsidP="00C75A96">
            <w:pPr>
              <w:tabs>
                <w:tab w:val="decimal" w:pos="652"/>
              </w:tabs>
              <w:jc w:val="right"/>
              <w:rPr>
                <w:rFonts w:cs="Times New Roman"/>
                <w:sz w:val="16"/>
                <w:szCs w:val="16"/>
              </w:rPr>
            </w:pPr>
            <w:r w:rsidRPr="00875D5F">
              <w:rPr>
                <w:rFonts w:cs="Times New Roman"/>
                <w:sz w:val="16"/>
                <w:szCs w:val="16"/>
              </w:rPr>
              <w:t>3,672</w:t>
            </w:r>
          </w:p>
        </w:tc>
        <w:tc>
          <w:tcPr>
            <w:tcW w:w="1260" w:type="dxa"/>
            <w:tcBorders>
              <w:bottom w:val="single" w:sz="4" w:space="0" w:color="auto"/>
            </w:tcBorders>
          </w:tcPr>
          <w:p w14:paraId="008CD2E5" w14:textId="1929BA1E" w:rsidR="008972B6" w:rsidRPr="00875D5F" w:rsidRDefault="008972B6" w:rsidP="00C75A96">
            <w:pPr>
              <w:tabs>
                <w:tab w:val="decimal" w:pos="688"/>
              </w:tabs>
              <w:jc w:val="right"/>
              <w:rPr>
                <w:rFonts w:cs="Times New Roman"/>
                <w:sz w:val="16"/>
                <w:szCs w:val="16"/>
              </w:rPr>
            </w:pPr>
            <w:r w:rsidRPr="00875D5F">
              <w:rPr>
                <w:rFonts w:cs="Times New Roman"/>
                <w:sz w:val="16"/>
                <w:szCs w:val="16"/>
              </w:rPr>
              <w:t>3,672</w:t>
            </w:r>
          </w:p>
        </w:tc>
      </w:tr>
      <w:tr w:rsidR="006C47B4" w:rsidRPr="005D25CC" w14:paraId="5D646ACF" w14:textId="77777777" w:rsidTr="00E35C48">
        <w:trPr>
          <w:cantSplit/>
          <w:jc w:val="center"/>
        </w:trPr>
        <w:tc>
          <w:tcPr>
            <w:tcW w:w="2430" w:type="dxa"/>
          </w:tcPr>
          <w:p w14:paraId="2FF56C5E" w14:textId="7B679DFA" w:rsidR="006C47B4" w:rsidRPr="00875D5F" w:rsidRDefault="006C47B4" w:rsidP="006C47B4">
            <w:pPr>
              <w:ind w:firstLine="157"/>
              <w:rPr>
                <w:rFonts w:cs="Times New Roman"/>
                <w:sz w:val="16"/>
                <w:szCs w:val="16"/>
              </w:rPr>
            </w:pPr>
            <w:bookmarkStart w:id="6" w:name="_Hlk529539936"/>
            <w:r w:rsidRPr="00875D5F">
              <w:rPr>
                <w:rFonts w:cs="Times New Roman"/>
                <w:sz w:val="16"/>
                <w:szCs w:val="16"/>
              </w:rPr>
              <w:t>Total Expenses</w:t>
            </w:r>
          </w:p>
        </w:tc>
        <w:tc>
          <w:tcPr>
            <w:tcW w:w="1260" w:type="dxa"/>
            <w:tcBorders>
              <w:top w:val="single" w:sz="4" w:space="0" w:color="auto"/>
              <w:bottom w:val="double" w:sz="4" w:space="0" w:color="auto"/>
            </w:tcBorders>
          </w:tcPr>
          <w:p w14:paraId="754B2145" w14:textId="66AD2602" w:rsidR="006C47B4" w:rsidRPr="00875D5F" w:rsidRDefault="006C47B4" w:rsidP="006C47B4">
            <w:pPr>
              <w:tabs>
                <w:tab w:val="decimal" w:pos="738"/>
              </w:tabs>
              <w:jc w:val="right"/>
              <w:rPr>
                <w:rFonts w:cs="Times New Roman"/>
                <w:sz w:val="16"/>
                <w:szCs w:val="16"/>
              </w:rPr>
            </w:pPr>
            <w:r w:rsidRPr="00875D5F">
              <w:rPr>
                <w:rFonts w:cs="Times New Roman"/>
                <w:sz w:val="16"/>
                <w:szCs w:val="16"/>
              </w:rPr>
              <w:t xml:space="preserve">$          </w:t>
            </w:r>
            <w:r w:rsidR="006C4F54" w:rsidRPr="00875D5F">
              <w:rPr>
                <w:rFonts w:cs="Times New Roman"/>
                <w:sz w:val="16"/>
                <w:szCs w:val="16"/>
              </w:rPr>
              <w:t>377,</w:t>
            </w:r>
            <w:r w:rsidR="00B950B7">
              <w:rPr>
                <w:rFonts w:cs="Times New Roman"/>
                <w:sz w:val="16"/>
                <w:szCs w:val="16"/>
              </w:rPr>
              <w:t>47</w:t>
            </w:r>
            <w:r w:rsidR="006C4F54" w:rsidRPr="00875D5F">
              <w:rPr>
                <w:rFonts w:cs="Times New Roman"/>
                <w:sz w:val="16"/>
                <w:szCs w:val="16"/>
              </w:rPr>
              <w:t>0</w:t>
            </w:r>
          </w:p>
        </w:tc>
        <w:tc>
          <w:tcPr>
            <w:tcW w:w="1260" w:type="dxa"/>
            <w:tcBorders>
              <w:top w:val="single" w:sz="4" w:space="0" w:color="auto"/>
              <w:bottom w:val="double" w:sz="4" w:space="0" w:color="auto"/>
            </w:tcBorders>
          </w:tcPr>
          <w:p w14:paraId="5E484D13" w14:textId="135C2E22" w:rsidR="006C47B4" w:rsidRPr="00875D5F" w:rsidRDefault="006C47B4" w:rsidP="006C47B4">
            <w:pPr>
              <w:tabs>
                <w:tab w:val="decimal" w:pos="690"/>
              </w:tabs>
              <w:jc w:val="right"/>
              <w:rPr>
                <w:rFonts w:cs="Times New Roman"/>
                <w:sz w:val="16"/>
                <w:szCs w:val="16"/>
              </w:rPr>
            </w:pPr>
            <w:r w:rsidRPr="00875D5F">
              <w:rPr>
                <w:rFonts w:cs="Times New Roman"/>
                <w:sz w:val="16"/>
                <w:szCs w:val="16"/>
              </w:rPr>
              <w:t xml:space="preserve">$          </w:t>
            </w:r>
            <w:r w:rsidR="005E5C02" w:rsidRPr="00875D5F">
              <w:rPr>
                <w:rFonts w:cs="Times New Roman"/>
                <w:sz w:val="16"/>
                <w:szCs w:val="16"/>
              </w:rPr>
              <w:t>38</w:t>
            </w:r>
            <w:r w:rsidR="00FF011D">
              <w:rPr>
                <w:rFonts w:cs="Times New Roman"/>
                <w:sz w:val="16"/>
                <w:szCs w:val="16"/>
              </w:rPr>
              <w:t>2,24</w:t>
            </w:r>
            <w:r w:rsidR="002F7939">
              <w:rPr>
                <w:rFonts w:cs="Times New Roman"/>
                <w:sz w:val="16"/>
                <w:szCs w:val="16"/>
              </w:rPr>
              <w:t>6</w:t>
            </w:r>
          </w:p>
        </w:tc>
        <w:tc>
          <w:tcPr>
            <w:tcW w:w="1350" w:type="dxa"/>
            <w:tcBorders>
              <w:top w:val="single" w:sz="4" w:space="0" w:color="auto"/>
              <w:bottom w:val="double" w:sz="4" w:space="0" w:color="auto"/>
            </w:tcBorders>
          </w:tcPr>
          <w:p w14:paraId="16C1B93B" w14:textId="4583573B" w:rsidR="006C47B4" w:rsidRPr="00875D5F" w:rsidRDefault="006C47B4" w:rsidP="006C47B4">
            <w:pPr>
              <w:tabs>
                <w:tab w:val="decimal" w:pos="731"/>
              </w:tabs>
              <w:jc w:val="right"/>
              <w:rPr>
                <w:rFonts w:cs="Times New Roman"/>
                <w:sz w:val="16"/>
                <w:szCs w:val="16"/>
              </w:rPr>
            </w:pPr>
            <w:r w:rsidRPr="00875D5F">
              <w:rPr>
                <w:rFonts w:cs="Times New Roman"/>
                <w:sz w:val="16"/>
                <w:szCs w:val="16"/>
              </w:rPr>
              <w:t xml:space="preserve">$          </w:t>
            </w:r>
            <w:r w:rsidR="005E5C02" w:rsidRPr="00875D5F">
              <w:rPr>
                <w:rFonts w:cs="Times New Roman"/>
                <w:sz w:val="16"/>
                <w:szCs w:val="16"/>
              </w:rPr>
              <w:t>38</w:t>
            </w:r>
            <w:r w:rsidR="00FF011D">
              <w:rPr>
                <w:rFonts w:cs="Times New Roman"/>
                <w:sz w:val="16"/>
                <w:szCs w:val="16"/>
              </w:rPr>
              <w:t>8,941</w:t>
            </w:r>
          </w:p>
        </w:tc>
        <w:tc>
          <w:tcPr>
            <w:tcW w:w="1260" w:type="dxa"/>
            <w:tcBorders>
              <w:top w:val="single" w:sz="4" w:space="0" w:color="auto"/>
              <w:bottom w:val="double" w:sz="4" w:space="0" w:color="auto"/>
            </w:tcBorders>
          </w:tcPr>
          <w:p w14:paraId="20EBD26B" w14:textId="3A416133" w:rsidR="006C47B4" w:rsidRPr="00875D5F" w:rsidRDefault="006C47B4" w:rsidP="006C47B4">
            <w:pPr>
              <w:tabs>
                <w:tab w:val="decimal" w:pos="652"/>
              </w:tabs>
              <w:jc w:val="right"/>
              <w:rPr>
                <w:rFonts w:cs="Times New Roman"/>
                <w:sz w:val="16"/>
                <w:szCs w:val="16"/>
              </w:rPr>
            </w:pPr>
            <w:r w:rsidRPr="00875D5F">
              <w:rPr>
                <w:rFonts w:cs="Times New Roman"/>
                <w:sz w:val="16"/>
                <w:szCs w:val="16"/>
              </w:rPr>
              <w:t xml:space="preserve">$          </w:t>
            </w:r>
            <w:r w:rsidR="00FF011D">
              <w:rPr>
                <w:rFonts w:cs="Times New Roman"/>
                <w:sz w:val="16"/>
                <w:szCs w:val="16"/>
              </w:rPr>
              <w:t>400,</w:t>
            </w:r>
            <w:r w:rsidR="002F7939">
              <w:rPr>
                <w:rFonts w:cs="Times New Roman"/>
                <w:sz w:val="16"/>
                <w:szCs w:val="16"/>
              </w:rPr>
              <w:t>500</w:t>
            </w:r>
          </w:p>
        </w:tc>
        <w:tc>
          <w:tcPr>
            <w:tcW w:w="1260" w:type="dxa"/>
            <w:tcBorders>
              <w:top w:val="single" w:sz="4" w:space="0" w:color="auto"/>
              <w:bottom w:val="double" w:sz="4" w:space="0" w:color="auto"/>
            </w:tcBorders>
          </w:tcPr>
          <w:p w14:paraId="11F41F60" w14:textId="46D439B1" w:rsidR="006C47B4" w:rsidRPr="00875D5F" w:rsidRDefault="006C47B4" w:rsidP="006C47B4">
            <w:pPr>
              <w:tabs>
                <w:tab w:val="decimal" w:pos="688"/>
              </w:tabs>
              <w:jc w:val="right"/>
              <w:rPr>
                <w:rFonts w:cs="Times New Roman"/>
                <w:sz w:val="16"/>
                <w:szCs w:val="16"/>
              </w:rPr>
            </w:pPr>
            <w:r w:rsidRPr="00875D5F">
              <w:rPr>
                <w:rFonts w:cs="Times New Roman"/>
                <w:sz w:val="16"/>
                <w:szCs w:val="16"/>
              </w:rPr>
              <w:t>$          4</w:t>
            </w:r>
            <w:r w:rsidR="00FF011D">
              <w:rPr>
                <w:rFonts w:cs="Times New Roman"/>
                <w:sz w:val="16"/>
                <w:szCs w:val="16"/>
              </w:rPr>
              <w:t>07,60</w:t>
            </w:r>
            <w:r w:rsidR="002F7939">
              <w:rPr>
                <w:rFonts w:cs="Times New Roman"/>
                <w:sz w:val="16"/>
                <w:szCs w:val="16"/>
              </w:rPr>
              <w:t>3</w:t>
            </w:r>
          </w:p>
        </w:tc>
      </w:tr>
      <w:bookmarkEnd w:id="6"/>
    </w:tbl>
    <w:p w14:paraId="404DCC47" w14:textId="77777777" w:rsidR="005C57E6" w:rsidRPr="00D72146" w:rsidRDefault="005C57E6" w:rsidP="00451336">
      <w:pPr>
        <w:pStyle w:val="ListParagraph"/>
        <w:widowControl w:val="0"/>
        <w:tabs>
          <w:tab w:val="left" w:pos="360"/>
        </w:tabs>
        <w:spacing w:after="0" w:line="240" w:lineRule="auto"/>
        <w:ind w:left="360"/>
        <w:jc w:val="both"/>
        <w:rPr>
          <w:rFonts w:ascii="Times New Roman" w:hAnsi="Times New Roman" w:cs="Times New Roman"/>
          <w:b/>
        </w:rPr>
      </w:pPr>
    </w:p>
    <w:p w14:paraId="71DBC458" w14:textId="7584C1E4" w:rsidR="00451336" w:rsidRPr="0017611A" w:rsidRDefault="00451336" w:rsidP="00451336">
      <w:pPr>
        <w:pStyle w:val="ListParagraph"/>
        <w:widowControl w:val="0"/>
        <w:numPr>
          <w:ilvl w:val="0"/>
          <w:numId w:val="20"/>
        </w:numPr>
        <w:spacing w:after="0" w:line="240" w:lineRule="auto"/>
        <w:jc w:val="both"/>
        <w:rPr>
          <w:rFonts w:ascii="Times New Roman" w:hAnsi="Times New Roman" w:cs="Times New Roman"/>
        </w:rPr>
      </w:pPr>
      <w:r w:rsidRPr="0017611A">
        <w:rPr>
          <w:rFonts w:ascii="Times New Roman" w:hAnsi="Times New Roman" w:cs="Times New Roman"/>
        </w:rPr>
        <w:t xml:space="preserve">Salaries and wages in </w:t>
      </w:r>
      <w:r w:rsidR="00026010">
        <w:rPr>
          <w:rFonts w:ascii="Times New Roman" w:hAnsi="Times New Roman" w:cs="Times New Roman"/>
        </w:rPr>
        <w:t xml:space="preserve">the fiscal year ending September 30, </w:t>
      </w:r>
      <w:proofErr w:type="gramStart"/>
      <w:r w:rsidR="00026010">
        <w:rPr>
          <w:rFonts w:ascii="Times New Roman" w:hAnsi="Times New Roman" w:cs="Times New Roman"/>
        </w:rPr>
        <w:t>202</w:t>
      </w:r>
      <w:r w:rsidR="006B4676">
        <w:rPr>
          <w:rFonts w:ascii="Times New Roman" w:hAnsi="Times New Roman" w:cs="Times New Roman"/>
        </w:rPr>
        <w:t>4</w:t>
      </w:r>
      <w:proofErr w:type="gramEnd"/>
      <w:r w:rsidRPr="0017611A">
        <w:rPr>
          <w:rFonts w:ascii="Times New Roman" w:hAnsi="Times New Roman" w:cs="Times New Roman"/>
        </w:rPr>
        <w:t xml:space="preserve"> </w:t>
      </w:r>
      <w:r w:rsidR="008E40D4">
        <w:rPr>
          <w:rFonts w:ascii="Times New Roman" w:hAnsi="Times New Roman" w:cs="Times New Roman"/>
        </w:rPr>
        <w:t xml:space="preserve">are for a part time </w:t>
      </w:r>
      <w:r w:rsidRPr="0017611A">
        <w:rPr>
          <w:rFonts w:ascii="Times New Roman" w:hAnsi="Times New Roman" w:cs="Times New Roman"/>
        </w:rPr>
        <w:t>radiation therapist</w:t>
      </w:r>
      <w:r w:rsidR="008E40D4">
        <w:rPr>
          <w:rFonts w:ascii="Times New Roman" w:hAnsi="Times New Roman" w:cs="Times New Roman"/>
        </w:rPr>
        <w:t>.</w:t>
      </w:r>
      <w:r w:rsidRPr="0017611A">
        <w:rPr>
          <w:rFonts w:ascii="Times New Roman" w:hAnsi="Times New Roman" w:cs="Times New Roman"/>
        </w:rPr>
        <w:t xml:space="preserve"> As the linear accelerator will be operating at </w:t>
      </w:r>
      <w:r>
        <w:rPr>
          <w:rFonts w:ascii="Times New Roman" w:hAnsi="Times New Roman" w:cs="Times New Roman"/>
        </w:rPr>
        <w:t xml:space="preserve">less than </w:t>
      </w:r>
      <w:r w:rsidRPr="0017611A">
        <w:rPr>
          <w:rFonts w:ascii="Times New Roman" w:hAnsi="Times New Roman" w:cs="Times New Roman"/>
        </w:rPr>
        <w:t xml:space="preserve">half capacity for </w:t>
      </w:r>
      <w:r w:rsidR="006B4676">
        <w:rPr>
          <w:rFonts w:ascii="Times New Roman" w:hAnsi="Times New Roman" w:cs="Times New Roman"/>
        </w:rPr>
        <w:t xml:space="preserve">the fiscal years ending September 30, </w:t>
      </w:r>
      <w:proofErr w:type="gramStart"/>
      <w:r w:rsidR="006B4676">
        <w:rPr>
          <w:rFonts w:ascii="Times New Roman" w:hAnsi="Times New Roman" w:cs="Times New Roman"/>
        </w:rPr>
        <w:t>2024</w:t>
      </w:r>
      <w:proofErr w:type="gramEnd"/>
      <w:r w:rsidR="006B4676">
        <w:rPr>
          <w:rFonts w:ascii="Times New Roman" w:hAnsi="Times New Roman" w:cs="Times New Roman"/>
        </w:rPr>
        <w:t xml:space="preserve"> through September 30, 2028</w:t>
      </w:r>
      <w:r w:rsidRPr="0017611A">
        <w:rPr>
          <w:rFonts w:ascii="Times New Roman" w:hAnsi="Times New Roman" w:cs="Times New Roman"/>
        </w:rPr>
        <w:t xml:space="preserve">, </w:t>
      </w:r>
      <w:r w:rsidR="00433BE5">
        <w:rPr>
          <w:rFonts w:ascii="Times New Roman" w:hAnsi="Times New Roman" w:cs="Times New Roman"/>
        </w:rPr>
        <w:t>M</w:t>
      </w:r>
      <w:r w:rsidR="00186268" w:rsidRPr="0017611A">
        <w:rPr>
          <w:rFonts w:ascii="Times New Roman" w:hAnsi="Times New Roman" w:cs="Times New Roman"/>
        </w:rPr>
        <w:t>anagement</w:t>
      </w:r>
      <w:r w:rsidRPr="0017611A">
        <w:rPr>
          <w:rFonts w:ascii="Times New Roman" w:hAnsi="Times New Roman" w:cs="Times New Roman"/>
        </w:rPr>
        <w:t xml:space="preserve"> has estimated 0.5 full-time equivalents </w:t>
      </w:r>
      <w:r w:rsidR="00660790">
        <w:rPr>
          <w:rFonts w:ascii="Times New Roman" w:hAnsi="Times New Roman" w:cs="Times New Roman"/>
        </w:rPr>
        <w:t xml:space="preserve">for </w:t>
      </w:r>
      <w:r w:rsidR="008E40D4">
        <w:rPr>
          <w:rFonts w:ascii="Times New Roman" w:hAnsi="Times New Roman" w:cs="Times New Roman"/>
        </w:rPr>
        <w:t>this position</w:t>
      </w:r>
      <w:r w:rsidRPr="0017611A">
        <w:rPr>
          <w:rFonts w:ascii="Times New Roman" w:hAnsi="Times New Roman" w:cs="Times New Roman"/>
        </w:rPr>
        <w:t xml:space="preserve">, with an average salary </w:t>
      </w:r>
      <w:r w:rsidR="00EE6521" w:rsidRPr="0017611A">
        <w:rPr>
          <w:rFonts w:ascii="Times New Roman" w:hAnsi="Times New Roman" w:cs="Times New Roman"/>
        </w:rPr>
        <w:t xml:space="preserve">of </w:t>
      </w:r>
      <w:r w:rsidR="00EE6521">
        <w:rPr>
          <w:rFonts w:ascii="Times New Roman" w:hAnsi="Times New Roman" w:cs="Times New Roman"/>
        </w:rPr>
        <w:t>approximately</w:t>
      </w:r>
      <w:r w:rsidR="00287BEB">
        <w:rPr>
          <w:rFonts w:ascii="Times New Roman" w:hAnsi="Times New Roman" w:cs="Times New Roman"/>
        </w:rPr>
        <w:t xml:space="preserve"> </w:t>
      </w:r>
      <w:r w:rsidRPr="0017611A">
        <w:rPr>
          <w:rFonts w:ascii="Times New Roman" w:hAnsi="Times New Roman" w:cs="Times New Roman"/>
        </w:rPr>
        <w:t>$</w:t>
      </w:r>
      <w:r w:rsidR="00A60FD1">
        <w:rPr>
          <w:rFonts w:ascii="Times New Roman" w:hAnsi="Times New Roman" w:cs="Times New Roman"/>
        </w:rPr>
        <w:t>98</w:t>
      </w:r>
      <w:r w:rsidR="00657469">
        <w:rPr>
          <w:rFonts w:ascii="Times New Roman" w:hAnsi="Times New Roman" w:cs="Times New Roman"/>
        </w:rPr>
        <w:t>,000</w:t>
      </w:r>
      <w:r w:rsidRPr="0017611A">
        <w:rPr>
          <w:rFonts w:ascii="Times New Roman" w:hAnsi="Times New Roman" w:cs="Times New Roman"/>
        </w:rPr>
        <w:t>.</w:t>
      </w:r>
      <w:r>
        <w:rPr>
          <w:rFonts w:ascii="Times New Roman" w:hAnsi="Times New Roman" w:cs="Times New Roman"/>
        </w:rPr>
        <w:t xml:space="preserve"> Management assumes a </w:t>
      </w:r>
      <w:r w:rsidR="00177C47">
        <w:rPr>
          <w:rFonts w:ascii="Times New Roman" w:hAnsi="Times New Roman" w:cs="Times New Roman"/>
        </w:rPr>
        <w:t>3</w:t>
      </w:r>
      <w:r>
        <w:rPr>
          <w:rFonts w:ascii="Times New Roman" w:hAnsi="Times New Roman" w:cs="Times New Roman"/>
        </w:rPr>
        <w:t xml:space="preserve">% cost of living adjustment every year. </w:t>
      </w:r>
    </w:p>
    <w:p w14:paraId="7CF5020A" w14:textId="77777777" w:rsidR="00964422" w:rsidRDefault="00964422" w:rsidP="00C33417">
      <w:pPr>
        <w:pStyle w:val="ListParagraph"/>
        <w:spacing w:after="0" w:line="240" w:lineRule="auto"/>
        <w:ind w:left="360"/>
        <w:jc w:val="both"/>
        <w:rPr>
          <w:rFonts w:ascii="Times New Roman" w:hAnsi="Times New Roman" w:cs="Times New Roman"/>
          <w:b/>
          <w:highlight w:val="yellow"/>
          <w:u w:val="single"/>
        </w:rPr>
      </w:pPr>
    </w:p>
    <w:p w14:paraId="7ACE8252" w14:textId="638A8183" w:rsidR="00C42FD1" w:rsidRPr="00D95092" w:rsidRDefault="00C42FD1" w:rsidP="00C42FD1">
      <w:pPr>
        <w:pStyle w:val="ListParagraph"/>
        <w:widowControl w:val="0"/>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Management has estimated the projected fringe benefits at approximately </w:t>
      </w:r>
      <w:r w:rsidR="00F2441F">
        <w:rPr>
          <w:rFonts w:ascii="Times New Roman" w:hAnsi="Times New Roman" w:cs="Times New Roman"/>
        </w:rPr>
        <w:t>25</w:t>
      </w:r>
      <w:r>
        <w:rPr>
          <w:rFonts w:ascii="Times New Roman" w:hAnsi="Times New Roman" w:cs="Times New Roman"/>
        </w:rPr>
        <w:t>% of salaries and wages, which is consistent with 2021 and 2022 historical fringe benefits. These expenses include health insurance, FICA, tuition reimbursement and other employee benefit costs.</w:t>
      </w:r>
    </w:p>
    <w:p w14:paraId="5F6A80FE" w14:textId="77777777" w:rsidR="00C42FD1" w:rsidRPr="00D95092" w:rsidRDefault="00C42FD1" w:rsidP="00D95092">
      <w:pPr>
        <w:pStyle w:val="ListParagraph"/>
        <w:rPr>
          <w:rFonts w:ascii="Times New Roman" w:hAnsi="Times New Roman" w:cs="Times New Roman"/>
        </w:rPr>
      </w:pPr>
    </w:p>
    <w:p w14:paraId="47EA3ED4" w14:textId="71D3E39E" w:rsidR="00964422" w:rsidRPr="00696E42" w:rsidRDefault="00964422" w:rsidP="00964422">
      <w:pPr>
        <w:pStyle w:val="ListParagraph"/>
        <w:widowControl w:val="0"/>
        <w:numPr>
          <w:ilvl w:val="0"/>
          <w:numId w:val="20"/>
        </w:numPr>
        <w:spacing w:after="0" w:line="240" w:lineRule="auto"/>
        <w:jc w:val="both"/>
        <w:rPr>
          <w:rFonts w:ascii="Times New Roman" w:hAnsi="Times New Roman" w:cs="Times New Roman"/>
        </w:rPr>
      </w:pPr>
      <w:r>
        <w:rPr>
          <w:rFonts w:ascii="Times New Roman" w:hAnsi="Times New Roman" w:cs="Times New Roman"/>
        </w:rPr>
        <w:t>Maintenance includes a three-year service agreement with a third-party service provider</w:t>
      </w:r>
      <w:r w:rsidR="00D552BF">
        <w:rPr>
          <w:rFonts w:ascii="Times New Roman" w:hAnsi="Times New Roman" w:cs="Times New Roman"/>
        </w:rPr>
        <w:t xml:space="preserve"> (</w:t>
      </w:r>
      <w:r w:rsidR="00733782" w:rsidRPr="00FD7713">
        <w:rPr>
          <w:rFonts w:ascii="Times New Roman" w:hAnsi="Times New Roman" w:cs="Times New Roman"/>
        </w:rPr>
        <w:t xml:space="preserve">Varian </w:t>
      </w:r>
      <w:r w:rsidR="00733782">
        <w:rPr>
          <w:rFonts w:ascii="Times New Roman" w:hAnsi="Times New Roman" w:cs="Times New Roman"/>
        </w:rPr>
        <w:t xml:space="preserve">Medical </w:t>
      </w:r>
      <w:r w:rsidR="00733782" w:rsidRPr="00696E42">
        <w:rPr>
          <w:rFonts w:ascii="Times New Roman" w:hAnsi="Times New Roman" w:cs="Times New Roman"/>
        </w:rPr>
        <w:t>Systems)</w:t>
      </w:r>
      <w:r w:rsidRPr="00696E42">
        <w:rPr>
          <w:rFonts w:ascii="Times New Roman" w:hAnsi="Times New Roman" w:cs="Times New Roman"/>
        </w:rPr>
        <w:t xml:space="preserve"> that covers equipment inspections, safety upgrades, parts necessary to repair the equipment, and technical support. Management will renew the service agreement for an additional three years </w:t>
      </w:r>
      <w:r w:rsidR="00BB37F7" w:rsidRPr="00696E42">
        <w:rPr>
          <w:rFonts w:ascii="Times New Roman" w:hAnsi="Times New Roman" w:cs="Times New Roman"/>
        </w:rPr>
        <w:t xml:space="preserve">during the fiscal year ending September 30, </w:t>
      </w:r>
      <w:proofErr w:type="gramStart"/>
      <w:r w:rsidR="00BB37F7" w:rsidRPr="00696E42">
        <w:rPr>
          <w:rFonts w:ascii="Times New Roman" w:hAnsi="Times New Roman" w:cs="Times New Roman"/>
        </w:rPr>
        <w:t>2027</w:t>
      </w:r>
      <w:proofErr w:type="gramEnd"/>
      <w:r w:rsidRPr="00696E42">
        <w:rPr>
          <w:rFonts w:ascii="Times New Roman" w:hAnsi="Times New Roman" w:cs="Times New Roman"/>
        </w:rPr>
        <w:t xml:space="preserve"> and has estimated a </w:t>
      </w:r>
      <w:r w:rsidR="00060E38" w:rsidRPr="00696E42">
        <w:rPr>
          <w:rFonts w:ascii="Times New Roman" w:hAnsi="Times New Roman" w:cs="Times New Roman"/>
        </w:rPr>
        <w:t>3</w:t>
      </w:r>
      <w:r w:rsidRPr="00696E42">
        <w:rPr>
          <w:rFonts w:ascii="Times New Roman" w:hAnsi="Times New Roman" w:cs="Times New Roman"/>
        </w:rPr>
        <w:t xml:space="preserve">% increase for inflation.  </w:t>
      </w:r>
    </w:p>
    <w:p w14:paraId="007930FF" w14:textId="77777777" w:rsidR="00964422" w:rsidRPr="00696E42" w:rsidRDefault="00964422" w:rsidP="00964422">
      <w:pPr>
        <w:pStyle w:val="ListParagraph"/>
        <w:rPr>
          <w:rFonts w:ascii="Times New Roman" w:hAnsi="Times New Roman" w:cs="Times New Roman"/>
        </w:rPr>
      </w:pPr>
    </w:p>
    <w:p w14:paraId="44596248" w14:textId="1447B18C" w:rsidR="00964422" w:rsidRPr="00696E42" w:rsidRDefault="00874025" w:rsidP="00964422">
      <w:pPr>
        <w:pStyle w:val="ListParagraph"/>
        <w:widowControl w:val="0"/>
        <w:numPr>
          <w:ilvl w:val="0"/>
          <w:numId w:val="20"/>
        </w:numPr>
        <w:spacing w:after="0" w:line="240" w:lineRule="auto"/>
        <w:jc w:val="both"/>
        <w:rPr>
          <w:rFonts w:ascii="Times New Roman" w:hAnsi="Times New Roman" w:cs="Times New Roman"/>
        </w:rPr>
      </w:pPr>
      <w:r w:rsidRPr="00696E42">
        <w:rPr>
          <w:rFonts w:ascii="Times New Roman" w:hAnsi="Times New Roman" w:cs="Times New Roman"/>
        </w:rPr>
        <w:t xml:space="preserve">Fees include costs associated with </w:t>
      </w:r>
      <w:r w:rsidR="002918FB" w:rsidRPr="00696E42">
        <w:rPr>
          <w:rFonts w:ascii="Times New Roman" w:hAnsi="Times New Roman" w:cs="Times New Roman"/>
        </w:rPr>
        <w:t xml:space="preserve">charges for physicist and dosimetrist </w:t>
      </w:r>
      <w:r w:rsidR="00A94754" w:rsidRPr="00696E42">
        <w:rPr>
          <w:rFonts w:ascii="Times New Roman" w:hAnsi="Times New Roman" w:cs="Times New Roman"/>
        </w:rPr>
        <w:t>services</w:t>
      </w:r>
      <w:r w:rsidR="002918FB" w:rsidRPr="00696E42">
        <w:rPr>
          <w:rFonts w:ascii="Times New Roman" w:hAnsi="Times New Roman" w:cs="Times New Roman"/>
        </w:rPr>
        <w:t xml:space="preserve">, </w:t>
      </w:r>
      <w:r w:rsidR="00A94754" w:rsidRPr="00696E42">
        <w:rPr>
          <w:rFonts w:ascii="Times New Roman" w:hAnsi="Times New Roman" w:cs="Times New Roman"/>
        </w:rPr>
        <w:t xml:space="preserve">registration fees, and </w:t>
      </w:r>
      <w:r w:rsidR="00F11ABB">
        <w:rPr>
          <w:rFonts w:ascii="Times New Roman" w:hAnsi="Times New Roman" w:cs="Times New Roman"/>
        </w:rPr>
        <w:t xml:space="preserve">the </w:t>
      </w:r>
      <w:r w:rsidR="00A94754" w:rsidRPr="00696E42">
        <w:rPr>
          <w:rFonts w:ascii="Times New Roman" w:hAnsi="Times New Roman" w:cs="Times New Roman"/>
        </w:rPr>
        <w:t>CHI payment due to the Commonwealth of Massachusetts. The Applicant</w:t>
      </w:r>
      <w:r w:rsidR="00CE512B" w:rsidRPr="00696E42">
        <w:rPr>
          <w:rFonts w:ascii="Times New Roman" w:hAnsi="Times New Roman" w:cs="Times New Roman"/>
        </w:rPr>
        <w:t xml:space="preserve"> receives contracted physicist and dosime</w:t>
      </w:r>
      <w:r w:rsidR="00C366F4" w:rsidRPr="00696E42">
        <w:rPr>
          <w:rFonts w:ascii="Times New Roman" w:hAnsi="Times New Roman" w:cs="Times New Roman"/>
        </w:rPr>
        <w:t>trist</w:t>
      </w:r>
      <w:r w:rsidR="00B16D1F" w:rsidRPr="00696E42">
        <w:rPr>
          <w:rFonts w:ascii="Times New Roman" w:hAnsi="Times New Roman" w:cs="Times New Roman"/>
        </w:rPr>
        <w:t xml:space="preserve"> services</w:t>
      </w:r>
      <w:r w:rsidR="00E7054B" w:rsidRPr="00696E42">
        <w:rPr>
          <w:rFonts w:ascii="Times New Roman" w:hAnsi="Times New Roman" w:cs="Times New Roman"/>
        </w:rPr>
        <w:t xml:space="preserve"> </w:t>
      </w:r>
      <w:r w:rsidR="00C366F4" w:rsidRPr="00696E42">
        <w:rPr>
          <w:rFonts w:ascii="Times New Roman" w:hAnsi="Times New Roman" w:cs="Times New Roman"/>
        </w:rPr>
        <w:t>from a third party</w:t>
      </w:r>
      <w:r w:rsidR="00B16D1F" w:rsidRPr="00696E42">
        <w:rPr>
          <w:rFonts w:ascii="Times New Roman" w:hAnsi="Times New Roman" w:cs="Times New Roman"/>
        </w:rPr>
        <w:t xml:space="preserve"> to assist with treatments being performed</w:t>
      </w:r>
      <w:r w:rsidR="00C366F4" w:rsidRPr="00696E42">
        <w:rPr>
          <w:rFonts w:ascii="Times New Roman" w:hAnsi="Times New Roman" w:cs="Times New Roman"/>
        </w:rPr>
        <w:t>. The fees included in the pro-forma are based on historical contract rates</w:t>
      </w:r>
      <w:r w:rsidR="00E7054B" w:rsidRPr="00696E42">
        <w:rPr>
          <w:rFonts w:ascii="Times New Roman" w:hAnsi="Times New Roman" w:cs="Times New Roman"/>
        </w:rPr>
        <w:t xml:space="preserve"> of </w:t>
      </w:r>
      <w:r w:rsidR="00812EEF" w:rsidRPr="00696E42">
        <w:rPr>
          <w:rFonts w:ascii="Times New Roman" w:hAnsi="Times New Roman" w:cs="Times New Roman"/>
        </w:rPr>
        <w:t xml:space="preserve">approximately </w:t>
      </w:r>
      <w:r w:rsidR="00E7054B" w:rsidRPr="00696E42">
        <w:rPr>
          <w:rFonts w:ascii="Times New Roman" w:hAnsi="Times New Roman" w:cs="Times New Roman"/>
        </w:rPr>
        <w:t>$155,000</w:t>
      </w:r>
      <w:r w:rsidR="005B04D7" w:rsidRPr="00696E42">
        <w:rPr>
          <w:rFonts w:ascii="Times New Roman" w:hAnsi="Times New Roman" w:cs="Times New Roman"/>
        </w:rPr>
        <w:t xml:space="preserve"> for the services of both positions</w:t>
      </w:r>
      <w:r w:rsidR="00C366F4" w:rsidRPr="00696E42">
        <w:rPr>
          <w:rFonts w:ascii="Times New Roman" w:hAnsi="Times New Roman" w:cs="Times New Roman"/>
        </w:rPr>
        <w:t xml:space="preserve">. Management has estimated a </w:t>
      </w:r>
      <w:r w:rsidR="00DC60F1" w:rsidRPr="00696E42">
        <w:rPr>
          <w:rFonts w:ascii="Times New Roman" w:hAnsi="Times New Roman" w:cs="Times New Roman"/>
        </w:rPr>
        <w:t>3</w:t>
      </w:r>
      <w:r w:rsidR="00C366F4" w:rsidRPr="00696E42">
        <w:rPr>
          <w:rFonts w:ascii="Times New Roman" w:hAnsi="Times New Roman" w:cs="Times New Roman"/>
        </w:rPr>
        <w:t xml:space="preserve">% increase every year </w:t>
      </w:r>
      <w:proofErr w:type="gramStart"/>
      <w:r w:rsidR="00C366F4" w:rsidRPr="00696E42">
        <w:rPr>
          <w:rFonts w:ascii="Times New Roman" w:hAnsi="Times New Roman" w:cs="Times New Roman"/>
        </w:rPr>
        <w:t>for</w:t>
      </w:r>
      <w:proofErr w:type="gramEnd"/>
      <w:r w:rsidR="00C366F4" w:rsidRPr="00696E42">
        <w:rPr>
          <w:rFonts w:ascii="Times New Roman" w:hAnsi="Times New Roman" w:cs="Times New Roman"/>
        </w:rPr>
        <w:t xml:space="preserve"> inflation. </w:t>
      </w:r>
      <w:r w:rsidR="00964422" w:rsidRPr="00696E42">
        <w:rPr>
          <w:rFonts w:ascii="Times New Roman" w:hAnsi="Times New Roman" w:cs="Times New Roman"/>
        </w:rPr>
        <w:t xml:space="preserve">The Applicant is required to pay a $90 annual fee to the Commonwealth of Massachusetts to register the linear accelerator. Management has estimated a </w:t>
      </w:r>
      <w:r w:rsidR="001045FC" w:rsidRPr="00696E42">
        <w:rPr>
          <w:rFonts w:ascii="Times New Roman" w:hAnsi="Times New Roman" w:cs="Times New Roman"/>
        </w:rPr>
        <w:t>3</w:t>
      </w:r>
      <w:r w:rsidR="00964422" w:rsidRPr="00696E42">
        <w:rPr>
          <w:rFonts w:ascii="Times New Roman" w:hAnsi="Times New Roman" w:cs="Times New Roman"/>
        </w:rPr>
        <w:t xml:space="preserve">% increase every year </w:t>
      </w:r>
      <w:proofErr w:type="gramStart"/>
      <w:r w:rsidR="00964422" w:rsidRPr="00696E42">
        <w:rPr>
          <w:rFonts w:ascii="Times New Roman" w:hAnsi="Times New Roman" w:cs="Times New Roman"/>
        </w:rPr>
        <w:t>for</w:t>
      </w:r>
      <w:proofErr w:type="gramEnd"/>
      <w:r w:rsidR="00964422" w:rsidRPr="00696E42">
        <w:rPr>
          <w:rFonts w:ascii="Times New Roman" w:hAnsi="Times New Roman" w:cs="Times New Roman"/>
        </w:rPr>
        <w:t xml:space="preserve"> inflation. </w:t>
      </w:r>
      <w:r w:rsidR="0034656C" w:rsidRPr="00696E42">
        <w:rPr>
          <w:rFonts w:ascii="Times New Roman" w:hAnsi="Times New Roman" w:cs="Times New Roman"/>
        </w:rPr>
        <w:t>Fees also include the required 5% fee to the Commonwealth of Massachusetts based on total project capital costs</w:t>
      </w:r>
      <w:r w:rsidR="00C54575" w:rsidRPr="00696E42">
        <w:rPr>
          <w:rFonts w:ascii="Times New Roman" w:hAnsi="Times New Roman" w:cs="Times New Roman"/>
        </w:rPr>
        <w:t xml:space="preserve"> of $34,500</w:t>
      </w:r>
      <w:r w:rsidR="0034656C" w:rsidRPr="00696E42">
        <w:rPr>
          <w:rFonts w:ascii="Times New Roman" w:hAnsi="Times New Roman" w:cs="Times New Roman"/>
        </w:rPr>
        <w:t xml:space="preserve"> which </w:t>
      </w:r>
      <w:r w:rsidR="00C54575" w:rsidRPr="00696E42">
        <w:rPr>
          <w:rFonts w:ascii="Times New Roman" w:hAnsi="Times New Roman" w:cs="Times New Roman"/>
        </w:rPr>
        <w:t xml:space="preserve">have </w:t>
      </w:r>
      <w:r w:rsidR="0034656C" w:rsidRPr="00696E42">
        <w:rPr>
          <w:rFonts w:ascii="Times New Roman" w:hAnsi="Times New Roman" w:cs="Times New Roman"/>
        </w:rPr>
        <w:t>been included in the year ending September 30, 2024.</w:t>
      </w:r>
    </w:p>
    <w:p w14:paraId="3C343148" w14:textId="77777777" w:rsidR="00805FC0" w:rsidRPr="00805FC0" w:rsidRDefault="00805FC0" w:rsidP="00805FC0">
      <w:pPr>
        <w:pStyle w:val="ListParagraph"/>
        <w:rPr>
          <w:rFonts w:ascii="Times New Roman" w:hAnsi="Times New Roman" w:cs="Times New Roman"/>
        </w:rPr>
      </w:pPr>
    </w:p>
    <w:p w14:paraId="0B043A10" w14:textId="010F43D7" w:rsidR="00805FC0" w:rsidRDefault="00805FC0" w:rsidP="00964422">
      <w:pPr>
        <w:pStyle w:val="ListParagraph"/>
        <w:widowControl w:val="0"/>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Estimated renovation costs of $34,500 will be depreciated </w:t>
      </w:r>
      <w:r w:rsidR="00C26BAD">
        <w:rPr>
          <w:rFonts w:ascii="Times New Roman" w:hAnsi="Times New Roman" w:cs="Times New Roman"/>
        </w:rPr>
        <w:t xml:space="preserve">over 5 to </w:t>
      </w:r>
      <w:r w:rsidR="005879F5">
        <w:rPr>
          <w:rFonts w:ascii="Times New Roman" w:hAnsi="Times New Roman" w:cs="Times New Roman"/>
        </w:rPr>
        <w:t xml:space="preserve">15 </w:t>
      </w:r>
      <w:r w:rsidR="00C26BAD">
        <w:rPr>
          <w:rFonts w:ascii="Times New Roman" w:hAnsi="Times New Roman" w:cs="Times New Roman"/>
        </w:rPr>
        <w:t xml:space="preserve">years, beginning in </w:t>
      </w:r>
      <w:r w:rsidR="00A60E5A">
        <w:rPr>
          <w:rFonts w:ascii="Times New Roman" w:hAnsi="Times New Roman" w:cs="Times New Roman"/>
        </w:rPr>
        <w:t>the year ending September 30, 2024</w:t>
      </w:r>
      <w:r w:rsidR="00C26BAD">
        <w:rPr>
          <w:rFonts w:ascii="Times New Roman" w:hAnsi="Times New Roman" w:cs="Times New Roman"/>
        </w:rPr>
        <w:t>.</w:t>
      </w:r>
    </w:p>
    <w:p w14:paraId="341C2E1D" w14:textId="77777777" w:rsidR="00964422" w:rsidRPr="00115833" w:rsidRDefault="00964422" w:rsidP="00964422">
      <w:pPr>
        <w:widowControl w:val="0"/>
        <w:spacing w:after="0" w:line="240" w:lineRule="auto"/>
        <w:jc w:val="both"/>
        <w:rPr>
          <w:rFonts w:ascii="Times New Roman" w:hAnsi="Times New Roman" w:cs="Times New Roman"/>
        </w:rPr>
      </w:pPr>
    </w:p>
    <w:p w14:paraId="3821D831" w14:textId="3A89D477" w:rsidR="00964422" w:rsidRPr="00923DBA" w:rsidRDefault="00964422" w:rsidP="00964422">
      <w:pPr>
        <w:widowControl w:val="0"/>
        <w:spacing w:after="0" w:line="240" w:lineRule="auto"/>
        <w:ind w:left="360"/>
        <w:jc w:val="both"/>
        <w:rPr>
          <w:rFonts w:ascii="Times New Roman" w:hAnsi="Times New Roman" w:cs="Times New Roman"/>
        </w:rPr>
      </w:pPr>
      <w:r w:rsidRPr="00923DBA">
        <w:rPr>
          <w:rFonts w:ascii="Times New Roman" w:hAnsi="Times New Roman" w:cs="Times New Roman"/>
        </w:rPr>
        <w:t xml:space="preserve">We analyzed the projected/pro-forma expenses for </w:t>
      </w:r>
      <w:r w:rsidR="00E80939">
        <w:rPr>
          <w:rFonts w:ascii="Times New Roman" w:hAnsi="Times New Roman" w:cs="Times New Roman"/>
        </w:rPr>
        <w:t xml:space="preserve">the fiscal years ending September 30, </w:t>
      </w:r>
      <w:proofErr w:type="gramStart"/>
      <w:r w:rsidR="00E80939">
        <w:rPr>
          <w:rFonts w:ascii="Times New Roman" w:hAnsi="Times New Roman" w:cs="Times New Roman"/>
        </w:rPr>
        <w:t>2024</w:t>
      </w:r>
      <w:proofErr w:type="gramEnd"/>
      <w:r w:rsidR="00E80939">
        <w:rPr>
          <w:rFonts w:ascii="Times New Roman" w:hAnsi="Times New Roman" w:cs="Times New Roman"/>
        </w:rPr>
        <w:t xml:space="preserve"> through September 30, 2028 </w:t>
      </w:r>
      <w:r w:rsidRPr="00923DBA">
        <w:rPr>
          <w:rFonts w:ascii="Times New Roman" w:hAnsi="Times New Roman" w:cs="Times New Roman"/>
        </w:rPr>
        <w:t>to assess the reasonableness of the pro-forma statements.</w:t>
      </w:r>
      <w:r w:rsidR="00E80939">
        <w:rPr>
          <w:rFonts w:ascii="Times New Roman" w:hAnsi="Times New Roman" w:cs="Times New Roman"/>
        </w:rPr>
        <w:t xml:space="preserve"> </w:t>
      </w:r>
      <w:r w:rsidRPr="00923DBA">
        <w:rPr>
          <w:rFonts w:ascii="Times New Roman" w:hAnsi="Times New Roman" w:cs="Times New Roman"/>
        </w:rPr>
        <w:t xml:space="preserve">Based on our analysis, the pro-forma total expenses </w:t>
      </w:r>
      <w:r w:rsidR="00E80939">
        <w:rPr>
          <w:rFonts w:ascii="Times New Roman" w:hAnsi="Times New Roman" w:cs="Times New Roman"/>
        </w:rPr>
        <w:t>projected by Management are a reasonable estimation and conservative</w:t>
      </w:r>
      <w:r w:rsidR="004C2525">
        <w:rPr>
          <w:rFonts w:ascii="Times New Roman" w:hAnsi="Times New Roman" w:cs="Times New Roman"/>
        </w:rPr>
        <w:t xml:space="preserve">. </w:t>
      </w:r>
    </w:p>
    <w:p w14:paraId="0BFBDCD0" w14:textId="77777777" w:rsidR="00BA3E62" w:rsidRDefault="00BA3E62" w:rsidP="00B12E15">
      <w:pPr>
        <w:widowControl w:val="0"/>
        <w:tabs>
          <w:tab w:val="left" w:pos="360"/>
        </w:tabs>
        <w:spacing w:after="0" w:line="240" w:lineRule="auto"/>
        <w:jc w:val="both"/>
        <w:rPr>
          <w:rFonts w:ascii="Times New Roman" w:hAnsi="Times New Roman" w:cs="Times New Roman"/>
          <w:b/>
        </w:rPr>
      </w:pPr>
    </w:p>
    <w:p w14:paraId="0D127406" w14:textId="77777777" w:rsidR="006A1A6B" w:rsidRDefault="006A1A6B" w:rsidP="00B12E15">
      <w:pPr>
        <w:widowControl w:val="0"/>
        <w:tabs>
          <w:tab w:val="left" w:pos="360"/>
        </w:tabs>
        <w:spacing w:after="0" w:line="240" w:lineRule="auto"/>
        <w:jc w:val="both"/>
        <w:rPr>
          <w:rFonts w:ascii="Times New Roman" w:hAnsi="Times New Roman" w:cs="Times New Roman"/>
          <w:b/>
        </w:rPr>
      </w:pPr>
    </w:p>
    <w:p w14:paraId="7CD0B235" w14:textId="77777777" w:rsidR="008F3CD3" w:rsidRDefault="008F3CD3" w:rsidP="00534BE9">
      <w:pPr>
        <w:widowControl w:val="0"/>
        <w:spacing w:after="0" w:line="240" w:lineRule="auto"/>
        <w:jc w:val="center"/>
        <w:rPr>
          <w:rFonts w:ascii="Times New Roman" w:hAnsi="Times New Roman" w:cs="Times New Roman"/>
        </w:rPr>
      </w:pPr>
    </w:p>
    <w:p w14:paraId="236C92D7" w14:textId="42EAD353" w:rsidR="00964422" w:rsidRPr="00565009" w:rsidRDefault="00964422" w:rsidP="00964422">
      <w:pPr>
        <w:spacing w:after="0" w:line="240" w:lineRule="auto"/>
        <w:rPr>
          <w:rFonts w:ascii="Times New Roman" w:hAnsi="Times New Roman" w:cs="Times New Roman"/>
        </w:rPr>
      </w:pPr>
      <w:r w:rsidRPr="00565009">
        <w:rPr>
          <w:rFonts w:ascii="Times New Roman" w:hAnsi="Times New Roman" w:cs="Times New Roman"/>
        </w:rPr>
        <w:lastRenderedPageBreak/>
        <w:t>Mr. Jim Jenkins</w:t>
      </w:r>
    </w:p>
    <w:p w14:paraId="5E316990" w14:textId="77777777" w:rsidR="00727986" w:rsidRPr="00565009" w:rsidRDefault="00727986" w:rsidP="00727986">
      <w:pPr>
        <w:spacing w:after="0" w:line="240" w:lineRule="auto"/>
        <w:rPr>
          <w:rFonts w:ascii="Times New Roman" w:hAnsi="Times New Roman" w:cs="Times New Roman"/>
        </w:rPr>
      </w:pPr>
      <w:r w:rsidRPr="00565009">
        <w:rPr>
          <w:rFonts w:ascii="Times New Roman" w:hAnsi="Times New Roman" w:cs="Times New Roman"/>
        </w:rPr>
        <w:t xml:space="preserve">Beth Israel Deaconess Hospital – Plymouth, Inc. </w:t>
      </w:r>
    </w:p>
    <w:p w14:paraId="64CE895E" w14:textId="1F9F6DB7" w:rsidR="002367C6" w:rsidRPr="00E72ED7" w:rsidRDefault="002367C6" w:rsidP="002367C6">
      <w:pPr>
        <w:spacing w:after="0" w:line="240" w:lineRule="auto"/>
        <w:rPr>
          <w:rFonts w:ascii="Times New Roman" w:hAnsi="Times New Roman" w:cs="Times New Roman"/>
        </w:rPr>
      </w:pPr>
      <w:r w:rsidRPr="00565009">
        <w:rPr>
          <w:rFonts w:ascii="Times New Roman" w:hAnsi="Times New Roman" w:cs="Times New Roman"/>
        </w:rPr>
        <w:t xml:space="preserve">September </w:t>
      </w:r>
      <w:r w:rsidR="00565009" w:rsidRPr="00565009">
        <w:rPr>
          <w:rFonts w:ascii="Times New Roman" w:hAnsi="Times New Roman" w:cs="Times New Roman"/>
        </w:rPr>
        <w:t>28</w:t>
      </w:r>
      <w:r w:rsidRPr="00565009">
        <w:rPr>
          <w:rFonts w:ascii="Times New Roman" w:hAnsi="Times New Roman" w:cs="Times New Roman"/>
        </w:rPr>
        <w:t>, 2023</w:t>
      </w:r>
    </w:p>
    <w:p w14:paraId="4AE3E247" w14:textId="77777777" w:rsidR="00964422" w:rsidRDefault="00964422" w:rsidP="00373DE5">
      <w:pPr>
        <w:widowControl w:val="0"/>
        <w:tabs>
          <w:tab w:val="left" w:pos="1191"/>
        </w:tabs>
        <w:spacing w:after="0" w:line="240" w:lineRule="auto"/>
        <w:rPr>
          <w:rFonts w:ascii="Times New Roman" w:hAnsi="Times New Roman" w:cs="Times New Roman"/>
        </w:rPr>
      </w:pPr>
    </w:p>
    <w:p w14:paraId="11A32602" w14:textId="77777777" w:rsidR="005C57E6" w:rsidRDefault="005C57E6" w:rsidP="00373DE5">
      <w:pPr>
        <w:widowControl w:val="0"/>
        <w:tabs>
          <w:tab w:val="left" w:pos="1191"/>
        </w:tabs>
        <w:spacing w:after="0" w:line="240" w:lineRule="auto"/>
        <w:rPr>
          <w:rFonts w:ascii="Times New Roman" w:hAnsi="Times New Roman" w:cs="Times New Roman"/>
        </w:rPr>
      </w:pPr>
    </w:p>
    <w:p w14:paraId="14BCF24E" w14:textId="3C113663" w:rsidR="005C57E6" w:rsidRPr="00D95092" w:rsidRDefault="005C57E6" w:rsidP="00D95092">
      <w:pPr>
        <w:pStyle w:val="Heading3"/>
        <w:numPr>
          <w:ilvl w:val="0"/>
          <w:numId w:val="36"/>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 xml:space="preserve">Review of the </w:t>
      </w:r>
      <w:r w:rsidR="0032017C" w:rsidRPr="00D95092">
        <w:rPr>
          <w:rStyle w:val="SubtleEmphasis"/>
          <w:rFonts w:ascii="Times New Roman" w:hAnsi="Times New Roman" w:cs="Times New Roman"/>
          <w:b/>
          <w:i w:val="0"/>
          <w:iCs w:val="0"/>
          <w:color w:val="auto"/>
          <w:sz w:val="22"/>
          <w:szCs w:val="22"/>
          <w:u w:val="single"/>
        </w:rPr>
        <w:t>Projections (</w:t>
      </w:r>
      <w:r w:rsidRPr="00D95092">
        <w:rPr>
          <w:rStyle w:val="SubtleEmphasis"/>
          <w:rFonts w:ascii="Times New Roman" w:hAnsi="Times New Roman" w:cs="Times New Roman"/>
          <w:b/>
          <w:i w:val="0"/>
          <w:iCs w:val="0"/>
          <w:color w:val="auto"/>
          <w:sz w:val="22"/>
          <w:szCs w:val="22"/>
          <w:u w:val="single"/>
        </w:rPr>
        <w:t>continued)</w:t>
      </w:r>
    </w:p>
    <w:p w14:paraId="0818B45D" w14:textId="77777777" w:rsidR="005C57E6" w:rsidRDefault="005C57E6" w:rsidP="00373DE5">
      <w:pPr>
        <w:widowControl w:val="0"/>
        <w:tabs>
          <w:tab w:val="left" w:pos="1191"/>
        </w:tabs>
        <w:spacing w:after="0" w:line="240" w:lineRule="auto"/>
        <w:rPr>
          <w:rFonts w:ascii="Times New Roman" w:hAnsi="Times New Roman" w:cs="Times New Roman"/>
        </w:rPr>
      </w:pPr>
    </w:p>
    <w:p w14:paraId="150DACBC" w14:textId="77777777" w:rsidR="00C42FD1" w:rsidRPr="00001603" w:rsidRDefault="00C42FD1" w:rsidP="00C42FD1">
      <w:pPr>
        <w:pStyle w:val="ListParagraph"/>
        <w:spacing w:after="0" w:line="240" w:lineRule="auto"/>
        <w:ind w:left="360"/>
        <w:jc w:val="both"/>
        <w:rPr>
          <w:rFonts w:ascii="Times New Roman" w:hAnsi="Times New Roman" w:cs="Times New Roman"/>
          <w:b/>
          <w:u w:val="single"/>
        </w:rPr>
      </w:pPr>
      <w:r w:rsidRPr="00001603">
        <w:rPr>
          <w:rFonts w:ascii="Times New Roman" w:hAnsi="Times New Roman" w:cs="Times New Roman"/>
          <w:b/>
          <w:u w:val="single"/>
        </w:rPr>
        <w:t>Net Income</w:t>
      </w:r>
    </w:p>
    <w:p w14:paraId="48A8637D" w14:textId="109B96A5" w:rsidR="00C42FD1" w:rsidRPr="00001603" w:rsidRDefault="00C42FD1" w:rsidP="00C42FD1">
      <w:pPr>
        <w:pStyle w:val="ListParagraph"/>
        <w:widowControl w:val="0"/>
        <w:spacing w:after="0" w:line="240" w:lineRule="auto"/>
        <w:ind w:left="360"/>
        <w:jc w:val="both"/>
        <w:rPr>
          <w:rFonts w:ascii="Times New Roman" w:hAnsi="Times New Roman" w:cs="Times New Roman"/>
          <w:color w:val="FF0000"/>
        </w:rPr>
      </w:pPr>
      <w:r w:rsidRPr="00001603">
        <w:rPr>
          <w:rFonts w:ascii="Times New Roman" w:hAnsi="Times New Roman" w:cs="Times New Roman"/>
        </w:rPr>
        <w:t>The table below provides a summary of the net income</w:t>
      </w:r>
      <w:r>
        <w:rPr>
          <w:rFonts w:ascii="Times New Roman" w:hAnsi="Times New Roman" w:cs="Times New Roman"/>
        </w:rPr>
        <w:t xml:space="preserve"> (loss)</w:t>
      </w:r>
      <w:r w:rsidRPr="00001603">
        <w:rPr>
          <w:rFonts w:ascii="Times New Roman" w:hAnsi="Times New Roman" w:cs="Times New Roman"/>
        </w:rPr>
        <w:t xml:space="preserve"> by year</w:t>
      </w:r>
      <w:r>
        <w:rPr>
          <w:rFonts w:ascii="Times New Roman" w:hAnsi="Times New Roman" w:cs="Times New Roman"/>
        </w:rPr>
        <w:t xml:space="preserve"> (fiscal year September)</w:t>
      </w:r>
      <w:r w:rsidR="00971AE8">
        <w:rPr>
          <w:rFonts w:ascii="Times New Roman" w:hAnsi="Times New Roman" w:cs="Times New Roman"/>
        </w:rPr>
        <w:t xml:space="preserve"> for the reactivated linear accelerator</w:t>
      </w:r>
      <w:r w:rsidRPr="00001603">
        <w:rPr>
          <w:rFonts w:ascii="Times New Roman" w:hAnsi="Times New Roman" w:cs="Times New Roman"/>
        </w:rPr>
        <w:t xml:space="preserve">: </w:t>
      </w:r>
    </w:p>
    <w:p w14:paraId="7EFD9F47" w14:textId="77777777" w:rsidR="00C42FD1" w:rsidRPr="005D25CC" w:rsidRDefault="00C42FD1" w:rsidP="00C42FD1">
      <w:pPr>
        <w:pStyle w:val="ListParagraph"/>
        <w:spacing w:after="0" w:line="240" w:lineRule="auto"/>
        <w:ind w:left="360"/>
        <w:jc w:val="both"/>
        <w:rPr>
          <w:rFonts w:ascii="Times New Roman" w:hAnsi="Times New Roman" w:cs="Times New Roman"/>
          <w:b/>
          <w:highlight w:val="yellow"/>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260"/>
      </w:tblGrid>
      <w:tr w:rsidR="00C42FD1" w:rsidRPr="005D25CC" w14:paraId="34946334" w14:textId="77777777" w:rsidTr="00E35C48">
        <w:trPr>
          <w:cantSplit/>
          <w:trHeight w:val="558"/>
          <w:tblHeader/>
          <w:jc w:val="center"/>
        </w:trPr>
        <w:tc>
          <w:tcPr>
            <w:tcW w:w="2430" w:type="dxa"/>
            <w:shd w:val="clear" w:color="auto" w:fill="auto"/>
          </w:tcPr>
          <w:p w14:paraId="62D46412" w14:textId="77777777" w:rsidR="00C42FD1" w:rsidRPr="001C5232" w:rsidRDefault="00C42FD1" w:rsidP="00DF78DE">
            <w:pPr>
              <w:jc w:val="center"/>
              <w:rPr>
                <w:sz w:val="18"/>
                <w:szCs w:val="18"/>
              </w:rPr>
            </w:pPr>
          </w:p>
          <w:p w14:paraId="090FFB5B" w14:textId="77777777" w:rsidR="00C42FD1" w:rsidRPr="001C5232" w:rsidRDefault="00C42FD1" w:rsidP="00DF78DE">
            <w:pPr>
              <w:jc w:val="center"/>
              <w:rPr>
                <w:sz w:val="18"/>
                <w:szCs w:val="18"/>
              </w:rPr>
            </w:pPr>
          </w:p>
          <w:p w14:paraId="452A8C5A" w14:textId="77777777" w:rsidR="00C42FD1" w:rsidRPr="001C5232" w:rsidRDefault="00C42FD1" w:rsidP="00DF78DE">
            <w:pPr>
              <w:jc w:val="center"/>
              <w:rPr>
                <w:sz w:val="18"/>
                <w:szCs w:val="18"/>
              </w:rPr>
            </w:pPr>
            <w:r w:rsidRPr="001C5232">
              <w:rPr>
                <w:rFonts w:cs="Times New Roman"/>
                <w:sz w:val="16"/>
                <w:szCs w:val="16"/>
                <w:u w:val="single"/>
              </w:rPr>
              <w:t>Category</w:t>
            </w:r>
          </w:p>
        </w:tc>
        <w:tc>
          <w:tcPr>
            <w:tcW w:w="1260" w:type="dxa"/>
            <w:tcBorders>
              <w:bottom w:val="single" w:sz="4" w:space="0" w:color="auto"/>
            </w:tcBorders>
            <w:shd w:val="clear" w:color="auto" w:fill="auto"/>
          </w:tcPr>
          <w:p w14:paraId="0C573EAD" w14:textId="77777777" w:rsidR="00C42FD1" w:rsidRPr="001C5232" w:rsidRDefault="00C42FD1" w:rsidP="00DF78DE">
            <w:pPr>
              <w:jc w:val="center"/>
              <w:rPr>
                <w:sz w:val="16"/>
                <w:szCs w:val="16"/>
              </w:rPr>
            </w:pPr>
            <w:r w:rsidRPr="001C5232">
              <w:rPr>
                <w:sz w:val="16"/>
                <w:szCs w:val="16"/>
              </w:rPr>
              <w:t>Projected/</w:t>
            </w:r>
          </w:p>
          <w:p w14:paraId="0A0C2E7F" w14:textId="77777777" w:rsidR="00C42FD1" w:rsidRPr="001C5232" w:rsidRDefault="00C42FD1" w:rsidP="00DF78DE">
            <w:pPr>
              <w:jc w:val="center"/>
              <w:rPr>
                <w:sz w:val="16"/>
                <w:szCs w:val="16"/>
              </w:rPr>
            </w:pPr>
            <w:r w:rsidRPr="001C5232">
              <w:rPr>
                <w:sz w:val="16"/>
                <w:szCs w:val="16"/>
              </w:rPr>
              <w:t>pro-forma</w:t>
            </w:r>
          </w:p>
          <w:p w14:paraId="106061BB" w14:textId="77777777" w:rsidR="00C42FD1" w:rsidRPr="001C5232" w:rsidRDefault="00C42FD1" w:rsidP="00DF78DE">
            <w:pPr>
              <w:jc w:val="center"/>
              <w:rPr>
                <w:sz w:val="16"/>
                <w:szCs w:val="16"/>
              </w:rPr>
            </w:pPr>
            <w:r w:rsidRPr="001C5232">
              <w:rPr>
                <w:sz w:val="16"/>
                <w:szCs w:val="16"/>
              </w:rPr>
              <w:t>2024</w:t>
            </w:r>
          </w:p>
        </w:tc>
        <w:tc>
          <w:tcPr>
            <w:tcW w:w="1260" w:type="dxa"/>
            <w:tcBorders>
              <w:bottom w:val="single" w:sz="4" w:space="0" w:color="auto"/>
            </w:tcBorders>
            <w:shd w:val="clear" w:color="auto" w:fill="auto"/>
          </w:tcPr>
          <w:p w14:paraId="5C92011F" w14:textId="77777777" w:rsidR="00C42FD1" w:rsidRPr="001C5232" w:rsidRDefault="00C42FD1" w:rsidP="00DF78DE">
            <w:pPr>
              <w:jc w:val="center"/>
              <w:rPr>
                <w:sz w:val="16"/>
                <w:szCs w:val="16"/>
              </w:rPr>
            </w:pPr>
            <w:r w:rsidRPr="001C5232">
              <w:rPr>
                <w:sz w:val="16"/>
                <w:szCs w:val="16"/>
              </w:rPr>
              <w:t>Projected/</w:t>
            </w:r>
          </w:p>
          <w:p w14:paraId="6841F952" w14:textId="77777777" w:rsidR="00C42FD1" w:rsidRPr="001C5232" w:rsidRDefault="00C42FD1" w:rsidP="00DF78DE">
            <w:pPr>
              <w:jc w:val="center"/>
              <w:rPr>
                <w:sz w:val="16"/>
                <w:szCs w:val="16"/>
              </w:rPr>
            </w:pPr>
            <w:r w:rsidRPr="001C5232">
              <w:rPr>
                <w:sz w:val="16"/>
                <w:szCs w:val="16"/>
              </w:rPr>
              <w:t>pro-forma</w:t>
            </w:r>
          </w:p>
          <w:p w14:paraId="4606B0AE" w14:textId="77777777" w:rsidR="00C42FD1" w:rsidRPr="001C5232" w:rsidRDefault="00C42FD1" w:rsidP="00DF78DE">
            <w:pPr>
              <w:jc w:val="center"/>
              <w:rPr>
                <w:sz w:val="16"/>
                <w:szCs w:val="16"/>
              </w:rPr>
            </w:pPr>
            <w:r w:rsidRPr="001C5232">
              <w:rPr>
                <w:sz w:val="16"/>
                <w:szCs w:val="16"/>
              </w:rPr>
              <w:t>2025</w:t>
            </w:r>
          </w:p>
        </w:tc>
        <w:tc>
          <w:tcPr>
            <w:tcW w:w="1350" w:type="dxa"/>
            <w:tcBorders>
              <w:bottom w:val="single" w:sz="4" w:space="0" w:color="auto"/>
            </w:tcBorders>
            <w:shd w:val="clear" w:color="auto" w:fill="auto"/>
          </w:tcPr>
          <w:p w14:paraId="09B4E0A6" w14:textId="77777777" w:rsidR="00C42FD1" w:rsidRPr="001C5232" w:rsidRDefault="00C42FD1" w:rsidP="00DF78DE">
            <w:pPr>
              <w:jc w:val="center"/>
              <w:rPr>
                <w:sz w:val="16"/>
                <w:szCs w:val="16"/>
              </w:rPr>
            </w:pPr>
            <w:r w:rsidRPr="001C5232">
              <w:rPr>
                <w:sz w:val="16"/>
                <w:szCs w:val="16"/>
              </w:rPr>
              <w:t>Projected/</w:t>
            </w:r>
          </w:p>
          <w:p w14:paraId="7B1B072F" w14:textId="77777777" w:rsidR="00C42FD1" w:rsidRPr="001C5232" w:rsidRDefault="00C42FD1" w:rsidP="00DF78DE">
            <w:pPr>
              <w:jc w:val="center"/>
              <w:rPr>
                <w:sz w:val="16"/>
                <w:szCs w:val="16"/>
              </w:rPr>
            </w:pPr>
            <w:r w:rsidRPr="001C5232">
              <w:rPr>
                <w:sz w:val="16"/>
                <w:szCs w:val="16"/>
              </w:rPr>
              <w:t>pro-forma</w:t>
            </w:r>
          </w:p>
          <w:p w14:paraId="56EF8FD5" w14:textId="77777777" w:rsidR="00C42FD1" w:rsidRPr="001C5232" w:rsidRDefault="00C42FD1" w:rsidP="00DF78DE">
            <w:pPr>
              <w:jc w:val="center"/>
              <w:rPr>
                <w:sz w:val="16"/>
                <w:szCs w:val="16"/>
              </w:rPr>
            </w:pPr>
            <w:r w:rsidRPr="001C5232">
              <w:rPr>
                <w:sz w:val="16"/>
                <w:szCs w:val="16"/>
              </w:rPr>
              <w:t>2026</w:t>
            </w:r>
          </w:p>
        </w:tc>
        <w:tc>
          <w:tcPr>
            <w:tcW w:w="1260" w:type="dxa"/>
            <w:tcBorders>
              <w:bottom w:val="single" w:sz="4" w:space="0" w:color="auto"/>
            </w:tcBorders>
            <w:shd w:val="clear" w:color="auto" w:fill="auto"/>
          </w:tcPr>
          <w:p w14:paraId="3F6DBEAA" w14:textId="77777777" w:rsidR="00C42FD1" w:rsidRPr="001C5232" w:rsidRDefault="00C42FD1" w:rsidP="00DF78DE">
            <w:pPr>
              <w:jc w:val="center"/>
              <w:rPr>
                <w:sz w:val="16"/>
                <w:szCs w:val="16"/>
              </w:rPr>
            </w:pPr>
            <w:r w:rsidRPr="001C5232">
              <w:rPr>
                <w:sz w:val="16"/>
                <w:szCs w:val="16"/>
              </w:rPr>
              <w:t>Projected/</w:t>
            </w:r>
          </w:p>
          <w:p w14:paraId="703842E4" w14:textId="77777777" w:rsidR="00C42FD1" w:rsidRPr="001C5232" w:rsidRDefault="00C42FD1" w:rsidP="00DF78DE">
            <w:pPr>
              <w:jc w:val="center"/>
              <w:rPr>
                <w:sz w:val="16"/>
                <w:szCs w:val="16"/>
              </w:rPr>
            </w:pPr>
            <w:r w:rsidRPr="001C5232">
              <w:rPr>
                <w:sz w:val="16"/>
                <w:szCs w:val="16"/>
              </w:rPr>
              <w:t>pro-forma</w:t>
            </w:r>
          </w:p>
          <w:p w14:paraId="396B1B71" w14:textId="77777777" w:rsidR="00C42FD1" w:rsidRPr="001C5232" w:rsidRDefault="00C42FD1" w:rsidP="00DF78DE">
            <w:pPr>
              <w:jc w:val="center"/>
              <w:rPr>
                <w:sz w:val="16"/>
                <w:szCs w:val="16"/>
              </w:rPr>
            </w:pPr>
            <w:r w:rsidRPr="001C5232">
              <w:rPr>
                <w:sz w:val="16"/>
                <w:szCs w:val="16"/>
              </w:rPr>
              <w:t>2027</w:t>
            </w:r>
          </w:p>
        </w:tc>
        <w:tc>
          <w:tcPr>
            <w:tcW w:w="1260" w:type="dxa"/>
            <w:tcBorders>
              <w:bottom w:val="single" w:sz="4" w:space="0" w:color="auto"/>
            </w:tcBorders>
          </w:tcPr>
          <w:p w14:paraId="5D088635" w14:textId="77777777" w:rsidR="00C42FD1" w:rsidRPr="00D1489D" w:rsidRDefault="00C42FD1" w:rsidP="00DF78DE">
            <w:pPr>
              <w:jc w:val="center"/>
              <w:rPr>
                <w:sz w:val="16"/>
                <w:szCs w:val="16"/>
              </w:rPr>
            </w:pPr>
            <w:r w:rsidRPr="00D1489D">
              <w:rPr>
                <w:sz w:val="16"/>
                <w:szCs w:val="16"/>
              </w:rPr>
              <w:t>Projected/</w:t>
            </w:r>
          </w:p>
          <w:p w14:paraId="2B117606" w14:textId="77777777" w:rsidR="00C42FD1" w:rsidRPr="00D1489D" w:rsidRDefault="00C42FD1" w:rsidP="00DF78DE">
            <w:pPr>
              <w:jc w:val="center"/>
              <w:rPr>
                <w:sz w:val="16"/>
                <w:szCs w:val="16"/>
              </w:rPr>
            </w:pPr>
            <w:r w:rsidRPr="00D1489D">
              <w:rPr>
                <w:sz w:val="16"/>
                <w:szCs w:val="16"/>
              </w:rPr>
              <w:t>pro-forma</w:t>
            </w:r>
          </w:p>
          <w:p w14:paraId="57E984B1" w14:textId="77777777" w:rsidR="00C42FD1" w:rsidRPr="00D1489D" w:rsidRDefault="00C42FD1" w:rsidP="00DF78DE">
            <w:pPr>
              <w:jc w:val="center"/>
              <w:rPr>
                <w:sz w:val="16"/>
                <w:szCs w:val="16"/>
              </w:rPr>
            </w:pPr>
            <w:r>
              <w:rPr>
                <w:sz w:val="16"/>
                <w:szCs w:val="16"/>
              </w:rPr>
              <w:t>2028</w:t>
            </w:r>
          </w:p>
        </w:tc>
      </w:tr>
      <w:tr w:rsidR="00C42FD1" w:rsidRPr="005D25CC" w14:paraId="3560F5E7" w14:textId="77777777" w:rsidTr="00E35C48">
        <w:trPr>
          <w:cantSplit/>
          <w:jc w:val="center"/>
        </w:trPr>
        <w:tc>
          <w:tcPr>
            <w:tcW w:w="2430" w:type="dxa"/>
            <w:shd w:val="clear" w:color="auto" w:fill="auto"/>
          </w:tcPr>
          <w:p w14:paraId="3BAE80C2" w14:textId="77777777" w:rsidR="00C42FD1" w:rsidRPr="001C5232" w:rsidRDefault="00C42FD1" w:rsidP="00DF78DE">
            <w:pPr>
              <w:ind w:firstLine="157"/>
              <w:jc w:val="left"/>
              <w:rPr>
                <w:sz w:val="16"/>
                <w:szCs w:val="16"/>
              </w:rPr>
            </w:pPr>
            <w:r w:rsidRPr="001C5232">
              <w:rPr>
                <w:sz w:val="16"/>
                <w:szCs w:val="16"/>
              </w:rPr>
              <w:t xml:space="preserve">Total revenue, net </w:t>
            </w:r>
          </w:p>
        </w:tc>
        <w:tc>
          <w:tcPr>
            <w:tcW w:w="1260" w:type="dxa"/>
            <w:shd w:val="clear" w:color="auto" w:fill="auto"/>
          </w:tcPr>
          <w:p w14:paraId="308E552A" w14:textId="4EB12ED2" w:rsidR="00C42FD1" w:rsidRPr="001C5232" w:rsidRDefault="00C42FD1" w:rsidP="00DF78DE">
            <w:pPr>
              <w:tabs>
                <w:tab w:val="decimal" w:pos="734"/>
              </w:tabs>
              <w:jc w:val="right"/>
              <w:rPr>
                <w:sz w:val="16"/>
                <w:szCs w:val="16"/>
              </w:rPr>
            </w:pPr>
            <w:r w:rsidRPr="001C5232">
              <w:rPr>
                <w:rFonts w:cs="Times New Roman"/>
                <w:sz w:val="16"/>
                <w:szCs w:val="16"/>
              </w:rPr>
              <w:t xml:space="preserve">$          </w:t>
            </w:r>
            <w:r w:rsidR="001C5232" w:rsidRPr="001C5232">
              <w:rPr>
                <w:rFonts w:cs="Times New Roman"/>
                <w:sz w:val="16"/>
                <w:szCs w:val="16"/>
              </w:rPr>
              <w:t>239,505</w:t>
            </w:r>
          </w:p>
        </w:tc>
        <w:tc>
          <w:tcPr>
            <w:tcW w:w="1260" w:type="dxa"/>
            <w:shd w:val="clear" w:color="auto" w:fill="auto"/>
          </w:tcPr>
          <w:p w14:paraId="5F65F90F" w14:textId="44B9BC0E" w:rsidR="00C42FD1" w:rsidRPr="001C5232" w:rsidRDefault="00C42FD1" w:rsidP="00DF78DE">
            <w:pPr>
              <w:tabs>
                <w:tab w:val="decimal" w:pos="854"/>
              </w:tabs>
              <w:jc w:val="right"/>
              <w:rPr>
                <w:sz w:val="16"/>
                <w:szCs w:val="16"/>
              </w:rPr>
            </w:pPr>
            <w:r w:rsidRPr="001C5232">
              <w:rPr>
                <w:rFonts w:cs="Times New Roman"/>
                <w:sz w:val="16"/>
                <w:szCs w:val="16"/>
              </w:rPr>
              <w:t xml:space="preserve">$          </w:t>
            </w:r>
            <w:r w:rsidR="001C5232" w:rsidRPr="001C5232">
              <w:rPr>
                <w:rFonts w:cs="Times New Roman"/>
                <w:sz w:val="16"/>
                <w:szCs w:val="16"/>
              </w:rPr>
              <w:t>442,569</w:t>
            </w:r>
          </w:p>
        </w:tc>
        <w:tc>
          <w:tcPr>
            <w:tcW w:w="1350" w:type="dxa"/>
            <w:shd w:val="clear" w:color="auto" w:fill="auto"/>
          </w:tcPr>
          <w:p w14:paraId="66109541" w14:textId="30B3C53D" w:rsidR="00C42FD1" w:rsidRPr="001C5232" w:rsidRDefault="00C42FD1" w:rsidP="00DF78DE">
            <w:pPr>
              <w:tabs>
                <w:tab w:val="decimal" w:pos="731"/>
              </w:tabs>
              <w:jc w:val="right"/>
              <w:rPr>
                <w:sz w:val="16"/>
                <w:szCs w:val="16"/>
              </w:rPr>
            </w:pPr>
            <w:r w:rsidRPr="001C5232">
              <w:rPr>
                <w:rFonts w:cs="Times New Roman"/>
                <w:sz w:val="16"/>
                <w:szCs w:val="16"/>
              </w:rPr>
              <w:t xml:space="preserve">$             </w:t>
            </w:r>
            <w:r w:rsidR="001C5232" w:rsidRPr="001C5232">
              <w:rPr>
                <w:rFonts w:cs="Times New Roman"/>
                <w:sz w:val="16"/>
                <w:szCs w:val="16"/>
              </w:rPr>
              <w:t>625,089</w:t>
            </w:r>
          </w:p>
        </w:tc>
        <w:tc>
          <w:tcPr>
            <w:tcW w:w="1260" w:type="dxa"/>
            <w:shd w:val="clear" w:color="auto" w:fill="auto"/>
          </w:tcPr>
          <w:p w14:paraId="253AD288" w14:textId="12D25B4E" w:rsidR="00C42FD1" w:rsidRPr="00744C6F" w:rsidRDefault="00C42FD1" w:rsidP="00DF78DE">
            <w:pPr>
              <w:tabs>
                <w:tab w:val="decimal" w:pos="729"/>
              </w:tabs>
              <w:jc w:val="right"/>
              <w:rPr>
                <w:sz w:val="16"/>
                <w:szCs w:val="16"/>
              </w:rPr>
            </w:pPr>
            <w:r w:rsidRPr="00744C6F">
              <w:rPr>
                <w:rFonts w:cs="Times New Roman"/>
                <w:sz w:val="16"/>
                <w:szCs w:val="16"/>
              </w:rPr>
              <w:t xml:space="preserve">$          </w:t>
            </w:r>
            <w:r w:rsidR="001C5232" w:rsidRPr="00744C6F">
              <w:rPr>
                <w:rFonts w:cs="Times New Roman"/>
                <w:sz w:val="16"/>
                <w:szCs w:val="16"/>
              </w:rPr>
              <w:t>784,673</w:t>
            </w:r>
          </w:p>
        </w:tc>
        <w:tc>
          <w:tcPr>
            <w:tcW w:w="1260" w:type="dxa"/>
          </w:tcPr>
          <w:p w14:paraId="5CAB5ECE" w14:textId="473BC2A7" w:rsidR="00C42FD1" w:rsidRPr="00744C6F" w:rsidRDefault="00C42FD1" w:rsidP="00DF78DE">
            <w:pPr>
              <w:tabs>
                <w:tab w:val="decimal" w:pos="688"/>
              </w:tabs>
              <w:jc w:val="right"/>
              <w:rPr>
                <w:sz w:val="16"/>
                <w:szCs w:val="16"/>
              </w:rPr>
            </w:pPr>
            <w:r w:rsidRPr="00744C6F">
              <w:rPr>
                <w:rFonts w:cs="Times New Roman"/>
                <w:sz w:val="16"/>
                <w:szCs w:val="16"/>
              </w:rPr>
              <w:t xml:space="preserve">$          </w:t>
            </w:r>
            <w:r w:rsidR="00744C6F" w:rsidRPr="00744C6F">
              <w:rPr>
                <w:rFonts w:cs="Times New Roman"/>
                <w:sz w:val="16"/>
                <w:szCs w:val="16"/>
              </w:rPr>
              <w:t>932,241</w:t>
            </w:r>
          </w:p>
        </w:tc>
      </w:tr>
      <w:tr w:rsidR="00C42FD1" w:rsidRPr="005D25CC" w14:paraId="10153AC3" w14:textId="77777777" w:rsidTr="00E35C48">
        <w:trPr>
          <w:cantSplit/>
          <w:jc w:val="center"/>
        </w:trPr>
        <w:tc>
          <w:tcPr>
            <w:tcW w:w="2430" w:type="dxa"/>
            <w:shd w:val="clear" w:color="auto" w:fill="auto"/>
          </w:tcPr>
          <w:p w14:paraId="63C67C6D" w14:textId="77777777" w:rsidR="00C42FD1" w:rsidRPr="001C5232" w:rsidRDefault="00C42FD1" w:rsidP="00DF78DE">
            <w:pPr>
              <w:rPr>
                <w:sz w:val="16"/>
                <w:szCs w:val="16"/>
              </w:rPr>
            </w:pPr>
            <w:r w:rsidRPr="001C5232">
              <w:rPr>
                <w:sz w:val="16"/>
                <w:szCs w:val="16"/>
              </w:rPr>
              <w:t xml:space="preserve">    Total expenses</w:t>
            </w:r>
          </w:p>
        </w:tc>
        <w:tc>
          <w:tcPr>
            <w:tcW w:w="1260" w:type="dxa"/>
            <w:shd w:val="clear" w:color="auto" w:fill="auto"/>
          </w:tcPr>
          <w:p w14:paraId="50A055D0" w14:textId="6A39BB53" w:rsidR="00C42FD1" w:rsidRPr="001C5232" w:rsidRDefault="00875D5F" w:rsidP="00DF78DE">
            <w:pPr>
              <w:tabs>
                <w:tab w:val="decimal" w:pos="734"/>
              </w:tabs>
              <w:jc w:val="right"/>
              <w:rPr>
                <w:sz w:val="16"/>
                <w:szCs w:val="16"/>
              </w:rPr>
            </w:pPr>
            <w:r w:rsidRPr="001C5232">
              <w:rPr>
                <w:rFonts w:cs="Times New Roman"/>
                <w:sz w:val="16"/>
                <w:szCs w:val="16"/>
              </w:rPr>
              <w:t>377,</w:t>
            </w:r>
            <w:r w:rsidR="004360E5">
              <w:rPr>
                <w:rFonts w:cs="Times New Roman"/>
                <w:sz w:val="16"/>
                <w:szCs w:val="16"/>
              </w:rPr>
              <w:t>47</w:t>
            </w:r>
            <w:r w:rsidRPr="001C5232">
              <w:rPr>
                <w:rFonts w:cs="Times New Roman"/>
                <w:sz w:val="16"/>
                <w:szCs w:val="16"/>
              </w:rPr>
              <w:t>0</w:t>
            </w:r>
          </w:p>
        </w:tc>
        <w:tc>
          <w:tcPr>
            <w:tcW w:w="1260" w:type="dxa"/>
            <w:shd w:val="clear" w:color="auto" w:fill="auto"/>
          </w:tcPr>
          <w:p w14:paraId="3208DBD6" w14:textId="621C0037" w:rsidR="00C42FD1" w:rsidRPr="001C5232" w:rsidRDefault="00875D5F" w:rsidP="00DF78DE">
            <w:pPr>
              <w:tabs>
                <w:tab w:val="decimal" w:pos="854"/>
              </w:tabs>
              <w:jc w:val="right"/>
              <w:rPr>
                <w:sz w:val="16"/>
                <w:szCs w:val="16"/>
              </w:rPr>
            </w:pPr>
            <w:r w:rsidRPr="001C5232">
              <w:rPr>
                <w:rFonts w:cs="Times New Roman"/>
                <w:sz w:val="16"/>
                <w:szCs w:val="16"/>
              </w:rPr>
              <w:t>38</w:t>
            </w:r>
            <w:r w:rsidR="001C5232" w:rsidRPr="001C5232">
              <w:rPr>
                <w:rFonts w:cs="Times New Roman"/>
                <w:sz w:val="16"/>
                <w:szCs w:val="16"/>
              </w:rPr>
              <w:t>2,246</w:t>
            </w:r>
          </w:p>
        </w:tc>
        <w:tc>
          <w:tcPr>
            <w:tcW w:w="1350" w:type="dxa"/>
            <w:shd w:val="clear" w:color="auto" w:fill="auto"/>
          </w:tcPr>
          <w:p w14:paraId="18E68154" w14:textId="79B775E9" w:rsidR="00C42FD1" w:rsidRPr="001C5232" w:rsidRDefault="001C5232" w:rsidP="00DF78DE">
            <w:pPr>
              <w:tabs>
                <w:tab w:val="decimal" w:pos="731"/>
              </w:tabs>
              <w:jc w:val="right"/>
              <w:rPr>
                <w:sz w:val="16"/>
                <w:szCs w:val="16"/>
              </w:rPr>
            </w:pPr>
            <w:r w:rsidRPr="001C5232">
              <w:rPr>
                <w:rFonts w:cs="Times New Roman"/>
                <w:sz w:val="16"/>
                <w:szCs w:val="16"/>
              </w:rPr>
              <w:t>388,941</w:t>
            </w:r>
          </w:p>
        </w:tc>
        <w:tc>
          <w:tcPr>
            <w:tcW w:w="1260" w:type="dxa"/>
            <w:shd w:val="clear" w:color="auto" w:fill="auto"/>
          </w:tcPr>
          <w:p w14:paraId="5DFC2C29" w14:textId="100AE022" w:rsidR="00C42FD1" w:rsidRPr="00744C6F" w:rsidRDefault="001C5232" w:rsidP="00DF78DE">
            <w:pPr>
              <w:tabs>
                <w:tab w:val="decimal" w:pos="729"/>
              </w:tabs>
              <w:jc w:val="right"/>
              <w:rPr>
                <w:sz w:val="16"/>
                <w:szCs w:val="16"/>
              </w:rPr>
            </w:pPr>
            <w:r w:rsidRPr="00744C6F">
              <w:rPr>
                <w:rFonts w:cs="Times New Roman"/>
                <w:sz w:val="16"/>
                <w:szCs w:val="16"/>
              </w:rPr>
              <w:t>400,500</w:t>
            </w:r>
          </w:p>
        </w:tc>
        <w:tc>
          <w:tcPr>
            <w:tcW w:w="1260" w:type="dxa"/>
          </w:tcPr>
          <w:p w14:paraId="2E370706" w14:textId="5E28B9CC" w:rsidR="00C42FD1" w:rsidRPr="00744C6F" w:rsidRDefault="00744C6F" w:rsidP="00DF78DE">
            <w:pPr>
              <w:tabs>
                <w:tab w:val="decimal" w:pos="688"/>
              </w:tabs>
              <w:jc w:val="right"/>
              <w:rPr>
                <w:sz w:val="16"/>
                <w:szCs w:val="16"/>
              </w:rPr>
            </w:pPr>
            <w:r w:rsidRPr="00744C6F">
              <w:rPr>
                <w:rFonts w:cs="Times New Roman"/>
                <w:sz w:val="16"/>
                <w:szCs w:val="16"/>
              </w:rPr>
              <w:t>407,603</w:t>
            </w:r>
          </w:p>
        </w:tc>
      </w:tr>
      <w:tr w:rsidR="00C42FD1" w:rsidRPr="005D25CC" w14:paraId="6D0C4B80" w14:textId="77777777" w:rsidTr="00E35C48">
        <w:trPr>
          <w:cantSplit/>
          <w:jc w:val="center"/>
        </w:trPr>
        <w:tc>
          <w:tcPr>
            <w:tcW w:w="2430" w:type="dxa"/>
            <w:shd w:val="clear" w:color="auto" w:fill="auto"/>
          </w:tcPr>
          <w:p w14:paraId="197C0C8E" w14:textId="77777777" w:rsidR="00C42FD1" w:rsidRPr="001C5232" w:rsidRDefault="00C42FD1" w:rsidP="00DF78DE">
            <w:pPr>
              <w:rPr>
                <w:sz w:val="16"/>
                <w:szCs w:val="16"/>
              </w:rPr>
            </w:pPr>
            <w:r w:rsidRPr="001C5232">
              <w:rPr>
                <w:sz w:val="16"/>
                <w:szCs w:val="16"/>
              </w:rPr>
              <w:t xml:space="preserve">    Net income (loss)</w:t>
            </w:r>
          </w:p>
        </w:tc>
        <w:tc>
          <w:tcPr>
            <w:tcW w:w="1260" w:type="dxa"/>
            <w:tcBorders>
              <w:top w:val="single" w:sz="4" w:space="0" w:color="auto"/>
              <w:bottom w:val="double" w:sz="4" w:space="0" w:color="auto"/>
            </w:tcBorders>
            <w:shd w:val="clear" w:color="auto" w:fill="auto"/>
          </w:tcPr>
          <w:p w14:paraId="46FA6287" w14:textId="727E4CD0" w:rsidR="00C42FD1" w:rsidRPr="001C5232" w:rsidRDefault="00C42FD1" w:rsidP="00DF78DE">
            <w:pPr>
              <w:tabs>
                <w:tab w:val="decimal" w:pos="734"/>
              </w:tabs>
              <w:jc w:val="right"/>
              <w:rPr>
                <w:sz w:val="16"/>
                <w:szCs w:val="16"/>
              </w:rPr>
            </w:pPr>
            <w:r w:rsidRPr="001C5232">
              <w:rPr>
                <w:sz w:val="16"/>
                <w:szCs w:val="16"/>
              </w:rPr>
              <w:t xml:space="preserve">$    </w:t>
            </w:r>
            <w:proofErr w:type="gramStart"/>
            <w:r w:rsidRPr="001C5232">
              <w:rPr>
                <w:sz w:val="16"/>
                <w:szCs w:val="16"/>
              </w:rPr>
              <w:t xml:space="preserve">   (</w:t>
            </w:r>
            <w:proofErr w:type="gramEnd"/>
            <w:r w:rsidR="001C5232" w:rsidRPr="001C5232">
              <w:rPr>
                <w:sz w:val="16"/>
                <w:szCs w:val="16"/>
              </w:rPr>
              <w:t>137,965</w:t>
            </w:r>
            <w:r w:rsidRPr="001C5232">
              <w:rPr>
                <w:sz w:val="16"/>
                <w:szCs w:val="16"/>
              </w:rPr>
              <w:t>)</w:t>
            </w:r>
          </w:p>
        </w:tc>
        <w:tc>
          <w:tcPr>
            <w:tcW w:w="1260" w:type="dxa"/>
            <w:tcBorders>
              <w:top w:val="single" w:sz="4" w:space="0" w:color="auto"/>
              <w:bottom w:val="double" w:sz="4" w:space="0" w:color="auto"/>
            </w:tcBorders>
            <w:shd w:val="clear" w:color="auto" w:fill="auto"/>
          </w:tcPr>
          <w:p w14:paraId="0EA29EB3" w14:textId="22F5345E" w:rsidR="00C42FD1" w:rsidRPr="001C5232" w:rsidRDefault="00C42FD1" w:rsidP="00DF78DE">
            <w:pPr>
              <w:tabs>
                <w:tab w:val="decimal" w:pos="854"/>
              </w:tabs>
              <w:jc w:val="right"/>
              <w:rPr>
                <w:sz w:val="16"/>
                <w:szCs w:val="16"/>
              </w:rPr>
            </w:pPr>
            <w:r w:rsidRPr="001C5232">
              <w:rPr>
                <w:sz w:val="16"/>
                <w:szCs w:val="16"/>
              </w:rPr>
              <w:t xml:space="preserve">$    </w:t>
            </w:r>
            <w:r w:rsidR="001C5232" w:rsidRPr="001C5232">
              <w:rPr>
                <w:sz w:val="16"/>
                <w:szCs w:val="16"/>
              </w:rPr>
              <w:t xml:space="preserve">     </w:t>
            </w:r>
            <w:r w:rsidRPr="001C5232">
              <w:rPr>
                <w:sz w:val="16"/>
                <w:szCs w:val="16"/>
              </w:rPr>
              <w:t xml:space="preserve">   </w:t>
            </w:r>
            <w:r w:rsidR="001C5232" w:rsidRPr="001C5232">
              <w:rPr>
                <w:sz w:val="16"/>
                <w:szCs w:val="16"/>
              </w:rPr>
              <w:t>60,323</w:t>
            </w:r>
          </w:p>
        </w:tc>
        <w:tc>
          <w:tcPr>
            <w:tcW w:w="1350" w:type="dxa"/>
            <w:tcBorders>
              <w:top w:val="single" w:sz="4" w:space="0" w:color="auto"/>
              <w:bottom w:val="double" w:sz="4" w:space="0" w:color="auto"/>
            </w:tcBorders>
            <w:shd w:val="clear" w:color="auto" w:fill="auto"/>
          </w:tcPr>
          <w:p w14:paraId="0FAF01B6" w14:textId="10D1ECA6" w:rsidR="00C42FD1" w:rsidRPr="001C5232" w:rsidRDefault="00C42FD1" w:rsidP="00DF78DE">
            <w:pPr>
              <w:tabs>
                <w:tab w:val="decimal" w:pos="731"/>
              </w:tabs>
              <w:jc w:val="right"/>
              <w:rPr>
                <w:sz w:val="16"/>
                <w:szCs w:val="16"/>
              </w:rPr>
            </w:pPr>
            <w:r w:rsidRPr="001C5232">
              <w:rPr>
                <w:sz w:val="16"/>
                <w:szCs w:val="16"/>
              </w:rPr>
              <w:t xml:space="preserve">$    </w:t>
            </w:r>
            <w:r w:rsidR="001C5232" w:rsidRPr="001C5232">
              <w:rPr>
                <w:sz w:val="16"/>
                <w:szCs w:val="16"/>
              </w:rPr>
              <w:t xml:space="preserve"> </w:t>
            </w:r>
            <w:r w:rsidRPr="001C5232">
              <w:rPr>
                <w:sz w:val="16"/>
                <w:szCs w:val="16"/>
              </w:rPr>
              <w:t xml:space="preserve">        </w:t>
            </w:r>
            <w:r w:rsidR="001C5232" w:rsidRPr="001C5232">
              <w:rPr>
                <w:sz w:val="16"/>
                <w:szCs w:val="16"/>
              </w:rPr>
              <w:t>236,14</w:t>
            </w:r>
            <w:r w:rsidR="007E6EC5">
              <w:rPr>
                <w:sz w:val="16"/>
                <w:szCs w:val="16"/>
              </w:rPr>
              <w:t>8</w:t>
            </w:r>
          </w:p>
        </w:tc>
        <w:tc>
          <w:tcPr>
            <w:tcW w:w="1260" w:type="dxa"/>
            <w:tcBorders>
              <w:top w:val="single" w:sz="4" w:space="0" w:color="auto"/>
              <w:bottom w:val="double" w:sz="4" w:space="0" w:color="auto"/>
            </w:tcBorders>
            <w:shd w:val="clear" w:color="auto" w:fill="auto"/>
          </w:tcPr>
          <w:p w14:paraId="47E15DF0" w14:textId="7EE444BA" w:rsidR="00C42FD1" w:rsidRPr="00744C6F" w:rsidRDefault="00C42FD1" w:rsidP="00DF78DE">
            <w:pPr>
              <w:tabs>
                <w:tab w:val="decimal" w:pos="729"/>
              </w:tabs>
              <w:jc w:val="right"/>
              <w:rPr>
                <w:sz w:val="16"/>
                <w:szCs w:val="16"/>
              </w:rPr>
            </w:pPr>
            <w:r w:rsidRPr="00744C6F">
              <w:rPr>
                <w:sz w:val="16"/>
                <w:szCs w:val="16"/>
              </w:rPr>
              <w:t xml:space="preserve">$    </w:t>
            </w:r>
            <w:r w:rsidR="0032017C" w:rsidRPr="00744C6F">
              <w:rPr>
                <w:sz w:val="16"/>
                <w:szCs w:val="16"/>
              </w:rPr>
              <w:t xml:space="preserve">  </w:t>
            </w:r>
            <w:r w:rsidRPr="00744C6F">
              <w:rPr>
                <w:sz w:val="16"/>
                <w:szCs w:val="16"/>
              </w:rPr>
              <w:t xml:space="preserve">    </w:t>
            </w:r>
            <w:r w:rsidR="001C5232" w:rsidRPr="00744C6F">
              <w:rPr>
                <w:sz w:val="16"/>
                <w:szCs w:val="16"/>
              </w:rPr>
              <w:t>384,17</w:t>
            </w:r>
            <w:r w:rsidR="00D86D45">
              <w:rPr>
                <w:sz w:val="16"/>
                <w:szCs w:val="16"/>
              </w:rPr>
              <w:t>3</w:t>
            </w:r>
          </w:p>
        </w:tc>
        <w:tc>
          <w:tcPr>
            <w:tcW w:w="1260" w:type="dxa"/>
            <w:tcBorders>
              <w:top w:val="single" w:sz="4" w:space="0" w:color="auto"/>
              <w:bottom w:val="double" w:sz="4" w:space="0" w:color="auto"/>
            </w:tcBorders>
          </w:tcPr>
          <w:p w14:paraId="2BDD8A38" w14:textId="3A57A9A5" w:rsidR="00C42FD1" w:rsidRPr="00744C6F" w:rsidRDefault="00C42FD1" w:rsidP="00DF78DE">
            <w:pPr>
              <w:tabs>
                <w:tab w:val="decimal" w:pos="688"/>
              </w:tabs>
              <w:jc w:val="right"/>
              <w:rPr>
                <w:sz w:val="16"/>
                <w:szCs w:val="16"/>
              </w:rPr>
            </w:pPr>
            <w:r w:rsidRPr="00744C6F">
              <w:rPr>
                <w:sz w:val="16"/>
                <w:szCs w:val="16"/>
              </w:rPr>
              <w:t xml:space="preserve">$          </w:t>
            </w:r>
            <w:r w:rsidR="00744C6F" w:rsidRPr="00744C6F">
              <w:rPr>
                <w:sz w:val="16"/>
                <w:szCs w:val="16"/>
              </w:rPr>
              <w:t>524,63</w:t>
            </w:r>
            <w:r w:rsidR="00D86D45">
              <w:rPr>
                <w:sz w:val="16"/>
                <w:szCs w:val="16"/>
              </w:rPr>
              <w:t>8</w:t>
            </w:r>
          </w:p>
        </w:tc>
      </w:tr>
    </w:tbl>
    <w:p w14:paraId="48AC64F9" w14:textId="7B604376" w:rsidR="00C42FD1" w:rsidRDefault="00C42FD1" w:rsidP="00D95092">
      <w:pPr>
        <w:widowControl w:val="0"/>
        <w:tabs>
          <w:tab w:val="left" w:pos="360"/>
        </w:tabs>
        <w:spacing w:after="0" w:line="240" w:lineRule="auto"/>
        <w:ind w:left="360"/>
        <w:jc w:val="both"/>
        <w:rPr>
          <w:rFonts w:ascii="Times New Roman" w:hAnsi="Times New Roman" w:cs="Times New Roman"/>
          <w:b/>
        </w:rPr>
      </w:pPr>
    </w:p>
    <w:p w14:paraId="247C296E" w14:textId="7183C96D" w:rsidR="00B12746" w:rsidRPr="00001603" w:rsidRDefault="00C42FD1" w:rsidP="00B12746">
      <w:pPr>
        <w:widowControl w:val="0"/>
        <w:tabs>
          <w:tab w:val="left" w:pos="360"/>
        </w:tabs>
        <w:spacing w:after="0" w:line="240" w:lineRule="auto"/>
        <w:jc w:val="both"/>
        <w:rPr>
          <w:rFonts w:ascii="Times New Roman" w:hAnsi="Times New Roman" w:cs="Times New Roman"/>
          <w:b/>
          <w:u w:val="single"/>
        </w:rPr>
      </w:pPr>
      <w:r w:rsidRPr="00D95092">
        <w:rPr>
          <w:rFonts w:ascii="Times New Roman" w:hAnsi="Times New Roman" w:cs="Times New Roman"/>
          <w:b/>
        </w:rPr>
        <w:tab/>
      </w:r>
      <w:r w:rsidR="00B12746" w:rsidRPr="00001603">
        <w:rPr>
          <w:rFonts w:ascii="Times New Roman" w:hAnsi="Times New Roman" w:cs="Times New Roman"/>
          <w:b/>
          <w:u w:val="single"/>
        </w:rPr>
        <w:t>Cash Flows</w:t>
      </w:r>
    </w:p>
    <w:p w14:paraId="4A4E2898" w14:textId="3708FB5B" w:rsidR="00B12746" w:rsidRPr="00001603" w:rsidRDefault="00B12746" w:rsidP="00D95092">
      <w:pPr>
        <w:widowControl w:val="0"/>
        <w:tabs>
          <w:tab w:val="left" w:pos="360"/>
        </w:tabs>
        <w:spacing w:after="0" w:line="240" w:lineRule="auto"/>
        <w:ind w:left="360"/>
        <w:jc w:val="both"/>
        <w:rPr>
          <w:rFonts w:ascii="Times New Roman" w:hAnsi="Times New Roman" w:cs="Times New Roman"/>
          <w:bCs/>
          <w:color w:val="FF0000"/>
        </w:rPr>
      </w:pPr>
      <w:r w:rsidRPr="00001603">
        <w:rPr>
          <w:rFonts w:ascii="Times New Roman" w:hAnsi="Times New Roman" w:cs="Times New Roman"/>
          <w:bCs/>
        </w:rPr>
        <w:t>The table below provides a summary of cash flow by year</w:t>
      </w:r>
      <w:r>
        <w:rPr>
          <w:rFonts w:ascii="Times New Roman" w:hAnsi="Times New Roman" w:cs="Times New Roman"/>
          <w:bCs/>
        </w:rPr>
        <w:t xml:space="preserve"> (fiscal year September)</w:t>
      </w:r>
      <w:r w:rsidR="00971AE8">
        <w:rPr>
          <w:rFonts w:ascii="Times New Roman" w:hAnsi="Times New Roman" w:cs="Times New Roman"/>
          <w:bCs/>
        </w:rPr>
        <w:t xml:space="preserve"> </w:t>
      </w:r>
      <w:r w:rsidR="00971AE8">
        <w:rPr>
          <w:rFonts w:ascii="Times New Roman" w:hAnsi="Times New Roman" w:cs="Times New Roman"/>
        </w:rPr>
        <w:t>for the reactivated linear accelerator</w:t>
      </w:r>
      <w:r w:rsidRPr="00001603">
        <w:rPr>
          <w:rFonts w:ascii="Times New Roman" w:hAnsi="Times New Roman" w:cs="Times New Roman"/>
          <w:bCs/>
        </w:rPr>
        <w:t>:</w:t>
      </w:r>
      <w:r w:rsidRPr="00001603">
        <w:rPr>
          <w:rFonts w:ascii="Times New Roman" w:hAnsi="Times New Roman" w:cs="Times New Roman"/>
          <w:bCs/>
          <w:color w:val="FF0000"/>
        </w:rPr>
        <w:t xml:space="preserve"> </w:t>
      </w:r>
    </w:p>
    <w:p w14:paraId="33781B92" w14:textId="77777777" w:rsidR="00B12746" w:rsidRPr="005D25CC" w:rsidRDefault="00B12746" w:rsidP="00B12746">
      <w:pPr>
        <w:widowControl w:val="0"/>
        <w:tabs>
          <w:tab w:val="left" w:pos="360"/>
        </w:tabs>
        <w:spacing w:after="0" w:line="240" w:lineRule="auto"/>
        <w:jc w:val="both"/>
        <w:rPr>
          <w:rFonts w:ascii="Times New Roman" w:hAnsi="Times New Roman" w:cs="Times New Roman"/>
          <w:bCs/>
          <w:highlight w:val="yellow"/>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170"/>
      </w:tblGrid>
      <w:tr w:rsidR="00B12746" w:rsidRPr="005D25CC" w14:paraId="60AFCBC1" w14:textId="77777777" w:rsidTr="00E35C48">
        <w:trPr>
          <w:cantSplit/>
          <w:tblHeader/>
          <w:jc w:val="center"/>
        </w:trPr>
        <w:tc>
          <w:tcPr>
            <w:tcW w:w="2430" w:type="dxa"/>
          </w:tcPr>
          <w:p w14:paraId="21C68D67" w14:textId="77777777" w:rsidR="00B12746" w:rsidRDefault="00B12746" w:rsidP="00DF2170">
            <w:pPr>
              <w:jc w:val="center"/>
              <w:rPr>
                <w:sz w:val="18"/>
                <w:szCs w:val="18"/>
                <w:highlight w:val="yellow"/>
              </w:rPr>
            </w:pPr>
          </w:p>
          <w:p w14:paraId="592B6855" w14:textId="77777777" w:rsidR="00B12746" w:rsidRDefault="00B12746" w:rsidP="00DF2170">
            <w:pPr>
              <w:jc w:val="center"/>
              <w:rPr>
                <w:sz w:val="18"/>
                <w:szCs w:val="18"/>
                <w:highlight w:val="yellow"/>
              </w:rPr>
            </w:pPr>
          </w:p>
          <w:p w14:paraId="714E5C64" w14:textId="77777777" w:rsidR="00B12746" w:rsidRPr="005D25CC" w:rsidRDefault="00B12746" w:rsidP="00DF2170">
            <w:pPr>
              <w:jc w:val="center"/>
              <w:rPr>
                <w:sz w:val="18"/>
                <w:szCs w:val="18"/>
                <w:highlight w:val="yellow"/>
              </w:rPr>
            </w:pPr>
            <w:r>
              <w:rPr>
                <w:rFonts w:cs="Times New Roman"/>
                <w:sz w:val="16"/>
                <w:szCs w:val="16"/>
                <w:u w:val="single"/>
              </w:rPr>
              <w:t>Category</w:t>
            </w:r>
          </w:p>
        </w:tc>
        <w:tc>
          <w:tcPr>
            <w:tcW w:w="1260" w:type="dxa"/>
            <w:tcBorders>
              <w:bottom w:val="single" w:sz="4" w:space="0" w:color="auto"/>
            </w:tcBorders>
          </w:tcPr>
          <w:p w14:paraId="663B6E86" w14:textId="77777777" w:rsidR="00B12746" w:rsidRPr="002159AE" w:rsidRDefault="00B12746" w:rsidP="00DF2170">
            <w:pPr>
              <w:jc w:val="center"/>
              <w:rPr>
                <w:sz w:val="16"/>
                <w:szCs w:val="16"/>
              </w:rPr>
            </w:pPr>
            <w:r w:rsidRPr="002159AE">
              <w:rPr>
                <w:sz w:val="16"/>
                <w:szCs w:val="16"/>
              </w:rPr>
              <w:t>Projected/</w:t>
            </w:r>
          </w:p>
          <w:p w14:paraId="110BF0CF" w14:textId="77777777" w:rsidR="00B12746" w:rsidRPr="002159AE" w:rsidRDefault="00B12746" w:rsidP="00DF2170">
            <w:pPr>
              <w:jc w:val="center"/>
              <w:rPr>
                <w:sz w:val="16"/>
                <w:szCs w:val="16"/>
              </w:rPr>
            </w:pPr>
            <w:r w:rsidRPr="002159AE">
              <w:rPr>
                <w:sz w:val="16"/>
                <w:szCs w:val="16"/>
              </w:rPr>
              <w:t>pro-forma</w:t>
            </w:r>
          </w:p>
          <w:p w14:paraId="1221FEC8" w14:textId="77777777" w:rsidR="00B12746" w:rsidRPr="002159AE" w:rsidRDefault="00B12746" w:rsidP="00DF2170">
            <w:pPr>
              <w:jc w:val="center"/>
              <w:rPr>
                <w:sz w:val="16"/>
                <w:szCs w:val="16"/>
              </w:rPr>
            </w:pPr>
            <w:r>
              <w:rPr>
                <w:sz w:val="16"/>
                <w:szCs w:val="16"/>
              </w:rPr>
              <w:t>2024</w:t>
            </w:r>
          </w:p>
        </w:tc>
        <w:tc>
          <w:tcPr>
            <w:tcW w:w="1260" w:type="dxa"/>
            <w:tcBorders>
              <w:bottom w:val="single" w:sz="4" w:space="0" w:color="auto"/>
            </w:tcBorders>
          </w:tcPr>
          <w:p w14:paraId="3D38005E" w14:textId="77777777" w:rsidR="00B12746" w:rsidRPr="002159AE" w:rsidRDefault="00B12746" w:rsidP="00DF2170">
            <w:pPr>
              <w:jc w:val="center"/>
              <w:rPr>
                <w:sz w:val="16"/>
                <w:szCs w:val="16"/>
              </w:rPr>
            </w:pPr>
            <w:r w:rsidRPr="002159AE">
              <w:rPr>
                <w:sz w:val="16"/>
                <w:szCs w:val="16"/>
              </w:rPr>
              <w:t>Projected/</w:t>
            </w:r>
          </w:p>
          <w:p w14:paraId="2872FB74" w14:textId="77777777" w:rsidR="00B12746" w:rsidRPr="002159AE" w:rsidRDefault="00B12746" w:rsidP="00DF2170">
            <w:pPr>
              <w:jc w:val="center"/>
              <w:rPr>
                <w:sz w:val="16"/>
                <w:szCs w:val="16"/>
              </w:rPr>
            </w:pPr>
            <w:r w:rsidRPr="002159AE">
              <w:rPr>
                <w:sz w:val="16"/>
                <w:szCs w:val="16"/>
              </w:rPr>
              <w:t>pro-forma</w:t>
            </w:r>
          </w:p>
          <w:p w14:paraId="5E255ACB" w14:textId="77777777" w:rsidR="00B12746" w:rsidRPr="002159AE" w:rsidRDefault="00B12746" w:rsidP="00DF2170">
            <w:pPr>
              <w:jc w:val="center"/>
              <w:rPr>
                <w:sz w:val="16"/>
                <w:szCs w:val="16"/>
              </w:rPr>
            </w:pPr>
            <w:r>
              <w:rPr>
                <w:sz w:val="16"/>
                <w:szCs w:val="16"/>
              </w:rPr>
              <w:t>2025</w:t>
            </w:r>
          </w:p>
        </w:tc>
        <w:tc>
          <w:tcPr>
            <w:tcW w:w="1350" w:type="dxa"/>
            <w:tcBorders>
              <w:bottom w:val="single" w:sz="4" w:space="0" w:color="auto"/>
            </w:tcBorders>
          </w:tcPr>
          <w:p w14:paraId="5A190CCA" w14:textId="77777777" w:rsidR="00B12746" w:rsidRPr="002159AE" w:rsidRDefault="00B12746" w:rsidP="00DF2170">
            <w:pPr>
              <w:jc w:val="center"/>
              <w:rPr>
                <w:sz w:val="16"/>
                <w:szCs w:val="16"/>
              </w:rPr>
            </w:pPr>
            <w:r w:rsidRPr="002159AE">
              <w:rPr>
                <w:sz w:val="16"/>
                <w:szCs w:val="16"/>
              </w:rPr>
              <w:t>Projected/</w:t>
            </w:r>
          </w:p>
          <w:p w14:paraId="0E0C8291" w14:textId="77777777" w:rsidR="00B12746" w:rsidRPr="002159AE" w:rsidRDefault="00B12746" w:rsidP="00DF2170">
            <w:pPr>
              <w:jc w:val="center"/>
              <w:rPr>
                <w:sz w:val="16"/>
                <w:szCs w:val="16"/>
              </w:rPr>
            </w:pPr>
            <w:r w:rsidRPr="002159AE">
              <w:rPr>
                <w:sz w:val="16"/>
                <w:szCs w:val="16"/>
              </w:rPr>
              <w:t>pro-forma</w:t>
            </w:r>
          </w:p>
          <w:p w14:paraId="10F9BEB5" w14:textId="77777777" w:rsidR="00B12746" w:rsidRPr="002159AE" w:rsidRDefault="00B12746" w:rsidP="00DF2170">
            <w:pPr>
              <w:jc w:val="center"/>
              <w:rPr>
                <w:sz w:val="16"/>
                <w:szCs w:val="16"/>
              </w:rPr>
            </w:pPr>
            <w:r>
              <w:rPr>
                <w:sz w:val="16"/>
                <w:szCs w:val="16"/>
              </w:rPr>
              <w:t>2026</w:t>
            </w:r>
          </w:p>
        </w:tc>
        <w:tc>
          <w:tcPr>
            <w:tcW w:w="1260" w:type="dxa"/>
            <w:tcBorders>
              <w:bottom w:val="single" w:sz="4" w:space="0" w:color="auto"/>
            </w:tcBorders>
          </w:tcPr>
          <w:p w14:paraId="5815EAE9" w14:textId="77777777" w:rsidR="00B12746" w:rsidRPr="002159AE" w:rsidRDefault="00B12746" w:rsidP="00DF2170">
            <w:pPr>
              <w:jc w:val="center"/>
              <w:rPr>
                <w:sz w:val="16"/>
                <w:szCs w:val="16"/>
              </w:rPr>
            </w:pPr>
            <w:r w:rsidRPr="002159AE">
              <w:rPr>
                <w:sz w:val="16"/>
                <w:szCs w:val="16"/>
              </w:rPr>
              <w:t>Projected/</w:t>
            </w:r>
          </w:p>
          <w:p w14:paraId="5BE1DF95" w14:textId="77777777" w:rsidR="00B12746" w:rsidRPr="002159AE" w:rsidRDefault="00B12746" w:rsidP="00DF2170">
            <w:pPr>
              <w:jc w:val="center"/>
              <w:rPr>
                <w:sz w:val="16"/>
                <w:szCs w:val="16"/>
              </w:rPr>
            </w:pPr>
            <w:r w:rsidRPr="002159AE">
              <w:rPr>
                <w:sz w:val="16"/>
                <w:szCs w:val="16"/>
              </w:rPr>
              <w:t>pro-forma</w:t>
            </w:r>
          </w:p>
          <w:p w14:paraId="034B4966" w14:textId="77777777" w:rsidR="00B12746" w:rsidRPr="002159AE" w:rsidRDefault="00B12746" w:rsidP="00DF2170">
            <w:pPr>
              <w:jc w:val="center"/>
              <w:rPr>
                <w:sz w:val="16"/>
                <w:szCs w:val="16"/>
              </w:rPr>
            </w:pPr>
            <w:r>
              <w:rPr>
                <w:sz w:val="16"/>
                <w:szCs w:val="16"/>
              </w:rPr>
              <w:t>2027</w:t>
            </w:r>
          </w:p>
        </w:tc>
        <w:tc>
          <w:tcPr>
            <w:tcW w:w="1170" w:type="dxa"/>
            <w:tcBorders>
              <w:bottom w:val="single" w:sz="4" w:space="0" w:color="auto"/>
            </w:tcBorders>
          </w:tcPr>
          <w:p w14:paraId="7A4B819A" w14:textId="77777777" w:rsidR="00B12746" w:rsidRPr="002159AE" w:rsidRDefault="00B12746" w:rsidP="00DF2170">
            <w:pPr>
              <w:jc w:val="center"/>
              <w:rPr>
                <w:sz w:val="16"/>
                <w:szCs w:val="16"/>
              </w:rPr>
            </w:pPr>
            <w:r w:rsidRPr="002159AE">
              <w:rPr>
                <w:sz w:val="16"/>
                <w:szCs w:val="16"/>
              </w:rPr>
              <w:t>Projected/</w:t>
            </w:r>
          </w:p>
          <w:p w14:paraId="3DB7EFF4" w14:textId="77777777" w:rsidR="00B12746" w:rsidRPr="002159AE" w:rsidRDefault="00B12746" w:rsidP="00DF2170">
            <w:pPr>
              <w:jc w:val="center"/>
              <w:rPr>
                <w:sz w:val="16"/>
                <w:szCs w:val="16"/>
              </w:rPr>
            </w:pPr>
            <w:r w:rsidRPr="002159AE">
              <w:rPr>
                <w:sz w:val="16"/>
                <w:szCs w:val="16"/>
              </w:rPr>
              <w:t>pro-forma</w:t>
            </w:r>
          </w:p>
          <w:p w14:paraId="547D298C" w14:textId="77777777" w:rsidR="00B12746" w:rsidRPr="002159AE" w:rsidRDefault="00B12746" w:rsidP="00DF2170">
            <w:pPr>
              <w:jc w:val="center"/>
              <w:rPr>
                <w:sz w:val="16"/>
                <w:szCs w:val="16"/>
              </w:rPr>
            </w:pPr>
            <w:r>
              <w:rPr>
                <w:sz w:val="16"/>
                <w:szCs w:val="16"/>
              </w:rPr>
              <w:t>2028</w:t>
            </w:r>
          </w:p>
        </w:tc>
      </w:tr>
      <w:tr w:rsidR="006C47B4" w:rsidRPr="005D25CC" w14:paraId="30EA708F" w14:textId="77777777" w:rsidTr="00E35C48">
        <w:trPr>
          <w:cantSplit/>
          <w:jc w:val="center"/>
        </w:trPr>
        <w:tc>
          <w:tcPr>
            <w:tcW w:w="2430" w:type="dxa"/>
          </w:tcPr>
          <w:p w14:paraId="53289A88" w14:textId="6E9FA4B4" w:rsidR="006C47B4" w:rsidRPr="00C238FF" w:rsidRDefault="006C47B4" w:rsidP="006C47B4">
            <w:pPr>
              <w:jc w:val="left"/>
              <w:rPr>
                <w:sz w:val="16"/>
                <w:szCs w:val="16"/>
              </w:rPr>
            </w:pPr>
            <w:r w:rsidRPr="00C238FF">
              <w:rPr>
                <w:sz w:val="16"/>
                <w:szCs w:val="16"/>
              </w:rPr>
              <w:t xml:space="preserve">Net income (loss) </w:t>
            </w:r>
          </w:p>
        </w:tc>
        <w:tc>
          <w:tcPr>
            <w:tcW w:w="1260" w:type="dxa"/>
          </w:tcPr>
          <w:p w14:paraId="57BD3111" w14:textId="7D7E74A3" w:rsidR="006C47B4" w:rsidRPr="00C238FF" w:rsidRDefault="006C47B4" w:rsidP="006C47B4">
            <w:pPr>
              <w:tabs>
                <w:tab w:val="decimal" w:pos="734"/>
              </w:tabs>
              <w:jc w:val="right"/>
              <w:rPr>
                <w:sz w:val="16"/>
                <w:szCs w:val="16"/>
              </w:rPr>
            </w:pPr>
            <w:r w:rsidRPr="00C238FF">
              <w:rPr>
                <w:sz w:val="16"/>
                <w:szCs w:val="16"/>
              </w:rPr>
              <w:t xml:space="preserve">$     </w:t>
            </w:r>
            <w:proofErr w:type="gramStart"/>
            <w:r w:rsidRPr="00C238FF">
              <w:rPr>
                <w:sz w:val="16"/>
                <w:szCs w:val="16"/>
              </w:rPr>
              <w:t xml:space="preserve">   (</w:t>
            </w:r>
            <w:proofErr w:type="gramEnd"/>
            <w:r w:rsidR="00C238FF">
              <w:rPr>
                <w:sz w:val="16"/>
                <w:szCs w:val="16"/>
              </w:rPr>
              <w:t>137,965</w:t>
            </w:r>
            <w:r w:rsidRPr="00C238FF">
              <w:rPr>
                <w:sz w:val="16"/>
                <w:szCs w:val="16"/>
              </w:rPr>
              <w:t>)</w:t>
            </w:r>
          </w:p>
        </w:tc>
        <w:tc>
          <w:tcPr>
            <w:tcW w:w="1260" w:type="dxa"/>
          </w:tcPr>
          <w:p w14:paraId="101034F7" w14:textId="774D9D1A" w:rsidR="006C47B4" w:rsidRPr="00C238FF" w:rsidRDefault="006C47B4" w:rsidP="006C47B4">
            <w:pPr>
              <w:tabs>
                <w:tab w:val="decimal" w:pos="854"/>
              </w:tabs>
              <w:jc w:val="right"/>
              <w:rPr>
                <w:sz w:val="16"/>
                <w:szCs w:val="16"/>
              </w:rPr>
            </w:pPr>
            <w:r w:rsidRPr="00C238FF">
              <w:rPr>
                <w:sz w:val="16"/>
                <w:szCs w:val="16"/>
              </w:rPr>
              <w:t xml:space="preserve">$   </w:t>
            </w:r>
            <w:r w:rsidR="00DC2ED9">
              <w:rPr>
                <w:sz w:val="16"/>
                <w:szCs w:val="16"/>
              </w:rPr>
              <w:t xml:space="preserve">   </w:t>
            </w:r>
            <w:r w:rsidRPr="00C238FF">
              <w:rPr>
                <w:sz w:val="16"/>
                <w:szCs w:val="16"/>
              </w:rPr>
              <w:t xml:space="preserve">    </w:t>
            </w:r>
            <w:r w:rsidR="00C238FF">
              <w:rPr>
                <w:sz w:val="16"/>
                <w:szCs w:val="16"/>
              </w:rPr>
              <w:t>60,323</w:t>
            </w:r>
          </w:p>
        </w:tc>
        <w:tc>
          <w:tcPr>
            <w:tcW w:w="1350" w:type="dxa"/>
          </w:tcPr>
          <w:p w14:paraId="58CCAEC3" w14:textId="50B151D1" w:rsidR="006C47B4" w:rsidRPr="00C238FF" w:rsidRDefault="006C47B4" w:rsidP="006C47B4">
            <w:pPr>
              <w:tabs>
                <w:tab w:val="decimal" w:pos="731"/>
              </w:tabs>
              <w:jc w:val="right"/>
              <w:rPr>
                <w:sz w:val="16"/>
                <w:szCs w:val="16"/>
              </w:rPr>
            </w:pPr>
            <w:r w:rsidRPr="00C238FF">
              <w:rPr>
                <w:sz w:val="16"/>
                <w:szCs w:val="16"/>
              </w:rPr>
              <w:t xml:space="preserve">$           </w:t>
            </w:r>
            <w:r w:rsidR="00C238FF">
              <w:rPr>
                <w:sz w:val="16"/>
                <w:szCs w:val="16"/>
              </w:rPr>
              <w:t>236,14</w:t>
            </w:r>
            <w:r w:rsidR="007E6EC5">
              <w:rPr>
                <w:sz w:val="16"/>
                <w:szCs w:val="16"/>
              </w:rPr>
              <w:t>8</w:t>
            </w:r>
          </w:p>
        </w:tc>
        <w:tc>
          <w:tcPr>
            <w:tcW w:w="1260" w:type="dxa"/>
          </w:tcPr>
          <w:p w14:paraId="3F59502C" w14:textId="6B491EBE" w:rsidR="006C47B4" w:rsidRPr="000F7FAD" w:rsidRDefault="006C47B4" w:rsidP="006C47B4">
            <w:pPr>
              <w:tabs>
                <w:tab w:val="decimal" w:pos="729"/>
              </w:tabs>
              <w:jc w:val="right"/>
              <w:rPr>
                <w:sz w:val="16"/>
                <w:szCs w:val="16"/>
              </w:rPr>
            </w:pPr>
            <w:r w:rsidRPr="000F7FAD">
              <w:rPr>
                <w:sz w:val="16"/>
                <w:szCs w:val="16"/>
              </w:rPr>
              <w:t xml:space="preserve">$   </w:t>
            </w:r>
            <w:r w:rsidR="0032017C" w:rsidRPr="000F7FAD">
              <w:rPr>
                <w:sz w:val="16"/>
                <w:szCs w:val="16"/>
              </w:rPr>
              <w:t xml:space="preserve"> </w:t>
            </w:r>
            <w:r w:rsidRPr="000F7FAD">
              <w:rPr>
                <w:sz w:val="16"/>
                <w:szCs w:val="16"/>
              </w:rPr>
              <w:t xml:space="preserve">      </w:t>
            </w:r>
            <w:r w:rsidR="00C238FF" w:rsidRPr="000F7FAD">
              <w:rPr>
                <w:sz w:val="16"/>
                <w:szCs w:val="16"/>
              </w:rPr>
              <w:t>384,17</w:t>
            </w:r>
            <w:r w:rsidR="00D86D45">
              <w:rPr>
                <w:sz w:val="16"/>
                <w:szCs w:val="16"/>
              </w:rPr>
              <w:t>3</w:t>
            </w:r>
          </w:p>
        </w:tc>
        <w:tc>
          <w:tcPr>
            <w:tcW w:w="1170" w:type="dxa"/>
          </w:tcPr>
          <w:p w14:paraId="60657FF3" w14:textId="262E0582" w:rsidR="006C47B4" w:rsidRPr="000F7FAD" w:rsidRDefault="006C47B4" w:rsidP="006C47B4">
            <w:pPr>
              <w:tabs>
                <w:tab w:val="decimal" w:pos="688"/>
              </w:tabs>
              <w:jc w:val="right"/>
              <w:rPr>
                <w:sz w:val="16"/>
                <w:szCs w:val="16"/>
              </w:rPr>
            </w:pPr>
            <w:r w:rsidRPr="000F7FAD">
              <w:rPr>
                <w:sz w:val="16"/>
                <w:szCs w:val="16"/>
              </w:rPr>
              <w:t xml:space="preserve">$        </w:t>
            </w:r>
            <w:r w:rsidR="00C238FF" w:rsidRPr="000F7FAD">
              <w:rPr>
                <w:sz w:val="16"/>
                <w:szCs w:val="16"/>
              </w:rPr>
              <w:t>524,63</w:t>
            </w:r>
            <w:r w:rsidR="00D86D45">
              <w:rPr>
                <w:sz w:val="16"/>
                <w:szCs w:val="16"/>
              </w:rPr>
              <w:t>8</w:t>
            </w:r>
          </w:p>
        </w:tc>
      </w:tr>
      <w:tr w:rsidR="006C47B4" w:rsidRPr="005D25CC" w14:paraId="2C692982" w14:textId="77777777" w:rsidTr="00E35C48">
        <w:trPr>
          <w:cantSplit/>
          <w:jc w:val="center"/>
        </w:trPr>
        <w:tc>
          <w:tcPr>
            <w:tcW w:w="2430" w:type="dxa"/>
          </w:tcPr>
          <w:p w14:paraId="6562A36F" w14:textId="22A2EB95" w:rsidR="006C47B4" w:rsidRPr="00C238FF" w:rsidRDefault="006C47B4" w:rsidP="006C47B4">
            <w:pPr>
              <w:rPr>
                <w:sz w:val="16"/>
                <w:szCs w:val="16"/>
              </w:rPr>
            </w:pPr>
            <w:r w:rsidRPr="00C238FF">
              <w:rPr>
                <w:sz w:val="16"/>
                <w:szCs w:val="16"/>
              </w:rPr>
              <w:t>Depreciation</w:t>
            </w:r>
          </w:p>
        </w:tc>
        <w:tc>
          <w:tcPr>
            <w:tcW w:w="1260" w:type="dxa"/>
          </w:tcPr>
          <w:p w14:paraId="1424D69B" w14:textId="5F347FEE" w:rsidR="006C47B4" w:rsidRPr="00C238FF" w:rsidRDefault="006C47B4" w:rsidP="006C47B4">
            <w:pPr>
              <w:tabs>
                <w:tab w:val="decimal" w:pos="734"/>
              </w:tabs>
              <w:jc w:val="right"/>
              <w:rPr>
                <w:sz w:val="16"/>
                <w:szCs w:val="16"/>
              </w:rPr>
            </w:pPr>
            <w:r w:rsidRPr="00C238FF">
              <w:rPr>
                <w:rFonts w:cs="Times New Roman"/>
                <w:sz w:val="16"/>
                <w:szCs w:val="16"/>
              </w:rPr>
              <w:t>3,672</w:t>
            </w:r>
          </w:p>
        </w:tc>
        <w:tc>
          <w:tcPr>
            <w:tcW w:w="1260" w:type="dxa"/>
          </w:tcPr>
          <w:p w14:paraId="6449C6C2" w14:textId="7C1CAE44" w:rsidR="006C47B4" w:rsidRPr="00C238FF" w:rsidRDefault="006C47B4" w:rsidP="006C47B4">
            <w:pPr>
              <w:tabs>
                <w:tab w:val="decimal" w:pos="854"/>
              </w:tabs>
              <w:jc w:val="right"/>
              <w:rPr>
                <w:sz w:val="16"/>
                <w:szCs w:val="16"/>
              </w:rPr>
            </w:pPr>
            <w:r w:rsidRPr="00C238FF">
              <w:rPr>
                <w:rFonts w:cs="Times New Roman"/>
                <w:sz w:val="16"/>
                <w:szCs w:val="16"/>
              </w:rPr>
              <w:t>3,672</w:t>
            </w:r>
          </w:p>
        </w:tc>
        <w:tc>
          <w:tcPr>
            <w:tcW w:w="1350" w:type="dxa"/>
          </w:tcPr>
          <w:p w14:paraId="7D5AE121" w14:textId="73565A9D" w:rsidR="006C47B4" w:rsidRPr="00C238FF" w:rsidRDefault="006C47B4" w:rsidP="006C47B4">
            <w:pPr>
              <w:tabs>
                <w:tab w:val="decimal" w:pos="731"/>
              </w:tabs>
              <w:jc w:val="right"/>
              <w:rPr>
                <w:sz w:val="16"/>
                <w:szCs w:val="16"/>
              </w:rPr>
            </w:pPr>
            <w:r w:rsidRPr="00C238FF">
              <w:rPr>
                <w:rFonts w:cs="Times New Roman"/>
                <w:sz w:val="16"/>
                <w:szCs w:val="16"/>
              </w:rPr>
              <w:t>3,672</w:t>
            </w:r>
          </w:p>
        </w:tc>
        <w:tc>
          <w:tcPr>
            <w:tcW w:w="1260" w:type="dxa"/>
          </w:tcPr>
          <w:p w14:paraId="227BBB55" w14:textId="52DF393D" w:rsidR="006C47B4" w:rsidRPr="000F7FAD" w:rsidRDefault="006C47B4" w:rsidP="006C47B4">
            <w:pPr>
              <w:tabs>
                <w:tab w:val="decimal" w:pos="729"/>
              </w:tabs>
              <w:jc w:val="right"/>
              <w:rPr>
                <w:sz w:val="16"/>
                <w:szCs w:val="16"/>
              </w:rPr>
            </w:pPr>
            <w:r w:rsidRPr="000F7FAD">
              <w:rPr>
                <w:rFonts w:cs="Times New Roman"/>
                <w:sz w:val="16"/>
                <w:szCs w:val="16"/>
              </w:rPr>
              <w:t>3,672</w:t>
            </w:r>
          </w:p>
        </w:tc>
        <w:tc>
          <w:tcPr>
            <w:tcW w:w="1170" w:type="dxa"/>
          </w:tcPr>
          <w:p w14:paraId="7FCE6798" w14:textId="58A3AAE8" w:rsidR="006C47B4" w:rsidRPr="000F7FAD" w:rsidRDefault="006C47B4" w:rsidP="006C47B4">
            <w:pPr>
              <w:tabs>
                <w:tab w:val="decimal" w:pos="688"/>
              </w:tabs>
              <w:jc w:val="right"/>
              <w:rPr>
                <w:sz w:val="16"/>
                <w:szCs w:val="16"/>
              </w:rPr>
            </w:pPr>
            <w:r w:rsidRPr="000F7FAD">
              <w:rPr>
                <w:rFonts w:cs="Times New Roman"/>
                <w:sz w:val="16"/>
                <w:szCs w:val="16"/>
              </w:rPr>
              <w:t>3,672</w:t>
            </w:r>
          </w:p>
        </w:tc>
      </w:tr>
      <w:tr w:rsidR="006C47B4" w:rsidRPr="005D25CC" w14:paraId="6FFA6B11" w14:textId="77777777" w:rsidTr="00E35C48">
        <w:trPr>
          <w:cantSplit/>
          <w:jc w:val="center"/>
        </w:trPr>
        <w:tc>
          <w:tcPr>
            <w:tcW w:w="2430" w:type="dxa"/>
          </w:tcPr>
          <w:p w14:paraId="2CECEB47" w14:textId="19E066A4" w:rsidR="006C47B4" w:rsidRPr="00C238FF" w:rsidRDefault="006C47B4" w:rsidP="006C47B4">
            <w:pPr>
              <w:ind w:left="153" w:hanging="153"/>
              <w:rPr>
                <w:sz w:val="16"/>
                <w:szCs w:val="16"/>
              </w:rPr>
            </w:pPr>
            <w:r w:rsidRPr="00C238FF">
              <w:rPr>
                <w:sz w:val="16"/>
                <w:szCs w:val="16"/>
              </w:rPr>
              <w:t xml:space="preserve">Cash, beginning of year (1) </w:t>
            </w:r>
          </w:p>
        </w:tc>
        <w:tc>
          <w:tcPr>
            <w:tcW w:w="1260" w:type="dxa"/>
            <w:tcBorders>
              <w:bottom w:val="single" w:sz="4" w:space="0" w:color="auto"/>
            </w:tcBorders>
            <w:shd w:val="clear" w:color="auto" w:fill="auto"/>
          </w:tcPr>
          <w:p w14:paraId="180AC7A8" w14:textId="50CE6BAE" w:rsidR="006C47B4" w:rsidRPr="00DC2ED9" w:rsidRDefault="006C47B4" w:rsidP="006C47B4">
            <w:pPr>
              <w:tabs>
                <w:tab w:val="decimal" w:pos="734"/>
              </w:tabs>
              <w:jc w:val="right"/>
              <w:rPr>
                <w:sz w:val="16"/>
                <w:szCs w:val="16"/>
              </w:rPr>
            </w:pPr>
            <w:r w:rsidRPr="00DC2ED9">
              <w:rPr>
                <w:sz w:val="16"/>
                <w:szCs w:val="16"/>
              </w:rPr>
              <w:t xml:space="preserve">- </w:t>
            </w:r>
          </w:p>
        </w:tc>
        <w:tc>
          <w:tcPr>
            <w:tcW w:w="1260" w:type="dxa"/>
            <w:tcBorders>
              <w:bottom w:val="single" w:sz="4" w:space="0" w:color="auto"/>
            </w:tcBorders>
            <w:shd w:val="clear" w:color="auto" w:fill="auto"/>
          </w:tcPr>
          <w:p w14:paraId="709A28BB" w14:textId="3E4070FE" w:rsidR="006C47B4" w:rsidRPr="00DC2ED9" w:rsidRDefault="006C47B4" w:rsidP="006C47B4">
            <w:pPr>
              <w:tabs>
                <w:tab w:val="decimal" w:pos="854"/>
              </w:tabs>
              <w:jc w:val="right"/>
              <w:rPr>
                <w:sz w:val="16"/>
                <w:szCs w:val="16"/>
              </w:rPr>
            </w:pPr>
            <w:r w:rsidRPr="00DC2ED9">
              <w:rPr>
                <w:sz w:val="16"/>
                <w:szCs w:val="16"/>
              </w:rPr>
              <w:t>(</w:t>
            </w:r>
            <w:r w:rsidR="00DC2ED9" w:rsidRPr="00DC2ED9">
              <w:rPr>
                <w:sz w:val="16"/>
                <w:szCs w:val="16"/>
              </w:rPr>
              <w:t>134,29</w:t>
            </w:r>
            <w:r w:rsidR="00796D91">
              <w:rPr>
                <w:sz w:val="16"/>
                <w:szCs w:val="16"/>
              </w:rPr>
              <w:t>3</w:t>
            </w:r>
            <w:r w:rsidRPr="00DC2ED9">
              <w:rPr>
                <w:sz w:val="16"/>
                <w:szCs w:val="16"/>
              </w:rPr>
              <w:t>)</w:t>
            </w:r>
          </w:p>
        </w:tc>
        <w:tc>
          <w:tcPr>
            <w:tcW w:w="1350" w:type="dxa"/>
            <w:tcBorders>
              <w:bottom w:val="single" w:sz="4" w:space="0" w:color="auto"/>
            </w:tcBorders>
            <w:shd w:val="clear" w:color="auto" w:fill="auto"/>
          </w:tcPr>
          <w:p w14:paraId="651990AE" w14:textId="26528DD1" w:rsidR="006C47B4" w:rsidRPr="00DC2ED9" w:rsidRDefault="006C47B4" w:rsidP="006C47B4">
            <w:pPr>
              <w:tabs>
                <w:tab w:val="decimal" w:pos="734"/>
              </w:tabs>
              <w:jc w:val="right"/>
              <w:rPr>
                <w:sz w:val="16"/>
                <w:szCs w:val="16"/>
              </w:rPr>
            </w:pPr>
            <w:r w:rsidRPr="00DC2ED9">
              <w:rPr>
                <w:sz w:val="16"/>
                <w:szCs w:val="16"/>
              </w:rPr>
              <w:t>(</w:t>
            </w:r>
            <w:r w:rsidR="00DC2ED9" w:rsidRPr="00DC2ED9">
              <w:rPr>
                <w:sz w:val="16"/>
                <w:szCs w:val="16"/>
              </w:rPr>
              <w:t>70,29</w:t>
            </w:r>
            <w:r w:rsidR="00796D91">
              <w:rPr>
                <w:sz w:val="16"/>
                <w:szCs w:val="16"/>
              </w:rPr>
              <w:t>8</w:t>
            </w:r>
            <w:r w:rsidRPr="00DC2ED9">
              <w:rPr>
                <w:sz w:val="16"/>
                <w:szCs w:val="16"/>
              </w:rPr>
              <w:t>)</w:t>
            </w:r>
          </w:p>
        </w:tc>
        <w:tc>
          <w:tcPr>
            <w:tcW w:w="1260" w:type="dxa"/>
            <w:tcBorders>
              <w:bottom w:val="single" w:sz="4" w:space="0" w:color="auto"/>
            </w:tcBorders>
            <w:shd w:val="clear" w:color="auto" w:fill="auto"/>
          </w:tcPr>
          <w:p w14:paraId="20D06211" w14:textId="19C07143" w:rsidR="006C47B4" w:rsidRPr="000F7FAD" w:rsidRDefault="00DC2ED9" w:rsidP="006C47B4">
            <w:pPr>
              <w:tabs>
                <w:tab w:val="decimal" w:pos="854"/>
              </w:tabs>
              <w:jc w:val="right"/>
              <w:rPr>
                <w:sz w:val="16"/>
                <w:szCs w:val="16"/>
              </w:rPr>
            </w:pPr>
            <w:r w:rsidRPr="000F7FAD">
              <w:rPr>
                <w:sz w:val="16"/>
                <w:szCs w:val="16"/>
              </w:rPr>
              <w:t>169,52</w:t>
            </w:r>
            <w:r w:rsidR="006961FB">
              <w:rPr>
                <w:sz w:val="16"/>
                <w:szCs w:val="16"/>
              </w:rPr>
              <w:t>2</w:t>
            </w:r>
          </w:p>
        </w:tc>
        <w:tc>
          <w:tcPr>
            <w:tcW w:w="1170" w:type="dxa"/>
            <w:tcBorders>
              <w:bottom w:val="single" w:sz="4" w:space="0" w:color="auto"/>
            </w:tcBorders>
          </w:tcPr>
          <w:p w14:paraId="754EED81" w14:textId="113C33BB" w:rsidR="006C47B4" w:rsidRPr="000F7FAD" w:rsidRDefault="000F7FAD" w:rsidP="006C47B4">
            <w:pPr>
              <w:tabs>
                <w:tab w:val="decimal" w:pos="734"/>
              </w:tabs>
              <w:jc w:val="right"/>
              <w:rPr>
                <w:sz w:val="16"/>
                <w:szCs w:val="16"/>
              </w:rPr>
            </w:pPr>
            <w:r w:rsidRPr="000F7FAD">
              <w:rPr>
                <w:sz w:val="16"/>
                <w:szCs w:val="16"/>
              </w:rPr>
              <w:t>557,3</w:t>
            </w:r>
            <w:r w:rsidR="006961FB">
              <w:rPr>
                <w:sz w:val="16"/>
                <w:szCs w:val="16"/>
              </w:rPr>
              <w:t>67</w:t>
            </w:r>
          </w:p>
        </w:tc>
      </w:tr>
      <w:tr w:rsidR="006C47B4" w:rsidRPr="006A5D81" w14:paraId="229B494F" w14:textId="77777777" w:rsidTr="00E35C48">
        <w:trPr>
          <w:cantSplit/>
          <w:jc w:val="center"/>
        </w:trPr>
        <w:tc>
          <w:tcPr>
            <w:tcW w:w="2430" w:type="dxa"/>
          </w:tcPr>
          <w:p w14:paraId="74EA5918" w14:textId="7903A873" w:rsidR="006C47B4" w:rsidRPr="006A5D81" w:rsidRDefault="006C47B4" w:rsidP="006C47B4">
            <w:pPr>
              <w:ind w:left="153" w:hanging="180"/>
              <w:jc w:val="left"/>
              <w:rPr>
                <w:sz w:val="16"/>
                <w:szCs w:val="16"/>
              </w:rPr>
            </w:pPr>
            <w:r w:rsidRPr="00C238FF">
              <w:rPr>
                <w:sz w:val="16"/>
                <w:szCs w:val="16"/>
              </w:rPr>
              <w:t xml:space="preserve"> </w:t>
            </w:r>
            <w:r w:rsidRPr="006A5D81">
              <w:rPr>
                <w:sz w:val="16"/>
                <w:szCs w:val="16"/>
              </w:rPr>
              <w:t>Cash, end of year</w:t>
            </w:r>
          </w:p>
        </w:tc>
        <w:tc>
          <w:tcPr>
            <w:tcW w:w="1260" w:type="dxa"/>
            <w:tcBorders>
              <w:top w:val="single" w:sz="4" w:space="0" w:color="auto"/>
              <w:bottom w:val="double" w:sz="4" w:space="0" w:color="auto"/>
            </w:tcBorders>
            <w:shd w:val="clear" w:color="auto" w:fill="auto"/>
          </w:tcPr>
          <w:p w14:paraId="5D68D98A" w14:textId="1D3A29DC" w:rsidR="006C47B4" w:rsidRPr="006A5D81" w:rsidRDefault="006C47B4" w:rsidP="006C47B4">
            <w:pPr>
              <w:tabs>
                <w:tab w:val="decimal" w:pos="734"/>
              </w:tabs>
              <w:jc w:val="right"/>
              <w:rPr>
                <w:sz w:val="16"/>
                <w:szCs w:val="16"/>
              </w:rPr>
            </w:pPr>
            <w:r w:rsidRPr="006A5D81">
              <w:rPr>
                <w:sz w:val="16"/>
                <w:szCs w:val="16"/>
              </w:rPr>
              <w:t xml:space="preserve">$     </w:t>
            </w:r>
            <w:proofErr w:type="gramStart"/>
            <w:r w:rsidRPr="006A5D81">
              <w:rPr>
                <w:sz w:val="16"/>
                <w:szCs w:val="16"/>
              </w:rPr>
              <w:t xml:space="preserve">   (</w:t>
            </w:r>
            <w:proofErr w:type="gramEnd"/>
            <w:r w:rsidR="00C238FF" w:rsidRPr="006A5D81">
              <w:rPr>
                <w:sz w:val="16"/>
                <w:szCs w:val="16"/>
              </w:rPr>
              <w:t>134,29</w:t>
            </w:r>
            <w:r w:rsidR="00796D91">
              <w:rPr>
                <w:sz w:val="16"/>
                <w:szCs w:val="16"/>
              </w:rPr>
              <w:t>3</w:t>
            </w:r>
            <w:r w:rsidR="00C238FF" w:rsidRPr="006A5D81">
              <w:rPr>
                <w:sz w:val="16"/>
                <w:szCs w:val="16"/>
              </w:rPr>
              <w:t>)</w:t>
            </w:r>
          </w:p>
        </w:tc>
        <w:tc>
          <w:tcPr>
            <w:tcW w:w="1260" w:type="dxa"/>
            <w:tcBorders>
              <w:top w:val="single" w:sz="4" w:space="0" w:color="auto"/>
              <w:bottom w:val="double" w:sz="4" w:space="0" w:color="auto"/>
            </w:tcBorders>
            <w:shd w:val="clear" w:color="auto" w:fill="auto"/>
          </w:tcPr>
          <w:p w14:paraId="1A6E6BA9" w14:textId="0C5815F2" w:rsidR="006C47B4" w:rsidRPr="006A5D81" w:rsidRDefault="006C47B4" w:rsidP="006C47B4">
            <w:pPr>
              <w:tabs>
                <w:tab w:val="decimal" w:pos="854"/>
              </w:tabs>
              <w:jc w:val="right"/>
              <w:rPr>
                <w:sz w:val="16"/>
                <w:szCs w:val="16"/>
              </w:rPr>
            </w:pPr>
            <w:r w:rsidRPr="006A5D81">
              <w:rPr>
                <w:sz w:val="16"/>
                <w:szCs w:val="16"/>
              </w:rPr>
              <w:t xml:space="preserve"> $  </w:t>
            </w:r>
            <w:r w:rsidR="0032017C" w:rsidRPr="006A5D81">
              <w:rPr>
                <w:sz w:val="16"/>
                <w:szCs w:val="16"/>
              </w:rPr>
              <w:t xml:space="preserve"> </w:t>
            </w:r>
            <w:r w:rsidRPr="006A5D81">
              <w:rPr>
                <w:sz w:val="16"/>
                <w:szCs w:val="16"/>
              </w:rPr>
              <w:t xml:space="preserve"> </w:t>
            </w:r>
            <w:proofErr w:type="gramStart"/>
            <w:r w:rsidRPr="006A5D81">
              <w:rPr>
                <w:sz w:val="16"/>
                <w:szCs w:val="16"/>
              </w:rPr>
              <w:t xml:space="preserve">   (</w:t>
            </w:r>
            <w:proofErr w:type="gramEnd"/>
            <w:r w:rsidR="00DC2ED9" w:rsidRPr="006A5D81">
              <w:rPr>
                <w:sz w:val="16"/>
                <w:szCs w:val="16"/>
              </w:rPr>
              <w:t>70,29</w:t>
            </w:r>
            <w:r w:rsidR="00796D91">
              <w:rPr>
                <w:sz w:val="16"/>
                <w:szCs w:val="16"/>
              </w:rPr>
              <w:t>8</w:t>
            </w:r>
            <w:r w:rsidR="00DC2ED9" w:rsidRPr="006A5D81">
              <w:rPr>
                <w:sz w:val="16"/>
                <w:szCs w:val="16"/>
              </w:rPr>
              <w:t>)</w:t>
            </w:r>
            <w:r w:rsidRPr="006A5D81">
              <w:rPr>
                <w:sz w:val="16"/>
                <w:szCs w:val="16"/>
              </w:rPr>
              <w:t xml:space="preserve">                    </w:t>
            </w:r>
          </w:p>
        </w:tc>
        <w:tc>
          <w:tcPr>
            <w:tcW w:w="1350" w:type="dxa"/>
            <w:tcBorders>
              <w:top w:val="single" w:sz="4" w:space="0" w:color="auto"/>
              <w:bottom w:val="double" w:sz="4" w:space="0" w:color="auto"/>
            </w:tcBorders>
            <w:shd w:val="clear" w:color="auto" w:fill="auto"/>
          </w:tcPr>
          <w:p w14:paraId="1924F4C9" w14:textId="43EEEB78" w:rsidR="006C47B4" w:rsidRPr="006A5D81" w:rsidRDefault="006C47B4" w:rsidP="006C47B4">
            <w:pPr>
              <w:ind w:left="-114"/>
              <w:jc w:val="right"/>
              <w:rPr>
                <w:sz w:val="16"/>
                <w:szCs w:val="16"/>
              </w:rPr>
            </w:pPr>
            <w:r w:rsidRPr="006A5D81">
              <w:rPr>
                <w:sz w:val="16"/>
                <w:szCs w:val="16"/>
              </w:rPr>
              <w:t xml:space="preserve">  $ </w:t>
            </w:r>
            <w:r w:rsidR="00DC2ED9" w:rsidRPr="006A5D81">
              <w:rPr>
                <w:sz w:val="16"/>
                <w:szCs w:val="16"/>
              </w:rPr>
              <w:t xml:space="preserve">  </w:t>
            </w:r>
            <w:r w:rsidR="0032017C" w:rsidRPr="006A5D81">
              <w:rPr>
                <w:sz w:val="16"/>
                <w:szCs w:val="16"/>
              </w:rPr>
              <w:t xml:space="preserve"> </w:t>
            </w:r>
            <w:r w:rsidRPr="006A5D81">
              <w:rPr>
                <w:sz w:val="16"/>
                <w:szCs w:val="16"/>
              </w:rPr>
              <w:t xml:space="preserve">       </w:t>
            </w:r>
            <w:r w:rsidR="00DC2ED9" w:rsidRPr="006A5D81">
              <w:rPr>
                <w:sz w:val="16"/>
                <w:szCs w:val="16"/>
              </w:rPr>
              <w:t>169,52</w:t>
            </w:r>
            <w:r w:rsidR="00796D91">
              <w:rPr>
                <w:sz w:val="16"/>
                <w:szCs w:val="16"/>
              </w:rPr>
              <w:t>2</w:t>
            </w:r>
          </w:p>
        </w:tc>
        <w:tc>
          <w:tcPr>
            <w:tcW w:w="1260" w:type="dxa"/>
            <w:tcBorders>
              <w:top w:val="single" w:sz="4" w:space="0" w:color="auto"/>
              <w:bottom w:val="double" w:sz="4" w:space="0" w:color="auto"/>
            </w:tcBorders>
            <w:shd w:val="clear" w:color="auto" w:fill="auto"/>
          </w:tcPr>
          <w:p w14:paraId="39CF73F3" w14:textId="4AF59E33" w:rsidR="006C47B4" w:rsidRPr="006A5D81" w:rsidRDefault="006C47B4" w:rsidP="006C47B4">
            <w:pPr>
              <w:tabs>
                <w:tab w:val="decimal" w:pos="729"/>
              </w:tabs>
              <w:jc w:val="right"/>
              <w:rPr>
                <w:sz w:val="16"/>
                <w:szCs w:val="16"/>
              </w:rPr>
            </w:pPr>
            <w:r w:rsidRPr="006A5D81">
              <w:rPr>
                <w:sz w:val="16"/>
                <w:szCs w:val="16"/>
              </w:rPr>
              <w:t xml:space="preserve">$  </w:t>
            </w:r>
            <w:r w:rsidR="00DC2ED9" w:rsidRPr="006A5D81">
              <w:rPr>
                <w:sz w:val="16"/>
                <w:szCs w:val="16"/>
              </w:rPr>
              <w:t xml:space="preserve">     </w:t>
            </w:r>
            <w:r w:rsidRPr="006A5D81">
              <w:rPr>
                <w:sz w:val="16"/>
                <w:szCs w:val="16"/>
              </w:rPr>
              <w:t xml:space="preserve">   </w:t>
            </w:r>
            <w:r w:rsidR="00DC2ED9" w:rsidRPr="006A5D81">
              <w:rPr>
                <w:sz w:val="16"/>
                <w:szCs w:val="16"/>
              </w:rPr>
              <w:t>557,3</w:t>
            </w:r>
            <w:r w:rsidR="006961FB">
              <w:rPr>
                <w:sz w:val="16"/>
                <w:szCs w:val="16"/>
              </w:rPr>
              <w:t>67</w:t>
            </w:r>
          </w:p>
        </w:tc>
        <w:tc>
          <w:tcPr>
            <w:tcW w:w="1170" w:type="dxa"/>
            <w:tcBorders>
              <w:top w:val="single" w:sz="4" w:space="0" w:color="auto"/>
              <w:bottom w:val="double" w:sz="4" w:space="0" w:color="auto"/>
            </w:tcBorders>
          </w:tcPr>
          <w:p w14:paraId="669FFC34" w14:textId="0D6D19C4" w:rsidR="006C47B4" w:rsidRPr="006A5D81" w:rsidRDefault="006C47B4" w:rsidP="006C47B4">
            <w:pPr>
              <w:tabs>
                <w:tab w:val="decimal" w:pos="688"/>
              </w:tabs>
              <w:jc w:val="right"/>
              <w:rPr>
                <w:sz w:val="16"/>
                <w:szCs w:val="16"/>
              </w:rPr>
            </w:pPr>
            <w:r w:rsidRPr="006A5D81">
              <w:rPr>
                <w:sz w:val="16"/>
                <w:szCs w:val="16"/>
              </w:rPr>
              <w:t xml:space="preserve">$   </w:t>
            </w:r>
            <w:r w:rsidR="000F7FAD" w:rsidRPr="006A5D81">
              <w:rPr>
                <w:sz w:val="16"/>
                <w:szCs w:val="16"/>
              </w:rPr>
              <w:t>1,085,6</w:t>
            </w:r>
            <w:r w:rsidR="0047093D">
              <w:rPr>
                <w:sz w:val="16"/>
                <w:szCs w:val="16"/>
              </w:rPr>
              <w:t>77</w:t>
            </w:r>
          </w:p>
        </w:tc>
      </w:tr>
    </w:tbl>
    <w:p w14:paraId="1FFF696C" w14:textId="77777777" w:rsidR="00B12746" w:rsidRPr="006A5D81" w:rsidRDefault="00B12746" w:rsidP="00373DE5">
      <w:pPr>
        <w:widowControl w:val="0"/>
        <w:tabs>
          <w:tab w:val="left" w:pos="1191"/>
        </w:tabs>
        <w:spacing w:after="0" w:line="240" w:lineRule="auto"/>
        <w:rPr>
          <w:rFonts w:ascii="Times New Roman" w:hAnsi="Times New Roman" w:cs="Times New Roman"/>
        </w:rPr>
      </w:pPr>
    </w:p>
    <w:p w14:paraId="1F941DDC" w14:textId="6B7AAA7E" w:rsidR="005C57E6" w:rsidRPr="006A5D81" w:rsidRDefault="005C57E6" w:rsidP="005C57E6">
      <w:pPr>
        <w:pStyle w:val="ListParagraph"/>
        <w:widowControl w:val="0"/>
        <w:numPr>
          <w:ilvl w:val="0"/>
          <w:numId w:val="22"/>
        </w:numPr>
        <w:spacing w:after="0" w:line="240" w:lineRule="auto"/>
        <w:jc w:val="both"/>
        <w:rPr>
          <w:rFonts w:ascii="Times New Roman" w:hAnsi="Times New Roman" w:cs="Times New Roman"/>
        </w:rPr>
      </w:pPr>
      <w:r w:rsidRPr="006A5D81">
        <w:rPr>
          <w:rFonts w:ascii="Times New Roman" w:hAnsi="Times New Roman" w:cs="Times New Roman"/>
        </w:rPr>
        <w:t xml:space="preserve">Management projects </w:t>
      </w:r>
      <w:r w:rsidR="006A5D81" w:rsidRPr="006A5D81">
        <w:rPr>
          <w:rFonts w:ascii="Times New Roman" w:hAnsi="Times New Roman" w:cs="Times New Roman"/>
        </w:rPr>
        <w:t xml:space="preserve">a </w:t>
      </w:r>
      <w:r w:rsidRPr="006A5D81">
        <w:rPr>
          <w:rFonts w:ascii="Times New Roman" w:hAnsi="Times New Roman" w:cs="Times New Roman"/>
        </w:rPr>
        <w:t>net loss of $</w:t>
      </w:r>
      <w:r w:rsidR="006A5D81" w:rsidRPr="006A5D81">
        <w:rPr>
          <w:rFonts w:ascii="Times New Roman" w:hAnsi="Times New Roman" w:cs="Times New Roman"/>
        </w:rPr>
        <w:t>137,965</w:t>
      </w:r>
      <w:r w:rsidRPr="006A5D81">
        <w:rPr>
          <w:rFonts w:ascii="Times New Roman" w:hAnsi="Times New Roman" w:cs="Times New Roman"/>
        </w:rPr>
        <w:t xml:space="preserve"> for the fiscal year ending September 30, 2024</w:t>
      </w:r>
      <w:r w:rsidR="006A5D81" w:rsidRPr="006A5D81">
        <w:rPr>
          <w:rFonts w:ascii="Times New Roman" w:hAnsi="Times New Roman" w:cs="Times New Roman"/>
        </w:rPr>
        <w:t xml:space="preserve">. </w:t>
      </w:r>
      <w:r w:rsidRPr="006A5D81">
        <w:rPr>
          <w:rFonts w:ascii="Times New Roman" w:hAnsi="Times New Roman" w:cs="Times New Roman"/>
        </w:rPr>
        <w:t xml:space="preserve">Based upon our discussion with Management, any cash deficit will be funded by </w:t>
      </w:r>
      <w:r w:rsidR="006A730F" w:rsidRPr="006A5D81">
        <w:rPr>
          <w:rFonts w:ascii="Times New Roman" w:hAnsi="Times New Roman" w:cs="Times New Roman"/>
        </w:rPr>
        <w:t>the Applicant</w:t>
      </w:r>
      <w:r w:rsidRPr="006A5D81">
        <w:rPr>
          <w:rFonts w:ascii="Times New Roman" w:hAnsi="Times New Roman" w:cs="Times New Roman"/>
        </w:rPr>
        <w:t xml:space="preserve">. </w:t>
      </w:r>
      <w:r w:rsidR="00BA3E62" w:rsidRPr="006A5D81">
        <w:rPr>
          <w:rFonts w:ascii="Times New Roman" w:hAnsi="Times New Roman" w:cs="Times New Roman"/>
        </w:rPr>
        <w:t xml:space="preserve">The Applicant </w:t>
      </w:r>
      <w:r w:rsidR="00FD486D" w:rsidRPr="006A5D81">
        <w:rPr>
          <w:rFonts w:ascii="Times New Roman" w:hAnsi="Times New Roman" w:cs="Times New Roman"/>
        </w:rPr>
        <w:t>has the financial resources to cove</w:t>
      </w:r>
      <w:r w:rsidR="004C6AEA">
        <w:rPr>
          <w:rFonts w:ascii="Times New Roman" w:hAnsi="Times New Roman" w:cs="Times New Roman"/>
        </w:rPr>
        <w:t>r</w:t>
      </w:r>
      <w:r w:rsidR="00FD486D" w:rsidRPr="006A5D81">
        <w:rPr>
          <w:rFonts w:ascii="Times New Roman" w:hAnsi="Times New Roman" w:cs="Times New Roman"/>
        </w:rPr>
        <w:t xml:space="preserve"> this cash shortfall. </w:t>
      </w:r>
      <w:r w:rsidR="00D97D03" w:rsidRPr="006A5D81">
        <w:rPr>
          <w:rFonts w:ascii="Times New Roman" w:hAnsi="Times New Roman" w:cs="Times New Roman"/>
        </w:rPr>
        <w:t>The total capital expenditures for the project of $34,500 will be funded by available capital funds of the Applicant</w:t>
      </w:r>
      <w:r w:rsidR="00BA3E62" w:rsidRPr="006A5D81">
        <w:rPr>
          <w:rFonts w:ascii="Times New Roman" w:hAnsi="Times New Roman" w:cs="Times New Roman"/>
        </w:rPr>
        <w:t>, as well.</w:t>
      </w:r>
    </w:p>
    <w:p w14:paraId="104A49C1" w14:textId="77777777" w:rsidR="005C57E6" w:rsidRDefault="005C57E6" w:rsidP="005C57E6">
      <w:pPr>
        <w:widowControl w:val="0"/>
        <w:spacing w:after="0" w:line="240" w:lineRule="auto"/>
        <w:ind w:left="360"/>
        <w:jc w:val="both"/>
        <w:rPr>
          <w:rFonts w:ascii="Times New Roman" w:hAnsi="Times New Roman" w:cs="Times New Roman"/>
        </w:rPr>
      </w:pPr>
    </w:p>
    <w:p w14:paraId="0CFC39DF" w14:textId="0C999304" w:rsidR="005C57E6" w:rsidRPr="00D4580E" w:rsidRDefault="005C57E6" w:rsidP="005C57E6">
      <w:pPr>
        <w:spacing w:after="0" w:line="240" w:lineRule="auto"/>
        <w:ind w:left="360"/>
        <w:jc w:val="both"/>
        <w:rPr>
          <w:rFonts w:ascii="Times New Roman" w:hAnsi="Times New Roman" w:cs="Times New Roman"/>
        </w:rPr>
      </w:pPr>
      <w:r w:rsidRPr="00D4580E">
        <w:rPr>
          <w:rFonts w:ascii="Times New Roman" w:hAnsi="Times New Roman" w:cs="Times New Roman"/>
        </w:rPr>
        <w:t xml:space="preserve">Based upon our discussion with Management and our review of the information provided, the capital needs and ongoing operating costs </w:t>
      </w:r>
      <w:r w:rsidRPr="00D35311">
        <w:rPr>
          <w:rFonts w:ascii="Times New Roman" w:hAnsi="Times New Roman" w:cs="Times New Roman"/>
        </w:rPr>
        <w:t>required to reactivate one existing dormant linear accelerator at BID Plymouth are not likely to result in a scenario where there is negative cash flow</w:t>
      </w:r>
      <w:r w:rsidR="005428AE" w:rsidRPr="00D35311">
        <w:rPr>
          <w:rFonts w:ascii="Times New Roman" w:hAnsi="Times New Roman" w:cs="Times New Roman"/>
        </w:rPr>
        <w:t xml:space="preserve"> over the </w:t>
      </w:r>
      <w:proofErr w:type="gramStart"/>
      <w:r w:rsidR="005428AE" w:rsidRPr="00D35311">
        <w:rPr>
          <w:rFonts w:ascii="Times New Roman" w:hAnsi="Times New Roman" w:cs="Times New Roman"/>
        </w:rPr>
        <w:t>five year</w:t>
      </w:r>
      <w:proofErr w:type="gramEnd"/>
      <w:r w:rsidR="005428AE" w:rsidRPr="00D35311">
        <w:rPr>
          <w:rFonts w:ascii="Times New Roman" w:hAnsi="Times New Roman" w:cs="Times New Roman"/>
        </w:rPr>
        <w:t xml:space="preserve"> projected period</w:t>
      </w:r>
      <w:r w:rsidRPr="00D35311">
        <w:rPr>
          <w:rFonts w:ascii="Times New Roman" w:hAnsi="Times New Roman" w:cs="Times New Roman"/>
        </w:rPr>
        <w:t>.</w:t>
      </w:r>
      <w:r w:rsidRPr="00D4580E">
        <w:rPr>
          <w:rFonts w:ascii="Times New Roman" w:hAnsi="Times New Roman" w:cs="Times New Roman"/>
        </w:rPr>
        <w:t xml:space="preserve"> </w:t>
      </w:r>
      <w:r>
        <w:rPr>
          <w:rFonts w:ascii="Times New Roman" w:hAnsi="Times New Roman" w:cs="Times New Roman"/>
        </w:rPr>
        <w:t xml:space="preserve">The Applicant has the resources to fund the capital needs and ongoing operating costs of the linear accelerator. </w:t>
      </w:r>
    </w:p>
    <w:p w14:paraId="4344E1CD" w14:textId="77777777" w:rsidR="005C57E6" w:rsidRPr="005D25CC" w:rsidRDefault="005C57E6" w:rsidP="005C57E6">
      <w:pPr>
        <w:widowControl w:val="0"/>
        <w:spacing w:after="0" w:line="240" w:lineRule="auto"/>
        <w:ind w:left="360"/>
        <w:rPr>
          <w:rFonts w:ascii="Times New Roman" w:hAnsi="Times New Roman" w:cs="Times New Roman"/>
          <w:highlight w:val="yellow"/>
        </w:rPr>
      </w:pPr>
    </w:p>
    <w:p w14:paraId="357C0BB1" w14:textId="6110CFBF" w:rsidR="00BA628F" w:rsidRPr="00D95092" w:rsidRDefault="005E12C9" w:rsidP="00D95092">
      <w:pPr>
        <w:pStyle w:val="Heading3"/>
        <w:numPr>
          <w:ilvl w:val="0"/>
          <w:numId w:val="36"/>
        </w:numPr>
        <w:rPr>
          <w:b/>
          <w:bCs/>
          <w:u w:val="single"/>
        </w:rPr>
      </w:pPr>
      <w:r w:rsidRPr="00D95092">
        <w:rPr>
          <w:rStyle w:val="SubtleEmphasis"/>
          <w:rFonts w:ascii="Times New Roman" w:hAnsi="Times New Roman" w:cs="Times New Roman"/>
          <w:b/>
          <w:bCs/>
          <w:i w:val="0"/>
          <w:iCs w:val="0"/>
          <w:color w:val="auto"/>
          <w:sz w:val="22"/>
          <w:szCs w:val="22"/>
          <w:u w:val="single"/>
        </w:rPr>
        <w:t>F</w:t>
      </w:r>
      <w:r w:rsidR="00844AB0" w:rsidRPr="00D95092">
        <w:rPr>
          <w:rStyle w:val="SubtleEmphasis"/>
          <w:rFonts w:ascii="Times New Roman" w:hAnsi="Times New Roman" w:cs="Times New Roman"/>
          <w:b/>
          <w:bCs/>
          <w:i w:val="0"/>
          <w:iCs w:val="0"/>
          <w:color w:val="auto"/>
          <w:sz w:val="22"/>
          <w:szCs w:val="22"/>
          <w:u w:val="single"/>
        </w:rPr>
        <w:t>easibility</w:t>
      </w:r>
    </w:p>
    <w:p w14:paraId="72D95C5D" w14:textId="77777777" w:rsidR="00BA628F" w:rsidRPr="005D25CC" w:rsidRDefault="00BA628F" w:rsidP="00BA628F">
      <w:pPr>
        <w:spacing w:after="0" w:line="240" w:lineRule="auto"/>
        <w:jc w:val="both"/>
        <w:rPr>
          <w:rFonts w:ascii="Times New Roman" w:hAnsi="Times New Roman" w:cs="Times New Roman"/>
          <w:b/>
          <w:highlight w:val="yellow"/>
        </w:rPr>
      </w:pPr>
    </w:p>
    <w:p w14:paraId="17B95E8A" w14:textId="2F3EEFFD" w:rsidR="00BA628F" w:rsidRPr="00880188" w:rsidRDefault="00BA628F" w:rsidP="003C5A36">
      <w:pPr>
        <w:spacing w:after="0" w:line="240" w:lineRule="auto"/>
        <w:ind w:left="360"/>
        <w:jc w:val="both"/>
        <w:rPr>
          <w:rFonts w:ascii="Times New Roman" w:hAnsi="Times New Roman" w:cs="Times New Roman"/>
        </w:rPr>
      </w:pPr>
      <w:r w:rsidRPr="00880188">
        <w:rPr>
          <w:rFonts w:ascii="Times New Roman" w:hAnsi="Times New Roman" w:cs="Times New Roman"/>
        </w:rPr>
        <w:t xml:space="preserve">We analyzed the projected operations, </w:t>
      </w:r>
      <w:r w:rsidR="00CE0A1D" w:rsidRPr="00880188">
        <w:rPr>
          <w:rFonts w:ascii="Times New Roman" w:hAnsi="Times New Roman" w:cs="Times New Roman"/>
        </w:rPr>
        <w:t xml:space="preserve">including volume of </w:t>
      </w:r>
      <w:r w:rsidR="00E635B2">
        <w:rPr>
          <w:rFonts w:ascii="Times New Roman" w:hAnsi="Times New Roman" w:cs="Times New Roman"/>
        </w:rPr>
        <w:t>treatments</w:t>
      </w:r>
      <w:r w:rsidR="00686EAE">
        <w:rPr>
          <w:rFonts w:ascii="Times New Roman" w:hAnsi="Times New Roman" w:cs="Times New Roman"/>
        </w:rPr>
        <w:t xml:space="preserve">, </w:t>
      </w:r>
      <w:proofErr w:type="gramStart"/>
      <w:r w:rsidRPr="00880188">
        <w:rPr>
          <w:rFonts w:ascii="Times New Roman" w:hAnsi="Times New Roman" w:cs="Times New Roman"/>
        </w:rPr>
        <w:t>revenue</w:t>
      </w:r>
      <w:proofErr w:type="gramEnd"/>
      <w:r w:rsidRPr="00880188">
        <w:rPr>
          <w:rFonts w:ascii="Times New Roman" w:hAnsi="Times New Roman" w:cs="Times New Roman"/>
        </w:rPr>
        <w:t xml:space="preserve"> and expenses for</w:t>
      </w:r>
      <w:r w:rsidR="00686EAE">
        <w:rPr>
          <w:rFonts w:ascii="Times New Roman" w:hAnsi="Times New Roman" w:cs="Times New Roman"/>
        </w:rPr>
        <w:t xml:space="preserve"> </w:t>
      </w:r>
      <w:r w:rsidR="008C0C57">
        <w:rPr>
          <w:rFonts w:ascii="Times New Roman" w:hAnsi="Times New Roman" w:cs="Times New Roman"/>
        </w:rPr>
        <w:t>BID Plymouth</w:t>
      </w:r>
      <w:r w:rsidR="00F266B0" w:rsidRPr="00880188">
        <w:rPr>
          <w:rFonts w:ascii="Times New Roman" w:hAnsi="Times New Roman" w:cs="Times New Roman"/>
        </w:rPr>
        <w:t>.</w:t>
      </w:r>
      <w:r w:rsidRPr="00880188">
        <w:rPr>
          <w:rFonts w:ascii="Times New Roman" w:hAnsi="Times New Roman" w:cs="Times New Roman"/>
        </w:rPr>
        <w:t xml:space="preserve">  In performing our analysis, we considered multiple sources of information including historical and projected financial information.  It is important to note that the projections do not account for any anticipated changes in accounting and regulatory standards.</w:t>
      </w:r>
      <w:r w:rsidR="008C0C57">
        <w:rPr>
          <w:rFonts w:ascii="Times New Roman" w:hAnsi="Times New Roman" w:cs="Times New Roman"/>
        </w:rPr>
        <w:t xml:space="preserve"> </w:t>
      </w:r>
      <w:r w:rsidRPr="00880188">
        <w:rPr>
          <w:rFonts w:ascii="Times New Roman" w:hAnsi="Times New Roman" w:cs="Times New Roman"/>
        </w:rPr>
        <w:t>These standards, which may have a material impact on individual future years, are not anticipated to have a material impact on the aggregate projections.</w:t>
      </w:r>
    </w:p>
    <w:p w14:paraId="3D6C8643" w14:textId="77777777" w:rsidR="00BA628F" w:rsidRPr="00880188" w:rsidRDefault="00BA628F" w:rsidP="00BA628F">
      <w:pPr>
        <w:spacing w:after="0" w:line="240" w:lineRule="auto"/>
        <w:ind w:left="360"/>
        <w:jc w:val="both"/>
        <w:rPr>
          <w:rFonts w:ascii="Times New Roman" w:hAnsi="Times New Roman" w:cs="Times New Roman"/>
        </w:rPr>
      </w:pPr>
    </w:p>
    <w:p w14:paraId="07677FAD" w14:textId="6C5F90FF" w:rsidR="00BA628F" w:rsidRPr="005D25CC" w:rsidRDefault="00BA628F" w:rsidP="00BA628F">
      <w:pPr>
        <w:spacing w:after="0" w:line="240" w:lineRule="auto"/>
        <w:ind w:left="360"/>
        <w:jc w:val="both"/>
        <w:rPr>
          <w:rFonts w:ascii="Times New Roman" w:hAnsi="Times New Roman" w:cs="Times New Roman"/>
          <w:highlight w:val="yellow"/>
        </w:rPr>
      </w:pPr>
      <w:r w:rsidRPr="000B1A98">
        <w:rPr>
          <w:rFonts w:ascii="Times New Roman" w:hAnsi="Times New Roman" w:cs="Times New Roman"/>
        </w:rPr>
        <w:t xml:space="preserve">We determined that the projections were not likely to result in insufficient funds available </w:t>
      </w:r>
      <w:r w:rsidR="009D5052" w:rsidRPr="000B1A98">
        <w:rPr>
          <w:rFonts w:ascii="Times New Roman" w:hAnsi="Times New Roman" w:cs="Times New Roman"/>
        </w:rPr>
        <w:t xml:space="preserve">for </w:t>
      </w:r>
      <w:r w:rsidRPr="000B1A98">
        <w:rPr>
          <w:rFonts w:ascii="Times New Roman" w:hAnsi="Times New Roman" w:cs="Times New Roman"/>
        </w:rPr>
        <w:t>ongoing operating costs necessary to support</w:t>
      </w:r>
      <w:r w:rsidR="00880188" w:rsidRPr="000B1A98">
        <w:rPr>
          <w:rFonts w:ascii="Times New Roman" w:hAnsi="Times New Roman" w:cs="Times New Roman"/>
        </w:rPr>
        <w:t xml:space="preserve"> the Project</w:t>
      </w:r>
      <w:r w:rsidR="00D830A6" w:rsidRPr="000B1A98">
        <w:rPr>
          <w:rFonts w:ascii="Times New Roman" w:hAnsi="Times New Roman" w:cs="Times New Roman"/>
        </w:rPr>
        <w:t>.</w:t>
      </w:r>
      <w:r w:rsidRPr="000B1A98">
        <w:rPr>
          <w:rFonts w:ascii="Times New Roman" w:hAnsi="Times New Roman" w:cs="Times New Roman"/>
        </w:rPr>
        <w:t xml:space="preserve">  Based</w:t>
      </w:r>
      <w:r w:rsidRPr="00880188">
        <w:rPr>
          <w:rFonts w:ascii="Times New Roman" w:hAnsi="Times New Roman" w:cs="Times New Roman"/>
        </w:rPr>
        <w:t xml:space="preserve"> upon our review of the projections and relevant supporting documentation, we determined</w:t>
      </w:r>
      <w:r w:rsidR="004E2D51" w:rsidRPr="00880188">
        <w:rPr>
          <w:rFonts w:ascii="Times New Roman" w:hAnsi="Times New Roman" w:cs="Times New Roman"/>
        </w:rPr>
        <w:t xml:space="preserve"> </w:t>
      </w:r>
      <w:r w:rsidR="00595667">
        <w:rPr>
          <w:rFonts w:ascii="Times New Roman" w:hAnsi="Times New Roman" w:cs="Times New Roman"/>
        </w:rPr>
        <w:t>the</w:t>
      </w:r>
      <w:r w:rsidR="00880188" w:rsidRPr="00F83CB2">
        <w:rPr>
          <w:rFonts w:ascii="Times New Roman" w:hAnsi="Times New Roman" w:cs="Times New Roman"/>
        </w:rPr>
        <w:t xml:space="preserve"> </w:t>
      </w:r>
      <w:r w:rsidR="00595667" w:rsidRPr="002B3DD2">
        <w:rPr>
          <w:rFonts w:ascii="Times New Roman" w:hAnsi="Times New Roman" w:cs="Times New Roman"/>
        </w:rPr>
        <w:t xml:space="preserve">reactivation of one existing dormant linear accelerator </w:t>
      </w:r>
      <w:r w:rsidR="00595667" w:rsidRPr="00FF336B">
        <w:rPr>
          <w:rFonts w:ascii="Times New Roman" w:hAnsi="Times New Roman" w:cs="Times New Roman"/>
        </w:rPr>
        <w:t xml:space="preserve">at </w:t>
      </w:r>
      <w:r w:rsidR="00595667">
        <w:rPr>
          <w:rFonts w:ascii="Times New Roman" w:hAnsi="Times New Roman" w:cs="Times New Roman"/>
        </w:rPr>
        <w:t xml:space="preserve">BID Plymouth </w:t>
      </w:r>
      <w:r w:rsidR="00D830A6" w:rsidRPr="00964422">
        <w:rPr>
          <w:rFonts w:ascii="Times New Roman" w:hAnsi="Times New Roman" w:cs="Times New Roman"/>
        </w:rPr>
        <w:t>is</w:t>
      </w:r>
      <w:r w:rsidRPr="00964422">
        <w:rPr>
          <w:rFonts w:ascii="Times New Roman" w:hAnsi="Times New Roman" w:cs="Times New Roman"/>
        </w:rPr>
        <w:t xml:space="preserve"> </w:t>
      </w:r>
      <w:r w:rsidR="00E635B2">
        <w:rPr>
          <w:rFonts w:ascii="Times New Roman" w:hAnsi="Times New Roman" w:cs="Times New Roman"/>
        </w:rPr>
        <w:t xml:space="preserve">financially feasible and within the financial capability of </w:t>
      </w:r>
      <w:r w:rsidR="00D97D03">
        <w:rPr>
          <w:rFonts w:ascii="Times New Roman" w:hAnsi="Times New Roman" w:cs="Times New Roman"/>
        </w:rPr>
        <w:t>the Applicant</w:t>
      </w:r>
      <w:r w:rsidRPr="00880188">
        <w:rPr>
          <w:rFonts w:ascii="Times New Roman" w:hAnsi="Times New Roman" w:cs="Times New Roman"/>
        </w:rPr>
        <w:t xml:space="preserve">.  </w:t>
      </w:r>
    </w:p>
    <w:p w14:paraId="2899C054" w14:textId="67CB3F2F" w:rsidR="00BA628F" w:rsidRPr="005D25CC" w:rsidRDefault="000532C3" w:rsidP="00BA628F">
      <w:pPr>
        <w:spacing w:after="0" w:line="240" w:lineRule="auto"/>
        <w:jc w:val="both"/>
        <w:rPr>
          <w:rFonts w:ascii="Times New Roman" w:hAnsi="Times New Roman" w:cs="Times New Roman"/>
          <w:highlight w:val="yellow"/>
        </w:rPr>
      </w:pPr>
      <w:r>
        <w:rPr>
          <w:noProof/>
        </w:rPr>
        <w:drawing>
          <wp:inline distT="0" distB="0" distL="0" distR="0" wp14:anchorId="7B43DDCA" wp14:editId="5763C4A8">
            <wp:extent cx="2156460" cy="651510"/>
            <wp:effectExtent l="0" t="0" r="0" b="0"/>
            <wp:docPr id="250012409" name="Picture 2" descr="signature for Meyers Brothers Kalicka, P.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descr="signature for Meyers Brothers Kalicka, P.C.">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763183B2" w14:textId="6425688A" w:rsidR="00BA628F" w:rsidRPr="005428AE" w:rsidRDefault="00BA628F" w:rsidP="00BA628F">
      <w:pPr>
        <w:spacing w:after="0" w:line="240" w:lineRule="auto"/>
        <w:jc w:val="both"/>
        <w:rPr>
          <w:rFonts w:ascii="Times New Roman" w:hAnsi="Times New Roman" w:cs="Times New Roman"/>
        </w:rPr>
      </w:pPr>
      <w:r w:rsidRPr="005428AE">
        <w:rPr>
          <w:rFonts w:ascii="Times New Roman" w:hAnsi="Times New Roman" w:cs="Times New Roman"/>
        </w:rPr>
        <w:t>Holyoke, Massachusetts</w:t>
      </w:r>
    </w:p>
    <w:p w14:paraId="6278C53F" w14:textId="01A1B2B8" w:rsidR="002367C6" w:rsidRPr="00E72ED7" w:rsidRDefault="002367C6" w:rsidP="002367C6">
      <w:pPr>
        <w:spacing w:after="0" w:line="240" w:lineRule="auto"/>
        <w:rPr>
          <w:rFonts w:ascii="Times New Roman" w:hAnsi="Times New Roman" w:cs="Times New Roman"/>
        </w:rPr>
      </w:pPr>
      <w:r w:rsidRPr="005428AE">
        <w:rPr>
          <w:rFonts w:ascii="Times New Roman" w:hAnsi="Times New Roman" w:cs="Times New Roman"/>
        </w:rPr>
        <w:t xml:space="preserve">September </w:t>
      </w:r>
      <w:r w:rsidR="005428AE" w:rsidRPr="005428AE">
        <w:rPr>
          <w:rFonts w:ascii="Times New Roman" w:hAnsi="Times New Roman" w:cs="Times New Roman"/>
        </w:rPr>
        <w:t>28</w:t>
      </w:r>
      <w:r w:rsidRPr="005428AE">
        <w:rPr>
          <w:rFonts w:ascii="Times New Roman" w:hAnsi="Times New Roman" w:cs="Times New Roman"/>
        </w:rPr>
        <w:t>, 2023</w:t>
      </w:r>
    </w:p>
    <w:sectPr w:rsidR="002367C6" w:rsidRPr="00E72ED7" w:rsidSect="00C47FD6">
      <w:footerReference w:type="default" r:id="rId14"/>
      <w:pgSz w:w="12240" w:h="15840" w:code="1"/>
      <w:pgMar w:top="648" w:right="720" w:bottom="648" w:left="96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A73C" w14:textId="77777777" w:rsidR="005F0D69" w:rsidRDefault="005F0D69" w:rsidP="009407EE">
      <w:pPr>
        <w:spacing w:after="0" w:line="240" w:lineRule="auto"/>
      </w:pPr>
      <w:r>
        <w:separator/>
      </w:r>
    </w:p>
  </w:endnote>
  <w:endnote w:type="continuationSeparator" w:id="0">
    <w:p w14:paraId="44D438A1" w14:textId="77777777" w:rsidR="005F0D69" w:rsidRDefault="005F0D69"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ED9B" w14:textId="4FC3AB90" w:rsidR="00734FDE" w:rsidRDefault="00C47FD6">
    <w:pPr>
      <w:pStyle w:val="Footer"/>
    </w:pPr>
    <w:r>
      <w:rPr>
        <w:noProof/>
      </w:rPr>
      <mc:AlternateContent>
        <mc:Choice Requires="wps">
          <w:drawing>
            <wp:inline distT="0" distB="0" distL="0" distR="0" wp14:anchorId="3C330106" wp14:editId="3A650027">
              <wp:extent cx="6372225" cy="560070"/>
              <wp:effectExtent l="0" t="0" r="0" b="1905"/>
              <wp:docPr id="5580256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3C330106" id="Rectangle 5"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9BE1" w14:textId="77777777" w:rsidR="00C47FD6" w:rsidRDefault="00C47FD6">
    <w:pPr>
      <w:pStyle w:val="Footer"/>
    </w:pPr>
    <w:r>
      <w:rPr>
        <w:noProof/>
      </w:rPr>
      <mc:AlternateContent>
        <mc:Choice Requires="wps">
          <w:drawing>
            <wp:inline distT="0" distB="0" distL="0" distR="0" wp14:anchorId="2EF2DABC" wp14:editId="35BE2987">
              <wp:extent cx="6372225" cy="560070"/>
              <wp:effectExtent l="0" t="0" r="0" b="1905"/>
              <wp:docPr id="12733699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BD9622"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235900A"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2EF2DABC" id="_x0000_s1027"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He3QEAAKADAAAOAAAAZHJzL2Uyb0RvYy54bWysU9tu2zAMfR+wfxD0vviyXDYjTlG06DCg&#10;Wwd0/QBFlmxhtqhRSuzs60cpaZqtb8NeBJOUDs8hj9dX09CzvUJvwNa8mOWcKSuhMbat+dP3u3cf&#10;OPNB2Eb0YFXND8rzq83bN+vRVaqEDvpGISMQ66vR1bwLwVVZ5mWnBuFn4JSlogYcRKAQ26xBMRL6&#10;0Gdlni+zEbBxCFJ5T9nbY5FvEr7WSoYHrb0KrK85cQvpxHRu45lt1qJqUbjOyBMN8Q8sBmEsNT1D&#10;3Yog2A7NK6jBSAQPOswkDBlobaRKGkhNkf+l5rETTiUtNBzvzmPy/w9Wft0/um8YqXt3D/KHZxZu&#10;OmFbdY0IY6dEQ+2KOKhsdL46P4iBp6dsO36BhlYrdgHSDCaNQwQkdWxKoz6cR62mwCQll+9XZVku&#10;OJNUWyzzfJV2kYnq+bVDHz4pGFj8qDnSKhO62N/7ENmI6vlKbGbhzvR9Wmdv/0jQxZhJ7CPh6A1f&#10;hWk7MdOcpMXMFpoDyUE4moRMTR8d4C/ORjJIzf3PnUDFWf/Z0kg+FvN5dFQK5otVSQFeVraXFWEl&#10;QdVcBuTsGNyEow93Dk3bUa8i6bNwTYPUJml84XUSQDZI0k+WjT67jNOtlx9r8xsAAP//AwBQSwME&#10;FAAGAAgAAAAhACzjTD/aAAAABQEAAA8AAABkcnMvZG93bnJldi54bWxMj81qwzAQhO+FvIPYQG+N&#10;1JQW41gOTaCUkkNp2t5laWObWCsjyT95+yq9tJeFYYaZb4vtbDs2og+tIwn3KwEMSTvTUi3h6/Pl&#10;LgMWoiKjOkco4YIBtuXiplC5cRN94HiMNUslFHIloYmxzzkPukGrwsr1SMk7OW9VTNLX3Hg1pXLb&#10;8bUQT9yqltJCo3rcN6jPx8FK+Han3WR1RW/j5b0dXg9e6+wg5e1yft4AizjHvzBc8RM6lImpcgOZ&#10;wDoJ6ZH4e6+eEA+PwCoJWbYGXhb8P335AwAA//8DAFBLAQItABQABgAIAAAAIQC2gziS/gAAAOEB&#10;AAATAAAAAAAAAAAAAAAAAAAAAABbQ29udGVudF9UeXBlc10ueG1sUEsBAi0AFAAGAAgAAAAhADj9&#10;If/WAAAAlAEAAAsAAAAAAAAAAAAAAAAALwEAAF9yZWxzLy5yZWxzUEsBAi0AFAAGAAgAAAAhABCz&#10;Qd7dAQAAoAMAAA4AAAAAAAAAAAAAAAAALgIAAGRycy9lMm9Eb2MueG1sUEsBAi0AFAAGAAgAAAAh&#10;ACzjTD/aAAAABQEAAA8AAAAAAAAAAAAAAAAANwQAAGRycy9kb3ducmV2LnhtbFBLBQYAAAAABAAE&#10;APMAAAA+BQAAAAA=&#10;" filled="f" stroked="f" strokeweight="1pt">
              <v:textbox>
                <w:txbxContent>
                  <w:p w14:paraId="66BD9622"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235900A"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204780"/>
      <w:docPartObj>
        <w:docPartGallery w:val="Page Numbers (Bottom of Page)"/>
        <w:docPartUnique/>
      </w:docPartObj>
    </w:sdtPr>
    <w:sdtEndPr>
      <w:rPr>
        <w:noProof/>
      </w:rPr>
    </w:sdtEndPr>
    <w:sdtContent>
      <w:p w14:paraId="03224752" w14:textId="22F5EE02" w:rsidR="006A1A6B" w:rsidRDefault="006A1A6B">
        <w:pPr>
          <w:pStyle w:val="Footer"/>
          <w:jc w:val="center"/>
        </w:pPr>
        <w:r w:rsidRPr="006A1A6B">
          <w:rPr>
            <w:rFonts w:ascii="Times New Roman" w:hAnsi="Times New Roman" w:cs="Times New Roman"/>
          </w:rPr>
          <w:t>-</w:t>
        </w:r>
        <w:r w:rsidRPr="006A1A6B">
          <w:rPr>
            <w:rFonts w:ascii="Times New Roman" w:hAnsi="Times New Roman" w:cs="Times New Roman"/>
          </w:rPr>
          <w:fldChar w:fldCharType="begin"/>
        </w:r>
        <w:r w:rsidRPr="006A1A6B">
          <w:rPr>
            <w:rFonts w:ascii="Times New Roman" w:hAnsi="Times New Roman" w:cs="Times New Roman"/>
          </w:rPr>
          <w:instrText xml:space="preserve"> PAGE   \* MERGEFORMAT </w:instrText>
        </w:r>
        <w:r w:rsidRPr="006A1A6B">
          <w:rPr>
            <w:rFonts w:ascii="Times New Roman" w:hAnsi="Times New Roman" w:cs="Times New Roman"/>
          </w:rPr>
          <w:fldChar w:fldCharType="separate"/>
        </w:r>
        <w:r w:rsidRPr="006A1A6B">
          <w:rPr>
            <w:rFonts w:ascii="Times New Roman" w:hAnsi="Times New Roman" w:cs="Times New Roman"/>
            <w:noProof/>
          </w:rPr>
          <w:t>2</w:t>
        </w:r>
        <w:r w:rsidRPr="006A1A6B">
          <w:rPr>
            <w:rFonts w:ascii="Times New Roman" w:hAnsi="Times New Roman" w:cs="Times New Roman"/>
            <w:noProof/>
          </w:rPr>
          <w:fldChar w:fldCharType="end"/>
        </w:r>
        <w:r w:rsidRPr="006A1A6B">
          <w:rPr>
            <w:rFonts w:ascii="Times New Roman" w:hAnsi="Times New Roman" w:cs="Times New Roman"/>
            <w:noProof/>
          </w:rPr>
          <w:t>-</w:t>
        </w:r>
      </w:p>
    </w:sdtContent>
  </w:sdt>
  <w:p w14:paraId="29402BF7" w14:textId="77777777" w:rsidR="006A1A6B" w:rsidRDefault="006A1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64CB" w14:textId="49656DAD" w:rsidR="006A1A6B" w:rsidRPr="006A1A6B" w:rsidRDefault="006A1A6B">
    <w:pPr>
      <w:pStyle w:val="Footer"/>
      <w:jc w:val="center"/>
      <w:rPr>
        <w:rFonts w:ascii="Times New Roman" w:hAnsi="Times New Roman" w:cs="Times New Roman"/>
      </w:rPr>
    </w:pPr>
    <w:r w:rsidRPr="006A1A6B">
      <w:rPr>
        <w:rFonts w:ascii="Times New Roman" w:hAnsi="Times New Roman" w:cs="Times New Roman"/>
      </w:rPr>
      <w:t>-</w:t>
    </w:r>
    <w:sdt>
      <w:sdtPr>
        <w:rPr>
          <w:rFonts w:ascii="Times New Roman" w:hAnsi="Times New Roman" w:cs="Times New Roman"/>
        </w:rPr>
        <w:id w:val="1355923159"/>
        <w:docPartObj>
          <w:docPartGallery w:val="Page Numbers (Bottom of Page)"/>
          <w:docPartUnique/>
        </w:docPartObj>
      </w:sdtPr>
      <w:sdtEndPr>
        <w:rPr>
          <w:noProof/>
        </w:rPr>
      </w:sdtEndPr>
      <w:sdtContent>
        <w:r w:rsidRPr="006A1A6B">
          <w:rPr>
            <w:rFonts w:ascii="Times New Roman" w:hAnsi="Times New Roman" w:cs="Times New Roman"/>
          </w:rPr>
          <w:fldChar w:fldCharType="begin"/>
        </w:r>
        <w:r w:rsidRPr="006A1A6B">
          <w:rPr>
            <w:rFonts w:ascii="Times New Roman" w:hAnsi="Times New Roman" w:cs="Times New Roman"/>
          </w:rPr>
          <w:instrText xml:space="preserve"> PAGE   \* MERGEFORMAT </w:instrText>
        </w:r>
        <w:r w:rsidRPr="006A1A6B">
          <w:rPr>
            <w:rFonts w:ascii="Times New Roman" w:hAnsi="Times New Roman" w:cs="Times New Roman"/>
          </w:rPr>
          <w:fldChar w:fldCharType="separate"/>
        </w:r>
        <w:r w:rsidRPr="006A1A6B">
          <w:rPr>
            <w:rFonts w:ascii="Times New Roman" w:hAnsi="Times New Roman" w:cs="Times New Roman"/>
            <w:noProof/>
          </w:rPr>
          <w:t>2</w:t>
        </w:r>
        <w:r w:rsidRPr="006A1A6B">
          <w:rPr>
            <w:rFonts w:ascii="Times New Roman" w:hAnsi="Times New Roman" w:cs="Times New Roman"/>
            <w:noProof/>
          </w:rPr>
          <w:fldChar w:fldCharType="end"/>
        </w:r>
        <w:r w:rsidRPr="006A1A6B">
          <w:rPr>
            <w:rFonts w:ascii="Times New Roman" w:hAnsi="Times New Roman" w:cs="Times New Roman"/>
            <w:noProof/>
          </w:rPr>
          <w:t>-</w:t>
        </w:r>
      </w:sdtContent>
    </w:sdt>
  </w:p>
  <w:p w14:paraId="20742A01" w14:textId="70DA14CF" w:rsidR="00C47FD6" w:rsidRDefault="00C4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0160" w14:textId="77777777" w:rsidR="005F0D69" w:rsidRDefault="005F0D69" w:rsidP="009407EE">
      <w:pPr>
        <w:spacing w:after="0" w:line="240" w:lineRule="auto"/>
      </w:pPr>
      <w:r>
        <w:separator/>
      </w:r>
    </w:p>
  </w:footnote>
  <w:footnote w:type="continuationSeparator" w:id="0">
    <w:p w14:paraId="5FED06FE" w14:textId="77777777" w:rsidR="005F0D69" w:rsidRDefault="005F0D69"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76FB" w14:textId="77777777" w:rsidR="00734FDE" w:rsidRPr="00734FDE" w:rsidRDefault="00734FDE" w:rsidP="002F35BE">
    <w:pPr>
      <w:pStyle w:val="Header"/>
      <w:jc w:val="center"/>
    </w:pPr>
    <w:r>
      <w:rPr>
        <w:noProof/>
      </w:rPr>
      <w:drawing>
        <wp:anchor distT="0" distB="0" distL="114300" distR="114300" simplePos="0" relativeHeight="251658240" behindDoc="1" locked="0" layoutInCell="1" allowOverlap="1" wp14:anchorId="03411F14" wp14:editId="73233A7B">
          <wp:simplePos x="0" y="0"/>
          <wp:positionH relativeFrom="column">
            <wp:posOffset>1360805</wp:posOffset>
          </wp:positionH>
          <wp:positionV relativeFrom="paragraph">
            <wp:posOffset>403761</wp:posOffset>
          </wp:positionV>
          <wp:extent cx="3977640" cy="1097280"/>
          <wp:effectExtent l="0" t="0" r="3810" b="7620"/>
          <wp:wrapTight wrapText="bothSides">
            <wp:wrapPolygon edited="0">
              <wp:start x="0" y="0"/>
              <wp:lineTo x="0" y="21375"/>
              <wp:lineTo x="21517" y="21375"/>
              <wp:lineTo x="21517" y="0"/>
              <wp:lineTo x="0" y="0"/>
            </wp:wrapPolygon>
          </wp:wrapTight>
          <wp:docPr id="1193815585" name="Picture 1193815585" descr="Meyers Brothers Kalicka 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5585" name="Picture 1193815585" descr="Meyers Brothers Kalicka Certified Public Accountant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5067" w14:textId="020B7B20" w:rsidR="002F35BE" w:rsidRPr="00734FDE" w:rsidRDefault="002F35BE" w:rsidP="002F35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575"/>
    <w:multiLevelType w:val="hybridMultilevel"/>
    <w:tmpl w:val="77E6315E"/>
    <w:lvl w:ilvl="0" w:tplc="382EB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223683"/>
    <w:multiLevelType w:val="hybridMultilevel"/>
    <w:tmpl w:val="05169ECC"/>
    <w:lvl w:ilvl="0" w:tplc="76643472">
      <w:start w:val="4"/>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25EC177B"/>
    <w:multiLevelType w:val="hybridMultilevel"/>
    <w:tmpl w:val="E180AE7A"/>
    <w:lvl w:ilvl="0" w:tplc="F550C4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584F2A"/>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2BDD"/>
    <w:multiLevelType w:val="hybridMultilevel"/>
    <w:tmpl w:val="B678ADF4"/>
    <w:lvl w:ilvl="0" w:tplc="16D6833C">
      <w:start w:val="5"/>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E5769F"/>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311E30"/>
    <w:multiLevelType w:val="hybridMultilevel"/>
    <w:tmpl w:val="199AA3F0"/>
    <w:lvl w:ilvl="0" w:tplc="CF768178">
      <w:start w:val="5"/>
      <w:numFmt w:val="upperRoman"/>
      <w:lvlText w:val="%1."/>
      <w:lvlJc w:val="left"/>
      <w:pPr>
        <w:ind w:left="1080" w:hanging="72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319B4"/>
    <w:multiLevelType w:val="hybridMultilevel"/>
    <w:tmpl w:val="8B20DB1A"/>
    <w:lvl w:ilvl="0" w:tplc="7EA615CA">
      <w:start w:val="5"/>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C6414"/>
    <w:multiLevelType w:val="hybridMultilevel"/>
    <w:tmpl w:val="5114D9A2"/>
    <w:lvl w:ilvl="0" w:tplc="729408FE">
      <w:start w:val="4"/>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852DE"/>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F1334"/>
    <w:multiLevelType w:val="hybridMultilevel"/>
    <w:tmpl w:val="A1C44500"/>
    <w:lvl w:ilvl="0" w:tplc="9236B2FA">
      <w:start w:val="1"/>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933FE"/>
    <w:multiLevelType w:val="hybridMultilevel"/>
    <w:tmpl w:val="ED2C5E2E"/>
    <w:lvl w:ilvl="0" w:tplc="E18A2E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E92590B"/>
    <w:multiLevelType w:val="hybridMultilevel"/>
    <w:tmpl w:val="341A509E"/>
    <w:lvl w:ilvl="0" w:tplc="67CA317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04069"/>
    <w:multiLevelType w:val="hybridMultilevel"/>
    <w:tmpl w:val="8B20DB1A"/>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1" w15:restartNumberingAfterBreak="0">
    <w:nsid w:val="68084BD1"/>
    <w:multiLevelType w:val="hybridMultilevel"/>
    <w:tmpl w:val="B2FA94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7E125BDA"/>
    <w:multiLevelType w:val="hybridMultilevel"/>
    <w:tmpl w:val="DA58F5E8"/>
    <w:lvl w:ilvl="0" w:tplc="6BD67F58">
      <w:start w:val="4"/>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5"/>
  </w:num>
  <w:num w:numId="2" w16cid:durableId="1567257925">
    <w:abstractNumId w:val="6"/>
  </w:num>
  <w:num w:numId="3" w16cid:durableId="922029172">
    <w:abstractNumId w:val="8"/>
  </w:num>
  <w:num w:numId="4" w16cid:durableId="391739823">
    <w:abstractNumId w:val="1"/>
  </w:num>
  <w:num w:numId="5" w16cid:durableId="454524553">
    <w:abstractNumId w:val="25"/>
  </w:num>
  <w:num w:numId="6" w16cid:durableId="1396590162">
    <w:abstractNumId w:val="0"/>
  </w:num>
  <w:num w:numId="7" w16cid:durableId="1809933658">
    <w:abstractNumId w:val="15"/>
  </w:num>
  <w:num w:numId="8" w16cid:durableId="1089889313">
    <w:abstractNumId w:val="13"/>
  </w:num>
  <w:num w:numId="9" w16cid:durableId="2043506819">
    <w:abstractNumId w:val="32"/>
  </w:num>
  <w:num w:numId="10" w16cid:durableId="260265788">
    <w:abstractNumId w:val="3"/>
  </w:num>
  <w:num w:numId="11" w16cid:durableId="1853765494">
    <w:abstractNumId w:val="9"/>
  </w:num>
  <w:num w:numId="12" w16cid:durableId="639728573">
    <w:abstractNumId w:val="22"/>
  </w:num>
  <w:num w:numId="13" w16cid:durableId="583808625">
    <w:abstractNumId w:val="7"/>
  </w:num>
  <w:num w:numId="14" w16cid:durableId="2020085047">
    <w:abstractNumId w:val="11"/>
  </w:num>
  <w:num w:numId="15" w16cid:durableId="1728646724">
    <w:abstractNumId w:val="17"/>
  </w:num>
  <w:num w:numId="16" w16cid:durableId="1337002142">
    <w:abstractNumId w:val="18"/>
  </w:num>
  <w:num w:numId="17" w16cid:durableId="2046328625">
    <w:abstractNumId w:val="23"/>
  </w:num>
  <w:num w:numId="18" w16cid:durableId="1270813981">
    <w:abstractNumId w:val="33"/>
  </w:num>
  <w:num w:numId="19" w16cid:durableId="1643271591">
    <w:abstractNumId w:val="30"/>
  </w:num>
  <w:num w:numId="20" w16cid:durableId="4554109">
    <w:abstractNumId w:val="16"/>
  </w:num>
  <w:num w:numId="21" w16cid:durableId="1723213361">
    <w:abstractNumId w:val="27"/>
  </w:num>
  <w:num w:numId="22" w16cid:durableId="871726559">
    <w:abstractNumId w:val="2"/>
  </w:num>
  <w:num w:numId="23" w16cid:durableId="821849144">
    <w:abstractNumId w:val="28"/>
  </w:num>
  <w:num w:numId="24" w16cid:durableId="1553228983">
    <w:abstractNumId w:val="24"/>
  </w:num>
  <w:num w:numId="25" w16cid:durableId="6045767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216178">
    <w:abstractNumId w:val="34"/>
  </w:num>
  <w:num w:numId="27" w16cid:durableId="1022512497">
    <w:abstractNumId w:val="12"/>
  </w:num>
  <w:num w:numId="28" w16cid:durableId="1509713594">
    <w:abstractNumId w:val="10"/>
  </w:num>
  <w:num w:numId="29" w16cid:durableId="1595632047">
    <w:abstractNumId w:val="31"/>
  </w:num>
  <w:num w:numId="30" w16cid:durableId="128910185">
    <w:abstractNumId w:val="4"/>
  </w:num>
  <w:num w:numId="31" w16cid:durableId="81800435">
    <w:abstractNumId w:val="14"/>
  </w:num>
  <w:num w:numId="32" w16cid:durableId="676494342">
    <w:abstractNumId w:val="19"/>
  </w:num>
  <w:num w:numId="33" w16cid:durableId="1097016931">
    <w:abstractNumId w:val="26"/>
  </w:num>
  <w:num w:numId="34" w16cid:durableId="877859939">
    <w:abstractNumId w:val="21"/>
  </w:num>
  <w:num w:numId="35" w16cid:durableId="898633319">
    <w:abstractNumId w:val="20"/>
  </w:num>
  <w:num w:numId="36" w16cid:durableId="11150960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79F"/>
    <w:rsid w:val="00000C56"/>
    <w:rsid w:val="00001603"/>
    <w:rsid w:val="00002FE5"/>
    <w:rsid w:val="000041B5"/>
    <w:rsid w:val="00004965"/>
    <w:rsid w:val="000056C0"/>
    <w:rsid w:val="000078EA"/>
    <w:rsid w:val="00010944"/>
    <w:rsid w:val="000115B5"/>
    <w:rsid w:val="00012603"/>
    <w:rsid w:val="00012CC6"/>
    <w:rsid w:val="00012ED8"/>
    <w:rsid w:val="00014C29"/>
    <w:rsid w:val="00014E9B"/>
    <w:rsid w:val="00014FCF"/>
    <w:rsid w:val="000150C7"/>
    <w:rsid w:val="000163E3"/>
    <w:rsid w:val="00016B03"/>
    <w:rsid w:val="00021490"/>
    <w:rsid w:val="000214D1"/>
    <w:rsid w:val="00021F89"/>
    <w:rsid w:val="00022466"/>
    <w:rsid w:val="0002257C"/>
    <w:rsid w:val="00022600"/>
    <w:rsid w:val="00022ED4"/>
    <w:rsid w:val="00023543"/>
    <w:rsid w:val="00023618"/>
    <w:rsid w:val="00024AEA"/>
    <w:rsid w:val="000257E1"/>
    <w:rsid w:val="00026010"/>
    <w:rsid w:val="00026A1A"/>
    <w:rsid w:val="000277FD"/>
    <w:rsid w:val="0003026C"/>
    <w:rsid w:val="00031933"/>
    <w:rsid w:val="00031AE7"/>
    <w:rsid w:val="000336DA"/>
    <w:rsid w:val="00034037"/>
    <w:rsid w:val="000364D4"/>
    <w:rsid w:val="0003699E"/>
    <w:rsid w:val="000412A0"/>
    <w:rsid w:val="00041AA9"/>
    <w:rsid w:val="00043E63"/>
    <w:rsid w:val="0004404C"/>
    <w:rsid w:val="0004420E"/>
    <w:rsid w:val="00044362"/>
    <w:rsid w:val="000448B5"/>
    <w:rsid w:val="00044C0A"/>
    <w:rsid w:val="00045834"/>
    <w:rsid w:val="0004586E"/>
    <w:rsid w:val="000459D5"/>
    <w:rsid w:val="00046637"/>
    <w:rsid w:val="00047646"/>
    <w:rsid w:val="0005087C"/>
    <w:rsid w:val="000519B4"/>
    <w:rsid w:val="00051EAD"/>
    <w:rsid w:val="00052D14"/>
    <w:rsid w:val="000532C3"/>
    <w:rsid w:val="0005426E"/>
    <w:rsid w:val="0005464E"/>
    <w:rsid w:val="0005476D"/>
    <w:rsid w:val="00054B7B"/>
    <w:rsid w:val="00054CD9"/>
    <w:rsid w:val="00055CDB"/>
    <w:rsid w:val="00060E38"/>
    <w:rsid w:val="000623CA"/>
    <w:rsid w:val="0006307D"/>
    <w:rsid w:val="00063FA1"/>
    <w:rsid w:val="000641DC"/>
    <w:rsid w:val="000646F7"/>
    <w:rsid w:val="00064EAE"/>
    <w:rsid w:val="000659DA"/>
    <w:rsid w:val="000661B1"/>
    <w:rsid w:val="000666D2"/>
    <w:rsid w:val="0007163F"/>
    <w:rsid w:val="00072285"/>
    <w:rsid w:val="0007651E"/>
    <w:rsid w:val="00080073"/>
    <w:rsid w:val="0008011A"/>
    <w:rsid w:val="00081A52"/>
    <w:rsid w:val="00084738"/>
    <w:rsid w:val="00084858"/>
    <w:rsid w:val="00086309"/>
    <w:rsid w:val="0008687F"/>
    <w:rsid w:val="000911DC"/>
    <w:rsid w:val="00091F29"/>
    <w:rsid w:val="000920F9"/>
    <w:rsid w:val="00094B70"/>
    <w:rsid w:val="00095325"/>
    <w:rsid w:val="000962D3"/>
    <w:rsid w:val="00096968"/>
    <w:rsid w:val="00096BB0"/>
    <w:rsid w:val="00097072"/>
    <w:rsid w:val="00097B82"/>
    <w:rsid w:val="000A00C2"/>
    <w:rsid w:val="000A09CE"/>
    <w:rsid w:val="000A5D1A"/>
    <w:rsid w:val="000A655D"/>
    <w:rsid w:val="000A7F9F"/>
    <w:rsid w:val="000B09C0"/>
    <w:rsid w:val="000B0B97"/>
    <w:rsid w:val="000B10CA"/>
    <w:rsid w:val="000B1A98"/>
    <w:rsid w:val="000B3094"/>
    <w:rsid w:val="000B3CB9"/>
    <w:rsid w:val="000B40F6"/>
    <w:rsid w:val="000B5A56"/>
    <w:rsid w:val="000B6DC1"/>
    <w:rsid w:val="000B7BA7"/>
    <w:rsid w:val="000C1E56"/>
    <w:rsid w:val="000C1E95"/>
    <w:rsid w:val="000C2D97"/>
    <w:rsid w:val="000C305E"/>
    <w:rsid w:val="000C3EAA"/>
    <w:rsid w:val="000C490D"/>
    <w:rsid w:val="000C5125"/>
    <w:rsid w:val="000C5FE7"/>
    <w:rsid w:val="000C62C1"/>
    <w:rsid w:val="000C72E4"/>
    <w:rsid w:val="000C74E7"/>
    <w:rsid w:val="000D1707"/>
    <w:rsid w:val="000D1DEC"/>
    <w:rsid w:val="000D1F20"/>
    <w:rsid w:val="000D2835"/>
    <w:rsid w:val="000D411C"/>
    <w:rsid w:val="000D51A0"/>
    <w:rsid w:val="000D5515"/>
    <w:rsid w:val="000D65B5"/>
    <w:rsid w:val="000D68BA"/>
    <w:rsid w:val="000D6E74"/>
    <w:rsid w:val="000E0EC0"/>
    <w:rsid w:val="000E152E"/>
    <w:rsid w:val="000E2D73"/>
    <w:rsid w:val="000E3A01"/>
    <w:rsid w:val="000E486D"/>
    <w:rsid w:val="000E51AE"/>
    <w:rsid w:val="000E5F26"/>
    <w:rsid w:val="000E622F"/>
    <w:rsid w:val="000F1803"/>
    <w:rsid w:val="000F27F7"/>
    <w:rsid w:val="000F3884"/>
    <w:rsid w:val="000F4D0F"/>
    <w:rsid w:val="000F7204"/>
    <w:rsid w:val="000F7222"/>
    <w:rsid w:val="000F722A"/>
    <w:rsid w:val="000F7FAD"/>
    <w:rsid w:val="00100BE8"/>
    <w:rsid w:val="00100BED"/>
    <w:rsid w:val="00100CCC"/>
    <w:rsid w:val="00101C24"/>
    <w:rsid w:val="00101FA6"/>
    <w:rsid w:val="00104563"/>
    <w:rsid w:val="001045FC"/>
    <w:rsid w:val="00104826"/>
    <w:rsid w:val="00106723"/>
    <w:rsid w:val="0010712F"/>
    <w:rsid w:val="001074FB"/>
    <w:rsid w:val="0010774A"/>
    <w:rsid w:val="001102F2"/>
    <w:rsid w:val="00110C39"/>
    <w:rsid w:val="00110E5F"/>
    <w:rsid w:val="00110FBD"/>
    <w:rsid w:val="00111822"/>
    <w:rsid w:val="00111B18"/>
    <w:rsid w:val="00112268"/>
    <w:rsid w:val="00115833"/>
    <w:rsid w:val="00116082"/>
    <w:rsid w:val="001169C7"/>
    <w:rsid w:val="00116CE8"/>
    <w:rsid w:val="001205DD"/>
    <w:rsid w:val="0012176F"/>
    <w:rsid w:val="00121EC7"/>
    <w:rsid w:val="00122C56"/>
    <w:rsid w:val="0012380C"/>
    <w:rsid w:val="001259AA"/>
    <w:rsid w:val="00126305"/>
    <w:rsid w:val="001303BF"/>
    <w:rsid w:val="00130A61"/>
    <w:rsid w:val="0013131F"/>
    <w:rsid w:val="00131FD5"/>
    <w:rsid w:val="00131FD7"/>
    <w:rsid w:val="00133227"/>
    <w:rsid w:val="00133846"/>
    <w:rsid w:val="00133985"/>
    <w:rsid w:val="00135333"/>
    <w:rsid w:val="00136051"/>
    <w:rsid w:val="001411AC"/>
    <w:rsid w:val="00141852"/>
    <w:rsid w:val="001435D4"/>
    <w:rsid w:val="001437A4"/>
    <w:rsid w:val="00143819"/>
    <w:rsid w:val="00145E6B"/>
    <w:rsid w:val="00146AAD"/>
    <w:rsid w:val="0014718F"/>
    <w:rsid w:val="00150E95"/>
    <w:rsid w:val="0015180F"/>
    <w:rsid w:val="001518AB"/>
    <w:rsid w:val="00151FF1"/>
    <w:rsid w:val="00152231"/>
    <w:rsid w:val="0015249F"/>
    <w:rsid w:val="00153076"/>
    <w:rsid w:val="00153BD1"/>
    <w:rsid w:val="0015425D"/>
    <w:rsid w:val="00154359"/>
    <w:rsid w:val="001549DC"/>
    <w:rsid w:val="00156C0A"/>
    <w:rsid w:val="00157D51"/>
    <w:rsid w:val="00160144"/>
    <w:rsid w:val="001607E2"/>
    <w:rsid w:val="00161081"/>
    <w:rsid w:val="0016272B"/>
    <w:rsid w:val="00164A91"/>
    <w:rsid w:val="001656AD"/>
    <w:rsid w:val="00165C0A"/>
    <w:rsid w:val="001663C4"/>
    <w:rsid w:val="001701E6"/>
    <w:rsid w:val="001704B8"/>
    <w:rsid w:val="001709EF"/>
    <w:rsid w:val="00170B8A"/>
    <w:rsid w:val="001717B9"/>
    <w:rsid w:val="00172CCB"/>
    <w:rsid w:val="0017303D"/>
    <w:rsid w:val="00173D02"/>
    <w:rsid w:val="00175815"/>
    <w:rsid w:val="00175F6D"/>
    <w:rsid w:val="0017611A"/>
    <w:rsid w:val="0017703A"/>
    <w:rsid w:val="00177387"/>
    <w:rsid w:val="00177C47"/>
    <w:rsid w:val="0018019D"/>
    <w:rsid w:val="0018111E"/>
    <w:rsid w:val="00182046"/>
    <w:rsid w:val="00182C56"/>
    <w:rsid w:val="001841B7"/>
    <w:rsid w:val="00184617"/>
    <w:rsid w:val="00184CD3"/>
    <w:rsid w:val="00184F69"/>
    <w:rsid w:val="00185514"/>
    <w:rsid w:val="001859D2"/>
    <w:rsid w:val="00186268"/>
    <w:rsid w:val="0018694E"/>
    <w:rsid w:val="00186E0F"/>
    <w:rsid w:val="00187449"/>
    <w:rsid w:val="0019053E"/>
    <w:rsid w:val="00190AC3"/>
    <w:rsid w:val="00191136"/>
    <w:rsid w:val="00191681"/>
    <w:rsid w:val="00191F36"/>
    <w:rsid w:val="00192115"/>
    <w:rsid w:val="00192883"/>
    <w:rsid w:val="00192E69"/>
    <w:rsid w:val="00194E6B"/>
    <w:rsid w:val="00195EE4"/>
    <w:rsid w:val="00196327"/>
    <w:rsid w:val="001967B2"/>
    <w:rsid w:val="00196CBB"/>
    <w:rsid w:val="001A0C60"/>
    <w:rsid w:val="001A10DB"/>
    <w:rsid w:val="001A1D31"/>
    <w:rsid w:val="001A2043"/>
    <w:rsid w:val="001A324C"/>
    <w:rsid w:val="001A39DA"/>
    <w:rsid w:val="001A4380"/>
    <w:rsid w:val="001B0289"/>
    <w:rsid w:val="001B18F6"/>
    <w:rsid w:val="001B32F1"/>
    <w:rsid w:val="001B382E"/>
    <w:rsid w:val="001B4BCA"/>
    <w:rsid w:val="001B4CB2"/>
    <w:rsid w:val="001B5557"/>
    <w:rsid w:val="001B70D3"/>
    <w:rsid w:val="001B7293"/>
    <w:rsid w:val="001B7CB5"/>
    <w:rsid w:val="001C01E4"/>
    <w:rsid w:val="001C0EA9"/>
    <w:rsid w:val="001C1D73"/>
    <w:rsid w:val="001C285A"/>
    <w:rsid w:val="001C3FC2"/>
    <w:rsid w:val="001C48D9"/>
    <w:rsid w:val="001C4E70"/>
    <w:rsid w:val="001C5232"/>
    <w:rsid w:val="001C5885"/>
    <w:rsid w:val="001C5F6E"/>
    <w:rsid w:val="001C657C"/>
    <w:rsid w:val="001C6E38"/>
    <w:rsid w:val="001C792D"/>
    <w:rsid w:val="001D357A"/>
    <w:rsid w:val="001D3C03"/>
    <w:rsid w:val="001D4464"/>
    <w:rsid w:val="001D65FF"/>
    <w:rsid w:val="001D74F8"/>
    <w:rsid w:val="001E1356"/>
    <w:rsid w:val="001E308D"/>
    <w:rsid w:val="001E33EF"/>
    <w:rsid w:val="001E346C"/>
    <w:rsid w:val="001E3E55"/>
    <w:rsid w:val="001E6B92"/>
    <w:rsid w:val="001E6E63"/>
    <w:rsid w:val="001E6FBA"/>
    <w:rsid w:val="001E6FC2"/>
    <w:rsid w:val="001E7FBC"/>
    <w:rsid w:val="001F096B"/>
    <w:rsid w:val="001F22E9"/>
    <w:rsid w:val="001F2AA8"/>
    <w:rsid w:val="001F58EA"/>
    <w:rsid w:val="001F5ADE"/>
    <w:rsid w:val="001F67E8"/>
    <w:rsid w:val="001F7BB1"/>
    <w:rsid w:val="0020032D"/>
    <w:rsid w:val="00200678"/>
    <w:rsid w:val="0020094C"/>
    <w:rsid w:val="002023D9"/>
    <w:rsid w:val="00203617"/>
    <w:rsid w:val="00203C9C"/>
    <w:rsid w:val="00203E0E"/>
    <w:rsid w:val="00203F27"/>
    <w:rsid w:val="0020497B"/>
    <w:rsid w:val="002049D3"/>
    <w:rsid w:val="00204FF3"/>
    <w:rsid w:val="0020604F"/>
    <w:rsid w:val="00206318"/>
    <w:rsid w:val="002078A3"/>
    <w:rsid w:val="00210AB0"/>
    <w:rsid w:val="00210F23"/>
    <w:rsid w:val="00211093"/>
    <w:rsid w:val="002110E0"/>
    <w:rsid w:val="002121FD"/>
    <w:rsid w:val="00212815"/>
    <w:rsid w:val="00213B4D"/>
    <w:rsid w:val="00214EC8"/>
    <w:rsid w:val="00215258"/>
    <w:rsid w:val="002156FA"/>
    <w:rsid w:val="002159AE"/>
    <w:rsid w:val="00221055"/>
    <w:rsid w:val="002227E4"/>
    <w:rsid w:val="00222B2E"/>
    <w:rsid w:val="00222F0C"/>
    <w:rsid w:val="002232C8"/>
    <w:rsid w:val="00223311"/>
    <w:rsid w:val="002233EA"/>
    <w:rsid w:val="0022421C"/>
    <w:rsid w:val="0022444D"/>
    <w:rsid w:val="00230894"/>
    <w:rsid w:val="00230CB6"/>
    <w:rsid w:val="00231B32"/>
    <w:rsid w:val="00233310"/>
    <w:rsid w:val="00233E62"/>
    <w:rsid w:val="002341E8"/>
    <w:rsid w:val="00235254"/>
    <w:rsid w:val="00235365"/>
    <w:rsid w:val="00235609"/>
    <w:rsid w:val="00236548"/>
    <w:rsid w:val="002367C6"/>
    <w:rsid w:val="00236822"/>
    <w:rsid w:val="00236A4F"/>
    <w:rsid w:val="00237FBD"/>
    <w:rsid w:val="0024076B"/>
    <w:rsid w:val="00240C4C"/>
    <w:rsid w:val="00240FE0"/>
    <w:rsid w:val="00242641"/>
    <w:rsid w:val="00243D6D"/>
    <w:rsid w:val="00244597"/>
    <w:rsid w:val="00244AD8"/>
    <w:rsid w:val="0024504A"/>
    <w:rsid w:val="002463C2"/>
    <w:rsid w:val="0024733A"/>
    <w:rsid w:val="0025024F"/>
    <w:rsid w:val="00251830"/>
    <w:rsid w:val="00251E4A"/>
    <w:rsid w:val="00251E64"/>
    <w:rsid w:val="00251F6A"/>
    <w:rsid w:val="00252914"/>
    <w:rsid w:val="0025317A"/>
    <w:rsid w:val="002536BD"/>
    <w:rsid w:val="00256502"/>
    <w:rsid w:val="00256C45"/>
    <w:rsid w:val="00257363"/>
    <w:rsid w:val="00262140"/>
    <w:rsid w:val="002621BA"/>
    <w:rsid w:val="00263FAB"/>
    <w:rsid w:val="00264A55"/>
    <w:rsid w:val="002661BD"/>
    <w:rsid w:val="00270CF1"/>
    <w:rsid w:val="00271124"/>
    <w:rsid w:val="002712B7"/>
    <w:rsid w:val="0027304B"/>
    <w:rsid w:val="002741E0"/>
    <w:rsid w:val="0027471F"/>
    <w:rsid w:val="00274ED9"/>
    <w:rsid w:val="002753B6"/>
    <w:rsid w:val="00276937"/>
    <w:rsid w:val="00276D43"/>
    <w:rsid w:val="00277BFD"/>
    <w:rsid w:val="002813D2"/>
    <w:rsid w:val="002823EF"/>
    <w:rsid w:val="00282884"/>
    <w:rsid w:val="00283380"/>
    <w:rsid w:val="00284FC7"/>
    <w:rsid w:val="00285BA0"/>
    <w:rsid w:val="0028666E"/>
    <w:rsid w:val="0028683F"/>
    <w:rsid w:val="00287BEB"/>
    <w:rsid w:val="00290770"/>
    <w:rsid w:val="002918FB"/>
    <w:rsid w:val="00292CB0"/>
    <w:rsid w:val="002944B5"/>
    <w:rsid w:val="00294CC8"/>
    <w:rsid w:val="0029500F"/>
    <w:rsid w:val="0029653B"/>
    <w:rsid w:val="0029667F"/>
    <w:rsid w:val="00297F6D"/>
    <w:rsid w:val="002A1F78"/>
    <w:rsid w:val="002A2E0A"/>
    <w:rsid w:val="002A392E"/>
    <w:rsid w:val="002A557B"/>
    <w:rsid w:val="002A5AE3"/>
    <w:rsid w:val="002A7714"/>
    <w:rsid w:val="002B1642"/>
    <w:rsid w:val="002B1660"/>
    <w:rsid w:val="002B24E0"/>
    <w:rsid w:val="002B3DD2"/>
    <w:rsid w:val="002B48A4"/>
    <w:rsid w:val="002B48D1"/>
    <w:rsid w:val="002B4FAA"/>
    <w:rsid w:val="002B5C5B"/>
    <w:rsid w:val="002B5D2D"/>
    <w:rsid w:val="002B6076"/>
    <w:rsid w:val="002B7B6D"/>
    <w:rsid w:val="002B7E30"/>
    <w:rsid w:val="002C0F43"/>
    <w:rsid w:val="002C121A"/>
    <w:rsid w:val="002C2A34"/>
    <w:rsid w:val="002C2A5E"/>
    <w:rsid w:val="002C4217"/>
    <w:rsid w:val="002C586A"/>
    <w:rsid w:val="002C7CE4"/>
    <w:rsid w:val="002D0493"/>
    <w:rsid w:val="002D08E7"/>
    <w:rsid w:val="002D0A41"/>
    <w:rsid w:val="002D1ADD"/>
    <w:rsid w:val="002D2458"/>
    <w:rsid w:val="002D2D24"/>
    <w:rsid w:val="002D3765"/>
    <w:rsid w:val="002E019B"/>
    <w:rsid w:val="002E105D"/>
    <w:rsid w:val="002E27A9"/>
    <w:rsid w:val="002E32A3"/>
    <w:rsid w:val="002E392D"/>
    <w:rsid w:val="002E4220"/>
    <w:rsid w:val="002E4B52"/>
    <w:rsid w:val="002E4C96"/>
    <w:rsid w:val="002E5CCB"/>
    <w:rsid w:val="002E6186"/>
    <w:rsid w:val="002E6B74"/>
    <w:rsid w:val="002E77F5"/>
    <w:rsid w:val="002F025D"/>
    <w:rsid w:val="002F1568"/>
    <w:rsid w:val="002F3120"/>
    <w:rsid w:val="002F3169"/>
    <w:rsid w:val="002F35BE"/>
    <w:rsid w:val="002F38F1"/>
    <w:rsid w:val="002F459A"/>
    <w:rsid w:val="002F5BB3"/>
    <w:rsid w:val="002F5FF3"/>
    <w:rsid w:val="002F7939"/>
    <w:rsid w:val="002F7F30"/>
    <w:rsid w:val="003011F5"/>
    <w:rsid w:val="00302196"/>
    <w:rsid w:val="00302CBE"/>
    <w:rsid w:val="00303D64"/>
    <w:rsid w:val="00305EE3"/>
    <w:rsid w:val="00311BE4"/>
    <w:rsid w:val="00313617"/>
    <w:rsid w:val="0031385C"/>
    <w:rsid w:val="003142E9"/>
    <w:rsid w:val="0031537F"/>
    <w:rsid w:val="00316956"/>
    <w:rsid w:val="00316D42"/>
    <w:rsid w:val="00317BDC"/>
    <w:rsid w:val="0032017C"/>
    <w:rsid w:val="00320601"/>
    <w:rsid w:val="00320E28"/>
    <w:rsid w:val="003251A7"/>
    <w:rsid w:val="0032541D"/>
    <w:rsid w:val="0032564E"/>
    <w:rsid w:val="003264A4"/>
    <w:rsid w:val="00327669"/>
    <w:rsid w:val="00331ED2"/>
    <w:rsid w:val="00332342"/>
    <w:rsid w:val="00332CC4"/>
    <w:rsid w:val="00332F68"/>
    <w:rsid w:val="003330D9"/>
    <w:rsid w:val="00333A53"/>
    <w:rsid w:val="00334866"/>
    <w:rsid w:val="00335A07"/>
    <w:rsid w:val="0033720D"/>
    <w:rsid w:val="00337449"/>
    <w:rsid w:val="003375F8"/>
    <w:rsid w:val="00340C78"/>
    <w:rsid w:val="0034161E"/>
    <w:rsid w:val="00342FB9"/>
    <w:rsid w:val="00343E2C"/>
    <w:rsid w:val="0034656C"/>
    <w:rsid w:val="00346A8A"/>
    <w:rsid w:val="00346FEA"/>
    <w:rsid w:val="00347E4B"/>
    <w:rsid w:val="003507EE"/>
    <w:rsid w:val="00351787"/>
    <w:rsid w:val="003528F7"/>
    <w:rsid w:val="0035432C"/>
    <w:rsid w:val="003549A3"/>
    <w:rsid w:val="00355288"/>
    <w:rsid w:val="00355AE4"/>
    <w:rsid w:val="00355FEA"/>
    <w:rsid w:val="00356BD3"/>
    <w:rsid w:val="00357919"/>
    <w:rsid w:val="00361D16"/>
    <w:rsid w:val="0036243E"/>
    <w:rsid w:val="003626F8"/>
    <w:rsid w:val="00365ED5"/>
    <w:rsid w:val="00366104"/>
    <w:rsid w:val="003662C8"/>
    <w:rsid w:val="00367E11"/>
    <w:rsid w:val="00371C92"/>
    <w:rsid w:val="00371D6C"/>
    <w:rsid w:val="00372140"/>
    <w:rsid w:val="0037231D"/>
    <w:rsid w:val="00372339"/>
    <w:rsid w:val="00372709"/>
    <w:rsid w:val="0037306C"/>
    <w:rsid w:val="00373DE5"/>
    <w:rsid w:val="0037709A"/>
    <w:rsid w:val="003772F5"/>
    <w:rsid w:val="00377330"/>
    <w:rsid w:val="003812FE"/>
    <w:rsid w:val="00381525"/>
    <w:rsid w:val="0038278B"/>
    <w:rsid w:val="003833D4"/>
    <w:rsid w:val="003837A4"/>
    <w:rsid w:val="00384108"/>
    <w:rsid w:val="00384236"/>
    <w:rsid w:val="00384B75"/>
    <w:rsid w:val="00384FCF"/>
    <w:rsid w:val="003862AC"/>
    <w:rsid w:val="00386896"/>
    <w:rsid w:val="003868A6"/>
    <w:rsid w:val="00386A00"/>
    <w:rsid w:val="00386D95"/>
    <w:rsid w:val="0038785D"/>
    <w:rsid w:val="00387C33"/>
    <w:rsid w:val="003914B0"/>
    <w:rsid w:val="00391573"/>
    <w:rsid w:val="003923EE"/>
    <w:rsid w:val="003927C9"/>
    <w:rsid w:val="00395F72"/>
    <w:rsid w:val="00397B46"/>
    <w:rsid w:val="003A2C01"/>
    <w:rsid w:val="003A5C88"/>
    <w:rsid w:val="003B0364"/>
    <w:rsid w:val="003B0D4F"/>
    <w:rsid w:val="003B1328"/>
    <w:rsid w:val="003B26AC"/>
    <w:rsid w:val="003B2C25"/>
    <w:rsid w:val="003B38CF"/>
    <w:rsid w:val="003B3959"/>
    <w:rsid w:val="003B4976"/>
    <w:rsid w:val="003B4CE8"/>
    <w:rsid w:val="003B4D7A"/>
    <w:rsid w:val="003B50FF"/>
    <w:rsid w:val="003B721C"/>
    <w:rsid w:val="003C270D"/>
    <w:rsid w:val="003C2FFF"/>
    <w:rsid w:val="003C4466"/>
    <w:rsid w:val="003C5A36"/>
    <w:rsid w:val="003C5B90"/>
    <w:rsid w:val="003C5BD0"/>
    <w:rsid w:val="003C7256"/>
    <w:rsid w:val="003C74E8"/>
    <w:rsid w:val="003D37D0"/>
    <w:rsid w:val="003D3974"/>
    <w:rsid w:val="003D4991"/>
    <w:rsid w:val="003D4E49"/>
    <w:rsid w:val="003D5680"/>
    <w:rsid w:val="003E07D3"/>
    <w:rsid w:val="003E0BDA"/>
    <w:rsid w:val="003E1E80"/>
    <w:rsid w:val="003E1FCD"/>
    <w:rsid w:val="003E2168"/>
    <w:rsid w:val="003E2C9D"/>
    <w:rsid w:val="003E3487"/>
    <w:rsid w:val="003E5377"/>
    <w:rsid w:val="003E6D9D"/>
    <w:rsid w:val="003F10CB"/>
    <w:rsid w:val="003F2836"/>
    <w:rsid w:val="003F4340"/>
    <w:rsid w:val="003F560E"/>
    <w:rsid w:val="003F7A8A"/>
    <w:rsid w:val="003F7AA2"/>
    <w:rsid w:val="003F7B79"/>
    <w:rsid w:val="00400577"/>
    <w:rsid w:val="0040090D"/>
    <w:rsid w:val="00401934"/>
    <w:rsid w:val="00402B08"/>
    <w:rsid w:val="00404299"/>
    <w:rsid w:val="0040441F"/>
    <w:rsid w:val="00404B09"/>
    <w:rsid w:val="0040634D"/>
    <w:rsid w:val="004077C7"/>
    <w:rsid w:val="00411658"/>
    <w:rsid w:val="00411BAB"/>
    <w:rsid w:val="00414332"/>
    <w:rsid w:val="00414C8B"/>
    <w:rsid w:val="00415AC8"/>
    <w:rsid w:val="00415ED9"/>
    <w:rsid w:val="0041626F"/>
    <w:rsid w:val="00416B5A"/>
    <w:rsid w:val="00416D1A"/>
    <w:rsid w:val="004225E9"/>
    <w:rsid w:val="00422A58"/>
    <w:rsid w:val="00424461"/>
    <w:rsid w:val="004249A3"/>
    <w:rsid w:val="00431C08"/>
    <w:rsid w:val="00433BE5"/>
    <w:rsid w:val="00433C32"/>
    <w:rsid w:val="00433D8B"/>
    <w:rsid w:val="00434018"/>
    <w:rsid w:val="004343EB"/>
    <w:rsid w:val="00434E56"/>
    <w:rsid w:val="00435380"/>
    <w:rsid w:val="00435EBD"/>
    <w:rsid w:val="004360E5"/>
    <w:rsid w:val="00437340"/>
    <w:rsid w:val="00440021"/>
    <w:rsid w:val="004401F2"/>
    <w:rsid w:val="00440926"/>
    <w:rsid w:val="004410F1"/>
    <w:rsid w:val="00442C78"/>
    <w:rsid w:val="00443DBD"/>
    <w:rsid w:val="00444441"/>
    <w:rsid w:val="0044535A"/>
    <w:rsid w:val="004458F4"/>
    <w:rsid w:val="00446975"/>
    <w:rsid w:val="004505F8"/>
    <w:rsid w:val="00451336"/>
    <w:rsid w:val="004517E4"/>
    <w:rsid w:val="00452243"/>
    <w:rsid w:val="00454FE0"/>
    <w:rsid w:val="0045508B"/>
    <w:rsid w:val="004558FA"/>
    <w:rsid w:val="00455F0B"/>
    <w:rsid w:val="0045601C"/>
    <w:rsid w:val="004562F1"/>
    <w:rsid w:val="00460594"/>
    <w:rsid w:val="00460A7C"/>
    <w:rsid w:val="00460F1C"/>
    <w:rsid w:val="00461411"/>
    <w:rsid w:val="00461A67"/>
    <w:rsid w:val="00462764"/>
    <w:rsid w:val="0046372C"/>
    <w:rsid w:val="004639F0"/>
    <w:rsid w:val="00464294"/>
    <w:rsid w:val="00464376"/>
    <w:rsid w:val="00465439"/>
    <w:rsid w:val="00465446"/>
    <w:rsid w:val="00465ADD"/>
    <w:rsid w:val="00467172"/>
    <w:rsid w:val="0047093D"/>
    <w:rsid w:val="004717D9"/>
    <w:rsid w:val="00472884"/>
    <w:rsid w:val="004734ED"/>
    <w:rsid w:val="00474287"/>
    <w:rsid w:val="0047514F"/>
    <w:rsid w:val="00475732"/>
    <w:rsid w:val="004805DC"/>
    <w:rsid w:val="00480A12"/>
    <w:rsid w:val="00480FCD"/>
    <w:rsid w:val="0048164C"/>
    <w:rsid w:val="0048164F"/>
    <w:rsid w:val="00481BC0"/>
    <w:rsid w:val="00482EEA"/>
    <w:rsid w:val="004831FC"/>
    <w:rsid w:val="00485827"/>
    <w:rsid w:val="00485A96"/>
    <w:rsid w:val="00486BE8"/>
    <w:rsid w:val="0048740C"/>
    <w:rsid w:val="00487BBA"/>
    <w:rsid w:val="0049110C"/>
    <w:rsid w:val="00492274"/>
    <w:rsid w:val="004924BD"/>
    <w:rsid w:val="004931A4"/>
    <w:rsid w:val="0049461C"/>
    <w:rsid w:val="004961A2"/>
    <w:rsid w:val="004968D6"/>
    <w:rsid w:val="0049778E"/>
    <w:rsid w:val="004A01A6"/>
    <w:rsid w:val="004A17F7"/>
    <w:rsid w:val="004A18B8"/>
    <w:rsid w:val="004A2351"/>
    <w:rsid w:val="004A242C"/>
    <w:rsid w:val="004A24E4"/>
    <w:rsid w:val="004A26ED"/>
    <w:rsid w:val="004A33F9"/>
    <w:rsid w:val="004A4F6A"/>
    <w:rsid w:val="004A5739"/>
    <w:rsid w:val="004A64B2"/>
    <w:rsid w:val="004A65DB"/>
    <w:rsid w:val="004A6E65"/>
    <w:rsid w:val="004A7AFC"/>
    <w:rsid w:val="004B18DF"/>
    <w:rsid w:val="004B247B"/>
    <w:rsid w:val="004B3515"/>
    <w:rsid w:val="004B39D7"/>
    <w:rsid w:val="004B3F86"/>
    <w:rsid w:val="004B7EE1"/>
    <w:rsid w:val="004C0ABD"/>
    <w:rsid w:val="004C21F4"/>
    <w:rsid w:val="004C2525"/>
    <w:rsid w:val="004C2844"/>
    <w:rsid w:val="004C2AC7"/>
    <w:rsid w:val="004C30A9"/>
    <w:rsid w:val="004C3A94"/>
    <w:rsid w:val="004C5751"/>
    <w:rsid w:val="004C59A8"/>
    <w:rsid w:val="004C5EA9"/>
    <w:rsid w:val="004C6AEA"/>
    <w:rsid w:val="004C77D6"/>
    <w:rsid w:val="004D03F9"/>
    <w:rsid w:val="004D0A8E"/>
    <w:rsid w:val="004D0C7C"/>
    <w:rsid w:val="004D2FCD"/>
    <w:rsid w:val="004D3AAF"/>
    <w:rsid w:val="004D48B6"/>
    <w:rsid w:val="004D5DDD"/>
    <w:rsid w:val="004D7AD5"/>
    <w:rsid w:val="004E031E"/>
    <w:rsid w:val="004E2253"/>
    <w:rsid w:val="004E2D51"/>
    <w:rsid w:val="004E3596"/>
    <w:rsid w:val="004E4C87"/>
    <w:rsid w:val="004F12A7"/>
    <w:rsid w:val="004F13C0"/>
    <w:rsid w:val="004F240E"/>
    <w:rsid w:val="004F3A1C"/>
    <w:rsid w:val="004F4208"/>
    <w:rsid w:val="004F46B3"/>
    <w:rsid w:val="004F4AE8"/>
    <w:rsid w:val="004F4E36"/>
    <w:rsid w:val="004F5964"/>
    <w:rsid w:val="004F5A3C"/>
    <w:rsid w:val="004F5B10"/>
    <w:rsid w:val="004F5FB2"/>
    <w:rsid w:val="004F66BF"/>
    <w:rsid w:val="004F6B6F"/>
    <w:rsid w:val="004F7B3B"/>
    <w:rsid w:val="004F7C8A"/>
    <w:rsid w:val="004F7CB2"/>
    <w:rsid w:val="00501E8B"/>
    <w:rsid w:val="00502584"/>
    <w:rsid w:val="0050344B"/>
    <w:rsid w:val="00503D83"/>
    <w:rsid w:val="00504F6E"/>
    <w:rsid w:val="0050575A"/>
    <w:rsid w:val="00505F6F"/>
    <w:rsid w:val="005068D2"/>
    <w:rsid w:val="00506EFC"/>
    <w:rsid w:val="00510800"/>
    <w:rsid w:val="00511292"/>
    <w:rsid w:val="00512416"/>
    <w:rsid w:val="00512827"/>
    <w:rsid w:val="00512A9A"/>
    <w:rsid w:val="005143C0"/>
    <w:rsid w:val="005147C3"/>
    <w:rsid w:val="00515620"/>
    <w:rsid w:val="005160F5"/>
    <w:rsid w:val="00520EA4"/>
    <w:rsid w:val="0052138C"/>
    <w:rsid w:val="005218E0"/>
    <w:rsid w:val="00522C73"/>
    <w:rsid w:val="00523C9A"/>
    <w:rsid w:val="0052445E"/>
    <w:rsid w:val="005249AE"/>
    <w:rsid w:val="00525BAA"/>
    <w:rsid w:val="00525C4B"/>
    <w:rsid w:val="00526823"/>
    <w:rsid w:val="005271E9"/>
    <w:rsid w:val="00527B52"/>
    <w:rsid w:val="005318D7"/>
    <w:rsid w:val="00531EEB"/>
    <w:rsid w:val="0053266D"/>
    <w:rsid w:val="005340BE"/>
    <w:rsid w:val="00534BE9"/>
    <w:rsid w:val="005352BA"/>
    <w:rsid w:val="0054233A"/>
    <w:rsid w:val="005428AE"/>
    <w:rsid w:val="00542F2F"/>
    <w:rsid w:val="005431BF"/>
    <w:rsid w:val="00545EE1"/>
    <w:rsid w:val="00546926"/>
    <w:rsid w:val="005472E5"/>
    <w:rsid w:val="005516AD"/>
    <w:rsid w:val="00552C4B"/>
    <w:rsid w:val="00552DEB"/>
    <w:rsid w:val="005539B4"/>
    <w:rsid w:val="005541D7"/>
    <w:rsid w:val="005551EE"/>
    <w:rsid w:val="005552C1"/>
    <w:rsid w:val="00556110"/>
    <w:rsid w:val="0055632F"/>
    <w:rsid w:val="0055705C"/>
    <w:rsid w:val="00557D20"/>
    <w:rsid w:val="005600C3"/>
    <w:rsid w:val="00564619"/>
    <w:rsid w:val="00564F3B"/>
    <w:rsid w:val="00565009"/>
    <w:rsid w:val="005651C3"/>
    <w:rsid w:val="00566A20"/>
    <w:rsid w:val="00567D06"/>
    <w:rsid w:val="00567D64"/>
    <w:rsid w:val="0057010C"/>
    <w:rsid w:val="005708D0"/>
    <w:rsid w:val="005710CB"/>
    <w:rsid w:val="005715F4"/>
    <w:rsid w:val="00572C17"/>
    <w:rsid w:val="0057350F"/>
    <w:rsid w:val="005750D6"/>
    <w:rsid w:val="005767C1"/>
    <w:rsid w:val="00576C21"/>
    <w:rsid w:val="0058186C"/>
    <w:rsid w:val="00582E98"/>
    <w:rsid w:val="00584CED"/>
    <w:rsid w:val="005857F5"/>
    <w:rsid w:val="00586606"/>
    <w:rsid w:val="00586636"/>
    <w:rsid w:val="00586D6E"/>
    <w:rsid w:val="005872A4"/>
    <w:rsid w:val="00587539"/>
    <w:rsid w:val="005879F5"/>
    <w:rsid w:val="0059159E"/>
    <w:rsid w:val="00591CAA"/>
    <w:rsid w:val="00591E19"/>
    <w:rsid w:val="00594500"/>
    <w:rsid w:val="00594871"/>
    <w:rsid w:val="00594A4D"/>
    <w:rsid w:val="00594E9B"/>
    <w:rsid w:val="00594FDD"/>
    <w:rsid w:val="00595667"/>
    <w:rsid w:val="0059586B"/>
    <w:rsid w:val="005A33D5"/>
    <w:rsid w:val="005A3681"/>
    <w:rsid w:val="005A5E94"/>
    <w:rsid w:val="005A64F7"/>
    <w:rsid w:val="005A7D66"/>
    <w:rsid w:val="005B04D7"/>
    <w:rsid w:val="005B0979"/>
    <w:rsid w:val="005B162C"/>
    <w:rsid w:val="005B24AD"/>
    <w:rsid w:val="005B2B25"/>
    <w:rsid w:val="005B2FCC"/>
    <w:rsid w:val="005B343B"/>
    <w:rsid w:val="005B3659"/>
    <w:rsid w:val="005B39D6"/>
    <w:rsid w:val="005B55E1"/>
    <w:rsid w:val="005B561D"/>
    <w:rsid w:val="005B7DD1"/>
    <w:rsid w:val="005C19FC"/>
    <w:rsid w:val="005C2CC3"/>
    <w:rsid w:val="005C30A1"/>
    <w:rsid w:val="005C448B"/>
    <w:rsid w:val="005C4A8D"/>
    <w:rsid w:val="005C569B"/>
    <w:rsid w:val="005C57E6"/>
    <w:rsid w:val="005C6067"/>
    <w:rsid w:val="005C6490"/>
    <w:rsid w:val="005C66C6"/>
    <w:rsid w:val="005C6B5C"/>
    <w:rsid w:val="005C79B9"/>
    <w:rsid w:val="005C7BB8"/>
    <w:rsid w:val="005C7EA8"/>
    <w:rsid w:val="005D0D0A"/>
    <w:rsid w:val="005D14FF"/>
    <w:rsid w:val="005D1820"/>
    <w:rsid w:val="005D1EA4"/>
    <w:rsid w:val="005D25CC"/>
    <w:rsid w:val="005D290C"/>
    <w:rsid w:val="005D2A57"/>
    <w:rsid w:val="005D3FFE"/>
    <w:rsid w:val="005D4A34"/>
    <w:rsid w:val="005D52C3"/>
    <w:rsid w:val="005D551B"/>
    <w:rsid w:val="005D65C0"/>
    <w:rsid w:val="005D6676"/>
    <w:rsid w:val="005D6D0C"/>
    <w:rsid w:val="005E0D58"/>
    <w:rsid w:val="005E0E37"/>
    <w:rsid w:val="005E12C9"/>
    <w:rsid w:val="005E3B83"/>
    <w:rsid w:val="005E451E"/>
    <w:rsid w:val="005E48C4"/>
    <w:rsid w:val="005E57A3"/>
    <w:rsid w:val="005E5C02"/>
    <w:rsid w:val="005E6119"/>
    <w:rsid w:val="005E63EB"/>
    <w:rsid w:val="005E7B31"/>
    <w:rsid w:val="005F0D0A"/>
    <w:rsid w:val="005F0D69"/>
    <w:rsid w:val="005F2F35"/>
    <w:rsid w:val="005F4407"/>
    <w:rsid w:val="005F47DE"/>
    <w:rsid w:val="005F5811"/>
    <w:rsid w:val="005F7924"/>
    <w:rsid w:val="00600150"/>
    <w:rsid w:val="006014C2"/>
    <w:rsid w:val="006018FB"/>
    <w:rsid w:val="006020FE"/>
    <w:rsid w:val="0060232F"/>
    <w:rsid w:val="00602335"/>
    <w:rsid w:val="00602977"/>
    <w:rsid w:val="0060347B"/>
    <w:rsid w:val="006039FC"/>
    <w:rsid w:val="00604916"/>
    <w:rsid w:val="006074A3"/>
    <w:rsid w:val="00610421"/>
    <w:rsid w:val="006124C9"/>
    <w:rsid w:val="00612938"/>
    <w:rsid w:val="00612FD9"/>
    <w:rsid w:val="0061337E"/>
    <w:rsid w:val="006139B1"/>
    <w:rsid w:val="00613D22"/>
    <w:rsid w:val="00614015"/>
    <w:rsid w:val="0061403F"/>
    <w:rsid w:val="00614364"/>
    <w:rsid w:val="0061468C"/>
    <w:rsid w:val="00614722"/>
    <w:rsid w:val="00615A89"/>
    <w:rsid w:val="00617E80"/>
    <w:rsid w:val="00617F3A"/>
    <w:rsid w:val="00617F9F"/>
    <w:rsid w:val="00620075"/>
    <w:rsid w:val="00620F5A"/>
    <w:rsid w:val="00622908"/>
    <w:rsid w:val="00623BC5"/>
    <w:rsid w:val="006240E2"/>
    <w:rsid w:val="00625D02"/>
    <w:rsid w:val="00625E14"/>
    <w:rsid w:val="006266CD"/>
    <w:rsid w:val="00627441"/>
    <w:rsid w:val="0063074D"/>
    <w:rsid w:val="00630DEE"/>
    <w:rsid w:val="00631502"/>
    <w:rsid w:val="0063332D"/>
    <w:rsid w:val="00640351"/>
    <w:rsid w:val="006406D8"/>
    <w:rsid w:val="00643B18"/>
    <w:rsid w:val="0064504C"/>
    <w:rsid w:val="00645311"/>
    <w:rsid w:val="00645AE3"/>
    <w:rsid w:val="00646A13"/>
    <w:rsid w:val="006470AC"/>
    <w:rsid w:val="00650B14"/>
    <w:rsid w:val="00650F41"/>
    <w:rsid w:val="00652747"/>
    <w:rsid w:val="0065365C"/>
    <w:rsid w:val="00653A8C"/>
    <w:rsid w:val="00653C41"/>
    <w:rsid w:val="0065480C"/>
    <w:rsid w:val="00655019"/>
    <w:rsid w:val="006553FD"/>
    <w:rsid w:val="006556AF"/>
    <w:rsid w:val="00656A9B"/>
    <w:rsid w:val="00657469"/>
    <w:rsid w:val="00660790"/>
    <w:rsid w:val="0066105C"/>
    <w:rsid w:val="00661D9F"/>
    <w:rsid w:val="0066453A"/>
    <w:rsid w:val="0066479B"/>
    <w:rsid w:val="0066506B"/>
    <w:rsid w:val="00665E97"/>
    <w:rsid w:val="00666184"/>
    <w:rsid w:val="00666D4A"/>
    <w:rsid w:val="006677E2"/>
    <w:rsid w:val="006705CF"/>
    <w:rsid w:val="00670685"/>
    <w:rsid w:val="00670A4B"/>
    <w:rsid w:val="006717E1"/>
    <w:rsid w:val="00672503"/>
    <w:rsid w:val="00674F55"/>
    <w:rsid w:val="006754A7"/>
    <w:rsid w:val="00675B7B"/>
    <w:rsid w:val="00675C72"/>
    <w:rsid w:val="006768C0"/>
    <w:rsid w:val="00677DE3"/>
    <w:rsid w:val="00680436"/>
    <w:rsid w:val="0068069C"/>
    <w:rsid w:val="00680B9D"/>
    <w:rsid w:val="00681213"/>
    <w:rsid w:val="0068136C"/>
    <w:rsid w:val="00681C3E"/>
    <w:rsid w:val="00682421"/>
    <w:rsid w:val="006847AE"/>
    <w:rsid w:val="00686267"/>
    <w:rsid w:val="00686EAE"/>
    <w:rsid w:val="00686FC5"/>
    <w:rsid w:val="006875CF"/>
    <w:rsid w:val="006906DA"/>
    <w:rsid w:val="00690D54"/>
    <w:rsid w:val="00692F21"/>
    <w:rsid w:val="006961FB"/>
    <w:rsid w:val="00696C71"/>
    <w:rsid w:val="00696E42"/>
    <w:rsid w:val="00697284"/>
    <w:rsid w:val="006977E1"/>
    <w:rsid w:val="006A09F1"/>
    <w:rsid w:val="006A0BB2"/>
    <w:rsid w:val="006A1A6B"/>
    <w:rsid w:val="006A2182"/>
    <w:rsid w:val="006A28E3"/>
    <w:rsid w:val="006A4368"/>
    <w:rsid w:val="006A572A"/>
    <w:rsid w:val="006A5D81"/>
    <w:rsid w:val="006A6471"/>
    <w:rsid w:val="006A730F"/>
    <w:rsid w:val="006A7624"/>
    <w:rsid w:val="006B02CA"/>
    <w:rsid w:val="006B1F4F"/>
    <w:rsid w:val="006B2CCD"/>
    <w:rsid w:val="006B2F0A"/>
    <w:rsid w:val="006B4676"/>
    <w:rsid w:val="006B6798"/>
    <w:rsid w:val="006B7333"/>
    <w:rsid w:val="006B7F8B"/>
    <w:rsid w:val="006C265C"/>
    <w:rsid w:val="006C47B4"/>
    <w:rsid w:val="006C4AC7"/>
    <w:rsid w:val="006C4F54"/>
    <w:rsid w:val="006C4FAE"/>
    <w:rsid w:val="006C598E"/>
    <w:rsid w:val="006C5A4C"/>
    <w:rsid w:val="006C5AA1"/>
    <w:rsid w:val="006C63B3"/>
    <w:rsid w:val="006C6532"/>
    <w:rsid w:val="006C6992"/>
    <w:rsid w:val="006D14B4"/>
    <w:rsid w:val="006D1733"/>
    <w:rsid w:val="006D2640"/>
    <w:rsid w:val="006D2AA6"/>
    <w:rsid w:val="006D2ADC"/>
    <w:rsid w:val="006D32DF"/>
    <w:rsid w:val="006D48D3"/>
    <w:rsid w:val="006D6D42"/>
    <w:rsid w:val="006D7174"/>
    <w:rsid w:val="006E1D8E"/>
    <w:rsid w:val="006E4B58"/>
    <w:rsid w:val="006E698F"/>
    <w:rsid w:val="006E6D3E"/>
    <w:rsid w:val="006E7712"/>
    <w:rsid w:val="006E7E00"/>
    <w:rsid w:val="006F0B54"/>
    <w:rsid w:val="006F0C50"/>
    <w:rsid w:val="006F20E7"/>
    <w:rsid w:val="006F2371"/>
    <w:rsid w:val="006F246A"/>
    <w:rsid w:val="006F2A66"/>
    <w:rsid w:val="006F3CF0"/>
    <w:rsid w:val="006F66B3"/>
    <w:rsid w:val="006F69D2"/>
    <w:rsid w:val="006F69D3"/>
    <w:rsid w:val="006F7FA8"/>
    <w:rsid w:val="00701399"/>
    <w:rsid w:val="00702D04"/>
    <w:rsid w:val="00704B7A"/>
    <w:rsid w:val="0070512E"/>
    <w:rsid w:val="007052C0"/>
    <w:rsid w:val="0070559E"/>
    <w:rsid w:val="00707253"/>
    <w:rsid w:val="00707D5B"/>
    <w:rsid w:val="00710663"/>
    <w:rsid w:val="00711CE6"/>
    <w:rsid w:val="00713DB0"/>
    <w:rsid w:val="00716A86"/>
    <w:rsid w:val="00716DF0"/>
    <w:rsid w:val="00716E0A"/>
    <w:rsid w:val="00717A0B"/>
    <w:rsid w:val="0072078E"/>
    <w:rsid w:val="0072122F"/>
    <w:rsid w:val="00721C52"/>
    <w:rsid w:val="00721DF6"/>
    <w:rsid w:val="00721FBE"/>
    <w:rsid w:val="00724F6F"/>
    <w:rsid w:val="007262E0"/>
    <w:rsid w:val="00727986"/>
    <w:rsid w:val="00731957"/>
    <w:rsid w:val="00733225"/>
    <w:rsid w:val="00733782"/>
    <w:rsid w:val="007340C2"/>
    <w:rsid w:val="00734FDE"/>
    <w:rsid w:val="00735A17"/>
    <w:rsid w:val="0073641A"/>
    <w:rsid w:val="00736BCC"/>
    <w:rsid w:val="00737B56"/>
    <w:rsid w:val="00740336"/>
    <w:rsid w:val="007408AE"/>
    <w:rsid w:val="00740A81"/>
    <w:rsid w:val="00740A85"/>
    <w:rsid w:val="00740C38"/>
    <w:rsid w:val="00742381"/>
    <w:rsid w:val="00742411"/>
    <w:rsid w:val="007426EE"/>
    <w:rsid w:val="00743280"/>
    <w:rsid w:val="0074471F"/>
    <w:rsid w:val="00744C6F"/>
    <w:rsid w:val="00745CBF"/>
    <w:rsid w:val="007476E5"/>
    <w:rsid w:val="007520A4"/>
    <w:rsid w:val="007524F6"/>
    <w:rsid w:val="00752EBE"/>
    <w:rsid w:val="007530E8"/>
    <w:rsid w:val="0075378B"/>
    <w:rsid w:val="0075449A"/>
    <w:rsid w:val="00754FCE"/>
    <w:rsid w:val="00754FF5"/>
    <w:rsid w:val="00755062"/>
    <w:rsid w:val="00755175"/>
    <w:rsid w:val="0075597C"/>
    <w:rsid w:val="00755AB7"/>
    <w:rsid w:val="00756FBE"/>
    <w:rsid w:val="00760756"/>
    <w:rsid w:val="00760A9C"/>
    <w:rsid w:val="00761743"/>
    <w:rsid w:val="00763A99"/>
    <w:rsid w:val="007665ED"/>
    <w:rsid w:val="007666B4"/>
    <w:rsid w:val="00767B60"/>
    <w:rsid w:val="00767BE7"/>
    <w:rsid w:val="0077021C"/>
    <w:rsid w:val="00770E26"/>
    <w:rsid w:val="00770FB4"/>
    <w:rsid w:val="00771495"/>
    <w:rsid w:val="00773D33"/>
    <w:rsid w:val="00774526"/>
    <w:rsid w:val="007749FF"/>
    <w:rsid w:val="00775A10"/>
    <w:rsid w:val="007760EA"/>
    <w:rsid w:val="007765F2"/>
    <w:rsid w:val="00780077"/>
    <w:rsid w:val="0078195B"/>
    <w:rsid w:val="00784922"/>
    <w:rsid w:val="00784D3F"/>
    <w:rsid w:val="00785097"/>
    <w:rsid w:val="00785290"/>
    <w:rsid w:val="00790087"/>
    <w:rsid w:val="007904D3"/>
    <w:rsid w:val="007905D9"/>
    <w:rsid w:val="00792E58"/>
    <w:rsid w:val="0079443B"/>
    <w:rsid w:val="0079516A"/>
    <w:rsid w:val="00795745"/>
    <w:rsid w:val="00795BA1"/>
    <w:rsid w:val="00796D91"/>
    <w:rsid w:val="007A1581"/>
    <w:rsid w:val="007A2AB6"/>
    <w:rsid w:val="007A31A3"/>
    <w:rsid w:val="007A331E"/>
    <w:rsid w:val="007A38D5"/>
    <w:rsid w:val="007A4F4F"/>
    <w:rsid w:val="007A53B0"/>
    <w:rsid w:val="007A687E"/>
    <w:rsid w:val="007B0D18"/>
    <w:rsid w:val="007B1FDC"/>
    <w:rsid w:val="007B2914"/>
    <w:rsid w:val="007B496B"/>
    <w:rsid w:val="007B4F8B"/>
    <w:rsid w:val="007B525E"/>
    <w:rsid w:val="007B564B"/>
    <w:rsid w:val="007B59E3"/>
    <w:rsid w:val="007B62F8"/>
    <w:rsid w:val="007B6DF3"/>
    <w:rsid w:val="007B7398"/>
    <w:rsid w:val="007B7BD2"/>
    <w:rsid w:val="007C0935"/>
    <w:rsid w:val="007C290A"/>
    <w:rsid w:val="007C2C7D"/>
    <w:rsid w:val="007C3DCB"/>
    <w:rsid w:val="007C4A77"/>
    <w:rsid w:val="007D0CC9"/>
    <w:rsid w:val="007D3A42"/>
    <w:rsid w:val="007D42A0"/>
    <w:rsid w:val="007D4754"/>
    <w:rsid w:val="007D489A"/>
    <w:rsid w:val="007D66C5"/>
    <w:rsid w:val="007D7B8A"/>
    <w:rsid w:val="007E11AF"/>
    <w:rsid w:val="007E1B49"/>
    <w:rsid w:val="007E1BC5"/>
    <w:rsid w:val="007E2ADF"/>
    <w:rsid w:val="007E2B03"/>
    <w:rsid w:val="007E3D4B"/>
    <w:rsid w:val="007E3F3B"/>
    <w:rsid w:val="007E5AA7"/>
    <w:rsid w:val="007E6EC5"/>
    <w:rsid w:val="007E7F9F"/>
    <w:rsid w:val="007F0817"/>
    <w:rsid w:val="007F1246"/>
    <w:rsid w:val="007F3710"/>
    <w:rsid w:val="007F40F7"/>
    <w:rsid w:val="007F41E7"/>
    <w:rsid w:val="007F5304"/>
    <w:rsid w:val="007F5738"/>
    <w:rsid w:val="007F7B27"/>
    <w:rsid w:val="007F7C68"/>
    <w:rsid w:val="007F7FC7"/>
    <w:rsid w:val="00800630"/>
    <w:rsid w:val="00800772"/>
    <w:rsid w:val="00800DFD"/>
    <w:rsid w:val="0080131E"/>
    <w:rsid w:val="00801535"/>
    <w:rsid w:val="00801BE8"/>
    <w:rsid w:val="00801CE1"/>
    <w:rsid w:val="00802093"/>
    <w:rsid w:val="0080242A"/>
    <w:rsid w:val="008034BD"/>
    <w:rsid w:val="00803540"/>
    <w:rsid w:val="008035EA"/>
    <w:rsid w:val="00803C77"/>
    <w:rsid w:val="0080453C"/>
    <w:rsid w:val="008052C0"/>
    <w:rsid w:val="00805FC0"/>
    <w:rsid w:val="00812EEF"/>
    <w:rsid w:val="0081392D"/>
    <w:rsid w:val="00814FAE"/>
    <w:rsid w:val="00816766"/>
    <w:rsid w:val="00817CA5"/>
    <w:rsid w:val="00820CC2"/>
    <w:rsid w:val="0082232A"/>
    <w:rsid w:val="00822626"/>
    <w:rsid w:val="00822807"/>
    <w:rsid w:val="008230F8"/>
    <w:rsid w:val="008251B8"/>
    <w:rsid w:val="00825FC7"/>
    <w:rsid w:val="00826A2E"/>
    <w:rsid w:val="00827E05"/>
    <w:rsid w:val="008315C3"/>
    <w:rsid w:val="00834390"/>
    <w:rsid w:val="008345F1"/>
    <w:rsid w:val="00835217"/>
    <w:rsid w:val="00835A15"/>
    <w:rsid w:val="00835F9E"/>
    <w:rsid w:val="008364DA"/>
    <w:rsid w:val="0084051B"/>
    <w:rsid w:val="00841250"/>
    <w:rsid w:val="0084316A"/>
    <w:rsid w:val="00843904"/>
    <w:rsid w:val="00844AB0"/>
    <w:rsid w:val="00845681"/>
    <w:rsid w:val="00845A3B"/>
    <w:rsid w:val="00847CD7"/>
    <w:rsid w:val="00850FDD"/>
    <w:rsid w:val="00853053"/>
    <w:rsid w:val="008536C0"/>
    <w:rsid w:val="00853B68"/>
    <w:rsid w:val="00853CB2"/>
    <w:rsid w:val="0085486D"/>
    <w:rsid w:val="008551EB"/>
    <w:rsid w:val="00855ECE"/>
    <w:rsid w:val="00855F81"/>
    <w:rsid w:val="008560E2"/>
    <w:rsid w:val="00856C1B"/>
    <w:rsid w:val="0085780B"/>
    <w:rsid w:val="008604CC"/>
    <w:rsid w:val="00860681"/>
    <w:rsid w:val="008622D8"/>
    <w:rsid w:val="00862AF6"/>
    <w:rsid w:val="008649A6"/>
    <w:rsid w:val="008650F7"/>
    <w:rsid w:val="008653B8"/>
    <w:rsid w:val="0087189C"/>
    <w:rsid w:val="00871AC7"/>
    <w:rsid w:val="00871F35"/>
    <w:rsid w:val="00872ED8"/>
    <w:rsid w:val="00873693"/>
    <w:rsid w:val="00874025"/>
    <w:rsid w:val="0087413E"/>
    <w:rsid w:val="0087530F"/>
    <w:rsid w:val="00875994"/>
    <w:rsid w:val="00875D5F"/>
    <w:rsid w:val="0087732D"/>
    <w:rsid w:val="00877D07"/>
    <w:rsid w:val="00877F9A"/>
    <w:rsid w:val="00880188"/>
    <w:rsid w:val="00880E0E"/>
    <w:rsid w:val="00880F5C"/>
    <w:rsid w:val="00882F20"/>
    <w:rsid w:val="00883A44"/>
    <w:rsid w:val="00885A90"/>
    <w:rsid w:val="00886738"/>
    <w:rsid w:val="00886D47"/>
    <w:rsid w:val="00887FD0"/>
    <w:rsid w:val="00890400"/>
    <w:rsid w:val="00890947"/>
    <w:rsid w:val="0089126B"/>
    <w:rsid w:val="00892BEA"/>
    <w:rsid w:val="00892F7E"/>
    <w:rsid w:val="008945F7"/>
    <w:rsid w:val="008950C0"/>
    <w:rsid w:val="00896291"/>
    <w:rsid w:val="008970C7"/>
    <w:rsid w:val="008972B6"/>
    <w:rsid w:val="008978DB"/>
    <w:rsid w:val="008A0D9A"/>
    <w:rsid w:val="008A3D47"/>
    <w:rsid w:val="008A459F"/>
    <w:rsid w:val="008A7244"/>
    <w:rsid w:val="008B2CF3"/>
    <w:rsid w:val="008B3F94"/>
    <w:rsid w:val="008B516F"/>
    <w:rsid w:val="008B521A"/>
    <w:rsid w:val="008B59FE"/>
    <w:rsid w:val="008B71E4"/>
    <w:rsid w:val="008C00F6"/>
    <w:rsid w:val="008C0C57"/>
    <w:rsid w:val="008C0FA6"/>
    <w:rsid w:val="008C3570"/>
    <w:rsid w:val="008C3E9B"/>
    <w:rsid w:val="008C45CE"/>
    <w:rsid w:val="008C4F9B"/>
    <w:rsid w:val="008C5583"/>
    <w:rsid w:val="008C5F2C"/>
    <w:rsid w:val="008D0CCA"/>
    <w:rsid w:val="008D0F63"/>
    <w:rsid w:val="008D172F"/>
    <w:rsid w:val="008D2A0E"/>
    <w:rsid w:val="008D3130"/>
    <w:rsid w:val="008D3588"/>
    <w:rsid w:val="008D45BF"/>
    <w:rsid w:val="008D4F15"/>
    <w:rsid w:val="008D5B6E"/>
    <w:rsid w:val="008D5F61"/>
    <w:rsid w:val="008D60A9"/>
    <w:rsid w:val="008D62F8"/>
    <w:rsid w:val="008D6FB9"/>
    <w:rsid w:val="008D7A3E"/>
    <w:rsid w:val="008E0461"/>
    <w:rsid w:val="008E12F1"/>
    <w:rsid w:val="008E40D4"/>
    <w:rsid w:val="008E46F1"/>
    <w:rsid w:val="008E4EA8"/>
    <w:rsid w:val="008E5676"/>
    <w:rsid w:val="008E5C49"/>
    <w:rsid w:val="008E6A77"/>
    <w:rsid w:val="008E702D"/>
    <w:rsid w:val="008E7AF3"/>
    <w:rsid w:val="008F019C"/>
    <w:rsid w:val="008F1AF3"/>
    <w:rsid w:val="008F245B"/>
    <w:rsid w:val="008F2B47"/>
    <w:rsid w:val="008F2EA4"/>
    <w:rsid w:val="008F3CD3"/>
    <w:rsid w:val="008F418A"/>
    <w:rsid w:val="008F51AF"/>
    <w:rsid w:val="008F56CC"/>
    <w:rsid w:val="008F7DF1"/>
    <w:rsid w:val="009003A9"/>
    <w:rsid w:val="009004C5"/>
    <w:rsid w:val="0090094B"/>
    <w:rsid w:val="00900B4E"/>
    <w:rsid w:val="00901C79"/>
    <w:rsid w:val="00903D39"/>
    <w:rsid w:val="00903F00"/>
    <w:rsid w:val="0090404D"/>
    <w:rsid w:val="00904681"/>
    <w:rsid w:val="009048BC"/>
    <w:rsid w:val="0090496B"/>
    <w:rsid w:val="00904A69"/>
    <w:rsid w:val="00905A8C"/>
    <w:rsid w:val="00905D14"/>
    <w:rsid w:val="009074BC"/>
    <w:rsid w:val="009075EF"/>
    <w:rsid w:val="00907EF7"/>
    <w:rsid w:val="009104F6"/>
    <w:rsid w:val="0091054B"/>
    <w:rsid w:val="00911AE3"/>
    <w:rsid w:val="009127F5"/>
    <w:rsid w:val="009145E1"/>
    <w:rsid w:val="00917A9F"/>
    <w:rsid w:val="00920942"/>
    <w:rsid w:val="00920AEA"/>
    <w:rsid w:val="00921CBB"/>
    <w:rsid w:val="009229E8"/>
    <w:rsid w:val="00922CF1"/>
    <w:rsid w:val="00923DBA"/>
    <w:rsid w:val="00924014"/>
    <w:rsid w:val="00924A52"/>
    <w:rsid w:val="00925476"/>
    <w:rsid w:val="00925AAF"/>
    <w:rsid w:val="00926BCE"/>
    <w:rsid w:val="009273EC"/>
    <w:rsid w:val="00927F69"/>
    <w:rsid w:val="0093032D"/>
    <w:rsid w:val="00932485"/>
    <w:rsid w:val="00932796"/>
    <w:rsid w:val="009343EE"/>
    <w:rsid w:val="00934E0D"/>
    <w:rsid w:val="00936C86"/>
    <w:rsid w:val="009378C7"/>
    <w:rsid w:val="009407EE"/>
    <w:rsid w:val="0094286D"/>
    <w:rsid w:val="009431BC"/>
    <w:rsid w:val="009439F9"/>
    <w:rsid w:val="00947842"/>
    <w:rsid w:val="00950FC3"/>
    <w:rsid w:val="009516BD"/>
    <w:rsid w:val="0095254C"/>
    <w:rsid w:val="0095274E"/>
    <w:rsid w:val="00955464"/>
    <w:rsid w:val="0095715E"/>
    <w:rsid w:val="00960583"/>
    <w:rsid w:val="009605E1"/>
    <w:rsid w:val="00960645"/>
    <w:rsid w:val="00960808"/>
    <w:rsid w:val="0096174A"/>
    <w:rsid w:val="0096324B"/>
    <w:rsid w:val="0096328E"/>
    <w:rsid w:val="00963A2F"/>
    <w:rsid w:val="00963BC4"/>
    <w:rsid w:val="00964422"/>
    <w:rsid w:val="0096461A"/>
    <w:rsid w:val="00965E27"/>
    <w:rsid w:val="00967707"/>
    <w:rsid w:val="00967731"/>
    <w:rsid w:val="00967C4B"/>
    <w:rsid w:val="00971AE8"/>
    <w:rsid w:val="00972894"/>
    <w:rsid w:val="009737D2"/>
    <w:rsid w:val="00974B81"/>
    <w:rsid w:val="00975A24"/>
    <w:rsid w:val="009809E8"/>
    <w:rsid w:val="00980DE8"/>
    <w:rsid w:val="00980E5E"/>
    <w:rsid w:val="00982478"/>
    <w:rsid w:val="00983C16"/>
    <w:rsid w:val="00985480"/>
    <w:rsid w:val="00990207"/>
    <w:rsid w:val="00990F3A"/>
    <w:rsid w:val="0099107A"/>
    <w:rsid w:val="00991353"/>
    <w:rsid w:val="00992A14"/>
    <w:rsid w:val="00995F39"/>
    <w:rsid w:val="009A04AA"/>
    <w:rsid w:val="009A19CF"/>
    <w:rsid w:val="009A2D5B"/>
    <w:rsid w:val="009A3534"/>
    <w:rsid w:val="009A35DF"/>
    <w:rsid w:val="009A3A9F"/>
    <w:rsid w:val="009A449B"/>
    <w:rsid w:val="009A4D44"/>
    <w:rsid w:val="009A5ABE"/>
    <w:rsid w:val="009A5E34"/>
    <w:rsid w:val="009A699B"/>
    <w:rsid w:val="009A6F08"/>
    <w:rsid w:val="009A79B6"/>
    <w:rsid w:val="009B19F1"/>
    <w:rsid w:val="009B3329"/>
    <w:rsid w:val="009B428A"/>
    <w:rsid w:val="009B439B"/>
    <w:rsid w:val="009B4960"/>
    <w:rsid w:val="009B4ADD"/>
    <w:rsid w:val="009B58AA"/>
    <w:rsid w:val="009B5E3F"/>
    <w:rsid w:val="009B64BC"/>
    <w:rsid w:val="009C062A"/>
    <w:rsid w:val="009C1222"/>
    <w:rsid w:val="009C1A92"/>
    <w:rsid w:val="009C3D1B"/>
    <w:rsid w:val="009C5A90"/>
    <w:rsid w:val="009C638B"/>
    <w:rsid w:val="009C64AF"/>
    <w:rsid w:val="009C7400"/>
    <w:rsid w:val="009D1F66"/>
    <w:rsid w:val="009D375A"/>
    <w:rsid w:val="009D38FC"/>
    <w:rsid w:val="009D4D17"/>
    <w:rsid w:val="009D5052"/>
    <w:rsid w:val="009D577B"/>
    <w:rsid w:val="009D5B13"/>
    <w:rsid w:val="009D5C13"/>
    <w:rsid w:val="009D664B"/>
    <w:rsid w:val="009D69E1"/>
    <w:rsid w:val="009D6E3F"/>
    <w:rsid w:val="009D796E"/>
    <w:rsid w:val="009D799F"/>
    <w:rsid w:val="009E04BA"/>
    <w:rsid w:val="009E0C20"/>
    <w:rsid w:val="009E10C8"/>
    <w:rsid w:val="009E1A1E"/>
    <w:rsid w:val="009E1A43"/>
    <w:rsid w:val="009E1B9E"/>
    <w:rsid w:val="009E1DFF"/>
    <w:rsid w:val="009E4392"/>
    <w:rsid w:val="009E45E7"/>
    <w:rsid w:val="009E635D"/>
    <w:rsid w:val="009E6894"/>
    <w:rsid w:val="009F1E7E"/>
    <w:rsid w:val="009F2733"/>
    <w:rsid w:val="009F7F88"/>
    <w:rsid w:val="00A0094D"/>
    <w:rsid w:val="00A03824"/>
    <w:rsid w:val="00A03E59"/>
    <w:rsid w:val="00A04C41"/>
    <w:rsid w:val="00A0500F"/>
    <w:rsid w:val="00A0636A"/>
    <w:rsid w:val="00A0642E"/>
    <w:rsid w:val="00A064C0"/>
    <w:rsid w:val="00A113A1"/>
    <w:rsid w:val="00A114A1"/>
    <w:rsid w:val="00A13DE3"/>
    <w:rsid w:val="00A1494F"/>
    <w:rsid w:val="00A14C0D"/>
    <w:rsid w:val="00A14E12"/>
    <w:rsid w:val="00A15A0B"/>
    <w:rsid w:val="00A15C69"/>
    <w:rsid w:val="00A163F0"/>
    <w:rsid w:val="00A2155D"/>
    <w:rsid w:val="00A217F8"/>
    <w:rsid w:val="00A22E04"/>
    <w:rsid w:val="00A24234"/>
    <w:rsid w:val="00A246B6"/>
    <w:rsid w:val="00A2516A"/>
    <w:rsid w:val="00A2519F"/>
    <w:rsid w:val="00A302A4"/>
    <w:rsid w:val="00A317AF"/>
    <w:rsid w:val="00A31D51"/>
    <w:rsid w:val="00A329A8"/>
    <w:rsid w:val="00A32AC5"/>
    <w:rsid w:val="00A374E2"/>
    <w:rsid w:val="00A379D8"/>
    <w:rsid w:val="00A40021"/>
    <w:rsid w:val="00A405EF"/>
    <w:rsid w:val="00A43D34"/>
    <w:rsid w:val="00A45A2E"/>
    <w:rsid w:val="00A46C0C"/>
    <w:rsid w:val="00A46D08"/>
    <w:rsid w:val="00A476B1"/>
    <w:rsid w:val="00A51A8E"/>
    <w:rsid w:val="00A5235C"/>
    <w:rsid w:val="00A53A94"/>
    <w:rsid w:val="00A5427C"/>
    <w:rsid w:val="00A5484A"/>
    <w:rsid w:val="00A54A65"/>
    <w:rsid w:val="00A56A76"/>
    <w:rsid w:val="00A57F3E"/>
    <w:rsid w:val="00A60A1E"/>
    <w:rsid w:val="00A60B6D"/>
    <w:rsid w:val="00A60E5A"/>
    <w:rsid w:val="00A60FD1"/>
    <w:rsid w:val="00A61B5E"/>
    <w:rsid w:val="00A6248B"/>
    <w:rsid w:val="00A63B95"/>
    <w:rsid w:val="00A6424C"/>
    <w:rsid w:val="00A64F2B"/>
    <w:rsid w:val="00A651A8"/>
    <w:rsid w:val="00A6674C"/>
    <w:rsid w:val="00A67C3E"/>
    <w:rsid w:val="00A729B9"/>
    <w:rsid w:val="00A7436B"/>
    <w:rsid w:val="00A74CD3"/>
    <w:rsid w:val="00A75641"/>
    <w:rsid w:val="00A76043"/>
    <w:rsid w:val="00A76643"/>
    <w:rsid w:val="00A77788"/>
    <w:rsid w:val="00A7792B"/>
    <w:rsid w:val="00A80D76"/>
    <w:rsid w:val="00A8196C"/>
    <w:rsid w:val="00A82F03"/>
    <w:rsid w:val="00A84BC9"/>
    <w:rsid w:val="00A84DB7"/>
    <w:rsid w:val="00A85F66"/>
    <w:rsid w:val="00A863FA"/>
    <w:rsid w:val="00A864D9"/>
    <w:rsid w:val="00A866C1"/>
    <w:rsid w:val="00A86F50"/>
    <w:rsid w:val="00A87701"/>
    <w:rsid w:val="00A878E6"/>
    <w:rsid w:val="00A8796E"/>
    <w:rsid w:val="00A90E5E"/>
    <w:rsid w:val="00A91642"/>
    <w:rsid w:val="00A9264C"/>
    <w:rsid w:val="00A92E7F"/>
    <w:rsid w:val="00A93583"/>
    <w:rsid w:val="00A94257"/>
    <w:rsid w:val="00A946BC"/>
    <w:rsid w:val="00A94754"/>
    <w:rsid w:val="00A955EF"/>
    <w:rsid w:val="00A95DC5"/>
    <w:rsid w:val="00A96F99"/>
    <w:rsid w:val="00A9756E"/>
    <w:rsid w:val="00AA03D7"/>
    <w:rsid w:val="00AA04A5"/>
    <w:rsid w:val="00AA086A"/>
    <w:rsid w:val="00AA12BC"/>
    <w:rsid w:val="00AA1F5F"/>
    <w:rsid w:val="00AA1FF0"/>
    <w:rsid w:val="00AA29EC"/>
    <w:rsid w:val="00AA4143"/>
    <w:rsid w:val="00AA444F"/>
    <w:rsid w:val="00AA4843"/>
    <w:rsid w:val="00AA4A93"/>
    <w:rsid w:val="00AA4EB4"/>
    <w:rsid w:val="00AA52E8"/>
    <w:rsid w:val="00AA550E"/>
    <w:rsid w:val="00AA565D"/>
    <w:rsid w:val="00AB0695"/>
    <w:rsid w:val="00AB074E"/>
    <w:rsid w:val="00AB0848"/>
    <w:rsid w:val="00AB1424"/>
    <w:rsid w:val="00AB182E"/>
    <w:rsid w:val="00AB1A5C"/>
    <w:rsid w:val="00AB20F8"/>
    <w:rsid w:val="00AB2180"/>
    <w:rsid w:val="00AB21DD"/>
    <w:rsid w:val="00AB37FB"/>
    <w:rsid w:val="00AB6966"/>
    <w:rsid w:val="00AC06EB"/>
    <w:rsid w:val="00AC5892"/>
    <w:rsid w:val="00AC76F3"/>
    <w:rsid w:val="00AD140E"/>
    <w:rsid w:val="00AD1C4A"/>
    <w:rsid w:val="00AD28B1"/>
    <w:rsid w:val="00AD2C33"/>
    <w:rsid w:val="00AD37CD"/>
    <w:rsid w:val="00AD4D8C"/>
    <w:rsid w:val="00AD5BB3"/>
    <w:rsid w:val="00AD60BF"/>
    <w:rsid w:val="00AD61F9"/>
    <w:rsid w:val="00AE0005"/>
    <w:rsid w:val="00AE0440"/>
    <w:rsid w:val="00AE0832"/>
    <w:rsid w:val="00AE08C3"/>
    <w:rsid w:val="00AE0A61"/>
    <w:rsid w:val="00AE0A8E"/>
    <w:rsid w:val="00AE0CB1"/>
    <w:rsid w:val="00AE0D56"/>
    <w:rsid w:val="00AE154D"/>
    <w:rsid w:val="00AE1E74"/>
    <w:rsid w:val="00AE2F55"/>
    <w:rsid w:val="00AE310D"/>
    <w:rsid w:val="00AE351F"/>
    <w:rsid w:val="00AE3A4B"/>
    <w:rsid w:val="00AE46AC"/>
    <w:rsid w:val="00AE4B0C"/>
    <w:rsid w:val="00AE4D70"/>
    <w:rsid w:val="00AE71E8"/>
    <w:rsid w:val="00AE72E4"/>
    <w:rsid w:val="00AE7B21"/>
    <w:rsid w:val="00AF07B5"/>
    <w:rsid w:val="00AF17E4"/>
    <w:rsid w:val="00AF3701"/>
    <w:rsid w:val="00AF3E29"/>
    <w:rsid w:val="00B011CF"/>
    <w:rsid w:val="00B020D8"/>
    <w:rsid w:val="00B045B8"/>
    <w:rsid w:val="00B05FDF"/>
    <w:rsid w:val="00B06816"/>
    <w:rsid w:val="00B10723"/>
    <w:rsid w:val="00B12648"/>
    <w:rsid w:val="00B12746"/>
    <w:rsid w:val="00B12853"/>
    <w:rsid w:val="00B12E15"/>
    <w:rsid w:val="00B163A1"/>
    <w:rsid w:val="00B16D1F"/>
    <w:rsid w:val="00B21210"/>
    <w:rsid w:val="00B2139A"/>
    <w:rsid w:val="00B2144F"/>
    <w:rsid w:val="00B216A4"/>
    <w:rsid w:val="00B216BB"/>
    <w:rsid w:val="00B23184"/>
    <w:rsid w:val="00B24412"/>
    <w:rsid w:val="00B24885"/>
    <w:rsid w:val="00B260E8"/>
    <w:rsid w:val="00B26811"/>
    <w:rsid w:val="00B27400"/>
    <w:rsid w:val="00B2749F"/>
    <w:rsid w:val="00B27903"/>
    <w:rsid w:val="00B3221B"/>
    <w:rsid w:val="00B33DAD"/>
    <w:rsid w:val="00B35BC5"/>
    <w:rsid w:val="00B35E88"/>
    <w:rsid w:val="00B36207"/>
    <w:rsid w:val="00B3650E"/>
    <w:rsid w:val="00B3687F"/>
    <w:rsid w:val="00B36C44"/>
    <w:rsid w:val="00B376A5"/>
    <w:rsid w:val="00B37FCC"/>
    <w:rsid w:val="00B40A36"/>
    <w:rsid w:val="00B417D5"/>
    <w:rsid w:val="00B418B8"/>
    <w:rsid w:val="00B41D2D"/>
    <w:rsid w:val="00B4325E"/>
    <w:rsid w:val="00B4550A"/>
    <w:rsid w:val="00B45753"/>
    <w:rsid w:val="00B5103C"/>
    <w:rsid w:val="00B5276A"/>
    <w:rsid w:val="00B52DAA"/>
    <w:rsid w:val="00B53349"/>
    <w:rsid w:val="00B55C75"/>
    <w:rsid w:val="00B565ED"/>
    <w:rsid w:val="00B5696F"/>
    <w:rsid w:val="00B5698C"/>
    <w:rsid w:val="00B605D1"/>
    <w:rsid w:val="00B6175B"/>
    <w:rsid w:val="00B623FD"/>
    <w:rsid w:val="00B62549"/>
    <w:rsid w:val="00B63155"/>
    <w:rsid w:val="00B65864"/>
    <w:rsid w:val="00B66043"/>
    <w:rsid w:val="00B70452"/>
    <w:rsid w:val="00B70A04"/>
    <w:rsid w:val="00B70C4E"/>
    <w:rsid w:val="00B718E5"/>
    <w:rsid w:val="00B731F7"/>
    <w:rsid w:val="00B740D5"/>
    <w:rsid w:val="00B74A86"/>
    <w:rsid w:val="00B75EA1"/>
    <w:rsid w:val="00B75F73"/>
    <w:rsid w:val="00B761AF"/>
    <w:rsid w:val="00B764B6"/>
    <w:rsid w:val="00B76C63"/>
    <w:rsid w:val="00B81CD8"/>
    <w:rsid w:val="00B825A9"/>
    <w:rsid w:val="00B835C5"/>
    <w:rsid w:val="00B84144"/>
    <w:rsid w:val="00B854A6"/>
    <w:rsid w:val="00B85928"/>
    <w:rsid w:val="00B8619D"/>
    <w:rsid w:val="00B863C1"/>
    <w:rsid w:val="00B919E9"/>
    <w:rsid w:val="00B91AB0"/>
    <w:rsid w:val="00B91B42"/>
    <w:rsid w:val="00B91C8E"/>
    <w:rsid w:val="00B937D5"/>
    <w:rsid w:val="00B94EB8"/>
    <w:rsid w:val="00B950B7"/>
    <w:rsid w:val="00B954AE"/>
    <w:rsid w:val="00BA0468"/>
    <w:rsid w:val="00BA0DE1"/>
    <w:rsid w:val="00BA2A31"/>
    <w:rsid w:val="00BA3017"/>
    <w:rsid w:val="00BA351F"/>
    <w:rsid w:val="00BA39A1"/>
    <w:rsid w:val="00BA3E62"/>
    <w:rsid w:val="00BA4461"/>
    <w:rsid w:val="00BA44CA"/>
    <w:rsid w:val="00BA628F"/>
    <w:rsid w:val="00BA7778"/>
    <w:rsid w:val="00BA7C96"/>
    <w:rsid w:val="00BB23F4"/>
    <w:rsid w:val="00BB298A"/>
    <w:rsid w:val="00BB37F7"/>
    <w:rsid w:val="00BB39F0"/>
    <w:rsid w:val="00BB619C"/>
    <w:rsid w:val="00BB76AD"/>
    <w:rsid w:val="00BB7E39"/>
    <w:rsid w:val="00BC1D67"/>
    <w:rsid w:val="00BC1E44"/>
    <w:rsid w:val="00BC7EE5"/>
    <w:rsid w:val="00BD059D"/>
    <w:rsid w:val="00BD0D5E"/>
    <w:rsid w:val="00BD4487"/>
    <w:rsid w:val="00BD6553"/>
    <w:rsid w:val="00BD6D67"/>
    <w:rsid w:val="00BD6E82"/>
    <w:rsid w:val="00BD7202"/>
    <w:rsid w:val="00BD7262"/>
    <w:rsid w:val="00BD781B"/>
    <w:rsid w:val="00BD7CD7"/>
    <w:rsid w:val="00BE0235"/>
    <w:rsid w:val="00BE0F3D"/>
    <w:rsid w:val="00BE14DD"/>
    <w:rsid w:val="00BE1A80"/>
    <w:rsid w:val="00BE2529"/>
    <w:rsid w:val="00BE2E28"/>
    <w:rsid w:val="00BE5B75"/>
    <w:rsid w:val="00BE5E77"/>
    <w:rsid w:val="00BE658E"/>
    <w:rsid w:val="00BF02A8"/>
    <w:rsid w:val="00BF1D2C"/>
    <w:rsid w:val="00BF200A"/>
    <w:rsid w:val="00BF2132"/>
    <w:rsid w:val="00BF4050"/>
    <w:rsid w:val="00BF53B1"/>
    <w:rsid w:val="00BF5779"/>
    <w:rsid w:val="00BF5A6E"/>
    <w:rsid w:val="00BF6562"/>
    <w:rsid w:val="00BF675B"/>
    <w:rsid w:val="00BF6CA6"/>
    <w:rsid w:val="00C045FE"/>
    <w:rsid w:val="00C04D32"/>
    <w:rsid w:val="00C057CC"/>
    <w:rsid w:val="00C07295"/>
    <w:rsid w:val="00C102DF"/>
    <w:rsid w:val="00C10764"/>
    <w:rsid w:val="00C10E20"/>
    <w:rsid w:val="00C116E2"/>
    <w:rsid w:val="00C11F5F"/>
    <w:rsid w:val="00C15A31"/>
    <w:rsid w:val="00C15F13"/>
    <w:rsid w:val="00C15FE0"/>
    <w:rsid w:val="00C165E6"/>
    <w:rsid w:val="00C16AD8"/>
    <w:rsid w:val="00C17146"/>
    <w:rsid w:val="00C171AB"/>
    <w:rsid w:val="00C17F25"/>
    <w:rsid w:val="00C17F65"/>
    <w:rsid w:val="00C2016F"/>
    <w:rsid w:val="00C2030F"/>
    <w:rsid w:val="00C204DD"/>
    <w:rsid w:val="00C21CF6"/>
    <w:rsid w:val="00C22C13"/>
    <w:rsid w:val="00C23280"/>
    <w:rsid w:val="00C238FF"/>
    <w:rsid w:val="00C245ED"/>
    <w:rsid w:val="00C257AE"/>
    <w:rsid w:val="00C26BAD"/>
    <w:rsid w:val="00C27BB3"/>
    <w:rsid w:val="00C27E09"/>
    <w:rsid w:val="00C301A3"/>
    <w:rsid w:val="00C30435"/>
    <w:rsid w:val="00C30DBF"/>
    <w:rsid w:val="00C30ED9"/>
    <w:rsid w:val="00C3228F"/>
    <w:rsid w:val="00C3233D"/>
    <w:rsid w:val="00C33417"/>
    <w:rsid w:val="00C33C51"/>
    <w:rsid w:val="00C33C82"/>
    <w:rsid w:val="00C33E70"/>
    <w:rsid w:val="00C340C1"/>
    <w:rsid w:val="00C34896"/>
    <w:rsid w:val="00C366F4"/>
    <w:rsid w:val="00C37D51"/>
    <w:rsid w:val="00C37D72"/>
    <w:rsid w:val="00C37DED"/>
    <w:rsid w:val="00C37F55"/>
    <w:rsid w:val="00C406EE"/>
    <w:rsid w:val="00C4120A"/>
    <w:rsid w:val="00C4273D"/>
    <w:rsid w:val="00C42FD1"/>
    <w:rsid w:val="00C443BB"/>
    <w:rsid w:val="00C44A5F"/>
    <w:rsid w:val="00C4555B"/>
    <w:rsid w:val="00C45E5D"/>
    <w:rsid w:val="00C468DF"/>
    <w:rsid w:val="00C46B78"/>
    <w:rsid w:val="00C46F6B"/>
    <w:rsid w:val="00C47441"/>
    <w:rsid w:val="00C47FD6"/>
    <w:rsid w:val="00C5041C"/>
    <w:rsid w:val="00C50788"/>
    <w:rsid w:val="00C5245C"/>
    <w:rsid w:val="00C53D3A"/>
    <w:rsid w:val="00C53F0C"/>
    <w:rsid w:val="00C54394"/>
    <w:rsid w:val="00C54575"/>
    <w:rsid w:val="00C557C9"/>
    <w:rsid w:val="00C574F8"/>
    <w:rsid w:val="00C578C3"/>
    <w:rsid w:val="00C57E31"/>
    <w:rsid w:val="00C57FD7"/>
    <w:rsid w:val="00C62740"/>
    <w:rsid w:val="00C63342"/>
    <w:rsid w:val="00C63677"/>
    <w:rsid w:val="00C63B7E"/>
    <w:rsid w:val="00C6480F"/>
    <w:rsid w:val="00C70E76"/>
    <w:rsid w:val="00C710C3"/>
    <w:rsid w:val="00C727CD"/>
    <w:rsid w:val="00C72C1F"/>
    <w:rsid w:val="00C72D22"/>
    <w:rsid w:val="00C74866"/>
    <w:rsid w:val="00C74DCA"/>
    <w:rsid w:val="00C75B69"/>
    <w:rsid w:val="00C75D5F"/>
    <w:rsid w:val="00C75D8F"/>
    <w:rsid w:val="00C76B43"/>
    <w:rsid w:val="00C76C7A"/>
    <w:rsid w:val="00C82516"/>
    <w:rsid w:val="00C83140"/>
    <w:rsid w:val="00C835D7"/>
    <w:rsid w:val="00C84362"/>
    <w:rsid w:val="00C84BF1"/>
    <w:rsid w:val="00C854C4"/>
    <w:rsid w:val="00C8644D"/>
    <w:rsid w:val="00C86832"/>
    <w:rsid w:val="00C86A5E"/>
    <w:rsid w:val="00C87B68"/>
    <w:rsid w:val="00C903AB"/>
    <w:rsid w:val="00C903DB"/>
    <w:rsid w:val="00C90A5A"/>
    <w:rsid w:val="00C90CA1"/>
    <w:rsid w:val="00C90F3E"/>
    <w:rsid w:val="00C91B41"/>
    <w:rsid w:val="00C91F8C"/>
    <w:rsid w:val="00C935E2"/>
    <w:rsid w:val="00C93820"/>
    <w:rsid w:val="00C95352"/>
    <w:rsid w:val="00C96071"/>
    <w:rsid w:val="00C97074"/>
    <w:rsid w:val="00C9707D"/>
    <w:rsid w:val="00CA0D43"/>
    <w:rsid w:val="00CA3601"/>
    <w:rsid w:val="00CA37AC"/>
    <w:rsid w:val="00CA6A01"/>
    <w:rsid w:val="00CB0456"/>
    <w:rsid w:val="00CB1A87"/>
    <w:rsid w:val="00CB1A97"/>
    <w:rsid w:val="00CB1FEC"/>
    <w:rsid w:val="00CB30A9"/>
    <w:rsid w:val="00CB3748"/>
    <w:rsid w:val="00CB37CB"/>
    <w:rsid w:val="00CB38B9"/>
    <w:rsid w:val="00CB3C5A"/>
    <w:rsid w:val="00CB5EA8"/>
    <w:rsid w:val="00CB6A06"/>
    <w:rsid w:val="00CC0E9E"/>
    <w:rsid w:val="00CC2AF6"/>
    <w:rsid w:val="00CC2AFB"/>
    <w:rsid w:val="00CC3B46"/>
    <w:rsid w:val="00CC3C9E"/>
    <w:rsid w:val="00CC4E32"/>
    <w:rsid w:val="00CC4E54"/>
    <w:rsid w:val="00CC7602"/>
    <w:rsid w:val="00CC77C1"/>
    <w:rsid w:val="00CD06DF"/>
    <w:rsid w:val="00CD10A6"/>
    <w:rsid w:val="00CD3069"/>
    <w:rsid w:val="00CD3746"/>
    <w:rsid w:val="00CD3DF8"/>
    <w:rsid w:val="00CD64C5"/>
    <w:rsid w:val="00CD664D"/>
    <w:rsid w:val="00CE0449"/>
    <w:rsid w:val="00CE0A1D"/>
    <w:rsid w:val="00CE0BBD"/>
    <w:rsid w:val="00CE10BA"/>
    <w:rsid w:val="00CE21D5"/>
    <w:rsid w:val="00CE2328"/>
    <w:rsid w:val="00CE238E"/>
    <w:rsid w:val="00CE26D3"/>
    <w:rsid w:val="00CE2DEA"/>
    <w:rsid w:val="00CE32FA"/>
    <w:rsid w:val="00CE3F69"/>
    <w:rsid w:val="00CE4474"/>
    <w:rsid w:val="00CE4B7C"/>
    <w:rsid w:val="00CE512B"/>
    <w:rsid w:val="00CE56E3"/>
    <w:rsid w:val="00CE60CF"/>
    <w:rsid w:val="00CE75CE"/>
    <w:rsid w:val="00CF06FE"/>
    <w:rsid w:val="00CF0F2F"/>
    <w:rsid w:val="00CF22A3"/>
    <w:rsid w:val="00CF2912"/>
    <w:rsid w:val="00CF31F3"/>
    <w:rsid w:val="00CF33EC"/>
    <w:rsid w:val="00CF35A2"/>
    <w:rsid w:val="00CF3AA2"/>
    <w:rsid w:val="00CF3CCF"/>
    <w:rsid w:val="00CF4328"/>
    <w:rsid w:val="00CF47CE"/>
    <w:rsid w:val="00CF6CED"/>
    <w:rsid w:val="00CF7164"/>
    <w:rsid w:val="00CF75D2"/>
    <w:rsid w:val="00CF77D8"/>
    <w:rsid w:val="00CF7A6F"/>
    <w:rsid w:val="00D0162F"/>
    <w:rsid w:val="00D01B71"/>
    <w:rsid w:val="00D02EB8"/>
    <w:rsid w:val="00D046D1"/>
    <w:rsid w:val="00D0471A"/>
    <w:rsid w:val="00D06512"/>
    <w:rsid w:val="00D06BD8"/>
    <w:rsid w:val="00D075F6"/>
    <w:rsid w:val="00D1119B"/>
    <w:rsid w:val="00D11B75"/>
    <w:rsid w:val="00D12037"/>
    <w:rsid w:val="00D12BE5"/>
    <w:rsid w:val="00D13DB6"/>
    <w:rsid w:val="00D1489D"/>
    <w:rsid w:val="00D15078"/>
    <w:rsid w:val="00D156A7"/>
    <w:rsid w:val="00D16BEB"/>
    <w:rsid w:val="00D20EE4"/>
    <w:rsid w:val="00D21AAE"/>
    <w:rsid w:val="00D2427A"/>
    <w:rsid w:val="00D2470F"/>
    <w:rsid w:val="00D24DE1"/>
    <w:rsid w:val="00D2692B"/>
    <w:rsid w:val="00D31B2F"/>
    <w:rsid w:val="00D35030"/>
    <w:rsid w:val="00D35311"/>
    <w:rsid w:val="00D35B7F"/>
    <w:rsid w:val="00D36F26"/>
    <w:rsid w:val="00D375A3"/>
    <w:rsid w:val="00D376B7"/>
    <w:rsid w:val="00D40E12"/>
    <w:rsid w:val="00D415DC"/>
    <w:rsid w:val="00D41CE3"/>
    <w:rsid w:val="00D41E38"/>
    <w:rsid w:val="00D437EE"/>
    <w:rsid w:val="00D4418F"/>
    <w:rsid w:val="00D445FA"/>
    <w:rsid w:val="00D4578D"/>
    <w:rsid w:val="00D4580E"/>
    <w:rsid w:val="00D502DB"/>
    <w:rsid w:val="00D50A43"/>
    <w:rsid w:val="00D522C4"/>
    <w:rsid w:val="00D52428"/>
    <w:rsid w:val="00D54881"/>
    <w:rsid w:val="00D54E9C"/>
    <w:rsid w:val="00D552BF"/>
    <w:rsid w:val="00D55A9E"/>
    <w:rsid w:val="00D5747E"/>
    <w:rsid w:val="00D575E8"/>
    <w:rsid w:val="00D61808"/>
    <w:rsid w:val="00D61E82"/>
    <w:rsid w:val="00D6370B"/>
    <w:rsid w:val="00D644CE"/>
    <w:rsid w:val="00D67828"/>
    <w:rsid w:val="00D703DF"/>
    <w:rsid w:val="00D70763"/>
    <w:rsid w:val="00D71F50"/>
    <w:rsid w:val="00D72146"/>
    <w:rsid w:val="00D7214A"/>
    <w:rsid w:val="00D72F9A"/>
    <w:rsid w:val="00D74D69"/>
    <w:rsid w:val="00D75D78"/>
    <w:rsid w:val="00D76558"/>
    <w:rsid w:val="00D7671B"/>
    <w:rsid w:val="00D8070D"/>
    <w:rsid w:val="00D8090D"/>
    <w:rsid w:val="00D817E9"/>
    <w:rsid w:val="00D81853"/>
    <w:rsid w:val="00D82056"/>
    <w:rsid w:val="00D829F1"/>
    <w:rsid w:val="00D830A6"/>
    <w:rsid w:val="00D830B1"/>
    <w:rsid w:val="00D85150"/>
    <w:rsid w:val="00D8526B"/>
    <w:rsid w:val="00D86D45"/>
    <w:rsid w:val="00D911DA"/>
    <w:rsid w:val="00D9223A"/>
    <w:rsid w:val="00D92695"/>
    <w:rsid w:val="00D92765"/>
    <w:rsid w:val="00D92F36"/>
    <w:rsid w:val="00D93A12"/>
    <w:rsid w:val="00D94585"/>
    <w:rsid w:val="00D94E62"/>
    <w:rsid w:val="00D95092"/>
    <w:rsid w:val="00D96565"/>
    <w:rsid w:val="00D97A12"/>
    <w:rsid w:val="00D97D03"/>
    <w:rsid w:val="00DA06EF"/>
    <w:rsid w:val="00DA0F34"/>
    <w:rsid w:val="00DA1B7B"/>
    <w:rsid w:val="00DA3435"/>
    <w:rsid w:val="00DA3CD7"/>
    <w:rsid w:val="00DA43FC"/>
    <w:rsid w:val="00DA66AD"/>
    <w:rsid w:val="00DA6994"/>
    <w:rsid w:val="00DA6FF9"/>
    <w:rsid w:val="00DA7216"/>
    <w:rsid w:val="00DA7937"/>
    <w:rsid w:val="00DA7DCC"/>
    <w:rsid w:val="00DB06A8"/>
    <w:rsid w:val="00DB0B26"/>
    <w:rsid w:val="00DB2145"/>
    <w:rsid w:val="00DB3F0E"/>
    <w:rsid w:val="00DB44FB"/>
    <w:rsid w:val="00DB4D57"/>
    <w:rsid w:val="00DB4D8D"/>
    <w:rsid w:val="00DB5104"/>
    <w:rsid w:val="00DB588E"/>
    <w:rsid w:val="00DC0107"/>
    <w:rsid w:val="00DC0C44"/>
    <w:rsid w:val="00DC138F"/>
    <w:rsid w:val="00DC15E1"/>
    <w:rsid w:val="00DC1874"/>
    <w:rsid w:val="00DC1C17"/>
    <w:rsid w:val="00DC2ED9"/>
    <w:rsid w:val="00DC3CC9"/>
    <w:rsid w:val="00DC54B6"/>
    <w:rsid w:val="00DC60F1"/>
    <w:rsid w:val="00DC6358"/>
    <w:rsid w:val="00DC6E5D"/>
    <w:rsid w:val="00DC74C5"/>
    <w:rsid w:val="00DD00B1"/>
    <w:rsid w:val="00DD0840"/>
    <w:rsid w:val="00DD1242"/>
    <w:rsid w:val="00DD4888"/>
    <w:rsid w:val="00DD6D83"/>
    <w:rsid w:val="00DD74AA"/>
    <w:rsid w:val="00DD7BD7"/>
    <w:rsid w:val="00DE09DC"/>
    <w:rsid w:val="00DE0C37"/>
    <w:rsid w:val="00DE1060"/>
    <w:rsid w:val="00DE127D"/>
    <w:rsid w:val="00DE2915"/>
    <w:rsid w:val="00DE3AFD"/>
    <w:rsid w:val="00DE4A7B"/>
    <w:rsid w:val="00DE5C8F"/>
    <w:rsid w:val="00DE72E5"/>
    <w:rsid w:val="00DF0587"/>
    <w:rsid w:val="00DF1A30"/>
    <w:rsid w:val="00DF2316"/>
    <w:rsid w:val="00DF2BFD"/>
    <w:rsid w:val="00DF30DD"/>
    <w:rsid w:val="00DF53CE"/>
    <w:rsid w:val="00DF5AFB"/>
    <w:rsid w:val="00DF6218"/>
    <w:rsid w:val="00DF7EFA"/>
    <w:rsid w:val="00E00B70"/>
    <w:rsid w:val="00E02C78"/>
    <w:rsid w:val="00E03894"/>
    <w:rsid w:val="00E039CF"/>
    <w:rsid w:val="00E048A0"/>
    <w:rsid w:val="00E05FDD"/>
    <w:rsid w:val="00E077DB"/>
    <w:rsid w:val="00E11588"/>
    <w:rsid w:val="00E11E3E"/>
    <w:rsid w:val="00E13044"/>
    <w:rsid w:val="00E13AA1"/>
    <w:rsid w:val="00E158EB"/>
    <w:rsid w:val="00E16BFA"/>
    <w:rsid w:val="00E17B0D"/>
    <w:rsid w:val="00E17EA4"/>
    <w:rsid w:val="00E2006A"/>
    <w:rsid w:val="00E205F9"/>
    <w:rsid w:val="00E22226"/>
    <w:rsid w:val="00E223E6"/>
    <w:rsid w:val="00E22C8D"/>
    <w:rsid w:val="00E23735"/>
    <w:rsid w:val="00E239A4"/>
    <w:rsid w:val="00E23F9F"/>
    <w:rsid w:val="00E240E1"/>
    <w:rsid w:val="00E2520D"/>
    <w:rsid w:val="00E25688"/>
    <w:rsid w:val="00E25C84"/>
    <w:rsid w:val="00E25ED2"/>
    <w:rsid w:val="00E267F8"/>
    <w:rsid w:val="00E26BCD"/>
    <w:rsid w:val="00E26CD1"/>
    <w:rsid w:val="00E2709C"/>
    <w:rsid w:val="00E27441"/>
    <w:rsid w:val="00E277D1"/>
    <w:rsid w:val="00E3099F"/>
    <w:rsid w:val="00E33A68"/>
    <w:rsid w:val="00E35C48"/>
    <w:rsid w:val="00E41B1B"/>
    <w:rsid w:val="00E41EF0"/>
    <w:rsid w:val="00E42793"/>
    <w:rsid w:val="00E4296C"/>
    <w:rsid w:val="00E431B1"/>
    <w:rsid w:val="00E44C13"/>
    <w:rsid w:val="00E4522A"/>
    <w:rsid w:val="00E45521"/>
    <w:rsid w:val="00E47C5C"/>
    <w:rsid w:val="00E50229"/>
    <w:rsid w:val="00E51FCD"/>
    <w:rsid w:val="00E52451"/>
    <w:rsid w:val="00E5385F"/>
    <w:rsid w:val="00E53EE4"/>
    <w:rsid w:val="00E55C67"/>
    <w:rsid w:val="00E57A25"/>
    <w:rsid w:val="00E60765"/>
    <w:rsid w:val="00E6241E"/>
    <w:rsid w:val="00E62D68"/>
    <w:rsid w:val="00E631B3"/>
    <w:rsid w:val="00E635B2"/>
    <w:rsid w:val="00E638AE"/>
    <w:rsid w:val="00E652FD"/>
    <w:rsid w:val="00E66BB6"/>
    <w:rsid w:val="00E7054B"/>
    <w:rsid w:val="00E72173"/>
    <w:rsid w:val="00E72239"/>
    <w:rsid w:val="00E72ED7"/>
    <w:rsid w:val="00E73760"/>
    <w:rsid w:val="00E73AAE"/>
    <w:rsid w:val="00E74CA5"/>
    <w:rsid w:val="00E80939"/>
    <w:rsid w:val="00E80B48"/>
    <w:rsid w:val="00E81193"/>
    <w:rsid w:val="00E8171C"/>
    <w:rsid w:val="00E829D0"/>
    <w:rsid w:val="00E82D37"/>
    <w:rsid w:val="00E8492E"/>
    <w:rsid w:val="00E86183"/>
    <w:rsid w:val="00E86357"/>
    <w:rsid w:val="00E867E3"/>
    <w:rsid w:val="00E90595"/>
    <w:rsid w:val="00E905EE"/>
    <w:rsid w:val="00E911F4"/>
    <w:rsid w:val="00E9291F"/>
    <w:rsid w:val="00E947FC"/>
    <w:rsid w:val="00E94D7B"/>
    <w:rsid w:val="00E94DF3"/>
    <w:rsid w:val="00E94EF8"/>
    <w:rsid w:val="00E95195"/>
    <w:rsid w:val="00E95550"/>
    <w:rsid w:val="00E95776"/>
    <w:rsid w:val="00E9590B"/>
    <w:rsid w:val="00E96A2E"/>
    <w:rsid w:val="00E96A43"/>
    <w:rsid w:val="00E97540"/>
    <w:rsid w:val="00EA02C4"/>
    <w:rsid w:val="00EA2DDE"/>
    <w:rsid w:val="00EA43CC"/>
    <w:rsid w:val="00EA462F"/>
    <w:rsid w:val="00EA4ADC"/>
    <w:rsid w:val="00EA4CC9"/>
    <w:rsid w:val="00EA54E0"/>
    <w:rsid w:val="00EA6F47"/>
    <w:rsid w:val="00EA74B6"/>
    <w:rsid w:val="00EA7613"/>
    <w:rsid w:val="00EA768F"/>
    <w:rsid w:val="00EB044B"/>
    <w:rsid w:val="00EB19F1"/>
    <w:rsid w:val="00EB2728"/>
    <w:rsid w:val="00EB2BA6"/>
    <w:rsid w:val="00EB33A6"/>
    <w:rsid w:val="00EB6B34"/>
    <w:rsid w:val="00EB6D37"/>
    <w:rsid w:val="00EB73A6"/>
    <w:rsid w:val="00EC14EA"/>
    <w:rsid w:val="00EC1AD1"/>
    <w:rsid w:val="00EC1B21"/>
    <w:rsid w:val="00EC312B"/>
    <w:rsid w:val="00EC337D"/>
    <w:rsid w:val="00EC4804"/>
    <w:rsid w:val="00EC7ADE"/>
    <w:rsid w:val="00ED0B91"/>
    <w:rsid w:val="00ED21C1"/>
    <w:rsid w:val="00ED64E6"/>
    <w:rsid w:val="00ED675C"/>
    <w:rsid w:val="00ED7E7B"/>
    <w:rsid w:val="00EE0912"/>
    <w:rsid w:val="00EE0CDF"/>
    <w:rsid w:val="00EE1D89"/>
    <w:rsid w:val="00EE2956"/>
    <w:rsid w:val="00EE2F74"/>
    <w:rsid w:val="00EE5AEB"/>
    <w:rsid w:val="00EE5ED9"/>
    <w:rsid w:val="00EE6367"/>
    <w:rsid w:val="00EE6521"/>
    <w:rsid w:val="00EE73D1"/>
    <w:rsid w:val="00EE7692"/>
    <w:rsid w:val="00EF0AEB"/>
    <w:rsid w:val="00EF0AF8"/>
    <w:rsid w:val="00EF0D55"/>
    <w:rsid w:val="00EF1C80"/>
    <w:rsid w:val="00EF236B"/>
    <w:rsid w:val="00EF3A13"/>
    <w:rsid w:val="00EF463F"/>
    <w:rsid w:val="00EF6229"/>
    <w:rsid w:val="00EF6F59"/>
    <w:rsid w:val="00EF711D"/>
    <w:rsid w:val="00F00A9E"/>
    <w:rsid w:val="00F017E1"/>
    <w:rsid w:val="00F02E3D"/>
    <w:rsid w:val="00F02FDA"/>
    <w:rsid w:val="00F032BF"/>
    <w:rsid w:val="00F05111"/>
    <w:rsid w:val="00F056D8"/>
    <w:rsid w:val="00F10080"/>
    <w:rsid w:val="00F10125"/>
    <w:rsid w:val="00F10774"/>
    <w:rsid w:val="00F10D3B"/>
    <w:rsid w:val="00F113CB"/>
    <w:rsid w:val="00F11ABB"/>
    <w:rsid w:val="00F11DBA"/>
    <w:rsid w:val="00F12377"/>
    <w:rsid w:val="00F13C18"/>
    <w:rsid w:val="00F14A56"/>
    <w:rsid w:val="00F156D8"/>
    <w:rsid w:val="00F16EFB"/>
    <w:rsid w:val="00F20B06"/>
    <w:rsid w:val="00F21408"/>
    <w:rsid w:val="00F21A46"/>
    <w:rsid w:val="00F2246D"/>
    <w:rsid w:val="00F2269C"/>
    <w:rsid w:val="00F22C5C"/>
    <w:rsid w:val="00F235A4"/>
    <w:rsid w:val="00F2441F"/>
    <w:rsid w:val="00F25936"/>
    <w:rsid w:val="00F266B0"/>
    <w:rsid w:val="00F2730C"/>
    <w:rsid w:val="00F2731F"/>
    <w:rsid w:val="00F27C80"/>
    <w:rsid w:val="00F301FD"/>
    <w:rsid w:val="00F31674"/>
    <w:rsid w:val="00F3169D"/>
    <w:rsid w:val="00F3231C"/>
    <w:rsid w:val="00F32BF7"/>
    <w:rsid w:val="00F351DA"/>
    <w:rsid w:val="00F362ED"/>
    <w:rsid w:val="00F36A18"/>
    <w:rsid w:val="00F3760D"/>
    <w:rsid w:val="00F408BB"/>
    <w:rsid w:val="00F40AFC"/>
    <w:rsid w:val="00F40F29"/>
    <w:rsid w:val="00F41A68"/>
    <w:rsid w:val="00F42187"/>
    <w:rsid w:val="00F45E79"/>
    <w:rsid w:val="00F46425"/>
    <w:rsid w:val="00F478F7"/>
    <w:rsid w:val="00F47A0A"/>
    <w:rsid w:val="00F47D12"/>
    <w:rsid w:val="00F47D6A"/>
    <w:rsid w:val="00F50E37"/>
    <w:rsid w:val="00F511C7"/>
    <w:rsid w:val="00F51DF9"/>
    <w:rsid w:val="00F52591"/>
    <w:rsid w:val="00F527D3"/>
    <w:rsid w:val="00F54033"/>
    <w:rsid w:val="00F57B12"/>
    <w:rsid w:val="00F57ED0"/>
    <w:rsid w:val="00F60306"/>
    <w:rsid w:val="00F611D4"/>
    <w:rsid w:val="00F613D3"/>
    <w:rsid w:val="00F6151B"/>
    <w:rsid w:val="00F61A21"/>
    <w:rsid w:val="00F61ED3"/>
    <w:rsid w:val="00F6226A"/>
    <w:rsid w:val="00F62624"/>
    <w:rsid w:val="00F62DCF"/>
    <w:rsid w:val="00F634D1"/>
    <w:rsid w:val="00F63947"/>
    <w:rsid w:val="00F63D8E"/>
    <w:rsid w:val="00F64230"/>
    <w:rsid w:val="00F6456F"/>
    <w:rsid w:val="00F652B8"/>
    <w:rsid w:val="00F66851"/>
    <w:rsid w:val="00F71363"/>
    <w:rsid w:val="00F738BD"/>
    <w:rsid w:val="00F74DB4"/>
    <w:rsid w:val="00F750C6"/>
    <w:rsid w:val="00F76155"/>
    <w:rsid w:val="00F766C1"/>
    <w:rsid w:val="00F77B6D"/>
    <w:rsid w:val="00F77ED9"/>
    <w:rsid w:val="00F8118F"/>
    <w:rsid w:val="00F83CB2"/>
    <w:rsid w:val="00F850E7"/>
    <w:rsid w:val="00F856D0"/>
    <w:rsid w:val="00F85FA2"/>
    <w:rsid w:val="00F8717C"/>
    <w:rsid w:val="00F87C3D"/>
    <w:rsid w:val="00F90305"/>
    <w:rsid w:val="00F90DDD"/>
    <w:rsid w:val="00F930AE"/>
    <w:rsid w:val="00F93AC0"/>
    <w:rsid w:val="00F93E74"/>
    <w:rsid w:val="00F94313"/>
    <w:rsid w:val="00F947EF"/>
    <w:rsid w:val="00F956AD"/>
    <w:rsid w:val="00F962CD"/>
    <w:rsid w:val="00F966EE"/>
    <w:rsid w:val="00F97326"/>
    <w:rsid w:val="00FA21D9"/>
    <w:rsid w:val="00FA2989"/>
    <w:rsid w:val="00FA2B37"/>
    <w:rsid w:val="00FA58B6"/>
    <w:rsid w:val="00FA5F2B"/>
    <w:rsid w:val="00FA6E42"/>
    <w:rsid w:val="00FB06A1"/>
    <w:rsid w:val="00FB0843"/>
    <w:rsid w:val="00FB0A3C"/>
    <w:rsid w:val="00FB1628"/>
    <w:rsid w:val="00FB180D"/>
    <w:rsid w:val="00FB1833"/>
    <w:rsid w:val="00FB2373"/>
    <w:rsid w:val="00FB38AE"/>
    <w:rsid w:val="00FB3C3E"/>
    <w:rsid w:val="00FB4454"/>
    <w:rsid w:val="00FB481D"/>
    <w:rsid w:val="00FB6D13"/>
    <w:rsid w:val="00FB73D3"/>
    <w:rsid w:val="00FB7A90"/>
    <w:rsid w:val="00FC0A36"/>
    <w:rsid w:val="00FC0B33"/>
    <w:rsid w:val="00FC1095"/>
    <w:rsid w:val="00FC15F1"/>
    <w:rsid w:val="00FC181B"/>
    <w:rsid w:val="00FC18DA"/>
    <w:rsid w:val="00FC1EE3"/>
    <w:rsid w:val="00FC2197"/>
    <w:rsid w:val="00FC2333"/>
    <w:rsid w:val="00FC3885"/>
    <w:rsid w:val="00FC3A5E"/>
    <w:rsid w:val="00FC3DAD"/>
    <w:rsid w:val="00FC3F0E"/>
    <w:rsid w:val="00FC44F3"/>
    <w:rsid w:val="00FC4CA3"/>
    <w:rsid w:val="00FC7E31"/>
    <w:rsid w:val="00FD0BBB"/>
    <w:rsid w:val="00FD1CDE"/>
    <w:rsid w:val="00FD422F"/>
    <w:rsid w:val="00FD42AF"/>
    <w:rsid w:val="00FD459E"/>
    <w:rsid w:val="00FD486D"/>
    <w:rsid w:val="00FD4ADF"/>
    <w:rsid w:val="00FD50C5"/>
    <w:rsid w:val="00FD582F"/>
    <w:rsid w:val="00FD5E24"/>
    <w:rsid w:val="00FD6474"/>
    <w:rsid w:val="00FD68B6"/>
    <w:rsid w:val="00FD7713"/>
    <w:rsid w:val="00FD7C70"/>
    <w:rsid w:val="00FE1357"/>
    <w:rsid w:val="00FE173D"/>
    <w:rsid w:val="00FE1F89"/>
    <w:rsid w:val="00FE2182"/>
    <w:rsid w:val="00FE24C7"/>
    <w:rsid w:val="00FE44B6"/>
    <w:rsid w:val="00FE4E90"/>
    <w:rsid w:val="00FE5526"/>
    <w:rsid w:val="00FE7B8A"/>
    <w:rsid w:val="00FF011D"/>
    <w:rsid w:val="00FF336B"/>
    <w:rsid w:val="00FF422F"/>
    <w:rsid w:val="00FF5B6F"/>
    <w:rsid w:val="00FF6103"/>
    <w:rsid w:val="00FF6C60"/>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4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8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500"/>
    <w:pPr>
      <w:spacing w:after="0" w:line="240" w:lineRule="auto"/>
    </w:pPr>
  </w:style>
  <w:style w:type="character" w:styleId="SubtleEmphasis">
    <w:name w:val="Subtle Emphasis"/>
    <w:basedOn w:val="DefaultParagraphFont"/>
    <w:uiPriority w:val="19"/>
    <w:qFormat/>
    <w:rsid w:val="00BB619C"/>
    <w:rPr>
      <w:i/>
      <w:iCs/>
      <w:color w:val="404040" w:themeColor="text1" w:themeTint="BF"/>
    </w:rPr>
  </w:style>
  <w:style w:type="character" w:customStyle="1" w:styleId="Heading1Char">
    <w:name w:val="Heading 1 Char"/>
    <w:basedOn w:val="DefaultParagraphFont"/>
    <w:link w:val="Heading1"/>
    <w:uiPriority w:val="9"/>
    <w:rsid w:val="00BF57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4A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8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1004475122">
      <w:bodyDiv w:val="1"/>
      <w:marLeft w:val="0"/>
      <w:marRight w:val="0"/>
      <w:marTop w:val="0"/>
      <w:marBottom w:val="0"/>
      <w:divBdr>
        <w:top w:val="none" w:sz="0" w:space="0" w:color="auto"/>
        <w:left w:val="none" w:sz="0" w:space="0" w:color="auto"/>
        <w:bottom w:val="none" w:sz="0" w:space="0" w:color="auto"/>
        <w:right w:val="none" w:sz="0" w:space="0" w:color="auto"/>
      </w:divBdr>
    </w:div>
    <w:div w:id="1020087077">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83760140">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3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Gabinetti</dc:creator>
  <cp:keywords/>
  <dc:description/>
  <cp:lastModifiedBy>Marks, Brett (DPH)</cp:lastModifiedBy>
  <cp:revision>6</cp:revision>
  <cp:lastPrinted>2023-10-04T12:12:00Z</cp:lastPrinted>
  <dcterms:created xsi:type="dcterms:W3CDTF">2023-10-04T12:13:00Z</dcterms:created>
  <dcterms:modified xsi:type="dcterms:W3CDTF">2023-10-23T13:04:00Z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Version">
    <vt:i4>20</vt:i4>
  </property>
  <property fmtid="{D5CDD505-2E9C-101B-9397-08002B2CF9AE}" pid="4" name="tabName">
    <vt:lpwstr>Report</vt:lpwstr>
  </property>
  <property fmtid="{D5CDD505-2E9C-101B-9397-08002B2CF9AE}" pid="5" name="tabIndex">
    <vt:lpwstr>300</vt:lpwstr>
  </property>
  <property fmtid="{D5CDD505-2E9C-101B-9397-08002B2CF9AE}" pid="6" name="workpaperIndex">
    <vt:lpwstr>300-01</vt:lpwstr>
  </property>
</Properties>
</file>