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D0A9"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Start w:id="1" w:name="B9257f5a243394a728ade82b7e7564688"/>
      <w:bookmarkEnd w:id="0"/>
      <w:bookmarkEnd w:id="1"/>
    </w:p>
    <w:p w14:paraId="4724C806" w14:textId="77777777" w:rsidR="00AE71E8" w:rsidRPr="005C2CC3" w:rsidRDefault="00AE71E8" w:rsidP="005C2CC3">
      <w:pPr>
        <w:spacing w:after="0" w:line="240" w:lineRule="auto"/>
        <w:jc w:val="center"/>
        <w:rPr>
          <w:rFonts w:ascii="Times New Roman" w:hAnsi="Times New Roman" w:cs="Times New Roman"/>
          <w:b/>
        </w:rPr>
      </w:pPr>
    </w:p>
    <w:p w14:paraId="691A65EB" w14:textId="77777777" w:rsidR="00AE71E8" w:rsidRPr="005C2CC3" w:rsidRDefault="00AE71E8" w:rsidP="005C2CC3">
      <w:pPr>
        <w:spacing w:after="0" w:line="240" w:lineRule="auto"/>
        <w:jc w:val="center"/>
        <w:rPr>
          <w:rFonts w:ascii="Times New Roman" w:hAnsi="Times New Roman" w:cs="Times New Roman"/>
          <w:b/>
        </w:rPr>
      </w:pPr>
    </w:p>
    <w:p w14:paraId="34C4DD1C" w14:textId="77777777" w:rsidR="00AE71E8" w:rsidRPr="005C2CC3" w:rsidRDefault="00AE71E8" w:rsidP="005C2CC3">
      <w:pPr>
        <w:spacing w:after="0" w:line="240" w:lineRule="auto"/>
        <w:jc w:val="center"/>
        <w:rPr>
          <w:rFonts w:ascii="Times New Roman" w:hAnsi="Times New Roman" w:cs="Times New Roman"/>
          <w:b/>
        </w:rPr>
      </w:pPr>
    </w:p>
    <w:p w14:paraId="7F6354DC" w14:textId="77777777" w:rsidR="00AE71E8" w:rsidRPr="005C2CC3" w:rsidRDefault="00AE71E8" w:rsidP="005C2CC3">
      <w:pPr>
        <w:spacing w:after="0" w:line="240" w:lineRule="auto"/>
        <w:jc w:val="center"/>
        <w:rPr>
          <w:rFonts w:ascii="Times New Roman" w:hAnsi="Times New Roman" w:cs="Times New Roman"/>
          <w:b/>
        </w:rPr>
      </w:pPr>
    </w:p>
    <w:p w14:paraId="20BB6606" w14:textId="77777777" w:rsidR="00AE71E8" w:rsidRDefault="00AE71E8" w:rsidP="005C2CC3">
      <w:pPr>
        <w:spacing w:after="0" w:line="240" w:lineRule="auto"/>
        <w:jc w:val="center"/>
        <w:rPr>
          <w:rFonts w:ascii="Times New Roman" w:hAnsi="Times New Roman" w:cs="Times New Roman"/>
          <w:b/>
        </w:rPr>
      </w:pPr>
    </w:p>
    <w:p w14:paraId="5045AF73" w14:textId="77777777" w:rsidR="005C2CC3" w:rsidRDefault="005C2CC3" w:rsidP="005C2CC3">
      <w:pPr>
        <w:spacing w:after="0" w:line="240" w:lineRule="auto"/>
        <w:jc w:val="center"/>
        <w:rPr>
          <w:rFonts w:ascii="Times New Roman" w:hAnsi="Times New Roman" w:cs="Times New Roman"/>
          <w:b/>
        </w:rPr>
      </w:pPr>
    </w:p>
    <w:p w14:paraId="1C689C41" w14:textId="77777777" w:rsidR="005C2CC3" w:rsidRPr="005C2CC3" w:rsidRDefault="005C2CC3" w:rsidP="005C2CC3">
      <w:pPr>
        <w:spacing w:after="0" w:line="240" w:lineRule="auto"/>
        <w:jc w:val="center"/>
        <w:rPr>
          <w:rFonts w:ascii="Times New Roman" w:hAnsi="Times New Roman" w:cs="Times New Roman"/>
          <w:b/>
        </w:rPr>
      </w:pPr>
    </w:p>
    <w:p w14:paraId="743F3C68" w14:textId="77777777" w:rsidR="00AE71E8" w:rsidRDefault="00AE71E8" w:rsidP="005C2CC3">
      <w:pPr>
        <w:spacing w:after="0" w:line="240" w:lineRule="auto"/>
        <w:jc w:val="center"/>
        <w:rPr>
          <w:rFonts w:ascii="Times New Roman" w:hAnsi="Times New Roman" w:cs="Times New Roman"/>
          <w:b/>
        </w:rPr>
      </w:pPr>
    </w:p>
    <w:p w14:paraId="38FD56F8" w14:textId="77777777" w:rsidR="005C2CC3" w:rsidRDefault="005C2CC3" w:rsidP="005C2CC3">
      <w:pPr>
        <w:spacing w:after="0" w:line="240" w:lineRule="auto"/>
        <w:jc w:val="center"/>
        <w:rPr>
          <w:rFonts w:ascii="Times New Roman" w:hAnsi="Times New Roman" w:cs="Times New Roman"/>
          <w:b/>
        </w:rPr>
      </w:pPr>
    </w:p>
    <w:p w14:paraId="69FE453A" w14:textId="77777777" w:rsidR="00D16BEB" w:rsidRDefault="00D16BEB" w:rsidP="005C2CC3">
      <w:pPr>
        <w:spacing w:after="0" w:line="240" w:lineRule="auto"/>
        <w:jc w:val="center"/>
        <w:rPr>
          <w:rFonts w:ascii="Times New Roman" w:hAnsi="Times New Roman" w:cs="Times New Roman"/>
          <w:b/>
        </w:rPr>
      </w:pPr>
    </w:p>
    <w:p w14:paraId="5AB2B9CE" w14:textId="77A8EDD6" w:rsidR="00D16BEB" w:rsidRDefault="00D16BEB" w:rsidP="005C2CC3">
      <w:pPr>
        <w:spacing w:after="0" w:line="240" w:lineRule="auto"/>
        <w:jc w:val="center"/>
        <w:rPr>
          <w:rFonts w:ascii="Times New Roman" w:hAnsi="Times New Roman" w:cs="Times New Roman"/>
          <w:b/>
        </w:rPr>
      </w:pPr>
    </w:p>
    <w:p w14:paraId="26B918BD" w14:textId="25F6D704" w:rsidR="000E3255" w:rsidRDefault="000E3255" w:rsidP="005C2CC3">
      <w:pPr>
        <w:spacing w:after="0" w:line="240" w:lineRule="auto"/>
        <w:jc w:val="center"/>
        <w:rPr>
          <w:rFonts w:ascii="Times New Roman" w:hAnsi="Times New Roman" w:cs="Times New Roman"/>
          <w:b/>
        </w:rPr>
      </w:pPr>
    </w:p>
    <w:p w14:paraId="158EF7B8" w14:textId="77777777" w:rsidR="005C2CC3" w:rsidRPr="005C2CC3" w:rsidRDefault="005C2CC3" w:rsidP="005C2CC3">
      <w:pPr>
        <w:spacing w:after="0" w:line="240" w:lineRule="auto"/>
        <w:jc w:val="center"/>
        <w:rPr>
          <w:rFonts w:ascii="Times New Roman" w:hAnsi="Times New Roman" w:cs="Times New Roman"/>
          <w:b/>
        </w:rPr>
      </w:pPr>
    </w:p>
    <w:p w14:paraId="28C20631" w14:textId="77777777" w:rsidR="00AE71E8" w:rsidRPr="00CA255F" w:rsidRDefault="00AE71E8" w:rsidP="005C2CC3">
      <w:pPr>
        <w:spacing w:after="0" w:line="240" w:lineRule="auto"/>
        <w:jc w:val="center"/>
        <w:rPr>
          <w:rFonts w:ascii="Times New Roman" w:hAnsi="Times New Roman" w:cs="Times New Roman"/>
          <w:b/>
          <w:sz w:val="24"/>
          <w:szCs w:val="24"/>
        </w:rPr>
      </w:pPr>
    </w:p>
    <w:p w14:paraId="3674500E" w14:textId="3D6AF543" w:rsidR="00AE71E8" w:rsidRPr="00A912AB" w:rsidRDefault="00573787" w:rsidP="00A912AB">
      <w:pPr>
        <w:pStyle w:val="Heading2"/>
        <w:jc w:val="center"/>
        <w:rPr>
          <w:rFonts w:ascii="Times New Roman" w:hAnsi="Times New Roman" w:cs="Times New Roman"/>
          <w:b/>
          <w:bCs/>
          <w:color w:val="auto"/>
        </w:rPr>
      </w:pPr>
      <w:r w:rsidRPr="00A912AB">
        <w:rPr>
          <w:rFonts w:ascii="Times New Roman" w:hAnsi="Times New Roman" w:cs="Times New Roman"/>
          <w:b/>
          <w:bCs/>
          <w:color w:val="auto"/>
        </w:rPr>
        <w:t>Beth Israel Lahey Health, Inc.</w:t>
      </w:r>
    </w:p>
    <w:p w14:paraId="27300327" w14:textId="52417BB7" w:rsidR="00AE71E8" w:rsidRPr="00A912AB" w:rsidRDefault="00AE71E8" w:rsidP="00A912AB">
      <w:pPr>
        <w:pStyle w:val="Heading2"/>
        <w:jc w:val="center"/>
        <w:rPr>
          <w:rFonts w:ascii="Times New Roman" w:hAnsi="Times New Roman" w:cs="Times New Roman"/>
          <w:b/>
          <w:bCs/>
          <w:color w:val="auto"/>
        </w:rPr>
      </w:pPr>
      <w:r w:rsidRPr="00A912AB">
        <w:rPr>
          <w:rFonts w:ascii="Times New Roman" w:hAnsi="Times New Roman" w:cs="Times New Roman"/>
          <w:b/>
          <w:bCs/>
          <w:color w:val="auto"/>
        </w:rPr>
        <w:t>Analysis of the Reasonableness of Assumptions Used For and the</w:t>
      </w:r>
    </w:p>
    <w:p w14:paraId="77F5AF61" w14:textId="7612F2C6" w:rsidR="00FB06A1" w:rsidRPr="00A912AB" w:rsidRDefault="00AE71E8" w:rsidP="00A912AB">
      <w:pPr>
        <w:pStyle w:val="Heading2"/>
        <w:jc w:val="center"/>
        <w:rPr>
          <w:rFonts w:ascii="Times New Roman" w:hAnsi="Times New Roman" w:cs="Times New Roman"/>
          <w:b/>
          <w:bCs/>
          <w:color w:val="auto"/>
        </w:rPr>
      </w:pPr>
      <w:r w:rsidRPr="00A912AB">
        <w:rPr>
          <w:rFonts w:ascii="Times New Roman" w:hAnsi="Times New Roman" w:cs="Times New Roman"/>
          <w:b/>
          <w:bCs/>
          <w:color w:val="auto"/>
        </w:rPr>
        <w:t xml:space="preserve">Feasibility of Projected Financials associated with the </w:t>
      </w:r>
      <w:r w:rsidR="005D61E9" w:rsidRPr="00A912AB">
        <w:rPr>
          <w:rFonts w:ascii="Times New Roman" w:hAnsi="Times New Roman" w:cs="Times New Roman"/>
          <w:b/>
          <w:bCs/>
          <w:color w:val="auto"/>
        </w:rPr>
        <w:t>a</w:t>
      </w:r>
      <w:r w:rsidR="00394012" w:rsidRPr="00A912AB">
        <w:rPr>
          <w:rFonts w:ascii="Times New Roman" w:hAnsi="Times New Roman" w:cs="Times New Roman"/>
          <w:b/>
          <w:bCs/>
          <w:color w:val="auto"/>
        </w:rPr>
        <w:t>cquisition</w:t>
      </w:r>
      <w:r w:rsidR="005D61E9" w:rsidRPr="00A912AB">
        <w:rPr>
          <w:rFonts w:ascii="Times New Roman" w:hAnsi="Times New Roman" w:cs="Times New Roman"/>
          <w:b/>
          <w:bCs/>
          <w:color w:val="auto"/>
        </w:rPr>
        <w:t xml:space="preserve"> of a </w:t>
      </w:r>
      <w:r w:rsidR="0050095B" w:rsidRPr="00A912AB">
        <w:rPr>
          <w:rFonts w:ascii="Times New Roman" w:hAnsi="Times New Roman" w:cs="Times New Roman"/>
          <w:b/>
          <w:bCs/>
          <w:color w:val="auto"/>
        </w:rPr>
        <w:t>second</w:t>
      </w:r>
      <w:r w:rsidR="00783B70" w:rsidRPr="00A912AB">
        <w:rPr>
          <w:rFonts w:ascii="Times New Roman" w:hAnsi="Times New Roman" w:cs="Times New Roman"/>
          <w:b/>
          <w:bCs/>
          <w:color w:val="auto"/>
        </w:rPr>
        <w:t xml:space="preserve"> </w:t>
      </w:r>
      <w:r w:rsidR="005D61E9" w:rsidRPr="00A912AB">
        <w:rPr>
          <w:rFonts w:ascii="Times New Roman" w:hAnsi="Times New Roman" w:cs="Times New Roman"/>
          <w:b/>
          <w:bCs/>
          <w:color w:val="auto"/>
        </w:rPr>
        <w:t xml:space="preserve">computed tomography (“CT”) scanner at </w:t>
      </w:r>
      <w:r w:rsidR="00570120" w:rsidRPr="00A912AB">
        <w:rPr>
          <w:rFonts w:ascii="Times New Roman" w:hAnsi="Times New Roman" w:cs="Times New Roman"/>
          <w:b/>
          <w:bCs/>
          <w:color w:val="auto"/>
        </w:rPr>
        <w:t>Anna Jaques Hospital</w:t>
      </w:r>
    </w:p>
    <w:p w14:paraId="27560FA1" w14:textId="77777777" w:rsidR="003E1FCD" w:rsidRPr="00A912AB" w:rsidRDefault="003E1FCD" w:rsidP="00A912AB">
      <w:pPr>
        <w:pStyle w:val="Heading2"/>
        <w:jc w:val="center"/>
        <w:rPr>
          <w:rFonts w:ascii="Times New Roman" w:hAnsi="Times New Roman" w:cs="Times New Roman"/>
          <w:b/>
          <w:bCs/>
          <w:color w:val="auto"/>
        </w:rPr>
      </w:pPr>
    </w:p>
    <w:p w14:paraId="5ED2CFC4" w14:textId="77777777" w:rsidR="00F2625C" w:rsidRPr="00A912AB" w:rsidRDefault="00F2625C" w:rsidP="00A912AB">
      <w:pPr>
        <w:pStyle w:val="Heading2"/>
        <w:jc w:val="center"/>
        <w:rPr>
          <w:rFonts w:ascii="Times New Roman" w:hAnsi="Times New Roman" w:cs="Times New Roman"/>
          <w:b/>
          <w:bCs/>
          <w:color w:val="auto"/>
        </w:rPr>
      </w:pPr>
      <w:r w:rsidRPr="00A912AB">
        <w:rPr>
          <w:rFonts w:ascii="Times New Roman" w:hAnsi="Times New Roman" w:cs="Times New Roman"/>
          <w:b/>
          <w:bCs/>
          <w:color w:val="auto"/>
        </w:rPr>
        <w:t>For the Years Ending September 30, 2024 through September 30, 2028</w:t>
      </w:r>
    </w:p>
    <w:p w14:paraId="0FB6934C" w14:textId="77777777" w:rsidR="00FB06A1" w:rsidRPr="005C2CC3" w:rsidRDefault="00FB06A1" w:rsidP="001569CA">
      <w:pPr>
        <w:pStyle w:val="Heading2"/>
        <w:rPr>
          <w:caps/>
        </w:rPr>
      </w:pPr>
    </w:p>
    <w:p w14:paraId="6A3D7F22" w14:textId="77777777" w:rsidR="00FB06A1" w:rsidRPr="005C2CC3" w:rsidRDefault="00FB06A1" w:rsidP="005C2CC3">
      <w:pPr>
        <w:spacing w:after="0" w:line="240" w:lineRule="auto"/>
        <w:jc w:val="center"/>
        <w:rPr>
          <w:rFonts w:ascii="Times New Roman" w:hAnsi="Times New Roman" w:cs="Times New Roman"/>
          <w:b/>
        </w:rPr>
      </w:pPr>
    </w:p>
    <w:p w14:paraId="544321DA" w14:textId="77777777" w:rsidR="00FB06A1" w:rsidRPr="005C2CC3" w:rsidRDefault="00FB06A1" w:rsidP="005C2CC3">
      <w:pPr>
        <w:spacing w:after="0" w:line="240" w:lineRule="auto"/>
        <w:jc w:val="center"/>
        <w:rPr>
          <w:rFonts w:ascii="Times New Roman" w:hAnsi="Times New Roman" w:cs="Times New Roman"/>
          <w:b/>
        </w:rPr>
      </w:pPr>
    </w:p>
    <w:p w14:paraId="2E76949E" w14:textId="77777777" w:rsidR="00FB06A1" w:rsidRPr="005C2CC3" w:rsidRDefault="00FB06A1" w:rsidP="005C2CC3">
      <w:pPr>
        <w:spacing w:after="0" w:line="240" w:lineRule="auto"/>
        <w:jc w:val="center"/>
        <w:rPr>
          <w:rFonts w:ascii="Times New Roman" w:hAnsi="Times New Roman" w:cs="Times New Roman"/>
          <w:b/>
        </w:rPr>
      </w:pPr>
    </w:p>
    <w:p w14:paraId="163044DF" w14:textId="77777777" w:rsidR="00FB06A1" w:rsidRPr="005C2CC3" w:rsidRDefault="00FB06A1" w:rsidP="005C2CC3">
      <w:pPr>
        <w:spacing w:after="0" w:line="240" w:lineRule="auto"/>
        <w:jc w:val="center"/>
        <w:rPr>
          <w:rFonts w:ascii="Times New Roman" w:hAnsi="Times New Roman" w:cs="Times New Roman"/>
          <w:b/>
        </w:rPr>
      </w:pPr>
    </w:p>
    <w:p w14:paraId="54CEDFD3" w14:textId="77777777" w:rsidR="00FB06A1" w:rsidRPr="005C2CC3" w:rsidRDefault="00FB06A1" w:rsidP="005C2CC3">
      <w:pPr>
        <w:spacing w:after="0" w:line="240" w:lineRule="auto"/>
        <w:jc w:val="center"/>
        <w:rPr>
          <w:rFonts w:ascii="Times New Roman" w:hAnsi="Times New Roman" w:cs="Times New Roman"/>
          <w:b/>
        </w:rPr>
      </w:pPr>
    </w:p>
    <w:p w14:paraId="1F6D8010" w14:textId="77777777" w:rsidR="00FB06A1" w:rsidRPr="005C2CC3" w:rsidRDefault="00FB06A1" w:rsidP="005C2CC3">
      <w:pPr>
        <w:spacing w:after="0" w:line="240" w:lineRule="auto"/>
        <w:jc w:val="center"/>
        <w:rPr>
          <w:rFonts w:ascii="Times New Roman" w:hAnsi="Times New Roman" w:cs="Times New Roman"/>
          <w:b/>
        </w:rPr>
      </w:pPr>
    </w:p>
    <w:p w14:paraId="46D6BA8E" w14:textId="77777777" w:rsidR="00FB06A1" w:rsidRPr="005C2CC3" w:rsidRDefault="00FB06A1" w:rsidP="005C2CC3">
      <w:pPr>
        <w:spacing w:after="0" w:line="240" w:lineRule="auto"/>
        <w:jc w:val="center"/>
        <w:rPr>
          <w:rFonts w:ascii="Times New Roman" w:hAnsi="Times New Roman" w:cs="Times New Roman"/>
          <w:b/>
        </w:rPr>
      </w:pPr>
    </w:p>
    <w:p w14:paraId="36BFC423" w14:textId="77777777" w:rsidR="00FB06A1" w:rsidRPr="005C2CC3" w:rsidRDefault="00FB06A1" w:rsidP="005C2CC3">
      <w:pPr>
        <w:spacing w:after="0" w:line="240" w:lineRule="auto"/>
        <w:jc w:val="center"/>
        <w:rPr>
          <w:rFonts w:ascii="Times New Roman" w:hAnsi="Times New Roman" w:cs="Times New Roman"/>
          <w:b/>
        </w:rPr>
      </w:pPr>
    </w:p>
    <w:p w14:paraId="75D4316D" w14:textId="77777777" w:rsidR="00FB06A1" w:rsidRPr="005C2CC3" w:rsidRDefault="00FB06A1" w:rsidP="005C2CC3">
      <w:pPr>
        <w:spacing w:after="0" w:line="240" w:lineRule="auto"/>
        <w:jc w:val="center"/>
        <w:rPr>
          <w:rFonts w:ascii="Times New Roman" w:hAnsi="Times New Roman" w:cs="Times New Roman"/>
          <w:b/>
        </w:rPr>
      </w:pPr>
    </w:p>
    <w:p w14:paraId="68792412" w14:textId="77777777" w:rsidR="00FB06A1" w:rsidRPr="005C2CC3" w:rsidRDefault="00FB06A1" w:rsidP="005C2CC3">
      <w:pPr>
        <w:spacing w:after="0" w:line="240" w:lineRule="auto"/>
        <w:jc w:val="center"/>
        <w:rPr>
          <w:rFonts w:ascii="Times New Roman" w:hAnsi="Times New Roman" w:cs="Times New Roman"/>
          <w:b/>
        </w:rPr>
      </w:pPr>
    </w:p>
    <w:p w14:paraId="0A69C1F3" w14:textId="77777777" w:rsidR="00FB06A1" w:rsidRPr="005C2CC3" w:rsidRDefault="00FB06A1" w:rsidP="005C2CC3">
      <w:pPr>
        <w:spacing w:after="0" w:line="240" w:lineRule="auto"/>
        <w:jc w:val="center"/>
        <w:rPr>
          <w:rFonts w:ascii="Times New Roman" w:hAnsi="Times New Roman" w:cs="Times New Roman"/>
          <w:b/>
        </w:rPr>
      </w:pPr>
    </w:p>
    <w:p w14:paraId="164240FA" w14:textId="77777777" w:rsidR="00FB06A1" w:rsidRPr="005C2CC3" w:rsidRDefault="00FB06A1" w:rsidP="005C2CC3">
      <w:pPr>
        <w:spacing w:after="0" w:line="240" w:lineRule="auto"/>
        <w:jc w:val="center"/>
        <w:rPr>
          <w:rFonts w:ascii="Times New Roman" w:hAnsi="Times New Roman" w:cs="Times New Roman"/>
          <w:b/>
        </w:rPr>
      </w:pPr>
    </w:p>
    <w:p w14:paraId="06C3650E" w14:textId="77777777" w:rsidR="005C2CC3" w:rsidRDefault="005C2CC3" w:rsidP="00AE71E8">
      <w:pPr>
        <w:jc w:val="center"/>
        <w:sectPr w:rsidR="005C2CC3" w:rsidSect="005C2CC3">
          <w:footerReference w:type="default" r:id="rId8"/>
          <w:footerReference w:type="first" r:id="rId9"/>
          <w:pgSz w:w="12240" w:h="15840" w:code="1"/>
          <w:pgMar w:top="720" w:right="720" w:bottom="720" w:left="960" w:header="0" w:footer="0" w:gutter="0"/>
          <w:cols w:space="720"/>
          <w:docGrid w:linePitch="360"/>
        </w:sectPr>
      </w:pPr>
    </w:p>
    <w:p w14:paraId="3850F37C" w14:textId="4FF8978C" w:rsidR="007243FC" w:rsidRPr="007243FC" w:rsidRDefault="005B7027" w:rsidP="007243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Anna Jaques Hospital</w:t>
      </w:r>
    </w:p>
    <w:p w14:paraId="0E302A34" w14:textId="77777777" w:rsidR="00FB06A1" w:rsidRDefault="00FB06A1" w:rsidP="005C2CC3">
      <w:pPr>
        <w:spacing w:after="0" w:line="240" w:lineRule="auto"/>
        <w:jc w:val="center"/>
        <w:rPr>
          <w:rFonts w:ascii="Times New Roman" w:hAnsi="Times New Roman" w:cs="Times New Roman"/>
        </w:rPr>
      </w:pPr>
    </w:p>
    <w:p w14:paraId="68CFC0E4" w14:textId="77777777" w:rsidR="00414C8B" w:rsidRDefault="00414C8B" w:rsidP="005C2CC3">
      <w:pPr>
        <w:spacing w:after="0" w:line="240" w:lineRule="auto"/>
        <w:jc w:val="center"/>
        <w:rPr>
          <w:rFonts w:ascii="Times New Roman" w:hAnsi="Times New Roman" w:cs="Times New Roman"/>
        </w:rPr>
      </w:pPr>
    </w:p>
    <w:p w14:paraId="0527C6EB" w14:textId="77777777" w:rsidR="00414C8B" w:rsidRDefault="00414C8B" w:rsidP="005C2CC3">
      <w:pPr>
        <w:spacing w:after="0" w:line="240" w:lineRule="auto"/>
        <w:jc w:val="center"/>
        <w:rPr>
          <w:rFonts w:ascii="Times New Roman" w:hAnsi="Times New Roman" w:cs="Times New Roman"/>
        </w:rPr>
      </w:pPr>
    </w:p>
    <w:p w14:paraId="6206E1E9" w14:textId="77777777" w:rsidR="00414C8B" w:rsidRDefault="00414C8B" w:rsidP="005C2CC3">
      <w:pPr>
        <w:spacing w:after="0" w:line="240" w:lineRule="auto"/>
        <w:jc w:val="center"/>
        <w:rPr>
          <w:rFonts w:ascii="Times New Roman" w:hAnsi="Times New Roman" w:cs="Times New Roman"/>
        </w:rPr>
      </w:pPr>
    </w:p>
    <w:p w14:paraId="3D159EDB" w14:textId="77777777" w:rsidR="00414C8B" w:rsidRPr="005C2CC3" w:rsidRDefault="00414C8B" w:rsidP="005C2CC3">
      <w:pPr>
        <w:spacing w:after="0" w:line="240" w:lineRule="auto"/>
        <w:jc w:val="center"/>
        <w:rPr>
          <w:rFonts w:ascii="Times New Roman" w:hAnsi="Times New Roman" w:cs="Times New Roman"/>
        </w:rPr>
      </w:pPr>
    </w:p>
    <w:p w14:paraId="017C1107" w14:textId="77777777" w:rsidR="00FB06A1" w:rsidRPr="0056746F" w:rsidRDefault="005C2CC3" w:rsidP="005C2CC3">
      <w:pPr>
        <w:spacing w:after="0" w:line="240" w:lineRule="auto"/>
        <w:jc w:val="center"/>
        <w:rPr>
          <w:rFonts w:ascii="Times New Roman" w:hAnsi="Times New Roman" w:cs="Times New Roman"/>
          <w:b/>
          <w:caps/>
          <w:sz w:val="24"/>
          <w:szCs w:val="24"/>
        </w:rPr>
      </w:pPr>
      <w:r w:rsidRPr="0056746F">
        <w:rPr>
          <w:rFonts w:ascii="Times New Roman" w:hAnsi="Times New Roman" w:cs="Times New Roman"/>
          <w:b/>
          <w:caps/>
          <w:sz w:val="24"/>
          <w:szCs w:val="24"/>
        </w:rPr>
        <w:t>T</w:t>
      </w:r>
      <w:r w:rsidR="00FB06A1" w:rsidRPr="0056746F">
        <w:rPr>
          <w:rFonts w:ascii="Times New Roman" w:hAnsi="Times New Roman" w:cs="Times New Roman"/>
          <w:b/>
          <w:caps/>
          <w:sz w:val="24"/>
          <w:szCs w:val="24"/>
        </w:rPr>
        <w:t>able of Contents</w:t>
      </w:r>
    </w:p>
    <w:p w14:paraId="0FA5E860" w14:textId="77777777" w:rsidR="00FB06A1" w:rsidRDefault="00FB06A1" w:rsidP="005C2CC3">
      <w:pPr>
        <w:spacing w:after="0" w:line="240" w:lineRule="auto"/>
        <w:jc w:val="center"/>
        <w:rPr>
          <w:rFonts w:ascii="Times New Roman" w:hAnsi="Times New Roman" w:cs="Times New Roman"/>
        </w:rPr>
      </w:pPr>
    </w:p>
    <w:p w14:paraId="6AD07281" w14:textId="77777777" w:rsidR="00414C8B" w:rsidRPr="005C2CC3" w:rsidRDefault="00414C8B" w:rsidP="005C2CC3">
      <w:pPr>
        <w:spacing w:after="0" w:line="240" w:lineRule="auto"/>
        <w:jc w:val="center"/>
        <w:rPr>
          <w:rFonts w:ascii="Times New Roman" w:hAnsi="Times New Roman" w:cs="Times New Roman"/>
        </w:rPr>
      </w:pPr>
    </w:p>
    <w:p w14:paraId="59C5BD14" w14:textId="77777777" w:rsidR="00FB06A1" w:rsidRPr="00F601F9"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601F9">
        <w:rPr>
          <w:rFonts w:ascii="Times New Roman" w:hAnsi="Times New Roman" w:cs="Times New Roman"/>
        </w:rPr>
        <w:t>Executive Summary</w:t>
      </w:r>
      <w:r w:rsidR="00D703DF" w:rsidRPr="00F601F9">
        <w:rPr>
          <w:rFonts w:ascii="Times New Roman" w:hAnsi="Times New Roman" w:cs="Times New Roman"/>
        </w:rPr>
        <w:tab/>
        <w:t>1</w:t>
      </w:r>
    </w:p>
    <w:p w14:paraId="11F39464" w14:textId="77777777" w:rsidR="00FB06A1" w:rsidRPr="00F601F9" w:rsidRDefault="00FB06A1" w:rsidP="005C2CC3">
      <w:pPr>
        <w:spacing w:after="0" w:line="240" w:lineRule="auto"/>
        <w:rPr>
          <w:rFonts w:ascii="Times New Roman" w:hAnsi="Times New Roman" w:cs="Times New Roman"/>
        </w:rPr>
      </w:pPr>
    </w:p>
    <w:p w14:paraId="489077ED" w14:textId="77777777" w:rsidR="00414C8B" w:rsidRPr="00F601F9" w:rsidRDefault="00414C8B" w:rsidP="005C2CC3">
      <w:pPr>
        <w:spacing w:after="0" w:line="240" w:lineRule="auto"/>
        <w:rPr>
          <w:rFonts w:ascii="Times New Roman" w:hAnsi="Times New Roman" w:cs="Times New Roman"/>
        </w:rPr>
      </w:pPr>
    </w:p>
    <w:p w14:paraId="69559065" w14:textId="77777777" w:rsidR="00FB06A1" w:rsidRPr="00F601F9"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601F9">
        <w:rPr>
          <w:rFonts w:ascii="Times New Roman" w:hAnsi="Times New Roman" w:cs="Times New Roman"/>
        </w:rPr>
        <w:t>Relevant Background Information</w:t>
      </w:r>
      <w:r w:rsidR="00D703DF" w:rsidRPr="00F601F9">
        <w:rPr>
          <w:rFonts w:ascii="Times New Roman" w:hAnsi="Times New Roman" w:cs="Times New Roman"/>
        </w:rPr>
        <w:tab/>
      </w:r>
      <w:r w:rsidR="007A2AB6" w:rsidRPr="00F601F9">
        <w:rPr>
          <w:rFonts w:ascii="Times New Roman" w:hAnsi="Times New Roman" w:cs="Times New Roman"/>
        </w:rPr>
        <w:t>1</w:t>
      </w:r>
    </w:p>
    <w:p w14:paraId="12914F9B" w14:textId="77777777" w:rsidR="00FB06A1" w:rsidRPr="00F601F9" w:rsidRDefault="00FB06A1" w:rsidP="005C2CC3">
      <w:pPr>
        <w:spacing w:after="0" w:line="240" w:lineRule="auto"/>
        <w:rPr>
          <w:rFonts w:ascii="Times New Roman" w:hAnsi="Times New Roman" w:cs="Times New Roman"/>
        </w:rPr>
      </w:pPr>
    </w:p>
    <w:p w14:paraId="6BA7A9C6" w14:textId="77777777" w:rsidR="00414C8B" w:rsidRPr="00F601F9" w:rsidRDefault="00414C8B" w:rsidP="005C2CC3">
      <w:pPr>
        <w:spacing w:after="0" w:line="240" w:lineRule="auto"/>
        <w:rPr>
          <w:rFonts w:ascii="Times New Roman" w:hAnsi="Times New Roman" w:cs="Times New Roman"/>
        </w:rPr>
      </w:pPr>
    </w:p>
    <w:p w14:paraId="1A29012D" w14:textId="77777777" w:rsidR="00FB06A1" w:rsidRPr="00F601F9"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601F9">
        <w:rPr>
          <w:rFonts w:ascii="Times New Roman" w:hAnsi="Times New Roman" w:cs="Times New Roman"/>
        </w:rPr>
        <w:t>Scope of Report</w:t>
      </w:r>
      <w:r w:rsidR="00D703DF" w:rsidRPr="00F601F9">
        <w:rPr>
          <w:rFonts w:ascii="Times New Roman" w:hAnsi="Times New Roman" w:cs="Times New Roman"/>
        </w:rPr>
        <w:tab/>
      </w:r>
      <w:r w:rsidR="007A2AB6" w:rsidRPr="00F601F9">
        <w:rPr>
          <w:rFonts w:ascii="Times New Roman" w:hAnsi="Times New Roman" w:cs="Times New Roman"/>
        </w:rPr>
        <w:t>2</w:t>
      </w:r>
    </w:p>
    <w:p w14:paraId="321ED2B9" w14:textId="77777777" w:rsidR="00FB06A1" w:rsidRPr="00F601F9" w:rsidRDefault="00FB06A1" w:rsidP="005C2CC3">
      <w:pPr>
        <w:spacing w:after="0" w:line="240" w:lineRule="auto"/>
        <w:rPr>
          <w:rFonts w:ascii="Times New Roman" w:hAnsi="Times New Roman" w:cs="Times New Roman"/>
        </w:rPr>
      </w:pPr>
    </w:p>
    <w:p w14:paraId="6386BF99" w14:textId="77777777" w:rsidR="00414C8B" w:rsidRPr="00F601F9" w:rsidRDefault="00414C8B" w:rsidP="005C2CC3">
      <w:pPr>
        <w:spacing w:after="0" w:line="240" w:lineRule="auto"/>
        <w:rPr>
          <w:rFonts w:ascii="Times New Roman" w:hAnsi="Times New Roman" w:cs="Times New Roman"/>
        </w:rPr>
      </w:pPr>
    </w:p>
    <w:p w14:paraId="437139DB" w14:textId="716C64FD" w:rsidR="00FB06A1" w:rsidRPr="00F601F9"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601F9">
        <w:rPr>
          <w:rFonts w:ascii="Times New Roman" w:hAnsi="Times New Roman" w:cs="Times New Roman"/>
        </w:rPr>
        <w:t>Primary Sources of Information Utilized</w:t>
      </w:r>
      <w:r w:rsidR="00D703DF" w:rsidRPr="00F601F9">
        <w:rPr>
          <w:rFonts w:ascii="Times New Roman" w:hAnsi="Times New Roman" w:cs="Times New Roman"/>
        </w:rPr>
        <w:tab/>
      </w:r>
      <w:r w:rsidR="0024733A" w:rsidRPr="00F601F9">
        <w:rPr>
          <w:rFonts w:ascii="Times New Roman" w:hAnsi="Times New Roman" w:cs="Times New Roman"/>
        </w:rPr>
        <w:t>2</w:t>
      </w:r>
      <w:r w:rsidR="00442E66">
        <w:rPr>
          <w:rFonts w:ascii="Times New Roman" w:hAnsi="Times New Roman" w:cs="Times New Roman"/>
        </w:rPr>
        <w:t xml:space="preserve"> - 3</w:t>
      </w:r>
    </w:p>
    <w:p w14:paraId="69C56843" w14:textId="77777777" w:rsidR="00FB06A1" w:rsidRPr="00F601F9" w:rsidRDefault="00FB06A1" w:rsidP="005C2CC3">
      <w:pPr>
        <w:spacing w:after="0" w:line="240" w:lineRule="auto"/>
        <w:rPr>
          <w:rFonts w:ascii="Times New Roman" w:hAnsi="Times New Roman" w:cs="Times New Roman"/>
        </w:rPr>
      </w:pPr>
    </w:p>
    <w:p w14:paraId="553DCD25" w14:textId="77777777" w:rsidR="00414C8B" w:rsidRPr="00F601F9" w:rsidRDefault="00414C8B" w:rsidP="005C2CC3">
      <w:pPr>
        <w:spacing w:after="0" w:line="240" w:lineRule="auto"/>
        <w:rPr>
          <w:rFonts w:ascii="Times New Roman" w:hAnsi="Times New Roman" w:cs="Times New Roman"/>
        </w:rPr>
      </w:pPr>
    </w:p>
    <w:p w14:paraId="3EF3F97B" w14:textId="54E2D280" w:rsidR="00FB06A1" w:rsidRPr="00F601F9"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601F9">
        <w:rPr>
          <w:rFonts w:ascii="Times New Roman" w:hAnsi="Times New Roman" w:cs="Times New Roman"/>
        </w:rPr>
        <w:t>Review of the Projections</w:t>
      </w:r>
      <w:r w:rsidR="00D703DF" w:rsidRPr="00F601F9">
        <w:rPr>
          <w:rFonts w:ascii="Times New Roman" w:hAnsi="Times New Roman" w:cs="Times New Roman"/>
        </w:rPr>
        <w:tab/>
      </w:r>
      <w:r w:rsidR="007A2AB6" w:rsidRPr="00F601F9">
        <w:rPr>
          <w:rFonts w:ascii="Times New Roman" w:hAnsi="Times New Roman" w:cs="Times New Roman"/>
        </w:rPr>
        <w:t xml:space="preserve">3 - </w:t>
      </w:r>
      <w:r w:rsidR="008F3248">
        <w:rPr>
          <w:rFonts w:ascii="Times New Roman" w:hAnsi="Times New Roman" w:cs="Times New Roman"/>
        </w:rPr>
        <w:t>6</w:t>
      </w:r>
    </w:p>
    <w:p w14:paraId="30B6B2E2" w14:textId="77777777" w:rsidR="00FB06A1" w:rsidRPr="00F601F9" w:rsidRDefault="00FB06A1" w:rsidP="005C2CC3">
      <w:pPr>
        <w:spacing w:after="0" w:line="240" w:lineRule="auto"/>
        <w:rPr>
          <w:rFonts w:ascii="Times New Roman" w:hAnsi="Times New Roman" w:cs="Times New Roman"/>
        </w:rPr>
      </w:pPr>
    </w:p>
    <w:p w14:paraId="6BF961B7" w14:textId="77777777" w:rsidR="00414C8B" w:rsidRPr="00F601F9" w:rsidRDefault="00414C8B" w:rsidP="005C2CC3">
      <w:pPr>
        <w:spacing w:after="0" w:line="240" w:lineRule="auto"/>
        <w:rPr>
          <w:rFonts w:ascii="Times New Roman" w:hAnsi="Times New Roman" w:cs="Times New Roman"/>
        </w:rPr>
      </w:pPr>
    </w:p>
    <w:p w14:paraId="59268C9C" w14:textId="4D5BDEB0" w:rsidR="00FB06A1" w:rsidRPr="00F601F9"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601F9">
        <w:rPr>
          <w:rFonts w:ascii="Times New Roman" w:hAnsi="Times New Roman" w:cs="Times New Roman"/>
        </w:rPr>
        <w:t>Feasibility</w:t>
      </w:r>
      <w:r w:rsidR="00D703DF" w:rsidRPr="00F601F9">
        <w:rPr>
          <w:rFonts w:ascii="Times New Roman" w:hAnsi="Times New Roman" w:cs="Times New Roman"/>
        </w:rPr>
        <w:tab/>
      </w:r>
      <w:r w:rsidR="00F601F9" w:rsidRPr="00F601F9">
        <w:rPr>
          <w:rFonts w:ascii="Times New Roman" w:hAnsi="Times New Roman" w:cs="Times New Roman"/>
        </w:rPr>
        <w:t>6</w:t>
      </w:r>
    </w:p>
    <w:p w14:paraId="36ED2280" w14:textId="77777777" w:rsidR="00FB06A1" w:rsidRPr="005C2CC3" w:rsidRDefault="00FB06A1" w:rsidP="005C2CC3">
      <w:pPr>
        <w:spacing w:after="0" w:line="240" w:lineRule="auto"/>
        <w:rPr>
          <w:rFonts w:ascii="Times New Roman" w:hAnsi="Times New Roman" w:cs="Times New Roman"/>
        </w:rPr>
      </w:pPr>
    </w:p>
    <w:p w14:paraId="42515C92" w14:textId="77777777" w:rsidR="00FB06A1" w:rsidRPr="005C2CC3" w:rsidRDefault="00FB06A1" w:rsidP="005C2CC3">
      <w:pPr>
        <w:spacing w:after="0" w:line="240" w:lineRule="auto"/>
        <w:rPr>
          <w:rFonts w:ascii="Times New Roman" w:hAnsi="Times New Roman" w:cs="Times New Roman"/>
        </w:rPr>
      </w:pPr>
    </w:p>
    <w:p w14:paraId="46591F3C" w14:textId="77777777" w:rsidR="00FB06A1" w:rsidRPr="005C2CC3" w:rsidRDefault="00FB06A1" w:rsidP="005C2CC3">
      <w:pPr>
        <w:spacing w:after="0" w:line="240" w:lineRule="auto"/>
        <w:rPr>
          <w:rFonts w:ascii="Times New Roman" w:hAnsi="Times New Roman" w:cs="Times New Roman"/>
        </w:rPr>
      </w:pPr>
    </w:p>
    <w:p w14:paraId="64102499" w14:textId="77777777" w:rsidR="00FB06A1" w:rsidRPr="005C2CC3" w:rsidRDefault="00FB06A1" w:rsidP="005C2CC3">
      <w:pPr>
        <w:spacing w:after="0" w:line="240" w:lineRule="auto"/>
        <w:rPr>
          <w:rFonts w:ascii="Times New Roman" w:hAnsi="Times New Roman" w:cs="Times New Roman"/>
        </w:rPr>
      </w:pPr>
    </w:p>
    <w:p w14:paraId="5A58FFAF" w14:textId="77777777" w:rsidR="00FB06A1" w:rsidRPr="005C2CC3" w:rsidRDefault="00FB06A1" w:rsidP="005C2CC3">
      <w:pPr>
        <w:spacing w:after="0" w:line="240" w:lineRule="auto"/>
        <w:rPr>
          <w:rFonts w:ascii="Times New Roman" w:hAnsi="Times New Roman" w:cs="Times New Roman"/>
        </w:rPr>
      </w:pPr>
    </w:p>
    <w:p w14:paraId="54319582" w14:textId="77777777" w:rsidR="005C2CC3" w:rsidRDefault="005C2CC3" w:rsidP="00FB06A1"/>
    <w:p w14:paraId="04D81808" w14:textId="77777777" w:rsidR="00AA5F72" w:rsidRPr="00AA5F72" w:rsidRDefault="00AA5F72" w:rsidP="00AA5F72"/>
    <w:p w14:paraId="403B956D" w14:textId="77777777" w:rsidR="00AA5F72" w:rsidRPr="00AA5F72" w:rsidRDefault="00AA5F72" w:rsidP="00AA5F72"/>
    <w:p w14:paraId="616C1F7F" w14:textId="77777777" w:rsidR="00AA5F72" w:rsidRPr="00AA5F72" w:rsidRDefault="00AA5F72" w:rsidP="00AA5F72"/>
    <w:p w14:paraId="22C09ED2" w14:textId="77777777" w:rsidR="00AA5F72" w:rsidRPr="00AA5F72" w:rsidRDefault="00AA5F72" w:rsidP="00AA5F72"/>
    <w:p w14:paraId="6DC6A0D5" w14:textId="77777777" w:rsidR="00AA5F72" w:rsidRPr="00AA5F72" w:rsidRDefault="00AA5F72" w:rsidP="00AA5F72"/>
    <w:p w14:paraId="564E1435" w14:textId="77777777" w:rsidR="00AA5F72" w:rsidRPr="00AA5F72" w:rsidRDefault="00AA5F72" w:rsidP="00AA5F72"/>
    <w:p w14:paraId="5EA07D0F" w14:textId="77777777" w:rsidR="00AA5F72" w:rsidRPr="00AA5F72" w:rsidRDefault="00AA5F72" w:rsidP="00AA5F72"/>
    <w:p w14:paraId="395899C3" w14:textId="77777777" w:rsidR="00AA5F72" w:rsidRPr="00AA5F72" w:rsidRDefault="00AA5F72" w:rsidP="00AA5F72"/>
    <w:p w14:paraId="4CCEE4D5" w14:textId="77777777" w:rsidR="00AA5F72" w:rsidRPr="00AA5F72" w:rsidRDefault="00AA5F72" w:rsidP="00AA5F72"/>
    <w:p w14:paraId="4A9AB126" w14:textId="77777777" w:rsidR="00AA5F72" w:rsidRPr="00AA5F72" w:rsidRDefault="00AA5F72" w:rsidP="00AA5F72"/>
    <w:p w14:paraId="0B8BA240" w14:textId="77777777" w:rsidR="00AA5F72" w:rsidRPr="00AA5F72" w:rsidRDefault="00AA5F72" w:rsidP="00AA5F72"/>
    <w:p w14:paraId="480C3323" w14:textId="77777777" w:rsidR="00AA5F72" w:rsidRPr="00AA5F72" w:rsidRDefault="00AA5F72" w:rsidP="00AA5F72"/>
    <w:p w14:paraId="40351F9F" w14:textId="77777777" w:rsidR="00AA5F72" w:rsidRPr="00AA5F72" w:rsidRDefault="00AA5F72" w:rsidP="00AA5F72"/>
    <w:p w14:paraId="2355D151" w14:textId="510AE835" w:rsidR="00AA5F72" w:rsidRPr="00AA5F72" w:rsidRDefault="00AA5F72" w:rsidP="00AA5F72">
      <w:pPr>
        <w:tabs>
          <w:tab w:val="center" w:pos="5280"/>
        </w:tabs>
        <w:sectPr w:rsidR="00AA5F72" w:rsidRPr="00AA5F72" w:rsidSect="00414C8B">
          <w:footerReference w:type="default" r:id="rId10"/>
          <w:pgSz w:w="12240" w:h="15840" w:code="1"/>
          <w:pgMar w:top="720" w:right="720" w:bottom="720" w:left="960" w:header="0" w:footer="0" w:gutter="0"/>
          <w:cols w:space="720"/>
          <w:docGrid w:linePitch="360"/>
        </w:sectPr>
      </w:pPr>
      <w:r>
        <w:tab/>
      </w:r>
    </w:p>
    <w:p w14:paraId="2E4BC3C1" w14:textId="57BA1A80" w:rsidR="00414C8B" w:rsidRDefault="002A2813" w:rsidP="00414C8B">
      <w:pPr>
        <w:spacing w:after="0" w:line="240" w:lineRule="auto"/>
        <w:rPr>
          <w:rFonts w:ascii="Times New Roman" w:hAnsi="Times New Roman" w:cs="Times New Roman"/>
        </w:rPr>
      </w:pPr>
      <w:bookmarkStart w:id="2" w:name="_Hlk527538595"/>
      <w:r w:rsidRPr="00D471DF">
        <w:rPr>
          <w:rFonts w:ascii="Times New Roman" w:hAnsi="Times New Roman" w:cs="Times New Roman"/>
        </w:rPr>
        <w:lastRenderedPageBreak/>
        <w:t xml:space="preserve">July </w:t>
      </w:r>
      <w:r w:rsidR="00D471DF" w:rsidRPr="00D471DF">
        <w:rPr>
          <w:rFonts w:ascii="Times New Roman" w:hAnsi="Times New Roman" w:cs="Times New Roman"/>
        </w:rPr>
        <w:t>12</w:t>
      </w:r>
      <w:r w:rsidR="000B129E" w:rsidRPr="00D471DF">
        <w:rPr>
          <w:rFonts w:ascii="Times New Roman" w:hAnsi="Times New Roman" w:cs="Times New Roman"/>
        </w:rPr>
        <w:t>, 202</w:t>
      </w:r>
      <w:r w:rsidR="00570120" w:rsidRPr="00D471DF">
        <w:rPr>
          <w:rFonts w:ascii="Times New Roman" w:hAnsi="Times New Roman" w:cs="Times New Roman"/>
        </w:rPr>
        <w:t>3</w:t>
      </w:r>
    </w:p>
    <w:bookmarkEnd w:id="2"/>
    <w:p w14:paraId="2BA186DA" w14:textId="77777777" w:rsidR="00414C8B" w:rsidRDefault="00414C8B" w:rsidP="00414C8B">
      <w:pPr>
        <w:spacing w:after="0" w:line="240" w:lineRule="auto"/>
        <w:rPr>
          <w:rFonts w:ascii="Times New Roman" w:hAnsi="Times New Roman" w:cs="Times New Roman"/>
        </w:rPr>
      </w:pPr>
    </w:p>
    <w:p w14:paraId="6EBF1476" w14:textId="2E5DC87E" w:rsidR="00414C8B" w:rsidRDefault="00414C8B" w:rsidP="00414C8B">
      <w:pPr>
        <w:spacing w:after="0" w:line="240" w:lineRule="auto"/>
        <w:rPr>
          <w:rFonts w:ascii="Times New Roman" w:hAnsi="Times New Roman" w:cs="Times New Roman"/>
        </w:rPr>
      </w:pPr>
    </w:p>
    <w:p w14:paraId="5EE15C58" w14:textId="77777777" w:rsidR="00817C18" w:rsidRDefault="00817C18" w:rsidP="00414C8B">
      <w:pPr>
        <w:spacing w:after="0" w:line="240" w:lineRule="auto"/>
        <w:rPr>
          <w:rFonts w:ascii="Times New Roman" w:hAnsi="Times New Roman" w:cs="Times New Roman"/>
        </w:rPr>
      </w:pPr>
    </w:p>
    <w:p w14:paraId="3380E6B5" w14:textId="01A6E935" w:rsidR="007B62F8" w:rsidRPr="00EE7DCA" w:rsidRDefault="00A80D76" w:rsidP="00414C8B">
      <w:pPr>
        <w:spacing w:after="0" w:line="240" w:lineRule="auto"/>
        <w:rPr>
          <w:rFonts w:ascii="Times New Roman" w:hAnsi="Times New Roman" w:cs="Times New Roman"/>
        </w:rPr>
      </w:pPr>
      <w:r w:rsidRPr="00EE7DCA">
        <w:rPr>
          <w:rFonts w:ascii="Times New Roman" w:hAnsi="Times New Roman" w:cs="Times New Roman"/>
        </w:rPr>
        <w:t xml:space="preserve">Mr. </w:t>
      </w:r>
      <w:r w:rsidR="00570120">
        <w:rPr>
          <w:rFonts w:ascii="Times New Roman" w:hAnsi="Times New Roman" w:cs="Times New Roman"/>
        </w:rPr>
        <w:t>Sean Ahern</w:t>
      </w:r>
    </w:p>
    <w:p w14:paraId="731F80B2" w14:textId="2E8AB8CD" w:rsidR="00F90DDD" w:rsidRPr="00EE7DCA" w:rsidRDefault="00EE7DCA" w:rsidP="00414C8B">
      <w:pPr>
        <w:spacing w:after="0" w:line="240" w:lineRule="auto"/>
        <w:rPr>
          <w:rFonts w:ascii="Times New Roman" w:hAnsi="Times New Roman" w:cs="Times New Roman"/>
        </w:rPr>
      </w:pPr>
      <w:r w:rsidRPr="00EE7DCA">
        <w:rPr>
          <w:rFonts w:ascii="Times New Roman" w:hAnsi="Times New Roman" w:cs="Times New Roman"/>
        </w:rPr>
        <w:t xml:space="preserve">Chief </w:t>
      </w:r>
      <w:r w:rsidR="00570120">
        <w:rPr>
          <w:rFonts w:ascii="Times New Roman" w:hAnsi="Times New Roman" w:cs="Times New Roman"/>
        </w:rPr>
        <w:t>Operating</w:t>
      </w:r>
      <w:r w:rsidRPr="00EE7DCA">
        <w:rPr>
          <w:rFonts w:ascii="Times New Roman" w:hAnsi="Times New Roman" w:cs="Times New Roman"/>
        </w:rPr>
        <w:t xml:space="preserve"> Officer </w:t>
      </w:r>
    </w:p>
    <w:p w14:paraId="1A992FCB" w14:textId="0EDAA9B5" w:rsidR="00F90DDD" w:rsidRPr="00EE7DCA" w:rsidRDefault="00573787" w:rsidP="00414C8B">
      <w:pPr>
        <w:spacing w:after="0" w:line="240" w:lineRule="auto"/>
        <w:rPr>
          <w:rFonts w:ascii="Times New Roman" w:hAnsi="Times New Roman" w:cs="Times New Roman"/>
        </w:rPr>
      </w:pPr>
      <w:r>
        <w:rPr>
          <w:rFonts w:ascii="Times New Roman" w:hAnsi="Times New Roman" w:cs="Times New Roman"/>
        </w:rPr>
        <w:t>Anna Jaques H</w:t>
      </w:r>
      <w:r w:rsidR="00E02A15">
        <w:rPr>
          <w:rFonts w:ascii="Times New Roman" w:hAnsi="Times New Roman" w:cs="Times New Roman"/>
        </w:rPr>
        <w:t>ospital</w:t>
      </w:r>
    </w:p>
    <w:p w14:paraId="01CB2D6E" w14:textId="6369AD31" w:rsidR="00F90DDD" w:rsidRPr="00EE7DCA" w:rsidRDefault="00E02A15" w:rsidP="00414C8B">
      <w:pPr>
        <w:spacing w:after="0" w:line="240" w:lineRule="auto"/>
        <w:rPr>
          <w:rFonts w:ascii="Times New Roman" w:hAnsi="Times New Roman" w:cs="Times New Roman"/>
        </w:rPr>
      </w:pPr>
      <w:r>
        <w:rPr>
          <w:rFonts w:ascii="Times New Roman" w:hAnsi="Times New Roman" w:cs="Times New Roman"/>
        </w:rPr>
        <w:t>25 Highland Avenue</w:t>
      </w:r>
    </w:p>
    <w:p w14:paraId="6A9A8EA7" w14:textId="2D1C1D55" w:rsidR="00F90DDD" w:rsidRPr="00EE7DCA" w:rsidRDefault="00E02A15" w:rsidP="00414C8B">
      <w:pPr>
        <w:spacing w:after="0" w:line="240" w:lineRule="auto"/>
        <w:rPr>
          <w:rFonts w:ascii="Times New Roman" w:hAnsi="Times New Roman" w:cs="Times New Roman"/>
        </w:rPr>
      </w:pPr>
      <w:r>
        <w:rPr>
          <w:rFonts w:ascii="Times New Roman" w:hAnsi="Times New Roman" w:cs="Times New Roman"/>
        </w:rPr>
        <w:t>Newburyport, MA 01950</w:t>
      </w:r>
    </w:p>
    <w:p w14:paraId="465F97A1" w14:textId="06A07C41" w:rsidR="00F90DDD" w:rsidRPr="00EE7DCA" w:rsidRDefault="00F90DDD" w:rsidP="00414C8B">
      <w:pPr>
        <w:spacing w:after="0" w:line="240" w:lineRule="auto"/>
        <w:rPr>
          <w:rFonts w:ascii="Times New Roman" w:hAnsi="Times New Roman" w:cs="Times New Roman"/>
        </w:rPr>
      </w:pPr>
    </w:p>
    <w:p w14:paraId="55CB8CBF" w14:textId="77777777" w:rsidR="00817C18" w:rsidRPr="00EE7DCA" w:rsidRDefault="00817C18" w:rsidP="00414C8B">
      <w:pPr>
        <w:spacing w:after="0" w:line="240" w:lineRule="auto"/>
        <w:rPr>
          <w:rFonts w:ascii="Times New Roman" w:hAnsi="Times New Roman" w:cs="Times New Roman"/>
        </w:rPr>
      </w:pPr>
    </w:p>
    <w:p w14:paraId="5C48C8BD" w14:textId="064DD97A" w:rsidR="00F90DDD" w:rsidRPr="00414C8B" w:rsidRDefault="00F90DDD" w:rsidP="00414C8B">
      <w:pPr>
        <w:spacing w:after="0" w:line="240" w:lineRule="auto"/>
        <w:rPr>
          <w:rFonts w:ascii="Times New Roman" w:hAnsi="Times New Roman" w:cs="Times New Roman"/>
        </w:rPr>
      </w:pPr>
      <w:r w:rsidRPr="00EE7DCA">
        <w:rPr>
          <w:rFonts w:ascii="Times New Roman" w:hAnsi="Times New Roman" w:cs="Times New Roman"/>
        </w:rPr>
        <w:t xml:space="preserve">Dear </w:t>
      </w:r>
      <w:r w:rsidR="003A329A">
        <w:rPr>
          <w:rFonts w:ascii="Times New Roman" w:hAnsi="Times New Roman" w:cs="Times New Roman"/>
        </w:rPr>
        <w:t>Mr. Ahern</w:t>
      </w:r>
      <w:r w:rsidRPr="00EE7DCA">
        <w:rPr>
          <w:rFonts w:ascii="Times New Roman" w:hAnsi="Times New Roman" w:cs="Times New Roman"/>
        </w:rPr>
        <w:t>:</w:t>
      </w:r>
    </w:p>
    <w:p w14:paraId="6F49DEE9" w14:textId="77777777" w:rsidR="00F90DDD" w:rsidRPr="00414C8B" w:rsidRDefault="00F90DDD" w:rsidP="00414C8B">
      <w:pPr>
        <w:spacing w:after="0" w:line="240" w:lineRule="auto"/>
        <w:rPr>
          <w:rFonts w:ascii="Times New Roman" w:hAnsi="Times New Roman" w:cs="Times New Roman"/>
        </w:rPr>
      </w:pPr>
    </w:p>
    <w:p w14:paraId="7FF99231" w14:textId="266671F4" w:rsidR="00F90DDD" w:rsidRPr="00414C8B" w:rsidRDefault="00F90DDD" w:rsidP="00414C8B">
      <w:pPr>
        <w:spacing w:after="0" w:line="240" w:lineRule="auto"/>
        <w:jc w:val="both"/>
        <w:rPr>
          <w:rFonts w:ascii="Times New Roman" w:hAnsi="Times New Roman" w:cs="Times New Roman"/>
        </w:rPr>
      </w:pPr>
      <w:r w:rsidRPr="00414C8B">
        <w:rPr>
          <w:rFonts w:ascii="Times New Roman" w:hAnsi="Times New Roman" w:cs="Times New Roman"/>
        </w:rPr>
        <w:t xml:space="preserve">We have performed an analysis of the financial projections prepared by </w:t>
      </w:r>
      <w:r w:rsidR="00EB31ED">
        <w:rPr>
          <w:rFonts w:ascii="Times New Roman" w:hAnsi="Times New Roman" w:cs="Times New Roman"/>
        </w:rPr>
        <w:t>Beth Israel Lahey Health, Inc. (“BILH”</w:t>
      </w:r>
      <w:r w:rsidR="00DB39A2">
        <w:rPr>
          <w:rFonts w:ascii="Times New Roman" w:hAnsi="Times New Roman" w:cs="Times New Roman"/>
        </w:rPr>
        <w:t xml:space="preserve"> or the “Applicant”</w:t>
      </w:r>
      <w:r w:rsidR="00EB31ED">
        <w:rPr>
          <w:rFonts w:ascii="Times New Roman" w:hAnsi="Times New Roman" w:cs="Times New Roman"/>
        </w:rPr>
        <w:t xml:space="preserve">) </w:t>
      </w:r>
      <w:r w:rsidRPr="00890469">
        <w:rPr>
          <w:rFonts w:ascii="Times New Roman" w:hAnsi="Times New Roman" w:cs="Times New Roman"/>
        </w:rPr>
        <w:t xml:space="preserve">detailing the projected operations of the </w:t>
      </w:r>
      <w:r w:rsidR="003F20F3" w:rsidRPr="00890469">
        <w:rPr>
          <w:rFonts w:ascii="Times New Roman" w:hAnsi="Times New Roman" w:cs="Times New Roman"/>
        </w:rPr>
        <w:t>addition</w:t>
      </w:r>
      <w:r w:rsidR="007A53B0" w:rsidRPr="00890469">
        <w:rPr>
          <w:rFonts w:ascii="Times New Roman" w:hAnsi="Times New Roman" w:cs="Times New Roman"/>
        </w:rPr>
        <w:t xml:space="preserve"> of</w:t>
      </w:r>
      <w:r w:rsidR="00316706" w:rsidRPr="00890469">
        <w:rPr>
          <w:rFonts w:ascii="Times New Roman" w:hAnsi="Times New Roman" w:cs="Times New Roman"/>
        </w:rPr>
        <w:t xml:space="preserve"> </w:t>
      </w:r>
      <w:bookmarkStart w:id="3" w:name="_Hlk16043285"/>
      <w:r w:rsidR="003F20F3" w:rsidRPr="00890469">
        <w:rPr>
          <w:rFonts w:ascii="Times New Roman" w:hAnsi="Times New Roman" w:cs="Times New Roman"/>
        </w:rPr>
        <w:t>a</w:t>
      </w:r>
      <w:r w:rsidR="00316706" w:rsidRPr="00890469">
        <w:rPr>
          <w:rFonts w:ascii="Times New Roman" w:hAnsi="Times New Roman" w:cs="Times New Roman"/>
        </w:rPr>
        <w:t xml:space="preserve"> </w:t>
      </w:r>
      <w:r w:rsidR="0050095B">
        <w:rPr>
          <w:rFonts w:ascii="Times New Roman" w:hAnsi="Times New Roman" w:cs="Times New Roman"/>
        </w:rPr>
        <w:t>second</w:t>
      </w:r>
      <w:r w:rsidR="00783B70">
        <w:rPr>
          <w:rFonts w:ascii="Times New Roman" w:hAnsi="Times New Roman" w:cs="Times New Roman"/>
        </w:rPr>
        <w:t xml:space="preserve"> </w:t>
      </w:r>
      <w:r w:rsidR="0053394F" w:rsidRPr="00890469">
        <w:rPr>
          <w:rFonts w:ascii="Times New Roman" w:hAnsi="Times New Roman" w:cs="Times New Roman"/>
        </w:rPr>
        <w:t>comput</w:t>
      </w:r>
      <w:r w:rsidR="00F03EF5" w:rsidRPr="00890469">
        <w:rPr>
          <w:rFonts w:ascii="Times New Roman" w:hAnsi="Times New Roman" w:cs="Times New Roman"/>
        </w:rPr>
        <w:t>ed</w:t>
      </w:r>
      <w:r w:rsidR="0053394F" w:rsidRPr="00890469">
        <w:rPr>
          <w:rFonts w:ascii="Times New Roman" w:hAnsi="Times New Roman" w:cs="Times New Roman"/>
        </w:rPr>
        <w:t xml:space="preserve"> tomography</w:t>
      </w:r>
      <w:r w:rsidR="00316706" w:rsidRPr="00890469">
        <w:rPr>
          <w:rFonts w:ascii="Times New Roman" w:hAnsi="Times New Roman" w:cs="Times New Roman"/>
        </w:rPr>
        <w:t xml:space="preserve"> (“</w:t>
      </w:r>
      <w:r w:rsidR="0053394F" w:rsidRPr="00890469">
        <w:rPr>
          <w:rFonts w:ascii="Times New Roman" w:hAnsi="Times New Roman" w:cs="Times New Roman"/>
        </w:rPr>
        <w:t>CT</w:t>
      </w:r>
      <w:r w:rsidR="00316706" w:rsidRPr="00890469">
        <w:rPr>
          <w:rFonts w:ascii="Times New Roman" w:hAnsi="Times New Roman" w:cs="Times New Roman"/>
        </w:rPr>
        <w:t>”)</w:t>
      </w:r>
      <w:r w:rsidR="007A53B0" w:rsidRPr="00890469">
        <w:rPr>
          <w:rFonts w:ascii="Times New Roman" w:hAnsi="Times New Roman" w:cs="Times New Roman"/>
        </w:rPr>
        <w:t xml:space="preserve"> </w:t>
      </w:r>
      <w:r w:rsidR="003F20F3" w:rsidRPr="00890469">
        <w:rPr>
          <w:rFonts w:ascii="Times New Roman" w:hAnsi="Times New Roman" w:cs="Times New Roman"/>
        </w:rPr>
        <w:t>scanner</w:t>
      </w:r>
      <w:r w:rsidR="007A53B0" w:rsidRPr="00890469">
        <w:rPr>
          <w:rFonts w:ascii="Times New Roman" w:hAnsi="Times New Roman" w:cs="Times New Roman"/>
        </w:rPr>
        <w:t xml:space="preserve"> at </w:t>
      </w:r>
      <w:r w:rsidR="00570120">
        <w:rPr>
          <w:rFonts w:ascii="Times New Roman" w:hAnsi="Times New Roman" w:cs="Times New Roman"/>
        </w:rPr>
        <w:t>Anna Jaques Hospital</w:t>
      </w:r>
      <w:r w:rsidR="00B37B9B">
        <w:rPr>
          <w:rFonts w:ascii="Times New Roman" w:hAnsi="Times New Roman" w:cs="Times New Roman"/>
        </w:rPr>
        <w:t xml:space="preserve"> (“</w:t>
      </w:r>
      <w:r w:rsidR="00570120">
        <w:rPr>
          <w:rFonts w:ascii="Times New Roman" w:hAnsi="Times New Roman" w:cs="Times New Roman"/>
        </w:rPr>
        <w:t>AJ</w:t>
      </w:r>
      <w:r w:rsidR="00B37B9B">
        <w:rPr>
          <w:rFonts w:ascii="Times New Roman" w:hAnsi="Times New Roman" w:cs="Times New Roman"/>
        </w:rPr>
        <w:t>H”</w:t>
      </w:r>
      <w:r w:rsidR="00394012">
        <w:rPr>
          <w:rFonts w:ascii="Times New Roman" w:hAnsi="Times New Roman" w:cs="Times New Roman"/>
        </w:rPr>
        <w:t xml:space="preserve"> or the “Hospital”</w:t>
      </w:r>
      <w:r w:rsidR="00B37B9B">
        <w:rPr>
          <w:rFonts w:ascii="Times New Roman" w:hAnsi="Times New Roman" w:cs="Times New Roman"/>
        </w:rPr>
        <w:t>)</w:t>
      </w:r>
      <w:r w:rsidR="005038F0" w:rsidRPr="00890469">
        <w:rPr>
          <w:rFonts w:ascii="Times New Roman" w:hAnsi="Times New Roman" w:cs="Times New Roman"/>
        </w:rPr>
        <w:t xml:space="preserve">, </w:t>
      </w:r>
      <w:bookmarkEnd w:id="3"/>
      <w:r w:rsidR="005038F0" w:rsidRPr="00890469">
        <w:rPr>
          <w:rFonts w:ascii="Times New Roman" w:hAnsi="Times New Roman" w:cs="Times New Roman"/>
        </w:rPr>
        <w:t>located at</w:t>
      </w:r>
      <w:r w:rsidR="00DE2452" w:rsidRPr="00890469">
        <w:rPr>
          <w:rFonts w:ascii="Times New Roman" w:hAnsi="Times New Roman" w:cs="Times New Roman"/>
        </w:rPr>
        <w:t xml:space="preserve"> </w:t>
      </w:r>
      <w:r w:rsidR="00C82D25">
        <w:rPr>
          <w:rFonts w:ascii="Times New Roman" w:hAnsi="Times New Roman" w:cs="Times New Roman"/>
        </w:rPr>
        <w:t>25 Highland Avenue</w:t>
      </w:r>
      <w:r w:rsidR="00DE2452" w:rsidRPr="00890469">
        <w:rPr>
          <w:rFonts w:ascii="Times New Roman" w:hAnsi="Times New Roman" w:cs="Times New Roman"/>
        </w:rPr>
        <w:t xml:space="preserve"> in </w:t>
      </w:r>
      <w:r w:rsidR="00C82D25">
        <w:rPr>
          <w:rFonts w:ascii="Times New Roman" w:hAnsi="Times New Roman" w:cs="Times New Roman"/>
        </w:rPr>
        <w:t>Newburyport</w:t>
      </w:r>
      <w:r w:rsidR="00DE2452" w:rsidRPr="00890469">
        <w:rPr>
          <w:rFonts w:ascii="Times New Roman" w:hAnsi="Times New Roman" w:cs="Times New Roman"/>
        </w:rPr>
        <w:t xml:space="preserve">, </w:t>
      </w:r>
      <w:r w:rsidR="00DE2452" w:rsidRPr="00DB1C02">
        <w:rPr>
          <w:rFonts w:ascii="Times New Roman" w:hAnsi="Times New Roman" w:cs="Times New Roman"/>
        </w:rPr>
        <w:t>Massachusetts</w:t>
      </w:r>
      <w:r w:rsidR="00507CF5">
        <w:rPr>
          <w:rFonts w:ascii="Times New Roman" w:hAnsi="Times New Roman" w:cs="Times New Roman"/>
        </w:rPr>
        <w:t>,</w:t>
      </w:r>
      <w:r w:rsidR="000B129E">
        <w:rPr>
          <w:rFonts w:ascii="Times New Roman" w:hAnsi="Times New Roman" w:cs="Times New Roman"/>
        </w:rPr>
        <w:t xml:space="preserve"> as well as</w:t>
      </w:r>
      <w:r w:rsidR="0028666E" w:rsidRPr="00DB1C02">
        <w:rPr>
          <w:rFonts w:ascii="Times New Roman" w:hAnsi="Times New Roman" w:cs="Times New Roman"/>
        </w:rPr>
        <w:t xml:space="preserve"> </w:t>
      </w:r>
      <w:r w:rsidR="00A80D76" w:rsidRPr="00DB1C02">
        <w:rPr>
          <w:rFonts w:ascii="Times New Roman" w:hAnsi="Times New Roman" w:cs="Times New Roman"/>
        </w:rPr>
        <w:t>capital needs associated with</w:t>
      </w:r>
      <w:r w:rsidR="00622908" w:rsidRPr="00DB1C02">
        <w:rPr>
          <w:rFonts w:ascii="Times New Roman" w:hAnsi="Times New Roman" w:cs="Times New Roman"/>
        </w:rPr>
        <w:t xml:space="preserve"> </w:t>
      </w:r>
      <w:r w:rsidR="007A53B0" w:rsidRPr="00E90E2D">
        <w:rPr>
          <w:rFonts w:ascii="Times New Roman" w:hAnsi="Times New Roman" w:cs="Times New Roman"/>
        </w:rPr>
        <w:t>this service</w:t>
      </w:r>
      <w:r w:rsidR="00803C77" w:rsidRPr="00DB1C02">
        <w:rPr>
          <w:rFonts w:ascii="Times New Roman" w:hAnsi="Times New Roman" w:cs="Times New Roman"/>
        </w:rPr>
        <w:t xml:space="preserve"> (the “Project”)</w:t>
      </w:r>
      <w:r w:rsidR="00622908" w:rsidRPr="00DB1C02">
        <w:rPr>
          <w:rFonts w:ascii="Times New Roman" w:hAnsi="Times New Roman" w:cs="Times New Roman"/>
        </w:rPr>
        <w:t>. This report details our analysis and findings with regards to the reasonableness of assumptions used in the preparation and feasibility of the</w:t>
      </w:r>
      <w:r w:rsidR="00622908" w:rsidRPr="005913CB">
        <w:rPr>
          <w:rFonts w:ascii="Times New Roman" w:hAnsi="Times New Roman" w:cs="Times New Roman"/>
        </w:rPr>
        <w:t xml:space="preserve"> projected financial information of </w:t>
      </w:r>
      <w:r w:rsidR="007243FC" w:rsidRPr="005913CB">
        <w:rPr>
          <w:rFonts w:ascii="Times New Roman" w:hAnsi="Times New Roman" w:cs="Times New Roman"/>
        </w:rPr>
        <w:t xml:space="preserve">the </w:t>
      </w:r>
      <w:r w:rsidR="006D221E" w:rsidRPr="005913CB">
        <w:rPr>
          <w:rFonts w:ascii="Times New Roman" w:hAnsi="Times New Roman" w:cs="Times New Roman"/>
        </w:rPr>
        <w:t>Project</w:t>
      </w:r>
      <w:r w:rsidR="00622908" w:rsidRPr="005913CB">
        <w:rPr>
          <w:rFonts w:ascii="Times New Roman" w:hAnsi="Times New Roman" w:cs="Times New Roman"/>
        </w:rPr>
        <w:t xml:space="preserve"> as prepared by the management of</w:t>
      </w:r>
      <w:r w:rsidR="00D40272">
        <w:rPr>
          <w:rFonts w:ascii="Times New Roman" w:hAnsi="Times New Roman" w:cs="Times New Roman"/>
        </w:rPr>
        <w:t xml:space="preserve"> </w:t>
      </w:r>
      <w:r w:rsidR="00C82D25">
        <w:rPr>
          <w:rFonts w:ascii="Times New Roman" w:hAnsi="Times New Roman" w:cs="Times New Roman"/>
        </w:rPr>
        <w:t>Anna Jaques Hospital</w:t>
      </w:r>
      <w:r w:rsidR="00D40272">
        <w:rPr>
          <w:rFonts w:ascii="Times New Roman" w:hAnsi="Times New Roman" w:cs="Times New Roman"/>
        </w:rPr>
        <w:t xml:space="preserve"> </w:t>
      </w:r>
      <w:r w:rsidR="00622908" w:rsidRPr="00D40272">
        <w:rPr>
          <w:rFonts w:ascii="Times New Roman" w:hAnsi="Times New Roman" w:cs="Times New Roman"/>
        </w:rPr>
        <w:t xml:space="preserve">(“Management”).  </w:t>
      </w:r>
      <w:r w:rsidR="00622908" w:rsidRPr="006A127E">
        <w:rPr>
          <w:rFonts w:ascii="Times New Roman" w:hAnsi="Times New Roman" w:cs="Times New Roman"/>
        </w:rPr>
        <w:t>This report is to be included by</w:t>
      </w:r>
      <w:r w:rsidR="006A127E" w:rsidRPr="006A127E">
        <w:rPr>
          <w:rFonts w:ascii="Times New Roman" w:hAnsi="Times New Roman" w:cs="Times New Roman"/>
        </w:rPr>
        <w:t xml:space="preserve"> </w:t>
      </w:r>
      <w:r w:rsidR="00C82D25">
        <w:rPr>
          <w:rFonts w:ascii="Times New Roman" w:hAnsi="Times New Roman" w:cs="Times New Roman"/>
        </w:rPr>
        <w:t>Anna Jaques Hospital</w:t>
      </w:r>
      <w:r w:rsidR="009334FD" w:rsidRPr="006A127E">
        <w:rPr>
          <w:rFonts w:ascii="Times New Roman" w:hAnsi="Times New Roman" w:cs="Times New Roman"/>
        </w:rPr>
        <w:t xml:space="preserve"> in</w:t>
      </w:r>
      <w:r w:rsidR="00622908" w:rsidRPr="006A127E">
        <w:rPr>
          <w:rFonts w:ascii="Times New Roman" w:hAnsi="Times New Roman" w:cs="Times New Roman"/>
        </w:rPr>
        <w:t xml:space="preserve"> its Determination of Need (“DON”) </w:t>
      </w:r>
      <w:r w:rsidR="00A0636A" w:rsidRPr="006A127E">
        <w:rPr>
          <w:rFonts w:ascii="Times New Roman" w:hAnsi="Times New Roman" w:cs="Times New Roman"/>
        </w:rPr>
        <w:t>application</w:t>
      </w:r>
      <w:r w:rsidR="009D69E1" w:rsidRPr="006A127E">
        <w:rPr>
          <w:rFonts w:ascii="Times New Roman" w:hAnsi="Times New Roman" w:cs="Times New Roman"/>
        </w:rPr>
        <w:t>, (s</w:t>
      </w:r>
      <w:r w:rsidR="00A0636A" w:rsidRPr="006A127E">
        <w:rPr>
          <w:rFonts w:ascii="Times New Roman" w:hAnsi="Times New Roman" w:cs="Times New Roman"/>
        </w:rPr>
        <w:t>ee Factor 4(a)</w:t>
      </w:r>
      <w:r w:rsidR="00F10D3B" w:rsidRPr="006A127E">
        <w:rPr>
          <w:rFonts w:ascii="Times New Roman" w:hAnsi="Times New Roman" w:cs="Times New Roman"/>
        </w:rPr>
        <w:t xml:space="preserve"> of the DON</w:t>
      </w:r>
      <w:r w:rsidR="009D69E1" w:rsidRPr="006A127E">
        <w:rPr>
          <w:rFonts w:ascii="Times New Roman" w:hAnsi="Times New Roman" w:cs="Times New Roman"/>
        </w:rPr>
        <w:t>)</w:t>
      </w:r>
      <w:r w:rsidR="00A0636A" w:rsidRPr="006A127E">
        <w:rPr>
          <w:rFonts w:ascii="Times New Roman" w:hAnsi="Times New Roman" w:cs="Times New Roman"/>
        </w:rPr>
        <w:t xml:space="preserve"> and should not be distributed or relied</w:t>
      </w:r>
      <w:r w:rsidR="00A0636A" w:rsidRPr="005913CB">
        <w:rPr>
          <w:rFonts w:ascii="Times New Roman" w:hAnsi="Times New Roman" w:cs="Times New Roman"/>
        </w:rPr>
        <w:t xml:space="preserve"> upon for any other purpose.</w:t>
      </w:r>
    </w:p>
    <w:p w14:paraId="246A6441" w14:textId="77777777" w:rsidR="00A0636A" w:rsidRPr="00414C8B" w:rsidRDefault="00A0636A" w:rsidP="00414C8B">
      <w:pPr>
        <w:spacing w:after="0" w:line="240" w:lineRule="auto"/>
        <w:jc w:val="both"/>
        <w:rPr>
          <w:rFonts w:ascii="Times New Roman" w:hAnsi="Times New Roman" w:cs="Times New Roman"/>
        </w:rPr>
      </w:pPr>
    </w:p>
    <w:p w14:paraId="2094CE3C" w14:textId="77777777" w:rsidR="00A0636A" w:rsidRPr="0056746F" w:rsidRDefault="00A0636A" w:rsidP="00A80D76">
      <w:pPr>
        <w:pStyle w:val="ListParagraph"/>
        <w:numPr>
          <w:ilvl w:val="0"/>
          <w:numId w:val="5"/>
        </w:numPr>
        <w:tabs>
          <w:tab w:val="left" w:pos="360"/>
        </w:tabs>
        <w:spacing w:after="0" w:line="240" w:lineRule="auto"/>
        <w:ind w:hanging="1080"/>
        <w:jc w:val="both"/>
        <w:rPr>
          <w:rFonts w:ascii="Times New Roman" w:hAnsi="Times New Roman" w:cs="Times New Roman"/>
          <w:b/>
          <w:sz w:val="24"/>
          <w:szCs w:val="24"/>
          <w:u w:val="single"/>
        </w:rPr>
      </w:pPr>
      <w:r w:rsidRPr="0056746F">
        <w:rPr>
          <w:rFonts w:ascii="Times New Roman" w:hAnsi="Times New Roman" w:cs="Times New Roman"/>
          <w:b/>
          <w:sz w:val="24"/>
          <w:szCs w:val="24"/>
          <w:u w:val="single"/>
        </w:rPr>
        <w:t>Executive Summary</w:t>
      </w:r>
    </w:p>
    <w:p w14:paraId="07B88541" w14:textId="77777777" w:rsidR="00A0636A" w:rsidRPr="003779A9" w:rsidRDefault="00A0636A" w:rsidP="00414C8B">
      <w:pPr>
        <w:spacing w:after="0" w:line="240" w:lineRule="auto"/>
        <w:jc w:val="both"/>
        <w:rPr>
          <w:rFonts w:ascii="Times New Roman" w:hAnsi="Times New Roman" w:cs="Times New Roman"/>
        </w:rPr>
      </w:pPr>
    </w:p>
    <w:p w14:paraId="4CDCBD98" w14:textId="7AAA634E" w:rsidR="00A0636A" w:rsidRPr="009D69E1" w:rsidRDefault="00221C73" w:rsidP="004F5964">
      <w:pPr>
        <w:spacing w:after="0" w:line="240" w:lineRule="auto"/>
        <w:ind w:left="360"/>
        <w:jc w:val="both"/>
        <w:rPr>
          <w:rFonts w:ascii="Times New Roman" w:hAnsi="Times New Roman" w:cs="Times New Roman"/>
        </w:rPr>
      </w:pPr>
      <w:r>
        <w:rPr>
          <w:rFonts w:ascii="Times New Roman" w:hAnsi="Times New Roman" w:cs="Times New Roman"/>
        </w:rPr>
        <w:t xml:space="preserve">The scope of our analysis was limited to the five-year financial projections for the fiscal years ending September 30, 2024 through September 30, 2028 </w:t>
      </w:r>
      <w:r w:rsidR="0065726A">
        <w:rPr>
          <w:rFonts w:ascii="Times New Roman" w:hAnsi="Times New Roman" w:cs="Times New Roman"/>
        </w:rPr>
        <w:t>(the “Projections”) p</w:t>
      </w:r>
      <w:r w:rsidR="00A0636A" w:rsidRPr="00E25AD5">
        <w:rPr>
          <w:rFonts w:ascii="Times New Roman" w:hAnsi="Times New Roman" w:cs="Times New Roman"/>
        </w:rPr>
        <w:t>repared by</w:t>
      </w:r>
      <w:r w:rsidR="00971448" w:rsidRPr="00E25AD5">
        <w:rPr>
          <w:rFonts w:ascii="Times New Roman" w:hAnsi="Times New Roman" w:cs="Times New Roman"/>
        </w:rPr>
        <w:t xml:space="preserve"> </w:t>
      </w:r>
      <w:r w:rsidR="00F90CB4">
        <w:rPr>
          <w:rFonts w:ascii="Times New Roman" w:hAnsi="Times New Roman" w:cs="Times New Roman"/>
        </w:rPr>
        <w:t>Management</w:t>
      </w:r>
      <w:r w:rsidR="004E3868" w:rsidRPr="00E25AD5">
        <w:rPr>
          <w:rFonts w:ascii="Times New Roman" w:hAnsi="Times New Roman" w:cs="Times New Roman"/>
        </w:rPr>
        <w:t>, and the related supporting documentation provided by Management</w:t>
      </w:r>
      <w:r w:rsidR="007243FC" w:rsidRPr="00E25AD5">
        <w:rPr>
          <w:rFonts w:ascii="Times New Roman" w:hAnsi="Times New Roman" w:cs="Times New Roman"/>
        </w:rPr>
        <w:t xml:space="preserve">. </w:t>
      </w:r>
      <w:r w:rsidR="00347E4B" w:rsidRPr="00E25AD5">
        <w:rPr>
          <w:rFonts w:ascii="Times New Roman" w:hAnsi="Times New Roman" w:cs="Times New Roman"/>
        </w:rPr>
        <w:t>The purpose is</w:t>
      </w:r>
      <w:r w:rsidR="00A0636A" w:rsidRPr="00E25AD5">
        <w:rPr>
          <w:rFonts w:ascii="Times New Roman" w:hAnsi="Times New Roman" w:cs="Times New Roman"/>
        </w:rPr>
        <w:t xml:space="preserve"> </w:t>
      </w:r>
      <w:r w:rsidR="00485827" w:rsidRPr="00E25AD5">
        <w:rPr>
          <w:rFonts w:ascii="Times New Roman" w:hAnsi="Times New Roman" w:cs="Times New Roman"/>
        </w:rPr>
        <w:t>to</w:t>
      </w:r>
      <w:r w:rsidR="00F10D3B" w:rsidRPr="00E25AD5">
        <w:rPr>
          <w:rFonts w:ascii="Times New Roman" w:hAnsi="Times New Roman" w:cs="Times New Roman"/>
        </w:rPr>
        <w:t xml:space="preserve"> assess</w:t>
      </w:r>
      <w:r w:rsidR="00A0636A" w:rsidRPr="00E25AD5">
        <w:rPr>
          <w:rFonts w:ascii="Times New Roman" w:hAnsi="Times New Roman" w:cs="Times New Roman"/>
        </w:rPr>
        <w:t xml:space="preserve"> the reasonableness of assumptions used in the preparation</w:t>
      </w:r>
      <w:r w:rsidR="00531EEB" w:rsidRPr="00E25AD5">
        <w:rPr>
          <w:rFonts w:ascii="Times New Roman" w:hAnsi="Times New Roman" w:cs="Times New Roman"/>
        </w:rPr>
        <w:t>, and feasibility</w:t>
      </w:r>
      <w:r w:rsidR="00A0636A" w:rsidRPr="00E25AD5">
        <w:rPr>
          <w:rFonts w:ascii="Times New Roman" w:hAnsi="Times New Roman" w:cs="Times New Roman"/>
        </w:rPr>
        <w:t xml:space="preserve"> of the projections </w:t>
      </w:r>
      <w:r w:rsidR="004B4279" w:rsidRPr="00E25AD5">
        <w:rPr>
          <w:rFonts w:ascii="Times New Roman" w:hAnsi="Times New Roman" w:cs="Times New Roman"/>
        </w:rPr>
        <w:t>related</w:t>
      </w:r>
      <w:r w:rsidR="00A0636A" w:rsidRPr="00E25AD5">
        <w:rPr>
          <w:rFonts w:ascii="Times New Roman" w:hAnsi="Times New Roman" w:cs="Times New Roman"/>
        </w:rPr>
        <w:t xml:space="preserve"> to the </w:t>
      </w:r>
      <w:r w:rsidR="00B34A99" w:rsidRPr="00E25AD5">
        <w:rPr>
          <w:rFonts w:ascii="Times New Roman" w:hAnsi="Times New Roman" w:cs="Times New Roman"/>
        </w:rPr>
        <w:t>addition</w:t>
      </w:r>
      <w:r w:rsidR="007A53B0" w:rsidRPr="00E25AD5">
        <w:rPr>
          <w:rFonts w:ascii="Times New Roman" w:hAnsi="Times New Roman" w:cs="Times New Roman"/>
        </w:rPr>
        <w:t xml:space="preserve"> of </w:t>
      </w:r>
      <w:r w:rsidR="009A7339" w:rsidRPr="00E25AD5">
        <w:rPr>
          <w:rFonts w:ascii="Times New Roman" w:hAnsi="Times New Roman" w:cs="Times New Roman"/>
        </w:rPr>
        <w:t xml:space="preserve">a second CT scanner at </w:t>
      </w:r>
      <w:r w:rsidR="00D6050F" w:rsidRPr="00E25AD5">
        <w:rPr>
          <w:rFonts w:ascii="Times New Roman" w:hAnsi="Times New Roman" w:cs="Times New Roman"/>
        </w:rPr>
        <w:t>AJH</w:t>
      </w:r>
      <w:r w:rsidR="00A0636A" w:rsidRPr="00E25AD5">
        <w:rPr>
          <w:rFonts w:ascii="Times New Roman" w:hAnsi="Times New Roman" w:cs="Times New Roman"/>
        </w:rPr>
        <w:t>.</w:t>
      </w:r>
    </w:p>
    <w:p w14:paraId="4B6245C9" w14:textId="77777777" w:rsidR="00414C8B" w:rsidRPr="009D69E1" w:rsidRDefault="00414C8B" w:rsidP="004F5964">
      <w:pPr>
        <w:spacing w:after="0" w:line="240" w:lineRule="auto"/>
        <w:ind w:left="360"/>
        <w:jc w:val="both"/>
        <w:rPr>
          <w:rFonts w:ascii="Times New Roman" w:hAnsi="Times New Roman" w:cs="Times New Roman"/>
        </w:rPr>
      </w:pPr>
    </w:p>
    <w:p w14:paraId="56EB7D18" w14:textId="77777777" w:rsidR="00221C73" w:rsidRDefault="00347E4B" w:rsidP="00221C73">
      <w:pPr>
        <w:spacing w:after="0" w:line="240" w:lineRule="auto"/>
        <w:ind w:left="360"/>
        <w:jc w:val="both"/>
        <w:rPr>
          <w:rFonts w:ascii="Times New Roman" w:hAnsi="Times New Roman" w:cs="Times New Roman"/>
        </w:rPr>
      </w:pPr>
      <w:r w:rsidRPr="0062041D">
        <w:rPr>
          <w:rFonts w:ascii="Times New Roman" w:hAnsi="Times New Roman" w:cs="Times New Roman"/>
        </w:rPr>
        <w:t>W</w:t>
      </w:r>
      <w:r w:rsidR="0054233A" w:rsidRPr="0062041D">
        <w:rPr>
          <w:rFonts w:ascii="Times New Roman" w:hAnsi="Times New Roman" w:cs="Times New Roman"/>
        </w:rPr>
        <w:t xml:space="preserve">e determined that the projections were not likely to result in a scenario where there are insufficient funds available for the capital needs and ongoing operating costs required to support </w:t>
      </w:r>
      <w:r w:rsidR="00554F0D" w:rsidRPr="0062041D">
        <w:rPr>
          <w:rFonts w:ascii="Times New Roman" w:hAnsi="Times New Roman" w:cs="Times New Roman"/>
        </w:rPr>
        <w:t xml:space="preserve">the addition of a </w:t>
      </w:r>
      <w:r w:rsidR="0050095B">
        <w:rPr>
          <w:rFonts w:ascii="Times New Roman" w:hAnsi="Times New Roman" w:cs="Times New Roman"/>
        </w:rPr>
        <w:t>second</w:t>
      </w:r>
      <w:r w:rsidR="00554F0D" w:rsidRPr="0062041D">
        <w:rPr>
          <w:rFonts w:ascii="Times New Roman" w:hAnsi="Times New Roman" w:cs="Times New Roman"/>
        </w:rPr>
        <w:t xml:space="preserve"> CT scanner</w:t>
      </w:r>
      <w:r w:rsidR="0054233A" w:rsidRPr="00B236AD">
        <w:rPr>
          <w:rFonts w:ascii="Times New Roman" w:hAnsi="Times New Roman" w:cs="Times New Roman"/>
        </w:rPr>
        <w:t xml:space="preserve">.  </w:t>
      </w:r>
      <w:r w:rsidR="00B236AD" w:rsidRPr="00B236AD">
        <w:rPr>
          <w:rFonts w:ascii="Times New Roman" w:hAnsi="Times New Roman" w:cs="Times New Roman"/>
        </w:rPr>
        <w:t>Excluding the lease costs for the CT scanner, i</w:t>
      </w:r>
      <w:r w:rsidR="0054233A" w:rsidRPr="00B236AD">
        <w:rPr>
          <w:rFonts w:ascii="Times New Roman" w:hAnsi="Times New Roman" w:cs="Times New Roman"/>
        </w:rPr>
        <w:t xml:space="preserve">t is not anticipated that </w:t>
      </w:r>
      <w:r w:rsidR="00D6050F" w:rsidRPr="00B236AD">
        <w:rPr>
          <w:rFonts w:ascii="Times New Roman" w:hAnsi="Times New Roman" w:cs="Times New Roman"/>
        </w:rPr>
        <w:t>AJH</w:t>
      </w:r>
      <w:r w:rsidR="0054233A" w:rsidRPr="00B236AD">
        <w:rPr>
          <w:rFonts w:ascii="Times New Roman" w:hAnsi="Times New Roman" w:cs="Times New Roman"/>
        </w:rPr>
        <w:t xml:space="preserve"> will require any </w:t>
      </w:r>
      <w:r w:rsidR="00CF094A" w:rsidRPr="00B236AD">
        <w:rPr>
          <w:rFonts w:ascii="Times New Roman" w:hAnsi="Times New Roman" w:cs="Times New Roman"/>
        </w:rPr>
        <w:t xml:space="preserve">additional </w:t>
      </w:r>
      <w:r w:rsidR="0054233A" w:rsidRPr="00B236AD">
        <w:rPr>
          <w:rFonts w:ascii="Times New Roman" w:hAnsi="Times New Roman" w:cs="Times New Roman"/>
        </w:rPr>
        <w:t xml:space="preserve">financing associated with this </w:t>
      </w:r>
      <w:r w:rsidR="00C91DE3" w:rsidRPr="00B236AD">
        <w:rPr>
          <w:rFonts w:ascii="Times New Roman" w:hAnsi="Times New Roman" w:cs="Times New Roman"/>
        </w:rPr>
        <w:t>project</w:t>
      </w:r>
      <w:r w:rsidR="0054233A" w:rsidRPr="00B236AD">
        <w:rPr>
          <w:rFonts w:ascii="Times New Roman" w:hAnsi="Times New Roman" w:cs="Times New Roman"/>
        </w:rPr>
        <w:t xml:space="preserve">.  </w:t>
      </w:r>
      <w:r w:rsidR="00221C73">
        <w:rPr>
          <w:rFonts w:ascii="Times New Roman" w:hAnsi="Times New Roman" w:cs="Times New Roman"/>
        </w:rPr>
        <w:t>It is our conclusion that the projections are financially feasible and within the financial capability of the Applicant as detailed below.</w:t>
      </w:r>
    </w:p>
    <w:p w14:paraId="153131E3" w14:textId="77777777" w:rsidR="00EC7ADE" w:rsidRDefault="00EC7ADE" w:rsidP="004F5964">
      <w:pPr>
        <w:spacing w:after="0" w:line="240" w:lineRule="auto"/>
        <w:ind w:left="360"/>
        <w:jc w:val="both"/>
        <w:rPr>
          <w:rFonts w:ascii="Times New Roman" w:hAnsi="Times New Roman" w:cs="Times New Roman"/>
        </w:rPr>
      </w:pPr>
    </w:p>
    <w:p w14:paraId="772B18E3" w14:textId="77777777" w:rsidR="00FC59FF" w:rsidRPr="009D69E1" w:rsidRDefault="00FC59FF" w:rsidP="004F5964">
      <w:pPr>
        <w:spacing w:after="0" w:line="240" w:lineRule="auto"/>
        <w:ind w:left="360"/>
        <w:jc w:val="both"/>
        <w:rPr>
          <w:rFonts w:ascii="Times New Roman" w:hAnsi="Times New Roman" w:cs="Times New Roman"/>
        </w:rPr>
      </w:pPr>
    </w:p>
    <w:p w14:paraId="1B538A57" w14:textId="77777777" w:rsidR="00EC7ADE" w:rsidRPr="0056746F" w:rsidRDefault="00EC7ADE" w:rsidP="000B3094">
      <w:pPr>
        <w:pStyle w:val="ListParagraph"/>
        <w:numPr>
          <w:ilvl w:val="0"/>
          <w:numId w:val="5"/>
        </w:numPr>
        <w:tabs>
          <w:tab w:val="left" w:pos="360"/>
        </w:tabs>
        <w:spacing w:after="0" w:line="240" w:lineRule="auto"/>
        <w:ind w:hanging="1080"/>
        <w:rPr>
          <w:rFonts w:ascii="Times New Roman" w:hAnsi="Times New Roman" w:cs="Times New Roman"/>
          <w:b/>
          <w:sz w:val="24"/>
          <w:szCs w:val="24"/>
          <w:u w:val="single"/>
        </w:rPr>
      </w:pPr>
      <w:r w:rsidRPr="0056746F">
        <w:rPr>
          <w:rFonts w:ascii="Times New Roman" w:hAnsi="Times New Roman" w:cs="Times New Roman"/>
          <w:b/>
          <w:sz w:val="24"/>
          <w:szCs w:val="24"/>
          <w:u w:val="single"/>
        </w:rPr>
        <w:t>Relevant Background Information</w:t>
      </w:r>
    </w:p>
    <w:p w14:paraId="6EEED9E9" w14:textId="77777777" w:rsidR="00EC7ADE" w:rsidRPr="009D69E1" w:rsidRDefault="00EC7ADE" w:rsidP="00EC7ADE">
      <w:pPr>
        <w:spacing w:after="0" w:line="240" w:lineRule="auto"/>
        <w:rPr>
          <w:rFonts w:ascii="Times New Roman" w:hAnsi="Times New Roman" w:cs="Times New Roman"/>
        </w:rPr>
      </w:pPr>
    </w:p>
    <w:p w14:paraId="6AC4AAFB" w14:textId="538FDE03" w:rsidR="00485827" w:rsidRPr="009D69E1" w:rsidRDefault="00EC7ADE" w:rsidP="000C42F2">
      <w:pPr>
        <w:spacing w:after="0" w:line="240" w:lineRule="auto"/>
        <w:ind w:left="360"/>
        <w:jc w:val="both"/>
        <w:rPr>
          <w:rFonts w:ascii="Times New Roman" w:hAnsi="Times New Roman" w:cs="Times New Roman"/>
        </w:rPr>
      </w:pPr>
      <w:r w:rsidRPr="009D69E1">
        <w:rPr>
          <w:rFonts w:ascii="Times New Roman" w:hAnsi="Times New Roman" w:cs="Times New Roman"/>
        </w:rPr>
        <w:t>Refer to Factor 1</w:t>
      </w:r>
      <w:r w:rsidR="00F10D3B" w:rsidRPr="009D69E1">
        <w:rPr>
          <w:rFonts w:ascii="Times New Roman" w:hAnsi="Times New Roman" w:cs="Times New Roman"/>
        </w:rPr>
        <w:t xml:space="preserve"> of the DON application</w:t>
      </w:r>
      <w:r w:rsidRPr="009D69E1">
        <w:rPr>
          <w:rFonts w:ascii="Times New Roman" w:hAnsi="Times New Roman" w:cs="Times New Roman"/>
        </w:rPr>
        <w:t xml:space="preserve"> for </w:t>
      </w:r>
      <w:r w:rsidR="00415AC8" w:rsidRPr="009D69E1">
        <w:rPr>
          <w:rFonts w:ascii="Times New Roman" w:hAnsi="Times New Roman" w:cs="Times New Roman"/>
        </w:rPr>
        <w:t xml:space="preserve">a </w:t>
      </w:r>
      <w:r w:rsidRPr="009D69E1">
        <w:rPr>
          <w:rFonts w:ascii="Times New Roman" w:hAnsi="Times New Roman" w:cs="Times New Roman"/>
        </w:rPr>
        <w:t>description of the scope of the</w:t>
      </w:r>
      <w:r w:rsidR="000B3094" w:rsidRPr="009D69E1">
        <w:rPr>
          <w:rFonts w:ascii="Times New Roman" w:hAnsi="Times New Roman" w:cs="Times New Roman"/>
        </w:rPr>
        <w:t xml:space="preserve"> </w:t>
      </w:r>
      <w:r w:rsidR="00D471DF">
        <w:rPr>
          <w:rFonts w:ascii="Times New Roman" w:hAnsi="Times New Roman" w:cs="Times New Roman"/>
        </w:rPr>
        <w:t>A</w:t>
      </w:r>
      <w:r w:rsidR="000B3094" w:rsidRPr="009D69E1">
        <w:rPr>
          <w:rFonts w:ascii="Times New Roman" w:hAnsi="Times New Roman" w:cs="Times New Roman"/>
        </w:rPr>
        <w:t>pplicant</w:t>
      </w:r>
      <w:r w:rsidR="001411AC" w:rsidRPr="00C57148">
        <w:rPr>
          <w:rFonts w:ascii="Times New Roman" w:hAnsi="Times New Roman" w:cs="Times New Roman"/>
        </w:rPr>
        <w:t>,</w:t>
      </w:r>
      <w:r w:rsidR="000B3094" w:rsidRPr="00C57148">
        <w:rPr>
          <w:rFonts w:ascii="Times New Roman" w:hAnsi="Times New Roman" w:cs="Times New Roman"/>
        </w:rPr>
        <w:t xml:space="preserve"> </w:t>
      </w:r>
      <w:r w:rsidR="000C42F2">
        <w:rPr>
          <w:rFonts w:ascii="Times New Roman" w:hAnsi="Times New Roman" w:cs="Times New Roman"/>
        </w:rPr>
        <w:t>AJH</w:t>
      </w:r>
      <w:r w:rsidR="000B3094" w:rsidRPr="00C57148">
        <w:rPr>
          <w:rFonts w:ascii="Times New Roman" w:hAnsi="Times New Roman" w:cs="Times New Roman"/>
        </w:rPr>
        <w:t xml:space="preserve"> and the</w:t>
      </w:r>
      <w:r w:rsidRPr="00C57148">
        <w:rPr>
          <w:rFonts w:ascii="Times New Roman" w:hAnsi="Times New Roman" w:cs="Times New Roman"/>
        </w:rPr>
        <w:t xml:space="preserve"> </w:t>
      </w:r>
      <w:r w:rsidR="00E94DF3" w:rsidRPr="00C57148">
        <w:rPr>
          <w:rFonts w:ascii="Times New Roman" w:hAnsi="Times New Roman" w:cs="Times New Roman"/>
        </w:rPr>
        <w:t>P</w:t>
      </w:r>
      <w:r w:rsidRPr="00C57148">
        <w:rPr>
          <w:rFonts w:ascii="Times New Roman" w:hAnsi="Times New Roman" w:cs="Times New Roman"/>
        </w:rPr>
        <w:t>roject</w:t>
      </w:r>
      <w:r w:rsidR="000B3094" w:rsidRPr="00C57148">
        <w:rPr>
          <w:rFonts w:ascii="Times New Roman" w:hAnsi="Times New Roman" w:cs="Times New Roman"/>
        </w:rPr>
        <w:t>, as</w:t>
      </w:r>
      <w:r w:rsidR="000B3094" w:rsidRPr="009D69E1">
        <w:rPr>
          <w:rFonts w:ascii="Times New Roman" w:hAnsi="Times New Roman" w:cs="Times New Roman"/>
        </w:rPr>
        <w:t xml:space="preserve"> well as the</w:t>
      </w:r>
      <w:r w:rsidRPr="009D69E1">
        <w:rPr>
          <w:rFonts w:ascii="Times New Roman" w:hAnsi="Times New Roman" w:cs="Times New Roman"/>
        </w:rPr>
        <w:t xml:space="preserve"> overall description</w:t>
      </w:r>
      <w:r w:rsidR="000B3094" w:rsidRPr="009D69E1">
        <w:rPr>
          <w:rFonts w:ascii="Times New Roman" w:hAnsi="Times New Roman" w:cs="Times New Roman"/>
        </w:rPr>
        <w:t xml:space="preserve"> and rationale</w:t>
      </w:r>
      <w:r w:rsidRPr="009D69E1">
        <w:rPr>
          <w:rFonts w:ascii="Times New Roman" w:hAnsi="Times New Roman" w:cs="Times New Roman"/>
        </w:rPr>
        <w:t xml:space="preserve"> of the patient need and logic surrounding the </w:t>
      </w:r>
      <w:r w:rsidR="00C57148">
        <w:rPr>
          <w:rFonts w:ascii="Times New Roman" w:hAnsi="Times New Roman" w:cs="Times New Roman"/>
        </w:rPr>
        <w:t xml:space="preserve">addition of a </w:t>
      </w:r>
      <w:r w:rsidR="0050095B">
        <w:rPr>
          <w:rFonts w:ascii="Times New Roman" w:hAnsi="Times New Roman" w:cs="Times New Roman"/>
        </w:rPr>
        <w:t>second</w:t>
      </w:r>
      <w:r w:rsidR="00C57148">
        <w:rPr>
          <w:rFonts w:ascii="Times New Roman" w:hAnsi="Times New Roman" w:cs="Times New Roman"/>
        </w:rPr>
        <w:t xml:space="preserve"> CT scanner at </w:t>
      </w:r>
      <w:r w:rsidR="000C42F2">
        <w:rPr>
          <w:rFonts w:ascii="Times New Roman" w:hAnsi="Times New Roman" w:cs="Times New Roman"/>
        </w:rPr>
        <w:t>AJH</w:t>
      </w:r>
      <w:r w:rsidR="00182ECA">
        <w:rPr>
          <w:rFonts w:ascii="Times New Roman" w:hAnsi="Times New Roman" w:cs="Times New Roman"/>
        </w:rPr>
        <w:t>.</w:t>
      </w:r>
    </w:p>
    <w:p w14:paraId="4EF2DBD9" w14:textId="77777777" w:rsidR="00414C8B" w:rsidRDefault="00414C8B" w:rsidP="00414C8B">
      <w:pPr>
        <w:spacing w:after="0" w:line="240" w:lineRule="auto"/>
        <w:jc w:val="both"/>
        <w:rPr>
          <w:rFonts w:ascii="Times New Roman" w:hAnsi="Times New Roman" w:cs="Times New Roman"/>
        </w:rPr>
      </w:pPr>
    </w:p>
    <w:p w14:paraId="54714359" w14:textId="77777777" w:rsidR="00CE1C83" w:rsidRDefault="00CE1C83" w:rsidP="00414C8B">
      <w:pPr>
        <w:spacing w:after="0" w:line="240" w:lineRule="auto"/>
        <w:jc w:val="both"/>
        <w:rPr>
          <w:rFonts w:ascii="Times New Roman" w:hAnsi="Times New Roman" w:cs="Times New Roman"/>
        </w:rPr>
      </w:pPr>
    </w:p>
    <w:p w14:paraId="5D05C2EF" w14:textId="77777777" w:rsidR="00134875" w:rsidRDefault="00134875" w:rsidP="00134875">
      <w:pPr>
        <w:spacing w:after="0" w:line="240" w:lineRule="auto"/>
        <w:rPr>
          <w:rFonts w:ascii="Times New Roman" w:hAnsi="Times New Roman" w:cs="Times New Roman"/>
        </w:rPr>
      </w:pPr>
    </w:p>
    <w:p w14:paraId="15E040E5" w14:textId="41143107" w:rsidR="006253A1" w:rsidRPr="009D69E1" w:rsidRDefault="00134875" w:rsidP="00134875">
      <w:pPr>
        <w:spacing w:after="0" w:line="240" w:lineRule="auto"/>
        <w:jc w:val="center"/>
        <w:rPr>
          <w:rFonts w:ascii="Times New Roman" w:hAnsi="Times New Roman" w:cs="Times New Roman"/>
        </w:rPr>
        <w:sectPr w:rsidR="006253A1" w:rsidRPr="009D69E1" w:rsidSect="00FC59FF">
          <w:headerReference w:type="default" r:id="rId11"/>
          <w:footerReference w:type="default" r:id="rId12"/>
          <w:pgSz w:w="12240" w:h="15840" w:code="1"/>
          <w:pgMar w:top="2880" w:right="720" w:bottom="1440" w:left="965" w:header="0" w:footer="0" w:gutter="0"/>
          <w:cols w:space="720"/>
          <w:docGrid w:linePitch="360"/>
        </w:sectPr>
      </w:pPr>
      <w:r>
        <w:rPr>
          <w:rFonts w:ascii="Times New Roman" w:hAnsi="Times New Roman" w:cs="Times New Roman"/>
        </w:rPr>
        <w:t>-1-</w:t>
      </w:r>
    </w:p>
    <w:p w14:paraId="1EE8B57D" w14:textId="77777777" w:rsidR="00372230" w:rsidRPr="00EE7DCA" w:rsidRDefault="00372230" w:rsidP="00372230">
      <w:pPr>
        <w:spacing w:after="0" w:line="240" w:lineRule="auto"/>
        <w:rPr>
          <w:rFonts w:ascii="Times New Roman" w:hAnsi="Times New Roman" w:cs="Times New Roman"/>
        </w:rPr>
      </w:pPr>
      <w:r w:rsidRPr="00EE7DCA">
        <w:rPr>
          <w:rFonts w:ascii="Times New Roman" w:hAnsi="Times New Roman" w:cs="Times New Roman"/>
        </w:rPr>
        <w:lastRenderedPageBreak/>
        <w:t xml:space="preserve">Mr. </w:t>
      </w:r>
      <w:r>
        <w:rPr>
          <w:rFonts w:ascii="Times New Roman" w:hAnsi="Times New Roman" w:cs="Times New Roman"/>
        </w:rPr>
        <w:t>Sean Ahern</w:t>
      </w:r>
    </w:p>
    <w:p w14:paraId="51626A42" w14:textId="432E5730" w:rsidR="00532AB8" w:rsidRPr="00EE7DCA" w:rsidRDefault="00532AB8" w:rsidP="00532AB8">
      <w:pPr>
        <w:spacing w:after="0" w:line="240" w:lineRule="auto"/>
        <w:rPr>
          <w:rFonts w:ascii="Times New Roman" w:hAnsi="Times New Roman" w:cs="Times New Roman"/>
        </w:rPr>
      </w:pPr>
      <w:r>
        <w:rPr>
          <w:rFonts w:ascii="Times New Roman" w:hAnsi="Times New Roman" w:cs="Times New Roman"/>
        </w:rPr>
        <w:t>Anna Jaques Hospital</w:t>
      </w:r>
    </w:p>
    <w:p w14:paraId="66BF7B28" w14:textId="1D119064" w:rsidR="000B129E" w:rsidRDefault="00372230" w:rsidP="000B129E">
      <w:pPr>
        <w:spacing w:after="0" w:line="240" w:lineRule="auto"/>
        <w:rPr>
          <w:rFonts w:ascii="Times New Roman" w:hAnsi="Times New Roman" w:cs="Times New Roman"/>
        </w:rPr>
      </w:pPr>
      <w:r w:rsidRPr="00D471DF">
        <w:rPr>
          <w:rFonts w:ascii="Times New Roman" w:hAnsi="Times New Roman" w:cs="Times New Roman"/>
        </w:rPr>
        <w:t xml:space="preserve">June </w:t>
      </w:r>
      <w:r w:rsidR="00D471DF" w:rsidRPr="00D471DF">
        <w:rPr>
          <w:rFonts w:ascii="Times New Roman" w:hAnsi="Times New Roman" w:cs="Times New Roman"/>
        </w:rPr>
        <w:t>12</w:t>
      </w:r>
      <w:r w:rsidRPr="00D471DF">
        <w:rPr>
          <w:rFonts w:ascii="Times New Roman" w:hAnsi="Times New Roman" w:cs="Times New Roman"/>
        </w:rPr>
        <w:t>, 2023</w:t>
      </w:r>
    </w:p>
    <w:p w14:paraId="41D9789B" w14:textId="5AE4A9D6" w:rsidR="00CD664D" w:rsidRDefault="00CD664D" w:rsidP="00F02FDA">
      <w:pPr>
        <w:spacing w:after="0" w:line="180" w:lineRule="auto"/>
        <w:rPr>
          <w:rFonts w:ascii="Times New Roman" w:hAnsi="Times New Roman" w:cs="Times New Roman"/>
        </w:rPr>
      </w:pPr>
    </w:p>
    <w:p w14:paraId="11545DB2" w14:textId="77777777" w:rsidR="000B129E" w:rsidRPr="009D69E1" w:rsidRDefault="000B129E" w:rsidP="00F02FDA">
      <w:pPr>
        <w:spacing w:after="0" w:line="180" w:lineRule="auto"/>
        <w:rPr>
          <w:rFonts w:ascii="Times New Roman" w:hAnsi="Times New Roman" w:cs="Times New Roman"/>
        </w:rPr>
      </w:pPr>
    </w:p>
    <w:p w14:paraId="4EF4B3F1" w14:textId="77777777" w:rsidR="005D2A57" w:rsidRPr="0056746F" w:rsidRDefault="005D2A57" w:rsidP="00B376A5">
      <w:pPr>
        <w:pStyle w:val="ListParagraph"/>
        <w:numPr>
          <w:ilvl w:val="0"/>
          <w:numId w:val="5"/>
        </w:numPr>
        <w:tabs>
          <w:tab w:val="left" w:pos="360"/>
        </w:tabs>
        <w:spacing w:after="0" w:line="240" w:lineRule="auto"/>
        <w:ind w:hanging="1080"/>
        <w:jc w:val="both"/>
        <w:rPr>
          <w:rFonts w:ascii="Times New Roman" w:hAnsi="Times New Roman" w:cs="Times New Roman"/>
          <w:b/>
          <w:sz w:val="24"/>
          <w:szCs w:val="24"/>
          <w:u w:val="single"/>
        </w:rPr>
      </w:pPr>
      <w:r w:rsidRPr="0056746F">
        <w:rPr>
          <w:rFonts w:ascii="Times New Roman" w:hAnsi="Times New Roman" w:cs="Times New Roman"/>
          <w:b/>
          <w:sz w:val="24"/>
          <w:szCs w:val="24"/>
          <w:u w:val="single"/>
        </w:rPr>
        <w:t>Scope of Report</w:t>
      </w:r>
    </w:p>
    <w:p w14:paraId="1CA7F207" w14:textId="77777777" w:rsidR="005D2A57" w:rsidRPr="009D69E1" w:rsidRDefault="005D2A57" w:rsidP="00F02FDA">
      <w:pPr>
        <w:spacing w:after="0" w:line="180" w:lineRule="auto"/>
        <w:jc w:val="both"/>
        <w:rPr>
          <w:rFonts w:ascii="Times New Roman" w:hAnsi="Times New Roman" w:cs="Times New Roman"/>
        </w:rPr>
      </w:pPr>
    </w:p>
    <w:p w14:paraId="71FCC956" w14:textId="6DE1BF89" w:rsidR="005D2A57" w:rsidRPr="009D69E1" w:rsidRDefault="005D2A57" w:rsidP="00F02FDA">
      <w:pPr>
        <w:spacing w:after="0" w:line="240" w:lineRule="auto"/>
        <w:ind w:left="360"/>
        <w:jc w:val="both"/>
        <w:rPr>
          <w:rFonts w:ascii="Times New Roman" w:hAnsi="Times New Roman" w:cs="Times New Roman"/>
        </w:rPr>
      </w:pPr>
      <w:r w:rsidRPr="009D69E1">
        <w:rPr>
          <w:rFonts w:ascii="Times New Roman" w:hAnsi="Times New Roman" w:cs="Times New Roman"/>
        </w:rPr>
        <w:t xml:space="preserve">The scope of this report is limited to an analysis of the </w:t>
      </w:r>
      <w:r w:rsidR="009C59AF" w:rsidRPr="00A605EA">
        <w:rPr>
          <w:rFonts w:ascii="Times New Roman" w:hAnsi="Times New Roman" w:cs="Times New Roman"/>
        </w:rPr>
        <w:t>five</w:t>
      </w:r>
      <w:r w:rsidRPr="00A605EA">
        <w:rPr>
          <w:rFonts w:ascii="Times New Roman" w:hAnsi="Times New Roman" w:cs="Times New Roman"/>
        </w:rPr>
        <w:t xml:space="preserve">-year financial projections </w:t>
      </w:r>
      <w:r w:rsidRPr="009D69E1">
        <w:rPr>
          <w:rFonts w:ascii="Times New Roman" w:hAnsi="Times New Roman" w:cs="Times New Roman"/>
        </w:rPr>
        <w:t>prepared by</w:t>
      </w:r>
      <w:r w:rsidR="00055CC1">
        <w:rPr>
          <w:rFonts w:ascii="Times New Roman" w:hAnsi="Times New Roman" w:cs="Times New Roman"/>
        </w:rPr>
        <w:t xml:space="preserve"> </w:t>
      </w:r>
      <w:r w:rsidR="00182ECA">
        <w:rPr>
          <w:rFonts w:ascii="Times New Roman" w:hAnsi="Times New Roman" w:cs="Times New Roman"/>
        </w:rPr>
        <w:t>Management</w:t>
      </w:r>
      <w:r w:rsidRPr="009D69E1">
        <w:rPr>
          <w:rFonts w:ascii="Times New Roman" w:hAnsi="Times New Roman" w:cs="Times New Roman"/>
        </w:rPr>
        <w:t xml:space="preserve"> and the supporting documentation</w:t>
      </w:r>
      <w:r w:rsidR="00192115" w:rsidRPr="009D69E1">
        <w:rPr>
          <w:rFonts w:ascii="Times New Roman" w:hAnsi="Times New Roman" w:cs="Times New Roman"/>
        </w:rPr>
        <w:t xml:space="preserve"> in order</w:t>
      </w:r>
      <w:r w:rsidRPr="009D69E1">
        <w:rPr>
          <w:rFonts w:ascii="Times New Roman" w:hAnsi="Times New Roman" w:cs="Times New Roman"/>
        </w:rPr>
        <w:t xml:space="preserve"> to </w:t>
      </w:r>
      <w:r w:rsidR="00B764B6" w:rsidRPr="009D69E1">
        <w:rPr>
          <w:rFonts w:ascii="Times New Roman" w:hAnsi="Times New Roman" w:cs="Times New Roman"/>
        </w:rPr>
        <w:t>assess</w:t>
      </w:r>
      <w:r w:rsidRPr="009D69E1">
        <w:rPr>
          <w:rFonts w:ascii="Times New Roman" w:hAnsi="Times New Roman" w:cs="Times New Roman"/>
        </w:rPr>
        <w:t xml:space="preserve"> the reasonableness of assumptions used in the preparation and feasibility of the projections with regards to the</w:t>
      </w:r>
      <w:r w:rsidR="00347E4B" w:rsidRPr="009D69E1">
        <w:rPr>
          <w:rFonts w:ascii="Times New Roman" w:hAnsi="Times New Roman" w:cs="Times New Roman"/>
        </w:rPr>
        <w:t xml:space="preserve"> Project</w:t>
      </w:r>
      <w:r w:rsidRPr="009D69E1">
        <w:rPr>
          <w:rFonts w:ascii="Times New Roman" w:hAnsi="Times New Roman" w:cs="Times New Roman"/>
        </w:rPr>
        <w:t xml:space="preserve">.  Our analysis of the </w:t>
      </w:r>
      <w:r w:rsidR="009D69E1">
        <w:rPr>
          <w:rFonts w:ascii="Times New Roman" w:hAnsi="Times New Roman" w:cs="Times New Roman"/>
        </w:rPr>
        <w:t>p</w:t>
      </w:r>
      <w:r w:rsidRPr="009D69E1">
        <w:rPr>
          <w:rFonts w:ascii="Times New Roman" w:hAnsi="Times New Roman" w:cs="Times New Roman"/>
        </w:rPr>
        <w:t>rojections and conclusions contained within this report are based upon our detailed review of relevant information (</w:t>
      </w:r>
      <w:r w:rsidR="00B376A5" w:rsidRPr="009D69E1">
        <w:rPr>
          <w:rFonts w:ascii="Times New Roman" w:hAnsi="Times New Roman" w:cs="Times New Roman"/>
        </w:rPr>
        <w:t>s</w:t>
      </w:r>
      <w:r w:rsidRPr="009D69E1">
        <w:rPr>
          <w:rFonts w:ascii="Times New Roman" w:hAnsi="Times New Roman" w:cs="Times New Roman"/>
        </w:rPr>
        <w:t xml:space="preserve">ee section </w:t>
      </w:r>
      <w:r w:rsidR="00B376A5" w:rsidRPr="009D69E1">
        <w:rPr>
          <w:rFonts w:ascii="Times New Roman" w:hAnsi="Times New Roman" w:cs="Times New Roman"/>
        </w:rPr>
        <w:t>IV</w:t>
      </w:r>
      <w:r w:rsidR="00F10D3B" w:rsidRPr="009D69E1">
        <w:rPr>
          <w:rFonts w:ascii="Times New Roman" w:hAnsi="Times New Roman" w:cs="Times New Roman"/>
        </w:rPr>
        <w:t xml:space="preserve"> of th</w:t>
      </w:r>
      <w:r w:rsidR="002C7CE4" w:rsidRPr="009D69E1">
        <w:rPr>
          <w:rFonts w:ascii="Times New Roman" w:hAnsi="Times New Roman" w:cs="Times New Roman"/>
        </w:rPr>
        <w:t>is</w:t>
      </w:r>
      <w:r w:rsidR="00F10D3B" w:rsidRPr="009D69E1">
        <w:rPr>
          <w:rFonts w:ascii="Times New Roman" w:hAnsi="Times New Roman" w:cs="Times New Roman"/>
        </w:rPr>
        <w:t xml:space="preserve"> report</w:t>
      </w:r>
      <w:r w:rsidRPr="009D69E1">
        <w:rPr>
          <w:rFonts w:ascii="Times New Roman" w:hAnsi="Times New Roman" w:cs="Times New Roman"/>
        </w:rPr>
        <w:t>). We have gained an understanding through our review of the information provided by Management</w:t>
      </w:r>
      <w:r w:rsidR="002C7CE4" w:rsidRPr="009D69E1">
        <w:rPr>
          <w:rFonts w:ascii="Times New Roman" w:hAnsi="Times New Roman" w:cs="Times New Roman"/>
        </w:rPr>
        <w:t>,</w:t>
      </w:r>
      <w:r w:rsidR="00F10D3B" w:rsidRPr="009D69E1">
        <w:rPr>
          <w:rFonts w:ascii="Times New Roman" w:hAnsi="Times New Roman" w:cs="Times New Roman"/>
        </w:rPr>
        <w:t xml:space="preserve"> including </w:t>
      </w:r>
      <w:r w:rsidR="00086E2C">
        <w:rPr>
          <w:rFonts w:ascii="Times New Roman" w:hAnsi="Times New Roman" w:cs="Times New Roman"/>
        </w:rPr>
        <w:t>actual</w:t>
      </w:r>
      <w:r w:rsidR="001E3E55" w:rsidRPr="009D69E1">
        <w:rPr>
          <w:rFonts w:ascii="Times New Roman" w:hAnsi="Times New Roman" w:cs="Times New Roman"/>
        </w:rPr>
        <w:t xml:space="preserve"> results of the </w:t>
      </w:r>
      <w:r w:rsidR="0050095B">
        <w:rPr>
          <w:rFonts w:ascii="Times New Roman" w:hAnsi="Times New Roman" w:cs="Times New Roman"/>
        </w:rPr>
        <w:t>one</w:t>
      </w:r>
      <w:r w:rsidR="00C91DE3">
        <w:rPr>
          <w:rFonts w:ascii="Times New Roman" w:hAnsi="Times New Roman" w:cs="Times New Roman"/>
        </w:rPr>
        <w:t xml:space="preserve"> </w:t>
      </w:r>
      <w:r w:rsidR="00086E2C">
        <w:rPr>
          <w:rFonts w:ascii="Times New Roman" w:hAnsi="Times New Roman" w:cs="Times New Roman"/>
        </w:rPr>
        <w:t>existing</w:t>
      </w:r>
      <w:r w:rsidR="00E90B7F">
        <w:rPr>
          <w:rFonts w:ascii="Times New Roman" w:hAnsi="Times New Roman" w:cs="Times New Roman"/>
        </w:rPr>
        <w:t xml:space="preserve"> CT scanner located at </w:t>
      </w:r>
      <w:r w:rsidR="0050095B">
        <w:rPr>
          <w:rFonts w:ascii="Times New Roman" w:hAnsi="Times New Roman" w:cs="Times New Roman"/>
        </w:rPr>
        <w:t>AJH</w:t>
      </w:r>
      <w:r w:rsidR="00F10D3B" w:rsidRPr="009D69E1">
        <w:rPr>
          <w:rFonts w:ascii="Times New Roman" w:hAnsi="Times New Roman" w:cs="Times New Roman"/>
        </w:rPr>
        <w:t>,</w:t>
      </w:r>
      <w:r w:rsidRPr="009D69E1">
        <w:rPr>
          <w:rFonts w:ascii="Times New Roman" w:hAnsi="Times New Roman" w:cs="Times New Roman"/>
        </w:rPr>
        <w:t xml:space="preserve"> as well as a review of the DON application.</w:t>
      </w:r>
    </w:p>
    <w:p w14:paraId="09C4DD6F" w14:textId="77777777" w:rsidR="005D2A57" w:rsidRPr="009D69E1" w:rsidRDefault="005D2A57" w:rsidP="00B376A5">
      <w:pPr>
        <w:spacing w:after="0" w:line="240" w:lineRule="auto"/>
        <w:ind w:left="360"/>
        <w:rPr>
          <w:rFonts w:ascii="Times New Roman" w:hAnsi="Times New Roman" w:cs="Times New Roman"/>
        </w:rPr>
      </w:pPr>
    </w:p>
    <w:p w14:paraId="606FA218" w14:textId="2680005D" w:rsidR="00F61A21" w:rsidRPr="00AE25A8" w:rsidRDefault="00EC7ADE" w:rsidP="00B376A5">
      <w:pPr>
        <w:spacing w:after="0" w:line="240" w:lineRule="auto"/>
        <w:ind w:left="360"/>
        <w:jc w:val="both"/>
        <w:rPr>
          <w:rFonts w:ascii="Times New Roman" w:hAnsi="Times New Roman" w:cs="Times New Roman"/>
          <w:color w:val="FF0000"/>
        </w:rPr>
      </w:pPr>
      <w:r w:rsidRPr="009D69E1">
        <w:rPr>
          <w:rFonts w:ascii="Times New Roman" w:hAnsi="Times New Roman" w:cs="Times New Roman"/>
        </w:rPr>
        <w:t xml:space="preserve">Reasonableness is defined within the context of this report as supportable and proper, given the underlying information.  Feasibility is defined </w:t>
      </w:r>
      <w:r w:rsidR="00192115" w:rsidRPr="009D69E1">
        <w:rPr>
          <w:rFonts w:ascii="Times New Roman" w:hAnsi="Times New Roman" w:cs="Times New Roman"/>
        </w:rPr>
        <w:t>as bas</w:t>
      </w:r>
      <w:r w:rsidR="00B954AE" w:rsidRPr="009D69E1">
        <w:rPr>
          <w:rFonts w:ascii="Times New Roman" w:hAnsi="Times New Roman" w:cs="Times New Roman"/>
        </w:rPr>
        <w:t>e</w:t>
      </w:r>
      <w:r w:rsidR="00192115" w:rsidRPr="009D69E1">
        <w:rPr>
          <w:rFonts w:ascii="Times New Roman" w:hAnsi="Times New Roman" w:cs="Times New Roman"/>
        </w:rPr>
        <w:t>d</w:t>
      </w:r>
      <w:r w:rsidR="00B954AE" w:rsidRPr="009D69E1">
        <w:rPr>
          <w:rFonts w:ascii="Times New Roman" w:hAnsi="Times New Roman" w:cs="Times New Roman"/>
        </w:rPr>
        <w:t xml:space="preserve"> </w:t>
      </w:r>
      <w:r w:rsidRPr="009D69E1">
        <w:rPr>
          <w:rFonts w:ascii="Times New Roman" w:hAnsi="Times New Roman" w:cs="Times New Roman"/>
        </w:rPr>
        <w:t xml:space="preserve">on the assumptions used, the plan is not likely to result in insufficient </w:t>
      </w:r>
      <w:r w:rsidRPr="00FC70CE">
        <w:rPr>
          <w:rFonts w:ascii="Times New Roman" w:hAnsi="Times New Roman" w:cs="Times New Roman"/>
        </w:rPr>
        <w:t>funds available for capital and ongoing operating costs necessary to support the proposed project without negative impacts or consequences to</w:t>
      </w:r>
      <w:r w:rsidR="00FE1F89" w:rsidRPr="00FC70CE">
        <w:rPr>
          <w:rFonts w:ascii="Times New Roman" w:hAnsi="Times New Roman" w:cs="Times New Roman"/>
        </w:rPr>
        <w:t xml:space="preserve"> </w:t>
      </w:r>
      <w:r w:rsidR="00AB1B67">
        <w:rPr>
          <w:rFonts w:ascii="Times New Roman" w:hAnsi="Times New Roman" w:cs="Times New Roman"/>
        </w:rPr>
        <w:t>the Applicant’s</w:t>
      </w:r>
      <w:r w:rsidRPr="00FC70CE">
        <w:rPr>
          <w:rFonts w:ascii="Times New Roman" w:hAnsi="Times New Roman" w:cs="Times New Roman"/>
        </w:rPr>
        <w:t xml:space="preserve"> existing patient panel</w:t>
      </w:r>
      <w:r w:rsidR="00A329A8" w:rsidRPr="00FC70CE">
        <w:rPr>
          <w:rFonts w:ascii="Times New Roman" w:hAnsi="Times New Roman" w:cs="Times New Roman"/>
        </w:rPr>
        <w:t>.</w:t>
      </w:r>
      <w:r w:rsidR="00AE25A8">
        <w:rPr>
          <w:rFonts w:ascii="Times New Roman" w:hAnsi="Times New Roman" w:cs="Times New Roman"/>
        </w:rPr>
        <w:t xml:space="preserve"> </w:t>
      </w:r>
    </w:p>
    <w:p w14:paraId="35AA6A75" w14:textId="77777777" w:rsidR="00EC7ADE" w:rsidRPr="009D69E1" w:rsidRDefault="00EC7ADE" w:rsidP="00B376A5">
      <w:pPr>
        <w:spacing w:after="0" w:line="240" w:lineRule="auto"/>
        <w:ind w:left="360"/>
        <w:jc w:val="both"/>
        <w:rPr>
          <w:rFonts w:ascii="Times New Roman" w:hAnsi="Times New Roman" w:cs="Times New Roman"/>
        </w:rPr>
      </w:pPr>
    </w:p>
    <w:p w14:paraId="65C2C805" w14:textId="27FFCDAC" w:rsidR="00EC7ADE" w:rsidRPr="009D69E1" w:rsidRDefault="00EC7ADE" w:rsidP="00B376A5">
      <w:pPr>
        <w:spacing w:after="0" w:line="240" w:lineRule="auto"/>
        <w:ind w:left="360"/>
        <w:jc w:val="both"/>
        <w:rPr>
          <w:rFonts w:ascii="Times New Roman" w:hAnsi="Times New Roman" w:cs="Times New Roman"/>
        </w:rPr>
      </w:pPr>
      <w:r w:rsidRPr="009D69E1">
        <w:rPr>
          <w:rFonts w:ascii="Times New Roman" w:hAnsi="Times New Roman" w:cs="Times New Roman"/>
        </w:rPr>
        <w:t xml:space="preserve">This report is based upon historical and prospective financial information provided to us by Management.  </w:t>
      </w:r>
      <w:r w:rsidR="00485827" w:rsidRPr="009D69E1">
        <w:rPr>
          <w:rFonts w:ascii="Times New Roman" w:hAnsi="Times New Roman" w:cs="Times New Roman"/>
        </w:rPr>
        <w:t xml:space="preserve">If </w:t>
      </w:r>
      <w:r w:rsidRPr="009D69E1">
        <w:rPr>
          <w:rFonts w:ascii="Times New Roman" w:hAnsi="Times New Roman" w:cs="Times New Roman"/>
        </w:rPr>
        <w:t>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w:t>
      </w:r>
      <w:r w:rsidR="00E044D8">
        <w:rPr>
          <w:rFonts w:ascii="Times New Roman" w:hAnsi="Times New Roman" w:cs="Times New Roman"/>
        </w:rPr>
        <w:t xml:space="preserve"> </w:t>
      </w:r>
      <w:r w:rsidR="00F83CF3">
        <w:rPr>
          <w:rFonts w:ascii="Times New Roman" w:hAnsi="Times New Roman" w:cs="Times New Roman"/>
        </w:rPr>
        <w:t>Management</w:t>
      </w:r>
      <w:r w:rsidRPr="009D69E1">
        <w:rPr>
          <w:rFonts w:ascii="Times New Roman" w:hAnsi="Times New Roman" w:cs="Times New Roman"/>
        </w:rPr>
        <w:t xml:space="preserve"> because events and circumstances frequently do not occur as expected, and the achievement of the forecasted results </w:t>
      </w:r>
      <w:r w:rsidR="00B764B6" w:rsidRPr="009D69E1">
        <w:rPr>
          <w:rFonts w:ascii="Times New Roman" w:hAnsi="Times New Roman" w:cs="Times New Roman"/>
        </w:rPr>
        <w:t>is</w:t>
      </w:r>
      <w:r w:rsidRPr="009D69E1">
        <w:rPr>
          <w:rFonts w:ascii="Times New Roman" w:hAnsi="Times New Roman" w:cs="Times New Roman"/>
        </w:rPr>
        <w:t xml:space="preserve"> dependent on the actions, plans, and assumptions of </w:t>
      </w:r>
      <w:r w:rsidR="009D69E1">
        <w:rPr>
          <w:rFonts w:ascii="Times New Roman" w:hAnsi="Times New Roman" w:cs="Times New Roman"/>
        </w:rPr>
        <w:t>M</w:t>
      </w:r>
      <w:r w:rsidRPr="009D69E1">
        <w:rPr>
          <w:rFonts w:ascii="Times New Roman" w:hAnsi="Times New Roman" w:cs="Times New Roman"/>
        </w:rPr>
        <w:t>anagement.  We reserve the right to update our analysis</w:t>
      </w:r>
      <w:r w:rsidR="007213AF">
        <w:rPr>
          <w:rFonts w:ascii="Times New Roman" w:hAnsi="Times New Roman" w:cs="Times New Roman"/>
        </w:rPr>
        <w:t xml:space="preserve"> </w:t>
      </w:r>
      <w:r w:rsidR="00485827" w:rsidRPr="009D69E1">
        <w:rPr>
          <w:rFonts w:ascii="Times New Roman" w:hAnsi="Times New Roman" w:cs="Times New Roman"/>
        </w:rPr>
        <w:t>if</w:t>
      </w:r>
      <w:r w:rsidRPr="009D69E1">
        <w:rPr>
          <w:rFonts w:ascii="Times New Roman" w:hAnsi="Times New Roman" w:cs="Times New Roman"/>
        </w:rPr>
        <w:t xml:space="preserve"> we are provided with additional information.</w:t>
      </w:r>
    </w:p>
    <w:p w14:paraId="7C804686" w14:textId="77777777" w:rsidR="00650F41" w:rsidRDefault="00650F41" w:rsidP="00F02FDA">
      <w:pPr>
        <w:spacing w:after="0" w:line="180" w:lineRule="auto"/>
        <w:jc w:val="both"/>
        <w:rPr>
          <w:rFonts w:ascii="Times New Roman" w:hAnsi="Times New Roman" w:cs="Times New Roman"/>
        </w:rPr>
      </w:pPr>
    </w:p>
    <w:p w14:paraId="4CE463C5" w14:textId="77777777" w:rsidR="00F951BB" w:rsidRPr="009D69E1" w:rsidRDefault="00F951BB" w:rsidP="00F02FDA">
      <w:pPr>
        <w:spacing w:after="0" w:line="180" w:lineRule="auto"/>
        <w:jc w:val="both"/>
        <w:rPr>
          <w:rFonts w:ascii="Times New Roman" w:hAnsi="Times New Roman" w:cs="Times New Roman"/>
        </w:rPr>
      </w:pPr>
    </w:p>
    <w:p w14:paraId="601E734C" w14:textId="77777777" w:rsidR="00650F41" w:rsidRPr="0056746F" w:rsidRDefault="00650F41" w:rsidP="00650F41">
      <w:pPr>
        <w:pStyle w:val="ListParagraph"/>
        <w:numPr>
          <w:ilvl w:val="0"/>
          <w:numId w:val="5"/>
        </w:numPr>
        <w:tabs>
          <w:tab w:val="left" w:pos="360"/>
        </w:tabs>
        <w:spacing w:after="0" w:line="240" w:lineRule="auto"/>
        <w:ind w:hanging="1080"/>
        <w:jc w:val="both"/>
        <w:rPr>
          <w:rFonts w:ascii="Times New Roman" w:hAnsi="Times New Roman" w:cs="Times New Roman"/>
          <w:b/>
          <w:sz w:val="24"/>
          <w:szCs w:val="24"/>
          <w:u w:val="single"/>
        </w:rPr>
      </w:pPr>
      <w:r w:rsidRPr="0056746F">
        <w:rPr>
          <w:rFonts w:ascii="Times New Roman" w:hAnsi="Times New Roman" w:cs="Times New Roman"/>
          <w:b/>
          <w:sz w:val="24"/>
          <w:szCs w:val="24"/>
          <w:u w:val="single"/>
        </w:rPr>
        <w:t>Primary Sources of Information Utilized</w:t>
      </w:r>
    </w:p>
    <w:p w14:paraId="0B3A04C0" w14:textId="77777777" w:rsidR="00650F41" w:rsidRPr="009D69E1" w:rsidRDefault="00650F41" w:rsidP="00F02FDA">
      <w:pPr>
        <w:spacing w:after="0" w:line="180" w:lineRule="auto"/>
        <w:jc w:val="both"/>
        <w:rPr>
          <w:rFonts w:ascii="Times New Roman" w:hAnsi="Times New Roman" w:cs="Times New Roman"/>
        </w:rPr>
      </w:pPr>
    </w:p>
    <w:p w14:paraId="4BD500EE" w14:textId="2D198AF2" w:rsidR="00650F41" w:rsidRPr="009D69E1" w:rsidRDefault="00650F41" w:rsidP="00F02FDA">
      <w:pPr>
        <w:widowControl w:val="0"/>
        <w:spacing w:after="0" w:line="240" w:lineRule="auto"/>
        <w:ind w:left="360"/>
        <w:jc w:val="both"/>
        <w:rPr>
          <w:rFonts w:ascii="Times New Roman" w:hAnsi="Times New Roman" w:cs="Times New Roman"/>
        </w:rPr>
      </w:pPr>
      <w:r w:rsidRPr="009D69E1">
        <w:rPr>
          <w:rFonts w:ascii="Times New Roman" w:hAnsi="Times New Roman" w:cs="Times New Roman"/>
        </w:rPr>
        <w:t xml:space="preserve">In formulating our opinions and conclusions contained in this report, we obtained and reviewed various documents </w:t>
      </w:r>
      <w:r w:rsidR="00A54136">
        <w:rPr>
          <w:rFonts w:ascii="Times New Roman" w:hAnsi="Times New Roman" w:cs="Times New Roman"/>
        </w:rPr>
        <w:t xml:space="preserve">obtained </w:t>
      </w:r>
      <w:r w:rsidRPr="009D69E1">
        <w:rPr>
          <w:rFonts w:ascii="Times New Roman" w:hAnsi="Times New Roman" w:cs="Times New Roman"/>
        </w:rPr>
        <w:t>from Management.  The documents and information we reviewed and relied on are noted below and/or referenced in this report:</w:t>
      </w:r>
    </w:p>
    <w:p w14:paraId="459199BB" w14:textId="77777777" w:rsidR="00650F41" w:rsidRPr="009D69E1" w:rsidRDefault="00650F41" w:rsidP="00F02FDA">
      <w:pPr>
        <w:widowControl w:val="0"/>
        <w:spacing w:after="0" w:line="120" w:lineRule="auto"/>
        <w:ind w:left="360"/>
        <w:jc w:val="both"/>
        <w:rPr>
          <w:rFonts w:ascii="Times New Roman" w:hAnsi="Times New Roman" w:cs="Times New Roman"/>
        </w:rPr>
      </w:pPr>
    </w:p>
    <w:p w14:paraId="5ED1BFFA" w14:textId="46BEE492" w:rsidR="00DD4107" w:rsidRPr="00826A80" w:rsidRDefault="00650F41" w:rsidP="00826A80">
      <w:pPr>
        <w:pStyle w:val="ListParagraph"/>
        <w:widowControl w:val="0"/>
        <w:numPr>
          <w:ilvl w:val="0"/>
          <w:numId w:val="7"/>
        </w:numPr>
        <w:spacing w:after="0" w:line="240" w:lineRule="auto"/>
        <w:jc w:val="both"/>
        <w:rPr>
          <w:rFonts w:ascii="Times New Roman" w:hAnsi="Times New Roman" w:cs="Times New Roman"/>
        </w:rPr>
      </w:pPr>
      <w:r w:rsidRPr="00826A80">
        <w:rPr>
          <w:rFonts w:ascii="Times New Roman" w:hAnsi="Times New Roman" w:cs="Times New Roman"/>
        </w:rPr>
        <w:t xml:space="preserve">Historical </w:t>
      </w:r>
      <w:r w:rsidR="000E10BA" w:rsidRPr="00826A80">
        <w:rPr>
          <w:rFonts w:ascii="Times New Roman" w:hAnsi="Times New Roman" w:cs="Times New Roman"/>
        </w:rPr>
        <w:t xml:space="preserve">CT scan </w:t>
      </w:r>
      <w:r w:rsidR="00DD4107" w:rsidRPr="00826A80">
        <w:rPr>
          <w:rFonts w:ascii="Times New Roman" w:hAnsi="Times New Roman" w:cs="Times New Roman"/>
        </w:rPr>
        <w:t>volume</w:t>
      </w:r>
      <w:r w:rsidR="00DD36F4" w:rsidRPr="00826A80">
        <w:rPr>
          <w:rFonts w:ascii="Times New Roman" w:hAnsi="Times New Roman" w:cs="Times New Roman"/>
        </w:rPr>
        <w:t xml:space="preserve"> performed </w:t>
      </w:r>
      <w:r w:rsidR="00DD4107" w:rsidRPr="00826A80">
        <w:rPr>
          <w:rFonts w:ascii="Times New Roman" w:hAnsi="Times New Roman" w:cs="Times New Roman"/>
        </w:rPr>
        <w:t xml:space="preserve">for the </w:t>
      </w:r>
      <w:r w:rsidR="00C91DE3" w:rsidRPr="00826A80">
        <w:rPr>
          <w:rFonts w:ascii="Times New Roman" w:hAnsi="Times New Roman" w:cs="Times New Roman"/>
        </w:rPr>
        <w:t xml:space="preserve">one </w:t>
      </w:r>
      <w:r w:rsidR="00B4121D" w:rsidRPr="00826A80">
        <w:rPr>
          <w:rFonts w:ascii="Times New Roman" w:hAnsi="Times New Roman" w:cs="Times New Roman"/>
        </w:rPr>
        <w:t>existing</w:t>
      </w:r>
      <w:r w:rsidR="00DD4107" w:rsidRPr="00826A80">
        <w:rPr>
          <w:rFonts w:ascii="Times New Roman" w:hAnsi="Times New Roman" w:cs="Times New Roman"/>
        </w:rPr>
        <w:t xml:space="preserve"> CT scanner</w:t>
      </w:r>
      <w:r w:rsidR="00D6449E" w:rsidRPr="00826A80">
        <w:rPr>
          <w:rFonts w:ascii="Times New Roman" w:hAnsi="Times New Roman" w:cs="Times New Roman"/>
        </w:rPr>
        <w:t xml:space="preserve"> presently</w:t>
      </w:r>
      <w:r w:rsidR="00DD4107" w:rsidRPr="00826A80">
        <w:rPr>
          <w:rFonts w:ascii="Times New Roman" w:hAnsi="Times New Roman" w:cs="Times New Roman"/>
        </w:rPr>
        <w:t xml:space="preserve"> at </w:t>
      </w:r>
      <w:r w:rsidR="00A9113A" w:rsidRPr="00826A80">
        <w:rPr>
          <w:rFonts w:ascii="Times New Roman" w:hAnsi="Times New Roman" w:cs="Times New Roman"/>
        </w:rPr>
        <w:t>Anna Jaques Hospital</w:t>
      </w:r>
      <w:r w:rsidR="00DD4107" w:rsidRPr="00826A80">
        <w:rPr>
          <w:rFonts w:ascii="Times New Roman" w:hAnsi="Times New Roman" w:cs="Times New Roman"/>
        </w:rPr>
        <w:t xml:space="preserve"> for the fiscal years ended </w:t>
      </w:r>
      <w:r w:rsidR="00592FB0" w:rsidRPr="00826A80">
        <w:rPr>
          <w:rFonts w:ascii="Times New Roman" w:hAnsi="Times New Roman" w:cs="Times New Roman"/>
        </w:rPr>
        <w:t>September</w:t>
      </w:r>
      <w:r w:rsidR="00DD4107" w:rsidRPr="00826A80">
        <w:rPr>
          <w:rFonts w:ascii="Times New Roman" w:hAnsi="Times New Roman" w:cs="Times New Roman"/>
        </w:rPr>
        <w:t xml:space="preserve"> 3</w:t>
      </w:r>
      <w:r w:rsidR="00592FB0" w:rsidRPr="00826A80">
        <w:rPr>
          <w:rFonts w:ascii="Times New Roman" w:hAnsi="Times New Roman" w:cs="Times New Roman"/>
        </w:rPr>
        <w:t>0</w:t>
      </w:r>
      <w:r w:rsidR="00DD4107" w:rsidRPr="00826A80">
        <w:rPr>
          <w:rFonts w:ascii="Times New Roman" w:hAnsi="Times New Roman" w:cs="Times New Roman"/>
        </w:rPr>
        <w:t>, 20</w:t>
      </w:r>
      <w:r w:rsidR="00A9113A" w:rsidRPr="00826A80">
        <w:rPr>
          <w:rFonts w:ascii="Times New Roman" w:hAnsi="Times New Roman" w:cs="Times New Roman"/>
        </w:rPr>
        <w:t>20</w:t>
      </w:r>
      <w:r w:rsidR="00DD4107" w:rsidRPr="00826A80">
        <w:rPr>
          <w:rFonts w:ascii="Times New Roman" w:hAnsi="Times New Roman" w:cs="Times New Roman"/>
        </w:rPr>
        <w:t>, 202</w:t>
      </w:r>
      <w:r w:rsidR="00A9113A" w:rsidRPr="00826A80">
        <w:rPr>
          <w:rFonts w:ascii="Times New Roman" w:hAnsi="Times New Roman" w:cs="Times New Roman"/>
        </w:rPr>
        <w:t>1</w:t>
      </w:r>
      <w:r w:rsidR="00782F12" w:rsidRPr="00826A80">
        <w:rPr>
          <w:rFonts w:ascii="Times New Roman" w:hAnsi="Times New Roman" w:cs="Times New Roman"/>
        </w:rPr>
        <w:t xml:space="preserve"> and</w:t>
      </w:r>
      <w:r w:rsidR="00670038" w:rsidRPr="00826A80">
        <w:rPr>
          <w:rFonts w:ascii="Times New Roman" w:hAnsi="Times New Roman" w:cs="Times New Roman"/>
        </w:rPr>
        <w:t xml:space="preserve"> </w:t>
      </w:r>
      <w:r w:rsidR="00DD4107" w:rsidRPr="00826A80">
        <w:rPr>
          <w:rFonts w:ascii="Times New Roman" w:hAnsi="Times New Roman" w:cs="Times New Roman"/>
        </w:rPr>
        <w:t>202</w:t>
      </w:r>
      <w:r w:rsidR="00A9113A" w:rsidRPr="00826A80">
        <w:rPr>
          <w:rFonts w:ascii="Times New Roman" w:hAnsi="Times New Roman" w:cs="Times New Roman"/>
        </w:rPr>
        <w:t>2.</w:t>
      </w:r>
    </w:p>
    <w:p w14:paraId="0A24C93F" w14:textId="77777777" w:rsidR="00A9113A" w:rsidRPr="00A9113A" w:rsidRDefault="00A9113A" w:rsidP="00A9113A">
      <w:pPr>
        <w:pStyle w:val="ListParagraph"/>
        <w:widowControl w:val="0"/>
        <w:spacing w:after="0" w:line="180" w:lineRule="auto"/>
        <w:ind w:left="1080"/>
        <w:jc w:val="both"/>
        <w:rPr>
          <w:rFonts w:ascii="Times New Roman" w:hAnsi="Times New Roman" w:cs="Times New Roman"/>
        </w:rPr>
      </w:pPr>
    </w:p>
    <w:p w14:paraId="74442DF1" w14:textId="63D39318" w:rsidR="001B02A5" w:rsidRDefault="00DD4107" w:rsidP="0076175C">
      <w:pPr>
        <w:pStyle w:val="ListParagraph"/>
        <w:widowControl w:val="0"/>
        <w:numPr>
          <w:ilvl w:val="0"/>
          <w:numId w:val="7"/>
        </w:numPr>
        <w:spacing w:after="0" w:line="240" w:lineRule="auto"/>
        <w:jc w:val="both"/>
        <w:rPr>
          <w:rFonts w:ascii="Times New Roman" w:hAnsi="Times New Roman" w:cs="Times New Roman"/>
        </w:rPr>
      </w:pPr>
      <w:r w:rsidRPr="00F75211">
        <w:rPr>
          <w:rFonts w:ascii="Times New Roman" w:hAnsi="Times New Roman" w:cs="Times New Roman"/>
        </w:rPr>
        <w:t xml:space="preserve">Projected </w:t>
      </w:r>
      <w:r w:rsidR="00AB16C6" w:rsidRPr="00F75211">
        <w:rPr>
          <w:rFonts w:ascii="Times New Roman" w:hAnsi="Times New Roman" w:cs="Times New Roman"/>
        </w:rPr>
        <w:t>CT scan</w:t>
      </w:r>
      <w:r w:rsidRPr="00F75211">
        <w:rPr>
          <w:rFonts w:ascii="Times New Roman" w:hAnsi="Times New Roman" w:cs="Times New Roman"/>
        </w:rPr>
        <w:t xml:space="preserve"> volume</w:t>
      </w:r>
      <w:r w:rsidR="00DD36F4" w:rsidRPr="00F75211">
        <w:rPr>
          <w:rFonts w:ascii="Times New Roman" w:hAnsi="Times New Roman" w:cs="Times New Roman"/>
        </w:rPr>
        <w:t xml:space="preserve"> performed at Anna Jaques Hospital after the implementation of the second CT scanner for </w:t>
      </w:r>
      <w:r w:rsidR="00F75211">
        <w:rPr>
          <w:rFonts w:ascii="Times New Roman" w:hAnsi="Times New Roman" w:cs="Times New Roman"/>
        </w:rPr>
        <w:t>the fiscal years ending September 30, 2024, 2025, 2026, 2027 and 2028.</w:t>
      </w:r>
    </w:p>
    <w:p w14:paraId="3F693B6E" w14:textId="77777777" w:rsidR="00F75211" w:rsidRPr="00F75211" w:rsidRDefault="00F75211" w:rsidP="00F75211">
      <w:pPr>
        <w:widowControl w:val="0"/>
        <w:spacing w:after="0" w:line="240" w:lineRule="auto"/>
        <w:jc w:val="both"/>
        <w:rPr>
          <w:rFonts w:ascii="Times New Roman" w:hAnsi="Times New Roman" w:cs="Times New Roman"/>
        </w:rPr>
      </w:pPr>
    </w:p>
    <w:p w14:paraId="0D7FA0B0" w14:textId="32ECB33C" w:rsidR="001B02A5" w:rsidRPr="001B02A5" w:rsidRDefault="001B02A5" w:rsidP="001B02A5">
      <w:pPr>
        <w:pStyle w:val="ListParagraph"/>
        <w:widowControl w:val="0"/>
        <w:numPr>
          <w:ilvl w:val="0"/>
          <w:numId w:val="7"/>
        </w:numPr>
        <w:spacing w:after="0" w:line="240" w:lineRule="exact"/>
        <w:jc w:val="both"/>
        <w:rPr>
          <w:rFonts w:ascii="Times New Roman" w:hAnsi="Times New Roman" w:cs="Times New Roman"/>
        </w:rPr>
      </w:pPr>
      <w:r>
        <w:rPr>
          <w:rFonts w:ascii="Times New Roman" w:hAnsi="Times New Roman" w:cs="Times New Roman"/>
        </w:rPr>
        <w:t>Beth Israel Lahey Health, Inc. and Affiliates audited consolidated financial statements as of and for the years ended September 30, 202</w:t>
      </w:r>
      <w:r w:rsidR="00100A02">
        <w:rPr>
          <w:rFonts w:ascii="Times New Roman" w:hAnsi="Times New Roman" w:cs="Times New Roman"/>
        </w:rPr>
        <w:t>2</w:t>
      </w:r>
      <w:r>
        <w:rPr>
          <w:rFonts w:ascii="Times New Roman" w:hAnsi="Times New Roman" w:cs="Times New Roman"/>
        </w:rPr>
        <w:t xml:space="preserve"> and September 30, 202</w:t>
      </w:r>
      <w:r w:rsidR="00100A02">
        <w:rPr>
          <w:rFonts w:ascii="Times New Roman" w:hAnsi="Times New Roman" w:cs="Times New Roman"/>
        </w:rPr>
        <w:t>1</w:t>
      </w:r>
      <w:r>
        <w:rPr>
          <w:rFonts w:ascii="Times New Roman" w:hAnsi="Times New Roman" w:cs="Times New Roman"/>
        </w:rPr>
        <w:t>.</w:t>
      </w:r>
    </w:p>
    <w:p w14:paraId="51F37635" w14:textId="77777777" w:rsidR="00827C4A" w:rsidRPr="00464252" w:rsidRDefault="00827C4A" w:rsidP="002B41AD">
      <w:pPr>
        <w:pStyle w:val="ListParagraph"/>
        <w:spacing w:after="0" w:line="180" w:lineRule="auto"/>
        <w:rPr>
          <w:rFonts w:ascii="Times New Roman" w:hAnsi="Times New Roman" w:cs="Times New Roman"/>
        </w:rPr>
      </w:pPr>
    </w:p>
    <w:p w14:paraId="739EB887" w14:textId="2453A19D" w:rsidR="00212892" w:rsidRPr="008054A0" w:rsidRDefault="00827C4A" w:rsidP="002B41AD">
      <w:pPr>
        <w:pStyle w:val="ListParagraph"/>
        <w:widowControl w:val="0"/>
        <w:numPr>
          <w:ilvl w:val="0"/>
          <w:numId w:val="7"/>
        </w:numPr>
        <w:spacing w:after="0" w:line="240" w:lineRule="auto"/>
        <w:jc w:val="both"/>
        <w:rPr>
          <w:rFonts w:ascii="Times New Roman" w:hAnsi="Times New Roman" w:cs="Times New Roman"/>
        </w:rPr>
      </w:pPr>
      <w:r w:rsidRPr="008054A0">
        <w:rPr>
          <w:rFonts w:ascii="Times New Roman" w:hAnsi="Times New Roman" w:cs="Times New Roman"/>
        </w:rPr>
        <w:t>Historical expenses</w:t>
      </w:r>
      <w:r w:rsidR="00DD36F4" w:rsidRPr="008054A0">
        <w:rPr>
          <w:rFonts w:ascii="Times New Roman" w:hAnsi="Times New Roman" w:cs="Times New Roman"/>
        </w:rPr>
        <w:t xml:space="preserve"> </w:t>
      </w:r>
      <w:r w:rsidRPr="008054A0">
        <w:rPr>
          <w:rFonts w:ascii="Times New Roman" w:hAnsi="Times New Roman" w:cs="Times New Roman"/>
        </w:rPr>
        <w:t>of the</w:t>
      </w:r>
      <w:r w:rsidR="00C91DE3" w:rsidRPr="008054A0">
        <w:rPr>
          <w:rFonts w:ascii="Times New Roman" w:hAnsi="Times New Roman" w:cs="Times New Roman"/>
        </w:rPr>
        <w:t xml:space="preserve"> one</w:t>
      </w:r>
      <w:r w:rsidRPr="008054A0">
        <w:rPr>
          <w:rFonts w:ascii="Times New Roman" w:hAnsi="Times New Roman" w:cs="Times New Roman"/>
        </w:rPr>
        <w:t xml:space="preserve"> </w:t>
      </w:r>
      <w:r w:rsidR="00B4121D" w:rsidRPr="008054A0">
        <w:rPr>
          <w:rFonts w:ascii="Times New Roman" w:hAnsi="Times New Roman" w:cs="Times New Roman"/>
        </w:rPr>
        <w:t>existing</w:t>
      </w:r>
      <w:r w:rsidRPr="008054A0">
        <w:rPr>
          <w:rFonts w:ascii="Times New Roman" w:hAnsi="Times New Roman" w:cs="Times New Roman"/>
        </w:rPr>
        <w:t xml:space="preserve"> CT scanner at </w:t>
      </w:r>
      <w:r w:rsidR="00A9113A" w:rsidRPr="008054A0">
        <w:rPr>
          <w:rFonts w:ascii="Times New Roman" w:hAnsi="Times New Roman" w:cs="Times New Roman"/>
        </w:rPr>
        <w:t>Anna Jaques Hospital</w:t>
      </w:r>
      <w:r w:rsidRPr="008054A0">
        <w:rPr>
          <w:rFonts w:ascii="Times New Roman" w:hAnsi="Times New Roman" w:cs="Times New Roman"/>
        </w:rPr>
        <w:t xml:space="preserve"> for the fiscal year ended </w:t>
      </w:r>
      <w:r w:rsidR="00592FB0" w:rsidRPr="008054A0">
        <w:rPr>
          <w:rFonts w:ascii="Times New Roman" w:hAnsi="Times New Roman" w:cs="Times New Roman"/>
        </w:rPr>
        <w:t>September 30,</w:t>
      </w:r>
      <w:r w:rsidRPr="008054A0">
        <w:rPr>
          <w:rFonts w:ascii="Times New Roman" w:hAnsi="Times New Roman" w:cs="Times New Roman"/>
        </w:rPr>
        <w:t xml:space="preserve"> 202</w:t>
      </w:r>
      <w:r w:rsidR="00A9113A" w:rsidRPr="008054A0">
        <w:rPr>
          <w:rFonts w:ascii="Times New Roman" w:hAnsi="Times New Roman" w:cs="Times New Roman"/>
        </w:rPr>
        <w:t>2.</w:t>
      </w:r>
    </w:p>
    <w:p w14:paraId="2B19F9C5" w14:textId="77777777" w:rsidR="00212892" w:rsidRPr="008054A0" w:rsidRDefault="00212892" w:rsidP="00212892">
      <w:pPr>
        <w:pStyle w:val="ListParagraph"/>
        <w:rPr>
          <w:rFonts w:ascii="Times New Roman" w:hAnsi="Times New Roman" w:cs="Times New Roman"/>
        </w:rPr>
      </w:pPr>
    </w:p>
    <w:p w14:paraId="3697BECA" w14:textId="46527F23" w:rsidR="00A605EA" w:rsidRPr="008054A0" w:rsidRDefault="00212892" w:rsidP="002B41AD">
      <w:pPr>
        <w:pStyle w:val="ListParagraph"/>
        <w:widowControl w:val="0"/>
        <w:numPr>
          <w:ilvl w:val="0"/>
          <w:numId w:val="7"/>
        </w:numPr>
        <w:spacing w:after="0" w:line="240" w:lineRule="auto"/>
        <w:jc w:val="both"/>
        <w:rPr>
          <w:rFonts w:ascii="Times New Roman" w:hAnsi="Times New Roman" w:cs="Times New Roman"/>
        </w:rPr>
      </w:pPr>
      <w:r w:rsidRPr="008054A0">
        <w:rPr>
          <w:rFonts w:ascii="Times New Roman" w:hAnsi="Times New Roman" w:cs="Times New Roman"/>
        </w:rPr>
        <w:t xml:space="preserve">The </w:t>
      </w:r>
      <w:r w:rsidR="004A7C59" w:rsidRPr="008054A0">
        <w:rPr>
          <w:rFonts w:ascii="Times New Roman" w:hAnsi="Times New Roman" w:cs="Times New Roman"/>
        </w:rPr>
        <w:t>Medicare OPPS Addendum B Report</w:t>
      </w:r>
      <w:r w:rsidRPr="008054A0">
        <w:rPr>
          <w:rFonts w:ascii="Times New Roman" w:hAnsi="Times New Roman" w:cs="Times New Roman"/>
        </w:rPr>
        <w:t xml:space="preserve"> with the corresponding Outpatient CT Schedule</w:t>
      </w:r>
      <w:r w:rsidR="005E22D7" w:rsidRPr="008054A0">
        <w:rPr>
          <w:rFonts w:ascii="Times New Roman" w:hAnsi="Times New Roman" w:cs="Times New Roman"/>
        </w:rPr>
        <w:t xml:space="preserve"> </w:t>
      </w:r>
      <w:r w:rsidR="008054A0" w:rsidRPr="008054A0">
        <w:rPr>
          <w:rFonts w:ascii="Times New Roman" w:hAnsi="Times New Roman" w:cs="Times New Roman"/>
        </w:rPr>
        <w:t>with</w:t>
      </w:r>
      <w:r w:rsidR="00E9253F" w:rsidRPr="008054A0">
        <w:rPr>
          <w:rFonts w:ascii="Times New Roman" w:hAnsi="Times New Roman" w:cs="Times New Roman"/>
        </w:rPr>
        <w:t xml:space="preserve"> reimbursement amounts</w:t>
      </w:r>
      <w:r w:rsidRPr="008054A0">
        <w:rPr>
          <w:rFonts w:ascii="Times New Roman" w:hAnsi="Times New Roman" w:cs="Times New Roman"/>
        </w:rPr>
        <w:t xml:space="preserve"> </w:t>
      </w:r>
      <w:r w:rsidR="008054A0" w:rsidRPr="008054A0">
        <w:rPr>
          <w:rFonts w:ascii="Times New Roman" w:hAnsi="Times New Roman" w:cs="Times New Roman"/>
        </w:rPr>
        <w:t xml:space="preserve">by HCPCS code </w:t>
      </w:r>
      <w:r w:rsidR="005D7D1A" w:rsidRPr="008054A0">
        <w:rPr>
          <w:rFonts w:ascii="Times New Roman" w:hAnsi="Times New Roman" w:cs="Times New Roman"/>
        </w:rPr>
        <w:t xml:space="preserve">for </w:t>
      </w:r>
      <w:r w:rsidR="00E9253F" w:rsidRPr="008054A0">
        <w:rPr>
          <w:rFonts w:ascii="Times New Roman" w:hAnsi="Times New Roman" w:cs="Times New Roman"/>
        </w:rPr>
        <w:t>January 2022</w:t>
      </w:r>
      <w:r w:rsidR="005D7D1A" w:rsidRPr="008054A0">
        <w:rPr>
          <w:rFonts w:ascii="Times New Roman" w:hAnsi="Times New Roman" w:cs="Times New Roman"/>
        </w:rPr>
        <w:t>.</w:t>
      </w:r>
      <w:r w:rsidR="00827C4A" w:rsidRPr="008054A0">
        <w:rPr>
          <w:rFonts w:ascii="Times New Roman" w:hAnsi="Times New Roman" w:cs="Times New Roman"/>
        </w:rPr>
        <w:t xml:space="preserve"> </w:t>
      </w:r>
    </w:p>
    <w:p w14:paraId="549B07EB" w14:textId="77777777" w:rsidR="00DA06F3" w:rsidRPr="00464252" w:rsidRDefault="00DA06F3" w:rsidP="002B41AD">
      <w:pPr>
        <w:widowControl w:val="0"/>
        <w:spacing w:after="0" w:line="180" w:lineRule="auto"/>
        <w:jc w:val="both"/>
        <w:rPr>
          <w:rFonts w:ascii="Times New Roman" w:hAnsi="Times New Roman" w:cs="Times New Roman"/>
        </w:rPr>
      </w:pPr>
    </w:p>
    <w:p w14:paraId="5BDB485B" w14:textId="77777777" w:rsidR="00F75211" w:rsidRDefault="00F75211" w:rsidP="00F75211">
      <w:pPr>
        <w:pStyle w:val="ListParagraph"/>
        <w:widowControl w:val="0"/>
        <w:numPr>
          <w:ilvl w:val="0"/>
          <w:numId w:val="23"/>
        </w:numPr>
        <w:spacing w:after="0" w:line="240" w:lineRule="exact"/>
        <w:jc w:val="both"/>
        <w:rPr>
          <w:rFonts w:ascii="Times New Roman" w:hAnsi="Times New Roman" w:cs="Times New Roman"/>
        </w:rPr>
      </w:pPr>
      <w:r>
        <w:rPr>
          <w:rFonts w:ascii="Times New Roman" w:hAnsi="Times New Roman" w:cs="Times New Roman"/>
        </w:rPr>
        <w:t>Projected revenue and expenses for the Project for the fiscal years ending September 30, 2024, 2025, 2026, 2027 and 2028.</w:t>
      </w:r>
    </w:p>
    <w:p w14:paraId="1304E9BC" w14:textId="77777777" w:rsidR="001D051F" w:rsidRPr="00464252" w:rsidRDefault="001D051F" w:rsidP="002B41AD">
      <w:pPr>
        <w:widowControl w:val="0"/>
        <w:spacing w:after="0" w:line="180" w:lineRule="auto"/>
        <w:jc w:val="both"/>
        <w:rPr>
          <w:rFonts w:ascii="Times New Roman" w:hAnsi="Times New Roman" w:cs="Times New Roman"/>
        </w:rPr>
      </w:pPr>
    </w:p>
    <w:p w14:paraId="636B3E7C" w14:textId="77777777" w:rsidR="00F75211" w:rsidRDefault="00F75211" w:rsidP="00F75211">
      <w:pPr>
        <w:pStyle w:val="ListParagraph"/>
        <w:widowControl w:val="0"/>
        <w:numPr>
          <w:ilvl w:val="0"/>
          <w:numId w:val="23"/>
        </w:numPr>
        <w:spacing w:after="0" w:line="240" w:lineRule="exact"/>
        <w:jc w:val="both"/>
        <w:rPr>
          <w:rFonts w:ascii="Times New Roman" w:hAnsi="Times New Roman" w:cs="Times New Roman"/>
        </w:rPr>
      </w:pPr>
      <w:r>
        <w:rPr>
          <w:rFonts w:ascii="Times New Roman" w:hAnsi="Times New Roman" w:cs="Times New Roman"/>
        </w:rPr>
        <w:t>Projected statements of cash flows from operations for the Project for the fiscal years ending September 30, 2024, 2025, 2026, 2027 and 2028.</w:t>
      </w:r>
    </w:p>
    <w:p w14:paraId="53E4DE7D" w14:textId="77777777" w:rsidR="00F75211" w:rsidRDefault="00F75211" w:rsidP="00F75211">
      <w:pPr>
        <w:pStyle w:val="ListParagraph"/>
        <w:widowControl w:val="0"/>
        <w:spacing w:after="0" w:line="240" w:lineRule="auto"/>
        <w:ind w:left="1080"/>
        <w:jc w:val="both"/>
        <w:rPr>
          <w:rFonts w:ascii="Times New Roman" w:hAnsi="Times New Roman" w:cs="Times New Roman"/>
        </w:rPr>
      </w:pPr>
    </w:p>
    <w:p w14:paraId="484ED7C6" w14:textId="2A1A741A" w:rsidR="00E215A2" w:rsidRPr="00464252" w:rsidRDefault="008C70DD" w:rsidP="002B41AD">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Construction contractor budget proposal of project costs</w:t>
      </w:r>
      <w:r w:rsidR="00E215A2">
        <w:rPr>
          <w:rFonts w:ascii="Times New Roman" w:hAnsi="Times New Roman" w:cs="Times New Roman"/>
        </w:rPr>
        <w:t>.</w:t>
      </w:r>
    </w:p>
    <w:p w14:paraId="71B5660B" w14:textId="77777777" w:rsidR="00CC60AB" w:rsidRPr="00D15434" w:rsidRDefault="00CC60AB" w:rsidP="002B41AD">
      <w:pPr>
        <w:pStyle w:val="ListParagraph"/>
        <w:spacing w:after="0" w:line="180" w:lineRule="auto"/>
        <w:rPr>
          <w:rFonts w:ascii="Times New Roman" w:hAnsi="Times New Roman" w:cs="Times New Roman"/>
        </w:rPr>
      </w:pPr>
    </w:p>
    <w:p w14:paraId="5A1BA5D3" w14:textId="10520BA6" w:rsidR="00CC60AB" w:rsidRDefault="00E215A2" w:rsidP="002B41AD">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Lease </w:t>
      </w:r>
      <w:r w:rsidR="00C56B20">
        <w:rPr>
          <w:rFonts w:ascii="Times New Roman" w:hAnsi="Times New Roman" w:cs="Times New Roman"/>
        </w:rPr>
        <w:t>c</w:t>
      </w:r>
      <w:r>
        <w:rPr>
          <w:rFonts w:ascii="Times New Roman" w:hAnsi="Times New Roman" w:cs="Times New Roman"/>
        </w:rPr>
        <w:t>ontract</w:t>
      </w:r>
      <w:r w:rsidR="00CC60AB" w:rsidRPr="00D15434">
        <w:rPr>
          <w:rFonts w:ascii="Times New Roman" w:hAnsi="Times New Roman" w:cs="Times New Roman"/>
        </w:rPr>
        <w:t xml:space="preserve"> for the new </w:t>
      </w:r>
      <w:r w:rsidR="00CC60AB">
        <w:rPr>
          <w:rFonts w:ascii="Times New Roman" w:hAnsi="Times New Roman" w:cs="Times New Roman"/>
        </w:rPr>
        <w:t>CT scanner</w:t>
      </w:r>
      <w:r w:rsidR="00C56B20">
        <w:rPr>
          <w:rFonts w:ascii="Times New Roman" w:hAnsi="Times New Roman" w:cs="Times New Roman"/>
        </w:rPr>
        <w:t>.</w:t>
      </w:r>
    </w:p>
    <w:p w14:paraId="1ADE5348" w14:textId="77777777" w:rsidR="00414C8B" w:rsidRPr="009D69E1" w:rsidRDefault="00414C8B" w:rsidP="00414C8B">
      <w:pPr>
        <w:spacing w:after="0" w:line="240" w:lineRule="auto"/>
        <w:rPr>
          <w:rFonts w:ascii="Times New Roman" w:hAnsi="Times New Roman" w:cs="Times New Roman"/>
        </w:rPr>
        <w:sectPr w:rsidR="00414C8B" w:rsidRPr="009D69E1" w:rsidSect="00EF06A1">
          <w:headerReference w:type="default" r:id="rId13"/>
          <w:footerReference w:type="default" r:id="rId14"/>
          <w:footerReference w:type="first" r:id="rId15"/>
          <w:pgSz w:w="12240" w:h="15840" w:code="1"/>
          <w:pgMar w:top="720" w:right="720" w:bottom="720" w:left="965" w:header="0" w:footer="0" w:gutter="0"/>
          <w:pgNumType w:start="2"/>
          <w:cols w:space="720"/>
          <w:docGrid w:linePitch="360"/>
        </w:sectPr>
      </w:pPr>
    </w:p>
    <w:p w14:paraId="57F28E96" w14:textId="77777777" w:rsidR="00054D55" w:rsidRPr="00EE7DCA" w:rsidRDefault="00054D55" w:rsidP="00054D55">
      <w:pPr>
        <w:spacing w:after="0" w:line="240" w:lineRule="auto"/>
        <w:rPr>
          <w:rFonts w:ascii="Times New Roman" w:hAnsi="Times New Roman" w:cs="Times New Roman"/>
        </w:rPr>
      </w:pPr>
      <w:r w:rsidRPr="00EE7DCA">
        <w:rPr>
          <w:rFonts w:ascii="Times New Roman" w:hAnsi="Times New Roman" w:cs="Times New Roman"/>
        </w:rPr>
        <w:lastRenderedPageBreak/>
        <w:t xml:space="preserve">Mr. </w:t>
      </w:r>
      <w:r>
        <w:rPr>
          <w:rFonts w:ascii="Times New Roman" w:hAnsi="Times New Roman" w:cs="Times New Roman"/>
        </w:rPr>
        <w:t>Sean Ahern</w:t>
      </w:r>
    </w:p>
    <w:p w14:paraId="479349B5" w14:textId="376BBF14" w:rsidR="00532AB8" w:rsidRPr="00EE7DCA" w:rsidRDefault="00532AB8" w:rsidP="00532AB8">
      <w:pPr>
        <w:spacing w:after="0" w:line="240" w:lineRule="auto"/>
        <w:rPr>
          <w:rFonts w:ascii="Times New Roman" w:hAnsi="Times New Roman" w:cs="Times New Roman"/>
        </w:rPr>
      </w:pPr>
      <w:r>
        <w:rPr>
          <w:rFonts w:ascii="Times New Roman" w:hAnsi="Times New Roman" w:cs="Times New Roman"/>
        </w:rPr>
        <w:t>Anna Jaques Hospital</w:t>
      </w:r>
    </w:p>
    <w:p w14:paraId="4691FD5B" w14:textId="2D35379A" w:rsidR="00054D55" w:rsidRDefault="00054D55" w:rsidP="00054D55">
      <w:pPr>
        <w:spacing w:after="0" w:line="240" w:lineRule="auto"/>
        <w:rPr>
          <w:rFonts w:ascii="Times New Roman" w:hAnsi="Times New Roman" w:cs="Times New Roman"/>
        </w:rPr>
      </w:pPr>
      <w:r w:rsidRPr="00D471DF">
        <w:rPr>
          <w:rFonts w:ascii="Times New Roman" w:hAnsi="Times New Roman" w:cs="Times New Roman"/>
        </w:rPr>
        <w:t>Ju</w:t>
      </w:r>
      <w:r w:rsidR="00597B3C" w:rsidRPr="00D471DF">
        <w:rPr>
          <w:rFonts w:ascii="Times New Roman" w:hAnsi="Times New Roman" w:cs="Times New Roman"/>
        </w:rPr>
        <w:t>ly</w:t>
      </w:r>
      <w:r w:rsidRPr="00D471DF">
        <w:rPr>
          <w:rFonts w:ascii="Times New Roman" w:hAnsi="Times New Roman" w:cs="Times New Roman"/>
        </w:rPr>
        <w:t xml:space="preserve"> </w:t>
      </w:r>
      <w:r w:rsidR="00D471DF" w:rsidRPr="00D471DF">
        <w:rPr>
          <w:rFonts w:ascii="Times New Roman" w:hAnsi="Times New Roman" w:cs="Times New Roman"/>
        </w:rPr>
        <w:t>12</w:t>
      </w:r>
      <w:r w:rsidRPr="00D471DF">
        <w:rPr>
          <w:rFonts w:ascii="Times New Roman" w:hAnsi="Times New Roman" w:cs="Times New Roman"/>
        </w:rPr>
        <w:t>, 2023</w:t>
      </w:r>
    </w:p>
    <w:p w14:paraId="740E1A94" w14:textId="77777777" w:rsidR="00650F41" w:rsidRPr="009D69E1" w:rsidRDefault="00650F41" w:rsidP="000C02ED">
      <w:pPr>
        <w:spacing w:after="0" w:line="240" w:lineRule="auto"/>
        <w:jc w:val="both"/>
        <w:rPr>
          <w:rFonts w:ascii="Times New Roman" w:hAnsi="Times New Roman" w:cs="Times New Roman"/>
        </w:rPr>
      </w:pPr>
    </w:p>
    <w:p w14:paraId="4E9A5316" w14:textId="77777777" w:rsidR="00052D14" w:rsidRDefault="00052D14" w:rsidP="00E86183">
      <w:pPr>
        <w:spacing w:after="0" w:line="240" w:lineRule="auto"/>
        <w:jc w:val="both"/>
        <w:rPr>
          <w:rFonts w:ascii="Times New Roman" w:hAnsi="Times New Roman" w:cs="Times New Roman"/>
        </w:rPr>
      </w:pPr>
    </w:p>
    <w:p w14:paraId="5023242E" w14:textId="77777777" w:rsidR="00AC1C5F" w:rsidRPr="0056746F" w:rsidRDefault="00AC1C5F" w:rsidP="00AC1C5F">
      <w:pPr>
        <w:pStyle w:val="ListParagraph"/>
        <w:numPr>
          <w:ilvl w:val="0"/>
          <w:numId w:val="22"/>
        </w:numPr>
        <w:tabs>
          <w:tab w:val="left" w:pos="360"/>
        </w:tabs>
        <w:spacing w:after="0" w:line="240" w:lineRule="auto"/>
        <w:jc w:val="both"/>
        <w:rPr>
          <w:rFonts w:ascii="Times New Roman" w:hAnsi="Times New Roman" w:cs="Times New Roman"/>
          <w:b/>
          <w:sz w:val="24"/>
          <w:szCs w:val="24"/>
        </w:rPr>
      </w:pPr>
      <w:r w:rsidRPr="0056746F">
        <w:rPr>
          <w:rFonts w:ascii="Times New Roman" w:hAnsi="Times New Roman" w:cs="Times New Roman"/>
          <w:b/>
          <w:sz w:val="24"/>
          <w:szCs w:val="24"/>
          <w:u w:val="single"/>
        </w:rPr>
        <w:t>Primary Sources of Information Utilized</w:t>
      </w:r>
      <w:r w:rsidRPr="0056746F">
        <w:rPr>
          <w:rFonts w:ascii="Times New Roman" w:hAnsi="Times New Roman" w:cs="Times New Roman"/>
          <w:b/>
          <w:sz w:val="24"/>
          <w:szCs w:val="24"/>
        </w:rPr>
        <w:t xml:space="preserve">  (continued)</w:t>
      </w:r>
    </w:p>
    <w:p w14:paraId="4BF676E1" w14:textId="77777777" w:rsidR="00AC1C5F" w:rsidRDefault="00AC1C5F" w:rsidP="00E86183">
      <w:pPr>
        <w:spacing w:after="0" w:line="240" w:lineRule="auto"/>
        <w:jc w:val="both"/>
        <w:rPr>
          <w:rFonts w:ascii="Times New Roman" w:hAnsi="Times New Roman" w:cs="Times New Roman"/>
        </w:rPr>
      </w:pPr>
    </w:p>
    <w:p w14:paraId="49EEF601" w14:textId="04DBBB37" w:rsidR="00F75211" w:rsidRPr="00F91E04" w:rsidRDefault="00F75211" w:rsidP="00F75211">
      <w:pPr>
        <w:pStyle w:val="ListParagraph"/>
        <w:widowControl w:val="0"/>
        <w:numPr>
          <w:ilvl w:val="0"/>
          <w:numId w:val="19"/>
        </w:numPr>
        <w:spacing w:after="0" w:line="240" w:lineRule="auto"/>
        <w:jc w:val="both"/>
        <w:rPr>
          <w:rFonts w:ascii="Times New Roman" w:hAnsi="Times New Roman" w:cs="Times New Roman"/>
        </w:rPr>
      </w:pPr>
      <w:r>
        <w:rPr>
          <w:rFonts w:ascii="Times New Roman" w:hAnsi="Times New Roman" w:cs="Times New Roman"/>
        </w:rPr>
        <w:t>Maintenance cont</w:t>
      </w:r>
      <w:r w:rsidR="00C962EA">
        <w:rPr>
          <w:rFonts w:ascii="Times New Roman" w:hAnsi="Times New Roman" w:cs="Times New Roman"/>
        </w:rPr>
        <w:t>r</w:t>
      </w:r>
      <w:r>
        <w:rPr>
          <w:rFonts w:ascii="Times New Roman" w:hAnsi="Times New Roman" w:cs="Times New Roman"/>
        </w:rPr>
        <w:t>act for new CT scanner.</w:t>
      </w:r>
    </w:p>
    <w:p w14:paraId="20CBEA79" w14:textId="77777777" w:rsidR="00F75211" w:rsidRDefault="00F75211" w:rsidP="00F75211">
      <w:pPr>
        <w:pStyle w:val="ListParagraph"/>
        <w:spacing w:after="0" w:line="240" w:lineRule="auto"/>
        <w:ind w:left="1080"/>
        <w:jc w:val="both"/>
        <w:rPr>
          <w:rFonts w:ascii="Times New Roman" w:hAnsi="Times New Roman" w:cs="Times New Roman"/>
        </w:rPr>
      </w:pPr>
    </w:p>
    <w:p w14:paraId="36C92EE6" w14:textId="7B059902" w:rsidR="001B02A5" w:rsidRDefault="001B02A5" w:rsidP="001B02A5">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DON</w:t>
      </w:r>
      <w:r w:rsidRPr="00F91E04">
        <w:rPr>
          <w:rFonts w:ascii="Times New Roman" w:hAnsi="Times New Roman" w:cs="Times New Roman"/>
        </w:rPr>
        <w:t xml:space="preserve"> Application Instructions dated March 2017.</w:t>
      </w:r>
    </w:p>
    <w:p w14:paraId="5F18FA5B" w14:textId="77777777" w:rsidR="001B02A5" w:rsidRPr="00397E1A" w:rsidRDefault="001B02A5" w:rsidP="001B02A5">
      <w:pPr>
        <w:pStyle w:val="ListParagraph"/>
        <w:rPr>
          <w:rFonts w:ascii="Times New Roman" w:hAnsi="Times New Roman" w:cs="Times New Roman"/>
        </w:rPr>
      </w:pPr>
    </w:p>
    <w:p w14:paraId="5C4955DD" w14:textId="77777777" w:rsidR="001B02A5" w:rsidRPr="00F91E04" w:rsidRDefault="001B02A5" w:rsidP="001B02A5">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DON Narrative draft provided June 13, 2023.</w:t>
      </w:r>
    </w:p>
    <w:p w14:paraId="046FF334" w14:textId="77777777" w:rsidR="001B02A5" w:rsidRPr="005F65CD" w:rsidRDefault="001B02A5" w:rsidP="001B02A5">
      <w:pPr>
        <w:spacing w:after="0" w:line="180" w:lineRule="auto"/>
        <w:ind w:left="360"/>
        <w:jc w:val="both"/>
        <w:rPr>
          <w:rFonts w:ascii="Times New Roman" w:hAnsi="Times New Roman" w:cs="Times New Roman"/>
        </w:rPr>
      </w:pPr>
    </w:p>
    <w:p w14:paraId="55D1C54A" w14:textId="77777777" w:rsidR="001B02A5" w:rsidRDefault="001B02A5" w:rsidP="001B02A5">
      <w:pPr>
        <w:pStyle w:val="ListParagraph"/>
        <w:numPr>
          <w:ilvl w:val="0"/>
          <w:numId w:val="19"/>
        </w:numPr>
        <w:spacing w:after="0" w:line="240" w:lineRule="exact"/>
        <w:jc w:val="both"/>
        <w:rPr>
          <w:rFonts w:ascii="Times New Roman" w:hAnsi="Times New Roman" w:cs="Times New Roman"/>
        </w:rPr>
      </w:pPr>
      <w:r>
        <w:rPr>
          <w:rFonts w:ascii="Times New Roman" w:hAnsi="Times New Roman" w:cs="Times New Roman"/>
        </w:rPr>
        <w:t>DON Application Form.</w:t>
      </w:r>
    </w:p>
    <w:p w14:paraId="39CB9587" w14:textId="77777777" w:rsidR="001B02A5" w:rsidRDefault="001B02A5" w:rsidP="001B02A5">
      <w:pPr>
        <w:pStyle w:val="ListParagraph"/>
        <w:spacing w:after="0" w:line="240" w:lineRule="auto"/>
        <w:ind w:left="1080"/>
        <w:jc w:val="both"/>
        <w:rPr>
          <w:rFonts w:ascii="Times New Roman" w:hAnsi="Times New Roman" w:cs="Times New Roman"/>
        </w:rPr>
      </w:pPr>
    </w:p>
    <w:p w14:paraId="7822FE9E" w14:textId="08AB96F9" w:rsidR="00AC1C5F" w:rsidRDefault="00AC1C5F" w:rsidP="00AC1C5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Total project costs of the Applicant are made up of the following: </w:t>
      </w:r>
    </w:p>
    <w:p w14:paraId="718EDEC5" w14:textId="77777777" w:rsidR="00AC1C5F" w:rsidRDefault="00AC1C5F" w:rsidP="00AC1C5F">
      <w:pPr>
        <w:pStyle w:val="ListParagraph"/>
        <w:spacing w:after="0" w:line="240" w:lineRule="auto"/>
        <w:ind w:left="1080"/>
        <w:jc w:val="both"/>
        <w:rPr>
          <w:rFonts w:ascii="Times New Roman" w:hAnsi="Times New Roman" w:cs="Times New Roman"/>
        </w:rPr>
      </w:pPr>
    </w:p>
    <w:tbl>
      <w:tblPr>
        <w:tblStyle w:val="TableGrid"/>
        <w:tblW w:w="447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1260"/>
      </w:tblGrid>
      <w:tr w:rsidR="006622FD" w:rsidRPr="00D471DF" w14:paraId="05694D71" w14:textId="77777777" w:rsidTr="00075C51">
        <w:tc>
          <w:tcPr>
            <w:tcW w:w="3212" w:type="dxa"/>
          </w:tcPr>
          <w:p w14:paraId="110510A6" w14:textId="48C8E81F" w:rsidR="006622FD" w:rsidRPr="00D471DF" w:rsidRDefault="006622FD">
            <w:pPr>
              <w:pStyle w:val="ListParagraph"/>
              <w:widowControl w:val="0"/>
              <w:ind w:left="0"/>
              <w:rPr>
                <w:rFonts w:cs="Times New Roman"/>
                <w:sz w:val="22"/>
              </w:rPr>
            </w:pPr>
            <w:r>
              <w:rPr>
                <w:rFonts w:cs="Times New Roman"/>
                <w:sz w:val="22"/>
              </w:rPr>
              <w:t>Category</w:t>
            </w:r>
          </w:p>
        </w:tc>
        <w:tc>
          <w:tcPr>
            <w:tcW w:w="1260" w:type="dxa"/>
            <w:tcBorders>
              <w:top w:val="nil"/>
              <w:left w:val="nil"/>
              <w:right w:val="nil"/>
            </w:tcBorders>
          </w:tcPr>
          <w:p w14:paraId="69693D80" w14:textId="77777777" w:rsidR="006622FD" w:rsidRPr="00D471DF" w:rsidRDefault="006622FD">
            <w:pPr>
              <w:pStyle w:val="ListParagraph"/>
              <w:widowControl w:val="0"/>
              <w:ind w:left="0"/>
              <w:jc w:val="center"/>
              <w:rPr>
                <w:rFonts w:cs="Times New Roman"/>
                <w:sz w:val="22"/>
              </w:rPr>
            </w:pPr>
            <w:r w:rsidRPr="00D471DF">
              <w:rPr>
                <w:rFonts w:cs="Times New Roman"/>
                <w:sz w:val="22"/>
              </w:rPr>
              <w:t>Total</w:t>
            </w:r>
          </w:p>
        </w:tc>
      </w:tr>
      <w:tr w:rsidR="006622FD" w:rsidRPr="00D471DF" w14:paraId="5EDE30BC" w14:textId="77777777" w:rsidTr="00075C51">
        <w:tc>
          <w:tcPr>
            <w:tcW w:w="3212" w:type="dxa"/>
            <w:hideMark/>
          </w:tcPr>
          <w:p w14:paraId="4DBF7A4E" w14:textId="77777777" w:rsidR="006622FD" w:rsidRPr="00D471DF" w:rsidRDefault="006622FD">
            <w:pPr>
              <w:pStyle w:val="ListParagraph"/>
              <w:widowControl w:val="0"/>
              <w:ind w:left="0"/>
              <w:rPr>
                <w:rFonts w:cs="Times New Roman"/>
                <w:sz w:val="22"/>
              </w:rPr>
            </w:pPr>
            <w:r w:rsidRPr="00D471DF">
              <w:rPr>
                <w:rFonts w:cs="Times New Roman"/>
                <w:sz w:val="22"/>
              </w:rPr>
              <w:t xml:space="preserve">Construction </w:t>
            </w:r>
          </w:p>
        </w:tc>
        <w:tc>
          <w:tcPr>
            <w:tcW w:w="1260" w:type="dxa"/>
            <w:hideMark/>
          </w:tcPr>
          <w:p w14:paraId="7B469C11" w14:textId="0F63A4A3" w:rsidR="006622FD" w:rsidRPr="00D471DF" w:rsidRDefault="006622FD">
            <w:pPr>
              <w:pStyle w:val="ListParagraph"/>
              <w:widowControl w:val="0"/>
              <w:ind w:left="0"/>
              <w:jc w:val="right"/>
              <w:rPr>
                <w:rFonts w:cs="Times New Roman"/>
                <w:sz w:val="22"/>
              </w:rPr>
            </w:pPr>
            <w:r>
              <w:rPr>
                <w:rFonts w:cs="Times New Roman"/>
                <w:sz w:val="22"/>
              </w:rPr>
              <w:t>$</w:t>
            </w:r>
            <w:r w:rsidRPr="00D471DF">
              <w:rPr>
                <w:rFonts w:cs="Times New Roman"/>
                <w:sz w:val="22"/>
              </w:rPr>
              <w:t>1,100,000</w:t>
            </w:r>
          </w:p>
        </w:tc>
      </w:tr>
      <w:tr w:rsidR="006622FD" w:rsidRPr="00D471DF" w14:paraId="0CBBE662" w14:textId="77777777" w:rsidTr="006622FD">
        <w:tc>
          <w:tcPr>
            <w:tcW w:w="3212" w:type="dxa"/>
            <w:hideMark/>
          </w:tcPr>
          <w:p w14:paraId="0D00802E" w14:textId="2A9A4876" w:rsidR="006622FD" w:rsidRPr="00D471DF" w:rsidRDefault="006622FD">
            <w:pPr>
              <w:pStyle w:val="ListParagraph"/>
              <w:widowControl w:val="0"/>
              <w:ind w:left="0"/>
              <w:rPr>
                <w:rFonts w:cs="Times New Roman"/>
                <w:sz w:val="22"/>
              </w:rPr>
            </w:pPr>
            <w:r w:rsidRPr="00D471DF">
              <w:rPr>
                <w:rFonts w:cs="Times New Roman"/>
                <w:sz w:val="22"/>
              </w:rPr>
              <w:t>CT scanner (lease)</w:t>
            </w:r>
          </w:p>
        </w:tc>
        <w:tc>
          <w:tcPr>
            <w:tcW w:w="1260" w:type="dxa"/>
            <w:hideMark/>
          </w:tcPr>
          <w:p w14:paraId="5E736A25" w14:textId="0C663B26" w:rsidR="006622FD" w:rsidRPr="00D471DF" w:rsidRDefault="006622FD">
            <w:pPr>
              <w:pStyle w:val="ListParagraph"/>
              <w:widowControl w:val="0"/>
              <w:ind w:left="0"/>
              <w:jc w:val="right"/>
              <w:rPr>
                <w:rFonts w:cs="Times New Roman"/>
                <w:sz w:val="22"/>
              </w:rPr>
            </w:pPr>
            <w:r w:rsidRPr="00D471DF">
              <w:rPr>
                <w:rFonts w:cs="Times New Roman"/>
                <w:sz w:val="22"/>
              </w:rPr>
              <w:t>881,205</w:t>
            </w:r>
          </w:p>
        </w:tc>
      </w:tr>
      <w:tr w:rsidR="006622FD" w:rsidRPr="00D471DF" w14:paraId="77093321" w14:textId="77777777" w:rsidTr="006622FD">
        <w:tc>
          <w:tcPr>
            <w:tcW w:w="3212" w:type="dxa"/>
            <w:hideMark/>
          </w:tcPr>
          <w:p w14:paraId="1F820862" w14:textId="6C24225B" w:rsidR="006622FD" w:rsidRPr="00D471DF" w:rsidRDefault="006622FD">
            <w:pPr>
              <w:pStyle w:val="ListParagraph"/>
              <w:widowControl w:val="0"/>
              <w:ind w:left="0"/>
              <w:rPr>
                <w:rFonts w:cs="Times New Roman"/>
                <w:sz w:val="22"/>
              </w:rPr>
            </w:pPr>
            <w:r w:rsidRPr="00D471DF">
              <w:rPr>
                <w:rFonts w:cs="Times New Roman"/>
                <w:sz w:val="22"/>
              </w:rPr>
              <w:t>Architecture and engineering fees</w:t>
            </w:r>
          </w:p>
        </w:tc>
        <w:tc>
          <w:tcPr>
            <w:tcW w:w="1260" w:type="dxa"/>
            <w:hideMark/>
          </w:tcPr>
          <w:p w14:paraId="08FD433D" w14:textId="19A3F87B" w:rsidR="006622FD" w:rsidRPr="00D471DF" w:rsidRDefault="006622FD">
            <w:pPr>
              <w:pStyle w:val="ListParagraph"/>
              <w:widowControl w:val="0"/>
              <w:ind w:left="0"/>
              <w:jc w:val="right"/>
              <w:rPr>
                <w:rFonts w:cs="Times New Roman"/>
                <w:sz w:val="22"/>
              </w:rPr>
            </w:pPr>
            <w:r w:rsidRPr="00D471DF">
              <w:rPr>
                <w:rFonts w:cs="Times New Roman"/>
                <w:sz w:val="22"/>
              </w:rPr>
              <w:t>119,291</w:t>
            </w:r>
          </w:p>
        </w:tc>
      </w:tr>
      <w:tr w:rsidR="006622FD" w:rsidRPr="00D471DF" w14:paraId="5F91DD1F" w14:textId="77777777" w:rsidTr="006622FD">
        <w:trPr>
          <w:trHeight w:val="107"/>
        </w:trPr>
        <w:tc>
          <w:tcPr>
            <w:tcW w:w="3212" w:type="dxa"/>
            <w:hideMark/>
          </w:tcPr>
          <w:p w14:paraId="3C2AB052" w14:textId="77777777" w:rsidR="006622FD" w:rsidRPr="00D471DF" w:rsidRDefault="006622FD">
            <w:pPr>
              <w:pStyle w:val="ListParagraph"/>
              <w:widowControl w:val="0"/>
              <w:ind w:left="0"/>
              <w:rPr>
                <w:rFonts w:cs="Times New Roman"/>
                <w:sz w:val="22"/>
              </w:rPr>
            </w:pPr>
            <w:r w:rsidRPr="00D471DF">
              <w:rPr>
                <w:rFonts w:cs="Times New Roman"/>
                <w:sz w:val="22"/>
              </w:rPr>
              <w:t>Total project costs</w:t>
            </w:r>
          </w:p>
        </w:tc>
        <w:tc>
          <w:tcPr>
            <w:tcW w:w="1260" w:type="dxa"/>
            <w:tcBorders>
              <w:top w:val="single" w:sz="4" w:space="0" w:color="auto"/>
              <w:left w:val="nil"/>
              <w:bottom w:val="double" w:sz="4" w:space="0" w:color="auto"/>
              <w:right w:val="nil"/>
            </w:tcBorders>
            <w:hideMark/>
          </w:tcPr>
          <w:p w14:paraId="5DB40E35" w14:textId="7CAFB6C9" w:rsidR="006622FD" w:rsidRPr="00D471DF" w:rsidRDefault="006622FD">
            <w:pPr>
              <w:pStyle w:val="ListParagraph"/>
              <w:widowControl w:val="0"/>
              <w:ind w:left="0"/>
              <w:jc w:val="right"/>
              <w:rPr>
                <w:rFonts w:cs="Times New Roman"/>
                <w:sz w:val="22"/>
              </w:rPr>
            </w:pPr>
            <w:r>
              <w:rPr>
                <w:rFonts w:cs="Times New Roman"/>
                <w:sz w:val="22"/>
              </w:rPr>
              <w:t>$</w:t>
            </w:r>
            <w:r w:rsidRPr="00D471DF">
              <w:rPr>
                <w:rFonts w:cs="Times New Roman"/>
                <w:sz w:val="22"/>
              </w:rPr>
              <w:t>2,100,496</w:t>
            </w:r>
          </w:p>
        </w:tc>
      </w:tr>
    </w:tbl>
    <w:p w14:paraId="32264378" w14:textId="77777777" w:rsidR="00AC1C5F" w:rsidRDefault="00AC1C5F" w:rsidP="00E86183">
      <w:pPr>
        <w:spacing w:after="0" w:line="240" w:lineRule="auto"/>
        <w:jc w:val="both"/>
        <w:rPr>
          <w:rFonts w:ascii="Times New Roman" w:hAnsi="Times New Roman" w:cs="Times New Roman"/>
        </w:rPr>
      </w:pPr>
    </w:p>
    <w:p w14:paraId="226E12A8" w14:textId="77777777" w:rsidR="00AC1C5F" w:rsidRPr="009D69E1" w:rsidRDefault="00AC1C5F" w:rsidP="00E86183">
      <w:pPr>
        <w:spacing w:after="0" w:line="240" w:lineRule="auto"/>
        <w:jc w:val="both"/>
        <w:rPr>
          <w:rFonts w:ascii="Times New Roman" w:hAnsi="Times New Roman" w:cs="Times New Roman"/>
        </w:rPr>
      </w:pPr>
    </w:p>
    <w:p w14:paraId="1172492A" w14:textId="28453AF0" w:rsidR="00855F81" w:rsidRPr="0056746F" w:rsidRDefault="00855F81" w:rsidP="00F601F9">
      <w:pPr>
        <w:pStyle w:val="ListParagraph"/>
        <w:numPr>
          <w:ilvl w:val="0"/>
          <w:numId w:val="5"/>
        </w:numPr>
        <w:tabs>
          <w:tab w:val="left" w:pos="360"/>
        </w:tabs>
        <w:spacing w:after="0" w:line="240" w:lineRule="auto"/>
        <w:ind w:hanging="1080"/>
        <w:jc w:val="both"/>
        <w:rPr>
          <w:rFonts w:ascii="Times New Roman" w:hAnsi="Times New Roman" w:cs="Times New Roman"/>
          <w:b/>
          <w:sz w:val="24"/>
          <w:szCs w:val="24"/>
          <w:u w:val="single"/>
        </w:rPr>
      </w:pPr>
      <w:r w:rsidRPr="0056746F">
        <w:rPr>
          <w:rFonts w:ascii="Times New Roman" w:hAnsi="Times New Roman" w:cs="Times New Roman"/>
          <w:b/>
          <w:sz w:val="24"/>
          <w:szCs w:val="24"/>
          <w:u w:val="single"/>
        </w:rPr>
        <w:t>Review of the Projections</w:t>
      </w:r>
    </w:p>
    <w:p w14:paraId="686D7F63" w14:textId="77777777" w:rsidR="00855F81" w:rsidRPr="009D69E1" w:rsidRDefault="00855F81" w:rsidP="00855F81">
      <w:pPr>
        <w:spacing w:after="0" w:line="240" w:lineRule="auto"/>
        <w:jc w:val="both"/>
        <w:rPr>
          <w:rFonts w:ascii="Times New Roman" w:hAnsi="Times New Roman" w:cs="Times New Roman"/>
          <w:b/>
        </w:rPr>
      </w:pPr>
    </w:p>
    <w:p w14:paraId="655F2A0A" w14:textId="1AEFFDF0" w:rsidR="004B04F0" w:rsidRDefault="00855F81" w:rsidP="00967707">
      <w:pPr>
        <w:spacing w:after="0" w:line="240" w:lineRule="auto"/>
        <w:ind w:left="360"/>
        <w:jc w:val="both"/>
        <w:rPr>
          <w:rFonts w:ascii="Times New Roman" w:hAnsi="Times New Roman" w:cs="Times New Roman"/>
        </w:rPr>
      </w:pPr>
      <w:r w:rsidRPr="009D69E1">
        <w:rPr>
          <w:rFonts w:ascii="Times New Roman" w:hAnsi="Times New Roman" w:cs="Times New Roman"/>
        </w:rPr>
        <w:t>This section of the report summarizes our review of the reasonableness of the assumptions used and feasibility of the projections.  The table</w:t>
      </w:r>
      <w:r w:rsidR="00485827" w:rsidRPr="009D69E1">
        <w:rPr>
          <w:rFonts w:ascii="Times New Roman" w:hAnsi="Times New Roman" w:cs="Times New Roman"/>
        </w:rPr>
        <w:t>s</w:t>
      </w:r>
      <w:r w:rsidRPr="009D69E1">
        <w:rPr>
          <w:rFonts w:ascii="Times New Roman" w:hAnsi="Times New Roman" w:cs="Times New Roman"/>
        </w:rPr>
        <w:t xml:space="preserve"> </w:t>
      </w:r>
      <w:r w:rsidR="00485827" w:rsidRPr="009D69E1">
        <w:rPr>
          <w:rFonts w:ascii="Times New Roman" w:hAnsi="Times New Roman" w:cs="Times New Roman"/>
        </w:rPr>
        <w:t>that follow</w:t>
      </w:r>
      <w:r w:rsidR="00041250">
        <w:rPr>
          <w:rFonts w:ascii="Times New Roman" w:hAnsi="Times New Roman" w:cs="Times New Roman"/>
        </w:rPr>
        <w:t xml:space="preserve"> </w:t>
      </w:r>
      <w:r w:rsidRPr="009D69E1">
        <w:rPr>
          <w:rFonts w:ascii="Times New Roman" w:hAnsi="Times New Roman" w:cs="Times New Roman"/>
        </w:rPr>
        <w:t>summarize the projected results</w:t>
      </w:r>
      <w:r w:rsidR="00650F41" w:rsidRPr="009D69E1">
        <w:rPr>
          <w:rFonts w:ascii="Times New Roman" w:hAnsi="Times New Roman" w:cs="Times New Roman"/>
        </w:rPr>
        <w:t xml:space="preserve"> </w:t>
      </w:r>
      <w:r w:rsidR="00041250">
        <w:rPr>
          <w:rFonts w:ascii="Times New Roman" w:hAnsi="Times New Roman" w:cs="Times New Roman"/>
        </w:rPr>
        <w:t>of</w:t>
      </w:r>
      <w:r w:rsidR="00C40738">
        <w:rPr>
          <w:rFonts w:ascii="Times New Roman" w:hAnsi="Times New Roman" w:cs="Times New Roman"/>
        </w:rPr>
        <w:t xml:space="preserve"> </w:t>
      </w:r>
      <w:r w:rsidR="00F36668">
        <w:rPr>
          <w:rFonts w:ascii="Times New Roman" w:hAnsi="Times New Roman" w:cs="Times New Roman"/>
        </w:rPr>
        <w:t xml:space="preserve">services </w:t>
      </w:r>
      <w:r w:rsidR="001677BA">
        <w:rPr>
          <w:rFonts w:ascii="Times New Roman" w:hAnsi="Times New Roman" w:cs="Times New Roman"/>
        </w:rPr>
        <w:t xml:space="preserve">upon </w:t>
      </w:r>
      <w:r w:rsidR="00F36668">
        <w:rPr>
          <w:rFonts w:ascii="Times New Roman" w:hAnsi="Times New Roman" w:cs="Times New Roman"/>
        </w:rPr>
        <w:t xml:space="preserve">the </w:t>
      </w:r>
      <w:r w:rsidR="00F36668" w:rsidRPr="00646DF9">
        <w:rPr>
          <w:rFonts w:ascii="Times New Roman" w:hAnsi="Times New Roman" w:cs="Times New Roman"/>
        </w:rPr>
        <w:t xml:space="preserve">addition of a second CT scanner </w:t>
      </w:r>
      <w:r w:rsidR="00A45FEC" w:rsidRPr="00646DF9">
        <w:rPr>
          <w:rFonts w:ascii="Times New Roman" w:hAnsi="Times New Roman" w:cs="Times New Roman"/>
        </w:rPr>
        <w:t xml:space="preserve">at </w:t>
      </w:r>
      <w:r w:rsidR="00054D55">
        <w:rPr>
          <w:rFonts w:ascii="Times New Roman" w:hAnsi="Times New Roman" w:cs="Times New Roman"/>
        </w:rPr>
        <w:t>A</w:t>
      </w:r>
      <w:r w:rsidR="001677BA">
        <w:rPr>
          <w:rFonts w:ascii="Times New Roman" w:hAnsi="Times New Roman" w:cs="Times New Roman"/>
        </w:rPr>
        <w:t>JH</w:t>
      </w:r>
      <w:r w:rsidR="00515B34">
        <w:rPr>
          <w:rFonts w:ascii="Times New Roman" w:hAnsi="Times New Roman" w:cs="Times New Roman"/>
        </w:rPr>
        <w:t xml:space="preserve"> by the Applicant</w:t>
      </w:r>
      <w:r w:rsidR="001677BA">
        <w:rPr>
          <w:rFonts w:ascii="Times New Roman" w:hAnsi="Times New Roman" w:cs="Times New Roman"/>
        </w:rPr>
        <w:t>.</w:t>
      </w:r>
    </w:p>
    <w:p w14:paraId="2762C9D4" w14:textId="77777777" w:rsidR="00650F41" w:rsidRPr="009D69E1" w:rsidRDefault="00650F41" w:rsidP="00041250">
      <w:pPr>
        <w:spacing w:after="0" w:line="240" w:lineRule="auto"/>
        <w:rPr>
          <w:rFonts w:ascii="Times New Roman" w:hAnsi="Times New Roman" w:cs="Times New Roman"/>
        </w:rPr>
      </w:pPr>
    </w:p>
    <w:p w14:paraId="13E58284" w14:textId="77777777" w:rsidR="00024AEA" w:rsidRPr="009D69E1" w:rsidRDefault="00024AEA" w:rsidP="00024AEA">
      <w:pPr>
        <w:widowControl w:val="0"/>
        <w:spacing w:after="0" w:line="240" w:lineRule="auto"/>
        <w:ind w:left="360"/>
        <w:jc w:val="both"/>
        <w:rPr>
          <w:rFonts w:ascii="Times New Roman" w:hAnsi="Times New Roman" w:cs="Times New Roman"/>
          <w:b/>
        </w:rPr>
      </w:pPr>
      <w:r w:rsidRPr="009D69E1">
        <w:rPr>
          <w:rFonts w:ascii="Times New Roman" w:hAnsi="Times New Roman" w:cs="Times New Roman"/>
          <w:b/>
        </w:rPr>
        <w:t>Revenues</w:t>
      </w:r>
    </w:p>
    <w:p w14:paraId="1D667C08" w14:textId="7C637CCB" w:rsidR="00C8694E" w:rsidRDefault="00C8694E" w:rsidP="00C8694E">
      <w:pPr>
        <w:widowControl w:val="0"/>
        <w:spacing w:after="0" w:line="240" w:lineRule="auto"/>
        <w:ind w:left="360"/>
        <w:jc w:val="both"/>
        <w:rPr>
          <w:rFonts w:ascii="Times New Roman" w:hAnsi="Times New Roman" w:cs="Times New Roman"/>
        </w:rPr>
      </w:pPr>
      <w:r>
        <w:rPr>
          <w:rFonts w:ascii="Times New Roman" w:hAnsi="Times New Roman" w:cs="Times New Roman"/>
        </w:rPr>
        <w:t xml:space="preserve">We have reviewed and analyzed the net operating revenues in the historical and projected financial information. Based on discussions with Management and review of the information provided, the volume disclosed in the table below is based on </w:t>
      </w:r>
      <w:r w:rsidR="0050395B" w:rsidRPr="002F30D9">
        <w:rPr>
          <w:rFonts w:ascii="Times New Roman" w:hAnsi="Times New Roman" w:cs="Times New Roman"/>
        </w:rPr>
        <w:t xml:space="preserve">historical trends and </w:t>
      </w:r>
      <w:r w:rsidR="004A2425" w:rsidRPr="002F30D9">
        <w:rPr>
          <w:rFonts w:ascii="Times New Roman" w:hAnsi="Times New Roman" w:cs="Times New Roman"/>
        </w:rPr>
        <w:t>internal growth</w:t>
      </w:r>
      <w:r w:rsidRPr="002F30D9">
        <w:rPr>
          <w:rFonts w:ascii="Times New Roman" w:hAnsi="Times New Roman" w:cs="Times New Roman"/>
        </w:rPr>
        <w:t xml:space="preserve"> assumptions. The strategic growth assumptions were developed by </w:t>
      </w:r>
      <w:r w:rsidR="00893820" w:rsidRPr="002F30D9">
        <w:rPr>
          <w:rFonts w:ascii="Times New Roman" w:hAnsi="Times New Roman" w:cs="Times New Roman"/>
        </w:rPr>
        <w:t xml:space="preserve">Management </w:t>
      </w:r>
      <w:r w:rsidRPr="002F30D9">
        <w:rPr>
          <w:rFonts w:ascii="Times New Roman" w:hAnsi="Times New Roman" w:cs="Times New Roman"/>
        </w:rPr>
        <w:t xml:space="preserve">and other leaders at the Hospital using healthcare analytics and market trends. </w:t>
      </w:r>
      <w:r w:rsidR="00D471DF" w:rsidRPr="002F30D9">
        <w:rPr>
          <w:rFonts w:ascii="Times New Roman" w:hAnsi="Times New Roman" w:cs="Times New Roman"/>
        </w:rPr>
        <w:t>For t</w:t>
      </w:r>
      <w:r w:rsidR="00F54273" w:rsidRPr="002F30D9">
        <w:rPr>
          <w:rFonts w:ascii="Times New Roman" w:hAnsi="Times New Roman" w:cs="Times New Roman"/>
        </w:rPr>
        <w:t>he year ending September 30, 2024</w:t>
      </w:r>
      <w:r w:rsidR="00D471DF" w:rsidRPr="002F30D9">
        <w:rPr>
          <w:rFonts w:ascii="Times New Roman" w:hAnsi="Times New Roman" w:cs="Times New Roman"/>
        </w:rPr>
        <w:t>,</w:t>
      </w:r>
      <w:r w:rsidR="004A2425" w:rsidRPr="002F30D9">
        <w:rPr>
          <w:rFonts w:ascii="Times New Roman" w:hAnsi="Times New Roman" w:cs="Times New Roman"/>
        </w:rPr>
        <w:t xml:space="preserve"> volume </w:t>
      </w:r>
      <w:r w:rsidR="004B296C" w:rsidRPr="002F30D9">
        <w:rPr>
          <w:rFonts w:ascii="Times New Roman" w:hAnsi="Times New Roman" w:cs="Times New Roman"/>
        </w:rPr>
        <w:t>i</w:t>
      </w:r>
      <w:r w:rsidR="004A2425" w:rsidRPr="002F30D9">
        <w:rPr>
          <w:rFonts w:ascii="Times New Roman" w:hAnsi="Times New Roman" w:cs="Times New Roman"/>
        </w:rPr>
        <w:t xml:space="preserve">s </w:t>
      </w:r>
      <w:r w:rsidR="00666E72" w:rsidRPr="002F30D9">
        <w:rPr>
          <w:rFonts w:ascii="Times New Roman" w:hAnsi="Times New Roman" w:cs="Times New Roman"/>
        </w:rPr>
        <w:t>equal to the scans that make up the</w:t>
      </w:r>
      <w:r w:rsidR="00F36123" w:rsidRPr="002F30D9">
        <w:rPr>
          <w:rFonts w:ascii="Times New Roman" w:hAnsi="Times New Roman" w:cs="Times New Roman"/>
        </w:rPr>
        <w:t xml:space="preserve"> </w:t>
      </w:r>
      <w:r w:rsidR="002B76A1">
        <w:rPr>
          <w:rFonts w:ascii="Times New Roman" w:hAnsi="Times New Roman" w:cs="Times New Roman"/>
        </w:rPr>
        <w:t>2</w:t>
      </w:r>
      <w:r w:rsidR="00F36123" w:rsidRPr="002F30D9">
        <w:rPr>
          <w:rFonts w:ascii="Times New Roman" w:hAnsi="Times New Roman" w:cs="Times New Roman"/>
        </w:rPr>
        <w:t>% increase in volume from fiscal year 2022</w:t>
      </w:r>
      <w:r w:rsidR="00420451" w:rsidRPr="002F30D9">
        <w:rPr>
          <w:rFonts w:ascii="Times New Roman" w:hAnsi="Times New Roman" w:cs="Times New Roman"/>
        </w:rPr>
        <w:t>,</w:t>
      </w:r>
      <w:r w:rsidR="00F36123" w:rsidRPr="002F30D9">
        <w:rPr>
          <w:rFonts w:ascii="Times New Roman" w:hAnsi="Times New Roman" w:cs="Times New Roman"/>
        </w:rPr>
        <w:t xml:space="preserve"> plus an allocation of </w:t>
      </w:r>
      <w:r w:rsidR="002B76A1">
        <w:rPr>
          <w:rFonts w:ascii="Times New Roman" w:hAnsi="Times New Roman" w:cs="Times New Roman"/>
        </w:rPr>
        <w:t>3,747</w:t>
      </w:r>
      <w:r w:rsidR="00F36123" w:rsidRPr="002F30D9">
        <w:rPr>
          <w:rFonts w:ascii="Times New Roman" w:hAnsi="Times New Roman" w:cs="Times New Roman"/>
        </w:rPr>
        <w:t xml:space="preserve"> scans previously performed by the </w:t>
      </w:r>
      <w:r w:rsidR="00041C2B" w:rsidRPr="002F30D9">
        <w:rPr>
          <w:rFonts w:ascii="Times New Roman" w:hAnsi="Times New Roman" w:cs="Times New Roman"/>
        </w:rPr>
        <w:t>one CT scanner currently at AJH.</w:t>
      </w:r>
      <w:r w:rsidR="00420451" w:rsidRPr="002F30D9">
        <w:rPr>
          <w:rFonts w:ascii="Times New Roman" w:hAnsi="Times New Roman" w:cs="Times New Roman"/>
        </w:rPr>
        <w:t xml:space="preserve"> CT scans increased approximately </w:t>
      </w:r>
      <w:r w:rsidR="00595E51">
        <w:rPr>
          <w:rFonts w:ascii="Times New Roman" w:hAnsi="Times New Roman" w:cs="Times New Roman"/>
        </w:rPr>
        <w:t>5</w:t>
      </w:r>
      <w:r w:rsidR="00420451" w:rsidRPr="002F30D9">
        <w:rPr>
          <w:rFonts w:ascii="Times New Roman" w:hAnsi="Times New Roman" w:cs="Times New Roman"/>
        </w:rPr>
        <w:t>% from fiscal year 2021 to fiscal year 2022.</w:t>
      </w:r>
      <w:r w:rsidR="00041C2B" w:rsidRPr="002F30D9">
        <w:rPr>
          <w:rFonts w:ascii="Times New Roman" w:hAnsi="Times New Roman" w:cs="Times New Roman"/>
        </w:rPr>
        <w:t xml:space="preserve"> Additional</w:t>
      </w:r>
      <w:r w:rsidRPr="002F30D9">
        <w:rPr>
          <w:rFonts w:ascii="Times New Roman" w:hAnsi="Times New Roman" w:cs="Times New Roman"/>
        </w:rPr>
        <w:t xml:space="preserve"> increases in treatments performed are anticipated to be </w:t>
      </w:r>
      <w:r w:rsidR="00B538BD" w:rsidRPr="002F30D9">
        <w:rPr>
          <w:rFonts w:ascii="Times New Roman" w:hAnsi="Times New Roman" w:cs="Times New Roman"/>
        </w:rPr>
        <w:t>10</w:t>
      </w:r>
      <w:r w:rsidRPr="002F30D9">
        <w:rPr>
          <w:rFonts w:ascii="Times New Roman" w:hAnsi="Times New Roman" w:cs="Times New Roman"/>
        </w:rPr>
        <w:t xml:space="preserve">% in </w:t>
      </w:r>
      <w:r w:rsidR="00AB5852" w:rsidRPr="002F30D9">
        <w:rPr>
          <w:rFonts w:ascii="Times New Roman" w:hAnsi="Times New Roman" w:cs="Times New Roman"/>
        </w:rPr>
        <w:t>the year ending September 30, 2025</w:t>
      </w:r>
      <w:r w:rsidR="0004215C" w:rsidRPr="002F30D9">
        <w:rPr>
          <w:rFonts w:ascii="Times New Roman" w:hAnsi="Times New Roman" w:cs="Times New Roman"/>
        </w:rPr>
        <w:t xml:space="preserve"> and</w:t>
      </w:r>
      <w:r w:rsidR="00B538BD" w:rsidRPr="002F30D9">
        <w:rPr>
          <w:rFonts w:ascii="Times New Roman" w:hAnsi="Times New Roman" w:cs="Times New Roman"/>
        </w:rPr>
        <w:t xml:space="preserve"> 7% in </w:t>
      </w:r>
      <w:r w:rsidR="00AB5852" w:rsidRPr="002F30D9">
        <w:rPr>
          <w:rFonts w:ascii="Times New Roman" w:hAnsi="Times New Roman" w:cs="Times New Roman"/>
        </w:rPr>
        <w:t xml:space="preserve">the </w:t>
      </w:r>
      <w:r w:rsidR="00D10092" w:rsidRPr="002F30D9">
        <w:rPr>
          <w:rFonts w:ascii="Times New Roman" w:hAnsi="Times New Roman" w:cs="Times New Roman"/>
        </w:rPr>
        <w:t xml:space="preserve">fiscal </w:t>
      </w:r>
      <w:r w:rsidR="00AB5852" w:rsidRPr="002F30D9">
        <w:rPr>
          <w:rFonts w:ascii="Times New Roman" w:hAnsi="Times New Roman" w:cs="Times New Roman"/>
        </w:rPr>
        <w:t>year ending September 30, 2026</w:t>
      </w:r>
      <w:r w:rsidR="00305270" w:rsidRPr="002F30D9">
        <w:rPr>
          <w:rFonts w:ascii="Times New Roman" w:hAnsi="Times New Roman" w:cs="Times New Roman"/>
        </w:rPr>
        <w:t>, respectively</w:t>
      </w:r>
      <w:r w:rsidR="0004215C" w:rsidRPr="002F30D9">
        <w:rPr>
          <w:rFonts w:ascii="Times New Roman" w:hAnsi="Times New Roman" w:cs="Times New Roman"/>
        </w:rPr>
        <w:t xml:space="preserve">. There are no volume growth assumptions for </w:t>
      </w:r>
      <w:r w:rsidR="00D10092" w:rsidRPr="002F30D9">
        <w:rPr>
          <w:rFonts w:ascii="Times New Roman" w:hAnsi="Times New Roman" w:cs="Times New Roman"/>
        </w:rPr>
        <w:t>fiscal</w:t>
      </w:r>
      <w:r w:rsidR="00AB5852" w:rsidRPr="002F30D9">
        <w:rPr>
          <w:rFonts w:ascii="Times New Roman" w:hAnsi="Times New Roman" w:cs="Times New Roman"/>
        </w:rPr>
        <w:t xml:space="preserve"> years ending September 30, 2027 and 2028, respectively</w:t>
      </w:r>
      <w:r w:rsidR="0004215C" w:rsidRPr="002F30D9">
        <w:rPr>
          <w:rFonts w:ascii="Times New Roman" w:hAnsi="Times New Roman" w:cs="Times New Roman"/>
        </w:rPr>
        <w:t>.</w:t>
      </w:r>
    </w:p>
    <w:p w14:paraId="46E011B2" w14:textId="77777777" w:rsidR="00C8694E" w:rsidRDefault="00C8694E" w:rsidP="00B470A8">
      <w:pPr>
        <w:widowControl w:val="0"/>
        <w:spacing w:after="0" w:line="240" w:lineRule="auto"/>
        <w:jc w:val="both"/>
        <w:rPr>
          <w:rFonts w:ascii="Times New Roman" w:hAnsi="Times New Roman" w:cs="Times New Roman"/>
        </w:rPr>
      </w:pPr>
    </w:p>
    <w:p w14:paraId="7826D230" w14:textId="54C16BE1" w:rsidR="007B2001" w:rsidRDefault="00041250" w:rsidP="005235E6">
      <w:pPr>
        <w:widowControl w:val="0"/>
        <w:spacing w:after="0" w:line="240" w:lineRule="auto"/>
        <w:ind w:left="360"/>
        <w:jc w:val="both"/>
        <w:rPr>
          <w:rFonts w:ascii="Times New Roman" w:hAnsi="Times New Roman" w:cs="Times New Roman"/>
        </w:rPr>
      </w:pPr>
      <w:r w:rsidRPr="005235E6">
        <w:rPr>
          <w:rFonts w:ascii="Times New Roman" w:hAnsi="Times New Roman" w:cs="Times New Roman"/>
        </w:rPr>
        <w:t>Based on discussions with Management and review of the information</w:t>
      </w:r>
      <w:r w:rsidR="001204E8" w:rsidRPr="005235E6">
        <w:rPr>
          <w:rFonts w:ascii="Times New Roman" w:hAnsi="Times New Roman" w:cs="Times New Roman"/>
        </w:rPr>
        <w:t xml:space="preserve"> provided</w:t>
      </w:r>
      <w:r w:rsidRPr="005235E6">
        <w:rPr>
          <w:rFonts w:ascii="Times New Roman" w:hAnsi="Times New Roman" w:cs="Times New Roman"/>
        </w:rPr>
        <w:t xml:space="preserve">, the </w:t>
      </w:r>
      <w:r w:rsidR="00941528">
        <w:rPr>
          <w:rFonts w:ascii="Times New Roman" w:hAnsi="Times New Roman" w:cs="Times New Roman"/>
        </w:rPr>
        <w:t xml:space="preserve">net </w:t>
      </w:r>
      <w:r w:rsidRPr="005235E6">
        <w:rPr>
          <w:rFonts w:ascii="Times New Roman" w:hAnsi="Times New Roman" w:cs="Times New Roman"/>
        </w:rPr>
        <w:t>revenue</w:t>
      </w:r>
      <w:r w:rsidR="00941528">
        <w:rPr>
          <w:rFonts w:ascii="Times New Roman" w:hAnsi="Times New Roman" w:cs="Times New Roman"/>
        </w:rPr>
        <w:t xml:space="preserve"> </w:t>
      </w:r>
      <w:r w:rsidRPr="005235E6">
        <w:rPr>
          <w:rFonts w:ascii="Times New Roman" w:hAnsi="Times New Roman" w:cs="Times New Roman"/>
        </w:rPr>
        <w:t xml:space="preserve">information </w:t>
      </w:r>
      <w:r w:rsidR="001204E8" w:rsidRPr="005235E6">
        <w:rPr>
          <w:rFonts w:ascii="Times New Roman" w:hAnsi="Times New Roman" w:cs="Times New Roman"/>
        </w:rPr>
        <w:t>disclosed</w:t>
      </w:r>
      <w:r w:rsidRPr="005235E6">
        <w:rPr>
          <w:rFonts w:ascii="Times New Roman" w:hAnsi="Times New Roman" w:cs="Times New Roman"/>
        </w:rPr>
        <w:t xml:space="preserve"> </w:t>
      </w:r>
      <w:r w:rsidR="001204E8" w:rsidRPr="005235E6">
        <w:rPr>
          <w:rFonts w:ascii="Times New Roman" w:hAnsi="Times New Roman" w:cs="Times New Roman"/>
        </w:rPr>
        <w:t xml:space="preserve">in the table </w:t>
      </w:r>
      <w:r w:rsidRPr="005235E6">
        <w:rPr>
          <w:rFonts w:ascii="Times New Roman" w:hAnsi="Times New Roman" w:cs="Times New Roman"/>
        </w:rPr>
        <w:t xml:space="preserve">below is based on </w:t>
      </w:r>
      <w:r w:rsidR="00A05FEB" w:rsidRPr="005235E6">
        <w:rPr>
          <w:rFonts w:ascii="Times New Roman" w:hAnsi="Times New Roman" w:cs="Times New Roman"/>
        </w:rPr>
        <w:t xml:space="preserve">the </w:t>
      </w:r>
      <w:r w:rsidR="009B6639" w:rsidRPr="005235E6">
        <w:rPr>
          <w:rFonts w:ascii="Times New Roman" w:hAnsi="Times New Roman" w:cs="Times New Roman"/>
        </w:rPr>
        <w:t xml:space="preserve">Medicare OPPS Addendum B Report </w:t>
      </w:r>
      <w:r w:rsidR="005D7D1A" w:rsidRPr="005235E6">
        <w:rPr>
          <w:rFonts w:ascii="Times New Roman" w:hAnsi="Times New Roman" w:cs="Times New Roman"/>
        </w:rPr>
        <w:t xml:space="preserve">and </w:t>
      </w:r>
      <w:r w:rsidR="009B6639" w:rsidRPr="005235E6">
        <w:rPr>
          <w:rFonts w:ascii="Times New Roman" w:hAnsi="Times New Roman" w:cs="Times New Roman"/>
        </w:rPr>
        <w:t xml:space="preserve">the corresponding </w:t>
      </w:r>
      <w:r w:rsidR="005D7D1A" w:rsidRPr="005235E6">
        <w:rPr>
          <w:rFonts w:ascii="Times New Roman" w:hAnsi="Times New Roman" w:cs="Times New Roman"/>
        </w:rPr>
        <w:t>Outpatient CT Schedule Report</w:t>
      </w:r>
      <w:r w:rsidR="00396A2F" w:rsidRPr="005235E6">
        <w:rPr>
          <w:rFonts w:ascii="Times New Roman" w:hAnsi="Times New Roman" w:cs="Times New Roman"/>
        </w:rPr>
        <w:t xml:space="preserve"> and historical average reimbursements for all other insurance providers</w:t>
      </w:r>
      <w:r w:rsidR="00A05FEB" w:rsidRPr="005235E6">
        <w:rPr>
          <w:rFonts w:ascii="Times New Roman" w:hAnsi="Times New Roman" w:cs="Times New Roman"/>
        </w:rPr>
        <w:t xml:space="preserve">. </w:t>
      </w:r>
      <w:r w:rsidR="006B404D" w:rsidRPr="005235E6">
        <w:rPr>
          <w:rFonts w:ascii="Times New Roman" w:hAnsi="Times New Roman" w:cs="Times New Roman"/>
        </w:rPr>
        <w:t xml:space="preserve">The average reimbursement rate based on the payor mix </w:t>
      </w:r>
      <w:r w:rsidR="0069021E" w:rsidRPr="005235E6">
        <w:rPr>
          <w:rFonts w:ascii="Times New Roman" w:hAnsi="Times New Roman" w:cs="Times New Roman"/>
        </w:rPr>
        <w:t xml:space="preserve">and procedure type is $249.65 per scan </w:t>
      </w:r>
      <w:r w:rsidR="00396A2F" w:rsidRPr="005235E6">
        <w:rPr>
          <w:rFonts w:ascii="Times New Roman" w:hAnsi="Times New Roman" w:cs="Times New Roman"/>
        </w:rPr>
        <w:t xml:space="preserve">for the year ending </w:t>
      </w:r>
      <w:r w:rsidR="005235E6" w:rsidRPr="005235E6">
        <w:rPr>
          <w:rFonts w:ascii="Times New Roman" w:hAnsi="Times New Roman" w:cs="Times New Roman"/>
        </w:rPr>
        <w:t>September 30, 2024</w:t>
      </w:r>
      <w:r w:rsidR="0069021E" w:rsidRPr="005235E6">
        <w:rPr>
          <w:rFonts w:ascii="Times New Roman" w:hAnsi="Times New Roman" w:cs="Times New Roman"/>
        </w:rPr>
        <w:t xml:space="preserve">. Management anticipates annual reimbursement rate increases of 2% for </w:t>
      </w:r>
      <w:r w:rsidR="00D10092">
        <w:rPr>
          <w:rFonts w:ascii="Times New Roman" w:hAnsi="Times New Roman" w:cs="Times New Roman"/>
        </w:rPr>
        <w:t>fiscal</w:t>
      </w:r>
      <w:r w:rsidR="005235E6" w:rsidRPr="005235E6">
        <w:rPr>
          <w:rFonts w:ascii="Times New Roman" w:hAnsi="Times New Roman" w:cs="Times New Roman"/>
        </w:rPr>
        <w:t xml:space="preserve"> years ending September 30, 2025, 2026, 2027 and 2028.</w:t>
      </w:r>
    </w:p>
    <w:p w14:paraId="14412EFB" w14:textId="77777777" w:rsidR="00941528" w:rsidRDefault="00941528" w:rsidP="007D1B15">
      <w:pPr>
        <w:spacing w:after="0" w:line="240" w:lineRule="auto"/>
        <w:ind w:left="360"/>
        <w:jc w:val="both"/>
        <w:rPr>
          <w:rFonts w:ascii="Times New Roman" w:hAnsi="Times New Roman" w:cs="Times New Roman"/>
        </w:rPr>
      </w:pPr>
    </w:p>
    <w:p w14:paraId="4717E5BD" w14:textId="77777777" w:rsidR="00683048" w:rsidRDefault="00683048" w:rsidP="007D1B15">
      <w:pPr>
        <w:spacing w:after="0" w:line="240" w:lineRule="auto"/>
        <w:ind w:left="360"/>
        <w:jc w:val="both"/>
        <w:rPr>
          <w:rFonts w:ascii="Times New Roman" w:hAnsi="Times New Roman" w:cs="Times New Roman"/>
        </w:rPr>
      </w:pPr>
    </w:p>
    <w:p w14:paraId="641AE412" w14:textId="77777777" w:rsidR="00683048" w:rsidRDefault="00683048" w:rsidP="007D1B15">
      <w:pPr>
        <w:spacing w:after="0" w:line="240" w:lineRule="auto"/>
        <w:ind w:left="360"/>
        <w:jc w:val="both"/>
        <w:rPr>
          <w:rFonts w:ascii="Times New Roman" w:hAnsi="Times New Roman" w:cs="Times New Roman"/>
        </w:rPr>
      </w:pPr>
    </w:p>
    <w:p w14:paraId="4FE8A4AA" w14:textId="77777777" w:rsidR="00683048" w:rsidRDefault="00683048" w:rsidP="007D1B15">
      <w:pPr>
        <w:spacing w:after="0" w:line="240" w:lineRule="auto"/>
        <w:ind w:left="360"/>
        <w:jc w:val="both"/>
        <w:rPr>
          <w:rFonts w:ascii="Times New Roman" w:hAnsi="Times New Roman" w:cs="Times New Roman"/>
        </w:rPr>
      </w:pPr>
    </w:p>
    <w:p w14:paraId="0615881E" w14:textId="77777777" w:rsidR="00683048" w:rsidRDefault="00683048" w:rsidP="007D1B15">
      <w:pPr>
        <w:spacing w:after="0" w:line="240" w:lineRule="auto"/>
        <w:ind w:left="360"/>
        <w:jc w:val="both"/>
        <w:rPr>
          <w:rFonts w:ascii="Times New Roman" w:hAnsi="Times New Roman" w:cs="Times New Roman"/>
        </w:rPr>
      </w:pPr>
    </w:p>
    <w:p w14:paraId="18149D87" w14:textId="77777777" w:rsidR="0023176D" w:rsidRDefault="0023176D" w:rsidP="007D1B15">
      <w:pPr>
        <w:spacing w:after="0" w:line="240" w:lineRule="auto"/>
        <w:ind w:left="360"/>
        <w:jc w:val="both"/>
        <w:rPr>
          <w:rFonts w:ascii="Times New Roman" w:hAnsi="Times New Roman" w:cs="Times New Roman"/>
        </w:rPr>
      </w:pPr>
    </w:p>
    <w:p w14:paraId="65D98282" w14:textId="34351F18" w:rsidR="00C02B5A" w:rsidRDefault="00C02B5A" w:rsidP="007D1B15">
      <w:pPr>
        <w:spacing w:after="0" w:line="240" w:lineRule="auto"/>
        <w:ind w:left="360"/>
        <w:jc w:val="both"/>
        <w:rPr>
          <w:rFonts w:ascii="Times New Roman" w:hAnsi="Times New Roman" w:cs="Times New Roman"/>
        </w:rPr>
      </w:pPr>
      <w:r w:rsidRPr="00642D0E">
        <w:rPr>
          <w:rFonts w:ascii="Times New Roman" w:hAnsi="Times New Roman" w:cs="Times New Roman"/>
        </w:rPr>
        <w:t xml:space="preserve"> </w:t>
      </w:r>
    </w:p>
    <w:p w14:paraId="311C8017" w14:textId="77777777" w:rsidR="00BB6AD7" w:rsidRDefault="00BB6AD7" w:rsidP="002B4459">
      <w:pPr>
        <w:spacing w:after="0" w:line="240" w:lineRule="auto"/>
        <w:rPr>
          <w:rFonts w:ascii="Times New Roman" w:hAnsi="Times New Roman" w:cs="Times New Roman"/>
        </w:rPr>
      </w:pPr>
    </w:p>
    <w:p w14:paraId="49D443D5" w14:textId="7DD6B64C" w:rsidR="002B4459" w:rsidRPr="00EE7DCA" w:rsidRDefault="002B4459" w:rsidP="002B4459">
      <w:pPr>
        <w:spacing w:after="0" w:line="240" w:lineRule="auto"/>
        <w:rPr>
          <w:rFonts w:ascii="Times New Roman" w:hAnsi="Times New Roman" w:cs="Times New Roman"/>
        </w:rPr>
      </w:pPr>
      <w:r w:rsidRPr="00EE7DCA">
        <w:rPr>
          <w:rFonts w:ascii="Times New Roman" w:hAnsi="Times New Roman" w:cs="Times New Roman"/>
        </w:rPr>
        <w:lastRenderedPageBreak/>
        <w:t xml:space="preserve">Mr. </w:t>
      </w:r>
      <w:r>
        <w:rPr>
          <w:rFonts w:ascii="Times New Roman" w:hAnsi="Times New Roman" w:cs="Times New Roman"/>
        </w:rPr>
        <w:t>Sean Ahern</w:t>
      </w:r>
    </w:p>
    <w:p w14:paraId="787F7586" w14:textId="3B8E4133" w:rsidR="00532AB8" w:rsidRPr="00EE7DCA" w:rsidRDefault="00532AB8" w:rsidP="00532AB8">
      <w:pPr>
        <w:spacing w:after="0" w:line="240" w:lineRule="auto"/>
        <w:rPr>
          <w:rFonts w:ascii="Times New Roman" w:hAnsi="Times New Roman" w:cs="Times New Roman"/>
        </w:rPr>
      </w:pPr>
      <w:r>
        <w:rPr>
          <w:rFonts w:ascii="Times New Roman" w:hAnsi="Times New Roman" w:cs="Times New Roman"/>
        </w:rPr>
        <w:t>Anna Jaques Hospital</w:t>
      </w:r>
    </w:p>
    <w:p w14:paraId="4937E7B5" w14:textId="14C227FE" w:rsidR="002B4459" w:rsidRDefault="002B4459" w:rsidP="002B4459">
      <w:pPr>
        <w:spacing w:after="0" w:line="240" w:lineRule="auto"/>
        <w:rPr>
          <w:rFonts w:ascii="Times New Roman" w:hAnsi="Times New Roman" w:cs="Times New Roman"/>
        </w:rPr>
      </w:pPr>
      <w:r w:rsidRPr="00D471DF">
        <w:rPr>
          <w:rFonts w:ascii="Times New Roman" w:hAnsi="Times New Roman" w:cs="Times New Roman"/>
        </w:rPr>
        <w:t>J</w:t>
      </w:r>
      <w:r w:rsidR="005235E6" w:rsidRPr="00D471DF">
        <w:rPr>
          <w:rFonts w:ascii="Times New Roman" w:hAnsi="Times New Roman" w:cs="Times New Roman"/>
        </w:rPr>
        <w:t>uly</w:t>
      </w:r>
      <w:r w:rsidRPr="00D471DF">
        <w:rPr>
          <w:rFonts w:ascii="Times New Roman" w:hAnsi="Times New Roman" w:cs="Times New Roman"/>
        </w:rPr>
        <w:t xml:space="preserve"> </w:t>
      </w:r>
      <w:r w:rsidR="00D471DF" w:rsidRPr="00D471DF">
        <w:rPr>
          <w:rFonts w:ascii="Times New Roman" w:hAnsi="Times New Roman" w:cs="Times New Roman"/>
        </w:rPr>
        <w:t>12</w:t>
      </w:r>
      <w:r w:rsidRPr="00D471DF">
        <w:rPr>
          <w:rFonts w:ascii="Times New Roman" w:hAnsi="Times New Roman" w:cs="Times New Roman"/>
        </w:rPr>
        <w:t>, 2023</w:t>
      </w:r>
    </w:p>
    <w:p w14:paraId="39B2C6F0" w14:textId="33C109FF" w:rsidR="00650F41" w:rsidRDefault="00650F41" w:rsidP="007F7FC7">
      <w:pPr>
        <w:widowControl w:val="0"/>
        <w:spacing w:after="0" w:line="240" w:lineRule="auto"/>
        <w:jc w:val="both"/>
        <w:rPr>
          <w:rFonts w:ascii="Times New Roman" w:hAnsi="Times New Roman" w:cs="Times New Roman"/>
        </w:rPr>
      </w:pPr>
    </w:p>
    <w:p w14:paraId="0FA944EB" w14:textId="77777777" w:rsidR="000B129E" w:rsidRPr="009D69E1" w:rsidRDefault="000B129E" w:rsidP="007F7FC7">
      <w:pPr>
        <w:widowControl w:val="0"/>
        <w:spacing w:after="0" w:line="240" w:lineRule="auto"/>
        <w:jc w:val="both"/>
        <w:rPr>
          <w:rFonts w:ascii="Times New Roman" w:hAnsi="Times New Roman" w:cs="Times New Roman"/>
        </w:rPr>
      </w:pPr>
    </w:p>
    <w:p w14:paraId="1A86ADB8" w14:textId="0EF62807" w:rsidR="003F560E" w:rsidRPr="0056746F" w:rsidRDefault="001841B7" w:rsidP="007F7FC7">
      <w:pPr>
        <w:widowControl w:val="0"/>
        <w:tabs>
          <w:tab w:val="left" w:pos="360"/>
        </w:tabs>
        <w:spacing w:after="0" w:line="240" w:lineRule="auto"/>
        <w:jc w:val="both"/>
        <w:rPr>
          <w:rFonts w:ascii="Times New Roman" w:hAnsi="Times New Roman" w:cs="Times New Roman"/>
          <w:b/>
          <w:sz w:val="24"/>
          <w:szCs w:val="24"/>
          <w:u w:val="single"/>
        </w:rPr>
      </w:pPr>
      <w:r w:rsidRPr="0056746F">
        <w:rPr>
          <w:rFonts w:ascii="Times New Roman" w:hAnsi="Times New Roman" w:cs="Times New Roman"/>
          <w:b/>
          <w:sz w:val="24"/>
          <w:szCs w:val="24"/>
        </w:rPr>
        <w:t>V.</w:t>
      </w:r>
      <w:r w:rsidR="001859D2" w:rsidRPr="0056746F">
        <w:rPr>
          <w:rFonts w:ascii="Times New Roman" w:hAnsi="Times New Roman" w:cs="Times New Roman"/>
          <w:b/>
          <w:sz w:val="24"/>
          <w:szCs w:val="24"/>
        </w:rPr>
        <w:tab/>
      </w:r>
      <w:r w:rsidR="003F560E" w:rsidRPr="0056746F">
        <w:rPr>
          <w:rFonts w:ascii="Times New Roman" w:hAnsi="Times New Roman" w:cs="Times New Roman"/>
          <w:b/>
          <w:sz w:val="24"/>
          <w:szCs w:val="24"/>
          <w:u w:val="single"/>
        </w:rPr>
        <w:t xml:space="preserve">Review of the </w:t>
      </w:r>
      <w:r w:rsidR="005443CC" w:rsidRPr="0056746F">
        <w:rPr>
          <w:rFonts w:ascii="Times New Roman" w:hAnsi="Times New Roman" w:cs="Times New Roman"/>
          <w:b/>
          <w:sz w:val="24"/>
          <w:szCs w:val="24"/>
          <w:u w:val="single"/>
        </w:rPr>
        <w:t>Projections</w:t>
      </w:r>
      <w:r w:rsidR="005443CC" w:rsidRPr="0056746F">
        <w:rPr>
          <w:rFonts w:ascii="Times New Roman" w:hAnsi="Times New Roman" w:cs="Times New Roman"/>
          <w:b/>
          <w:sz w:val="24"/>
          <w:szCs w:val="24"/>
        </w:rPr>
        <w:t xml:space="preserve"> </w:t>
      </w:r>
      <w:r w:rsidR="00BF583F" w:rsidRPr="0056746F">
        <w:rPr>
          <w:rFonts w:ascii="Times New Roman" w:hAnsi="Times New Roman" w:cs="Times New Roman"/>
          <w:b/>
          <w:sz w:val="24"/>
          <w:szCs w:val="24"/>
        </w:rPr>
        <w:t xml:space="preserve"> </w:t>
      </w:r>
      <w:r w:rsidR="005443CC" w:rsidRPr="0056746F">
        <w:rPr>
          <w:rFonts w:ascii="Times New Roman" w:hAnsi="Times New Roman" w:cs="Times New Roman"/>
          <w:b/>
          <w:sz w:val="24"/>
          <w:szCs w:val="24"/>
        </w:rPr>
        <w:t>(</w:t>
      </w:r>
      <w:r w:rsidR="003F560E" w:rsidRPr="0056746F">
        <w:rPr>
          <w:rFonts w:ascii="Times New Roman" w:hAnsi="Times New Roman" w:cs="Times New Roman"/>
          <w:b/>
          <w:sz w:val="24"/>
          <w:szCs w:val="24"/>
        </w:rPr>
        <w:t>continued)</w:t>
      </w:r>
    </w:p>
    <w:p w14:paraId="2FF07E18" w14:textId="77777777" w:rsidR="00683048" w:rsidRDefault="00683048" w:rsidP="007F7FC7">
      <w:pPr>
        <w:spacing w:after="0" w:line="240" w:lineRule="auto"/>
        <w:ind w:left="360"/>
        <w:jc w:val="both"/>
        <w:rPr>
          <w:rFonts w:ascii="Times New Roman" w:hAnsi="Times New Roman" w:cs="Times New Roman"/>
          <w:b/>
        </w:rPr>
      </w:pPr>
    </w:p>
    <w:p w14:paraId="7F16CBAC" w14:textId="1E0D0DC6" w:rsidR="00683048" w:rsidRPr="00670855" w:rsidRDefault="00683048" w:rsidP="00683048">
      <w:pPr>
        <w:widowControl w:val="0"/>
        <w:spacing w:after="0" w:line="240" w:lineRule="auto"/>
        <w:ind w:left="360"/>
        <w:jc w:val="both"/>
        <w:rPr>
          <w:rFonts w:ascii="Times New Roman" w:hAnsi="Times New Roman" w:cs="Times New Roman"/>
          <w:color w:val="FF0000"/>
        </w:rPr>
      </w:pPr>
      <w:bookmarkStart w:id="4" w:name="_Hlk529540330"/>
      <w:r w:rsidRPr="009D69E1">
        <w:rPr>
          <w:rFonts w:ascii="Times New Roman" w:hAnsi="Times New Roman" w:cs="Times New Roman"/>
        </w:rPr>
        <w:t>The table below provides a summary of some of the key information for the historical and projected volume and revenues by year</w:t>
      </w:r>
      <w:r w:rsidR="00361D9E">
        <w:rPr>
          <w:rFonts w:ascii="Times New Roman" w:hAnsi="Times New Roman" w:cs="Times New Roman"/>
        </w:rPr>
        <w:t xml:space="preserve"> (fiscal year September):</w:t>
      </w:r>
    </w:p>
    <w:tbl>
      <w:tblPr>
        <w:tblStyle w:val="TableGrid"/>
        <w:tblpPr w:leftFromText="180" w:rightFromText="180" w:vertAnchor="text" w:horzAnchor="margin" w:tblpXSpec="center" w:tblpY="93"/>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027"/>
        <w:gridCol w:w="1043"/>
        <w:gridCol w:w="1080"/>
        <w:gridCol w:w="1080"/>
        <w:gridCol w:w="1080"/>
      </w:tblGrid>
      <w:tr w:rsidR="00EF1255" w:rsidRPr="00790612" w14:paraId="514A7B11" w14:textId="77777777" w:rsidTr="00F627AA">
        <w:trPr>
          <w:cantSplit/>
          <w:tblHeader/>
        </w:trPr>
        <w:tc>
          <w:tcPr>
            <w:tcW w:w="2430" w:type="dxa"/>
          </w:tcPr>
          <w:p w14:paraId="0E9380CD" w14:textId="77777777" w:rsidR="00EF1255" w:rsidRDefault="00EF1255" w:rsidP="006622FD">
            <w:pPr>
              <w:jc w:val="center"/>
              <w:rPr>
                <w:sz w:val="16"/>
                <w:szCs w:val="16"/>
              </w:rPr>
            </w:pPr>
            <w:bookmarkStart w:id="5" w:name="_Hlk529539770"/>
            <w:bookmarkEnd w:id="4"/>
          </w:p>
          <w:p w14:paraId="4242A54C" w14:textId="77777777" w:rsidR="00EF1255" w:rsidRDefault="00EF1255" w:rsidP="006622FD">
            <w:pPr>
              <w:jc w:val="center"/>
              <w:rPr>
                <w:sz w:val="16"/>
                <w:szCs w:val="16"/>
              </w:rPr>
            </w:pPr>
          </w:p>
          <w:p w14:paraId="092D7B7F" w14:textId="77777777" w:rsidR="00EF1255" w:rsidRDefault="00EF1255" w:rsidP="006622FD">
            <w:pPr>
              <w:jc w:val="center"/>
              <w:rPr>
                <w:sz w:val="16"/>
                <w:szCs w:val="16"/>
              </w:rPr>
            </w:pPr>
          </w:p>
          <w:p w14:paraId="376AEC4C" w14:textId="77777777" w:rsidR="00EF1255" w:rsidRDefault="00EF1255" w:rsidP="006622FD">
            <w:pPr>
              <w:jc w:val="center"/>
              <w:rPr>
                <w:sz w:val="16"/>
                <w:szCs w:val="16"/>
              </w:rPr>
            </w:pPr>
          </w:p>
          <w:p w14:paraId="2890919A" w14:textId="38121CF2" w:rsidR="00EF1255" w:rsidRPr="00790612" w:rsidRDefault="00EF1255" w:rsidP="006622FD">
            <w:pPr>
              <w:jc w:val="center"/>
              <w:rPr>
                <w:sz w:val="16"/>
                <w:szCs w:val="16"/>
              </w:rPr>
            </w:pPr>
            <w:r>
              <w:rPr>
                <w:sz w:val="16"/>
                <w:szCs w:val="16"/>
              </w:rPr>
              <w:t>Category</w:t>
            </w:r>
          </w:p>
        </w:tc>
        <w:tc>
          <w:tcPr>
            <w:tcW w:w="1027" w:type="dxa"/>
          </w:tcPr>
          <w:p w14:paraId="0E11F86C" w14:textId="77777777" w:rsidR="00EF1255" w:rsidRPr="00790612" w:rsidRDefault="00EF1255" w:rsidP="00E538AD">
            <w:pPr>
              <w:jc w:val="center"/>
              <w:rPr>
                <w:sz w:val="16"/>
                <w:szCs w:val="16"/>
              </w:rPr>
            </w:pPr>
            <w:r w:rsidRPr="00790612">
              <w:rPr>
                <w:sz w:val="16"/>
                <w:szCs w:val="16"/>
              </w:rPr>
              <w:t>Projected/</w:t>
            </w:r>
          </w:p>
          <w:p w14:paraId="6273FC0F" w14:textId="77777777" w:rsidR="00EF1255" w:rsidRPr="00790612" w:rsidRDefault="00EF1255" w:rsidP="00E538AD">
            <w:pPr>
              <w:jc w:val="center"/>
              <w:rPr>
                <w:sz w:val="16"/>
                <w:szCs w:val="16"/>
              </w:rPr>
            </w:pPr>
            <w:r w:rsidRPr="00790612">
              <w:rPr>
                <w:sz w:val="16"/>
                <w:szCs w:val="16"/>
              </w:rPr>
              <w:t>pro-forma</w:t>
            </w:r>
          </w:p>
          <w:p w14:paraId="1699A777" w14:textId="77777777" w:rsidR="00EF1255" w:rsidRPr="00790612" w:rsidRDefault="00EF1255" w:rsidP="00E538AD">
            <w:pPr>
              <w:jc w:val="center"/>
              <w:rPr>
                <w:sz w:val="16"/>
                <w:szCs w:val="16"/>
              </w:rPr>
            </w:pPr>
            <w:r w:rsidRPr="00790612">
              <w:rPr>
                <w:sz w:val="16"/>
                <w:szCs w:val="16"/>
              </w:rPr>
              <w:t>with second CT scanner</w:t>
            </w:r>
          </w:p>
          <w:p w14:paraId="1FBA35CE" w14:textId="20CABA61" w:rsidR="00EF1255" w:rsidRPr="00790612" w:rsidRDefault="00EF1255" w:rsidP="00E538AD">
            <w:pPr>
              <w:jc w:val="center"/>
              <w:rPr>
                <w:sz w:val="16"/>
                <w:szCs w:val="16"/>
              </w:rPr>
            </w:pPr>
            <w:r>
              <w:rPr>
                <w:sz w:val="16"/>
                <w:szCs w:val="16"/>
              </w:rPr>
              <w:t>2024</w:t>
            </w:r>
          </w:p>
        </w:tc>
        <w:tc>
          <w:tcPr>
            <w:tcW w:w="1043" w:type="dxa"/>
          </w:tcPr>
          <w:p w14:paraId="63F25BEC" w14:textId="77777777" w:rsidR="00EF1255" w:rsidRPr="00790612" w:rsidRDefault="00EF1255" w:rsidP="00E538AD">
            <w:pPr>
              <w:jc w:val="center"/>
              <w:rPr>
                <w:sz w:val="16"/>
                <w:szCs w:val="16"/>
              </w:rPr>
            </w:pPr>
            <w:r w:rsidRPr="00790612">
              <w:rPr>
                <w:sz w:val="16"/>
                <w:szCs w:val="16"/>
              </w:rPr>
              <w:t>Projected/</w:t>
            </w:r>
          </w:p>
          <w:p w14:paraId="63BD6BD0" w14:textId="77777777" w:rsidR="00EF1255" w:rsidRPr="00790612" w:rsidRDefault="00EF1255" w:rsidP="00E538AD">
            <w:pPr>
              <w:jc w:val="center"/>
              <w:rPr>
                <w:sz w:val="16"/>
                <w:szCs w:val="16"/>
              </w:rPr>
            </w:pPr>
            <w:r w:rsidRPr="00790612">
              <w:rPr>
                <w:sz w:val="16"/>
                <w:szCs w:val="16"/>
              </w:rPr>
              <w:t>pro-forma</w:t>
            </w:r>
          </w:p>
          <w:p w14:paraId="74DDE6CC" w14:textId="77777777" w:rsidR="00EF1255" w:rsidRPr="00790612" w:rsidRDefault="00EF1255" w:rsidP="00E538AD">
            <w:pPr>
              <w:jc w:val="center"/>
              <w:rPr>
                <w:sz w:val="16"/>
                <w:szCs w:val="16"/>
              </w:rPr>
            </w:pPr>
            <w:r w:rsidRPr="00790612">
              <w:rPr>
                <w:sz w:val="16"/>
                <w:szCs w:val="16"/>
              </w:rPr>
              <w:t>with second CT scanner</w:t>
            </w:r>
          </w:p>
          <w:p w14:paraId="7FEC10F3" w14:textId="58129625" w:rsidR="00EF1255" w:rsidRPr="00790612" w:rsidRDefault="00EF1255" w:rsidP="00E538AD">
            <w:pPr>
              <w:jc w:val="center"/>
              <w:rPr>
                <w:sz w:val="16"/>
                <w:szCs w:val="16"/>
              </w:rPr>
            </w:pPr>
            <w:r>
              <w:rPr>
                <w:sz w:val="16"/>
                <w:szCs w:val="16"/>
              </w:rPr>
              <w:t>2025</w:t>
            </w:r>
          </w:p>
        </w:tc>
        <w:tc>
          <w:tcPr>
            <w:tcW w:w="1080" w:type="dxa"/>
          </w:tcPr>
          <w:p w14:paraId="696BD73F" w14:textId="77777777" w:rsidR="00EF1255" w:rsidRPr="00790612" w:rsidRDefault="00EF1255" w:rsidP="00E538AD">
            <w:pPr>
              <w:jc w:val="center"/>
              <w:rPr>
                <w:sz w:val="16"/>
                <w:szCs w:val="16"/>
              </w:rPr>
            </w:pPr>
            <w:r w:rsidRPr="00790612">
              <w:rPr>
                <w:sz w:val="16"/>
                <w:szCs w:val="16"/>
              </w:rPr>
              <w:t>Projected/</w:t>
            </w:r>
          </w:p>
          <w:p w14:paraId="692D73CF" w14:textId="77777777" w:rsidR="00EF1255" w:rsidRPr="00790612" w:rsidRDefault="00EF1255" w:rsidP="00E538AD">
            <w:pPr>
              <w:jc w:val="center"/>
              <w:rPr>
                <w:sz w:val="16"/>
                <w:szCs w:val="16"/>
              </w:rPr>
            </w:pPr>
            <w:r w:rsidRPr="00790612">
              <w:rPr>
                <w:sz w:val="16"/>
                <w:szCs w:val="16"/>
              </w:rPr>
              <w:t>pro-forma</w:t>
            </w:r>
          </w:p>
          <w:p w14:paraId="0FC0C9EF" w14:textId="77777777" w:rsidR="00EF1255" w:rsidRPr="00790612" w:rsidRDefault="00EF1255" w:rsidP="00E538AD">
            <w:pPr>
              <w:jc w:val="center"/>
              <w:rPr>
                <w:sz w:val="16"/>
                <w:szCs w:val="16"/>
              </w:rPr>
            </w:pPr>
            <w:r w:rsidRPr="00790612">
              <w:rPr>
                <w:sz w:val="16"/>
                <w:szCs w:val="16"/>
              </w:rPr>
              <w:t>with second CT scanner</w:t>
            </w:r>
          </w:p>
          <w:p w14:paraId="720F815B" w14:textId="639E00FE" w:rsidR="00EF1255" w:rsidRPr="00790612" w:rsidRDefault="00EF1255" w:rsidP="00E538AD">
            <w:pPr>
              <w:jc w:val="center"/>
              <w:rPr>
                <w:sz w:val="16"/>
                <w:szCs w:val="16"/>
              </w:rPr>
            </w:pPr>
            <w:r>
              <w:rPr>
                <w:sz w:val="16"/>
                <w:szCs w:val="16"/>
              </w:rPr>
              <w:t>2026</w:t>
            </w:r>
          </w:p>
        </w:tc>
        <w:tc>
          <w:tcPr>
            <w:tcW w:w="1080" w:type="dxa"/>
          </w:tcPr>
          <w:p w14:paraId="1C9CDC9D" w14:textId="77777777" w:rsidR="00EF1255" w:rsidRPr="00790612" w:rsidRDefault="00EF1255" w:rsidP="00E538AD">
            <w:pPr>
              <w:jc w:val="center"/>
              <w:rPr>
                <w:sz w:val="16"/>
                <w:szCs w:val="16"/>
              </w:rPr>
            </w:pPr>
            <w:r w:rsidRPr="00790612">
              <w:rPr>
                <w:sz w:val="16"/>
                <w:szCs w:val="16"/>
              </w:rPr>
              <w:t>Projected/</w:t>
            </w:r>
          </w:p>
          <w:p w14:paraId="48C83473" w14:textId="77777777" w:rsidR="00EF1255" w:rsidRPr="00790612" w:rsidRDefault="00EF1255" w:rsidP="00E538AD">
            <w:pPr>
              <w:jc w:val="center"/>
              <w:rPr>
                <w:sz w:val="16"/>
                <w:szCs w:val="16"/>
              </w:rPr>
            </w:pPr>
            <w:r w:rsidRPr="00790612">
              <w:rPr>
                <w:sz w:val="16"/>
                <w:szCs w:val="16"/>
              </w:rPr>
              <w:t>pro-forma</w:t>
            </w:r>
          </w:p>
          <w:p w14:paraId="4390E935" w14:textId="77777777" w:rsidR="00EF1255" w:rsidRPr="00790612" w:rsidRDefault="00EF1255" w:rsidP="00E538AD">
            <w:pPr>
              <w:jc w:val="center"/>
              <w:rPr>
                <w:sz w:val="16"/>
                <w:szCs w:val="16"/>
              </w:rPr>
            </w:pPr>
            <w:r w:rsidRPr="00790612">
              <w:rPr>
                <w:sz w:val="16"/>
                <w:szCs w:val="16"/>
              </w:rPr>
              <w:t>with second CT scanner</w:t>
            </w:r>
          </w:p>
          <w:p w14:paraId="294F7065" w14:textId="23E6B685" w:rsidR="00EF1255" w:rsidRPr="00790612" w:rsidRDefault="00EF1255" w:rsidP="00E538AD">
            <w:pPr>
              <w:jc w:val="center"/>
              <w:rPr>
                <w:sz w:val="16"/>
                <w:szCs w:val="16"/>
              </w:rPr>
            </w:pPr>
            <w:r>
              <w:rPr>
                <w:sz w:val="16"/>
                <w:szCs w:val="16"/>
              </w:rPr>
              <w:t>2027</w:t>
            </w:r>
          </w:p>
        </w:tc>
        <w:tc>
          <w:tcPr>
            <w:tcW w:w="1080" w:type="dxa"/>
          </w:tcPr>
          <w:p w14:paraId="45466CE1" w14:textId="77777777" w:rsidR="00EF1255" w:rsidRPr="00790612" w:rsidRDefault="00EF1255" w:rsidP="00E538AD">
            <w:pPr>
              <w:jc w:val="center"/>
              <w:rPr>
                <w:sz w:val="16"/>
                <w:szCs w:val="16"/>
              </w:rPr>
            </w:pPr>
            <w:r w:rsidRPr="00790612">
              <w:rPr>
                <w:sz w:val="16"/>
                <w:szCs w:val="16"/>
              </w:rPr>
              <w:t>Projected/</w:t>
            </w:r>
          </w:p>
          <w:p w14:paraId="39CBD7C5" w14:textId="77777777" w:rsidR="00EF1255" w:rsidRPr="00790612" w:rsidRDefault="00EF1255" w:rsidP="00E538AD">
            <w:pPr>
              <w:jc w:val="center"/>
              <w:rPr>
                <w:sz w:val="16"/>
                <w:szCs w:val="16"/>
              </w:rPr>
            </w:pPr>
            <w:r w:rsidRPr="00790612">
              <w:rPr>
                <w:sz w:val="16"/>
                <w:szCs w:val="16"/>
              </w:rPr>
              <w:t>pro-forma</w:t>
            </w:r>
          </w:p>
          <w:p w14:paraId="5C2166D9" w14:textId="77777777" w:rsidR="00EF1255" w:rsidRPr="00790612" w:rsidRDefault="00EF1255" w:rsidP="00E538AD">
            <w:pPr>
              <w:jc w:val="center"/>
              <w:rPr>
                <w:sz w:val="16"/>
                <w:szCs w:val="16"/>
              </w:rPr>
            </w:pPr>
            <w:r w:rsidRPr="00790612">
              <w:rPr>
                <w:sz w:val="16"/>
                <w:szCs w:val="16"/>
              </w:rPr>
              <w:t>with second CT scanner</w:t>
            </w:r>
          </w:p>
          <w:p w14:paraId="08737B36" w14:textId="58E1CABE" w:rsidR="00EF1255" w:rsidRDefault="00EF1255" w:rsidP="00E538AD">
            <w:pPr>
              <w:jc w:val="center"/>
              <w:rPr>
                <w:sz w:val="16"/>
                <w:szCs w:val="16"/>
              </w:rPr>
            </w:pPr>
            <w:r>
              <w:rPr>
                <w:sz w:val="16"/>
                <w:szCs w:val="16"/>
              </w:rPr>
              <w:t>2028</w:t>
            </w:r>
          </w:p>
        </w:tc>
      </w:tr>
      <w:bookmarkEnd w:id="5"/>
      <w:tr w:rsidR="00EF1255" w:rsidRPr="00790612" w14:paraId="484F74ED" w14:textId="77777777" w:rsidTr="00F627AA">
        <w:trPr>
          <w:cantSplit/>
        </w:trPr>
        <w:tc>
          <w:tcPr>
            <w:tcW w:w="2430" w:type="dxa"/>
          </w:tcPr>
          <w:p w14:paraId="42692A1A" w14:textId="5A74D428" w:rsidR="00EF1255" w:rsidRPr="0013022D" w:rsidRDefault="0013022D" w:rsidP="00D471DF">
            <w:pPr>
              <w:ind w:hanging="114"/>
              <w:jc w:val="left"/>
              <w:rPr>
                <w:bCs/>
                <w:sz w:val="16"/>
                <w:szCs w:val="16"/>
              </w:rPr>
            </w:pPr>
            <w:r w:rsidRPr="0013022D">
              <w:rPr>
                <w:bCs/>
                <w:sz w:val="16"/>
                <w:szCs w:val="16"/>
              </w:rPr>
              <w:t xml:space="preserve">   </w:t>
            </w:r>
            <w:r w:rsidR="00EF1255" w:rsidRPr="0013022D">
              <w:rPr>
                <w:bCs/>
                <w:sz w:val="16"/>
                <w:szCs w:val="16"/>
              </w:rPr>
              <w:t xml:space="preserve">Volume - </w:t>
            </w:r>
            <w:r>
              <w:rPr>
                <w:bCs/>
                <w:sz w:val="16"/>
                <w:szCs w:val="16"/>
              </w:rPr>
              <w:t>T</w:t>
            </w:r>
            <w:r w:rsidR="00EF1255" w:rsidRPr="0013022D">
              <w:rPr>
                <w:bCs/>
                <w:sz w:val="16"/>
                <w:szCs w:val="16"/>
              </w:rPr>
              <w:t>otal scans</w:t>
            </w:r>
          </w:p>
        </w:tc>
        <w:tc>
          <w:tcPr>
            <w:tcW w:w="1027" w:type="dxa"/>
          </w:tcPr>
          <w:p w14:paraId="081E8199" w14:textId="77777777" w:rsidR="00EF1255" w:rsidRPr="00790612" w:rsidRDefault="00EF1255" w:rsidP="003F06BE">
            <w:pPr>
              <w:tabs>
                <w:tab w:val="decimal" w:pos="695"/>
              </w:tabs>
              <w:ind w:right="-16"/>
              <w:jc w:val="left"/>
              <w:rPr>
                <w:sz w:val="16"/>
                <w:szCs w:val="16"/>
              </w:rPr>
            </w:pPr>
            <w:r>
              <w:rPr>
                <w:sz w:val="16"/>
                <w:szCs w:val="16"/>
              </w:rPr>
              <w:t>4,017</w:t>
            </w:r>
          </w:p>
        </w:tc>
        <w:tc>
          <w:tcPr>
            <w:tcW w:w="1043" w:type="dxa"/>
          </w:tcPr>
          <w:p w14:paraId="6292F417" w14:textId="2CC8FD71" w:rsidR="00EF1255" w:rsidRPr="00790612" w:rsidRDefault="00A94E32" w:rsidP="00075C51">
            <w:pPr>
              <w:tabs>
                <w:tab w:val="decimal" w:pos="748"/>
              </w:tabs>
              <w:jc w:val="left"/>
              <w:rPr>
                <w:sz w:val="16"/>
                <w:szCs w:val="16"/>
              </w:rPr>
            </w:pPr>
            <w:r>
              <w:rPr>
                <w:sz w:val="16"/>
                <w:szCs w:val="16"/>
              </w:rPr>
              <w:t xml:space="preserve">    </w:t>
            </w:r>
            <w:r w:rsidR="00EF1255">
              <w:rPr>
                <w:sz w:val="16"/>
                <w:szCs w:val="16"/>
              </w:rPr>
              <w:t>4,400</w:t>
            </w:r>
          </w:p>
        </w:tc>
        <w:tc>
          <w:tcPr>
            <w:tcW w:w="1080" w:type="dxa"/>
          </w:tcPr>
          <w:p w14:paraId="4B183C79" w14:textId="77777777" w:rsidR="00EF1255" w:rsidRPr="00790612" w:rsidRDefault="00EF1255" w:rsidP="00075C51">
            <w:pPr>
              <w:tabs>
                <w:tab w:val="decimal" w:pos="838"/>
              </w:tabs>
              <w:jc w:val="left"/>
              <w:rPr>
                <w:sz w:val="16"/>
                <w:szCs w:val="16"/>
              </w:rPr>
            </w:pPr>
            <w:r>
              <w:rPr>
                <w:sz w:val="16"/>
                <w:szCs w:val="16"/>
              </w:rPr>
              <w:t>4,700</w:t>
            </w:r>
          </w:p>
        </w:tc>
        <w:tc>
          <w:tcPr>
            <w:tcW w:w="1080" w:type="dxa"/>
          </w:tcPr>
          <w:p w14:paraId="2E2121DA" w14:textId="77777777" w:rsidR="00EF1255" w:rsidRPr="00790612" w:rsidRDefault="00EF1255" w:rsidP="00075C51">
            <w:pPr>
              <w:tabs>
                <w:tab w:val="decimal" w:pos="787"/>
              </w:tabs>
              <w:jc w:val="left"/>
              <w:rPr>
                <w:sz w:val="16"/>
                <w:szCs w:val="16"/>
              </w:rPr>
            </w:pPr>
            <w:r>
              <w:rPr>
                <w:sz w:val="16"/>
                <w:szCs w:val="16"/>
              </w:rPr>
              <w:t>4,700</w:t>
            </w:r>
          </w:p>
        </w:tc>
        <w:tc>
          <w:tcPr>
            <w:tcW w:w="1080" w:type="dxa"/>
          </w:tcPr>
          <w:p w14:paraId="0465969B" w14:textId="7F909B86" w:rsidR="00EF1255" w:rsidRPr="00790612" w:rsidRDefault="003F06BE" w:rsidP="003F06BE">
            <w:pPr>
              <w:tabs>
                <w:tab w:val="decimal" w:pos="779"/>
              </w:tabs>
              <w:ind w:left="-211" w:firstLine="180"/>
              <w:jc w:val="left"/>
              <w:rPr>
                <w:sz w:val="16"/>
                <w:szCs w:val="16"/>
              </w:rPr>
            </w:pPr>
            <w:r>
              <w:rPr>
                <w:sz w:val="16"/>
                <w:szCs w:val="16"/>
              </w:rPr>
              <w:t xml:space="preserve"> 4</w:t>
            </w:r>
            <w:r w:rsidR="00EF1255">
              <w:rPr>
                <w:sz w:val="16"/>
                <w:szCs w:val="16"/>
              </w:rPr>
              <w:t>,700</w:t>
            </w:r>
          </w:p>
        </w:tc>
      </w:tr>
      <w:tr w:rsidR="00EF1255" w:rsidRPr="00790612" w14:paraId="5ABB5F08" w14:textId="77777777" w:rsidTr="00F627AA">
        <w:trPr>
          <w:cantSplit/>
          <w:trHeight w:val="135"/>
        </w:trPr>
        <w:tc>
          <w:tcPr>
            <w:tcW w:w="2430" w:type="dxa"/>
          </w:tcPr>
          <w:p w14:paraId="673C0FD5" w14:textId="3CE70318" w:rsidR="00EF1255" w:rsidRPr="0013022D" w:rsidRDefault="0013022D" w:rsidP="00E538AD">
            <w:pPr>
              <w:rPr>
                <w:bCs/>
                <w:sz w:val="16"/>
                <w:szCs w:val="16"/>
              </w:rPr>
            </w:pPr>
            <w:r w:rsidRPr="0013022D">
              <w:rPr>
                <w:bCs/>
                <w:sz w:val="16"/>
                <w:szCs w:val="16"/>
              </w:rPr>
              <w:t xml:space="preserve">Revenues - </w:t>
            </w:r>
            <w:r w:rsidR="0085493F">
              <w:rPr>
                <w:bCs/>
                <w:sz w:val="16"/>
                <w:szCs w:val="16"/>
              </w:rPr>
              <w:t>Net</w:t>
            </w:r>
            <w:r w:rsidR="00EF1255" w:rsidRPr="0013022D">
              <w:rPr>
                <w:bCs/>
                <w:sz w:val="16"/>
                <w:szCs w:val="16"/>
              </w:rPr>
              <w:t xml:space="preserve"> </w:t>
            </w:r>
            <w:r w:rsidR="00262193">
              <w:rPr>
                <w:bCs/>
                <w:sz w:val="16"/>
                <w:szCs w:val="16"/>
              </w:rPr>
              <w:t>revenues</w:t>
            </w:r>
          </w:p>
        </w:tc>
        <w:tc>
          <w:tcPr>
            <w:tcW w:w="1027" w:type="dxa"/>
          </w:tcPr>
          <w:p w14:paraId="363BE93B" w14:textId="3B89B52A" w:rsidR="00EF1255" w:rsidRPr="00790612" w:rsidRDefault="00EF1255" w:rsidP="00075C51">
            <w:pPr>
              <w:tabs>
                <w:tab w:val="decimal" w:pos="691"/>
              </w:tabs>
              <w:jc w:val="left"/>
              <w:rPr>
                <w:sz w:val="16"/>
                <w:szCs w:val="16"/>
              </w:rPr>
            </w:pPr>
            <w:r>
              <w:rPr>
                <w:sz w:val="16"/>
                <w:szCs w:val="16"/>
              </w:rPr>
              <w:t>$1,002,834</w:t>
            </w:r>
          </w:p>
        </w:tc>
        <w:tc>
          <w:tcPr>
            <w:tcW w:w="1043" w:type="dxa"/>
          </w:tcPr>
          <w:p w14:paraId="5161AC32" w14:textId="389B60D7" w:rsidR="00EF1255" w:rsidRPr="00790612" w:rsidRDefault="00CE0AE5" w:rsidP="00CE0AE5">
            <w:pPr>
              <w:tabs>
                <w:tab w:val="decimal" w:pos="690"/>
              </w:tabs>
              <w:jc w:val="left"/>
              <w:rPr>
                <w:sz w:val="16"/>
                <w:szCs w:val="16"/>
              </w:rPr>
            </w:pPr>
            <w:r>
              <w:rPr>
                <w:sz w:val="16"/>
                <w:szCs w:val="16"/>
              </w:rPr>
              <w:t xml:space="preserve">$ </w:t>
            </w:r>
            <w:r w:rsidR="00EF1255">
              <w:rPr>
                <w:sz w:val="16"/>
                <w:szCs w:val="16"/>
              </w:rPr>
              <w:t>1,144,347</w:t>
            </w:r>
          </w:p>
        </w:tc>
        <w:tc>
          <w:tcPr>
            <w:tcW w:w="1080" w:type="dxa"/>
          </w:tcPr>
          <w:p w14:paraId="4D88CC63" w14:textId="46D6FDEB" w:rsidR="00EF1255" w:rsidRPr="00790612" w:rsidRDefault="00CE0AE5" w:rsidP="004D7317">
            <w:pPr>
              <w:tabs>
                <w:tab w:val="decimal" w:pos="688"/>
              </w:tabs>
              <w:ind w:hanging="30"/>
              <w:jc w:val="left"/>
              <w:rPr>
                <w:sz w:val="16"/>
                <w:szCs w:val="16"/>
              </w:rPr>
            </w:pPr>
            <w:r>
              <w:rPr>
                <w:sz w:val="16"/>
                <w:szCs w:val="16"/>
              </w:rPr>
              <w:t xml:space="preserve"> $ </w:t>
            </w:r>
            <w:r w:rsidR="00DC7D61">
              <w:rPr>
                <w:sz w:val="16"/>
                <w:szCs w:val="16"/>
              </w:rPr>
              <w:t xml:space="preserve"> </w:t>
            </w:r>
            <w:r w:rsidR="004D7317">
              <w:rPr>
                <w:sz w:val="16"/>
                <w:szCs w:val="16"/>
              </w:rPr>
              <w:t xml:space="preserve"> 1</w:t>
            </w:r>
            <w:r w:rsidR="00EF1255">
              <w:rPr>
                <w:sz w:val="16"/>
                <w:szCs w:val="16"/>
              </w:rPr>
              <w:t>,246,073</w:t>
            </w:r>
          </w:p>
        </w:tc>
        <w:tc>
          <w:tcPr>
            <w:tcW w:w="1080" w:type="dxa"/>
          </w:tcPr>
          <w:p w14:paraId="232A1028" w14:textId="0BAA3C76" w:rsidR="00EF1255" w:rsidRPr="00790612" w:rsidRDefault="00DC7D61" w:rsidP="00E538AD">
            <w:pPr>
              <w:tabs>
                <w:tab w:val="decimal" w:pos="688"/>
              </w:tabs>
              <w:rPr>
                <w:sz w:val="16"/>
                <w:szCs w:val="16"/>
              </w:rPr>
            </w:pPr>
            <w:r>
              <w:rPr>
                <w:sz w:val="16"/>
                <w:szCs w:val="16"/>
              </w:rPr>
              <w:t xml:space="preserve">$ </w:t>
            </w:r>
            <w:r w:rsidR="00EF1255">
              <w:rPr>
                <w:sz w:val="16"/>
                <w:szCs w:val="16"/>
              </w:rPr>
              <w:t>1,270,995</w:t>
            </w:r>
          </w:p>
        </w:tc>
        <w:tc>
          <w:tcPr>
            <w:tcW w:w="1080" w:type="dxa"/>
          </w:tcPr>
          <w:p w14:paraId="541F959C" w14:textId="2FB4BD25" w:rsidR="00EF1255" w:rsidRPr="00790612" w:rsidRDefault="00DC7D61" w:rsidP="00E538AD">
            <w:pPr>
              <w:tabs>
                <w:tab w:val="decimal" w:pos="688"/>
              </w:tabs>
              <w:rPr>
                <w:sz w:val="16"/>
                <w:szCs w:val="16"/>
              </w:rPr>
            </w:pPr>
            <w:r>
              <w:rPr>
                <w:sz w:val="16"/>
                <w:szCs w:val="16"/>
              </w:rPr>
              <w:t xml:space="preserve">$ </w:t>
            </w:r>
            <w:r w:rsidR="00EF1255">
              <w:rPr>
                <w:sz w:val="16"/>
                <w:szCs w:val="16"/>
              </w:rPr>
              <w:t>1,296,414</w:t>
            </w:r>
          </w:p>
        </w:tc>
      </w:tr>
      <w:tr w:rsidR="00EF1255" w:rsidRPr="00790612" w14:paraId="1652F76C" w14:textId="77777777" w:rsidTr="00F627AA">
        <w:trPr>
          <w:cantSplit/>
        </w:trPr>
        <w:tc>
          <w:tcPr>
            <w:tcW w:w="2430" w:type="dxa"/>
          </w:tcPr>
          <w:p w14:paraId="61399C2F" w14:textId="149EC55A" w:rsidR="00EF1255" w:rsidRPr="0013022D" w:rsidRDefault="0013022D" w:rsidP="00E538AD">
            <w:pPr>
              <w:rPr>
                <w:bCs/>
                <w:sz w:val="16"/>
                <w:szCs w:val="16"/>
              </w:rPr>
            </w:pPr>
            <w:r w:rsidRPr="0013022D">
              <w:rPr>
                <w:bCs/>
                <w:sz w:val="16"/>
                <w:szCs w:val="16"/>
              </w:rPr>
              <w:t xml:space="preserve">Revenues - </w:t>
            </w:r>
            <w:r w:rsidR="0085493F">
              <w:rPr>
                <w:bCs/>
                <w:sz w:val="16"/>
                <w:szCs w:val="16"/>
              </w:rPr>
              <w:t>Net</w:t>
            </w:r>
            <w:r w:rsidR="00EF1255" w:rsidRPr="0013022D">
              <w:rPr>
                <w:bCs/>
                <w:sz w:val="16"/>
                <w:szCs w:val="16"/>
              </w:rPr>
              <w:t xml:space="preserve"> </w:t>
            </w:r>
            <w:r w:rsidR="00262193">
              <w:rPr>
                <w:bCs/>
                <w:sz w:val="16"/>
                <w:szCs w:val="16"/>
              </w:rPr>
              <w:t>revenues</w:t>
            </w:r>
            <w:r w:rsidR="00EF1255" w:rsidRPr="0013022D">
              <w:rPr>
                <w:bCs/>
                <w:sz w:val="16"/>
                <w:szCs w:val="16"/>
              </w:rPr>
              <w:t xml:space="preserve"> per scan</w:t>
            </w:r>
          </w:p>
        </w:tc>
        <w:tc>
          <w:tcPr>
            <w:tcW w:w="1027" w:type="dxa"/>
          </w:tcPr>
          <w:p w14:paraId="275016B1" w14:textId="2CF7EFC4" w:rsidR="00EF1255" w:rsidRPr="00790612" w:rsidRDefault="00EF1255" w:rsidP="00075C51">
            <w:pPr>
              <w:tabs>
                <w:tab w:val="decimal" w:pos="691"/>
              </w:tabs>
              <w:ind w:left="-25"/>
              <w:jc w:val="left"/>
              <w:rPr>
                <w:sz w:val="16"/>
                <w:szCs w:val="16"/>
              </w:rPr>
            </w:pPr>
            <w:r>
              <w:rPr>
                <w:sz w:val="16"/>
                <w:szCs w:val="16"/>
              </w:rPr>
              <w:t xml:space="preserve">$   </w:t>
            </w:r>
            <w:r w:rsidR="006A6B89">
              <w:rPr>
                <w:sz w:val="16"/>
                <w:szCs w:val="16"/>
              </w:rPr>
              <w:t xml:space="preserve">   </w:t>
            </w:r>
            <w:r w:rsidR="00DB0468">
              <w:rPr>
                <w:sz w:val="16"/>
                <w:szCs w:val="16"/>
              </w:rPr>
              <w:t xml:space="preserve"> </w:t>
            </w:r>
            <w:r>
              <w:rPr>
                <w:sz w:val="16"/>
                <w:szCs w:val="16"/>
              </w:rPr>
              <w:t xml:space="preserve"> </w:t>
            </w:r>
            <w:r w:rsidR="00075C51">
              <w:rPr>
                <w:sz w:val="16"/>
                <w:szCs w:val="16"/>
              </w:rPr>
              <w:t xml:space="preserve"> </w:t>
            </w:r>
            <w:r w:rsidRPr="00790612">
              <w:rPr>
                <w:sz w:val="16"/>
                <w:szCs w:val="16"/>
              </w:rPr>
              <w:t>2</w:t>
            </w:r>
            <w:r>
              <w:rPr>
                <w:sz w:val="16"/>
                <w:szCs w:val="16"/>
              </w:rPr>
              <w:t>50</w:t>
            </w:r>
          </w:p>
        </w:tc>
        <w:tc>
          <w:tcPr>
            <w:tcW w:w="1043" w:type="dxa"/>
          </w:tcPr>
          <w:p w14:paraId="34D709C2" w14:textId="5B3FB5FD" w:rsidR="00EF1255" w:rsidRPr="00790612" w:rsidRDefault="00CE0AE5" w:rsidP="00DC7D61">
            <w:pPr>
              <w:tabs>
                <w:tab w:val="decimal" w:pos="750"/>
              </w:tabs>
              <w:ind w:left="-120" w:firstLine="90"/>
              <w:rPr>
                <w:sz w:val="16"/>
                <w:szCs w:val="16"/>
              </w:rPr>
            </w:pPr>
            <w:r>
              <w:rPr>
                <w:sz w:val="16"/>
                <w:szCs w:val="16"/>
              </w:rPr>
              <w:t xml:space="preserve"> $         </w:t>
            </w:r>
            <w:r w:rsidR="00DC7D61">
              <w:rPr>
                <w:sz w:val="16"/>
                <w:szCs w:val="16"/>
              </w:rPr>
              <w:t xml:space="preserve"> </w:t>
            </w:r>
            <w:r>
              <w:rPr>
                <w:sz w:val="16"/>
                <w:szCs w:val="16"/>
              </w:rPr>
              <w:t xml:space="preserve"> </w:t>
            </w:r>
            <w:r w:rsidR="00EF1255">
              <w:rPr>
                <w:sz w:val="16"/>
                <w:szCs w:val="16"/>
              </w:rPr>
              <w:t>260</w:t>
            </w:r>
          </w:p>
        </w:tc>
        <w:tc>
          <w:tcPr>
            <w:tcW w:w="1080" w:type="dxa"/>
          </w:tcPr>
          <w:p w14:paraId="24392BBE" w14:textId="4F9B9EE4" w:rsidR="00EF1255" w:rsidRPr="00790612" w:rsidRDefault="00CE0AE5" w:rsidP="00E538AD">
            <w:pPr>
              <w:tabs>
                <w:tab w:val="decimal" w:pos="688"/>
              </w:tabs>
              <w:rPr>
                <w:sz w:val="16"/>
                <w:szCs w:val="16"/>
              </w:rPr>
            </w:pPr>
            <w:r>
              <w:rPr>
                <w:sz w:val="16"/>
                <w:szCs w:val="16"/>
              </w:rPr>
              <w:t xml:space="preserve">$  </w:t>
            </w:r>
            <w:r w:rsidR="00DC7D61">
              <w:rPr>
                <w:sz w:val="16"/>
                <w:szCs w:val="16"/>
              </w:rPr>
              <w:t xml:space="preserve">  </w:t>
            </w:r>
            <w:r>
              <w:rPr>
                <w:sz w:val="16"/>
                <w:szCs w:val="16"/>
              </w:rPr>
              <w:t xml:space="preserve">   </w:t>
            </w:r>
            <w:r w:rsidR="004D7317">
              <w:rPr>
                <w:sz w:val="16"/>
                <w:szCs w:val="16"/>
              </w:rPr>
              <w:t xml:space="preserve"> </w:t>
            </w:r>
            <w:r>
              <w:rPr>
                <w:sz w:val="16"/>
                <w:szCs w:val="16"/>
              </w:rPr>
              <w:t xml:space="preserve">  </w:t>
            </w:r>
            <w:r w:rsidR="00DC7D61">
              <w:rPr>
                <w:sz w:val="16"/>
                <w:szCs w:val="16"/>
              </w:rPr>
              <w:t xml:space="preserve"> </w:t>
            </w:r>
            <w:r>
              <w:rPr>
                <w:sz w:val="16"/>
                <w:szCs w:val="16"/>
              </w:rPr>
              <w:t xml:space="preserve">  </w:t>
            </w:r>
            <w:r w:rsidR="00EF1255">
              <w:rPr>
                <w:sz w:val="16"/>
                <w:szCs w:val="16"/>
              </w:rPr>
              <w:t>265</w:t>
            </w:r>
          </w:p>
        </w:tc>
        <w:tc>
          <w:tcPr>
            <w:tcW w:w="1080" w:type="dxa"/>
          </w:tcPr>
          <w:p w14:paraId="539198E4" w14:textId="6BA3AC43" w:rsidR="00EF1255" w:rsidRPr="00790612" w:rsidRDefault="00DC7D61" w:rsidP="00E538AD">
            <w:pPr>
              <w:tabs>
                <w:tab w:val="decimal" w:pos="688"/>
              </w:tabs>
              <w:rPr>
                <w:sz w:val="16"/>
                <w:szCs w:val="16"/>
              </w:rPr>
            </w:pPr>
            <w:r>
              <w:rPr>
                <w:sz w:val="16"/>
                <w:szCs w:val="16"/>
              </w:rPr>
              <w:t xml:space="preserve">$           </w:t>
            </w:r>
            <w:r w:rsidR="00EF1255">
              <w:rPr>
                <w:sz w:val="16"/>
                <w:szCs w:val="16"/>
              </w:rPr>
              <w:t>270</w:t>
            </w:r>
          </w:p>
        </w:tc>
        <w:tc>
          <w:tcPr>
            <w:tcW w:w="1080" w:type="dxa"/>
          </w:tcPr>
          <w:p w14:paraId="7974F11E" w14:textId="5DC4C162" w:rsidR="00EF1255" w:rsidRPr="00BD1B91" w:rsidRDefault="00DC7D61" w:rsidP="00E538AD">
            <w:pPr>
              <w:tabs>
                <w:tab w:val="decimal" w:pos="688"/>
              </w:tabs>
              <w:rPr>
                <w:sz w:val="16"/>
                <w:szCs w:val="16"/>
              </w:rPr>
            </w:pPr>
            <w:r>
              <w:rPr>
                <w:sz w:val="16"/>
                <w:szCs w:val="16"/>
              </w:rPr>
              <w:t xml:space="preserve">$           </w:t>
            </w:r>
            <w:r w:rsidR="00EF1255" w:rsidRPr="00BD1B91">
              <w:rPr>
                <w:sz w:val="16"/>
                <w:szCs w:val="16"/>
              </w:rPr>
              <w:t>276</w:t>
            </w:r>
          </w:p>
        </w:tc>
      </w:tr>
    </w:tbl>
    <w:p w14:paraId="07EAB6E4" w14:textId="77777777" w:rsidR="00683048" w:rsidRPr="009D69E1" w:rsidRDefault="00683048" w:rsidP="00683048">
      <w:pPr>
        <w:widowControl w:val="0"/>
        <w:spacing w:after="0" w:line="240" w:lineRule="auto"/>
        <w:ind w:left="360"/>
        <w:jc w:val="both"/>
        <w:rPr>
          <w:rFonts w:ascii="Times New Roman" w:hAnsi="Times New Roman" w:cs="Times New Roman"/>
        </w:rPr>
      </w:pPr>
    </w:p>
    <w:p w14:paraId="5276F556" w14:textId="77777777" w:rsidR="00683048" w:rsidRDefault="00683048" w:rsidP="00683048">
      <w:pPr>
        <w:spacing w:after="0" w:line="240" w:lineRule="auto"/>
        <w:ind w:left="360"/>
        <w:jc w:val="both"/>
        <w:rPr>
          <w:rFonts w:ascii="Times New Roman" w:hAnsi="Times New Roman" w:cs="Times New Roman"/>
        </w:rPr>
      </w:pPr>
    </w:p>
    <w:p w14:paraId="38AEBA09" w14:textId="77777777" w:rsidR="00683048" w:rsidRDefault="00683048" w:rsidP="00683048">
      <w:pPr>
        <w:spacing w:after="0" w:line="240" w:lineRule="auto"/>
        <w:ind w:left="360"/>
        <w:jc w:val="both"/>
        <w:rPr>
          <w:rFonts w:ascii="Times New Roman" w:hAnsi="Times New Roman" w:cs="Times New Roman"/>
        </w:rPr>
      </w:pPr>
    </w:p>
    <w:p w14:paraId="2223C449" w14:textId="77777777" w:rsidR="00683048" w:rsidRDefault="00683048" w:rsidP="00683048">
      <w:pPr>
        <w:spacing w:after="0" w:line="240" w:lineRule="auto"/>
        <w:ind w:left="360"/>
        <w:jc w:val="both"/>
        <w:rPr>
          <w:rFonts w:ascii="Times New Roman" w:hAnsi="Times New Roman" w:cs="Times New Roman"/>
        </w:rPr>
      </w:pPr>
    </w:p>
    <w:p w14:paraId="512DF644" w14:textId="77777777" w:rsidR="00683048" w:rsidRDefault="00683048" w:rsidP="00683048">
      <w:pPr>
        <w:spacing w:after="0" w:line="240" w:lineRule="auto"/>
        <w:ind w:left="360"/>
        <w:jc w:val="both"/>
        <w:rPr>
          <w:rFonts w:ascii="Times New Roman" w:hAnsi="Times New Roman" w:cs="Times New Roman"/>
        </w:rPr>
      </w:pPr>
    </w:p>
    <w:p w14:paraId="6B4D6F0F" w14:textId="77777777" w:rsidR="00683048" w:rsidRDefault="00683048" w:rsidP="00683048">
      <w:pPr>
        <w:spacing w:after="0" w:line="240" w:lineRule="auto"/>
        <w:ind w:left="360"/>
        <w:jc w:val="both"/>
        <w:rPr>
          <w:rFonts w:ascii="Times New Roman" w:hAnsi="Times New Roman" w:cs="Times New Roman"/>
        </w:rPr>
      </w:pPr>
    </w:p>
    <w:p w14:paraId="14AA82EB" w14:textId="77777777" w:rsidR="00683048" w:rsidRDefault="00683048" w:rsidP="00683048">
      <w:pPr>
        <w:spacing w:after="0" w:line="240" w:lineRule="auto"/>
        <w:ind w:left="360"/>
        <w:jc w:val="both"/>
        <w:rPr>
          <w:rFonts w:ascii="Times New Roman" w:hAnsi="Times New Roman" w:cs="Times New Roman"/>
        </w:rPr>
      </w:pPr>
    </w:p>
    <w:p w14:paraId="124869FD" w14:textId="234D9546" w:rsidR="00683048" w:rsidRDefault="00683048" w:rsidP="00683048">
      <w:pPr>
        <w:spacing w:after="0" w:line="240" w:lineRule="auto"/>
        <w:ind w:left="360"/>
        <w:jc w:val="both"/>
        <w:rPr>
          <w:rFonts w:ascii="Times New Roman" w:hAnsi="Times New Roman" w:cs="Times New Roman"/>
        </w:rPr>
      </w:pPr>
      <w:r w:rsidRPr="00C27AC5">
        <w:rPr>
          <w:rFonts w:ascii="Times New Roman" w:hAnsi="Times New Roman" w:cs="Times New Roman"/>
        </w:rPr>
        <w:t xml:space="preserve">We analyzed the projected/pro-forma revenue for </w:t>
      </w:r>
      <w:r w:rsidR="00D10092">
        <w:rPr>
          <w:rFonts w:ascii="Times New Roman" w:hAnsi="Times New Roman" w:cs="Times New Roman"/>
        </w:rPr>
        <w:t xml:space="preserve">fiscal </w:t>
      </w:r>
      <w:r w:rsidR="00455BBB" w:rsidRPr="00C27AC5">
        <w:rPr>
          <w:rFonts w:ascii="Times New Roman" w:hAnsi="Times New Roman" w:cs="Times New Roman"/>
        </w:rPr>
        <w:t>years ending September 30, 2024, 2025, 2026, 2027 and 2028</w:t>
      </w:r>
      <w:r w:rsidRPr="00C27AC5">
        <w:rPr>
          <w:rFonts w:ascii="Times New Roman" w:hAnsi="Times New Roman" w:cs="Times New Roman"/>
        </w:rPr>
        <w:t xml:space="preserve"> in relation to the historical results of</w:t>
      </w:r>
      <w:r w:rsidR="00D471DF">
        <w:rPr>
          <w:rFonts w:ascii="Times New Roman" w:hAnsi="Times New Roman" w:cs="Times New Roman"/>
        </w:rPr>
        <w:t xml:space="preserve"> the</w:t>
      </w:r>
      <w:r w:rsidRPr="00C27AC5">
        <w:rPr>
          <w:rFonts w:ascii="Times New Roman" w:hAnsi="Times New Roman" w:cs="Times New Roman"/>
        </w:rPr>
        <w:t xml:space="preserve"> one existing CT scanner at AJH in order to assess the reasonableness of the projected/pro-forma statements.</w:t>
      </w:r>
      <w:r w:rsidR="00D471DF">
        <w:rPr>
          <w:rFonts w:ascii="Times New Roman" w:hAnsi="Times New Roman" w:cs="Times New Roman"/>
        </w:rPr>
        <w:t xml:space="preserve"> </w:t>
      </w:r>
      <w:r w:rsidRPr="00C27AC5">
        <w:rPr>
          <w:rFonts w:ascii="Times New Roman" w:hAnsi="Times New Roman" w:cs="Times New Roman"/>
        </w:rPr>
        <w:t xml:space="preserve"> The revenue projected by Management is reasonable and conservative based primarily upon historical volume of operations and other factors. Based on our analysis, the pro-forma operating revenues are reasonable.</w:t>
      </w:r>
    </w:p>
    <w:p w14:paraId="5DCC6CC4" w14:textId="77777777" w:rsidR="00683048" w:rsidRDefault="00683048" w:rsidP="00683048">
      <w:pPr>
        <w:spacing w:after="0" w:line="240" w:lineRule="auto"/>
        <w:ind w:left="360"/>
        <w:jc w:val="both"/>
        <w:rPr>
          <w:rFonts w:ascii="Times New Roman" w:hAnsi="Times New Roman" w:cs="Times New Roman"/>
          <w:b/>
        </w:rPr>
      </w:pPr>
    </w:p>
    <w:p w14:paraId="29DF9319" w14:textId="38222DEB" w:rsidR="00024AEA" w:rsidRPr="009D69E1" w:rsidRDefault="00024AEA" w:rsidP="007F7FC7">
      <w:pPr>
        <w:spacing w:after="0" w:line="240" w:lineRule="auto"/>
        <w:ind w:left="360"/>
        <w:jc w:val="both"/>
        <w:rPr>
          <w:rFonts w:ascii="Times New Roman" w:hAnsi="Times New Roman" w:cs="Times New Roman"/>
          <w:b/>
        </w:rPr>
      </w:pPr>
      <w:r w:rsidRPr="009D69E1">
        <w:rPr>
          <w:rFonts w:ascii="Times New Roman" w:hAnsi="Times New Roman" w:cs="Times New Roman"/>
          <w:b/>
        </w:rPr>
        <w:t>Expenses</w:t>
      </w:r>
    </w:p>
    <w:p w14:paraId="4B3D988C" w14:textId="4CD1D58D" w:rsidR="00625361" w:rsidRPr="009D69E1" w:rsidRDefault="00024AEA" w:rsidP="00625361">
      <w:pPr>
        <w:widowControl w:val="0"/>
        <w:spacing w:after="0" w:line="240" w:lineRule="auto"/>
        <w:ind w:left="360"/>
        <w:jc w:val="both"/>
        <w:rPr>
          <w:rFonts w:ascii="Times New Roman" w:hAnsi="Times New Roman" w:cs="Times New Roman"/>
        </w:rPr>
      </w:pPr>
      <w:r w:rsidRPr="00A54740">
        <w:rPr>
          <w:rFonts w:ascii="Times New Roman" w:hAnsi="Times New Roman" w:cs="Times New Roman"/>
        </w:rPr>
        <w:t>We analyzed each of the categorized expenses for reasonableness and feasibility as it relate</w:t>
      </w:r>
      <w:r w:rsidR="009343EE" w:rsidRPr="00A54740">
        <w:rPr>
          <w:rFonts w:ascii="Times New Roman" w:hAnsi="Times New Roman" w:cs="Times New Roman"/>
        </w:rPr>
        <w:t>s</w:t>
      </w:r>
      <w:r w:rsidRPr="00A54740">
        <w:rPr>
          <w:rFonts w:ascii="Times New Roman" w:hAnsi="Times New Roman" w:cs="Times New Roman"/>
        </w:rPr>
        <w:t xml:space="preserve"> to the projected </w:t>
      </w:r>
      <w:r w:rsidR="00C27AC5">
        <w:rPr>
          <w:rFonts w:ascii="Times New Roman" w:hAnsi="Times New Roman" w:cs="Times New Roman"/>
        </w:rPr>
        <w:t>expenses</w:t>
      </w:r>
      <w:r w:rsidRPr="00A54740">
        <w:rPr>
          <w:rFonts w:ascii="Times New Roman" w:hAnsi="Times New Roman" w:cs="Times New Roman"/>
        </w:rPr>
        <w:t xml:space="preserve">.  </w:t>
      </w:r>
    </w:p>
    <w:p w14:paraId="034BF8BF" w14:textId="15120B34" w:rsidR="00024AEA" w:rsidRPr="009D69E1" w:rsidRDefault="00024AEA" w:rsidP="007F7FC7">
      <w:pPr>
        <w:spacing w:after="0" w:line="240" w:lineRule="auto"/>
        <w:ind w:left="360"/>
        <w:jc w:val="both"/>
        <w:rPr>
          <w:rFonts w:ascii="Times New Roman" w:hAnsi="Times New Roman" w:cs="Times New Roman"/>
        </w:rPr>
      </w:pPr>
    </w:p>
    <w:p w14:paraId="518D4CC6" w14:textId="2567EBB0" w:rsidR="00755062" w:rsidRDefault="00024AEA" w:rsidP="00BB033B">
      <w:pPr>
        <w:spacing w:after="0" w:line="240" w:lineRule="auto"/>
        <w:ind w:left="360"/>
        <w:jc w:val="both"/>
        <w:rPr>
          <w:rFonts w:ascii="Times New Roman" w:hAnsi="Times New Roman" w:cs="Times New Roman"/>
        </w:rPr>
      </w:pPr>
      <w:r w:rsidRPr="009D69E1">
        <w:rPr>
          <w:rFonts w:ascii="Times New Roman" w:hAnsi="Times New Roman" w:cs="Times New Roman"/>
        </w:rPr>
        <w:t>The table below provides a summary of some of the key information for the historical and projected expenses by year</w:t>
      </w:r>
      <w:r w:rsidR="00207090">
        <w:rPr>
          <w:rFonts w:ascii="Times New Roman" w:hAnsi="Times New Roman" w:cs="Times New Roman"/>
        </w:rPr>
        <w:t xml:space="preserve"> </w:t>
      </w:r>
      <w:r w:rsidR="00C27AC5">
        <w:rPr>
          <w:rFonts w:ascii="Times New Roman" w:hAnsi="Times New Roman" w:cs="Times New Roman"/>
        </w:rPr>
        <w:t xml:space="preserve">(fiscal year September): </w:t>
      </w:r>
      <w:r w:rsidRPr="009D69E1">
        <w:rPr>
          <w:rFonts w:ascii="Times New Roman" w:hAnsi="Times New Roman" w:cs="Times New Roman"/>
        </w:rPr>
        <w:t xml:space="preserve"> </w:t>
      </w:r>
    </w:p>
    <w:p w14:paraId="7884B908" w14:textId="77777777" w:rsidR="002E5332" w:rsidRPr="009D69E1" w:rsidRDefault="002E5332" w:rsidP="00BB033B">
      <w:pPr>
        <w:spacing w:after="0" w:line="240" w:lineRule="auto"/>
        <w:ind w:left="360"/>
        <w:jc w:val="both"/>
        <w:rPr>
          <w:rFonts w:ascii="Times New Roman" w:hAnsi="Times New Roman" w:cs="Times New Roman"/>
        </w:rPr>
      </w:pPr>
    </w:p>
    <w:tbl>
      <w:tblPr>
        <w:tblStyle w:val="TableGrid"/>
        <w:tblW w:w="7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70"/>
        <w:gridCol w:w="990"/>
        <w:gridCol w:w="990"/>
        <w:gridCol w:w="990"/>
        <w:gridCol w:w="990"/>
        <w:gridCol w:w="990"/>
      </w:tblGrid>
      <w:tr w:rsidR="0039342F" w:rsidRPr="009D69E1" w14:paraId="47B7A830" w14:textId="7ED6B3F6" w:rsidTr="00A275F1">
        <w:trPr>
          <w:cantSplit/>
          <w:tblHeader/>
          <w:jc w:val="center"/>
        </w:trPr>
        <w:tc>
          <w:tcPr>
            <w:tcW w:w="2070" w:type="dxa"/>
          </w:tcPr>
          <w:p w14:paraId="656A428D" w14:textId="77777777" w:rsidR="0039342F" w:rsidRPr="00C25567" w:rsidRDefault="0039342F" w:rsidP="009B19F1">
            <w:pPr>
              <w:jc w:val="center"/>
              <w:rPr>
                <w:sz w:val="16"/>
                <w:szCs w:val="16"/>
              </w:rPr>
            </w:pPr>
          </w:p>
          <w:p w14:paraId="69A67CD6" w14:textId="77777777" w:rsidR="009A79F4" w:rsidRPr="00C25567" w:rsidRDefault="009A79F4" w:rsidP="009B19F1">
            <w:pPr>
              <w:jc w:val="center"/>
              <w:rPr>
                <w:sz w:val="16"/>
                <w:szCs w:val="16"/>
              </w:rPr>
            </w:pPr>
          </w:p>
          <w:p w14:paraId="0B346BC8" w14:textId="77777777" w:rsidR="009A79F4" w:rsidRDefault="009A79F4" w:rsidP="009B19F1">
            <w:pPr>
              <w:jc w:val="center"/>
              <w:rPr>
                <w:sz w:val="16"/>
                <w:szCs w:val="16"/>
              </w:rPr>
            </w:pPr>
          </w:p>
          <w:p w14:paraId="48FE9927" w14:textId="77777777" w:rsidR="00C25567" w:rsidRPr="00C25567" w:rsidRDefault="00C25567" w:rsidP="009B19F1">
            <w:pPr>
              <w:jc w:val="center"/>
              <w:rPr>
                <w:sz w:val="16"/>
                <w:szCs w:val="16"/>
              </w:rPr>
            </w:pPr>
          </w:p>
          <w:p w14:paraId="22F0ECA6" w14:textId="77777777" w:rsidR="009A79F4" w:rsidRPr="00C25567" w:rsidRDefault="009A79F4" w:rsidP="009B19F1">
            <w:pPr>
              <w:jc w:val="center"/>
              <w:rPr>
                <w:sz w:val="16"/>
                <w:szCs w:val="16"/>
              </w:rPr>
            </w:pPr>
          </w:p>
          <w:p w14:paraId="34C71E6F" w14:textId="5917AFDE" w:rsidR="009A79F4" w:rsidRPr="00C25567" w:rsidRDefault="009A79F4" w:rsidP="009B19F1">
            <w:pPr>
              <w:jc w:val="center"/>
              <w:rPr>
                <w:sz w:val="16"/>
                <w:szCs w:val="16"/>
              </w:rPr>
            </w:pPr>
            <w:r w:rsidRPr="00C25567">
              <w:rPr>
                <w:sz w:val="16"/>
                <w:szCs w:val="16"/>
              </w:rPr>
              <w:t>Expenses</w:t>
            </w:r>
          </w:p>
        </w:tc>
        <w:tc>
          <w:tcPr>
            <w:tcW w:w="990" w:type="dxa"/>
          </w:tcPr>
          <w:p w14:paraId="0F86640E" w14:textId="77777777" w:rsidR="0039342F" w:rsidRPr="00C25567" w:rsidRDefault="0039342F" w:rsidP="00206930">
            <w:pPr>
              <w:jc w:val="center"/>
              <w:rPr>
                <w:sz w:val="16"/>
                <w:szCs w:val="16"/>
              </w:rPr>
            </w:pPr>
            <w:r w:rsidRPr="00C25567">
              <w:rPr>
                <w:sz w:val="16"/>
                <w:szCs w:val="16"/>
              </w:rPr>
              <w:t>Projected/</w:t>
            </w:r>
          </w:p>
          <w:p w14:paraId="31B93997" w14:textId="77777777" w:rsidR="0039342F" w:rsidRPr="00C25567" w:rsidRDefault="0039342F" w:rsidP="00206930">
            <w:pPr>
              <w:jc w:val="center"/>
              <w:rPr>
                <w:sz w:val="16"/>
                <w:szCs w:val="16"/>
              </w:rPr>
            </w:pPr>
            <w:r w:rsidRPr="00C25567">
              <w:rPr>
                <w:sz w:val="16"/>
                <w:szCs w:val="16"/>
              </w:rPr>
              <w:t>pro-forma</w:t>
            </w:r>
          </w:p>
          <w:p w14:paraId="29E31ACB" w14:textId="77777777" w:rsidR="0039342F" w:rsidRPr="00C25567" w:rsidRDefault="0039342F" w:rsidP="00206930">
            <w:pPr>
              <w:jc w:val="center"/>
              <w:rPr>
                <w:sz w:val="16"/>
                <w:szCs w:val="16"/>
              </w:rPr>
            </w:pPr>
            <w:r w:rsidRPr="00C25567">
              <w:rPr>
                <w:sz w:val="16"/>
                <w:szCs w:val="16"/>
              </w:rPr>
              <w:t>with second CT scanner</w:t>
            </w:r>
          </w:p>
          <w:p w14:paraId="78353032" w14:textId="11454960" w:rsidR="0039342F" w:rsidRPr="00C25567" w:rsidRDefault="0039342F" w:rsidP="009B19F1">
            <w:pPr>
              <w:jc w:val="center"/>
              <w:rPr>
                <w:sz w:val="16"/>
                <w:szCs w:val="16"/>
              </w:rPr>
            </w:pPr>
            <w:r w:rsidRPr="00C25567">
              <w:rPr>
                <w:sz w:val="16"/>
                <w:szCs w:val="16"/>
              </w:rPr>
              <w:t>2024</w:t>
            </w:r>
          </w:p>
        </w:tc>
        <w:tc>
          <w:tcPr>
            <w:tcW w:w="990" w:type="dxa"/>
          </w:tcPr>
          <w:p w14:paraId="547C0223" w14:textId="77777777" w:rsidR="0039342F" w:rsidRPr="00C25567" w:rsidRDefault="0039342F" w:rsidP="00206930">
            <w:pPr>
              <w:jc w:val="center"/>
              <w:rPr>
                <w:sz w:val="16"/>
                <w:szCs w:val="16"/>
              </w:rPr>
            </w:pPr>
            <w:r w:rsidRPr="00C25567">
              <w:rPr>
                <w:sz w:val="16"/>
                <w:szCs w:val="16"/>
              </w:rPr>
              <w:t>Projected/</w:t>
            </w:r>
          </w:p>
          <w:p w14:paraId="346AD182" w14:textId="77777777" w:rsidR="0039342F" w:rsidRPr="00C25567" w:rsidRDefault="0039342F" w:rsidP="00206930">
            <w:pPr>
              <w:jc w:val="center"/>
              <w:rPr>
                <w:sz w:val="16"/>
                <w:szCs w:val="16"/>
              </w:rPr>
            </w:pPr>
            <w:r w:rsidRPr="00C25567">
              <w:rPr>
                <w:sz w:val="16"/>
                <w:szCs w:val="16"/>
              </w:rPr>
              <w:t>pro-forma</w:t>
            </w:r>
          </w:p>
          <w:p w14:paraId="3D733289" w14:textId="072EBF07" w:rsidR="0039342F" w:rsidRPr="00C25567" w:rsidRDefault="0039342F" w:rsidP="00076BCC">
            <w:pPr>
              <w:jc w:val="center"/>
              <w:rPr>
                <w:sz w:val="16"/>
                <w:szCs w:val="16"/>
              </w:rPr>
            </w:pPr>
            <w:r w:rsidRPr="00C25567">
              <w:rPr>
                <w:sz w:val="16"/>
                <w:szCs w:val="16"/>
              </w:rPr>
              <w:t>with second CT scanner</w:t>
            </w:r>
          </w:p>
          <w:p w14:paraId="0766834C" w14:textId="536D8B43" w:rsidR="0039342F" w:rsidRPr="00C25567" w:rsidRDefault="0039342F" w:rsidP="009B19F1">
            <w:pPr>
              <w:jc w:val="center"/>
              <w:rPr>
                <w:sz w:val="16"/>
                <w:szCs w:val="16"/>
              </w:rPr>
            </w:pPr>
            <w:r w:rsidRPr="00C25567">
              <w:rPr>
                <w:sz w:val="16"/>
                <w:szCs w:val="16"/>
              </w:rPr>
              <w:t>2025</w:t>
            </w:r>
          </w:p>
        </w:tc>
        <w:tc>
          <w:tcPr>
            <w:tcW w:w="990" w:type="dxa"/>
          </w:tcPr>
          <w:p w14:paraId="559FE589" w14:textId="77777777" w:rsidR="0039342F" w:rsidRPr="00C25567" w:rsidRDefault="0039342F" w:rsidP="00206930">
            <w:pPr>
              <w:jc w:val="center"/>
              <w:rPr>
                <w:sz w:val="16"/>
                <w:szCs w:val="16"/>
              </w:rPr>
            </w:pPr>
            <w:r w:rsidRPr="00C25567">
              <w:rPr>
                <w:sz w:val="16"/>
                <w:szCs w:val="16"/>
              </w:rPr>
              <w:t>Projected/</w:t>
            </w:r>
          </w:p>
          <w:p w14:paraId="72359AF6" w14:textId="77777777" w:rsidR="0039342F" w:rsidRPr="00C25567" w:rsidRDefault="0039342F" w:rsidP="00206930">
            <w:pPr>
              <w:jc w:val="center"/>
              <w:rPr>
                <w:sz w:val="16"/>
                <w:szCs w:val="16"/>
              </w:rPr>
            </w:pPr>
            <w:r w:rsidRPr="00C25567">
              <w:rPr>
                <w:sz w:val="16"/>
                <w:szCs w:val="16"/>
              </w:rPr>
              <w:t>pro-forma</w:t>
            </w:r>
          </w:p>
          <w:p w14:paraId="6EC315EB" w14:textId="27633035" w:rsidR="0039342F" w:rsidRPr="00C25567" w:rsidRDefault="0039342F" w:rsidP="00076BCC">
            <w:pPr>
              <w:jc w:val="center"/>
              <w:rPr>
                <w:sz w:val="16"/>
                <w:szCs w:val="16"/>
              </w:rPr>
            </w:pPr>
            <w:r w:rsidRPr="00C25567">
              <w:rPr>
                <w:sz w:val="16"/>
                <w:szCs w:val="16"/>
              </w:rPr>
              <w:t>with second CT scanner</w:t>
            </w:r>
          </w:p>
          <w:p w14:paraId="4D2CB8BA" w14:textId="70C444A7" w:rsidR="0039342F" w:rsidRPr="00C25567" w:rsidRDefault="0039342F" w:rsidP="009B19F1">
            <w:pPr>
              <w:jc w:val="center"/>
              <w:rPr>
                <w:sz w:val="16"/>
                <w:szCs w:val="16"/>
              </w:rPr>
            </w:pPr>
            <w:r w:rsidRPr="00C25567">
              <w:rPr>
                <w:sz w:val="16"/>
                <w:szCs w:val="16"/>
              </w:rPr>
              <w:t>2026</w:t>
            </w:r>
          </w:p>
        </w:tc>
        <w:tc>
          <w:tcPr>
            <w:tcW w:w="990" w:type="dxa"/>
          </w:tcPr>
          <w:p w14:paraId="0541BA69" w14:textId="77777777" w:rsidR="0039342F" w:rsidRPr="00C25567" w:rsidRDefault="0039342F" w:rsidP="007A29D3">
            <w:pPr>
              <w:jc w:val="center"/>
              <w:rPr>
                <w:sz w:val="16"/>
                <w:szCs w:val="16"/>
              </w:rPr>
            </w:pPr>
            <w:r w:rsidRPr="00C25567">
              <w:rPr>
                <w:sz w:val="16"/>
                <w:szCs w:val="16"/>
              </w:rPr>
              <w:t>Projected/</w:t>
            </w:r>
          </w:p>
          <w:p w14:paraId="4598FBB3" w14:textId="77777777" w:rsidR="0039342F" w:rsidRPr="00C25567" w:rsidRDefault="0039342F" w:rsidP="007A29D3">
            <w:pPr>
              <w:jc w:val="center"/>
              <w:rPr>
                <w:sz w:val="16"/>
                <w:szCs w:val="16"/>
              </w:rPr>
            </w:pPr>
            <w:r w:rsidRPr="00C25567">
              <w:rPr>
                <w:sz w:val="16"/>
                <w:szCs w:val="16"/>
              </w:rPr>
              <w:t>pro-forma</w:t>
            </w:r>
          </w:p>
          <w:p w14:paraId="18FCECA7" w14:textId="77777777" w:rsidR="0039342F" w:rsidRPr="00C25567" w:rsidRDefault="0039342F" w:rsidP="007A29D3">
            <w:pPr>
              <w:jc w:val="center"/>
              <w:rPr>
                <w:sz w:val="16"/>
                <w:szCs w:val="16"/>
              </w:rPr>
            </w:pPr>
            <w:r w:rsidRPr="00C25567">
              <w:rPr>
                <w:sz w:val="16"/>
                <w:szCs w:val="16"/>
              </w:rPr>
              <w:t>with second CT scanner</w:t>
            </w:r>
          </w:p>
          <w:p w14:paraId="6D43BC63" w14:textId="770F9275" w:rsidR="0039342F" w:rsidRPr="00C25567" w:rsidRDefault="0039342F" w:rsidP="007A29D3">
            <w:pPr>
              <w:jc w:val="center"/>
              <w:rPr>
                <w:sz w:val="16"/>
                <w:szCs w:val="16"/>
              </w:rPr>
            </w:pPr>
            <w:r w:rsidRPr="00C25567">
              <w:rPr>
                <w:sz w:val="16"/>
                <w:szCs w:val="16"/>
              </w:rPr>
              <w:t>2027</w:t>
            </w:r>
          </w:p>
        </w:tc>
        <w:tc>
          <w:tcPr>
            <w:tcW w:w="990" w:type="dxa"/>
          </w:tcPr>
          <w:p w14:paraId="1DE40ED0" w14:textId="77777777" w:rsidR="0039342F" w:rsidRPr="00C25567" w:rsidRDefault="0039342F" w:rsidP="00BB6D6A">
            <w:pPr>
              <w:jc w:val="center"/>
              <w:rPr>
                <w:sz w:val="16"/>
                <w:szCs w:val="16"/>
              </w:rPr>
            </w:pPr>
            <w:r w:rsidRPr="00C25567">
              <w:rPr>
                <w:sz w:val="16"/>
                <w:szCs w:val="16"/>
              </w:rPr>
              <w:t>Projected/</w:t>
            </w:r>
          </w:p>
          <w:p w14:paraId="51190539" w14:textId="77777777" w:rsidR="0039342F" w:rsidRPr="00C25567" w:rsidRDefault="0039342F" w:rsidP="00BB6D6A">
            <w:pPr>
              <w:jc w:val="center"/>
              <w:rPr>
                <w:sz w:val="16"/>
                <w:szCs w:val="16"/>
              </w:rPr>
            </w:pPr>
            <w:r w:rsidRPr="00C25567">
              <w:rPr>
                <w:sz w:val="16"/>
                <w:szCs w:val="16"/>
              </w:rPr>
              <w:t>pro-forma</w:t>
            </w:r>
          </w:p>
          <w:p w14:paraId="47EA365F" w14:textId="77777777" w:rsidR="0039342F" w:rsidRPr="00C25567" w:rsidRDefault="0039342F" w:rsidP="00BB6D6A">
            <w:pPr>
              <w:jc w:val="center"/>
              <w:rPr>
                <w:sz w:val="16"/>
                <w:szCs w:val="16"/>
              </w:rPr>
            </w:pPr>
            <w:r w:rsidRPr="00C25567">
              <w:rPr>
                <w:sz w:val="16"/>
                <w:szCs w:val="16"/>
              </w:rPr>
              <w:t>with second CT scanner</w:t>
            </w:r>
          </w:p>
          <w:p w14:paraId="0DC2EEFD" w14:textId="443EA599" w:rsidR="0039342F" w:rsidRPr="00C25567" w:rsidRDefault="0039342F" w:rsidP="00BB6D6A">
            <w:pPr>
              <w:jc w:val="center"/>
              <w:rPr>
                <w:sz w:val="16"/>
                <w:szCs w:val="16"/>
              </w:rPr>
            </w:pPr>
            <w:r w:rsidRPr="00C25567">
              <w:rPr>
                <w:sz w:val="16"/>
                <w:szCs w:val="16"/>
              </w:rPr>
              <w:t>2028</w:t>
            </w:r>
          </w:p>
        </w:tc>
      </w:tr>
      <w:tr w:rsidR="0039342F" w:rsidRPr="009D69E1" w14:paraId="53FCB932" w14:textId="40E0226B" w:rsidTr="00A275F1">
        <w:trPr>
          <w:cantSplit/>
          <w:jc w:val="center"/>
        </w:trPr>
        <w:tc>
          <w:tcPr>
            <w:tcW w:w="2070" w:type="dxa"/>
          </w:tcPr>
          <w:p w14:paraId="175DB66B" w14:textId="5EDD3CE7" w:rsidR="0039342F" w:rsidRPr="009D69E1" w:rsidRDefault="0039342F" w:rsidP="00F07EB0">
            <w:pPr>
              <w:rPr>
                <w:sz w:val="16"/>
                <w:szCs w:val="16"/>
              </w:rPr>
            </w:pPr>
            <w:r>
              <w:rPr>
                <w:sz w:val="16"/>
                <w:szCs w:val="16"/>
              </w:rPr>
              <w:t>Salaries and wages (1)</w:t>
            </w:r>
          </w:p>
        </w:tc>
        <w:tc>
          <w:tcPr>
            <w:tcW w:w="990" w:type="dxa"/>
          </w:tcPr>
          <w:p w14:paraId="48B0AD41" w14:textId="6C7A94FE" w:rsidR="0039342F" w:rsidRPr="001F0C5D" w:rsidRDefault="0039342F" w:rsidP="00F07EB0">
            <w:pPr>
              <w:tabs>
                <w:tab w:val="decimal" w:pos="731"/>
              </w:tabs>
              <w:rPr>
                <w:sz w:val="16"/>
                <w:szCs w:val="16"/>
              </w:rPr>
            </w:pPr>
            <w:r>
              <w:rPr>
                <w:sz w:val="16"/>
                <w:szCs w:val="16"/>
              </w:rPr>
              <w:t>$   193,565</w:t>
            </w:r>
          </w:p>
        </w:tc>
        <w:tc>
          <w:tcPr>
            <w:tcW w:w="990" w:type="dxa"/>
          </w:tcPr>
          <w:p w14:paraId="62534221" w14:textId="5589367A" w:rsidR="0039342F" w:rsidRPr="001F0C5D" w:rsidRDefault="0039342F" w:rsidP="00F07EB0">
            <w:pPr>
              <w:tabs>
                <w:tab w:val="decimal" w:pos="652"/>
              </w:tabs>
              <w:rPr>
                <w:sz w:val="16"/>
                <w:szCs w:val="16"/>
              </w:rPr>
            </w:pPr>
            <w:r>
              <w:rPr>
                <w:sz w:val="16"/>
                <w:szCs w:val="16"/>
              </w:rPr>
              <w:t>$  201,679</w:t>
            </w:r>
          </w:p>
        </w:tc>
        <w:tc>
          <w:tcPr>
            <w:tcW w:w="990" w:type="dxa"/>
          </w:tcPr>
          <w:p w14:paraId="01452082" w14:textId="1A57CE9D" w:rsidR="0039342F" w:rsidRPr="001F0C5D" w:rsidRDefault="0039342F" w:rsidP="00F07EB0">
            <w:pPr>
              <w:tabs>
                <w:tab w:val="decimal" w:pos="688"/>
              </w:tabs>
              <w:rPr>
                <w:sz w:val="16"/>
                <w:szCs w:val="16"/>
              </w:rPr>
            </w:pPr>
            <w:r>
              <w:rPr>
                <w:sz w:val="16"/>
                <w:szCs w:val="16"/>
              </w:rPr>
              <w:t>$  205,922</w:t>
            </w:r>
          </w:p>
        </w:tc>
        <w:tc>
          <w:tcPr>
            <w:tcW w:w="990" w:type="dxa"/>
          </w:tcPr>
          <w:p w14:paraId="246ADB48" w14:textId="1F031285" w:rsidR="0039342F" w:rsidRDefault="0039342F" w:rsidP="00F07EB0">
            <w:pPr>
              <w:tabs>
                <w:tab w:val="decimal" w:pos="688"/>
              </w:tabs>
              <w:rPr>
                <w:sz w:val="16"/>
                <w:szCs w:val="16"/>
              </w:rPr>
            </w:pPr>
            <w:r>
              <w:rPr>
                <w:sz w:val="16"/>
                <w:szCs w:val="16"/>
              </w:rPr>
              <w:t>$  210,166</w:t>
            </w:r>
          </w:p>
        </w:tc>
        <w:tc>
          <w:tcPr>
            <w:tcW w:w="990" w:type="dxa"/>
          </w:tcPr>
          <w:p w14:paraId="71953896" w14:textId="37E4BF6F" w:rsidR="0039342F" w:rsidRDefault="0039342F" w:rsidP="00F07EB0">
            <w:pPr>
              <w:tabs>
                <w:tab w:val="decimal" w:pos="688"/>
              </w:tabs>
              <w:rPr>
                <w:sz w:val="16"/>
                <w:szCs w:val="16"/>
              </w:rPr>
            </w:pPr>
            <w:r>
              <w:rPr>
                <w:sz w:val="16"/>
                <w:szCs w:val="16"/>
              </w:rPr>
              <w:t>$  214,366</w:t>
            </w:r>
          </w:p>
        </w:tc>
      </w:tr>
      <w:tr w:rsidR="0039342F" w:rsidRPr="009D69E1" w14:paraId="47F7DED8" w14:textId="04A8CAE8" w:rsidTr="00A275F1">
        <w:trPr>
          <w:cantSplit/>
          <w:jc w:val="center"/>
        </w:trPr>
        <w:tc>
          <w:tcPr>
            <w:tcW w:w="2070" w:type="dxa"/>
          </w:tcPr>
          <w:p w14:paraId="2159A62F" w14:textId="2AD64CA4" w:rsidR="0039342F" w:rsidRPr="009D69E1" w:rsidRDefault="0039342F" w:rsidP="00F07EB0">
            <w:pPr>
              <w:rPr>
                <w:sz w:val="16"/>
                <w:szCs w:val="16"/>
              </w:rPr>
            </w:pPr>
            <w:r>
              <w:rPr>
                <w:sz w:val="16"/>
                <w:szCs w:val="16"/>
              </w:rPr>
              <w:t>Fringe benefits (2)</w:t>
            </w:r>
          </w:p>
        </w:tc>
        <w:tc>
          <w:tcPr>
            <w:tcW w:w="990" w:type="dxa"/>
          </w:tcPr>
          <w:p w14:paraId="70FA3F5B" w14:textId="414EE57D" w:rsidR="0039342F" w:rsidRPr="001F0C5D" w:rsidRDefault="0039342F" w:rsidP="00F07EB0">
            <w:pPr>
              <w:tabs>
                <w:tab w:val="decimal" w:pos="731"/>
              </w:tabs>
              <w:rPr>
                <w:sz w:val="16"/>
                <w:szCs w:val="16"/>
              </w:rPr>
            </w:pPr>
            <w:r>
              <w:rPr>
                <w:sz w:val="16"/>
                <w:szCs w:val="16"/>
              </w:rPr>
              <w:t>54,198</w:t>
            </w:r>
          </w:p>
        </w:tc>
        <w:tc>
          <w:tcPr>
            <w:tcW w:w="990" w:type="dxa"/>
          </w:tcPr>
          <w:p w14:paraId="5C901A1F" w14:textId="5D295F14" w:rsidR="0039342F" w:rsidRPr="001F0C5D" w:rsidRDefault="0039342F" w:rsidP="00F07EB0">
            <w:pPr>
              <w:tabs>
                <w:tab w:val="decimal" w:pos="652"/>
              </w:tabs>
              <w:rPr>
                <w:sz w:val="16"/>
                <w:szCs w:val="16"/>
              </w:rPr>
            </w:pPr>
            <w:r>
              <w:rPr>
                <w:sz w:val="16"/>
                <w:szCs w:val="16"/>
              </w:rPr>
              <w:t>56,470</w:t>
            </w:r>
          </w:p>
        </w:tc>
        <w:tc>
          <w:tcPr>
            <w:tcW w:w="990" w:type="dxa"/>
          </w:tcPr>
          <w:p w14:paraId="026DC3A9" w14:textId="666BB945" w:rsidR="0039342F" w:rsidRPr="001F0C5D" w:rsidRDefault="0039342F" w:rsidP="00F07EB0">
            <w:pPr>
              <w:tabs>
                <w:tab w:val="decimal" w:pos="688"/>
              </w:tabs>
              <w:rPr>
                <w:sz w:val="16"/>
                <w:szCs w:val="16"/>
              </w:rPr>
            </w:pPr>
            <w:r>
              <w:rPr>
                <w:sz w:val="16"/>
                <w:szCs w:val="16"/>
              </w:rPr>
              <w:t>57,658</w:t>
            </w:r>
          </w:p>
        </w:tc>
        <w:tc>
          <w:tcPr>
            <w:tcW w:w="990" w:type="dxa"/>
          </w:tcPr>
          <w:p w14:paraId="52D5B1BC" w14:textId="15085ECF" w:rsidR="0039342F" w:rsidRDefault="0039342F" w:rsidP="00F07EB0">
            <w:pPr>
              <w:tabs>
                <w:tab w:val="decimal" w:pos="688"/>
              </w:tabs>
              <w:rPr>
                <w:sz w:val="16"/>
                <w:szCs w:val="16"/>
              </w:rPr>
            </w:pPr>
            <w:r>
              <w:rPr>
                <w:sz w:val="16"/>
                <w:szCs w:val="16"/>
              </w:rPr>
              <w:t>58,846</w:t>
            </w:r>
          </w:p>
        </w:tc>
        <w:tc>
          <w:tcPr>
            <w:tcW w:w="990" w:type="dxa"/>
          </w:tcPr>
          <w:p w14:paraId="5A7CD5DC" w14:textId="1A75EC9E" w:rsidR="0039342F" w:rsidRDefault="0039342F" w:rsidP="00F07EB0">
            <w:pPr>
              <w:tabs>
                <w:tab w:val="decimal" w:pos="688"/>
              </w:tabs>
              <w:rPr>
                <w:sz w:val="16"/>
                <w:szCs w:val="16"/>
              </w:rPr>
            </w:pPr>
            <w:r>
              <w:rPr>
                <w:sz w:val="16"/>
                <w:szCs w:val="16"/>
              </w:rPr>
              <w:t>60,023</w:t>
            </w:r>
          </w:p>
        </w:tc>
      </w:tr>
      <w:tr w:rsidR="0039342F" w:rsidRPr="009D69E1" w14:paraId="57BFB8A9" w14:textId="77777777" w:rsidTr="00A275F1">
        <w:trPr>
          <w:cantSplit/>
          <w:jc w:val="center"/>
        </w:trPr>
        <w:tc>
          <w:tcPr>
            <w:tcW w:w="2070" w:type="dxa"/>
          </w:tcPr>
          <w:p w14:paraId="77027265" w14:textId="4BF9DAF4" w:rsidR="0039342F" w:rsidRDefault="0039342F" w:rsidP="00F07EB0">
            <w:pPr>
              <w:rPr>
                <w:sz w:val="16"/>
                <w:szCs w:val="16"/>
              </w:rPr>
            </w:pPr>
            <w:r>
              <w:rPr>
                <w:sz w:val="16"/>
                <w:szCs w:val="16"/>
              </w:rPr>
              <w:t>Other expenses (3)</w:t>
            </w:r>
          </w:p>
        </w:tc>
        <w:tc>
          <w:tcPr>
            <w:tcW w:w="990" w:type="dxa"/>
          </w:tcPr>
          <w:p w14:paraId="32B612AF" w14:textId="706DB623" w:rsidR="0039342F" w:rsidRDefault="0039342F" w:rsidP="00F07EB0">
            <w:pPr>
              <w:tabs>
                <w:tab w:val="decimal" w:pos="731"/>
              </w:tabs>
              <w:rPr>
                <w:sz w:val="16"/>
                <w:szCs w:val="16"/>
              </w:rPr>
            </w:pPr>
            <w:r>
              <w:rPr>
                <w:sz w:val="16"/>
                <w:szCs w:val="16"/>
              </w:rPr>
              <w:t>51,500</w:t>
            </w:r>
          </w:p>
        </w:tc>
        <w:tc>
          <w:tcPr>
            <w:tcW w:w="990" w:type="dxa"/>
          </w:tcPr>
          <w:p w14:paraId="6B486C40" w14:textId="700DD207" w:rsidR="0039342F" w:rsidRDefault="0039342F" w:rsidP="00F07EB0">
            <w:pPr>
              <w:tabs>
                <w:tab w:val="decimal" w:pos="652"/>
              </w:tabs>
              <w:rPr>
                <w:sz w:val="16"/>
                <w:szCs w:val="16"/>
              </w:rPr>
            </w:pPr>
            <w:r>
              <w:rPr>
                <w:sz w:val="16"/>
                <w:szCs w:val="16"/>
              </w:rPr>
              <w:t>57,274</w:t>
            </w:r>
          </w:p>
        </w:tc>
        <w:tc>
          <w:tcPr>
            <w:tcW w:w="990" w:type="dxa"/>
          </w:tcPr>
          <w:p w14:paraId="14DA14F1" w14:textId="60E73B08" w:rsidR="0039342F" w:rsidRDefault="0039342F" w:rsidP="00F07EB0">
            <w:pPr>
              <w:tabs>
                <w:tab w:val="decimal" w:pos="688"/>
              </w:tabs>
              <w:rPr>
                <w:sz w:val="16"/>
                <w:szCs w:val="16"/>
              </w:rPr>
            </w:pPr>
            <w:r>
              <w:rPr>
                <w:sz w:val="16"/>
                <w:szCs w:val="16"/>
              </w:rPr>
              <w:t>62,145</w:t>
            </w:r>
          </w:p>
        </w:tc>
        <w:tc>
          <w:tcPr>
            <w:tcW w:w="990" w:type="dxa"/>
          </w:tcPr>
          <w:p w14:paraId="081DD016" w14:textId="5675BC91" w:rsidR="0039342F" w:rsidRDefault="0039342F" w:rsidP="00F07EB0">
            <w:pPr>
              <w:tabs>
                <w:tab w:val="decimal" w:pos="688"/>
              </w:tabs>
              <w:rPr>
                <w:sz w:val="16"/>
                <w:szCs w:val="16"/>
              </w:rPr>
            </w:pPr>
            <w:r>
              <w:rPr>
                <w:sz w:val="16"/>
                <w:szCs w:val="16"/>
              </w:rPr>
              <w:t>63,387</w:t>
            </w:r>
          </w:p>
        </w:tc>
        <w:tc>
          <w:tcPr>
            <w:tcW w:w="990" w:type="dxa"/>
          </w:tcPr>
          <w:p w14:paraId="642AC475" w14:textId="244B6B84" w:rsidR="0039342F" w:rsidRDefault="0039342F" w:rsidP="00F07EB0">
            <w:pPr>
              <w:tabs>
                <w:tab w:val="decimal" w:pos="688"/>
              </w:tabs>
              <w:rPr>
                <w:sz w:val="16"/>
                <w:szCs w:val="16"/>
              </w:rPr>
            </w:pPr>
            <w:r>
              <w:rPr>
                <w:sz w:val="16"/>
                <w:szCs w:val="16"/>
              </w:rPr>
              <w:t>64,654</w:t>
            </w:r>
          </w:p>
        </w:tc>
      </w:tr>
      <w:tr w:rsidR="0039342F" w:rsidRPr="009D69E1" w14:paraId="43DB6B3E" w14:textId="57552760" w:rsidTr="00A275F1">
        <w:trPr>
          <w:cantSplit/>
          <w:jc w:val="center"/>
        </w:trPr>
        <w:tc>
          <w:tcPr>
            <w:tcW w:w="2070" w:type="dxa"/>
          </w:tcPr>
          <w:p w14:paraId="5D971C59" w14:textId="7B6F492E" w:rsidR="0039342F" w:rsidRDefault="0039342F" w:rsidP="00013E24">
            <w:pPr>
              <w:ind w:left="64" w:hanging="64"/>
              <w:rPr>
                <w:sz w:val="16"/>
                <w:szCs w:val="16"/>
              </w:rPr>
            </w:pPr>
            <w:r>
              <w:rPr>
                <w:sz w:val="16"/>
                <w:szCs w:val="16"/>
              </w:rPr>
              <w:t>Equipment lease (4)</w:t>
            </w:r>
          </w:p>
        </w:tc>
        <w:tc>
          <w:tcPr>
            <w:tcW w:w="990" w:type="dxa"/>
          </w:tcPr>
          <w:p w14:paraId="3F87D7CA" w14:textId="73071C9D" w:rsidR="0039342F" w:rsidRDefault="0039342F" w:rsidP="00F07EB0">
            <w:pPr>
              <w:tabs>
                <w:tab w:val="decimal" w:pos="731"/>
              </w:tabs>
              <w:rPr>
                <w:sz w:val="16"/>
                <w:szCs w:val="16"/>
              </w:rPr>
            </w:pPr>
            <w:r>
              <w:rPr>
                <w:sz w:val="16"/>
                <w:szCs w:val="16"/>
              </w:rPr>
              <w:t>176,241</w:t>
            </w:r>
          </w:p>
        </w:tc>
        <w:tc>
          <w:tcPr>
            <w:tcW w:w="990" w:type="dxa"/>
          </w:tcPr>
          <w:p w14:paraId="7620DE57" w14:textId="617AE776" w:rsidR="0039342F" w:rsidRDefault="0039342F" w:rsidP="00F07EB0">
            <w:pPr>
              <w:tabs>
                <w:tab w:val="decimal" w:pos="652"/>
              </w:tabs>
              <w:rPr>
                <w:sz w:val="16"/>
                <w:szCs w:val="16"/>
              </w:rPr>
            </w:pPr>
            <w:r>
              <w:rPr>
                <w:sz w:val="16"/>
                <w:szCs w:val="16"/>
              </w:rPr>
              <w:t>176,241</w:t>
            </w:r>
          </w:p>
        </w:tc>
        <w:tc>
          <w:tcPr>
            <w:tcW w:w="990" w:type="dxa"/>
          </w:tcPr>
          <w:p w14:paraId="74C2BFEE" w14:textId="1D1BE8ED" w:rsidR="0039342F" w:rsidRDefault="0039342F" w:rsidP="00F07EB0">
            <w:pPr>
              <w:tabs>
                <w:tab w:val="decimal" w:pos="688"/>
              </w:tabs>
              <w:rPr>
                <w:sz w:val="16"/>
                <w:szCs w:val="16"/>
              </w:rPr>
            </w:pPr>
            <w:r>
              <w:rPr>
                <w:sz w:val="16"/>
                <w:szCs w:val="16"/>
              </w:rPr>
              <w:t>176,241</w:t>
            </w:r>
          </w:p>
        </w:tc>
        <w:tc>
          <w:tcPr>
            <w:tcW w:w="990" w:type="dxa"/>
          </w:tcPr>
          <w:p w14:paraId="26B68A11" w14:textId="45A60FD6" w:rsidR="0039342F" w:rsidRDefault="0039342F" w:rsidP="00F07EB0">
            <w:pPr>
              <w:tabs>
                <w:tab w:val="decimal" w:pos="688"/>
              </w:tabs>
              <w:rPr>
                <w:sz w:val="16"/>
                <w:szCs w:val="16"/>
              </w:rPr>
            </w:pPr>
            <w:r>
              <w:rPr>
                <w:sz w:val="16"/>
                <w:szCs w:val="16"/>
              </w:rPr>
              <w:t>176,241</w:t>
            </w:r>
          </w:p>
        </w:tc>
        <w:tc>
          <w:tcPr>
            <w:tcW w:w="990" w:type="dxa"/>
          </w:tcPr>
          <w:p w14:paraId="78D4848F" w14:textId="47185048" w:rsidR="0039342F" w:rsidRDefault="0039342F" w:rsidP="00F07EB0">
            <w:pPr>
              <w:tabs>
                <w:tab w:val="decimal" w:pos="688"/>
              </w:tabs>
              <w:rPr>
                <w:sz w:val="16"/>
                <w:szCs w:val="16"/>
              </w:rPr>
            </w:pPr>
            <w:r>
              <w:rPr>
                <w:sz w:val="16"/>
                <w:szCs w:val="16"/>
              </w:rPr>
              <w:t>176,241</w:t>
            </w:r>
          </w:p>
        </w:tc>
      </w:tr>
      <w:tr w:rsidR="0039342F" w:rsidRPr="009D69E1" w14:paraId="7E2918F6" w14:textId="0BEE575E" w:rsidTr="00A275F1">
        <w:trPr>
          <w:cantSplit/>
          <w:jc w:val="center"/>
        </w:trPr>
        <w:tc>
          <w:tcPr>
            <w:tcW w:w="2070" w:type="dxa"/>
          </w:tcPr>
          <w:p w14:paraId="3FDE538C" w14:textId="6C06301A" w:rsidR="0039342F" w:rsidRDefault="0039342F" w:rsidP="00013E24">
            <w:pPr>
              <w:ind w:left="64" w:hanging="64"/>
              <w:rPr>
                <w:sz w:val="16"/>
                <w:szCs w:val="16"/>
              </w:rPr>
            </w:pPr>
            <w:r>
              <w:rPr>
                <w:sz w:val="16"/>
                <w:szCs w:val="16"/>
              </w:rPr>
              <w:t>Maintenance (5)</w:t>
            </w:r>
          </w:p>
        </w:tc>
        <w:tc>
          <w:tcPr>
            <w:tcW w:w="990" w:type="dxa"/>
          </w:tcPr>
          <w:p w14:paraId="36DDE5A1" w14:textId="5A975A80" w:rsidR="0039342F" w:rsidRPr="001F0C5D" w:rsidRDefault="00E502C4" w:rsidP="00F07EB0">
            <w:pPr>
              <w:tabs>
                <w:tab w:val="decimal" w:pos="731"/>
              </w:tabs>
              <w:rPr>
                <w:sz w:val="16"/>
                <w:szCs w:val="16"/>
              </w:rPr>
            </w:pPr>
            <w:r>
              <w:rPr>
                <w:sz w:val="16"/>
                <w:szCs w:val="16"/>
              </w:rPr>
              <w:t>-</w:t>
            </w:r>
          </w:p>
        </w:tc>
        <w:tc>
          <w:tcPr>
            <w:tcW w:w="990" w:type="dxa"/>
          </w:tcPr>
          <w:p w14:paraId="352A8FFC" w14:textId="158E76D7" w:rsidR="0039342F" w:rsidRPr="001F0C5D" w:rsidRDefault="0039342F" w:rsidP="00F07EB0">
            <w:pPr>
              <w:tabs>
                <w:tab w:val="decimal" w:pos="652"/>
              </w:tabs>
              <w:rPr>
                <w:sz w:val="16"/>
                <w:szCs w:val="16"/>
              </w:rPr>
            </w:pPr>
            <w:r>
              <w:rPr>
                <w:sz w:val="16"/>
                <w:szCs w:val="16"/>
              </w:rPr>
              <w:t>99,000</w:t>
            </w:r>
          </w:p>
        </w:tc>
        <w:tc>
          <w:tcPr>
            <w:tcW w:w="990" w:type="dxa"/>
          </w:tcPr>
          <w:p w14:paraId="56BF2631" w14:textId="7B4BF9F4" w:rsidR="0039342F" w:rsidRPr="001F0C5D" w:rsidRDefault="0039342F" w:rsidP="00F07EB0">
            <w:pPr>
              <w:tabs>
                <w:tab w:val="decimal" w:pos="688"/>
              </w:tabs>
              <w:rPr>
                <w:sz w:val="16"/>
                <w:szCs w:val="16"/>
              </w:rPr>
            </w:pPr>
            <w:r>
              <w:rPr>
                <w:sz w:val="16"/>
                <w:szCs w:val="16"/>
              </w:rPr>
              <w:t>99,000</w:t>
            </w:r>
          </w:p>
        </w:tc>
        <w:tc>
          <w:tcPr>
            <w:tcW w:w="990" w:type="dxa"/>
          </w:tcPr>
          <w:p w14:paraId="69B94D64" w14:textId="58AA7522" w:rsidR="0039342F" w:rsidRDefault="0039342F" w:rsidP="00F07EB0">
            <w:pPr>
              <w:tabs>
                <w:tab w:val="decimal" w:pos="688"/>
              </w:tabs>
              <w:rPr>
                <w:sz w:val="16"/>
                <w:szCs w:val="16"/>
              </w:rPr>
            </w:pPr>
            <w:r>
              <w:rPr>
                <w:sz w:val="16"/>
                <w:szCs w:val="16"/>
              </w:rPr>
              <w:t>99,000</w:t>
            </w:r>
          </w:p>
        </w:tc>
        <w:tc>
          <w:tcPr>
            <w:tcW w:w="990" w:type="dxa"/>
          </w:tcPr>
          <w:p w14:paraId="519A5689" w14:textId="4265106F" w:rsidR="0039342F" w:rsidRDefault="0039342F" w:rsidP="00F07EB0">
            <w:pPr>
              <w:tabs>
                <w:tab w:val="decimal" w:pos="688"/>
              </w:tabs>
              <w:rPr>
                <w:sz w:val="16"/>
                <w:szCs w:val="16"/>
              </w:rPr>
            </w:pPr>
            <w:r>
              <w:rPr>
                <w:sz w:val="16"/>
                <w:szCs w:val="16"/>
              </w:rPr>
              <w:t>99,000</w:t>
            </w:r>
          </w:p>
        </w:tc>
      </w:tr>
      <w:tr w:rsidR="0039342F" w:rsidRPr="009D69E1" w14:paraId="04E0E7B2" w14:textId="77777777" w:rsidTr="00A275F1">
        <w:trPr>
          <w:cantSplit/>
          <w:jc w:val="center"/>
        </w:trPr>
        <w:tc>
          <w:tcPr>
            <w:tcW w:w="2070" w:type="dxa"/>
          </w:tcPr>
          <w:p w14:paraId="48E2A0D7" w14:textId="37FADBB6" w:rsidR="0039342F" w:rsidRDefault="0039342F" w:rsidP="00013E24">
            <w:pPr>
              <w:ind w:left="64" w:hanging="64"/>
              <w:rPr>
                <w:sz w:val="16"/>
                <w:szCs w:val="16"/>
              </w:rPr>
            </w:pPr>
            <w:r>
              <w:rPr>
                <w:sz w:val="16"/>
                <w:szCs w:val="16"/>
              </w:rPr>
              <w:t>CHI payment (6)</w:t>
            </w:r>
          </w:p>
        </w:tc>
        <w:tc>
          <w:tcPr>
            <w:tcW w:w="990" w:type="dxa"/>
          </w:tcPr>
          <w:p w14:paraId="167073B7" w14:textId="7C2A7FA1" w:rsidR="0039342F" w:rsidRDefault="0039342F" w:rsidP="00F07EB0">
            <w:pPr>
              <w:tabs>
                <w:tab w:val="decimal" w:pos="731"/>
              </w:tabs>
              <w:rPr>
                <w:sz w:val="16"/>
                <w:szCs w:val="16"/>
              </w:rPr>
            </w:pPr>
            <w:r>
              <w:rPr>
                <w:sz w:val="16"/>
                <w:szCs w:val="16"/>
              </w:rPr>
              <w:t>26,256</w:t>
            </w:r>
          </w:p>
        </w:tc>
        <w:tc>
          <w:tcPr>
            <w:tcW w:w="990" w:type="dxa"/>
          </w:tcPr>
          <w:p w14:paraId="61364CA5" w14:textId="44E8180C" w:rsidR="0039342F" w:rsidRDefault="0039342F" w:rsidP="00F07EB0">
            <w:pPr>
              <w:tabs>
                <w:tab w:val="decimal" w:pos="652"/>
              </w:tabs>
              <w:rPr>
                <w:sz w:val="16"/>
                <w:szCs w:val="16"/>
              </w:rPr>
            </w:pPr>
            <w:r>
              <w:rPr>
                <w:sz w:val="16"/>
                <w:szCs w:val="16"/>
              </w:rPr>
              <w:t>26,256</w:t>
            </w:r>
          </w:p>
        </w:tc>
        <w:tc>
          <w:tcPr>
            <w:tcW w:w="990" w:type="dxa"/>
          </w:tcPr>
          <w:p w14:paraId="29D3D828" w14:textId="0767976F" w:rsidR="0039342F" w:rsidRDefault="0039342F" w:rsidP="00F07EB0">
            <w:pPr>
              <w:tabs>
                <w:tab w:val="decimal" w:pos="688"/>
              </w:tabs>
              <w:rPr>
                <w:sz w:val="16"/>
                <w:szCs w:val="16"/>
              </w:rPr>
            </w:pPr>
            <w:r>
              <w:rPr>
                <w:sz w:val="16"/>
                <w:szCs w:val="16"/>
              </w:rPr>
              <w:t>26,256</w:t>
            </w:r>
          </w:p>
        </w:tc>
        <w:tc>
          <w:tcPr>
            <w:tcW w:w="990" w:type="dxa"/>
          </w:tcPr>
          <w:p w14:paraId="210FB25C" w14:textId="5757D4FB" w:rsidR="0039342F" w:rsidRDefault="0039342F" w:rsidP="00F07EB0">
            <w:pPr>
              <w:tabs>
                <w:tab w:val="decimal" w:pos="688"/>
              </w:tabs>
              <w:rPr>
                <w:sz w:val="16"/>
                <w:szCs w:val="16"/>
              </w:rPr>
            </w:pPr>
            <w:r>
              <w:rPr>
                <w:sz w:val="16"/>
                <w:szCs w:val="16"/>
              </w:rPr>
              <w:t>26,256</w:t>
            </w:r>
          </w:p>
        </w:tc>
        <w:tc>
          <w:tcPr>
            <w:tcW w:w="990" w:type="dxa"/>
          </w:tcPr>
          <w:p w14:paraId="403D25D3" w14:textId="775F6C2A" w:rsidR="0039342F" w:rsidRDefault="0039342F" w:rsidP="00F07EB0">
            <w:pPr>
              <w:tabs>
                <w:tab w:val="decimal" w:pos="688"/>
              </w:tabs>
              <w:rPr>
                <w:sz w:val="16"/>
                <w:szCs w:val="16"/>
              </w:rPr>
            </w:pPr>
            <w:r>
              <w:rPr>
                <w:sz w:val="16"/>
                <w:szCs w:val="16"/>
              </w:rPr>
              <w:t>-</w:t>
            </w:r>
          </w:p>
        </w:tc>
      </w:tr>
      <w:tr w:rsidR="0039342F" w:rsidRPr="009D69E1" w14:paraId="00AEB944" w14:textId="28F6B81D" w:rsidTr="00A275F1">
        <w:trPr>
          <w:cantSplit/>
          <w:jc w:val="center"/>
        </w:trPr>
        <w:tc>
          <w:tcPr>
            <w:tcW w:w="2070" w:type="dxa"/>
          </w:tcPr>
          <w:p w14:paraId="0AF8A987" w14:textId="77FB7615" w:rsidR="0039342F" w:rsidRDefault="0039342F" w:rsidP="00F07EB0">
            <w:pPr>
              <w:rPr>
                <w:sz w:val="16"/>
                <w:szCs w:val="16"/>
              </w:rPr>
            </w:pPr>
            <w:r>
              <w:rPr>
                <w:sz w:val="16"/>
                <w:szCs w:val="16"/>
              </w:rPr>
              <w:t>Depreciation (7)</w:t>
            </w:r>
          </w:p>
        </w:tc>
        <w:tc>
          <w:tcPr>
            <w:tcW w:w="990" w:type="dxa"/>
          </w:tcPr>
          <w:p w14:paraId="30FD1CC9" w14:textId="3AE980AB" w:rsidR="0039342F" w:rsidRPr="001F0C5D" w:rsidRDefault="0039342F" w:rsidP="00F07EB0">
            <w:pPr>
              <w:tabs>
                <w:tab w:val="decimal" w:pos="731"/>
              </w:tabs>
              <w:rPr>
                <w:sz w:val="16"/>
                <w:szCs w:val="16"/>
              </w:rPr>
            </w:pPr>
            <w:r>
              <w:rPr>
                <w:sz w:val="16"/>
                <w:szCs w:val="16"/>
              </w:rPr>
              <w:t>89,874</w:t>
            </w:r>
          </w:p>
        </w:tc>
        <w:tc>
          <w:tcPr>
            <w:tcW w:w="990" w:type="dxa"/>
          </w:tcPr>
          <w:p w14:paraId="100FBF7B" w14:textId="3FF43D22" w:rsidR="0039342F" w:rsidRPr="001F0C5D" w:rsidRDefault="0039342F" w:rsidP="00F07EB0">
            <w:pPr>
              <w:tabs>
                <w:tab w:val="decimal" w:pos="652"/>
              </w:tabs>
              <w:rPr>
                <w:sz w:val="16"/>
                <w:szCs w:val="16"/>
              </w:rPr>
            </w:pPr>
            <w:r>
              <w:rPr>
                <w:sz w:val="16"/>
                <w:szCs w:val="16"/>
              </w:rPr>
              <w:t>89,874</w:t>
            </w:r>
          </w:p>
        </w:tc>
        <w:tc>
          <w:tcPr>
            <w:tcW w:w="990" w:type="dxa"/>
          </w:tcPr>
          <w:p w14:paraId="5291BEC5" w14:textId="7B828D5A" w:rsidR="0039342F" w:rsidRPr="001F0C5D" w:rsidRDefault="0039342F" w:rsidP="00F07EB0">
            <w:pPr>
              <w:tabs>
                <w:tab w:val="decimal" w:pos="688"/>
              </w:tabs>
              <w:rPr>
                <w:sz w:val="16"/>
                <w:szCs w:val="16"/>
              </w:rPr>
            </w:pPr>
            <w:r>
              <w:rPr>
                <w:sz w:val="16"/>
                <w:szCs w:val="16"/>
              </w:rPr>
              <w:t>89,874</w:t>
            </w:r>
          </w:p>
        </w:tc>
        <w:tc>
          <w:tcPr>
            <w:tcW w:w="990" w:type="dxa"/>
          </w:tcPr>
          <w:p w14:paraId="5A2D8C13" w14:textId="16E1E76D" w:rsidR="0039342F" w:rsidRDefault="0039342F" w:rsidP="00F07EB0">
            <w:pPr>
              <w:tabs>
                <w:tab w:val="decimal" w:pos="688"/>
              </w:tabs>
              <w:rPr>
                <w:sz w:val="16"/>
                <w:szCs w:val="16"/>
              </w:rPr>
            </w:pPr>
            <w:r>
              <w:rPr>
                <w:sz w:val="16"/>
                <w:szCs w:val="16"/>
              </w:rPr>
              <w:t>84,770</w:t>
            </w:r>
          </w:p>
        </w:tc>
        <w:tc>
          <w:tcPr>
            <w:tcW w:w="990" w:type="dxa"/>
          </w:tcPr>
          <w:p w14:paraId="1C01EB0F" w14:textId="12482666" w:rsidR="0039342F" w:rsidRDefault="0039342F" w:rsidP="00F07EB0">
            <w:pPr>
              <w:tabs>
                <w:tab w:val="decimal" w:pos="688"/>
              </w:tabs>
              <w:rPr>
                <w:sz w:val="16"/>
                <w:szCs w:val="16"/>
              </w:rPr>
            </w:pPr>
            <w:r>
              <w:rPr>
                <w:sz w:val="16"/>
                <w:szCs w:val="16"/>
              </w:rPr>
              <w:t>84,770</w:t>
            </w:r>
          </w:p>
        </w:tc>
      </w:tr>
      <w:tr w:rsidR="0039342F" w:rsidRPr="009D69E1" w14:paraId="012F2DF3" w14:textId="10A34C9C" w:rsidTr="00A275F1">
        <w:trPr>
          <w:cantSplit/>
          <w:jc w:val="center"/>
        </w:trPr>
        <w:tc>
          <w:tcPr>
            <w:tcW w:w="2070" w:type="dxa"/>
          </w:tcPr>
          <w:p w14:paraId="434F74EF" w14:textId="77777777" w:rsidR="0039342F" w:rsidRPr="009D69E1" w:rsidRDefault="0039342F" w:rsidP="00F07EB0">
            <w:pPr>
              <w:ind w:firstLine="157"/>
              <w:rPr>
                <w:sz w:val="16"/>
                <w:szCs w:val="16"/>
              </w:rPr>
            </w:pPr>
            <w:bookmarkStart w:id="6" w:name="_Hlk529539936"/>
            <w:r w:rsidRPr="009D69E1">
              <w:rPr>
                <w:sz w:val="16"/>
                <w:szCs w:val="16"/>
              </w:rPr>
              <w:t>Total Expenses</w:t>
            </w:r>
          </w:p>
        </w:tc>
        <w:tc>
          <w:tcPr>
            <w:tcW w:w="990" w:type="dxa"/>
            <w:tcBorders>
              <w:top w:val="single" w:sz="4" w:space="0" w:color="auto"/>
              <w:bottom w:val="double" w:sz="4" w:space="0" w:color="auto"/>
            </w:tcBorders>
          </w:tcPr>
          <w:p w14:paraId="76202F22" w14:textId="36B5E97E" w:rsidR="0039342F" w:rsidRPr="00CD125C" w:rsidRDefault="0039342F" w:rsidP="00F07EB0">
            <w:pPr>
              <w:tabs>
                <w:tab w:val="decimal" w:pos="731"/>
              </w:tabs>
              <w:rPr>
                <w:sz w:val="16"/>
                <w:szCs w:val="16"/>
              </w:rPr>
            </w:pPr>
            <w:r>
              <w:rPr>
                <w:sz w:val="16"/>
                <w:szCs w:val="16"/>
              </w:rPr>
              <w:t xml:space="preserve">$   </w:t>
            </w:r>
            <w:r w:rsidR="002074FC">
              <w:rPr>
                <w:sz w:val="16"/>
                <w:szCs w:val="16"/>
              </w:rPr>
              <w:t>591,634</w:t>
            </w:r>
          </w:p>
        </w:tc>
        <w:tc>
          <w:tcPr>
            <w:tcW w:w="990" w:type="dxa"/>
            <w:tcBorders>
              <w:top w:val="single" w:sz="4" w:space="0" w:color="auto"/>
              <w:bottom w:val="double" w:sz="4" w:space="0" w:color="auto"/>
            </w:tcBorders>
          </w:tcPr>
          <w:p w14:paraId="2F48E5DB" w14:textId="7761D239" w:rsidR="0039342F" w:rsidRPr="00CD125C" w:rsidRDefault="0039342F" w:rsidP="00F07EB0">
            <w:pPr>
              <w:tabs>
                <w:tab w:val="decimal" w:pos="652"/>
              </w:tabs>
              <w:rPr>
                <w:sz w:val="16"/>
                <w:szCs w:val="16"/>
              </w:rPr>
            </w:pPr>
            <w:r>
              <w:rPr>
                <w:sz w:val="16"/>
                <w:szCs w:val="16"/>
              </w:rPr>
              <w:t>$ 706,794</w:t>
            </w:r>
          </w:p>
        </w:tc>
        <w:tc>
          <w:tcPr>
            <w:tcW w:w="990" w:type="dxa"/>
            <w:tcBorders>
              <w:top w:val="single" w:sz="4" w:space="0" w:color="auto"/>
              <w:bottom w:val="double" w:sz="4" w:space="0" w:color="auto"/>
            </w:tcBorders>
          </w:tcPr>
          <w:p w14:paraId="0E4827E5" w14:textId="5FB5610A" w:rsidR="0039342F" w:rsidRPr="00CD125C" w:rsidRDefault="0039342F" w:rsidP="00F07EB0">
            <w:pPr>
              <w:tabs>
                <w:tab w:val="decimal" w:pos="688"/>
              </w:tabs>
              <w:rPr>
                <w:sz w:val="16"/>
                <w:szCs w:val="16"/>
              </w:rPr>
            </w:pPr>
            <w:r>
              <w:rPr>
                <w:sz w:val="16"/>
                <w:szCs w:val="16"/>
              </w:rPr>
              <w:t>$  717,096</w:t>
            </w:r>
          </w:p>
        </w:tc>
        <w:tc>
          <w:tcPr>
            <w:tcW w:w="990" w:type="dxa"/>
            <w:tcBorders>
              <w:top w:val="single" w:sz="4" w:space="0" w:color="auto"/>
              <w:bottom w:val="double" w:sz="4" w:space="0" w:color="auto"/>
            </w:tcBorders>
          </w:tcPr>
          <w:p w14:paraId="294A9F76" w14:textId="01744178" w:rsidR="0039342F" w:rsidRDefault="0039342F" w:rsidP="00F07EB0">
            <w:pPr>
              <w:tabs>
                <w:tab w:val="decimal" w:pos="688"/>
              </w:tabs>
              <w:rPr>
                <w:sz w:val="16"/>
                <w:szCs w:val="16"/>
              </w:rPr>
            </w:pPr>
            <w:r>
              <w:rPr>
                <w:sz w:val="16"/>
                <w:szCs w:val="16"/>
              </w:rPr>
              <w:t>$  718,666</w:t>
            </w:r>
          </w:p>
        </w:tc>
        <w:tc>
          <w:tcPr>
            <w:tcW w:w="990" w:type="dxa"/>
            <w:tcBorders>
              <w:top w:val="single" w:sz="4" w:space="0" w:color="auto"/>
              <w:bottom w:val="double" w:sz="4" w:space="0" w:color="auto"/>
            </w:tcBorders>
          </w:tcPr>
          <w:p w14:paraId="63BEABF3" w14:textId="0474A658" w:rsidR="0039342F" w:rsidRDefault="0039342F" w:rsidP="00F07EB0">
            <w:pPr>
              <w:tabs>
                <w:tab w:val="decimal" w:pos="688"/>
              </w:tabs>
              <w:rPr>
                <w:sz w:val="16"/>
                <w:szCs w:val="16"/>
              </w:rPr>
            </w:pPr>
            <w:r>
              <w:rPr>
                <w:sz w:val="16"/>
                <w:szCs w:val="16"/>
              </w:rPr>
              <w:t>$  699,054</w:t>
            </w:r>
          </w:p>
        </w:tc>
      </w:tr>
      <w:bookmarkEnd w:id="6"/>
    </w:tbl>
    <w:p w14:paraId="579BEF50" w14:textId="77777777" w:rsidR="00931194" w:rsidRDefault="00931194" w:rsidP="00931194">
      <w:pPr>
        <w:pStyle w:val="ListParagraph"/>
        <w:widowControl w:val="0"/>
        <w:tabs>
          <w:tab w:val="left" w:pos="645"/>
        </w:tabs>
        <w:spacing w:after="0" w:line="240" w:lineRule="auto"/>
        <w:ind w:left="1005"/>
        <w:jc w:val="both"/>
        <w:rPr>
          <w:rFonts w:ascii="Times New Roman" w:hAnsi="Times New Roman" w:cs="Times New Roman"/>
        </w:rPr>
      </w:pPr>
    </w:p>
    <w:p w14:paraId="703CAC73" w14:textId="6B73233D" w:rsidR="00755062" w:rsidRPr="00296878" w:rsidRDefault="00170B16" w:rsidP="00DC010D">
      <w:pPr>
        <w:pStyle w:val="ListParagraph"/>
        <w:widowControl w:val="0"/>
        <w:numPr>
          <w:ilvl w:val="0"/>
          <w:numId w:val="9"/>
        </w:numPr>
        <w:tabs>
          <w:tab w:val="left" w:pos="645"/>
        </w:tabs>
        <w:spacing w:after="0" w:line="240" w:lineRule="auto"/>
        <w:jc w:val="both"/>
        <w:rPr>
          <w:rFonts w:ascii="Times New Roman" w:hAnsi="Times New Roman" w:cs="Times New Roman"/>
        </w:rPr>
      </w:pPr>
      <w:r>
        <w:rPr>
          <w:rFonts w:ascii="Times New Roman" w:hAnsi="Times New Roman" w:cs="Times New Roman"/>
        </w:rPr>
        <w:t>S</w:t>
      </w:r>
      <w:r w:rsidR="006E75C8" w:rsidRPr="006E75C8">
        <w:rPr>
          <w:rFonts w:ascii="Times New Roman" w:hAnsi="Times New Roman" w:cs="Times New Roman"/>
        </w:rPr>
        <w:t xml:space="preserve">alaries and wages </w:t>
      </w:r>
      <w:r w:rsidR="0090657E">
        <w:rPr>
          <w:rFonts w:ascii="Times New Roman" w:hAnsi="Times New Roman" w:cs="Times New Roman"/>
        </w:rPr>
        <w:t>for the year ending September 30, 2023</w:t>
      </w:r>
      <w:r w:rsidR="006E75C8" w:rsidRPr="006E75C8">
        <w:rPr>
          <w:rFonts w:ascii="Times New Roman" w:hAnsi="Times New Roman" w:cs="Times New Roman"/>
        </w:rPr>
        <w:t xml:space="preserve"> </w:t>
      </w:r>
      <w:r w:rsidR="00857295">
        <w:rPr>
          <w:rFonts w:ascii="Times New Roman" w:hAnsi="Times New Roman" w:cs="Times New Roman"/>
        </w:rPr>
        <w:t>include</w:t>
      </w:r>
      <w:r w:rsidR="0090657E">
        <w:rPr>
          <w:rFonts w:ascii="Times New Roman" w:hAnsi="Times New Roman" w:cs="Times New Roman"/>
        </w:rPr>
        <w:t>s</w:t>
      </w:r>
      <w:r w:rsidR="006E75C8" w:rsidRPr="006E75C8">
        <w:rPr>
          <w:rFonts w:ascii="Times New Roman" w:hAnsi="Times New Roman" w:cs="Times New Roman"/>
        </w:rPr>
        <w:t xml:space="preserve"> 2 </w:t>
      </w:r>
      <w:r w:rsidR="00552884">
        <w:rPr>
          <w:rFonts w:ascii="Times New Roman" w:hAnsi="Times New Roman" w:cs="Times New Roman"/>
        </w:rPr>
        <w:t>full-time equivalent</w:t>
      </w:r>
      <w:r w:rsidR="006E75C8" w:rsidRPr="006E75C8">
        <w:rPr>
          <w:rFonts w:ascii="Times New Roman" w:hAnsi="Times New Roman" w:cs="Times New Roman"/>
        </w:rPr>
        <w:t>s</w:t>
      </w:r>
      <w:r w:rsidR="00552884">
        <w:rPr>
          <w:rFonts w:ascii="Times New Roman" w:hAnsi="Times New Roman" w:cs="Times New Roman"/>
        </w:rPr>
        <w:t xml:space="preserve"> (“FTE”)</w:t>
      </w:r>
      <w:r w:rsidR="00646C12">
        <w:rPr>
          <w:rFonts w:ascii="Times New Roman" w:hAnsi="Times New Roman" w:cs="Times New Roman"/>
        </w:rPr>
        <w:t xml:space="preserve"> </w:t>
      </w:r>
      <w:r w:rsidR="006E75C8" w:rsidRPr="006E75C8">
        <w:rPr>
          <w:rFonts w:ascii="Times New Roman" w:hAnsi="Times New Roman" w:cs="Times New Roman"/>
        </w:rPr>
        <w:t xml:space="preserve">to </w:t>
      </w:r>
      <w:r w:rsidR="002B41AD">
        <w:rPr>
          <w:rFonts w:ascii="Times New Roman" w:hAnsi="Times New Roman" w:cs="Times New Roman"/>
        </w:rPr>
        <w:t>operate</w:t>
      </w:r>
      <w:r w:rsidR="006E75C8" w:rsidRPr="006E75C8">
        <w:rPr>
          <w:rFonts w:ascii="Times New Roman" w:hAnsi="Times New Roman" w:cs="Times New Roman"/>
        </w:rPr>
        <w:t xml:space="preserve"> the second CT scanner at an average salary of </w:t>
      </w:r>
      <w:r w:rsidR="00B33E36">
        <w:rPr>
          <w:rFonts w:ascii="Times New Roman" w:hAnsi="Times New Roman" w:cs="Times New Roman"/>
        </w:rPr>
        <w:t xml:space="preserve">approximately </w:t>
      </w:r>
      <w:r w:rsidR="006E75C8" w:rsidRPr="006E75C8">
        <w:rPr>
          <w:rFonts w:ascii="Times New Roman" w:hAnsi="Times New Roman" w:cs="Times New Roman"/>
        </w:rPr>
        <w:t>$</w:t>
      </w:r>
      <w:r w:rsidR="00B33E36">
        <w:rPr>
          <w:rFonts w:ascii="Times New Roman" w:hAnsi="Times New Roman" w:cs="Times New Roman"/>
        </w:rPr>
        <w:t>96,800</w:t>
      </w:r>
      <w:r w:rsidR="003A761E">
        <w:rPr>
          <w:rFonts w:ascii="Times New Roman" w:hAnsi="Times New Roman" w:cs="Times New Roman"/>
        </w:rPr>
        <w:t xml:space="preserve"> per FTE</w:t>
      </w:r>
      <w:r w:rsidR="009C545E">
        <w:rPr>
          <w:rFonts w:ascii="Times New Roman" w:hAnsi="Times New Roman" w:cs="Times New Roman"/>
        </w:rPr>
        <w:t xml:space="preserve">. Management does not anticipate there will be a need to increase the number of FTE’s to manage the additional volume in </w:t>
      </w:r>
      <w:r w:rsidR="00E4446B">
        <w:rPr>
          <w:rFonts w:ascii="Times New Roman" w:hAnsi="Times New Roman" w:cs="Times New Roman"/>
        </w:rPr>
        <w:t>fiscal years ending September 30, 2025 and 2026</w:t>
      </w:r>
      <w:r w:rsidR="00346AD1">
        <w:rPr>
          <w:rFonts w:ascii="Times New Roman" w:hAnsi="Times New Roman" w:cs="Times New Roman"/>
        </w:rPr>
        <w:t>, and v</w:t>
      </w:r>
      <w:r w:rsidR="00533BE0">
        <w:rPr>
          <w:rFonts w:ascii="Times New Roman" w:hAnsi="Times New Roman" w:cs="Times New Roman"/>
        </w:rPr>
        <w:t xml:space="preserve">olume is expected to remain consistent for </w:t>
      </w:r>
      <w:r w:rsidR="00745A01">
        <w:rPr>
          <w:rFonts w:ascii="Times New Roman" w:hAnsi="Times New Roman" w:cs="Times New Roman"/>
        </w:rPr>
        <w:t>fiscal years ending September 30, 2026, 2027, and 2028</w:t>
      </w:r>
      <w:r w:rsidR="00533BE0">
        <w:rPr>
          <w:rFonts w:ascii="Times New Roman" w:hAnsi="Times New Roman" w:cs="Times New Roman"/>
        </w:rPr>
        <w:t xml:space="preserve">. </w:t>
      </w:r>
      <w:r w:rsidR="006867DB">
        <w:rPr>
          <w:rFonts w:ascii="Times New Roman" w:hAnsi="Times New Roman" w:cs="Times New Roman"/>
        </w:rPr>
        <w:t xml:space="preserve">Management assumes a 2% cost of living adjustment for </w:t>
      </w:r>
      <w:r w:rsidR="00745A01">
        <w:rPr>
          <w:rFonts w:ascii="Times New Roman" w:hAnsi="Times New Roman" w:cs="Times New Roman"/>
        </w:rPr>
        <w:t>fiscal years ending September 30, 2025, 2026, 2027 and 2028</w:t>
      </w:r>
      <w:r w:rsidR="006867DB">
        <w:rPr>
          <w:rFonts w:ascii="Times New Roman" w:hAnsi="Times New Roman" w:cs="Times New Roman"/>
        </w:rPr>
        <w:t xml:space="preserve">. </w:t>
      </w:r>
      <w:r w:rsidR="00F07DA7" w:rsidRPr="00296878">
        <w:rPr>
          <w:rFonts w:ascii="Times New Roman" w:hAnsi="Times New Roman" w:cs="Times New Roman"/>
        </w:rPr>
        <w:t xml:space="preserve"> </w:t>
      </w:r>
    </w:p>
    <w:p w14:paraId="09F4B065" w14:textId="77777777" w:rsidR="00717BA3" w:rsidRPr="00F85128" w:rsidRDefault="00717BA3" w:rsidP="00DC010D">
      <w:pPr>
        <w:pStyle w:val="ListParagraph"/>
        <w:widowControl w:val="0"/>
        <w:tabs>
          <w:tab w:val="left" w:pos="645"/>
        </w:tabs>
        <w:spacing w:after="0" w:line="240" w:lineRule="auto"/>
        <w:ind w:left="1005"/>
        <w:jc w:val="both"/>
        <w:rPr>
          <w:rFonts w:ascii="Times New Roman" w:hAnsi="Times New Roman" w:cs="Times New Roman"/>
          <w:highlight w:val="yellow"/>
        </w:rPr>
      </w:pPr>
    </w:p>
    <w:p w14:paraId="315759D5" w14:textId="1390C044" w:rsidR="009A0595" w:rsidRPr="009972F3" w:rsidRDefault="009A0595" w:rsidP="009A0595">
      <w:pPr>
        <w:pStyle w:val="ListParagraph"/>
        <w:widowControl w:val="0"/>
        <w:numPr>
          <w:ilvl w:val="0"/>
          <w:numId w:val="9"/>
        </w:numPr>
        <w:spacing w:after="0" w:line="240" w:lineRule="auto"/>
        <w:jc w:val="both"/>
        <w:rPr>
          <w:rFonts w:ascii="Times New Roman" w:hAnsi="Times New Roman" w:cs="Times New Roman"/>
        </w:rPr>
      </w:pPr>
      <w:r w:rsidRPr="009972F3">
        <w:rPr>
          <w:rFonts w:ascii="Times New Roman" w:hAnsi="Times New Roman" w:cs="Times New Roman"/>
        </w:rPr>
        <w:t xml:space="preserve">Management has estimated the projected fringe benefits at approximately </w:t>
      </w:r>
      <w:r w:rsidR="00C3565B" w:rsidRPr="009972F3">
        <w:rPr>
          <w:rFonts w:ascii="Times New Roman" w:hAnsi="Times New Roman" w:cs="Times New Roman"/>
        </w:rPr>
        <w:t>28</w:t>
      </w:r>
      <w:r w:rsidRPr="009972F3">
        <w:rPr>
          <w:rFonts w:ascii="Times New Roman" w:hAnsi="Times New Roman" w:cs="Times New Roman"/>
        </w:rPr>
        <w:t>% of salaries and wages, which is cons</w:t>
      </w:r>
      <w:r w:rsidR="005D7D1A" w:rsidRPr="009972F3">
        <w:rPr>
          <w:rFonts w:ascii="Times New Roman" w:hAnsi="Times New Roman" w:cs="Times New Roman"/>
        </w:rPr>
        <w:t>ervative in comparison to</w:t>
      </w:r>
      <w:r w:rsidR="003E4F61" w:rsidRPr="009972F3">
        <w:rPr>
          <w:rFonts w:ascii="Times New Roman" w:hAnsi="Times New Roman" w:cs="Times New Roman"/>
        </w:rPr>
        <w:t xml:space="preserve"> </w:t>
      </w:r>
      <w:r w:rsidR="005D7D1A" w:rsidRPr="009972F3">
        <w:rPr>
          <w:rFonts w:ascii="Times New Roman" w:hAnsi="Times New Roman" w:cs="Times New Roman"/>
        </w:rPr>
        <w:t xml:space="preserve">the </w:t>
      </w:r>
      <w:r w:rsidR="00346AD1" w:rsidRPr="009972F3">
        <w:rPr>
          <w:rFonts w:ascii="Times New Roman" w:hAnsi="Times New Roman" w:cs="Times New Roman"/>
        </w:rPr>
        <w:t>fiscal year</w:t>
      </w:r>
      <w:r w:rsidRPr="009972F3">
        <w:rPr>
          <w:rFonts w:ascii="Times New Roman" w:hAnsi="Times New Roman" w:cs="Times New Roman"/>
        </w:rPr>
        <w:t xml:space="preserve"> 2022 historical fringe benefits</w:t>
      </w:r>
      <w:r w:rsidR="005D7D1A" w:rsidRPr="009972F3">
        <w:rPr>
          <w:rFonts w:ascii="Times New Roman" w:hAnsi="Times New Roman" w:cs="Times New Roman"/>
        </w:rPr>
        <w:t xml:space="preserve"> of approximately 23%</w:t>
      </w:r>
      <w:r w:rsidRPr="009972F3">
        <w:rPr>
          <w:rFonts w:ascii="Times New Roman" w:hAnsi="Times New Roman" w:cs="Times New Roman"/>
        </w:rPr>
        <w:t>. These expenses include health insurance, FICA, tuition reimbursement and other employee benefit costs.</w:t>
      </w:r>
    </w:p>
    <w:p w14:paraId="3F90406E" w14:textId="77777777" w:rsidR="00E50938" w:rsidRDefault="00E50938" w:rsidP="00DC010D">
      <w:pPr>
        <w:pStyle w:val="ListParagraph"/>
        <w:jc w:val="both"/>
        <w:rPr>
          <w:rFonts w:ascii="Times New Roman" w:hAnsi="Times New Roman" w:cs="Times New Roman"/>
        </w:rPr>
      </w:pPr>
    </w:p>
    <w:p w14:paraId="330F5DE1" w14:textId="77777777" w:rsidR="0023176D" w:rsidRDefault="0023176D" w:rsidP="00DC010D">
      <w:pPr>
        <w:pStyle w:val="ListParagraph"/>
        <w:jc w:val="both"/>
        <w:rPr>
          <w:rFonts w:ascii="Times New Roman" w:hAnsi="Times New Roman" w:cs="Times New Roman"/>
        </w:rPr>
      </w:pPr>
    </w:p>
    <w:p w14:paraId="195366F5" w14:textId="77777777" w:rsidR="001547AC" w:rsidRDefault="001547AC" w:rsidP="00DC010D">
      <w:pPr>
        <w:pStyle w:val="ListParagraph"/>
        <w:jc w:val="both"/>
        <w:rPr>
          <w:rFonts w:ascii="Times New Roman" w:hAnsi="Times New Roman" w:cs="Times New Roman"/>
        </w:rPr>
      </w:pPr>
    </w:p>
    <w:p w14:paraId="628C01DA" w14:textId="77777777" w:rsidR="001547AC" w:rsidRDefault="001547AC" w:rsidP="00DC010D">
      <w:pPr>
        <w:pStyle w:val="ListParagraph"/>
        <w:jc w:val="both"/>
        <w:rPr>
          <w:rFonts w:ascii="Times New Roman" w:hAnsi="Times New Roman" w:cs="Times New Roman"/>
        </w:rPr>
      </w:pPr>
    </w:p>
    <w:p w14:paraId="5E6E4C98" w14:textId="77777777" w:rsidR="001547AC" w:rsidRPr="00E50938" w:rsidRDefault="001547AC" w:rsidP="00DC010D">
      <w:pPr>
        <w:pStyle w:val="ListParagraph"/>
        <w:jc w:val="both"/>
        <w:rPr>
          <w:rFonts w:ascii="Times New Roman" w:hAnsi="Times New Roman" w:cs="Times New Roman"/>
        </w:rPr>
      </w:pPr>
    </w:p>
    <w:p w14:paraId="0635D3B0" w14:textId="77777777" w:rsidR="009465FD" w:rsidRDefault="009465FD" w:rsidP="002B4459">
      <w:pPr>
        <w:spacing w:after="0" w:line="240" w:lineRule="auto"/>
        <w:rPr>
          <w:rFonts w:ascii="Times New Roman" w:hAnsi="Times New Roman" w:cs="Times New Roman"/>
        </w:rPr>
      </w:pPr>
    </w:p>
    <w:p w14:paraId="00C0D9CF" w14:textId="5A0829BB" w:rsidR="002B4459" w:rsidRPr="00EE7DCA" w:rsidRDefault="002B4459" w:rsidP="002B4459">
      <w:pPr>
        <w:spacing w:after="0" w:line="240" w:lineRule="auto"/>
        <w:rPr>
          <w:rFonts w:ascii="Times New Roman" w:hAnsi="Times New Roman" w:cs="Times New Roman"/>
        </w:rPr>
      </w:pPr>
      <w:r w:rsidRPr="00EE7DCA">
        <w:rPr>
          <w:rFonts w:ascii="Times New Roman" w:hAnsi="Times New Roman" w:cs="Times New Roman"/>
        </w:rPr>
        <w:lastRenderedPageBreak/>
        <w:t xml:space="preserve">Mr. </w:t>
      </w:r>
      <w:r>
        <w:rPr>
          <w:rFonts w:ascii="Times New Roman" w:hAnsi="Times New Roman" w:cs="Times New Roman"/>
        </w:rPr>
        <w:t>Sean Ahern</w:t>
      </w:r>
    </w:p>
    <w:p w14:paraId="4CCC8E8A" w14:textId="5B6820AF" w:rsidR="00532AB8" w:rsidRPr="00EE7DCA" w:rsidRDefault="00532AB8" w:rsidP="00532AB8">
      <w:pPr>
        <w:spacing w:after="0" w:line="240" w:lineRule="auto"/>
        <w:rPr>
          <w:rFonts w:ascii="Times New Roman" w:hAnsi="Times New Roman" w:cs="Times New Roman"/>
        </w:rPr>
      </w:pPr>
      <w:r>
        <w:rPr>
          <w:rFonts w:ascii="Times New Roman" w:hAnsi="Times New Roman" w:cs="Times New Roman"/>
        </w:rPr>
        <w:t>Anna Jaques Hospital</w:t>
      </w:r>
    </w:p>
    <w:p w14:paraId="53D8AFF6" w14:textId="20AFE700" w:rsidR="002B4459" w:rsidRDefault="002B4459" w:rsidP="002B4459">
      <w:pPr>
        <w:spacing w:after="0" w:line="240" w:lineRule="auto"/>
        <w:rPr>
          <w:rFonts w:ascii="Times New Roman" w:hAnsi="Times New Roman" w:cs="Times New Roman"/>
        </w:rPr>
      </w:pPr>
      <w:r w:rsidRPr="00D471DF">
        <w:rPr>
          <w:rFonts w:ascii="Times New Roman" w:hAnsi="Times New Roman" w:cs="Times New Roman"/>
        </w:rPr>
        <w:t>Ju</w:t>
      </w:r>
      <w:r w:rsidR="00137A07" w:rsidRPr="00D471DF">
        <w:rPr>
          <w:rFonts w:ascii="Times New Roman" w:hAnsi="Times New Roman" w:cs="Times New Roman"/>
        </w:rPr>
        <w:t>ly</w:t>
      </w:r>
      <w:r w:rsidRPr="00D471DF">
        <w:rPr>
          <w:rFonts w:ascii="Times New Roman" w:hAnsi="Times New Roman" w:cs="Times New Roman"/>
        </w:rPr>
        <w:t xml:space="preserve"> </w:t>
      </w:r>
      <w:r w:rsidR="00D471DF" w:rsidRPr="00D471DF">
        <w:rPr>
          <w:rFonts w:ascii="Times New Roman" w:hAnsi="Times New Roman" w:cs="Times New Roman"/>
        </w:rPr>
        <w:t>12</w:t>
      </w:r>
      <w:r w:rsidRPr="00D471DF">
        <w:rPr>
          <w:rFonts w:ascii="Times New Roman" w:hAnsi="Times New Roman" w:cs="Times New Roman"/>
        </w:rPr>
        <w:t>, 2023</w:t>
      </w:r>
    </w:p>
    <w:p w14:paraId="12699E8A" w14:textId="77777777" w:rsidR="00CD664D" w:rsidRPr="009D69E1" w:rsidRDefault="00CD664D" w:rsidP="00E86183">
      <w:pPr>
        <w:spacing w:after="0" w:line="240" w:lineRule="auto"/>
        <w:jc w:val="both"/>
        <w:rPr>
          <w:rFonts w:ascii="Times New Roman" w:hAnsi="Times New Roman" w:cs="Times New Roman"/>
        </w:rPr>
      </w:pPr>
    </w:p>
    <w:p w14:paraId="78F3E1AE" w14:textId="77777777" w:rsidR="000E486D" w:rsidRDefault="000E486D" w:rsidP="00E86183">
      <w:pPr>
        <w:spacing w:after="0" w:line="240" w:lineRule="auto"/>
        <w:jc w:val="both"/>
        <w:rPr>
          <w:rFonts w:ascii="Times New Roman" w:hAnsi="Times New Roman" w:cs="Times New Roman"/>
        </w:rPr>
      </w:pPr>
    </w:p>
    <w:p w14:paraId="286A17D9" w14:textId="146A4F84" w:rsidR="00403082" w:rsidRPr="0056746F" w:rsidRDefault="00403082" w:rsidP="00403082">
      <w:pPr>
        <w:widowControl w:val="0"/>
        <w:tabs>
          <w:tab w:val="left" w:pos="360"/>
        </w:tabs>
        <w:spacing w:after="0" w:line="240" w:lineRule="auto"/>
        <w:jc w:val="both"/>
        <w:rPr>
          <w:rFonts w:ascii="Times New Roman" w:hAnsi="Times New Roman" w:cs="Times New Roman"/>
          <w:b/>
          <w:sz w:val="24"/>
          <w:szCs w:val="24"/>
          <w:u w:val="single"/>
        </w:rPr>
      </w:pPr>
      <w:r w:rsidRPr="0056746F">
        <w:rPr>
          <w:rFonts w:ascii="Times New Roman" w:hAnsi="Times New Roman" w:cs="Times New Roman"/>
          <w:b/>
          <w:sz w:val="24"/>
          <w:szCs w:val="24"/>
        </w:rPr>
        <w:t>V.</w:t>
      </w:r>
      <w:r w:rsidRPr="0056746F">
        <w:rPr>
          <w:rFonts w:ascii="Times New Roman" w:hAnsi="Times New Roman" w:cs="Times New Roman"/>
          <w:b/>
          <w:sz w:val="24"/>
          <w:szCs w:val="24"/>
        </w:rPr>
        <w:tab/>
      </w:r>
      <w:r w:rsidRPr="0056746F">
        <w:rPr>
          <w:rFonts w:ascii="Times New Roman" w:hAnsi="Times New Roman" w:cs="Times New Roman"/>
          <w:b/>
          <w:sz w:val="24"/>
          <w:szCs w:val="24"/>
          <w:u w:val="single"/>
        </w:rPr>
        <w:t>Review of the Projections</w:t>
      </w:r>
      <w:r w:rsidRPr="0056746F">
        <w:rPr>
          <w:rFonts w:ascii="Times New Roman" w:hAnsi="Times New Roman" w:cs="Times New Roman"/>
          <w:b/>
          <w:sz w:val="24"/>
          <w:szCs w:val="24"/>
        </w:rPr>
        <w:t xml:space="preserve">  (continued)</w:t>
      </w:r>
    </w:p>
    <w:p w14:paraId="6686C5B2" w14:textId="77777777" w:rsidR="004A232B" w:rsidRDefault="004A232B" w:rsidP="00E86183">
      <w:pPr>
        <w:spacing w:after="0" w:line="240" w:lineRule="auto"/>
        <w:jc w:val="both"/>
        <w:rPr>
          <w:rFonts w:ascii="Times New Roman" w:hAnsi="Times New Roman" w:cs="Times New Roman"/>
        </w:rPr>
      </w:pPr>
    </w:p>
    <w:p w14:paraId="1B5344FE" w14:textId="4CD9DB71" w:rsidR="00683048" w:rsidRDefault="00683048" w:rsidP="00683048">
      <w:pPr>
        <w:pStyle w:val="ListParagraph"/>
        <w:widowControl w:val="0"/>
        <w:numPr>
          <w:ilvl w:val="0"/>
          <w:numId w:val="9"/>
        </w:numPr>
        <w:tabs>
          <w:tab w:val="left" w:pos="645"/>
        </w:tabs>
        <w:spacing w:after="0" w:line="240" w:lineRule="auto"/>
        <w:jc w:val="both"/>
        <w:rPr>
          <w:rFonts w:ascii="Times New Roman" w:hAnsi="Times New Roman" w:cs="Times New Roman"/>
        </w:rPr>
      </w:pPr>
      <w:r>
        <w:rPr>
          <w:rFonts w:ascii="Times New Roman" w:hAnsi="Times New Roman" w:cs="Times New Roman"/>
        </w:rPr>
        <w:t xml:space="preserve">Other expenses include supplies, miscellaneous equipment, and purchased services. These costs are based on 24% of historical fiscal year 2022’s actual costs. The percentage is based on the number of scans projected to be performed with the second CT scanner in </w:t>
      </w:r>
      <w:r w:rsidR="009972F3">
        <w:rPr>
          <w:rFonts w:ascii="Times New Roman" w:hAnsi="Times New Roman" w:cs="Times New Roman"/>
        </w:rPr>
        <w:t>fiscal year ending September 30, 2024</w:t>
      </w:r>
      <w:r>
        <w:rPr>
          <w:rFonts w:ascii="Times New Roman" w:hAnsi="Times New Roman" w:cs="Times New Roman"/>
        </w:rPr>
        <w:t xml:space="preserve"> when compared to the number of scans performed in fiscal year 2022. Management anticipates other expenses to increase 12% and 9% </w:t>
      </w:r>
      <w:r w:rsidR="00B803CA">
        <w:rPr>
          <w:rFonts w:ascii="Times New Roman" w:hAnsi="Times New Roman" w:cs="Times New Roman"/>
        </w:rPr>
        <w:t>in fiscal years ending September 30, 2025 and 2026</w:t>
      </w:r>
      <w:r>
        <w:rPr>
          <w:rFonts w:ascii="Times New Roman" w:hAnsi="Times New Roman" w:cs="Times New Roman"/>
        </w:rPr>
        <w:t xml:space="preserve"> related to increase in the volume of scans to be performed. </w:t>
      </w:r>
      <w:r w:rsidR="00B803CA">
        <w:rPr>
          <w:rFonts w:ascii="Times New Roman" w:hAnsi="Times New Roman" w:cs="Times New Roman"/>
        </w:rPr>
        <w:t>Fiscal years ending September 30, 2027 and 2028</w:t>
      </w:r>
      <w:r>
        <w:rPr>
          <w:rFonts w:ascii="Times New Roman" w:hAnsi="Times New Roman" w:cs="Times New Roman"/>
        </w:rPr>
        <w:t xml:space="preserve"> are anticipated to increase 2%</w:t>
      </w:r>
      <w:r w:rsidR="00B803CA">
        <w:rPr>
          <w:rFonts w:ascii="Times New Roman" w:hAnsi="Times New Roman" w:cs="Times New Roman"/>
        </w:rPr>
        <w:t>.</w:t>
      </w:r>
    </w:p>
    <w:p w14:paraId="648A78A5" w14:textId="77777777" w:rsidR="00683048" w:rsidRPr="00FD63DE" w:rsidRDefault="00683048" w:rsidP="00683048">
      <w:pPr>
        <w:pStyle w:val="ListParagraph"/>
        <w:rPr>
          <w:rFonts w:ascii="Times New Roman" w:hAnsi="Times New Roman" w:cs="Times New Roman"/>
        </w:rPr>
      </w:pPr>
    </w:p>
    <w:p w14:paraId="2F4350DF" w14:textId="77777777" w:rsidR="00683048" w:rsidRDefault="00683048" w:rsidP="00683048">
      <w:pPr>
        <w:pStyle w:val="ListParagraph"/>
        <w:widowControl w:val="0"/>
        <w:numPr>
          <w:ilvl w:val="0"/>
          <w:numId w:val="9"/>
        </w:numPr>
        <w:tabs>
          <w:tab w:val="left" w:pos="645"/>
        </w:tabs>
        <w:spacing w:after="0" w:line="240" w:lineRule="auto"/>
        <w:jc w:val="both"/>
        <w:rPr>
          <w:rFonts w:ascii="Times New Roman" w:hAnsi="Times New Roman" w:cs="Times New Roman"/>
        </w:rPr>
      </w:pPr>
      <w:r>
        <w:rPr>
          <w:rFonts w:ascii="Times New Roman" w:hAnsi="Times New Roman" w:cs="Times New Roman"/>
        </w:rPr>
        <w:t>Equipment lease r</w:t>
      </w:r>
      <w:r w:rsidRPr="0032269A">
        <w:rPr>
          <w:rFonts w:ascii="Times New Roman" w:hAnsi="Times New Roman" w:cs="Times New Roman"/>
        </w:rPr>
        <w:t xml:space="preserve">elates to the </w:t>
      </w:r>
      <w:r>
        <w:rPr>
          <w:rFonts w:ascii="Times New Roman" w:hAnsi="Times New Roman" w:cs="Times New Roman"/>
        </w:rPr>
        <w:t xml:space="preserve">proposed </w:t>
      </w:r>
      <w:r w:rsidRPr="0032269A">
        <w:rPr>
          <w:rFonts w:ascii="Times New Roman" w:hAnsi="Times New Roman" w:cs="Times New Roman"/>
        </w:rPr>
        <w:t xml:space="preserve">lease agreement for the second CT scanner with Siemens Financial Services, Inc. The lease is a 60-month lease, with monthly payments of $14,686.75. </w:t>
      </w:r>
      <w:r>
        <w:rPr>
          <w:rFonts w:ascii="Times New Roman" w:hAnsi="Times New Roman" w:cs="Times New Roman"/>
        </w:rPr>
        <w:t>The total cost of the lease is $881,205. At the end of the lease period, AJH will purchase the machine for $1.</w:t>
      </w:r>
    </w:p>
    <w:p w14:paraId="44824950" w14:textId="77777777" w:rsidR="00683048" w:rsidRPr="0032269A" w:rsidRDefault="00683048" w:rsidP="00683048">
      <w:pPr>
        <w:widowControl w:val="0"/>
        <w:tabs>
          <w:tab w:val="left" w:pos="645"/>
        </w:tabs>
        <w:spacing w:after="0" w:line="240" w:lineRule="auto"/>
        <w:jc w:val="both"/>
        <w:rPr>
          <w:rFonts w:ascii="Times New Roman" w:hAnsi="Times New Roman" w:cs="Times New Roman"/>
        </w:rPr>
      </w:pPr>
    </w:p>
    <w:p w14:paraId="554354C8" w14:textId="00C07A9D" w:rsidR="00683048" w:rsidRPr="00874614" w:rsidRDefault="00683048" w:rsidP="00683048">
      <w:pPr>
        <w:pStyle w:val="ListParagraph"/>
        <w:widowControl w:val="0"/>
        <w:numPr>
          <w:ilvl w:val="0"/>
          <w:numId w:val="9"/>
        </w:numPr>
        <w:tabs>
          <w:tab w:val="left" w:pos="645"/>
        </w:tabs>
        <w:spacing w:after="0" w:line="240" w:lineRule="auto"/>
        <w:jc w:val="both"/>
        <w:rPr>
          <w:rFonts w:ascii="Times New Roman" w:hAnsi="Times New Roman" w:cs="Times New Roman"/>
        </w:rPr>
      </w:pPr>
      <w:r>
        <w:rPr>
          <w:rFonts w:ascii="Times New Roman" w:hAnsi="Times New Roman" w:cs="Times New Roman"/>
        </w:rPr>
        <w:t>Maintenance is projected to be</w:t>
      </w:r>
      <w:r w:rsidRPr="00874614">
        <w:rPr>
          <w:rFonts w:ascii="Times New Roman" w:hAnsi="Times New Roman" w:cs="Times New Roman"/>
        </w:rPr>
        <w:t xml:space="preserve"> $99,</w:t>
      </w:r>
      <w:r>
        <w:rPr>
          <w:rFonts w:ascii="Times New Roman" w:hAnsi="Times New Roman" w:cs="Times New Roman"/>
        </w:rPr>
        <w:t xml:space="preserve">000 per year based on the maintenance proposal from </w:t>
      </w:r>
      <w:proofErr w:type="spellStart"/>
      <w:r>
        <w:rPr>
          <w:rFonts w:ascii="Times New Roman" w:hAnsi="Times New Roman" w:cs="Times New Roman"/>
        </w:rPr>
        <w:t>Crothall</w:t>
      </w:r>
      <w:proofErr w:type="spellEnd"/>
      <w:r>
        <w:rPr>
          <w:rFonts w:ascii="Times New Roman" w:hAnsi="Times New Roman" w:cs="Times New Roman"/>
        </w:rPr>
        <w:t xml:space="preserve"> Healthcare</w:t>
      </w:r>
      <w:r w:rsidR="00EE54D4">
        <w:rPr>
          <w:rFonts w:ascii="Times New Roman" w:hAnsi="Times New Roman" w:cs="Times New Roman"/>
        </w:rPr>
        <w:t>,</w:t>
      </w:r>
      <w:r w:rsidR="002074FC">
        <w:rPr>
          <w:rFonts w:ascii="Times New Roman" w:hAnsi="Times New Roman" w:cs="Times New Roman"/>
        </w:rPr>
        <w:t xml:space="preserve"> beginning in the fiscal year ending September 30, 2025</w:t>
      </w:r>
      <w:r>
        <w:rPr>
          <w:rFonts w:ascii="Times New Roman" w:hAnsi="Times New Roman" w:cs="Times New Roman"/>
        </w:rPr>
        <w:t xml:space="preserve">. </w:t>
      </w:r>
    </w:p>
    <w:p w14:paraId="13186AE1" w14:textId="77777777" w:rsidR="00683048" w:rsidRPr="009D18DC" w:rsidRDefault="00683048" w:rsidP="00683048">
      <w:pPr>
        <w:pStyle w:val="ListParagraph"/>
        <w:rPr>
          <w:rFonts w:ascii="Times New Roman" w:hAnsi="Times New Roman" w:cs="Times New Roman"/>
        </w:rPr>
      </w:pPr>
    </w:p>
    <w:p w14:paraId="2AC8F4A2" w14:textId="77777777" w:rsidR="00683048" w:rsidRPr="00AF3EFD" w:rsidRDefault="00683048" w:rsidP="00683048">
      <w:pPr>
        <w:pStyle w:val="ListParagraph"/>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The Applicant is required to pay a 5% fee to the Commonwealth of Massachusetts based on the total projected capital costs of $2,100,496, which results in a community health initiative (“CHI”) payment of approximately $105,000, which will be payable over the first four years of the proforma. </w:t>
      </w:r>
    </w:p>
    <w:p w14:paraId="7A5DBBD9" w14:textId="77777777" w:rsidR="00683048" w:rsidRPr="00AF3EFD" w:rsidRDefault="00683048" w:rsidP="00683048">
      <w:pPr>
        <w:pStyle w:val="ListParagraph"/>
        <w:rPr>
          <w:rFonts w:ascii="Times New Roman" w:hAnsi="Times New Roman" w:cs="Times New Roman"/>
        </w:rPr>
      </w:pPr>
    </w:p>
    <w:p w14:paraId="78FC5B3B" w14:textId="2042CA8A" w:rsidR="00683048" w:rsidRDefault="00683048" w:rsidP="00683048">
      <w:pPr>
        <w:pStyle w:val="ListParagraph"/>
        <w:widowControl w:val="0"/>
        <w:numPr>
          <w:ilvl w:val="0"/>
          <w:numId w:val="9"/>
        </w:numPr>
        <w:tabs>
          <w:tab w:val="left" w:pos="645"/>
        </w:tabs>
        <w:spacing w:after="0" w:line="240" w:lineRule="auto"/>
        <w:jc w:val="both"/>
        <w:rPr>
          <w:rFonts w:ascii="Times New Roman" w:hAnsi="Times New Roman" w:cs="Times New Roman"/>
        </w:rPr>
      </w:pPr>
      <w:r w:rsidRPr="00CF61AC">
        <w:rPr>
          <w:rFonts w:ascii="Times New Roman" w:hAnsi="Times New Roman" w:cs="Times New Roman"/>
        </w:rPr>
        <w:t>Costs of approximately $</w:t>
      </w:r>
      <w:r>
        <w:rPr>
          <w:rFonts w:ascii="Times New Roman" w:hAnsi="Times New Roman" w:cs="Times New Roman"/>
        </w:rPr>
        <w:t>1,100</w:t>
      </w:r>
      <w:r w:rsidRPr="00CF61AC">
        <w:rPr>
          <w:rFonts w:ascii="Times New Roman" w:hAnsi="Times New Roman" w:cs="Times New Roman"/>
        </w:rPr>
        <w:t xml:space="preserve">,000 for the </w:t>
      </w:r>
      <w:r>
        <w:rPr>
          <w:rFonts w:ascii="Times New Roman" w:hAnsi="Times New Roman" w:cs="Times New Roman"/>
        </w:rPr>
        <w:t xml:space="preserve">estimated constructions costs relating to the </w:t>
      </w:r>
      <w:r w:rsidRPr="00CF61AC">
        <w:rPr>
          <w:rFonts w:ascii="Times New Roman" w:hAnsi="Times New Roman" w:cs="Times New Roman"/>
        </w:rPr>
        <w:t>new CT scanner</w:t>
      </w:r>
      <w:r>
        <w:rPr>
          <w:rFonts w:ascii="Times New Roman" w:hAnsi="Times New Roman" w:cs="Times New Roman"/>
        </w:rPr>
        <w:t>.</w:t>
      </w:r>
      <w:r w:rsidRPr="00CF61AC">
        <w:rPr>
          <w:rFonts w:ascii="Times New Roman" w:hAnsi="Times New Roman" w:cs="Times New Roman"/>
        </w:rPr>
        <w:t xml:space="preserve"> </w:t>
      </w:r>
      <w:r>
        <w:rPr>
          <w:rFonts w:ascii="Times New Roman" w:hAnsi="Times New Roman" w:cs="Times New Roman"/>
        </w:rPr>
        <w:t>D</w:t>
      </w:r>
      <w:r w:rsidRPr="00CF61AC">
        <w:rPr>
          <w:rFonts w:ascii="Times New Roman" w:hAnsi="Times New Roman" w:cs="Times New Roman"/>
        </w:rPr>
        <w:t>epreciat</w:t>
      </w:r>
      <w:r>
        <w:rPr>
          <w:rFonts w:ascii="Times New Roman" w:hAnsi="Times New Roman" w:cs="Times New Roman"/>
        </w:rPr>
        <w:t>ion will range from 3-25</w:t>
      </w:r>
      <w:r w:rsidRPr="00CF61AC">
        <w:rPr>
          <w:rFonts w:ascii="Times New Roman" w:hAnsi="Times New Roman" w:cs="Times New Roman"/>
        </w:rPr>
        <w:t xml:space="preserve"> years beginning in </w:t>
      </w:r>
      <w:r w:rsidR="00B803CA">
        <w:rPr>
          <w:rFonts w:ascii="Times New Roman" w:hAnsi="Times New Roman" w:cs="Times New Roman"/>
        </w:rPr>
        <w:t>fiscal year ending September 30, 2024</w:t>
      </w:r>
      <w:r w:rsidRPr="00CF61AC">
        <w:rPr>
          <w:rFonts w:ascii="Times New Roman" w:hAnsi="Times New Roman" w:cs="Times New Roman"/>
        </w:rPr>
        <w:t xml:space="preserve">. </w:t>
      </w:r>
    </w:p>
    <w:p w14:paraId="2B1D3A53" w14:textId="77777777" w:rsidR="00683048" w:rsidRDefault="00683048" w:rsidP="004A232B">
      <w:pPr>
        <w:widowControl w:val="0"/>
        <w:spacing w:after="0" w:line="240" w:lineRule="auto"/>
        <w:ind w:left="360"/>
        <w:jc w:val="both"/>
        <w:rPr>
          <w:rFonts w:ascii="Times New Roman" w:hAnsi="Times New Roman" w:cs="Times New Roman"/>
        </w:rPr>
      </w:pPr>
    </w:p>
    <w:p w14:paraId="66C2F952" w14:textId="706B823A" w:rsidR="004A232B" w:rsidRDefault="004A232B" w:rsidP="004A232B">
      <w:pPr>
        <w:widowControl w:val="0"/>
        <w:spacing w:after="0" w:line="240" w:lineRule="auto"/>
        <w:ind w:left="360"/>
        <w:jc w:val="both"/>
        <w:rPr>
          <w:rFonts w:ascii="Times New Roman" w:hAnsi="Times New Roman" w:cs="Times New Roman"/>
        </w:rPr>
      </w:pPr>
      <w:r>
        <w:rPr>
          <w:rFonts w:ascii="Times New Roman" w:hAnsi="Times New Roman" w:cs="Times New Roman"/>
        </w:rPr>
        <w:t xml:space="preserve">We analyzed the projected/pro forma expenses for </w:t>
      </w:r>
      <w:r w:rsidR="003068A2">
        <w:rPr>
          <w:rFonts w:ascii="Times New Roman" w:hAnsi="Times New Roman" w:cs="Times New Roman"/>
        </w:rPr>
        <w:t>years ending September 30, 2024, 2025, 2026, 2027, and 2028</w:t>
      </w:r>
      <w:r>
        <w:rPr>
          <w:rFonts w:ascii="Times New Roman" w:hAnsi="Times New Roman" w:cs="Times New Roman"/>
        </w:rPr>
        <w:t xml:space="preserve"> in relation to the existing CT scanner at the Hospital for fiscal year 2022, in order to assess the reasonableness of the projected/pro forma statements.  Based on our analysis, the pro-forma total expenses projected by Management are a reasonable estimation and conservative</w:t>
      </w:r>
      <w:r w:rsidR="005A6D93">
        <w:rPr>
          <w:rFonts w:ascii="Times New Roman" w:hAnsi="Times New Roman" w:cs="Times New Roman"/>
        </w:rPr>
        <w:t>.</w:t>
      </w:r>
    </w:p>
    <w:p w14:paraId="28B66476" w14:textId="77777777" w:rsidR="00E94EF8" w:rsidRPr="00955A22" w:rsidRDefault="00E94EF8" w:rsidP="00342FB9">
      <w:pPr>
        <w:spacing w:after="0" w:line="180" w:lineRule="auto"/>
        <w:jc w:val="both"/>
        <w:rPr>
          <w:rFonts w:ascii="Times New Roman" w:hAnsi="Times New Roman" w:cs="Times New Roman"/>
        </w:rPr>
      </w:pPr>
    </w:p>
    <w:p w14:paraId="6F560AD6" w14:textId="5B1C778D" w:rsidR="00C171AB" w:rsidRPr="00B073C1" w:rsidRDefault="00C171AB" w:rsidP="00B073C1">
      <w:pPr>
        <w:spacing w:after="0" w:line="240" w:lineRule="auto"/>
        <w:ind w:left="360" w:firstLine="360"/>
        <w:jc w:val="both"/>
        <w:rPr>
          <w:rFonts w:ascii="Times New Roman" w:hAnsi="Times New Roman" w:cs="Times New Roman"/>
          <w:b/>
          <w:bCs/>
          <w:u w:val="single"/>
        </w:rPr>
      </w:pPr>
      <w:r w:rsidRPr="00B073C1">
        <w:rPr>
          <w:rFonts w:ascii="Times New Roman" w:hAnsi="Times New Roman" w:cs="Times New Roman"/>
          <w:b/>
          <w:bCs/>
          <w:u w:val="single"/>
        </w:rPr>
        <w:t xml:space="preserve">Net </w:t>
      </w:r>
      <w:r w:rsidR="00EF78E7" w:rsidRPr="00B073C1">
        <w:rPr>
          <w:rFonts w:ascii="Times New Roman" w:hAnsi="Times New Roman" w:cs="Times New Roman"/>
          <w:b/>
          <w:bCs/>
          <w:u w:val="single"/>
        </w:rPr>
        <w:t>Income</w:t>
      </w:r>
    </w:p>
    <w:p w14:paraId="52EAB225" w14:textId="6A3B555F" w:rsidR="007E3D4B" w:rsidRPr="00955A22" w:rsidRDefault="007E3D4B" w:rsidP="00B073C1">
      <w:pPr>
        <w:spacing w:after="0" w:line="240" w:lineRule="auto"/>
        <w:ind w:left="360" w:firstLine="360"/>
        <w:jc w:val="both"/>
        <w:rPr>
          <w:rFonts w:ascii="Times New Roman" w:hAnsi="Times New Roman" w:cs="Times New Roman"/>
        </w:rPr>
      </w:pPr>
      <w:r w:rsidRPr="00955A22">
        <w:rPr>
          <w:rFonts w:ascii="Times New Roman" w:hAnsi="Times New Roman" w:cs="Times New Roman"/>
        </w:rPr>
        <w:t xml:space="preserve">The table below provides a summary of the net </w:t>
      </w:r>
      <w:r w:rsidR="00EF78E7">
        <w:rPr>
          <w:rFonts w:ascii="Times New Roman" w:hAnsi="Times New Roman" w:cs="Times New Roman"/>
        </w:rPr>
        <w:t>income</w:t>
      </w:r>
      <w:r w:rsidR="00C935E2" w:rsidRPr="00955A22">
        <w:rPr>
          <w:rFonts w:ascii="Times New Roman" w:hAnsi="Times New Roman" w:cs="Times New Roman"/>
        </w:rPr>
        <w:t xml:space="preserve"> </w:t>
      </w:r>
      <w:r w:rsidRPr="00955A22">
        <w:rPr>
          <w:rFonts w:ascii="Times New Roman" w:hAnsi="Times New Roman" w:cs="Times New Roman"/>
        </w:rPr>
        <w:t>by year</w:t>
      </w:r>
      <w:r w:rsidR="007628A5">
        <w:rPr>
          <w:rFonts w:ascii="Times New Roman" w:hAnsi="Times New Roman" w:cs="Times New Roman"/>
        </w:rPr>
        <w:t xml:space="preserve"> (fiscal year September)</w:t>
      </w:r>
      <w:r w:rsidRPr="00955A22">
        <w:rPr>
          <w:rFonts w:ascii="Times New Roman" w:hAnsi="Times New Roman" w:cs="Times New Roman"/>
        </w:rPr>
        <w:t xml:space="preserve">: </w:t>
      </w:r>
    </w:p>
    <w:p w14:paraId="10C11FC5" w14:textId="77777777" w:rsidR="007E3D4B" w:rsidRPr="007135C3" w:rsidRDefault="007E3D4B" w:rsidP="00C171AB">
      <w:pPr>
        <w:spacing w:after="0" w:line="240" w:lineRule="auto"/>
        <w:ind w:left="360"/>
        <w:jc w:val="both"/>
        <w:rPr>
          <w:rFonts w:ascii="Times New Roman" w:hAnsi="Times New Roman" w:cs="Times New Roman"/>
          <w:b/>
          <w:highlight w:val="yellow"/>
        </w:rPr>
      </w:pPr>
    </w:p>
    <w:tbl>
      <w:tblPr>
        <w:tblStyle w:val="TableGrid"/>
        <w:tblW w:w="6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3"/>
        <w:gridCol w:w="990"/>
        <w:gridCol w:w="990"/>
        <w:gridCol w:w="990"/>
        <w:gridCol w:w="990"/>
        <w:gridCol w:w="990"/>
      </w:tblGrid>
      <w:tr w:rsidR="009A79F4" w:rsidRPr="007135C3" w14:paraId="71A0852C" w14:textId="3C388D0E" w:rsidTr="008C6751">
        <w:trPr>
          <w:cantSplit/>
          <w:tblHeader/>
          <w:jc w:val="center"/>
        </w:trPr>
        <w:tc>
          <w:tcPr>
            <w:tcW w:w="1623" w:type="dxa"/>
          </w:tcPr>
          <w:p w14:paraId="71C8A28A" w14:textId="77777777" w:rsidR="009A79F4" w:rsidRPr="00C25567" w:rsidRDefault="009A79F4" w:rsidP="006F0340">
            <w:pPr>
              <w:jc w:val="center"/>
              <w:rPr>
                <w:sz w:val="16"/>
                <w:szCs w:val="16"/>
              </w:rPr>
            </w:pPr>
          </w:p>
          <w:p w14:paraId="462F0C52" w14:textId="77777777" w:rsidR="00B8157E" w:rsidRPr="00C25567" w:rsidRDefault="00B8157E" w:rsidP="006F0340">
            <w:pPr>
              <w:jc w:val="center"/>
              <w:rPr>
                <w:sz w:val="16"/>
                <w:szCs w:val="16"/>
              </w:rPr>
            </w:pPr>
          </w:p>
          <w:p w14:paraId="7C10D4F4" w14:textId="77777777" w:rsidR="00B8157E" w:rsidRDefault="00B8157E" w:rsidP="006F0340">
            <w:pPr>
              <w:jc w:val="center"/>
              <w:rPr>
                <w:sz w:val="16"/>
                <w:szCs w:val="16"/>
              </w:rPr>
            </w:pPr>
          </w:p>
          <w:p w14:paraId="3C1FA49D" w14:textId="77777777" w:rsidR="00C25567" w:rsidRPr="00C25567" w:rsidRDefault="00C25567" w:rsidP="006F0340">
            <w:pPr>
              <w:jc w:val="center"/>
              <w:rPr>
                <w:sz w:val="16"/>
                <w:szCs w:val="16"/>
              </w:rPr>
            </w:pPr>
          </w:p>
          <w:p w14:paraId="5AAA8462" w14:textId="77777777" w:rsidR="00B8157E" w:rsidRPr="00C25567" w:rsidRDefault="00B8157E" w:rsidP="006F0340">
            <w:pPr>
              <w:jc w:val="center"/>
              <w:rPr>
                <w:sz w:val="16"/>
                <w:szCs w:val="16"/>
              </w:rPr>
            </w:pPr>
          </w:p>
          <w:p w14:paraId="5BEC7260" w14:textId="5A9F1FFF" w:rsidR="00B8157E" w:rsidRPr="00C25567" w:rsidRDefault="00B8157E" w:rsidP="006F0340">
            <w:pPr>
              <w:jc w:val="center"/>
              <w:rPr>
                <w:sz w:val="16"/>
                <w:szCs w:val="16"/>
              </w:rPr>
            </w:pPr>
            <w:r w:rsidRPr="00C25567">
              <w:rPr>
                <w:sz w:val="16"/>
                <w:szCs w:val="16"/>
              </w:rPr>
              <w:t>Category</w:t>
            </w:r>
          </w:p>
        </w:tc>
        <w:tc>
          <w:tcPr>
            <w:tcW w:w="990" w:type="dxa"/>
          </w:tcPr>
          <w:p w14:paraId="62449913" w14:textId="77777777" w:rsidR="009A79F4" w:rsidRPr="00C25567" w:rsidRDefault="009A79F4" w:rsidP="006F0340">
            <w:pPr>
              <w:jc w:val="center"/>
              <w:rPr>
                <w:sz w:val="16"/>
                <w:szCs w:val="16"/>
              </w:rPr>
            </w:pPr>
            <w:r w:rsidRPr="00C25567">
              <w:rPr>
                <w:sz w:val="16"/>
                <w:szCs w:val="16"/>
              </w:rPr>
              <w:t>Projected/</w:t>
            </w:r>
          </w:p>
          <w:p w14:paraId="7CB1590C" w14:textId="77777777" w:rsidR="009A79F4" w:rsidRPr="00C25567" w:rsidRDefault="009A79F4" w:rsidP="006F0340">
            <w:pPr>
              <w:jc w:val="center"/>
              <w:rPr>
                <w:sz w:val="16"/>
                <w:szCs w:val="16"/>
              </w:rPr>
            </w:pPr>
            <w:r w:rsidRPr="00C25567">
              <w:rPr>
                <w:sz w:val="16"/>
                <w:szCs w:val="16"/>
              </w:rPr>
              <w:t>pro-forma</w:t>
            </w:r>
          </w:p>
          <w:p w14:paraId="3AB217D2" w14:textId="77777777" w:rsidR="009A79F4" w:rsidRPr="00C25567" w:rsidRDefault="009A79F4" w:rsidP="006F0340">
            <w:pPr>
              <w:jc w:val="center"/>
              <w:rPr>
                <w:sz w:val="16"/>
                <w:szCs w:val="16"/>
              </w:rPr>
            </w:pPr>
            <w:r w:rsidRPr="00C25567">
              <w:rPr>
                <w:sz w:val="16"/>
                <w:szCs w:val="16"/>
              </w:rPr>
              <w:t>with second CT scanner</w:t>
            </w:r>
          </w:p>
          <w:p w14:paraId="62256B07" w14:textId="009E3CB2" w:rsidR="009A79F4" w:rsidRPr="00C25567" w:rsidRDefault="009A79F4" w:rsidP="006F0340">
            <w:pPr>
              <w:jc w:val="center"/>
              <w:rPr>
                <w:sz w:val="16"/>
                <w:szCs w:val="16"/>
              </w:rPr>
            </w:pPr>
            <w:r w:rsidRPr="00C25567">
              <w:rPr>
                <w:sz w:val="16"/>
                <w:szCs w:val="16"/>
              </w:rPr>
              <w:t>2024</w:t>
            </w:r>
          </w:p>
        </w:tc>
        <w:tc>
          <w:tcPr>
            <w:tcW w:w="990" w:type="dxa"/>
          </w:tcPr>
          <w:p w14:paraId="5D48B3DF" w14:textId="77777777" w:rsidR="009A79F4" w:rsidRPr="00C25567" w:rsidRDefault="009A79F4" w:rsidP="006F0340">
            <w:pPr>
              <w:jc w:val="center"/>
              <w:rPr>
                <w:sz w:val="16"/>
                <w:szCs w:val="16"/>
              </w:rPr>
            </w:pPr>
            <w:r w:rsidRPr="00C25567">
              <w:rPr>
                <w:sz w:val="16"/>
                <w:szCs w:val="16"/>
              </w:rPr>
              <w:t>Projected/</w:t>
            </w:r>
          </w:p>
          <w:p w14:paraId="49295105" w14:textId="77777777" w:rsidR="009A79F4" w:rsidRPr="00C25567" w:rsidRDefault="009A79F4" w:rsidP="006F0340">
            <w:pPr>
              <w:jc w:val="center"/>
              <w:rPr>
                <w:sz w:val="16"/>
                <w:szCs w:val="16"/>
              </w:rPr>
            </w:pPr>
            <w:r w:rsidRPr="00C25567">
              <w:rPr>
                <w:sz w:val="16"/>
                <w:szCs w:val="16"/>
              </w:rPr>
              <w:t>pro-forma</w:t>
            </w:r>
          </w:p>
          <w:p w14:paraId="511612F1" w14:textId="77777777" w:rsidR="009A79F4" w:rsidRPr="00C25567" w:rsidRDefault="009A79F4" w:rsidP="006F0340">
            <w:pPr>
              <w:jc w:val="center"/>
              <w:rPr>
                <w:sz w:val="16"/>
                <w:szCs w:val="16"/>
              </w:rPr>
            </w:pPr>
            <w:r w:rsidRPr="00C25567">
              <w:rPr>
                <w:sz w:val="16"/>
                <w:szCs w:val="16"/>
              </w:rPr>
              <w:t>with second CT scanner</w:t>
            </w:r>
          </w:p>
          <w:p w14:paraId="50857F5B" w14:textId="019C3836" w:rsidR="009A79F4" w:rsidRPr="00C25567" w:rsidRDefault="009A79F4" w:rsidP="006F0340">
            <w:pPr>
              <w:jc w:val="center"/>
              <w:rPr>
                <w:sz w:val="16"/>
                <w:szCs w:val="16"/>
              </w:rPr>
            </w:pPr>
            <w:r w:rsidRPr="00C25567">
              <w:rPr>
                <w:sz w:val="16"/>
                <w:szCs w:val="16"/>
              </w:rPr>
              <w:t>2025</w:t>
            </w:r>
          </w:p>
        </w:tc>
        <w:tc>
          <w:tcPr>
            <w:tcW w:w="990" w:type="dxa"/>
          </w:tcPr>
          <w:p w14:paraId="56E1977E" w14:textId="77777777" w:rsidR="009A79F4" w:rsidRPr="00C25567" w:rsidRDefault="009A79F4" w:rsidP="006F0340">
            <w:pPr>
              <w:jc w:val="center"/>
              <w:rPr>
                <w:sz w:val="16"/>
                <w:szCs w:val="16"/>
              </w:rPr>
            </w:pPr>
            <w:r w:rsidRPr="00C25567">
              <w:rPr>
                <w:sz w:val="16"/>
                <w:szCs w:val="16"/>
              </w:rPr>
              <w:t>Projected/</w:t>
            </w:r>
          </w:p>
          <w:p w14:paraId="277DA4DA" w14:textId="77777777" w:rsidR="009A79F4" w:rsidRPr="00C25567" w:rsidRDefault="009A79F4" w:rsidP="006F0340">
            <w:pPr>
              <w:jc w:val="center"/>
              <w:rPr>
                <w:sz w:val="16"/>
                <w:szCs w:val="16"/>
              </w:rPr>
            </w:pPr>
            <w:r w:rsidRPr="00C25567">
              <w:rPr>
                <w:sz w:val="16"/>
                <w:szCs w:val="16"/>
              </w:rPr>
              <w:t>pro-forma</w:t>
            </w:r>
          </w:p>
          <w:p w14:paraId="1A29FE23" w14:textId="77777777" w:rsidR="009A79F4" w:rsidRPr="00C25567" w:rsidRDefault="009A79F4" w:rsidP="006F0340">
            <w:pPr>
              <w:jc w:val="center"/>
              <w:rPr>
                <w:sz w:val="16"/>
                <w:szCs w:val="16"/>
              </w:rPr>
            </w:pPr>
            <w:r w:rsidRPr="00C25567">
              <w:rPr>
                <w:sz w:val="16"/>
                <w:szCs w:val="16"/>
              </w:rPr>
              <w:t>with second CT scanner</w:t>
            </w:r>
          </w:p>
          <w:p w14:paraId="7AAA4831" w14:textId="5C0426E2" w:rsidR="009A79F4" w:rsidRPr="00C25567" w:rsidRDefault="009A79F4" w:rsidP="006F0340">
            <w:pPr>
              <w:jc w:val="center"/>
              <w:rPr>
                <w:sz w:val="16"/>
                <w:szCs w:val="16"/>
              </w:rPr>
            </w:pPr>
            <w:r w:rsidRPr="00C25567">
              <w:rPr>
                <w:sz w:val="16"/>
                <w:szCs w:val="16"/>
              </w:rPr>
              <w:t>2026</w:t>
            </w:r>
          </w:p>
        </w:tc>
        <w:tc>
          <w:tcPr>
            <w:tcW w:w="990" w:type="dxa"/>
          </w:tcPr>
          <w:p w14:paraId="50826D3F" w14:textId="77777777" w:rsidR="009A79F4" w:rsidRPr="00C25567" w:rsidRDefault="009A79F4" w:rsidP="006F0340">
            <w:pPr>
              <w:jc w:val="center"/>
              <w:rPr>
                <w:sz w:val="16"/>
                <w:szCs w:val="16"/>
              </w:rPr>
            </w:pPr>
            <w:r w:rsidRPr="00C25567">
              <w:rPr>
                <w:sz w:val="16"/>
                <w:szCs w:val="16"/>
              </w:rPr>
              <w:t>Projected/</w:t>
            </w:r>
          </w:p>
          <w:p w14:paraId="36A5F08A" w14:textId="77777777" w:rsidR="009A79F4" w:rsidRPr="00C25567" w:rsidRDefault="009A79F4" w:rsidP="006F0340">
            <w:pPr>
              <w:jc w:val="center"/>
              <w:rPr>
                <w:sz w:val="16"/>
                <w:szCs w:val="16"/>
              </w:rPr>
            </w:pPr>
            <w:r w:rsidRPr="00C25567">
              <w:rPr>
                <w:sz w:val="16"/>
                <w:szCs w:val="16"/>
              </w:rPr>
              <w:t>pro-forma</w:t>
            </w:r>
          </w:p>
          <w:p w14:paraId="1709B221" w14:textId="77777777" w:rsidR="009A79F4" w:rsidRPr="00C25567" w:rsidRDefault="009A79F4" w:rsidP="006F0340">
            <w:pPr>
              <w:jc w:val="center"/>
              <w:rPr>
                <w:sz w:val="16"/>
                <w:szCs w:val="16"/>
              </w:rPr>
            </w:pPr>
            <w:r w:rsidRPr="00C25567">
              <w:rPr>
                <w:sz w:val="16"/>
                <w:szCs w:val="16"/>
              </w:rPr>
              <w:t>with second CT scanner</w:t>
            </w:r>
          </w:p>
          <w:p w14:paraId="457027A8" w14:textId="0A3C0101" w:rsidR="009A79F4" w:rsidRPr="00C25567" w:rsidRDefault="009A79F4" w:rsidP="006F0340">
            <w:pPr>
              <w:jc w:val="center"/>
              <w:rPr>
                <w:sz w:val="16"/>
                <w:szCs w:val="16"/>
              </w:rPr>
            </w:pPr>
            <w:r w:rsidRPr="00C25567">
              <w:rPr>
                <w:sz w:val="16"/>
                <w:szCs w:val="16"/>
              </w:rPr>
              <w:t>2027</w:t>
            </w:r>
          </w:p>
        </w:tc>
        <w:tc>
          <w:tcPr>
            <w:tcW w:w="990" w:type="dxa"/>
          </w:tcPr>
          <w:p w14:paraId="778DC7FC" w14:textId="77777777" w:rsidR="009A79F4" w:rsidRPr="00C25567" w:rsidRDefault="009A79F4" w:rsidP="003855CE">
            <w:pPr>
              <w:tabs>
                <w:tab w:val="left" w:pos="661"/>
              </w:tabs>
              <w:jc w:val="center"/>
              <w:rPr>
                <w:sz w:val="16"/>
                <w:szCs w:val="16"/>
              </w:rPr>
            </w:pPr>
            <w:r w:rsidRPr="00C25567">
              <w:rPr>
                <w:sz w:val="16"/>
                <w:szCs w:val="16"/>
              </w:rPr>
              <w:t>Projected/</w:t>
            </w:r>
          </w:p>
          <w:p w14:paraId="153DFC05" w14:textId="77777777" w:rsidR="009A79F4" w:rsidRPr="00C25567" w:rsidRDefault="009A79F4" w:rsidP="003855CE">
            <w:pPr>
              <w:tabs>
                <w:tab w:val="left" w:pos="661"/>
              </w:tabs>
              <w:jc w:val="center"/>
              <w:rPr>
                <w:sz w:val="16"/>
                <w:szCs w:val="16"/>
              </w:rPr>
            </w:pPr>
            <w:r w:rsidRPr="00C25567">
              <w:rPr>
                <w:sz w:val="16"/>
                <w:szCs w:val="16"/>
              </w:rPr>
              <w:t>pro-forma</w:t>
            </w:r>
          </w:p>
          <w:p w14:paraId="05FA0DD5" w14:textId="77777777" w:rsidR="009A79F4" w:rsidRPr="00C25567" w:rsidRDefault="009A79F4" w:rsidP="003855CE">
            <w:pPr>
              <w:tabs>
                <w:tab w:val="left" w:pos="661"/>
              </w:tabs>
              <w:jc w:val="center"/>
              <w:rPr>
                <w:sz w:val="16"/>
                <w:szCs w:val="16"/>
              </w:rPr>
            </w:pPr>
            <w:r w:rsidRPr="00C25567">
              <w:rPr>
                <w:sz w:val="16"/>
                <w:szCs w:val="16"/>
              </w:rPr>
              <w:t>with second CT scanner</w:t>
            </w:r>
          </w:p>
          <w:p w14:paraId="60882C5F" w14:textId="440AC596" w:rsidR="009A79F4" w:rsidRPr="00C25567" w:rsidRDefault="009A79F4" w:rsidP="003855CE">
            <w:pPr>
              <w:tabs>
                <w:tab w:val="left" w:pos="661"/>
              </w:tabs>
              <w:jc w:val="center"/>
              <w:rPr>
                <w:sz w:val="16"/>
                <w:szCs w:val="16"/>
              </w:rPr>
            </w:pPr>
            <w:r w:rsidRPr="00C25567">
              <w:rPr>
                <w:sz w:val="16"/>
                <w:szCs w:val="16"/>
              </w:rPr>
              <w:t>2027</w:t>
            </w:r>
          </w:p>
        </w:tc>
      </w:tr>
      <w:tr w:rsidR="009A79F4" w:rsidRPr="007135C3" w14:paraId="27037767" w14:textId="7F482071" w:rsidTr="008C6751">
        <w:trPr>
          <w:cantSplit/>
          <w:jc w:val="center"/>
        </w:trPr>
        <w:tc>
          <w:tcPr>
            <w:tcW w:w="1623" w:type="dxa"/>
          </w:tcPr>
          <w:p w14:paraId="64EADFC6" w14:textId="001597B0" w:rsidR="009A79F4" w:rsidRPr="00955A22" w:rsidRDefault="009A79F4" w:rsidP="0023176D">
            <w:pPr>
              <w:jc w:val="left"/>
              <w:rPr>
                <w:sz w:val="16"/>
                <w:szCs w:val="16"/>
              </w:rPr>
            </w:pPr>
            <w:r>
              <w:rPr>
                <w:sz w:val="16"/>
                <w:szCs w:val="16"/>
              </w:rPr>
              <w:t>Total</w:t>
            </w:r>
            <w:r w:rsidRPr="00955A22">
              <w:rPr>
                <w:sz w:val="16"/>
                <w:szCs w:val="16"/>
              </w:rPr>
              <w:t xml:space="preserve"> revenue,</w:t>
            </w:r>
            <w:r>
              <w:rPr>
                <w:sz w:val="16"/>
                <w:szCs w:val="16"/>
              </w:rPr>
              <w:t xml:space="preserve"> </w:t>
            </w:r>
            <w:r w:rsidRPr="00955A22">
              <w:rPr>
                <w:sz w:val="16"/>
                <w:szCs w:val="16"/>
              </w:rPr>
              <w:t>net</w:t>
            </w:r>
          </w:p>
        </w:tc>
        <w:tc>
          <w:tcPr>
            <w:tcW w:w="990" w:type="dxa"/>
          </w:tcPr>
          <w:p w14:paraId="71A91514" w14:textId="7A5EDB81" w:rsidR="009A79F4" w:rsidRPr="00C904C4" w:rsidRDefault="009A79F4" w:rsidP="00911DF3">
            <w:pPr>
              <w:tabs>
                <w:tab w:val="decimal" w:pos="786"/>
              </w:tabs>
              <w:ind w:right="-109"/>
              <w:jc w:val="left"/>
              <w:rPr>
                <w:sz w:val="16"/>
                <w:szCs w:val="16"/>
              </w:rPr>
            </w:pPr>
            <w:r>
              <w:rPr>
                <w:sz w:val="16"/>
                <w:szCs w:val="16"/>
              </w:rPr>
              <w:t>$</w:t>
            </w:r>
            <w:r w:rsidRPr="00790612">
              <w:rPr>
                <w:sz w:val="16"/>
                <w:szCs w:val="16"/>
              </w:rPr>
              <w:t>1,</w:t>
            </w:r>
            <w:r>
              <w:rPr>
                <w:sz w:val="16"/>
                <w:szCs w:val="16"/>
              </w:rPr>
              <w:t>002,834</w:t>
            </w:r>
          </w:p>
        </w:tc>
        <w:tc>
          <w:tcPr>
            <w:tcW w:w="990" w:type="dxa"/>
          </w:tcPr>
          <w:p w14:paraId="0D3EAB04" w14:textId="68D77016" w:rsidR="009A79F4" w:rsidRPr="00C904C4" w:rsidRDefault="009A79F4" w:rsidP="007C3188">
            <w:pPr>
              <w:tabs>
                <w:tab w:val="decimal" w:pos="652"/>
              </w:tabs>
              <w:jc w:val="left"/>
              <w:rPr>
                <w:sz w:val="16"/>
                <w:szCs w:val="16"/>
              </w:rPr>
            </w:pPr>
            <w:r>
              <w:rPr>
                <w:sz w:val="16"/>
                <w:szCs w:val="16"/>
              </w:rPr>
              <w:t>$1</w:t>
            </w:r>
            <w:r w:rsidRPr="00790612">
              <w:rPr>
                <w:sz w:val="16"/>
                <w:szCs w:val="16"/>
              </w:rPr>
              <w:t>,</w:t>
            </w:r>
            <w:r>
              <w:rPr>
                <w:sz w:val="16"/>
                <w:szCs w:val="16"/>
              </w:rPr>
              <w:t>144,347</w:t>
            </w:r>
          </w:p>
        </w:tc>
        <w:tc>
          <w:tcPr>
            <w:tcW w:w="990" w:type="dxa"/>
          </w:tcPr>
          <w:p w14:paraId="291F0B5B" w14:textId="5C4E1E08" w:rsidR="009A79F4" w:rsidRPr="00C904C4" w:rsidRDefault="009A79F4" w:rsidP="00911DF3">
            <w:pPr>
              <w:jc w:val="left"/>
              <w:rPr>
                <w:sz w:val="16"/>
                <w:szCs w:val="16"/>
              </w:rPr>
            </w:pPr>
            <w:r>
              <w:rPr>
                <w:sz w:val="16"/>
                <w:szCs w:val="16"/>
              </w:rPr>
              <w:t>$</w:t>
            </w:r>
            <w:r w:rsidRPr="00790612">
              <w:rPr>
                <w:sz w:val="16"/>
                <w:szCs w:val="16"/>
              </w:rPr>
              <w:t>1,</w:t>
            </w:r>
            <w:r>
              <w:rPr>
                <w:sz w:val="16"/>
                <w:szCs w:val="16"/>
              </w:rPr>
              <w:t>246,073</w:t>
            </w:r>
          </w:p>
        </w:tc>
        <w:tc>
          <w:tcPr>
            <w:tcW w:w="990" w:type="dxa"/>
          </w:tcPr>
          <w:p w14:paraId="73438651" w14:textId="25012123" w:rsidR="009A79F4" w:rsidRPr="00C904C4" w:rsidRDefault="009A79F4" w:rsidP="00911DF3">
            <w:pPr>
              <w:tabs>
                <w:tab w:val="decimal" w:pos="691"/>
              </w:tabs>
              <w:jc w:val="left"/>
              <w:rPr>
                <w:sz w:val="16"/>
                <w:szCs w:val="16"/>
              </w:rPr>
            </w:pPr>
            <w:r>
              <w:rPr>
                <w:sz w:val="16"/>
                <w:szCs w:val="16"/>
              </w:rPr>
              <w:t>$</w:t>
            </w:r>
            <w:r w:rsidRPr="00790612">
              <w:rPr>
                <w:sz w:val="16"/>
                <w:szCs w:val="16"/>
              </w:rPr>
              <w:t>1</w:t>
            </w:r>
            <w:r>
              <w:rPr>
                <w:sz w:val="16"/>
                <w:szCs w:val="16"/>
              </w:rPr>
              <w:t>,270,995</w:t>
            </w:r>
          </w:p>
        </w:tc>
        <w:tc>
          <w:tcPr>
            <w:tcW w:w="990" w:type="dxa"/>
          </w:tcPr>
          <w:p w14:paraId="0D119267" w14:textId="7D722A4D" w:rsidR="009A79F4" w:rsidRPr="00C904C4" w:rsidRDefault="003E791A" w:rsidP="00911DF3">
            <w:pPr>
              <w:tabs>
                <w:tab w:val="decimal" w:pos="688"/>
              </w:tabs>
              <w:jc w:val="left"/>
              <w:rPr>
                <w:sz w:val="16"/>
                <w:szCs w:val="16"/>
              </w:rPr>
            </w:pPr>
            <w:r>
              <w:rPr>
                <w:sz w:val="16"/>
                <w:szCs w:val="16"/>
              </w:rPr>
              <w:t>$</w:t>
            </w:r>
            <w:r w:rsidR="009A79F4">
              <w:rPr>
                <w:sz w:val="16"/>
                <w:szCs w:val="16"/>
              </w:rPr>
              <w:t>1,296,414</w:t>
            </w:r>
          </w:p>
        </w:tc>
      </w:tr>
      <w:tr w:rsidR="009A79F4" w:rsidRPr="007135C3" w14:paraId="22E06932" w14:textId="762A3CED" w:rsidTr="008C6751">
        <w:trPr>
          <w:cantSplit/>
          <w:jc w:val="center"/>
        </w:trPr>
        <w:tc>
          <w:tcPr>
            <w:tcW w:w="1623" w:type="dxa"/>
          </w:tcPr>
          <w:p w14:paraId="4B087FFC" w14:textId="77777777" w:rsidR="009A79F4" w:rsidRPr="00955A22" w:rsidRDefault="009A79F4" w:rsidP="0023176D">
            <w:pPr>
              <w:rPr>
                <w:sz w:val="16"/>
                <w:szCs w:val="16"/>
              </w:rPr>
            </w:pPr>
            <w:r w:rsidRPr="00955A22">
              <w:rPr>
                <w:sz w:val="16"/>
                <w:szCs w:val="16"/>
              </w:rPr>
              <w:t>Total expenses</w:t>
            </w:r>
          </w:p>
        </w:tc>
        <w:tc>
          <w:tcPr>
            <w:tcW w:w="990" w:type="dxa"/>
          </w:tcPr>
          <w:p w14:paraId="60E14ED3" w14:textId="3F9E3229" w:rsidR="009A79F4" w:rsidRPr="00C904C4" w:rsidRDefault="009A79F4" w:rsidP="00911DF3">
            <w:pPr>
              <w:tabs>
                <w:tab w:val="decimal" w:pos="786"/>
              </w:tabs>
              <w:ind w:right="-109"/>
              <w:jc w:val="left"/>
              <w:rPr>
                <w:sz w:val="16"/>
                <w:szCs w:val="16"/>
              </w:rPr>
            </w:pPr>
            <w:r w:rsidRPr="00C904C4">
              <w:rPr>
                <w:sz w:val="16"/>
                <w:szCs w:val="16"/>
              </w:rPr>
              <w:t>(</w:t>
            </w:r>
            <w:r w:rsidR="0050366E">
              <w:rPr>
                <w:sz w:val="16"/>
                <w:szCs w:val="16"/>
              </w:rPr>
              <w:t>591,634</w:t>
            </w:r>
            <w:r w:rsidRPr="00C904C4">
              <w:rPr>
                <w:sz w:val="16"/>
                <w:szCs w:val="16"/>
              </w:rPr>
              <w:t>)</w:t>
            </w:r>
          </w:p>
        </w:tc>
        <w:tc>
          <w:tcPr>
            <w:tcW w:w="990" w:type="dxa"/>
          </w:tcPr>
          <w:p w14:paraId="2E821EB6" w14:textId="2BF3FE25" w:rsidR="009A79F4" w:rsidRPr="00C904C4" w:rsidRDefault="009A79F4" w:rsidP="009A79F4">
            <w:pPr>
              <w:tabs>
                <w:tab w:val="decimal" w:pos="765"/>
              </w:tabs>
              <w:jc w:val="left"/>
              <w:rPr>
                <w:sz w:val="16"/>
                <w:szCs w:val="16"/>
              </w:rPr>
            </w:pPr>
            <w:r>
              <w:rPr>
                <w:sz w:val="16"/>
                <w:szCs w:val="16"/>
              </w:rPr>
              <w:t xml:space="preserve"> </w:t>
            </w:r>
            <w:r w:rsidRPr="00C904C4">
              <w:rPr>
                <w:sz w:val="16"/>
                <w:szCs w:val="16"/>
              </w:rPr>
              <w:t>(</w:t>
            </w:r>
            <w:r>
              <w:rPr>
                <w:sz w:val="16"/>
                <w:szCs w:val="16"/>
              </w:rPr>
              <w:t>706,794</w:t>
            </w:r>
            <w:r w:rsidRPr="00C904C4">
              <w:rPr>
                <w:sz w:val="16"/>
                <w:szCs w:val="16"/>
              </w:rPr>
              <w:t>)</w:t>
            </w:r>
          </w:p>
        </w:tc>
        <w:tc>
          <w:tcPr>
            <w:tcW w:w="990" w:type="dxa"/>
          </w:tcPr>
          <w:p w14:paraId="6418B4E4" w14:textId="1BDCC13D" w:rsidR="009A79F4" w:rsidRPr="00C904C4" w:rsidRDefault="009A79F4" w:rsidP="00911DF3">
            <w:pPr>
              <w:tabs>
                <w:tab w:val="decimal" w:pos="696"/>
              </w:tabs>
              <w:jc w:val="left"/>
              <w:rPr>
                <w:sz w:val="16"/>
                <w:szCs w:val="16"/>
              </w:rPr>
            </w:pPr>
            <w:r w:rsidRPr="00C904C4">
              <w:rPr>
                <w:sz w:val="16"/>
                <w:szCs w:val="16"/>
              </w:rPr>
              <w:t>(</w:t>
            </w:r>
            <w:r>
              <w:rPr>
                <w:sz w:val="16"/>
                <w:szCs w:val="16"/>
              </w:rPr>
              <w:t>717,096</w:t>
            </w:r>
            <w:r w:rsidRPr="00C904C4">
              <w:rPr>
                <w:sz w:val="16"/>
                <w:szCs w:val="16"/>
              </w:rPr>
              <w:t>)</w:t>
            </w:r>
          </w:p>
        </w:tc>
        <w:tc>
          <w:tcPr>
            <w:tcW w:w="990" w:type="dxa"/>
          </w:tcPr>
          <w:p w14:paraId="00C7490D" w14:textId="69EDE362" w:rsidR="009A79F4" w:rsidRPr="00C904C4" w:rsidRDefault="009A79F4" w:rsidP="00911DF3">
            <w:pPr>
              <w:tabs>
                <w:tab w:val="decimal" w:pos="691"/>
              </w:tabs>
              <w:jc w:val="left"/>
              <w:rPr>
                <w:sz w:val="16"/>
                <w:szCs w:val="16"/>
              </w:rPr>
            </w:pPr>
            <w:r w:rsidRPr="00C904C4">
              <w:rPr>
                <w:sz w:val="16"/>
                <w:szCs w:val="16"/>
              </w:rPr>
              <w:t>(</w:t>
            </w:r>
            <w:r>
              <w:rPr>
                <w:sz w:val="16"/>
                <w:szCs w:val="16"/>
              </w:rPr>
              <w:t>718,666)</w:t>
            </w:r>
          </w:p>
        </w:tc>
        <w:tc>
          <w:tcPr>
            <w:tcW w:w="990" w:type="dxa"/>
          </w:tcPr>
          <w:p w14:paraId="4D704330" w14:textId="17028B6F" w:rsidR="009A79F4" w:rsidRPr="00C904C4" w:rsidRDefault="009A79F4" w:rsidP="00911DF3">
            <w:pPr>
              <w:tabs>
                <w:tab w:val="decimal" w:pos="688"/>
              </w:tabs>
              <w:jc w:val="left"/>
              <w:rPr>
                <w:sz w:val="16"/>
                <w:szCs w:val="16"/>
              </w:rPr>
            </w:pPr>
            <w:r>
              <w:rPr>
                <w:sz w:val="16"/>
                <w:szCs w:val="16"/>
              </w:rPr>
              <w:t>(699,054)</w:t>
            </w:r>
          </w:p>
        </w:tc>
      </w:tr>
      <w:tr w:rsidR="009A79F4" w:rsidRPr="007135C3" w14:paraId="0B5D5A66" w14:textId="66CE6246" w:rsidTr="008C6751">
        <w:trPr>
          <w:cantSplit/>
          <w:jc w:val="center"/>
        </w:trPr>
        <w:tc>
          <w:tcPr>
            <w:tcW w:w="1623" w:type="dxa"/>
          </w:tcPr>
          <w:p w14:paraId="163058E4" w14:textId="0F812872" w:rsidR="009A79F4" w:rsidRPr="005C6AC7" w:rsidRDefault="009A79F4" w:rsidP="0023176D">
            <w:pPr>
              <w:rPr>
                <w:sz w:val="16"/>
                <w:szCs w:val="16"/>
              </w:rPr>
            </w:pPr>
            <w:r w:rsidRPr="005C6AC7">
              <w:rPr>
                <w:sz w:val="16"/>
                <w:szCs w:val="16"/>
              </w:rPr>
              <w:t xml:space="preserve">Total net income </w:t>
            </w:r>
          </w:p>
        </w:tc>
        <w:tc>
          <w:tcPr>
            <w:tcW w:w="990" w:type="dxa"/>
            <w:tcBorders>
              <w:top w:val="single" w:sz="4" w:space="0" w:color="auto"/>
              <w:bottom w:val="double" w:sz="4" w:space="0" w:color="auto"/>
            </w:tcBorders>
          </w:tcPr>
          <w:p w14:paraId="01756F60" w14:textId="2B1449A5" w:rsidR="009A79F4" w:rsidRPr="005C6AC7" w:rsidRDefault="009A79F4" w:rsidP="00911DF3">
            <w:pPr>
              <w:tabs>
                <w:tab w:val="decimal" w:pos="786"/>
              </w:tabs>
              <w:ind w:right="-109"/>
              <w:jc w:val="left"/>
              <w:rPr>
                <w:sz w:val="16"/>
                <w:szCs w:val="16"/>
              </w:rPr>
            </w:pPr>
            <w:r>
              <w:rPr>
                <w:sz w:val="16"/>
                <w:szCs w:val="16"/>
              </w:rPr>
              <w:t xml:space="preserve">$   </w:t>
            </w:r>
            <w:r w:rsidR="0050366E">
              <w:rPr>
                <w:sz w:val="16"/>
                <w:szCs w:val="16"/>
              </w:rPr>
              <w:t>411</w:t>
            </w:r>
            <w:r>
              <w:rPr>
                <w:sz w:val="16"/>
                <w:szCs w:val="16"/>
              </w:rPr>
              <w:t>,200</w:t>
            </w:r>
          </w:p>
        </w:tc>
        <w:tc>
          <w:tcPr>
            <w:tcW w:w="990" w:type="dxa"/>
            <w:tcBorders>
              <w:top w:val="single" w:sz="4" w:space="0" w:color="auto"/>
              <w:bottom w:val="double" w:sz="4" w:space="0" w:color="auto"/>
            </w:tcBorders>
          </w:tcPr>
          <w:p w14:paraId="216AFE3C" w14:textId="570FD08F" w:rsidR="009A79F4" w:rsidRPr="005C6AC7" w:rsidRDefault="009A79F4" w:rsidP="007C3188">
            <w:pPr>
              <w:tabs>
                <w:tab w:val="decimal" w:pos="652"/>
              </w:tabs>
              <w:rPr>
                <w:sz w:val="16"/>
                <w:szCs w:val="16"/>
              </w:rPr>
            </w:pPr>
            <w:r>
              <w:rPr>
                <w:sz w:val="16"/>
                <w:szCs w:val="16"/>
              </w:rPr>
              <w:t>$   437,553</w:t>
            </w:r>
          </w:p>
        </w:tc>
        <w:tc>
          <w:tcPr>
            <w:tcW w:w="990" w:type="dxa"/>
            <w:tcBorders>
              <w:top w:val="single" w:sz="4" w:space="0" w:color="auto"/>
              <w:bottom w:val="double" w:sz="4" w:space="0" w:color="auto"/>
            </w:tcBorders>
          </w:tcPr>
          <w:p w14:paraId="68908579" w14:textId="3BE2FF09" w:rsidR="009A79F4" w:rsidRPr="005C6AC7" w:rsidRDefault="009A79F4" w:rsidP="00911DF3">
            <w:pPr>
              <w:jc w:val="left"/>
              <w:rPr>
                <w:sz w:val="16"/>
                <w:szCs w:val="16"/>
              </w:rPr>
            </w:pPr>
            <w:r>
              <w:rPr>
                <w:sz w:val="16"/>
                <w:szCs w:val="16"/>
              </w:rPr>
              <w:t>$   528,977</w:t>
            </w:r>
          </w:p>
        </w:tc>
        <w:tc>
          <w:tcPr>
            <w:tcW w:w="990" w:type="dxa"/>
            <w:tcBorders>
              <w:top w:val="single" w:sz="4" w:space="0" w:color="auto"/>
              <w:bottom w:val="double" w:sz="4" w:space="0" w:color="auto"/>
            </w:tcBorders>
          </w:tcPr>
          <w:p w14:paraId="4D296613" w14:textId="00B6C1DD" w:rsidR="009A79F4" w:rsidRPr="005C6AC7" w:rsidRDefault="003E791A" w:rsidP="00911DF3">
            <w:pPr>
              <w:tabs>
                <w:tab w:val="decimal" w:pos="691"/>
              </w:tabs>
              <w:jc w:val="left"/>
              <w:rPr>
                <w:sz w:val="16"/>
                <w:szCs w:val="16"/>
              </w:rPr>
            </w:pPr>
            <w:r>
              <w:rPr>
                <w:sz w:val="16"/>
                <w:szCs w:val="16"/>
              </w:rPr>
              <w:t xml:space="preserve">$  </w:t>
            </w:r>
            <w:r w:rsidR="009A79F4">
              <w:rPr>
                <w:sz w:val="16"/>
                <w:szCs w:val="16"/>
              </w:rPr>
              <w:t>552,329</w:t>
            </w:r>
          </w:p>
        </w:tc>
        <w:tc>
          <w:tcPr>
            <w:tcW w:w="990" w:type="dxa"/>
            <w:tcBorders>
              <w:top w:val="single" w:sz="4" w:space="0" w:color="auto"/>
              <w:bottom w:val="double" w:sz="4" w:space="0" w:color="auto"/>
            </w:tcBorders>
          </w:tcPr>
          <w:p w14:paraId="169D0F78" w14:textId="669BAE14" w:rsidR="009A79F4" w:rsidRDefault="003E791A" w:rsidP="00911DF3">
            <w:pPr>
              <w:tabs>
                <w:tab w:val="decimal" w:pos="688"/>
              </w:tabs>
              <w:jc w:val="left"/>
              <w:rPr>
                <w:sz w:val="16"/>
                <w:szCs w:val="16"/>
              </w:rPr>
            </w:pPr>
            <w:r>
              <w:rPr>
                <w:sz w:val="16"/>
                <w:szCs w:val="16"/>
              </w:rPr>
              <w:t xml:space="preserve">$  </w:t>
            </w:r>
            <w:r w:rsidR="009A79F4">
              <w:rPr>
                <w:sz w:val="16"/>
                <w:szCs w:val="16"/>
              </w:rPr>
              <w:t>597,360</w:t>
            </w:r>
          </w:p>
        </w:tc>
      </w:tr>
    </w:tbl>
    <w:p w14:paraId="3EFEF977" w14:textId="77777777" w:rsidR="0099200C" w:rsidRDefault="0099200C" w:rsidP="00342FB9">
      <w:pPr>
        <w:spacing w:after="0" w:line="240" w:lineRule="auto"/>
        <w:ind w:left="360"/>
        <w:jc w:val="both"/>
        <w:rPr>
          <w:rFonts w:ascii="Times New Roman" w:hAnsi="Times New Roman" w:cs="Times New Roman"/>
          <w:b/>
        </w:rPr>
      </w:pPr>
      <w:bookmarkStart w:id="7" w:name="_Hlk529539696"/>
    </w:p>
    <w:bookmarkEnd w:id="7"/>
    <w:p w14:paraId="50A64ED3" w14:textId="77777777" w:rsidR="00137A07" w:rsidRDefault="00137A07" w:rsidP="0033573C">
      <w:pPr>
        <w:widowControl w:val="0"/>
        <w:spacing w:after="0" w:line="240" w:lineRule="auto"/>
        <w:jc w:val="center"/>
        <w:rPr>
          <w:rFonts w:ascii="Times New Roman" w:hAnsi="Times New Roman" w:cs="Times New Roman"/>
        </w:rPr>
      </w:pPr>
    </w:p>
    <w:p w14:paraId="6217F43C" w14:textId="77777777" w:rsidR="00137A07" w:rsidRDefault="00137A07" w:rsidP="0033573C">
      <w:pPr>
        <w:widowControl w:val="0"/>
        <w:spacing w:after="0" w:line="240" w:lineRule="auto"/>
        <w:jc w:val="center"/>
        <w:rPr>
          <w:rFonts w:ascii="Times New Roman" w:hAnsi="Times New Roman" w:cs="Times New Roman"/>
        </w:rPr>
      </w:pPr>
    </w:p>
    <w:p w14:paraId="72131550" w14:textId="77777777" w:rsidR="00137A07" w:rsidRDefault="00137A07" w:rsidP="0033573C">
      <w:pPr>
        <w:widowControl w:val="0"/>
        <w:spacing w:after="0" w:line="240" w:lineRule="auto"/>
        <w:jc w:val="center"/>
        <w:rPr>
          <w:rFonts w:ascii="Times New Roman" w:hAnsi="Times New Roman" w:cs="Times New Roman"/>
        </w:rPr>
      </w:pPr>
    </w:p>
    <w:p w14:paraId="78C88462" w14:textId="4F16F139" w:rsidR="00137A07" w:rsidRDefault="00137A07" w:rsidP="0033573C">
      <w:pPr>
        <w:widowControl w:val="0"/>
        <w:spacing w:after="0" w:line="240" w:lineRule="auto"/>
        <w:jc w:val="center"/>
        <w:rPr>
          <w:rFonts w:ascii="Times New Roman" w:hAnsi="Times New Roman" w:cs="Times New Roman"/>
        </w:rPr>
      </w:pPr>
    </w:p>
    <w:p w14:paraId="677D312B" w14:textId="77777777" w:rsidR="00137A07" w:rsidRDefault="00137A07" w:rsidP="0033573C">
      <w:pPr>
        <w:widowControl w:val="0"/>
        <w:spacing w:after="0" w:line="240" w:lineRule="auto"/>
        <w:jc w:val="center"/>
        <w:rPr>
          <w:rFonts w:ascii="Times New Roman" w:hAnsi="Times New Roman" w:cs="Times New Roman"/>
        </w:rPr>
      </w:pPr>
    </w:p>
    <w:p w14:paraId="1086A152" w14:textId="77777777" w:rsidR="00137A07" w:rsidRDefault="00137A07" w:rsidP="0033573C">
      <w:pPr>
        <w:widowControl w:val="0"/>
        <w:spacing w:after="0" w:line="240" w:lineRule="auto"/>
        <w:jc w:val="center"/>
        <w:rPr>
          <w:rFonts w:ascii="Times New Roman" w:hAnsi="Times New Roman" w:cs="Times New Roman"/>
        </w:rPr>
      </w:pPr>
    </w:p>
    <w:p w14:paraId="6472DB4C" w14:textId="77777777" w:rsidR="00137A07" w:rsidRDefault="00137A07" w:rsidP="0033573C">
      <w:pPr>
        <w:widowControl w:val="0"/>
        <w:spacing w:after="0" w:line="240" w:lineRule="auto"/>
        <w:jc w:val="center"/>
        <w:rPr>
          <w:rFonts w:ascii="Times New Roman" w:hAnsi="Times New Roman" w:cs="Times New Roman"/>
        </w:rPr>
      </w:pPr>
    </w:p>
    <w:p w14:paraId="1B080741" w14:textId="77777777" w:rsidR="00137A07" w:rsidRDefault="00137A07" w:rsidP="0033573C">
      <w:pPr>
        <w:widowControl w:val="0"/>
        <w:spacing w:after="0" w:line="240" w:lineRule="auto"/>
        <w:jc w:val="center"/>
        <w:rPr>
          <w:rFonts w:ascii="Times New Roman" w:hAnsi="Times New Roman" w:cs="Times New Roman"/>
        </w:rPr>
      </w:pPr>
    </w:p>
    <w:p w14:paraId="5B29FC40" w14:textId="77777777" w:rsidR="0023176D" w:rsidRDefault="0023176D" w:rsidP="0033573C">
      <w:pPr>
        <w:widowControl w:val="0"/>
        <w:spacing w:after="0" w:line="240" w:lineRule="auto"/>
        <w:jc w:val="center"/>
        <w:rPr>
          <w:rFonts w:ascii="Times New Roman" w:hAnsi="Times New Roman" w:cs="Times New Roman"/>
        </w:rPr>
      </w:pPr>
    </w:p>
    <w:p w14:paraId="2764654C" w14:textId="77777777" w:rsidR="00137A07" w:rsidRDefault="00137A07" w:rsidP="0033573C">
      <w:pPr>
        <w:widowControl w:val="0"/>
        <w:spacing w:after="0" w:line="240" w:lineRule="auto"/>
        <w:jc w:val="center"/>
        <w:rPr>
          <w:rFonts w:ascii="Times New Roman" w:hAnsi="Times New Roman" w:cs="Times New Roman"/>
        </w:rPr>
      </w:pPr>
    </w:p>
    <w:p w14:paraId="6E0920E0" w14:textId="77777777" w:rsidR="00137A07" w:rsidRDefault="00137A07" w:rsidP="0033573C">
      <w:pPr>
        <w:widowControl w:val="0"/>
        <w:spacing w:after="0" w:line="240" w:lineRule="auto"/>
        <w:jc w:val="center"/>
        <w:rPr>
          <w:rFonts w:ascii="Times New Roman" w:hAnsi="Times New Roman" w:cs="Times New Roman"/>
        </w:rPr>
      </w:pPr>
    </w:p>
    <w:p w14:paraId="6671EBAE" w14:textId="77777777" w:rsidR="00137A07" w:rsidRDefault="00137A07" w:rsidP="0033573C">
      <w:pPr>
        <w:widowControl w:val="0"/>
        <w:spacing w:after="0" w:line="240" w:lineRule="auto"/>
        <w:jc w:val="center"/>
        <w:rPr>
          <w:rFonts w:ascii="Times New Roman" w:hAnsi="Times New Roman" w:cs="Times New Roman"/>
        </w:rPr>
      </w:pPr>
    </w:p>
    <w:p w14:paraId="05E60DB6" w14:textId="77777777" w:rsidR="008C6751" w:rsidRDefault="008C6751" w:rsidP="002B4459">
      <w:pPr>
        <w:spacing w:after="0" w:line="240" w:lineRule="auto"/>
        <w:rPr>
          <w:rFonts w:ascii="Times New Roman" w:hAnsi="Times New Roman" w:cs="Times New Roman"/>
        </w:rPr>
      </w:pPr>
    </w:p>
    <w:p w14:paraId="3AE360DF" w14:textId="2ACFEDE4" w:rsidR="002B4459" w:rsidRPr="00EE7DCA" w:rsidRDefault="002B4459" w:rsidP="002B4459">
      <w:pPr>
        <w:spacing w:after="0" w:line="240" w:lineRule="auto"/>
        <w:rPr>
          <w:rFonts w:ascii="Times New Roman" w:hAnsi="Times New Roman" w:cs="Times New Roman"/>
        </w:rPr>
      </w:pPr>
      <w:r w:rsidRPr="00EE7DCA">
        <w:rPr>
          <w:rFonts w:ascii="Times New Roman" w:hAnsi="Times New Roman" w:cs="Times New Roman"/>
        </w:rPr>
        <w:lastRenderedPageBreak/>
        <w:t xml:space="preserve">Mr. </w:t>
      </w:r>
      <w:r>
        <w:rPr>
          <w:rFonts w:ascii="Times New Roman" w:hAnsi="Times New Roman" w:cs="Times New Roman"/>
        </w:rPr>
        <w:t>Sean Ahern</w:t>
      </w:r>
    </w:p>
    <w:p w14:paraId="5E851D85" w14:textId="44BACDA3" w:rsidR="00532AB8" w:rsidRPr="00EE7DCA" w:rsidRDefault="00532AB8" w:rsidP="00532AB8">
      <w:pPr>
        <w:spacing w:after="0" w:line="240" w:lineRule="auto"/>
        <w:rPr>
          <w:rFonts w:ascii="Times New Roman" w:hAnsi="Times New Roman" w:cs="Times New Roman"/>
        </w:rPr>
      </w:pPr>
      <w:r>
        <w:rPr>
          <w:rFonts w:ascii="Times New Roman" w:hAnsi="Times New Roman" w:cs="Times New Roman"/>
        </w:rPr>
        <w:t>Anna Jaques Hospital</w:t>
      </w:r>
    </w:p>
    <w:p w14:paraId="1161090E" w14:textId="7C79861A" w:rsidR="002B4459" w:rsidRDefault="002B4459" w:rsidP="002B4459">
      <w:pPr>
        <w:spacing w:after="0" w:line="240" w:lineRule="auto"/>
        <w:rPr>
          <w:rFonts w:ascii="Times New Roman" w:hAnsi="Times New Roman" w:cs="Times New Roman"/>
        </w:rPr>
      </w:pPr>
      <w:r w:rsidRPr="00D471DF">
        <w:rPr>
          <w:rFonts w:ascii="Times New Roman" w:hAnsi="Times New Roman" w:cs="Times New Roman"/>
        </w:rPr>
        <w:t>Ju</w:t>
      </w:r>
      <w:r w:rsidR="00137A07" w:rsidRPr="00D471DF">
        <w:rPr>
          <w:rFonts w:ascii="Times New Roman" w:hAnsi="Times New Roman" w:cs="Times New Roman"/>
        </w:rPr>
        <w:t>ly</w:t>
      </w:r>
      <w:r w:rsidRPr="00D471DF">
        <w:rPr>
          <w:rFonts w:ascii="Times New Roman" w:hAnsi="Times New Roman" w:cs="Times New Roman"/>
        </w:rPr>
        <w:t xml:space="preserve"> </w:t>
      </w:r>
      <w:r w:rsidR="00D471DF" w:rsidRPr="00D471DF">
        <w:rPr>
          <w:rFonts w:ascii="Times New Roman" w:hAnsi="Times New Roman" w:cs="Times New Roman"/>
        </w:rPr>
        <w:t>12</w:t>
      </w:r>
      <w:r w:rsidRPr="00D471DF">
        <w:rPr>
          <w:rFonts w:ascii="Times New Roman" w:hAnsi="Times New Roman" w:cs="Times New Roman"/>
        </w:rPr>
        <w:t>, 2023</w:t>
      </w:r>
    </w:p>
    <w:p w14:paraId="502BEBC0" w14:textId="40000003" w:rsidR="00F11AC3" w:rsidRDefault="00F11AC3" w:rsidP="00874CCD">
      <w:pPr>
        <w:tabs>
          <w:tab w:val="left" w:pos="360"/>
        </w:tabs>
        <w:spacing w:after="0" w:line="240" w:lineRule="auto"/>
        <w:jc w:val="both"/>
        <w:rPr>
          <w:rFonts w:ascii="Times New Roman" w:hAnsi="Times New Roman" w:cs="Times New Roman"/>
          <w:b/>
          <w:u w:val="single"/>
        </w:rPr>
      </w:pPr>
    </w:p>
    <w:p w14:paraId="0E2080E3" w14:textId="77777777" w:rsidR="00683048" w:rsidRPr="00874CCD" w:rsidRDefault="00683048" w:rsidP="00874CCD">
      <w:pPr>
        <w:tabs>
          <w:tab w:val="left" w:pos="360"/>
        </w:tabs>
        <w:spacing w:after="0" w:line="240" w:lineRule="auto"/>
        <w:jc w:val="both"/>
        <w:rPr>
          <w:rFonts w:ascii="Times New Roman" w:hAnsi="Times New Roman" w:cs="Times New Roman"/>
          <w:b/>
          <w:u w:val="single"/>
        </w:rPr>
      </w:pPr>
    </w:p>
    <w:p w14:paraId="1F357F2B" w14:textId="4D793AEC" w:rsidR="00683048" w:rsidRPr="00BC0FFC" w:rsidRDefault="00683048" w:rsidP="00683048">
      <w:pPr>
        <w:widowControl w:val="0"/>
        <w:tabs>
          <w:tab w:val="left" w:pos="360"/>
        </w:tabs>
        <w:spacing w:after="0" w:line="240" w:lineRule="auto"/>
        <w:jc w:val="both"/>
        <w:rPr>
          <w:rFonts w:ascii="Times New Roman" w:hAnsi="Times New Roman" w:cs="Times New Roman"/>
          <w:b/>
          <w:sz w:val="24"/>
          <w:szCs w:val="24"/>
          <w:u w:val="single"/>
        </w:rPr>
      </w:pPr>
      <w:r w:rsidRPr="00BC0FFC">
        <w:rPr>
          <w:rFonts w:ascii="Times New Roman" w:hAnsi="Times New Roman" w:cs="Times New Roman"/>
          <w:b/>
          <w:sz w:val="24"/>
          <w:szCs w:val="24"/>
        </w:rPr>
        <w:t>V.</w:t>
      </w:r>
      <w:r w:rsidRPr="00BC0FFC">
        <w:rPr>
          <w:rFonts w:ascii="Times New Roman" w:hAnsi="Times New Roman" w:cs="Times New Roman"/>
          <w:b/>
          <w:sz w:val="24"/>
          <w:szCs w:val="24"/>
        </w:rPr>
        <w:tab/>
      </w:r>
      <w:r w:rsidRPr="00BC0FFC">
        <w:rPr>
          <w:rFonts w:ascii="Times New Roman" w:hAnsi="Times New Roman" w:cs="Times New Roman"/>
          <w:b/>
          <w:sz w:val="24"/>
          <w:szCs w:val="24"/>
          <w:u w:val="single"/>
        </w:rPr>
        <w:t>Review of the Projections</w:t>
      </w:r>
      <w:r w:rsidRPr="00BC0FFC">
        <w:rPr>
          <w:rFonts w:ascii="Times New Roman" w:hAnsi="Times New Roman" w:cs="Times New Roman"/>
          <w:b/>
          <w:sz w:val="24"/>
          <w:szCs w:val="24"/>
        </w:rPr>
        <w:t xml:space="preserve">  (continued)</w:t>
      </w:r>
    </w:p>
    <w:p w14:paraId="19FA6514" w14:textId="77777777" w:rsidR="00683048" w:rsidRDefault="00683048" w:rsidP="00431B8E">
      <w:pPr>
        <w:tabs>
          <w:tab w:val="left" w:pos="360"/>
        </w:tabs>
        <w:spacing w:after="0" w:line="240" w:lineRule="auto"/>
        <w:jc w:val="both"/>
        <w:rPr>
          <w:rFonts w:ascii="Times New Roman" w:hAnsi="Times New Roman" w:cs="Times New Roman"/>
          <w:b/>
          <w:u w:val="single"/>
        </w:rPr>
      </w:pPr>
    </w:p>
    <w:p w14:paraId="4D5F4CFD" w14:textId="77777777" w:rsidR="00431B8E" w:rsidRPr="0099200C" w:rsidRDefault="00431B8E" w:rsidP="00431B8E">
      <w:pPr>
        <w:spacing w:after="0" w:line="240" w:lineRule="auto"/>
        <w:ind w:left="360"/>
        <w:jc w:val="both"/>
        <w:rPr>
          <w:rFonts w:ascii="Times New Roman" w:hAnsi="Times New Roman" w:cs="Times New Roman"/>
          <w:b/>
        </w:rPr>
      </w:pPr>
      <w:r w:rsidRPr="0099200C">
        <w:rPr>
          <w:rFonts w:ascii="Times New Roman" w:hAnsi="Times New Roman" w:cs="Times New Roman"/>
          <w:b/>
        </w:rPr>
        <w:t>Cash Flows</w:t>
      </w:r>
      <w:r>
        <w:rPr>
          <w:rFonts w:ascii="Times New Roman" w:hAnsi="Times New Roman" w:cs="Times New Roman"/>
          <w:b/>
        </w:rPr>
        <w:t xml:space="preserve"> and Capital Expenditures</w:t>
      </w:r>
    </w:p>
    <w:p w14:paraId="5C195781" w14:textId="77777777" w:rsidR="00431B8E" w:rsidRDefault="00431B8E" w:rsidP="00431B8E">
      <w:pPr>
        <w:spacing w:after="0" w:line="240" w:lineRule="auto"/>
        <w:ind w:left="360"/>
        <w:jc w:val="both"/>
        <w:rPr>
          <w:rFonts w:ascii="Times New Roman" w:hAnsi="Times New Roman" w:cs="Times New Roman"/>
        </w:rPr>
      </w:pPr>
    </w:p>
    <w:p w14:paraId="533EE8A6" w14:textId="77777777" w:rsidR="00431B8E" w:rsidRPr="00F11AC3" w:rsidRDefault="00431B8E" w:rsidP="00431B8E">
      <w:pPr>
        <w:spacing w:after="0" w:line="240" w:lineRule="auto"/>
        <w:ind w:left="360" w:firstLine="360"/>
        <w:jc w:val="both"/>
        <w:rPr>
          <w:rFonts w:ascii="Times New Roman" w:hAnsi="Times New Roman" w:cs="Times New Roman"/>
          <w:b/>
          <w:bCs/>
          <w:u w:val="single"/>
        </w:rPr>
      </w:pPr>
      <w:r w:rsidRPr="008F621C">
        <w:rPr>
          <w:rFonts w:ascii="Times New Roman" w:hAnsi="Times New Roman" w:cs="Times New Roman"/>
          <w:b/>
          <w:bCs/>
          <w:u w:val="single"/>
        </w:rPr>
        <w:t>Cash Flows</w:t>
      </w:r>
    </w:p>
    <w:p w14:paraId="2F6FFAA7" w14:textId="77777777" w:rsidR="00431B8E" w:rsidRDefault="00431B8E" w:rsidP="00431B8E">
      <w:pPr>
        <w:spacing w:after="0" w:line="240" w:lineRule="auto"/>
        <w:ind w:left="360" w:firstLine="360"/>
        <w:jc w:val="both"/>
        <w:rPr>
          <w:rFonts w:ascii="Times New Roman" w:hAnsi="Times New Roman" w:cs="Times New Roman"/>
        </w:rPr>
      </w:pPr>
      <w:r>
        <w:rPr>
          <w:rFonts w:ascii="Times New Roman" w:hAnsi="Times New Roman" w:cs="Times New Roman"/>
        </w:rPr>
        <w:t>The table below provides a summary of the cash flow by year (fiscal year September):</w:t>
      </w:r>
    </w:p>
    <w:p w14:paraId="75EFA40B" w14:textId="77777777" w:rsidR="00431B8E" w:rsidRDefault="00431B8E" w:rsidP="00431B8E">
      <w:pPr>
        <w:spacing w:after="0" w:line="240" w:lineRule="auto"/>
        <w:ind w:left="360"/>
        <w:jc w:val="both"/>
        <w:rPr>
          <w:rFonts w:ascii="Times New Roman" w:hAnsi="Times New Roman" w:cs="Times New Roman"/>
        </w:rPr>
      </w:pPr>
    </w:p>
    <w:tbl>
      <w:tblPr>
        <w:tblStyle w:val="TableGrid"/>
        <w:tblW w:w="77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40"/>
        <w:gridCol w:w="1119"/>
        <w:gridCol w:w="1119"/>
        <w:gridCol w:w="1119"/>
        <w:gridCol w:w="1119"/>
        <w:gridCol w:w="1119"/>
      </w:tblGrid>
      <w:tr w:rsidR="00716B4B" w:rsidRPr="00955A22" w14:paraId="77CB9F7C" w14:textId="77777777" w:rsidTr="001F0B9C">
        <w:trPr>
          <w:cantSplit/>
          <w:trHeight w:val="792"/>
          <w:tblHeader/>
          <w:jc w:val="center"/>
        </w:trPr>
        <w:tc>
          <w:tcPr>
            <w:tcW w:w="2140" w:type="dxa"/>
          </w:tcPr>
          <w:p w14:paraId="6BD8E931" w14:textId="77777777" w:rsidR="00716B4B" w:rsidRPr="00C25567" w:rsidRDefault="00716B4B" w:rsidP="007C4C6E">
            <w:pPr>
              <w:jc w:val="center"/>
              <w:rPr>
                <w:sz w:val="16"/>
                <w:szCs w:val="16"/>
              </w:rPr>
            </w:pPr>
          </w:p>
          <w:p w14:paraId="1A42F5AC" w14:textId="77777777" w:rsidR="00716B4B" w:rsidRPr="00C25567" w:rsidRDefault="00716B4B" w:rsidP="007C4C6E">
            <w:pPr>
              <w:jc w:val="center"/>
              <w:rPr>
                <w:sz w:val="16"/>
                <w:szCs w:val="16"/>
              </w:rPr>
            </w:pPr>
          </w:p>
          <w:p w14:paraId="0AAB51F8" w14:textId="77777777" w:rsidR="00716B4B" w:rsidRPr="00C25567" w:rsidRDefault="00716B4B" w:rsidP="007C4C6E">
            <w:pPr>
              <w:jc w:val="center"/>
              <w:rPr>
                <w:sz w:val="16"/>
                <w:szCs w:val="16"/>
              </w:rPr>
            </w:pPr>
          </w:p>
          <w:p w14:paraId="048F0F04" w14:textId="77777777" w:rsidR="00716B4B" w:rsidRPr="00C25567" w:rsidRDefault="00716B4B" w:rsidP="00716B4B">
            <w:pPr>
              <w:jc w:val="left"/>
              <w:rPr>
                <w:sz w:val="16"/>
                <w:szCs w:val="16"/>
              </w:rPr>
            </w:pPr>
          </w:p>
          <w:p w14:paraId="05752FDD" w14:textId="776BFB27" w:rsidR="00716B4B" w:rsidRPr="00C25567" w:rsidRDefault="00716B4B" w:rsidP="00716B4B">
            <w:pPr>
              <w:jc w:val="center"/>
              <w:rPr>
                <w:sz w:val="16"/>
                <w:szCs w:val="16"/>
              </w:rPr>
            </w:pPr>
            <w:r w:rsidRPr="00C25567">
              <w:rPr>
                <w:sz w:val="16"/>
                <w:szCs w:val="16"/>
              </w:rPr>
              <w:t>Category</w:t>
            </w:r>
          </w:p>
        </w:tc>
        <w:tc>
          <w:tcPr>
            <w:tcW w:w="1119" w:type="dxa"/>
          </w:tcPr>
          <w:p w14:paraId="23F1B0E1" w14:textId="77777777" w:rsidR="00716B4B" w:rsidRPr="00C25567" w:rsidRDefault="00716B4B" w:rsidP="007C4C6E">
            <w:pPr>
              <w:jc w:val="center"/>
              <w:rPr>
                <w:sz w:val="16"/>
                <w:szCs w:val="16"/>
              </w:rPr>
            </w:pPr>
            <w:r w:rsidRPr="00C25567">
              <w:rPr>
                <w:sz w:val="16"/>
                <w:szCs w:val="16"/>
              </w:rPr>
              <w:t>Projected/</w:t>
            </w:r>
          </w:p>
          <w:p w14:paraId="0A1B6482" w14:textId="77777777" w:rsidR="00716B4B" w:rsidRPr="00C25567" w:rsidRDefault="00716B4B" w:rsidP="007C4C6E">
            <w:pPr>
              <w:jc w:val="center"/>
              <w:rPr>
                <w:sz w:val="16"/>
                <w:szCs w:val="16"/>
              </w:rPr>
            </w:pPr>
            <w:r w:rsidRPr="00C25567">
              <w:rPr>
                <w:sz w:val="16"/>
                <w:szCs w:val="16"/>
              </w:rPr>
              <w:t>pro-forma</w:t>
            </w:r>
          </w:p>
          <w:p w14:paraId="57EB8E9D" w14:textId="77777777" w:rsidR="00716B4B" w:rsidRPr="00C25567" w:rsidRDefault="00716B4B" w:rsidP="007C4C6E">
            <w:pPr>
              <w:jc w:val="center"/>
              <w:rPr>
                <w:sz w:val="16"/>
                <w:szCs w:val="16"/>
              </w:rPr>
            </w:pPr>
            <w:r w:rsidRPr="00C25567">
              <w:rPr>
                <w:sz w:val="16"/>
                <w:szCs w:val="16"/>
              </w:rPr>
              <w:t>with second CT scanner</w:t>
            </w:r>
          </w:p>
          <w:p w14:paraId="02CB1081" w14:textId="77777777" w:rsidR="00716B4B" w:rsidRPr="00C25567" w:rsidRDefault="00716B4B" w:rsidP="007C4C6E">
            <w:pPr>
              <w:jc w:val="center"/>
              <w:rPr>
                <w:sz w:val="16"/>
                <w:szCs w:val="16"/>
              </w:rPr>
            </w:pPr>
            <w:r w:rsidRPr="00C25567">
              <w:rPr>
                <w:sz w:val="16"/>
                <w:szCs w:val="16"/>
              </w:rPr>
              <w:t>2024</w:t>
            </w:r>
          </w:p>
        </w:tc>
        <w:tc>
          <w:tcPr>
            <w:tcW w:w="1119" w:type="dxa"/>
          </w:tcPr>
          <w:p w14:paraId="42A5395C" w14:textId="77777777" w:rsidR="00716B4B" w:rsidRPr="00C25567" w:rsidRDefault="00716B4B" w:rsidP="007C4C6E">
            <w:pPr>
              <w:jc w:val="center"/>
              <w:rPr>
                <w:sz w:val="16"/>
                <w:szCs w:val="16"/>
              </w:rPr>
            </w:pPr>
            <w:r w:rsidRPr="00C25567">
              <w:rPr>
                <w:sz w:val="16"/>
                <w:szCs w:val="16"/>
              </w:rPr>
              <w:t>Projected/</w:t>
            </w:r>
          </w:p>
          <w:p w14:paraId="57964A53" w14:textId="77777777" w:rsidR="00716B4B" w:rsidRPr="00C25567" w:rsidRDefault="00716B4B" w:rsidP="007C4C6E">
            <w:pPr>
              <w:jc w:val="center"/>
              <w:rPr>
                <w:sz w:val="16"/>
                <w:szCs w:val="16"/>
              </w:rPr>
            </w:pPr>
            <w:r w:rsidRPr="00C25567">
              <w:rPr>
                <w:sz w:val="16"/>
                <w:szCs w:val="16"/>
              </w:rPr>
              <w:t>pro-forma</w:t>
            </w:r>
          </w:p>
          <w:p w14:paraId="3BAE2C11" w14:textId="77777777" w:rsidR="00716B4B" w:rsidRPr="00C25567" w:rsidRDefault="00716B4B" w:rsidP="007C4C6E">
            <w:pPr>
              <w:jc w:val="center"/>
              <w:rPr>
                <w:sz w:val="16"/>
                <w:szCs w:val="16"/>
              </w:rPr>
            </w:pPr>
            <w:r w:rsidRPr="00C25567">
              <w:rPr>
                <w:sz w:val="16"/>
                <w:szCs w:val="16"/>
              </w:rPr>
              <w:t>with second CT scanner</w:t>
            </w:r>
          </w:p>
          <w:p w14:paraId="23DD60D1" w14:textId="77777777" w:rsidR="00716B4B" w:rsidRPr="00C25567" w:rsidRDefault="00716B4B" w:rsidP="007C4C6E">
            <w:pPr>
              <w:jc w:val="center"/>
              <w:rPr>
                <w:sz w:val="16"/>
                <w:szCs w:val="16"/>
              </w:rPr>
            </w:pPr>
            <w:r w:rsidRPr="00C25567">
              <w:rPr>
                <w:sz w:val="16"/>
                <w:szCs w:val="16"/>
              </w:rPr>
              <w:t>2025</w:t>
            </w:r>
          </w:p>
        </w:tc>
        <w:tc>
          <w:tcPr>
            <w:tcW w:w="1119" w:type="dxa"/>
          </w:tcPr>
          <w:p w14:paraId="4098D7C4" w14:textId="77777777" w:rsidR="00716B4B" w:rsidRPr="00C25567" w:rsidRDefault="00716B4B" w:rsidP="007C4C6E">
            <w:pPr>
              <w:jc w:val="center"/>
              <w:rPr>
                <w:sz w:val="16"/>
                <w:szCs w:val="16"/>
              </w:rPr>
            </w:pPr>
            <w:r w:rsidRPr="00C25567">
              <w:rPr>
                <w:sz w:val="16"/>
                <w:szCs w:val="16"/>
              </w:rPr>
              <w:t>Projected/</w:t>
            </w:r>
          </w:p>
          <w:p w14:paraId="429A4282" w14:textId="77777777" w:rsidR="00716B4B" w:rsidRPr="00C25567" w:rsidRDefault="00716B4B" w:rsidP="007C4C6E">
            <w:pPr>
              <w:jc w:val="center"/>
              <w:rPr>
                <w:sz w:val="16"/>
                <w:szCs w:val="16"/>
              </w:rPr>
            </w:pPr>
            <w:r w:rsidRPr="00C25567">
              <w:rPr>
                <w:sz w:val="16"/>
                <w:szCs w:val="16"/>
              </w:rPr>
              <w:t>pro-forma</w:t>
            </w:r>
          </w:p>
          <w:p w14:paraId="32F659EE" w14:textId="77777777" w:rsidR="00716B4B" w:rsidRPr="00C25567" w:rsidRDefault="00716B4B" w:rsidP="007C4C6E">
            <w:pPr>
              <w:jc w:val="center"/>
              <w:rPr>
                <w:sz w:val="16"/>
                <w:szCs w:val="16"/>
              </w:rPr>
            </w:pPr>
            <w:r w:rsidRPr="00C25567">
              <w:rPr>
                <w:sz w:val="16"/>
                <w:szCs w:val="16"/>
              </w:rPr>
              <w:t>with second CT scanner</w:t>
            </w:r>
          </w:p>
          <w:p w14:paraId="2FE4DE19" w14:textId="77777777" w:rsidR="00716B4B" w:rsidRPr="00C25567" w:rsidRDefault="00716B4B" w:rsidP="007C4C6E">
            <w:pPr>
              <w:jc w:val="center"/>
              <w:rPr>
                <w:sz w:val="16"/>
                <w:szCs w:val="16"/>
              </w:rPr>
            </w:pPr>
            <w:r w:rsidRPr="00C25567">
              <w:rPr>
                <w:sz w:val="16"/>
                <w:szCs w:val="16"/>
              </w:rPr>
              <w:t>2026</w:t>
            </w:r>
          </w:p>
        </w:tc>
        <w:tc>
          <w:tcPr>
            <w:tcW w:w="1119" w:type="dxa"/>
          </w:tcPr>
          <w:p w14:paraId="17FE7C56" w14:textId="77777777" w:rsidR="00716B4B" w:rsidRPr="00C25567" w:rsidRDefault="00716B4B" w:rsidP="007C4C6E">
            <w:pPr>
              <w:jc w:val="center"/>
              <w:rPr>
                <w:sz w:val="16"/>
                <w:szCs w:val="16"/>
              </w:rPr>
            </w:pPr>
            <w:r w:rsidRPr="00C25567">
              <w:rPr>
                <w:sz w:val="16"/>
                <w:szCs w:val="16"/>
              </w:rPr>
              <w:t>Projected/</w:t>
            </w:r>
          </w:p>
          <w:p w14:paraId="18F4AF29" w14:textId="77777777" w:rsidR="00716B4B" w:rsidRPr="00C25567" w:rsidRDefault="00716B4B" w:rsidP="007C4C6E">
            <w:pPr>
              <w:jc w:val="center"/>
              <w:rPr>
                <w:sz w:val="16"/>
                <w:szCs w:val="16"/>
              </w:rPr>
            </w:pPr>
            <w:r w:rsidRPr="00C25567">
              <w:rPr>
                <w:sz w:val="16"/>
                <w:szCs w:val="16"/>
              </w:rPr>
              <w:t>pro-forma</w:t>
            </w:r>
          </w:p>
          <w:p w14:paraId="7DF0690B" w14:textId="77777777" w:rsidR="00716B4B" w:rsidRPr="00C25567" w:rsidRDefault="00716B4B" w:rsidP="007C4C6E">
            <w:pPr>
              <w:jc w:val="center"/>
              <w:rPr>
                <w:sz w:val="16"/>
                <w:szCs w:val="16"/>
              </w:rPr>
            </w:pPr>
            <w:r w:rsidRPr="00C25567">
              <w:rPr>
                <w:sz w:val="16"/>
                <w:szCs w:val="16"/>
              </w:rPr>
              <w:t>with second CT scanner</w:t>
            </w:r>
          </w:p>
          <w:p w14:paraId="0AFAD132" w14:textId="77777777" w:rsidR="00716B4B" w:rsidRPr="00C25567" w:rsidRDefault="00716B4B" w:rsidP="007C4C6E">
            <w:pPr>
              <w:jc w:val="center"/>
              <w:rPr>
                <w:sz w:val="16"/>
                <w:szCs w:val="16"/>
              </w:rPr>
            </w:pPr>
            <w:r w:rsidRPr="00C25567">
              <w:rPr>
                <w:sz w:val="16"/>
                <w:szCs w:val="16"/>
              </w:rPr>
              <w:t>2027</w:t>
            </w:r>
          </w:p>
        </w:tc>
        <w:tc>
          <w:tcPr>
            <w:tcW w:w="1119" w:type="dxa"/>
          </w:tcPr>
          <w:p w14:paraId="2CD3B60B" w14:textId="77777777" w:rsidR="00716B4B" w:rsidRPr="00C25567" w:rsidRDefault="00716B4B" w:rsidP="007C4C6E">
            <w:pPr>
              <w:jc w:val="center"/>
              <w:rPr>
                <w:sz w:val="16"/>
                <w:szCs w:val="16"/>
              </w:rPr>
            </w:pPr>
            <w:r w:rsidRPr="00C25567">
              <w:rPr>
                <w:sz w:val="16"/>
                <w:szCs w:val="16"/>
              </w:rPr>
              <w:t>Projected/</w:t>
            </w:r>
          </w:p>
          <w:p w14:paraId="50FB85B5" w14:textId="77777777" w:rsidR="00716B4B" w:rsidRPr="00C25567" w:rsidRDefault="00716B4B" w:rsidP="007C4C6E">
            <w:pPr>
              <w:jc w:val="center"/>
              <w:rPr>
                <w:sz w:val="16"/>
                <w:szCs w:val="16"/>
              </w:rPr>
            </w:pPr>
            <w:r w:rsidRPr="00C25567">
              <w:rPr>
                <w:sz w:val="16"/>
                <w:szCs w:val="16"/>
              </w:rPr>
              <w:t>pro-forma</w:t>
            </w:r>
          </w:p>
          <w:p w14:paraId="5C45560E" w14:textId="77777777" w:rsidR="00716B4B" w:rsidRPr="00C25567" w:rsidRDefault="00716B4B" w:rsidP="007C4C6E">
            <w:pPr>
              <w:jc w:val="center"/>
              <w:rPr>
                <w:sz w:val="16"/>
                <w:szCs w:val="16"/>
              </w:rPr>
            </w:pPr>
            <w:r w:rsidRPr="00C25567">
              <w:rPr>
                <w:sz w:val="16"/>
                <w:szCs w:val="16"/>
              </w:rPr>
              <w:t>with second CT scanner</w:t>
            </w:r>
          </w:p>
          <w:p w14:paraId="6B03471A" w14:textId="77777777" w:rsidR="00716B4B" w:rsidRPr="00C25567" w:rsidRDefault="00716B4B" w:rsidP="007C4C6E">
            <w:pPr>
              <w:jc w:val="center"/>
              <w:rPr>
                <w:sz w:val="16"/>
                <w:szCs w:val="16"/>
              </w:rPr>
            </w:pPr>
            <w:r w:rsidRPr="00C25567">
              <w:rPr>
                <w:sz w:val="16"/>
                <w:szCs w:val="16"/>
              </w:rPr>
              <w:t>2028</w:t>
            </w:r>
          </w:p>
        </w:tc>
      </w:tr>
      <w:tr w:rsidR="00716B4B" w:rsidRPr="00955A22" w14:paraId="48E7FC5F" w14:textId="77777777" w:rsidTr="001F0B9C">
        <w:trPr>
          <w:cantSplit/>
          <w:trHeight w:val="252"/>
          <w:jc w:val="center"/>
        </w:trPr>
        <w:tc>
          <w:tcPr>
            <w:tcW w:w="2140" w:type="dxa"/>
          </w:tcPr>
          <w:p w14:paraId="752AB3AD" w14:textId="77777777" w:rsidR="00716B4B" w:rsidRPr="00603F0D" w:rsidRDefault="00716B4B" w:rsidP="007C4C6E">
            <w:pPr>
              <w:ind w:firstLine="157"/>
              <w:jc w:val="left"/>
              <w:rPr>
                <w:sz w:val="16"/>
                <w:szCs w:val="16"/>
              </w:rPr>
            </w:pPr>
            <w:r w:rsidRPr="00603F0D">
              <w:rPr>
                <w:sz w:val="16"/>
                <w:szCs w:val="16"/>
              </w:rPr>
              <w:t xml:space="preserve">Net income </w:t>
            </w:r>
          </w:p>
        </w:tc>
        <w:tc>
          <w:tcPr>
            <w:tcW w:w="1119" w:type="dxa"/>
          </w:tcPr>
          <w:p w14:paraId="4E0C0B21" w14:textId="18784465" w:rsidR="00716B4B" w:rsidRPr="007A729D" w:rsidRDefault="00716B4B" w:rsidP="007C4C6E">
            <w:pPr>
              <w:tabs>
                <w:tab w:val="decimal" w:pos="731"/>
              </w:tabs>
              <w:jc w:val="left"/>
              <w:rPr>
                <w:sz w:val="16"/>
                <w:szCs w:val="16"/>
              </w:rPr>
            </w:pPr>
            <w:r>
              <w:rPr>
                <w:sz w:val="16"/>
                <w:szCs w:val="16"/>
              </w:rPr>
              <w:t xml:space="preserve">$  </w:t>
            </w:r>
            <w:r w:rsidR="0050366E">
              <w:rPr>
                <w:sz w:val="16"/>
                <w:szCs w:val="16"/>
              </w:rPr>
              <w:t>411</w:t>
            </w:r>
            <w:r>
              <w:rPr>
                <w:sz w:val="16"/>
                <w:szCs w:val="16"/>
              </w:rPr>
              <w:t>,200</w:t>
            </w:r>
          </w:p>
        </w:tc>
        <w:tc>
          <w:tcPr>
            <w:tcW w:w="1119" w:type="dxa"/>
          </w:tcPr>
          <w:p w14:paraId="751CB267" w14:textId="740071A2" w:rsidR="00716B4B" w:rsidRPr="007A729D" w:rsidRDefault="00716B4B" w:rsidP="007C4C6E">
            <w:pPr>
              <w:tabs>
                <w:tab w:val="decimal" w:pos="652"/>
              </w:tabs>
              <w:jc w:val="left"/>
              <w:rPr>
                <w:sz w:val="16"/>
                <w:szCs w:val="16"/>
              </w:rPr>
            </w:pPr>
            <w:r>
              <w:rPr>
                <w:sz w:val="16"/>
                <w:szCs w:val="16"/>
              </w:rPr>
              <w:t xml:space="preserve">$  </w:t>
            </w:r>
            <w:r w:rsidR="00530B6D">
              <w:rPr>
                <w:sz w:val="16"/>
                <w:szCs w:val="16"/>
              </w:rPr>
              <w:t>437,553</w:t>
            </w:r>
          </w:p>
        </w:tc>
        <w:tc>
          <w:tcPr>
            <w:tcW w:w="1119" w:type="dxa"/>
          </w:tcPr>
          <w:p w14:paraId="1DF039FE" w14:textId="0F5652BE" w:rsidR="00716B4B" w:rsidRPr="007A729D" w:rsidRDefault="00716B4B" w:rsidP="007C4C6E">
            <w:pPr>
              <w:tabs>
                <w:tab w:val="decimal" w:pos="688"/>
              </w:tabs>
              <w:jc w:val="left"/>
              <w:rPr>
                <w:sz w:val="16"/>
                <w:szCs w:val="16"/>
              </w:rPr>
            </w:pPr>
            <w:r>
              <w:rPr>
                <w:sz w:val="16"/>
                <w:szCs w:val="16"/>
              </w:rPr>
              <w:t>$  528,977</w:t>
            </w:r>
          </w:p>
        </w:tc>
        <w:tc>
          <w:tcPr>
            <w:tcW w:w="1119" w:type="dxa"/>
          </w:tcPr>
          <w:p w14:paraId="6C7F9E68" w14:textId="50E5560B" w:rsidR="00716B4B" w:rsidRPr="007A729D" w:rsidRDefault="00716B4B" w:rsidP="007C4C6E">
            <w:pPr>
              <w:tabs>
                <w:tab w:val="decimal" w:pos="688"/>
              </w:tabs>
              <w:rPr>
                <w:sz w:val="16"/>
                <w:szCs w:val="16"/>
              </w:rPr>
            </w:pPr>
            <w:r>
              <w:rPr>
                <w:sz w:val="16"/>
                <w:szCs w:val="16"/>
              </w:rPr>
              <w:t>$  552,329</w:t>
            </w:r>
          </w:p>
        </w:tc>
        <w:tc>
          <w:tcPr>
            <w:tcW w:w="1119" w:type="dxa"/>
          </w:tcPr>
          <w:p w14:paraId="78615432" w14:textId="4AD43D9F" w:rsidR="00716B4B" w:rsidRPr="007A729D" w:rsidRDefault="00716B4B" w:rsidP="00911DF3">
            <w:pPr>
              <w:tabs>
                <w:tab w:val="decimal" w:pos="833"/>
              </w:tabs>
              <w:ind w:left="-150"/>
              <w:jc w:val="left"/>
              <w:rPr>
                <w:sz w:val="16"/>
                <w:szCs w:val="16"/>
              </w:rPr>
            </w:pPr>
            <w:r>
              <w:rPr>
                <w:sz w:val="16"/>
                <w:szCs w:val="16"/>
              </w:rPr>
              <w:t xml:space="preserve">$   </w:t>
            </w:r>
            <w:r w:rsidRPr="007A729D">
              <w:rPr>
                <w:sz w:val="16"/>
                <w:szCs w:val="16"/>
              </w:rPr>
              <w:t>59</w:t>
            </w:r>
            <w:r>
              <w:rPr>
                <w:sz w:val="16"/>
                <w:szCs w:val="16"/>
              </w:rPr>
              <w:t>7,360</w:t>
            </w:r>
          </w:p>
        </w:tc>
      </w:tr>
      <w:tr w:rsidR="00716B4B" w:rsidRPr="00955A22" w14:paraId="7F71F5D4" w14:textId="77777777" w:rsidTr="001F0B9C">
        <w:trPr>
          <w:cantSplit/>
          <w:trHeight w:val="252"/>
          <w:jc w:val="center"/>
        </w:trPr>
        <w:tc>
          <w:tcPr>
            <w:tcW w:w="2140" w:type="dxa"/>
          </w:tcPr>
          <w:p w14:paraId="06C9AC3F" w14:textId="77777777" w:rsidR="00716B4B" w:rsidRPr="00F034C7" w:rsidRDefault="00716B4B" w:rsidP="007C4C6E">
            <w:pPr>
              <w:ind w:left="249" w:hanging="249"/>
              <w:rPr>
                <w:sz w:val="16"/>
                <w:szCs w:val="16"/>
              </w:rPr>
            </w:pPr>
            <w:r>
              <w:rPr>
                <w:sz w:val="16"/>
                <w:szCs w:val="16"/>
              </w:rPr>
              <w:t xml:space="preserve">    Depreciation </w:t>
            </w:r>
          </w:p>
        </w:tc>
        <w:tc>
          <w:tcPr>
            <w:tcW w:w="1119" w:type="dxa"/>
          </w:tcPr>
          <w:p w14:paraId="4676111B" w14:textId="77777777" w:rsidR="00716B4B" w:rsidRDefault="00716B4B" w:rsidP="007C4C6E">
            <w:pPr>
              <w:tabs>
                <w:tab w:val="decimal" w:pos="731"/>
              </w:tabs>
              <w:rPr>
                <w:sz w:val="16"/>
                <w:szCs w:val="16"/>
              </w:rPr>
            </w:pPr>
            <w:r>
              <w:rPr>
                <w:sz w:val="16"/>
                <w:szCs w:val="16"/>
              </w:rPr>
              <w:t>89,874</w:t>
            </w:r>
          </w:p>
        </w:tc>
        <w:tc>
          <w:tcPr>
            <w:tcW w:w="1119" w:type="dxa"/>
          </w:tcPr>
          <w:p w14:paraId="1E7333E3" w14:textId="558ADBD2" w:rsidR="00716B4B" w:rsidRDefault="0042683A" w:rsidP="0042683A">
            <w:pPr>
              <w:tabs>
                <w:tab w:val="decimal" w:pos="668"/>
              </w:tabs>
              <w:rPr>
                <w:sz w:val="16"/>
                <w:szCs w:val="16"/>
              </w:rPr>
            </w:pPr>
            <w:r>
              <w:rPr>
                <w:sz w:val="16"/>
                <w:szCs w:val="16"/>
              </w:rPr>
              <w:t xml:space="preserve"> </w:t>
            </w:r>
            <w:r w:rsidR="00716B4B">
              <w:rPr>
                <w:sz w:val="16"/>
                <w:szCs w:val="16"/>
              </w:rPr>
              <w:t>89,874</w:t>
            </w:r>
          </w:p>
        </w:tc>
        <w:tc>
          <w:tcPr>
            <w:tcW w:w="1119" w:type="dxa"/>
          </w:tcPr>
          <w:p w14:paraId="6F5313DB" w14:textId="77777777" w:rsidR="00716B4B" w:rsidRDefault="00716B4B" w:rsidP="007C4C6E">
            <w:pPr>
              <w:tabs>
                <w:tab w:val="decimal" w:pos="688"/>
              </w:tabs>
              <w:rPr>
                <w:sz w:val="16"/>
                <w:szCs w:val="16"/>
              </w:rPr>
            </w:pPr>
            <w:r>
              <w:rPr>
                <w:sz w:val="16"/>
                <w:szCs w:val="16"/>
              </w:rPr>
              <w:t>89,874</w:t>
            </w:r>
          </w:p>
        </w:tc>
        <w:tc>
          <w:tcPr>
            <w:tcW w:w="1119" w:type="dxa"/>
          </w:tcPr>
          <w:p w14:paraId="2DE892B2" w14:textId="77777777" w:rsidR="00716B4B" w:rsidRDefault="00716B4B" w:rsidP="007C4C6E">
            <w:pPr>
              <w:tabs>
                <w:tab w:val="decimal" w:pos="688"/>
              </w:tabs>
              <w:rPr>
                <w:sz w:val="16"/>
                <w:szCs w:val="16"/>
              </w:rPr>
            </w:pPr>
            <w:r>
              <w:rPr>
                <w:sz w:val="16"/>
                <w:szCs w:val="16"/>
              </w:rPr>
              <w:t>84,770</w:t>
            </w:r>
          </w:p>
        </w:tc>
        <w:tc>
          <w:tcPr>
            <w:tcW w:w="1119" w:type="dxa"/>
          </w:tcPr>
          <w:p w14:paraId="04850DE0" w14:textId="5B8C3984" w:rsidR="00716B4B" w:rsidRDefault="00716B4B" w:rsidP="00911DF3">
            <w:pPr>
              <w:tabs>
                <w:tab w:val="decimal" w:pos="833"/>
              </w:tabs>
              <w:jc w:val="left"/>
              <w:rPr>
                <w:sz w:val="16"/>
                <w:szCs w:val="16"/>
              </w:rPr>
            </w:pPr>
            <w:r>
              <w:rPr>
                <w:sz w:val="16"/>
                <w:szCs w:val="16"/>
              </w:rPr>
              <w:t xml:space="preserve">  84,770</w:t>
            </w:r>
          </w:p>
        </w:tc>
      </w:tr>
      <w:tr w:rsidR="00716B4B" w:rsidRPr="00955A22" w14:paraId="11382BDB" w14:textId="77777777" w:rsidTr="001F0B9C">
        <w:trPr>
          <w:cantSplit/>
          <w:trHeight w:val="243"/>
          <w:jc w:val="center"/>
        </w:trPr>
        <w:tc>
          <w:tcPr>
            <w:tcW w:w="2140" w:type="dxa"/>
          </w:tcPr>
          <w:p w14:paraId="51F0D3B4" w14:textId="77777777" w:rsidR="00716B4B" w:rsidRPr="00F14C2F" w:rsidRDefault="00716B4B" w:rsidP="007C4C6E">
            <w:pPr>
              <w:rPr>
                <w:sz w:val="16"/>
                <w:szCs w:val="16"/>
              </w:rPr>
            </w:pPr>
            <w:r w:rsidRPr="00F14C2F">
              <w:rPr>
                <w:sz w:val="16"/>
                <w:szCs w:val="16"/>
              </w:rPr>
              <w:t xml:space="preserve">    Cash, beginning of year</w:t>
            </w:r>
            <w:r>
              <w:rPr>
                <w:sz w:val="16"/>
                <w:szCs w:val="16"/>
              </w:rPr>
              <w:t xml:space="preserve"> (1)</w:t>
            </w:r>
          </w:p>
        </w:tc>
        <w:tc>
          <w:tcPr>
            <w:tcW w:w="1119" w:type="dxa"/>
          </w:tcPr>
          <w:p w14:paraId="7384DB08" w14:textId="77777777" w:rsidR="00716B4B" w:rsidRPr="0043252B" w:rsidRDefault="00716B4B" w:rsidP="007C4C6E">
            <w:pPr>
              <w:tabs>
                <w:tab w:val="decimal" w:pos="731"/>
              </w:tabs>
              <w:rPr>
                <w:sz w:val="16"/>
                <w:szCs w:val="16"/>
              </w:rPr>
            </w:pPr>
            <w:r>
              <w:rPr>
                <w:sz w:val="16"/>
                <w:szCs w:val="16"/>
              </w:rPr>
              <w:t>-</w:t>
            </w:r>
          </w:p>
        </w:tc>
        <w:tc>
          <w:tcPr>
            <w:tcW w:w="1119" w:type="dxa"/>
          </w:tcPr>
          <w:p w14:paraId="350A691D" w14:textId="1D9B3A70" w:rsidR="00716B4B" w:rsidRPr="0043252B" w:rsidRDefault="00530B6D" w:rsidP="0042683A">
            <w:pPr>
              <w:tabs>
                <w:tab w:val="decimal" w:pos="668"/>
              </w:tabs>
              <w:rPr>
                <w:sz w:val="16"/>
                <w:szCs w:val="16"/>
              </w:rPr>
            </w:pPr>
            <w:r>
              <w:rPr>
                <w:sz w:val="16"/>
                <w:szCs w:val="16"/>
              </w:rPr>
              <w:t>501,074</w:t>
            </w:r>
          </w:p>
        </w:tc>
        <w:tc>
          <w:tcPr>
            <w:tcW w:w="1119" w:type="dxa"/>
          </w:tcPr>
          <w:p w14:paraId="29BFAC51" w14:textId="0562229D" w:rsidR="00716B4B" w:rsidRPr="0043252B" w:rsidRDefault="00226206" w:rsidP="007C4C6E">
            <w:pPr>
              <w:tabs>
                <w:tab w:val="decimal" w:pos="688"/>
              </w:tabs>
              <w:rPr>
                <w:sz w:val="16"/>
                <w:szCs w:val="16"/>
              </w:rPr>
            </w:pPr>
            <w:r>
              <w:rPr>
                <w:sz w:val="16"/>
                <w:szCs w:val="16"/>
              </w:rPr>
              <w:t>1,028,501</w:t>
            </w:r>
          </w:p>
        </w:tc>
        <w:tc>
          <w:tcPr>
            <w:tcW w:w="1119" w:type="dxa"/>
          </w:tcPr>
          <w:p w14:paraId="4233A56A" w14:textId="09BA4139" w:rsidR="00716B4B" w:rsidRPr="0043252B" w:rsidRDefault="00226206" w:rsidP="007C4C6E">
            <w:pPr>
              <w:tabs>
                <w:tab w:val="decimal" w:pos="688"/>
              </w:tabs>
              <w:rPr>
                <w:sz w:val="16"/>
                <w:szCs w:val="16"/>
              </w:rPr>
            </w:pPr>
            <w:r>
              <w:rPr>
                <w:sz w:val="16"/>
                <w:szCs w:val="16"/>
              </w:rPr>
              <w:t>1,647,35</w:t>
            </w:r>
            <w:r w:rsidR="00BD37D0">
              <w:rPr>
                <w:sz w:val="16"/>
                <w:szCs w:val="16"/>
              </w:rPr>
              <w:t>2</w:t>
            </w:r>
          </w:p>
        </w:tc>
        <w:tc>
          <w:tcPr>
            <w:tcW w:w="1119" w:type="dxa"/>
          </w:tcPr>
          <w:p w14:paraId="702331BE" w14:textId="58A15FEA" w:rsidR="00716B4B" w:rsidRDefault="00716B4B" w:rsidP="00911DF3">
            <w:pPr>
              <w:tabs>
                <w:tab w:val="decimal" w:pos="833"/>
              </w:tabs>
              <w:jc w:val="left"/>
              <w:rPr>
                <w:sz w:val="16"/>
                <w:szCs w:val="16"/>
              </w:rPr>
            </w:pPr>
            <w:r>
              <w:rPr>
                <w:sz w:val="16"/>
                <w:szCs w:val="16"/>
              </w:rPr>
              <w:t>2,</w:t>
            </w:r>
            <w:r w:rsidR="00D549A5">
              <w:rPr>
                <w:sz w:val="16"/>
                <w:szCs w:val="16"/>
              </w:rPr>
              <w:t>284,451</w:t>
            </w:r>
          </w:p>
        </w:tc>
      </w:tr>
      <w:tr w:rsidR="00716B4B" w:rsidRPr="0043252B" w14:paraId="4360696E" w14:textId="77777777" w:rsidTr="001F0B9C">
        <w:trPr>
          <w:cantSplit/>
          <w:trHeight w:val="161"/>
          <w:jc w:val="center"/>
        </w:trPr>
        <w:tc>
          <w:tcPr>
            <w:tcW w:w="2140" w:type="dxa"/>
          </w:tcPr>
          <w:p w14:paraId="32F71E57" w14:textId="77777777" w:rsidR="00716B4B" w:rsidRPr="00F14C2F" w:rsidRDefault="00716B4B" w:rsidP="007C4C6E">
            <w:pPr>
              <w:rPr>
                <w:sz w:val="16"/>
                <w:szCs w:val="16"/>
              </w:rPr>
            </w:pPr>
            <w:r w:rsidRPr="00F14C2F">
              <w:rPr>
                <w:sz w:val="16"/>
                <w:szCs w:val="16"/>
              </w:rPr>
              <w:t xml:space="preserve">    Cash, end of year</w:t>
            </w:r>
          </w:p>
        </w:tc>
        <w:tc>
          <w:tcPr>
            <w:tcW w:w="1119" w:type="dxa"/>
            <w:tcBorders>
              <w:top w:val="single" w:sz="4" w:space="0" w:color="auto"/>
              <w:bottom w:val="double" w:sz="4" w:space="0" w:color="auto"/>
            </w:tcBorders>
          </w:tcPr>
          <w:p w14:paraId="224A0D41" w14:textId="5EFB1B21" w:rsidR="00716B4B" w:rsidRPr="0043252B" w:rsidRDefault="00716B4B" w:rsidP="007C4C6E">
            <w:pPr>
              <w:tabs>
                <w:tab w:val="decimal" w:pos="731"/>
              </w:tabs>
              <w:rPr>
                <w:sz w:val="16"/>
                <w:szCs w:val="16"/>
              </w:rPr>
            </w:pPr>
            <w:r>
              <w:rPr>
                <w:sz w:val="16"/>
                <w:szCs w:val="16"/>
              </w:rPr>
              <w:t xml:space="preserve">$  </w:t>
            </w:r>
            <w:r w:rsidR="0042683A">
              <w:rPr>
                <w:sz w:val="16"/>
                <w:szCs w:val="16"/>
              </w:rPr>
              <w:t>501,074</w:t>
            </w:r>
          </w:p>
        </w:tc>
        <w:tc>
          <w:tcPr>
            <w:tcW w:w="1119" w:type="dxa"/>
            <w:tcBorders>
              <w:top w:val="single" w:sz="4" w:space="0" w:color="auto"/>
              <w:bottom w:val="double" w:sz="4" w:space="0" w:color="auto"/>
            </w:tcBorders>
          </w:tcPr>
          <w:p w14:paraId="11786901" w14:textId="0FB3B4EA" w:rsidR="00716B4B" w:rsidRPr="0043252B" w:rsidRDefault="00716B4B" w:rsidP="007C4C6E">
            <w:pPr>
              <w:tabs>
                <w:tab w:val="decimal" w:pos="652"/>
              </w:tabs>
              <w:rPr>
                <w:sz w:val="16"/>
                <w:szCs w:val="16"/>
              </w:rPr>
            </w:pPr>
            <w:r>
              <w:rPr>
                <w:sz w:val="16"/>
                <w:szCs w:val="16"/>
              </w:rPr>
              <w:t>$</w:t>
            </w:r>
            <w:r w:rsidR="0042683A">
              <w:rPr>
                <w:sz w:val="16"/>
                <w:szCs w:val="16"/>
              </w:rPr>
              <w:t>1,028,501</w:t>
            </w:r>
          </w:p>
        </w:tc>
        <w:tc>
          <w:tcPr>
            <w:tcW w:w="1119" w:type="dxa"/>
            <w:tcBorders>
              <w:top w:val="single" w:sz="4" w:space="0" w:color="auto"/>
              <w:bottom w:val="double" w:sz="4" w:space="0" w:color="auto"/>
            </w:tcBorders>
          </w:tcPr>
          <w:p w14:paraId="4DC0D163" w14:textId="2309CD70" w:rsidR="00716B4B" w:rsidRPr="0043252B" w:rsidRDefault="00716B4B" w:rsidP="007C4C6E">
            <w:pPr>
              <w:tabs>
                <w:tab w:val="decimal" w:pos="688"/>
              </w:tabs>
              <w:rPr>
                <w:sz w:val="16"/>
                <w:szCs w:val="16"/>
              </w:rPr>
            </w:pPr>
            <w:r>
              <w:rPr>
                <w:sz w:val="16"/>
                <w:szCs w:val="16"/>
              </w:rPr>
              <w:t>$1,</w:t>
            </w:r>
            <w:r w:rsidR="00226206">
              <w:rPr>
                <w:sz w:val="16"/>
                <w:szCs w:val="16"/>
              </w:rPr>
              <w:t>647,35</w:t>
            </w:r>
            <w:r w:rsidR="00BD37D0">
              <w:rPr>
                <w:sz w:val="16"/>
                <w:szCs w:val="16"/>
              </w:rPr>
              <w:t>2</w:t>
            </w:r>
          </w:p>
        </w:tc>
        <w:tc>
          <w:tcPr>
            <w:tcW w:w="1119" w:type="dxa"/>
            <w:tcBorders>
              <w:top w:val="single" w:sz="4" w:space="0" w:color="auto"/>
              <w:bottom w:val="double" w:sz="4" w:space="0" w:color="auto"/>
            </w:tcBorders>
          </w:tcPr>
          <w:p w14:paraId="646CCD73" w14:textId="7E6BFD4C" w:rsidR="00716B4B" w:rsidRDefault="00716B4B" w:rsidP="007C4C6E">
            <w:pPr>
              <w:tabs>
                <w:tab w:val="decimal" w:pos="688"/>
              </w:tabs>
              <w:rPr>
                <w:sz w:val="16"/>
                <w:szCs w:val="16"/>
              </w:rPr>
            </w:pPr>
            <w:r>
              <w:rPr>
                <w:sz w:val="16"/>
                <w:szCs w:val="16"/>
              </w:rPr>
              <w:t>$2,</w:t>
            </w:r>
            <w:r w:rsidR="00D549A5">
              <w:rPr>
                <w:sz w:val="16"/>
                <w:szCs w:val="16"/>
              </w:rPr>
              <w:t>284,451</w:t>
            </w:r>
          </w:p>
        </w:tc>
        <w:tc>
          <w:tcPr>
            <w:tcW w:w="1119" w:type="dxa"/>
            <w:tcBorders>
              <w:top w:val="single" w:sz="4" w:space="0" w:color="auto"/>
              <w:bottom w:val="double" w:sz="4" w:space="0" w:color="auto"/>
            </w:tcBorders>
          </w:tcPr>
          <w:p w14:paraId="0C5210EF" w14:textId="425910DA" w:rsidR="00716B4B" w:rsidRDefault="00716B4B" w:rsidP="00911DF3">
            <w:pPr>
              <w:tabs>
                <w:tab w:val="decimal" w:pos="833"/>
              </w:tabs>
              <w:jc w:val="left"/>
              <w:rPr>
                <w:sz w:val="16"/>
                <w:szCs w:val="16"/>
              </w:rPr>
            </w:pPr>
            <w:r>
              <w:rPr>
                <w:sz w:val="16"/>
                <w:szCs w:val="16"/>
              </w:rPr>
              <w:t>$</w:t>
            </w:r>
            <w:r w:rsidR="00911DF3">
              <w:rPr>
                <w:sz w:val="16"/>
                <w:szCs w:val="16"/>
              </w:rPr>
              <w:t xml:space="preserve"> </w:t>
            </w:r>
            <w:r>
              <w:rPr>
                <w:sz w:val="16"/>
                <w:szCs w:val="16"/>
              </w:rPr>
              <w:t xml:space="preserve">2 </w:t>
            </w:r>
            <w:r w:rsidR="00D549A5">
              <w:rPr>
                <w:sz w:val="16"/>
                <w:szCs w:val="16"/>
              </w:rPr>
              <w:t>966,581</w:t>
            </w:r>
          </w:p>
        </w:tc>
      </w:tr>
    </w:tbl>
    <w:p w14:paraId="0E4021D9" w14:textId="77777777" w:rsidR="00431B8E" w:rsidRPr="00431B8E" w:rsidRDefault="00431B8E" w:rsidP="00431B8E">
      <w:pPr>
        <w:tabs>
          <w:tab w:val="left" w:pos="360"/>
        </w:tabs>
        <w:spacing w:after="0" w:line="240" w:lineRule="auto"/>
        <w:jc w:val="both"/>
        <w:rPr>
          <w:rFonts w:ascii="Times New Roman" w:hAnsi="Times New Roman" w:cs="Times New Roman"/>
          <w:b/>
          <w:u w:val="single"/>
        </w:rPr>
      </w:pPr>
    </w:p>
    <w:p w14:paraId="138D6D1F" w14:textId="24503013" w:rsidR="00683048" w:rsidRPr="0038511C" w:rsidRDefault="00683048" w:rsidP="00683048">
      <w:pPr>
        <w:pStyle w:val="ListParagraph"/>
        <w:numPr>
          <w:ilvl w:val="0"/>
          <w:numId w:val="17"/>
        </w:numPr>
        <w:spacing w:after="0"/>
        <w:jc w:val="both"/>
        <w:rPr>
          <w:rFonts w:ascii="Times New Roman" w:hAnsi="Times New Roman" w:cs="Times New Roman"/>
        </w:rPr>
      </w:pPr>
      <w:r w:rsidRPr="0038511C">
        <w:rPr>
          <w:rFonts w:ascii="Times New Roman" w:hAnsi="Times New Roman" w:cs="Times New Roman"/>
        </w:rPr>
        <w:t xml:space="preserve">Management expects there will be no cash available at the beginning of </w:t>
      </w:r>
      <w:r w:rsidR="00431B8E">
        <w:rPr>
          <w:rFonts w:ascii="Times New Roman" w:hAnsi="Times New Roman" w:cs="Times New Roman"/>
        </w:rPr>
        <w:t>fiscal year ending September 30, 2024</w:t>
      </w:r>
      <w:r w:rsidRPr="0038511C">
        <w:rPr>
          <w:rFonts w:ascii="Times New Roman" w:hAnsi="Times New Roman" w:cs="Times New Roman"/>
        </w:rPr>
        <w:t>. Exclud</w:t>
      </w:r>
      <w:r>
        <w:rPr>
          <w:rFonts w:ascii="Times New Roman" w:hAnsi="Times New Roman" w:cs="Times New Roman"/>
        </w:rPr>
        <w:t>ing</w:t>
      </w:r>
      <w:r w:rsidRPr="0038511C">
        <w:rPr>
          <w:rFonts w:ascii="Times New Roman" w:hAnsi="Times New Roman" w:cs="Times New Roman"/>
        </w:rPr>
        <w:t xml:space="preserve"> the lease costs for the second CT scanner, there is no expected financing for the project. The total capital expenditures for the project</w:t>
      </w:r>
      <w:r w:rsidR="00D471DF">
        <w:rPr>
          <w:rFonts w:ascii="Times New Roman" w:hAnsi="Times New Roman" w:cs="Times New Roman"/>
        </w:rPr>
        <w:t xml:space="preserve"> excluding the lease,</w:t>
      </w:r>
      <w:r w:rsidRPr="0038511C">
        <w:rPr>
          <w:rFonts w:ascii="Times New Roman" w:hAnsi="Times New Roman" w:cs="Times New Roman"/>
        </w:rPr>
        <w:t xml:space="preserve"> of approximately $</w:t>
      </w:r>
      <w:r w:rsidR="00D471DF">
        <w:rPr>
          <w:rFonts w:ascii="Times New Roman" w:hAnsi="Times New Roman" w:cs="Times New Roman"/>
        </w:rPr>
        <w:t>1,219,3</w:t>
      </w:r>
      <w:r w:rsidRPr="0038511C">
        <w:rPr>
          <w:rFonts w:ascii="Times New Roman" w:hAnsi="Times New Roman" w:cs="Times New Roman"/>
        </w:rPr>
        <w:t>00 will be funded by available capital funds of the Applicant.</w:t>
      </w:r>
    </w:p>
    <w:p w14:paraId="339FFEA0" w14:textId="77777777" w:rsidR="00683048" w:rsidRDefault="00683048" w:rsidP="00683048">
      <w:pPr>
        <w:spacing w:after="0" w:line="240" w:lineRule="auto"/>
        <w:jc w:val="both"/>
        <w:rPr>
          <w:rFonts w:ascii="Times New Roman" w:hAnsi="Times New Roman" w:cs="Times New Roman"/>
        </w:rPr>
      </w:pPr>
    </w:p>
    <w:p w14:paraId="1BF81B17" w14:textId="7F3C9055" w:rsidR="00683048" w:rsidRDefault="00683048" w:rsidP="00683048">
      <w:pPr>
        <w:spacing w:after="0" w:line="240" w:lineRule="auto"/>
        <w:ind w:left="720"/>
        <w:jc w:val="both"/>
        <w:rPr>
          <w:rFonts w:ascii="Times New Roman" w:hAnsi="Times New Roman" w:cs="Times New Roman"/>
        </w:rPr>
      </w:pPr>
      <w:r w:rsidRPr="00FB552F">
        <w:rPr>
          <w:rFonts w:ascii="Times New Roman" w:hAnsi="Times New Roman" w:cs="Times New Roman"/>
        </w:rPr>
        <w:t>Based upon our discussions with management and our review of the information provided, the capital needs and ongoing operating costs required to support the addition of a second CT scanner are not</w:t>
      </w:r>
      <w:r>
        <w:rPr>
          <w:rFonts w:ascii="Times New Roman" w:hAnsi="Times New Roman" w:cs="Times New Roman"/>
        </w:rPr>
        <w:t xml:space="preserve"> likely to result in a scenario where there is negative cash flow.</w:t>
      </w:r>
      <w:r w:rsidR="00D471DF">
        <w:rPr>
          <w:rFonts w:ascii="Times New Roman" w:hAnsi="Times New Roman" w:cs="Times New Roman"/>
        </w:rPr>
        <w:t xml:space="preserve">  The Applicant has the financial resources to fund the </w:t>
      </w:r>
      <w:r w:rsidR="00B059E4">
        <w:rPr>
          <w:rFonts w:ascii="Times New Roman" w:hAnsi="Times New Roman" w:cs="Times New Roman"/>
        </w:rPr>
        <w:t xml:space="preserve">initial </w:t>
      </w:r>
      <w:r w:rsidR="00D471DF">
        <w:rPr>
          <w:rFonts w:ascii="Times New Roman" w:hAnsi="Times New Roman" w:cs="Times New Roman"/>
        </w:rPr>
        <w:t>capital requirements</w:t>
      </w:r>
    </w:p>
    <w:p w14:paraId="61A1B444" w14:textId="77777777" w:rsidR="00683048" w:rsidRDefault="00683048" w:rsidP="002C40E1">
      <w:pPr>
        <w:tabs>
          <w:tab w:val="left" w:pos="360"/>
        </w:tabs>
        <w:spacing w:after="0" w:line="240" w:lineRule="auto"/>
        <w:jc w:val="both"/>
        <w:rPr>
          <w:rFonts w:ascii="Times New Roman" w:hAnsi="Times New Roman" w:cs="Times New Roman"/>
          <w:b/>
          <w:u w:val="single"/>
        </w:rPr>
      </w:pPr>
    </w:p>
    <w:p w14:paraId="64E51E48" w14:textId="77777777" w:rsidR="00D471DF" w:rsidRPr="002C40E1" w:rsidRDefault="00D471DF" w:rsidP="002C40E1">
      <w:pPr>
        <w:tabs>
          <w:tab w:val="left" w:pos="360"/>
        </w:tabs>
        <w:spacing w:after="0" w:line="240" w:lineRule="auto"/>
        <w:jc w:val="both"/>
        <w:rPr>
          <w:rFonts w:ascii="Times New Roman" w:hAnsi="Times New Roman" w:cs="Times New Roman"/>
          <w:b/>
          <w:u w:val="single"/>
        </w:rPr>
      </w:pPr>
    </w:p>
    <w:p w14:paraId="20884EBF" w14:textId="77777777" w:rsidR="00403082" w:rsidRPr="00BC0FFC" w:rsidRDefault="00403082" w:rsidP="00093FB1">
      <w:pPr>
        <w:pStyle w:val="ListParagraph"/>
        <w:widowControl w:val="0"/>
        <w:numPr>
          <w:ilvl w:val="0"/>
          <w:numId w:val="25"/>
        </w:numPr>
        <w:tabs>
          <w:tab w:val="left" w:pos="360"/>
        </w:tabs>
        <w:spacing w:after="0" w:line="240" w:lineRule="auto"/>
        <w:jc w:val="both"/>
        <w:rPr>
          <w:rFonts w:ascii="Times New Roman" w:hAnsi="Times New Roman" w:cs="Times New Roman"/>
          <w:b/>
          <w:sz w:val="24"/>
          <w:szCs w:val="24"/>
          <w:u w:val="single"/>
        </w:rPr>
      </w:pPr>
      <w:r w:rsidRPr="00BC0FFC">
        <w:rPr>
          <w:rFonts w:ascii="Times New Roman" w:hAnsi="Times New Roman" w:cs="Times New Roman"/>
          <w:b/>
          <w:sz w:val="24"/>
          <w:szCs w:val="24"/>
          <w:u w:val="single"/>
        </w:rPr>
        <w:t>Feasibility</w:t>
      </w:r>
    </w:p>
    <w:p w14:paraId="2A8DDF79" w14:textId="77777777" w:rsidR="00FC0B33" w:rsidRPr="00703D4C" w:rsidRDefault="00FC0B33" w:rsidP="00FC0B33">
      <w:pPr>
        <w:spacing w:after="0" w:line="240" w:lineRule="auto"/>
        <w:jc w:val="both"/>
        <w:rPr>
          <w:rFonts w:ascii="Times New Roman" w:hAnsi="Times New Roman" w:cs="Times New Roman"/>
          <w:b/>
        </w:rPr>
      </w:pPr>
    </w:p>
    <w:p w14:paraId="1FC2EF5D" w14:textId="64DBD974" w:rsidR="00FC0B33" w:rsidRPr="00DB49D2" w:rsidRDefault="00FC0B33" w:rsidP="00FC0B33">
      <w:pPr>
        <w:spacing w:after="0" w:line="240" w:lineRule="auto"/>
        <w:ind w:left="360"/>
        <w:jc w:val="both"/>
        <w:rPr>
          <w:rFonts w:ascii="Times New Roman" w:hAnsi="Times New Roman" w:cs="Times New Roman"/>
        </w:rPr>
      </w:pPr>
      <w:r w:rsidRPr="00DB49D2">
        <w:rPr>
          <w:rFonts w:ascii="Times New Roman" w:hAnsi="Times New Roman" w:cs="Times New Roman"/>
        </w:rPr>
        <w:t xml:space="preserve">We analyzed the projected operations, including </w:t>
      </w:r>
      <w:r w:rsidR="00DB49D2" w:rsidRPr="00DB49D2">
        <w:rPr>
          <w:rFonts w:ascii="Times New Roman" w:hAnsi="Times New Roman" w:cs="Times New Roman"/>
        </w:rPr>
        <w:t>CT scan</w:t>
      </w:r>
      <w:r w:rsidRPr="00DB49D2">
        <w:rPr>
          <w:rFonts w:ascii="Times New Roman" w:hAnsi="Times New Roman" w:cs="Times New Roman"/>
        </w:rPr>
        <w:t xml:space="preserve"> </w:t>
      </w:r>
      <w:r w:rsidR="00DB49D2" w:rsidRPr="00DB49D2">
        <w:rPr>
          <w:rFonts w:ascii="Times New Roman" w:hAnsi="Times New Roman" w:cs="Times New Roman"/>
        </w:rPr>
        <w:t>volume</w:t>
      </w:r>
      <w:r w:rsidRPr="00DB49D2">
        <w:rPr>
          <w:rFonts w:ascii="Times New Roman" w:hAnsi="Times New Roman" w:cs="Times New Roman"/>
        </w:rPr>
        <w:t xml:space="preserve">, revenue and expenses for </w:t>
      </w:r>
      <w:r w:rsidR="002B4459">
        <w:rPr>
          <w:rFonts w:ascii="Times New Roman" w:hAnsi="Times New Roman" w:cs="Times New Roman"/>
        </w:rPr>
        <w:t>AJ</w:t>
      </w:r>
      <w:r w:rsidRPr="00DB49D2">
        <w:rPr>
          <w:rFonts w:ascii="Times New Roman" w:hAnsi="Times New Roman" w:cs="Times New Roman"/>
        </w:rPr>
        <w:t xml:space="preserve">H prepared by Management. In performing our analysis, we considered multiple sources of information including historical and projected financial information for </w:t>
      </w:r>
      <w:r w:rsidR="002B4459">
        <w:rPr>
          <w:rFonts w:ascii="Times New Roman" w:hAnsi="Times New Roman" w:cs="Times New Roman"/>
        </w:rPr>
        <w:t>AJ</w:t>
      </w:r>
      <w:r w:rsidRPr="00DB49D2">
        <w:rPr>
          <w:rFonts w:ascii="Times New Roman" w:hAnsi="Times New Roman" w:cs="Times New Roman"/>
        </w:rPr>
        <w:t xml:space="preserve">H.  It is important to note that the </w:t>
      </w:r>
      <w:r w:rsidR="00BB7E39" w:rsidRPr="00DB49D2">
        <w:rPr>
          <w:rFonts w:ascii="Times New Roman" w:hAnsi="Times New Roman" w:cs="Times New Roman"/>
        </w:rPr>
        <w:t>p</w:t>
      </w:r>
      <w:r w:rsidRPr="00DB49D2">
        <w:rPr>
          <w:rFonts w:ascii="Times New Roman" w:hAnsi="Times New Roman" w:cs="Times New Roman"/>
        </w:rPr>
        <w:t xml:space="preserve">rojections do not account for any anticipated changes in accounting and regulatory standards.  These standards, which may have a material impact on individual future years, are not anticipated to have a material impact on the aggregate </w:t>
      </w:r>
      <w:r w:rsidR="00BB7E39" w:rsidRPr="00DB49D2">
        <w:rPr>
          <w:rFonts w:ascii="Times New Roman" w:hAnsi="Times New Roman" w:cs="Times New Roman"/>
        </w:rPr>
        <w:t>p</w:t>
      </w:r>
      <w:r w:rsidRPr="00DB49D2">
        <w:rPr>
          <w:rFonts w:ascii="Times New Roman" w:hAnsi="Times New Roman" w:cs="Times New Roman"/>
        </w:rPr>
        <w:t>rojections.</w:t>
      </w:r>
    </w:p>
    <w:p w14:paraId="1465846D" w14:textId="77777777" w:rsidR="00FC0B33" w:rsidRPr="007C27D6" w:rsidRDefault="00FC0B33" w:rsidP="00FC0B33">
      <w:pPr>
        <w:spacing w:after="0" w:line="240" w:lineRule="auto"/>
        <w:ind w:left="360"/>
        <w:jc w:val="both"/>
        <w:rPr>
          <w:rFonts w:ascii="Times New Roman" w:hAnsi="Times New Roman" w:cs="Times New Roman"/>
          <w:highlight w:val="yellow"/>
        </w:rPr>
      </w:pPr>
    </w:p>
    <w:p w14:paraId="15960192" w14:textId="5EF55E4E" w:rsidR="00FC0B33" w:rsidRPr="009D69E1" w:rsidRDefault="00FC0B33" w:rsidP="00FC0B33">
      <w:pPr>
        <w:spacing w:after="0" w:line="240" w:lineRule="auto"/>
        <w:ind w:left="360"/>
        <w:jc w:val="both"/>
        <w:rPr>
          <w:rFonts w:ascii="Times New Roman" w:hAnsi="Times New Roman" w:cs="Times New Roman"/>
        </w:rPr>
      </w:pPr>
      <w:r w:rsidRPr="007C27D6">
        <w:rPr>
          <w:rFonts w:ascii="Times New Roman" w:hAnsi="Times New Roman" w:cs="Times New Roman"/>
        </w:rPr>
        <w:t xml:space="preserve">We determined that the </w:t>
      </w:r>
      <w:r w:rsidR="00BB7E39" w:rsidRPr="007C27D6">
        <w:rPr>
          <w:rFonts w:ascii="Times New Roman" w:hAnsi="Times New Roman" w:cs="Times New Roman"/>
        </w:rPr>
        <w:t>p</w:t>
      </w:r>
      <w:r w:rsidRPr="007C27D6">
        <w:rPr>
          <w:rFonts w:ascii="Times New Roman" w:hAnsi="Times New Roman" w:cs="Times New Roman"/>
        </w:rPr>
        <w:t xml:space="preserve">rojections were not likely to result in insufficient funds available for ongoing operating costs necessary to support the </w:t>
      </w:r>
      <w:r w:rsidR="00B64D27">
        <w:rPr>
          <w:rFonts w:ascii="Times New Roman" w:hAnsi="Times New Roman" w:cs="Times New Roman"/>
        </w:rPr>
        <w:t>Project</w:t>
      </w:r>
      <w:r w:rsidRPr="008C3E60">
        <w:rPr>
          <w:rFonts w:ascii="Times New Roman" w:hAnsi="Times New Roman" w:cs="Times New Roman"/>
        </w:rPr>
        <w:t>.</w:t>
      </w:r>
      <w:r w:rsidR="0003795F">
        <w:rPr>
          <w:rFonts w:ascii="Times New Roman" w:hAnsi="Times New Roman" w:cs="Times New Roman"/>
        </w:rPr>
        <w:t xml:space="preserve"> </w:t>
      </w:r>
      <w:r w:rsidRPr="007C27D6">
        <w:rPr>
          <w:rFonts w:ascii="Times New Roman" w:hAnsi="Times New Roman" w:cs="Times New Roman"/>
        </w:rPr>
        <w:t xml:space="preserve">Based upon our review of the </w:t>
      </w:r>
      <w:r w:rsidR="00BB7E39" w:rsidRPr="007C27D6">
        <w:rPr>
          <w:rFonts w:ascii="Times New Roman" w:hAnsi="Times New Roman" w:cs="Times New Roman"/>
        </w:rPr>
        <w:t>p</w:t>
      </w:r>
      <w:r w:rsidRPr="007C27D6">
        <w:rPr>
          <w:rFonts w:ascii="Times New Roman" w:hAnsi="Times New Roman" w:cs="Times New Roman"/>
        </w:rPr>
        <w:t xml:space="preserve">rojections and relevant supporting documentation, we determined the Project and </w:t>
      </w:r>
      <w:r w:rsidR="00F46963">
        <w:rPr>
          <w:rFonts w:ascii="Times New Roman" w:hAnsi="Times New Roman" w:cs="Times New Roman"/>
        </w:rPr>
        <w:t xml:space="preserve">its </w:t>
      </w:r>
      <w:r w:rsidR="00383AF3">
        <w:rPr>
          <w:rFonts w:ascii="Times New Roman" w:hAnsi="Times New Roman" w:cs="Times New Roman"/>
        </w:rPr>
        <w:t xml:space="preserve">projected </w:t>
      </w:r>
      <w:r w:rsidR="009A77F2">
        <w:rPr>
          <w:rFonts w:ascii="Times New Roman" w:hAnsi="Times New Roman" w:cs="Times New Roman"/>
        </w:rPr>
        <w:t>operating revenue, expenses and cash flow</w:t>
      </w:r>
      <w:r w:rsidRPr="007C27D6">
        <w:rPr>
          <w:rFonts w:ascii="Times New Roman" w:hAnsi="Times New Roman" w:cs="Times New Roman"/>
        </w:rPr>
        <w:t xml:space="preserve"> </w:t>
      </w:r>
      <w:r w:rsidR="009A77F2">
        <w:rPr>
          <w:rFonts w:ascii="Times New Roman" w:hAnsi="Times New Roman" w:cs="Times New Roman"/>
        </w:rPr>
        <w:t>are</w:t>
      </w:r>
      <w:r w:rsidRPr="007C27D6">
        <w:rPr>
          <w:rFonts w:ascii="Times New Roman" w:hAnsi="Times New Roman" w:cs="Times New Roman"/>
        </w:rPr>
        <w:t xml:space="preserve"> reasonable and based upon feasible </w:t>
      </w:r>
      <w:r w:rsidRPr="00E7291C">
        <w:rPr>
          <w:rFonts w:ascii="Times New Roman" w:hAnsi="Times New Roman" w:cs="Times New Roman"/>
        </w:rPr>
        <w:t xml:space="preserve">financial assumptions.  Therefore, </w:t>
      </w:r>
      <w:r w:rsidR="005443CC" w:rsidRPr="00E7291C">
        <w:rPr>
          <w:rFonts w:ascii="Times New Roman" w:hAnsi="Times New Roman" w:cs="Times New Roman"/>
        </w:rPr>
        <w:t>the addition</w:t>
      </w:r>
      <w:r w:rsidRPr="00E7291C">
        <w:rPr>
          <w:rFonts w:ascii="Times New Roman" w:hAnsi="Times New Roman" w:cs="Times New Roman"/>
        </w:rPr>
        <w:t xml:space="preserve"> of </w:t>
      </w:r>
      <w:r w:rsidR="00DF0AEA" w:rsidRPr="00E7291C">
        <w:rPr>
          <w:rFonts w:ascii="Times New Roman" w:hAnsi="Times New Roman" w:cs="Times New Roman"/>
        </w:rPr>
        <w:t xml:space="preserve">a second CT scanner at </w:t>
      </w:r>
      <w:r w:rsidR="002B4459">
        <w:rPr>
          <w:rFonts w:ascii="Times New Roman" w:hAnsi="Times New Roman" w:cs="Times New Roman"/>
        </w:rPr>
        <w:t>AJ</w:t>
      </w:r>
      <w:r w:rsidR="00DF0AEA" w:rsidRPr="00E7291C">
        <w:rPr>
          <w:rFonts w:ascii="Times New Roman" w:hAnsi="Times New Roman" w:cs="Times New Roman"/>
        </w:rPr>
        <w:t>H</w:t>
      </w:r>
      <w:r w:rsidRPr="00E7291C">
        <w:rPr>
          <w:rFonts w:ascii="Times New Roman" w:hAnsi="Times New Roman" w:cs="Times New Roman"/>
        </w:rPr>
        <w:t xml:space="preserve"> and the capital needs associated with this service is</w:t>
      </w:r>
      <w:r w:rsidRPr="00DF0AEA">
        <w:rPr>
          <w:rFonts w:ascii="Times New Roman" w:hAnsi="Times New Roman" w:cs="Times New Roman"/>
        </w:rPr>
        <w:t xml:space="preserve"> financially feasible and within the financial capability of </w:t>
      </w:r>
      <w:r w:rsidR="002C40E1">
        <w:rPr>
          <w:rFonts w:ascii="Times New Roman" w:hAnsi="Times New Roman" w:cs="Times New Roman"/>
        </w:rPr>
        <w:t>BILH</w:t>
      </w:r>
      <w:r w:rsidRPr="00DF0AEA">
        <w:rPr>
          <w:rFonts w:ascii="Times New Roman" w:hAnsi="Times New Roman" w:cs="Times New Roman"/>
        </w:rPr>
        <w:t>.</w:t>
      </w:r>
    </w:p>
    <w:p w14:paraId="317834F1" w14:textId="6B93DEE9" w:rsidR="00091992" w:rsidRDefault="00091992" w:rsidP="00FC0B33">
      <w:pPr>
        <w:spacing w:after="0" w:line="240" w:lineRule="auto"/>
        <w:jc w:val="both"/>
        <w:rPr>
          <w:rFonts w:ascii="Times New Roman" w:hAnsi="Times New Roman" w:cs="Times New Roman"/>
        </w:rPr>
      </w:pPr>
    </w:p>
    <w:p w14:paraId="634BC084" w14:textId="062FD9A2" w:rsidR="00555CDF" w:rsidRPr="009D69E1" w:rsidRDefault="003F06BE" w:rsidP="00FC0B33">
      <w:pPr>
        <w:spacing w:after="0" w:line="240" w:lineRule="auto"/>
        <w:jc w:val="both"/>
        <w:rPr>
          <w:rFonts w:ascii="Times New Roman" w:hAnsi="Times New Roman" w:cs="Times New Roman"/>
        </w:rPr>
      </w:pPr>
      <w:r>
        <w:rPr>
          <w:noProof/>
        </w:rPr>
        <w:drawing>
          <wp:inline distT="0" distB="0" distL="0" distR="0" wp14:anchorId="3CFA7BC2" wp14:editId="6FBE3678">
            <wp:extent cx="2156460" cy="651510"/>
            <wp:effectExtent l="0" t="0" r="0" b="0"/>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4CF2E1FB" w14:textId="77777777" w:rsidR="00FC0B33" w:rsidRPr="009D69E1" w:rsidRDefault="00FC0B33" w:rsidP="00FC0B33">
      <w:pPr>
        <w:spacing w:after="0" w:line="240" w:lineRule="auto"/>
        <w:jc w:val="both"/>
        <w:rPr>
          <w:rFonts w:ascii="Times New Roman" w:hAnsi="Times New Roman" w:cs="Times New Roman"/>
        </w:rPr>
      </w:pPr>
      <w:r w:rsidRPr="009D69E1">
        <w:rPr>
          <w:rFonts w:ascii="Times New Roman" w:hAnsi="Times New Roman" w:cs="Times New Roman"/>
        </w:rPr>
        <w:t>Holyoke, Massachusetts</w:t>
      </w:r>
    </w:p>
    <w:p w14:paraId="0D47D13F" w14:textId="0FE18954" w:rsidR="00BB7E39" w:rsidRDefault="00532AB8" w:rsidP="00D9226F">
      <w:pPr>
        <w:spacing w:after="0" w:line="240" w:lineRule="auto"/>
        <w:rPr>
          <w:rFonts w:ascii="Times New Roman" w:hAnsi="Times New Roman" w:cs="Times New Roman"/>
        </w:rPr>
      </w:pPr>
      <w:r w:rsidRPr="00D471DF">
        <w:rPr>
          <w:rFonts w:ascii="Times New Roman" w:hAnsi="Times New Roman" w:cs="Times New Roman"/>
        </w:rPr>
        <w:t>Ju</w:t>
      </w:r>
      <w:r w:rsidR="00137A07" w:rsidRPr="00D471DF">
        <w:rPr>
          <w:rFonts w:ascii="Times New Roman" w:hAnsi="Times New Roman" w:cs="Times New Roman"/>
        </w:rPr>
        <w:t>ly</w:t>
      </w:r>
      <w:r w:rsidRPr="00D471DF">
        <w:rPr>
          <w:rFonts w:ascii="Times New Roman" w:hAnsi="Times New Roman" w:cs="Times New Roman"/>
        </w:rPr>
        <w:t xml:space="preserve"> </w:t>
      </w:r>
      <w:r w:rsidR="00D471DF" w:rsidRPr="00D471DF">
        <w:rPr>
          <w:rFonts w:ascii="Times New Roman" w:hAnsi="Times New Roman" w:cs="Times New Roman"/>
        </w:rPr>
        <w:t>12</w:t>
      </w:r>
      <w:r w:rsidR="005728AF" w:rsidRPr="00D471DF">
        <w:rPr>
          <w:rFonts w:ascii="Times New Roman" w:hAnsi="Times New Roman" w:cs="Times New Roman"/>
        </w:rPr>
        <w:t>,</w:t>
      </w:r>
      <w:r w:rsidR="00640CA5" w:rsidRPr="00D471DF">
        <w:rPr>
          <w:rFonts w:ascii="Times New Roman" w:hAnsi="Times New Roman" w:cs="Times New Roman"/>
        </w:rPr>
        <w:t xml:space="preserve"> 202</w:t>
      </w:r>
      <w:r w:rsidRPr="00D471DF">
        <w:rPr>
          <w:rFonts w:ascii="Times New Roman" w:hAnsi="Times New Roman" w:cs="Times New Roman"/>
        </w:rPr>
        <w:t>3</w:t>
      </w:r>
    </w:p>
    <w:p w14:paraId="039A4E25" w14:textId="51B4839C" w:rsidR="00464754" w:rsidRDefault="00464754" w:rsidP="003402D0">
      <w:pPr>
        <w:widowControl w:val="0"/>
        <w:spacing w:after="0" w:line="240" w:lineRule="auto"/>
        <w:rPr>
          <w:rFonts w:ascii="Times New Roman" w:hAnsi="Times New Roman" w:cs="Times New Roman"/>
        </w:rPr>
      </w:pPr>
    </w:p>
    <w:p w14:paraId="3AB73B80" w14:textId="77777777" w:rsidR="00431B8E" w:rsidRDefault="00431B8E" w:rsidP="003402D0">
      <w:pPr>
        <w:widowControl w:val="0"/>
        <w:spacing w:after="0" w:line="240" w:lineRule="auto"/>
        <w:rPr>
          <w:rFonts w:ascii="Times New Roman" w:hAnsi="Times New Roman" w:cs="Times New Roman"/>
        </w:rPr>
      </w:pPr>
    </w:p>
    <w:p w14:paraId="2CF2C24A" w14:textId="77777777" w:rsidR="00B125A3" w:rsidRDefault="00B125A3" w:rsidP="003402D0">
      <w:pPr>
        <w:widowControl w:val="0"/>
        <w:spacing w:after="0" w:line="240" w:lineRule="auto"/>
        <w:rPr>
          <w:rFonts w:ascii="Times New Roman" w:hAnsi="Times New Roman" w:cs="Times New Roman"/>
        </w:rPr>
      </w:pPr>
    </w:p>
    <w:p w14:paraId="18DAA6F4" w14:textId="77777777" w:rsidR="00464754" w:rsidRDefault="00464754" w:rsidP="003402D0">
      <w:pPr>
        <w:widowControl w:val="0"/>
        <w:spacing w:after="0" w:line="240" w:lineRule="auto"/>
        <w:rPr>
          <w:rFonts w:ascii="Times New Roman" w:hAnsi="Times New Roman" w:cs="Times New Roman"/>
        </w:rPr>
      </w:pPr>
    </w:p>
    <w:sectPr w:rsidR="00464754" w:rsidSect="00B3620B">
      <w:headerReference w:type="default" r:id="rId17"/>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9C48" w14:textId="77777777" w:rsidR="00A22C01" w:rsidRDefault="00A22C01" w:rsidP="009407EE">
      <w:pPr>
        <w:spacing w:after="0" w:line="240" w:lineRule="auto"/>
      </w:pPr>
      <w:r>
        <w:separator/>
      </w:r>
    </w:p>
  </w:endnote>
  <w:endnote w:type="continuationSeparator" w:id="0">
    <w:p w14:paraId="2B903370" w14:textId="77777777" w:rsidR="00A22C01" w:rsidRDefault="00A22C01"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083D" w14:textId="34D3E49B" w:rsidR="006218F0" w:rsidRDefault="00916D3A">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55301"/>
      <w:docPartObj>
        <w:docPartGallery w:val="Page Numbers (Bottom of Page)"/>
        <w:docPartUnique/>
      </w:docPartObj>
    </w:sdtPr>
    <w:sdtEndPr>
      <w:rPr>
        <w:rFonts w:ascii="Times New Roman" w:hAnsi="Times New Roman" w:cs="Times New Roman"/>
        <w:noProof/>
        <w:sz w:val="28"/>
        <w:szCs w:val="28"/>
      </w:rPr>
    </w:sdtEndPr>
    <w:sdtContent>
      <w:p w14:paraId="5B475636" w14:textId="246D8C4F" w:rsidR="0023133D" w:rsidRPr="0023133D" w:rsidRDefault="0023133D">
        <w:pPr>
          <w:pStyle w:val="Footer"/>
          <w:jc w:val="center"/>
          <w:rPr>
            <w:rFonts w:ascii="Times New Roman" w:hAnsi="Times New Roman" w:cs="Times New Roman"/>
            <w:sz w:val="24"/>
            <w:szCs w:val="24"/>
          </w:rPr>
        </w:pPr>
        <w:r>
          <w:t>-</w:t>
        </w:r>
        <w:r w:rsidRPr="0023133D">
          <w:rPr>
            <w:rFonts w:ascii="Times New Roman" w:hAnsi="Times New Roman" w:cs="Times New Roman"/>
            <w:sz w:val="24"/>
            <w:szCs w:val="24"/>
          </w:rPr>
          <w:fldChar w:fldCharType="begin"/>
        </w:r>
        <w:r w:rsidRPr="0023133D">
          <w:rPr>
            <w:rFonts w:ascii="Times New Roman" w:hAnsi="Times New Roman" w:cs="Times New Roman"/>
            <w:sz w:val="24"/>
            <w:szCs w:val="24"/>
          </w:rPr>
          <w:instrText xml:space="preserve"> PAGE   \* MERGEFORMAT </w:instrText>
        </w:r>
        <w:r w:rsidRPr="0023133D">
          <w:rPr>
            <w:rFonts w:ascii="Times New Roman" w:hAnsi="Times New Roman" w:cs="Times New Roman"/>
            <w:sz w:val="24"/>
            <w:szCs w:val="24"/>
          </w:rPr>
          <w:fldChar w:fldCharType="separate"/>
        </w:r>
        <w:r w:rsidRPr="0023133D">
          <w:rPr>
            <w:rFonts w:ascii="Times New Roman" w:hAnsi="Times New Roman" w:cs="Times New Roman"/>
            <w:noProof/>
            <w:sz w:val="24"/>
            <w:szCs w:val="24"/>
          </w:rPr>
          <w:t>2</w:t>
        </w:r>
        <w:r w:rsidRPr="0023133D">
          <w:rPr>
            <w:rFonts w:ascii="Times New Roman" w:hAnsi="Times New Roman" w:cs="Times New Roman"/>
            <w:noProof/>
            <w:sz w:val="24"/>
            <w:szCs w:val="24"/>
          </w:rPr>
          <w:fldChar w:fldCharType="end"/>
        </w:r>
        <w:r>
          <w:rPr>
            <w:rFonts w:ascii="Times New Roman" w:hAnsi="Times New Roman" w:cs="Times New Roman"/>
            <w:noProof/>
            <w:sz w:val="24"/>
            <w:szCs w:val="24"/>
          </w:rPr>
          <w:t>-</w:t>
        </w:r>
      </w:p>
    </w:sdtContent>
  </w:sdt>
  <w:p w14:paraId="15A291EF" w14:textId="77777777" w:rsidR="0023133D" w:rsidRDefault="002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F22E" w14:textId="31A06A8B" w:rsidR="00C30E64" w:rsidRDefault="00C30E64">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E6D6" w14:textId="77777777" w:rsidR="0023133D" w:rsidRDefault="0023133D" w:rsidP="0023133D">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w:t>
    </w:r>
    <w:proofErr w:type="spellStart"/>
    <w:r>
      <w:rPr>
        <w:b/>
        <w:bCs/>
        <w:color w:val="000000" w:themeColor="text1"/>
        <w:sz w:val="20"/>
      </w:rPr>
      <w:t>Kalicka</w:t>
    </w:r>
    <w:proofErr w:type="spellEnd"/>
    <w:r>
      <w:rPr>
        <w:b/>
        <w:bCs/>
        <w:color w:val="000000" w:themeColor="text1"/>
        <w:sz w:val="20"/>
      </w:rPr>
      <w:t xml:space="preserve">,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34777922" w14:textId="77777777" w:rsidR="0023133D" w:rsidRDefault="0023133D" w:rsidP="0023133D">
    <w:pPr>
      <w:jc w:val="center"/>
      <w:rPr>
        <w:b/>
        <w:bCs/>
        <w:color w:val="000000" w:themeColor="text1"/>
        <w:sz w:val="20"/>
      </w:rPr>
    </w:pPr>
    <w:r>
      <w:rPr>
        <w:rFonts w:ascii="Arial" w:hAnsi="Arial" w:cs="Arial"/>
        <w:b/>
        <w:bCs/>
        <w:color w:val="000000" w:themeColor="text1"/>
        <w:sz w:val="18"/>
        <w:szCs w:val="20"/>
        <w:lang w:val="en"/>
      </w:rPr>
      <w:t>(413) 536-8510 | mbkcpa.com</w:t>
    </w:r>
  </w:p>
  <w:p w14:paraId="29DF3B29" w14:textId="39828332" w:rsidR="00B125A3" w:rsidRDefault="00B125A3">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710780"/>
      <w:docPartObj>
        <w:docPartGallery w:val="Page Numbers (Bottom of Page)"/>
        <w:docPartUnique/>
      </w:docPartObj>
    </w:sdtPr>
    <w:sdtEndPr>
      <w:rPr>
        <w:rFonts w:ascii="Times New Roman" w:hAnsi="Times New Roman" w:cs="Times New Roman"/>
        <w:noProof/>
      </w:rPr>
    </w:sdtEndPr>
    <w:sdtContent>
      <w:p w14:paraId="5955DBBE" w14:textId="4268111C" w:rsidR="00656456" w:rsidRPr="00656456" w:rsidRDefault="00656456">
        <w:pPr>
          <w:pStyle w:val="Footer"/>
          <w:jc w:val="center"/>
          <w:rPr>
            <w:rFonts w:ascii="Times New Roman" w:hAnsi="Times New Roman" w:cs="Times New Roman"/>
          </w:rPr>
        </w:pPr>
        <w:r>
          <w:t>-</w:t>
        </w:r>
        <w:r w:rsidRPr="00656456">
          <w:rPr>
            <w:rFonts w:ascii="Times New Roman" w:hAnsi="Times New Roman" w:cs="Times New Roman"/>
          </w:rPr>
          <w:fldChar w:fldCharType="begin"/>
        </w:r>
        <w:r w:rsidRPr="00656456">
          <w:rPr>
            <w:rFonts w:ascii="Times New Roman" w:hAnsi="Times New Roman" w:cs="Times New Roman"/>
          </w:rPr>
          <w:instrText xml:space="preserve"> PAGE   \* MERGEFORMAT </w:instrText>
        </w:r>
        <w:r w:rsidRPr="00656456">
          <w:rPr>
            <w:rFonts w:ascii="Times New Roman" w:hAnsi="Times New Roman" w:cs="Times New Roman"/>
          </w:rPr>
          <w:fldChar w:fldCharType="separate"/>
        </w:r>
        <w:r w:rsidRPr="00656456">
          <w:rPr>
            <w:rFonts w:ascii="Times New Roman" w:hAnsi="Times New Roman" w:cs="Times New Roman"/>
            <w:noProof/>
          </w:rPr>
          <w:t>2</w:t>
        </w:r>
        <w:r w:rsidRPr="00656456">
          <w:rPr>
            <w:rFonts w:ascii="Times New Roman" w:hAnsi="Times New Roman" w:cs="Times New Roman"/>
            <w:noProof/>
          </w:rPr>
          <w:fldChar w:fldCharType="end"/>
        </w:r>
        <w:r>
          <w:rPr>
            <w:rFonts w:ascii="Times New Roman" w:hAnsi="Times New Roman" w:cs="Times New Roman"/>
            <w:noProof/>
          </w:rPr>
          <w:t>-</w:t>
        </w:r>
      </w:p>
    </w:sdtContent>
  </w:sdt>
  <w:p w14:paraId="53006DC9" w14:textId="2F332D19" w:rsidR="00656456" w:rsidRPr="00656456" w:rsidRDefault="00656456" w:rsidP="006564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055556"/>
      <w:docPartObj>
        <w:docPartGallery w:val="Page Numbers (Bottom of Page)"/>
        <w:docPartUnique/>
      </w:docPartObj>
    </w:sdtPr>
    <w:sdtEndPr>
      <w:rPr>
        <w:rFonts w:ascii="Times New Roman" w:hAnsi="Times New Roman" w:cs="Times New Roman"/>
        <w:noProof/>
        <w:sz w:val="28"/>
        <w:szCs w:val="28"/>
      </w:rPr>
    </w:sdtEndPr>
    <w:sdtContent>
      <w:p w14:paraId="2738952F" w14:textId="77777777" w:rsidR="0023133D" w:rsidRPr="0023133D" w:rsidRDefault="0023133D">
        <w:pPr>
          <w:pStyle w:val="Footer"/>
          <w:jc w:val="center"/>
          <w:rPr>
            <w:rFonts w:ascii="Times New Roman" w:hAnsi="Times New Roman" w:cs="Times New Roman"/>
            <w:sz w:val="24"/>
            <w:szCs w:val="24"/>
          </w:rPr>
        </w:pPr>
        <w:r>
          <w:t>-</w:t>
        </w:r>
        <w:r w:rsidRPr="0023133D">
          <w:rPr>
            <w:rFonts w:ascii="Times New Roman" w:hAnsi="Times New Roman" w:cs="Times New Roman"/>
            <w:sz w:val="24"/>
            <w:szCs w:val="24"/>
          </w:rPr>
          <w:fldChar w:fldCharType="begin"/>
        </w:r>
        <w:r w:rsidRPr="0023133D">
          <w:rPr>
            <w:rFonts w:ascii="Times New Roman" w:hAnsi="Times New Roman" w:cs="Times New Roman"/>
            <w:sz w:val="24"/>
            <w:szCs w:val="24"/>
          </w:rPr>
          <w:instrText xml:space="preserve"> PAGE   \* MERGEFORMAT </w:instrText>
        </w:r>
        <w:r w:rsidRPr="0023133D">
          <w:rPr>
            <w:rFonts w:ascii="Times New Roman" w:hAnsi="Times New Roman" w:cs="Times New Roman"/>
            <w:sz w:val="24"/>
            <w:szCs w:val="24"/>
          </w:rPr>
          <w:fldChar w:fldCharType="separate"/>
        </w:r>
        <w:r w:rsidRPr="0023133D">
          <w:rPr>
            <w:rFonts w:ascii="Times New Roman" w:hAnsi="Times New Roman" w:cs="Times New Roman"/>
            <w:noProof/>
            <w:sz w:val="24"/>
            <w:szCs w:val="24"/>
          </w:rPr>
          <w:t>2</w:t>
        </w:r>
        <w:r w:rsidRPr="0023133D">
          <w:rPr>
            <w:rFonts w:ascii="Times New Roman" w:hAnsi="Times New Roman" w:cs="Times New Roman"/>
            <w:noProof/>
            <w:sz w:val="24"/>
            <w:szCs w:val="24"/>
          </w:rPr>
          <w:fldChar w:fldCharType="end"/>
        </w:r>
        <w:r>
          <w:rPr>
            <w:rFonts w:ascii="Times New Roman" w:hAnsi="Times New Roman" w:cs="Times New Roman"/>
            <w:noProof/>
            <w:sz w:val="24"/>
            <w:szCs w:val="24"/>
          </w:rPr>
          <w:t>-</w:t>
        </w:r>
      </w:p>
    </w:sdtContent>
  </w:sdt>
  <w:p w14:paraId="40BFF9C6" w14:textId="77777777" w:rsidR="0023133D" w:rsidRDefault="002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B187" w14:textId="77777777" w:rsidR="00A22C01" w:rsidRDefault="00A22C01" w:rsidP="009407EE">
      <w:pPr>
        <w:spacing w:after="0" w:line="240" w:lineRule="auto"/>
      </w:pPr>
      <w:r>
        <w:separator/>
      </w:r>
    </w:p>
  </w:footnote>
  <w:footnote w:type="continuationSeparator" w:id="0">
    <w:p w14:paraId="6DF87DE6" w14:textId="77777777" w:rsidR="00A22C01" w:rsidRDefault="00A22C01"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731B" w14:textId="6D8067DF" w:rsidR="00B403A5" w:rsidRDefault="00C92DCE">
    <w:pPr>
      <w:pStyle w:val="Header"/>
    </w:pPr>
    <w:r>
      <w:rPr>
        <w:noProof/>
      </w:rPr>
      <w:ptab w:relativeTo="margin" w:alignment="center" w:leader="none"/>
    </w:r>
    <w:r>
      <w:rPr>
        <w:noProof/>
      </w:rPr>
      <w:drawing>
        <wp:inline distT="0" distB="0" distL="0" distR="0" wp14:anchorId="53955F3A" wp14:editId="3D7FE9F6">
          <wp:extent cx="3980180" cy="1096010"/>
          <wp:effectExtent l="0" t="0" r="1270" b="8890"/>
          <wp:docPr id="4" name="Picture 1" descr="Meyers Brothers Kalicka: 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eyers Brothers Kalicka: 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80180" cy="10960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A5E8" w14:textId="4FA69C06" w:rsidR="00BB6AD7" w:rsidRDefault="00BB6AD7">
    <w:pPr>
      <w:pStyle w:val="Header"/>
    </w:pPr>
    <w:r>
      <w:rPr>
        <w:noProof/>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2DB4" w14:textId="77777777" w:rsidR="00B403A5" w:rsidRDefault="00B4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6"/>
    <w:multiLevelType w:val="hybridMultilevel"/>
    <w:tmpl w:val="75C8EE86"/>
    <w:lvl w:ilvl="0" w:tplc="CFD4954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8166B"/>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215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103B0"/>
    <w:multiLevelType w:val="hybridMultilevel"/>
    <w:tmpl w:val="31C24B08"/>
    <w:lvl w:ilvl="0" w:tplc="1F4ADDF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14D82"/>
    <w:multiLevelType w:val="hybridMultilevel"/>
    <w:tmpl w:val="511E5802"/>
    <w:lvl w:ilvl="0" w:tplc="E026B9E0">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D258C"/>
    <w:multiLevelType w:val="hybridMultilevel"/>
    <w:tmpl w:val="851E3F46"/>
    <w:lvl w:ilvl="0" w:tplc="FFFFFFFF">
      <w:start w:val="1"/>
      <w:numFmt w:val="decimal"/>
      <w:lvlText w:val="(%1)"/>
      <w:lvlJc w:val="left"/>
      <w:pPr>
        <w:ind w:left="1005" w:hanging="360"/>
      </w:pPr>
      <w:rPr>
        <w:rFonts w:hint="default"/>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2" w15:restartNumberingAfterBreak="0">
    <w:nsid w:val="40E67C72"/>
    <w:multiLevelType w:val="hybridMultilevel"/>
    <w:tmpl w:val="ED44F350"/>
    <w:lvl w:ilvl="0" w:tplc="7C089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44534C"/>
    <w:multiLevelType w:val="hybridMultilevel"/>
    <w:tmpl w:val="72EE994E"/>
    <w:lvl w:ilvl="0" w:tplc="4F48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4670E"/>
    <w:multiLevelType w:val="hybridMultilevel"/>
    <w:tmpl w:val="82FA2ED6"/>
    <w:lvl w:ilvl="0" w:tplc="5E3CBFEE">
      <w:start w:val="4"/>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1463549"/>
    <w:multiLevelType w:val="hybridMultilevel"/>
    <w:tmpl w:val="F806A72C"/>
    <w:lvl w:ilvl="0" w:tplc="D5C0E2F0">
      <w:start w:val="6"/>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6F001F8"/>
    <w:multiLevelType w:val="hybridMultilevel"/>
    <w:tmpl w:val="D206E86E"/>
    <w:lvl w:ilvl="0" w:tplc="4F46C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55FFF"/>
    <w:multiLevelType w:val="hybridMultilevel"/>
    <w:tmpl w:val="ECA29ACA"/>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82D3E"/>
    <w:multiLevelType w:val="hybridMultilevel"/>
    <w:tmpl w:val="C8D64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4E4769"/>
    <w:multiLevelType w:val="hybridMultilevel"/>
    <w:tmpl w:val="C332E03C"/>
    <w:lvl w:ilvl="0" w:tplc="65307F24">
      <w:start w:val="1"/>
      <w:numFmt w:val="decimal"/>
      <w:lvlText w:val="(%1)"/>
      <w:lvlJc w:val="left"/>
      <w:pPr>
        <w:ind w:left="1005" w:hanging="360"/>
      </w:pPr>
      <w:rPr>
        <w:color w:val="auto"/>
      </w:r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20" w15:restartNumberingAfterBreak="0">
    <w:nsid w:val="6ED95BC6"/>
    <w:multiLevelType w:val="multilevel"/>
    <w:tmpl w:val="46A453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7D14D1"/>
    <w:multiLevelType w:val="hybridMultilevel"/>
    <w:tmpl w:val="3A428780"/>
    <w:lvl w:ilvl="0" w:tplc="812E32F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230120985">
    <w:abstractNumId w:val="2"/>
  </w:num>
  <w:num w:numId="2" w16cid:durableId="619999289">
    <w:abstractNumId w:val="3"/>
  </w:num>
  <w:num w:numId="3" w16cid:durableId="2016573207">
    <w:abstractNumId w:val="4"/>
  </w:num>
  <w:num w:numId="4" w16cid:durableId="1563059954">
    <w:abstractNumId w:val="1"/>
  </w:num>
  <w:num w:numId="5" w16cid:durableId="10306712">
    <w:abstractNumId w:val="17"/>
  </w:num>
  <w:num w:numId="6" w16cid:durableId="649016609">
    <w:abstractNumId w:val="0"/>
  </w:num>
  <w:num w:numId="7" w16cid:durableId="1347945474">
    <w:abstractNumId w:val="7"/>
  </w:num>
  <w:num w:numId="8" w16cid:durableId="487326261">
    <w:abstractNumId w:val="5"/>
  </w:num>
  <w:num w:numId="9" w16cid:durableId="205027327">
    <w:abstractNumId w:val="21"/>
  </w:num>
  <w:num w:numId="10" w16cid:durableId="1206452559">
    <w:abstractNumId w:val="18"/>
  </w:num>
  <w:num w:numId="11" w16cid:durableId="1850413713">
    <w:abstractNumId w:val="20"/>
  </w:num>
  <w:num w:numId="12" w16cid:durableId="28847652">
    <w:abstractNumId w:val="8"/>
  </w:num>
  <w:num w:numId="13" w16cid:durableId="202135017">
    <w:abstractNumId w:val="6"/>
  </w:num>
  <w:num w:numId="14" w16cid:durableId="755514086">
    <w:abstractNumId w:val="10"/>
  </w:num>
  <w:num w:numId="15" w16cid:durableId="31543828">
    <w:abstractNumId w:val="9"/>
  </w:num>
  <w:num w:numId="16" w16cid:durableId="1546479853">
    <w:abstractNumId w:val="16"/>
  </w:num>
  <w:num w:numId="17" w16cid:durableId="1112746014">
    <w:abstractNumId w:val="12"/>
  </w:num>
  <w:num w:numId="18" w16cid:durableId="1277448401">
    <w:abstractNumId w:val="13"/>
  </w:num>
  <w:num w:numId="19" w16cid:durableId="949043361">
    <w:abstractNumId w:val="7"/>
  </w:num>
  <w:num w:numId="20" w16cid:durableId="2079553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096850">
    <w:abstractNumId w:val="19"/>
  </w:num>
  <w:num w:numId="22" w16cid:durableId="59313266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6116560">
    <w:abstractNumId w:val="7"/>
  </w:num>
  <w:num w:numId="24" w16cid:durableId="788813368">
    <w:abstractNumId w:val="11"/>
  </w:num>
  <w:num w:numId="25" w16cid:durableId="1220938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E8"/>
    <w:rsid w:val="000057DD"/>
    <w:rsid w:val="00006954"/>
    <w:rsid w:val="000101DB"/>
    <w:rsid w:val="0001037C"/>
    <w:rsid w:val="00011E1F"/>
    <w:rsid w:val="0001337D"/>
    <w:rsid w:val="00013E24"/>
    <w:rsid w:val="00014C29"/>
    <w:rsid w:val="00014E67"/>
    <w:rsid w:val="00014FCF"/>
    <w:rsid w:val="00017DF7"/>
    <w:rsid w:val="00022B43"/>
    <w:rsid w:val="00024AEA"/>
    <w:rsid w:val="00026980"/>
    <w:rsid w:val="00033E04"/>
    <w:rsid w:val="0003795F"/>
    <w:rsid w:val="0004074F"/>
    <w:rsid w:val="0004095E"/>
    <w:rsid w:val="00041250"/>
    <w:rsid w:val="00041C2B"/>
    <w:rsid w:val="0004215C"/>
    <w:rsid w:val="00044C0A"/>
    <w:rsid w:val="00045834"/>
    <w:rsid w:val="000459D5"/>
    <w:rsid w:val="0004678F"/>
    <w:rsid w:val="000504A7"/>
    <w:rsid w:val="0005087C"/>
    <w:rsid w:val="00051920"/>
    <w:rsid w:val="00052A07"/>
    <w:rsid w:val="00052D14"/>
    <w:rsid w:val="0005476D"/>
    <w:rsid w:val="00054D55"/>
    <w:rsid w:val="00055CC1"/>
    <w:rsid w:val="00056362"/>
    <w:rsid w:val="00057987"/>
    <w:rsid w:val="00062305"/>
    <w:rsid w:val="00062E3C"/>
    <w:rsid w:val="00064D89"/>
    <w:rsid w:val="00071849"/>
    <w:rsid w:val="000733FA"/>
    <w:rsid w:val="00073E9F"/>
    <w:rsid w:val="00075C51"/>
    <w:rsid w:val="0007651E"/>
    <w:rsid w:val="00076BCC"/>
    <w:rsid w:val="00076FA8"/>
    <w:rsid w:val="00077E78"/>
    <w:rsid w:val="00077E9B"/>
    <w:rsid w:val="00086E2C"/>
    <w:rsid w:val="00091780"/>
    <w:rsid w:val="00091992"/>
    <w:rsid w:val="000920F9"/>
    <w:rsid w:val="00093FB1"/>
    <w:rsid w:val="000949E4"/>
    <w:rsid w:val="00096838"/>
    <w:rsid w:val="00097B54"/>
    <w:rsid w:val="000A01EF"/>
    <w:rsid w:val="000A1D9D"/>
    <w:rsid w:val="000A560C"/>
    <w:rsid w:val="000A5D1A"/>
    <w:rsid w:val="000A652A"/>
    <w:rsid w:val="000A7DC4"/>
    <w:rsid w:val="000B0FA5"/>
    <w:rsid w:val="000B129E"/>
    <w:rsid w:val="000B3094"/>
    <w:rsid w:val="000B32F2"/>
    <w:rsid w:val="000B4251"/>
    <w:rsid w:val="000B4433"/>
    <w:rsid w:val="000B450D"/>
    <w:rsid w:val="000B6DC1"/>
    <w:rsid w:val="000C02ED"/>
    <w:rsid w:val="000C1ADB"/>
    <w:rsid w:val="000C1DFA"/>
    <w:rsid w:val="000C2B87"/>
    <w:rsid w:val="000C305E"/>
    <w:rsid w:val="000C3F7D"/>
    <w:rsid w:val="000C42F2"/>
    <w:rsid w:val="000C6E54"/>
    <w:rsid w:val="000D162E"/>
    <w:rsid w:val="000D19F4"/>
    <w:rsid w:val="000D1EC1"/>
    <w:rsid w:val="000D2835"/>
    <w:rsid w:val="000D52DD"/>
    <w:rsid w:val="000D575D"/>
    <w:rsid w:val="000D5F47"/>
    <w:rsid w:val="000E10BA"/>
    <w:rsid w:val="000E3255"/>
    <w:rsid w:val="000E486D"/>
    <w:rsid w:val="000E5B2F"/>
    <w:rsid w:val="000E5C67"/>
    <w:rsid w:val="000F3013"/>
    <w:rsid w:val="000F437F"/>
    <w:rsid w:val="000F4EA6"/>
    <w:rsid w:val="00100A02"/>
    <w:rsid w:val="00103316"/>
    <w:rsid w:val="00104E76"/>
    <w:rsid w:val="001066FC"/>
    <w:rsid w:val="0010782C"/>
    <w:rsid w:val="00110000"/>
    <w:rsid w:val="0011053C"/>
    <w:rsid w:val="00110E42"/>
    <w:rsid w:val="001204E8"/>
    <w:rsid w:val="0012165D"/>
    <w:rsid w:val="001224C8"/>
    <w:rsid w:val="00125569"/>
    <w:rsid w:val="001259AA"/>
    <w:rsid w:val="00126E12"/>
    <w:rsid w:val="0013022D"/>
    <w:rsid w:val="001315C5"/>
    <w:rsid w:val="00131F03"/>
    <w:rsid w:val="00132902"/>
    <w:rsid w:val="00134875"/>
    <w:rsid w:val="00135333"/>
    <w:rsid w:val="00136E90"/>
    <w:rsid w:val="00137A07"/>
    <w:rsid w:val="00137A87"/>
    <w:rsid w:val="00137F81"/>
    <w:rsid w:val="00140C94"/>
    <w:rsid w:val="001411AC"/>
    <w:rsid w:val="001417BE"/>
    <w:rsid w:val="001437A4"/>
    <w:rsid w:val="00144CF2"/>
    <w:rsid w:val="0015179A"/>
    <w:rsid w:val="00151C0A"/>
    <w:rsid w:val="0015249F"/>
    <w:rsid w:val="001547AC"/>
    <w:rsid w:val="00155882"/>
    <w:rsid w:val="001569CA"/>
    <w:rsid w:val="00163B5D"/>
    <w:rsid w:val="00167351"/>
    <w:rsid w:val="001677BA"/>
    <w:rsid w:val="0017072F"/>
    <w:rsid w:val="00170B16"/>
    <w:rsid w:val="001717B9"/>
    <w:rsid w:val="00177234"/>
    <w:rsid w:val="001802B7"/>
    <w:rsid w:val="00180C43"/>
    <w:rsid w:val="00180C51"/>
    <w:rsid w:val="00182ECA"/>
    <w:rsid w:val="00183F8D"/>
    <w:rsid w:val="00183FFB"/>
    <w:rsid w:val="001841B6"/>
    <w:rsid w:val="001841B7"/>
    <w:rsid w:val="0018516A"/>
    <w:rsid w:val="00185623"/>
    <w:rsid w:val="001859D2"/>
    <w:rsid w:val="00185AE1"/>
    <w:rsid w:val="0019053E"/>
    <w:rsid w:val="00190AB2"/>
    <w:rsid w:val="00192115"/>
    <w:rsid w:val="00192288"/>
    <w:rsid w:val="00192883"/>
    <w:rsid w:val="00192AC4"/>
    <w:rsid w:val="0019583E"/>
    <w:rsid w:val="001958B1"/>
    <w:rsid w:val="00196849"/>
    <w:rsid w:val="001A088B"/>
    <w:rsid w:val="001A0CFB"/>
    <w:rsid w:val="001A2043"/>
    <w:rsid w:val="001A5372"/>
    <w:rsid w:val="001B02A5"/>
    <w:rsid w:val="001B06E6"/>
    <w:rsid w:val="001B248F"/>
    <w:rsid w:val="001B2958"/>
    <w:rsid w:val="001B382E"/>
    <w:rsid w:val="001B4BCA"/>
    <w:rsid w:val="001B737E"/>
    <w:rsid w:val="001C2925"/>
    <w:rsid w:val="001C5F6E"/>
    <w:rsid w:val="001C6EB7"/>
    <w:rsid w:val="001C7453"/>
    <w:rsid w:val="001D051F"/>
    <w:rsid w:val="001D0D85"/>
    <w:rsid w:val="001D1280"/>
    <w:rsid w:val="001D3CEA"/>
    <w:rsid w:val="001D513D"/>
    <w:rsid w:val="001D5276"/>
    <w:rsid w:val="001D65FF"/>
    <w:rsid w:val="001D771E"/>
    <w:rsid w:val="001D78D1"/>
    <w:rsid w:val="001E3E55"/>
    <w:rsid w:val="001E519D"/>
    <w:rsid w:val="001E6B92"/>
    <w:rsid w:val="001E78C8"/>
    <w:rsid w:val="001F0B9C"/>
    <w:rsid w:val="001F0BA5"/>
    <w:rsid w:val="001F0C5D"/>
    <w:rsid w:val="001F3DDB"/>
    <w:rsid w:val="00202479"/>
    <w:rsid w:val="002034D8"/>
    <w:rsid w:val="00205A40"/>
    <w:rsid w:val="00205CCD"/>
    <w:rsid w:val="002067D6"/>
    <w:rsid w:val="00206930"/>
    <w:rsid w:val="00206AD8"/>
    <w:rsid w:val="00207090"/>
    <w:rsid w:val="002074FC"/>
    <w:rsid w:val="002117F3"/>
    <w:rsid w:val="00212892"/>
    <w:rsid w:val="00214C22"/>
    <w:rsid w:val="00214EC8"/>
    <w:rsid w:val="00215695"/>
    <w:rsid w:val="00216066"/>
    <w:rsid w:val="00216E05"/>
    <w:rsid w:val="0022024A"/>
    <w:rsid w:val="00221C73"/>
    <w:rsid w:val="00222B2E"/>
    <w:rsid w:val="00222E1A"/>
    <w:rsid w:val="002232C8"/>
    <w:rsid w:val="002235DA"/>
    <w:rsid w:val="00223F42"/>
    <w:rsid w:val="00226206"/>
    <w:rsid w:val="0023133D"/>
    <w:rsid w:val="0023176D"/>
    <w:rsid w:val="00233310"/>
    <w:rsid w:val="00234E12"/>
    <w:rsid w:val="00240FFC"/>
    <w:rsid w:val="00242E35"/>
    <w:rsid w:val="00244ACB"/>
    <w:rsid w:val="0024733A"/>
    <w:rsid w:val="002500AF"/>
    <w:rsid w:val="002504F4"/>
    <w:rsid w:val="0025478A"/>
    <w:rsid w:val="0025546B"/>
    <w:rsid w:val="00256502"/>
    <w:rsid w:val="00257ACE"/>
    <w:rsid w:val="0026119D"/>
    <w:rsid w:val="002618BD"/>
    <w:rsid w:val="00261F74"/>
    <w:rsid w:val="00261F82"/>
    <w:rsid w:val="00262193"/>
    <w:rsid w:val="0026446C"/>
    <w:rsid w:val="002644D0"/>
    <w:rsid w:val="00266BFF"/>
    <w:rsid w:val="002712B7"/>
    <w:rsid w:val="002721E3"/>
    <w:rsid w:val="00273037"/>
    <w:rsid w:val="0027304B"/>
    <w:rsid w:val="00273259"/>
    <w:rsid w:val="00275E07"/>
    <w:rsid w:val="00277CDC"/>
    <w:rsid w:val="002820BF"/>
    <w:rsid w:val="0028666E"/>
    <w:rsid w:val="0028683F"/>
    <w:rsid w:val="00287587"/>
    <w:rsid w:val="002905F7"/>
    <w:rsid w:val="00290ED5"/>
    <w:rsid w:val="002911C0"/>
    <w:rsid w:val="00294CC8"/>
    <w:rsid w:val="00296878"/>
    <w:rsid w:val="00297109"/>
    <w:rsid w:val="002974E5"/>
    <w:rsid w:val="002A2813"/>
    <w:rsid w:val="002A2B1F"/>
    <w:rsid w:val="002A2E0A"/>
    <w:rsid w:val="002A372F"/>
    <w:rsid w:val="002A3CF1"/>
    <w:rsid w:val="002A4CA6"/>
    <w:rsid w:val="002A7D7E"/>
    <w:rsid w:val="002B400B"/>
    <w:rsid w:val="002B41AD"/>
    <w:rsid w:val="002B4459"/>
    <w:rsid w:val="002B76A1"/>
    <w:rsid w:val="002C0F43"/>
    <w:rsid w:val="002C40E1"/>
    <w:rsid w:val="002C59D3"/>
    <w:rsid w:val="002C5A5A"/>
    <w:rsid w:val="002C6411"/>
    <w:rsid w:val="002C7CE4"/>
    <w:rsid w:val="002D2458"/>
    <w:rsid w:val="002D30DE"/>
    <w:rsid w:val="002D4C98"/>
    <w:rsid w:val="002D4E14"/>
    <w:rsid w:val="002D5179"/>
    <w:rsid w:val="002D640A"/>
    <w:rsid w:val="002E105D"/>
    <w:rsid w:val="002E1ED2"/>
    <w:rsid w:val="002E286B"/>
    <w:rsid w:val="002E4220"/>
    <w:rsid w:val="002E442F"/>
    <w:rsid w:val="002E5332"/>
    <w:rsid w:val="002E7723"/>
    <w:rsid w:val="002F30D9"/>
    <w:rsid w:val="002F3169"/>
    <w:rsid w:val="002F4891"/>
    <w:rsid w:val="002F72D2"/>
    <w:rsid w:val="003011F5"/>
    <w:rsid w:val="003018A8"/>
    <w:rsid w:val="003027CF"/>
    <w:rsid w:val="00304337"/>
    <w:rsid w:val="00304A88"/>
    <w:rsid w:val="00305270"/>
    <w:rsid w:val="00305861"/>
    <w:rsid w:val="00305BF5"/>
    <w:rsid w:val="003068A2"/>
    <w:rsid w:val="00307432"/>
    <w:rsid w:val="003103D6"/>
    <w:rsid w:val="00311017"/>
    <w:rsid w:val="003145A2"/>
    <w:rsid w:val="00314A72"/>
    <w:rsid w:val="00316706"/>
    <w:rsid w:val="003203B1"/>
    <w:rsid w:val="0032269A"/>
    <w:rsid w:val="0032407F"/>
    <w:rsid w:val="00324F96"/>
    <w:rsid w:val="00327104"/>
    <w:rsid w:val="003271C1"/>
    <w:rsid w:val="00327730"/>
    <w:rsid w:val="00327B6F"/>
    <w:rsid w:val="00334866"/>
    <w:rsid w:val="0033573C"/>
    <w:rsid w:val="003360AF"/>
    <w:rsid w:val="003402D0"/>
    <w:rsid w:val="00341FDE"/>
    <w:rsid w:val="00342FB9"/>
    <w:rsid w:val="00343058"/>
    <w:rsid w:val="003453E1"/>
    <w:rsid w:val="00346AD1"/>
    <w:rsid w:val="00347E4B"/>
    <w:rsid w:val="003514C7"/>
    <w:rsid w:val="00351B09"/>
    <w:rsid w:val="00352AAB"/>
    <w:rsid w:val="00354F71"/>
    <w:rsid w:val="00361D9E"/>
    <w:rsid w:val="00365826"/>
    <w:rsid w:val="003703AB"/>
    <w:rsid w:val="00372230"/>
    <w:rsid w:val="0037231D"/>
    <w:rsid w:val="00372566"/>
    <w:rsid w:val="00376347"/>
    <w:rsid w:val="00376E61"/>
    <w:rsid w:val="003770BC"/>
    <w:rsid w:val="003772F5"/>
    <w:rsid w:val="00377330"/>
    <w:rsid w:val="003779A9"/>
    <w:rsid w:val="00381900"/>
    <w:rsid w:val="00383AF3"/>
    <w:rsid w:val="0038511C"/>
    <w:rsid w:val="00385262"/>
    <w:rsid w:val="003855CE"/>
    <w:rsid w:val="003866BC"/>
    <w:rsid w:val="003868A6"/>
    <w:rsid w:val="003927C9"/>
    <w:rsid w:val="0039342F"/>
    <w:rsid w:val="00394012"/>
    <w:rsid w:val="00396A2F"/>
    <w:rsid w:val="00396C81"/>
    <w:rsid w:val="00397E1A"/>
    <w:rsid w:val="003A2362"/>
    <w:rsid w:val="003A329A"/>
    <w:rsid w:val="003A41F0"/>
    <w:rsid w:val="003A761E"/>
    <w:rsid w:val="003A788B"/>
    <w:rsid w:val="003B0D4F"/>
    <w:rsid w:val="003B3F52"/>
    <w:rsid w:val="003B56CC"/>
    <w:rsid w:val="003B6B72"/>
    <w:rsid w:val="003B7B7A"/>
    <w:rsid w:val="003C0F0A"/>
    <w:rsid w:val="003C1603"/>
    <w:rsid w:val="003C270D"/>
    <w:rsid w:val="003C4466"/>
    <w:rsid w:val="003C62B7"/>
    <w:rsid w:val="003D37D0"/>
    <w:rsid w:val="003D60E7"/>
    <w:rsid w:val="003D6B91"/>
    <w:rsid w:val="003E1FCD"/>
    <w:rsid w:val="003E2232"/>
    <w:rsid w:val="003E31B1"/>
    <w:rsid w:val="003E4F61"/>
    <w:rsid w:val="003E791A"/>
    <w:rsid w:val="003F049E"/>
    <w:rsid w:val="003F06BE"/>
    <w:rsid w:val="003F1E41"/>
    <w:rsid w:val="003F20F3"/>
    <w:rsid w:val="003F4BFA"/>
    <w:rsid w:val="003F560E"/>
    <w:rsid w:val="003F5A3C"/>
    <w:rsid w:val="00400E7F"/>
    <w:rsid w:val="00400FC0"/>
    <w:rsid w:val="00403082"/>
    <w:rsid w:val="0040524B"/>
    <w:rsid w:val="004059B8"/>
    <w:rsid w:val="00406718"/>
    <w:rsid w:val="00407E30"/>
    <w:rsid w:val="004134EB"/>
    <w:rsid w:val="00414C8B"/>
    <w:rsid w:val="00415AC8"/>
    <w:rsid w:val="00416A37"/>
    <w:rsid w:val="00420451"/>
    <w:rsid w:val="0042196B"/>
    <w:rsid w:val="0042348C"/>
    <w:rsid w:val="004249A3"/>
    <w:rsid w:val="004251C4"/>
    <w:rsid w:val="0042564D"/>
    <w:rsid w:val="0042683A"/>
    <w:rsid w:val="004270FC"/>
    <w:rsid w:val="00430116"/>
    <w:rsid w:val="00430576"/>
    <w:rsid w:val="00431B8E"/>
    <w:rsid w:val="0043252B"/>
    <w:rsid w:val="00432B27"/>
    <w:rsid w:val="00432FED"/>
    <w:rsid w:val="00434D25"/>
    <w:rsid w:val="00440926"/>
    <w:rsid w:val="004410F1"/>
    <w:rsid w:val="00442E66"/>
    <w:rsid w:val="004458F4"/>
    <w:rsid w:val="00447F79"/>
    <w:rsid w:val="004500A5"/>
    <w:rsid w:val="0045321F"/>
    <w:rsid w:val="00455BBB"/>
    <w:rsid w:val="00456150"/>
    <w:rsid w:val="004603EA"/>
    <w:rsid w:val="00462327"/>
    <w:rsid w:val="00463783"/>
    <w:rsid w:val="00464252"/>
    <w:rsid w:val="00464754"/>
    <w:rsid w:val="00467172"/>
    <w:rsid w:val="004734ED"/>
    <w:rsid w:val="00474472"/>
    <w:rsid w:val="0047514F"/>
    <w:rsid w:val="0048535D"/>
    <w:rsid w:val="00485827"/>
    <w:rsid w:val="00492274"/>
    <w:rsid w:val="00494D76"/>
    <w:rsid w:val="004A232B"/>
    <w:rsid w:val="004A2425"/>
    <w:rsid w:val="004A242C"/>
    <w:rsid w:val="004A316A"/>
    <w:rsid w:val="004A3686"/>
    <w:rsid w:val="004A6E65"/>
    <w:rsid w:val="004A7C59"/>
    <w:rsid w:val="004B04F0"/>
    <w:rsid w:val="004B296C"/>
    <w:rsid w:val="004B3497"/>
    <w:rsid w:val="004B4279"/>
    <w:rsid w:val="004B6583"/>
    <w:rsid w:val="004B67A0"/>
    <w:rsid w:val="004C0774"/>
    <w:rsid w:val="004C0DC9"/>
    <w:rsid w:val="004C34A8"/>
    <w:rsid w:val="004C4752"/>
    <w:rsid w:val="004C7AD7"/>
    <w:rsid w:val="004D4834"/>
    <w:rsid w:val="004D6253"/>
    <w:rsid w:val="004D7317"/>
    <w:rsid w:val="004E031E"/>
    <w:rsid w:val="004E1334"/>
    <w:rsid w:val="004E3868"/>
    <w:rsid w:val="004F3234"/>
    <w:rsid w:val="004F5964"/>
    <w:rsid w:val="004F7CB2"/>
    <w:rsid w:val="0050095B"/>
    <w:rsid w:val="00501083"/>
    <w:rsid w:val="0050366E"/>
    <w:rsid w:val="005038F0"/>
    <w:rsid w:val="0050395B"/>
    <w:rsid w:val="00503AA4"/>
    <w:rsid w:val="005042DA"/>
    <w:rsid w:val="00504F84"/>
    <w:rsid w:val="005072D9"/>
    <w:rsid w:val="00507CF5"/>
    <w:rsid w:val="00510183"/>
    <w:rsid w:val="00510800"/>
    <w:rsid w:val="00512416"/>
    <w:rsid w:val="00514052"/>
    <w:rsid w:val="00514F12"/>
    <w:rsid w:val="00515620"/>
    <w:rsid w:val="00515B34"/>
    <w:rsid w:val="00522311"/>
    <w:rsid w:val="00522870"/>
    <w:rsid w:val="00522CB8"/>
    <w:rsid w:val="00522E00"/>
    <w:rsid w:val="005235E6"/>
    <w:rsid w:val="005242F2"/>
    <w:rsid w:val="005255EB"/>
    <w:rsid w:val="00525CC6"/>
    <w:rsid w:val="00527E4E"/>
    <w:rsid w:val="00530B6D"/>
    <w:rsid w:val="00531EEB"/>
    <w:rsid w:val="00532785"/>
    <w:rsid w:val="00532AB8"/>
    <w:rsid w:val="00533743"/>
    <w:rsid w:val="00533949"/>
    <w:rsid w:val="0053394F"/>
    <w:rsid w:val="00533BE0"/>
    <w:rsid w:val="00534035"/>
    <w:rsid w:val="005347BE"/>
    <w:rsid w:val="005371D6"/>
    <w:rsid w:val="00541FAB"/>
    <w:rsid w:val="0054233A"/>
    <w:rsid w:val="005443CC"/>
    <w:rsid w:val="0054794B"/>
    <w:rsid w:val="00547D19"/>
    <w:rsid w:val="00551F06"/>
    <w:rsid w:val="00552884"/>
    <w:rsid w:val="0055376C"/>
    <w:rsid w:val="00554F0D"/>
    <w:rsid w:val="00555525"/>
    <w:rsid w:val="00555CDF"/>
    <w:rsid w:val="00556110"/>
    <w:rsid w:val="0055632F"/>
    <w:rsid w:val="00556776"/>
    <w:rsid w:val="00560F89"/>
    <w:rsid w:val="00563E50"/>
    <w:rsid w:val="00564619"/>
    <w:rsid w:val="0056746F"/>
    <w:rsid w:val="00570120"/>
    <w:rsid w:val="005705D5"/>
    <w:rsid w:val="005728AF"/>
    <w:rsid w:val="00573787"/>
    <w:rsid w:val="00574A8C"/>
    <w:rsid w:val="00575CDD"/>
    <w:rsid w:val="005818B1"/>
    <w:rsid w:val="00583178"/>
    <w:rsid w:val="00583B52"/>
    <w:rsid w:val="0058553E"/>
    <w:rsid w:val="005860D5"/>
    <w:rsid w:val="005913CB"/>
    <w:rsid w:val="00591E19"/>
    <w:rsid w:val="00592FB0"/>
    <w:rsid w:val="00594871"/>
    <w:rsid w:val="00595E51"/>
    <w:rsid w:val="0059610E"/>
    <w:rsid w:val="00596AD8"/>
    <w:rsid w:val="00597B3C"/>
    <w:rsid w:val="00597D86"/>
    <w:rsid w:val="005A03E2"/>
    <w:rsid w:val="005A366B"/>
    <w:rsid w:val="005A424D"/>
    <w:rsid w:val="005A61BF"/>
    <w:rsid w:val="005A6D93"/>
    <w:rsid w:val="005A7379"/>
    <w:rsid w:val="005A74E0"/>
    <w:rsid w:val="005B162C"/>
    <w:rsid w:val="005B343B"/>
    <w:rsid w:val="005B39D6"/>
    <w:rsid w:val="005B53D1"/>
    <w:rsid w:val="005B7027"/>
    <w:rsid w:val="005B7DD1"/>
    <w:rsid w:val="005C2CC3"/>
    <w:rsid w:val="005C2F9F"/>
    <w:rsid w:val="005C47A2"/>
    <w:rsid w:val="005C5D80"/>
    <w:rsid w:val="005C6AC7"/>
    <w:rsid w:val="005D1820"/>
    <w:rsid w:val="005D2A57"/>
    <w:rsid w:val="005D61E9"/>
    <w:rsid w:val="005D7CD0"/>
    <w:rsid w:val="005D7D1A"/>
    <w:rsid w:val="005E22D7"/>
    <w:rsid w:val="005E5F60"/>
    <w:rsid w:val="005E7B31"/>
    <w:rsid w:val="005E7D88"/>
    <w:rsid w:val="005F4949"/>
    <w:rsid w:val="005F532D"/>
    <w:rsid w:val="005F6175"/>
    <w:rsid w:val="005F65CD"/>
    <w:rsid w:val="00600547"/>
    <w:rsid w:val="006017D3"/>
    <w:rsid w:val="00603F0D"/>
    <w:rsid w:val="00604604"/>
    <w:rsid w:val="0060582B"/>
    <w:rsid w:val="00606978"/>
    <w:rsid w:val="00611209"/>
    <w:rsid w:val="006124C9"/>
    <w:rsid w:val="00612711"/>
    <w:rsid w:val="00612938"/>
    <w:rsid w:val="006139F9"/>
    <w:rsid w:val="00614015"/>
    <w:rsid w:val="0061492E"/>
    <w:rsid w:val="00616F1C"/>
    <w:rsid w:val="00620372"/>
    <w:rsid w:val="0062041D"/>
    <w:rsid w:val="0062136C"/>
    <w:rsid w:val="00621446"/>
    <w:rsid w:val="006218F0"/>
    <w:rsid w:val="00622908"/>
    <w:rsid w:val="00623117"/>
    <w:rsid w:val="00625361"/>
    <w:rsid w:val="006253A1"/>
    <w:rsid w:val="00625418"/>
    <w:rsid w:val="00625570"/>
    <w:rsid w:val="0063074D"/>
    <w:rsid w:val="006307AD"/>
    <w:rsid w:val="00630B86"/>
    <w:rsid w:val="006319A1"/>
    <w:rsid w:val="00631A6F"/>
    <w:rsid w:val="0063319F"/>
    <w:rsid w:val="0063415A"/>
    <w:rsid w:val="00637A70"/>
    <w:rsid w:val="00637D5E"/>
    <w:rsid w:val="00640CA5"/>
    <w:rsid w:val="00642D0E"/>
    <w:rsid w:val="006434D6"/>
    <w:rsid w:val="00643B18"/>
    <w:rsid w:val="00645D3A"/>
    <w:rsid w:val="00646C12"/>
    <w:rsid w:val="00646DF9"/>
    <w:rsid w:val="00650F41"/>
    <w:rsid w:val="006513AD"/>
    <w:rsid w:val="006525E7"/>
    <w:rsid w:val="00655981"/>
    <w:rsid w:val="00656456"/>
    <w:rsid w:val="0065726A"/>
    <w:rsid w:val="006575B9"/>
    <w:rsid w:val="00661128"/>
    <w:rsid w:val="006622FD"/>
    <w:rsid w:val="00664A93"/>
    <w:rsid w:val="00666B28"/>
    <w:rsid w:val="00666E72"/>
    <w:rsid w:val="00670038"/>
    <w:rsid w:val="00670855"/>
    <w:rsid w:val="00670A4B"/>
    <w:rsid w:val="00671F4D"/>
    <w:rsid w:val="00672452"/>
    <w:rsid w:val="006768B3"/>
    <w:rsid w:val="00677908"/>
    <w:rsid w:val="0067797E"/>
    <w:rsid w:val="00677E30"/>
    <w:rsid w:val="00680B9D"/>
    <w:rsid w:val="00683048"/>
    <w:rsid w:val="006837C0"/>
    <w:rsid w:val="00684C21"/>
    <w:rsid w:val="00685E37"/>
    <w:rsid w:val="006867DB"/>
    <w:rsid w:val="00686FC5"/>
    <w:rsid w:val="0069021E"/>
    <w:rsid w:val="00690CDF"/>
    <w:rsid w:val="00691A68"/>
    <w:rsid w:val="00691D61"/>
    <w:rsid w:val="00691DA3"/>
    <w:rsid w:val="0069373A"/>
    <w:rsid w:val="00696795"/>
    <w:rsid w:val="00696C71"/>
    <w:rsid w:val="00697284"/>
    <w:rsid w:val="006A127E"/>
    <w:rsid w:val="006A1597"/>
    <w:rsid w:val="006A3120"/>
    <w:rsid w:val="006A4634"/>
    <w:rsid w:val="006A4CD6"/>
    <w:rsid w:val="006A5C1E"/>
    <w:rsid w:val="006A6B89"/>
    <w:rsid w:val="006A6DB5"/>
    <w:rsid w:val="006B0B47"/>
    <w:rsid w:val="006B3CCC"/>
    <w:rsid w:val="006B404D"/>
    <w:rsid w:val="006C2293"/>
    <w:rsid w:val="006C22B9"/>
    <w:rsid w:val="006C41B6"/>
    <w:rsid w:val="006C438D"/>
    <w:rsid w:val="006C598E"/>
    <w:rsid w:val="006C6336"/>
    <w:rsid w:val="006D0A7F"/>
    <w:rsid w:val="006D221E"/>
    <w:rsid w:val="006D4D99"/>
    <w:rsid w:val="006D67A7"/>
    <w:rsid w:val="006E476F"/>
    <w:rsid w:val="006E6173"/>
    <w:rsid w:val="006E75C8"/>
    <w:rsid w:val="006F0340"/>
    <w:rsid w:val="006F0C50"/>
    <w:rsid w:val="006F246A"/>
    <w:rsid w:val="006F5AE7"/>
    <w:rsid w:val="006F6C5A"/>
    <w:rsid w:val="006F78F1"/>
    <w:rsid w:val="00700A70"/>
    <w:rsid w:val="00701091"/>
    <w:rsid w:val="007012CE"/>
    <w:rsid w:val="007013A2"/>
    <w:rsid w:val="00703D4C"/>
    <w:rsid w:val="0070559E"/>
    <w:rsid w:val="007135C3"/>
    <w:rsid w:val="00716B4B"/>
    <w:rsid w:val="00717BA3"/>
    <w:rsid w:val="007206DC"/>
    <w:rsid w:val="007213AF"/>
    <w:rsid w:val="007225ED"/>
    <w:rsid w:val="007237E0"/>
    <w:rsid w:val="007239B0"/>
    <w:rsid w:val="00723BD1"/>
    <w:rsid w:val="007243FC"/>
    <w:rsid w:val="00724703"/>
    <w:rsid w:val="00725752"/>
    <w:rsid w:val="007270F7"/>
    <w:rsid w:val="007340C2"/>
    <w:rsid w:val="00734373"/>
    <w:rsid w:val="00735150"/>
    <w:rsid w:val="00740336"/>
    <w:rsid w:val="00742705"/>
    <w:rsid w:val="00743A9B"/>
    <w:rsid w:val="00745A01"/>
    <w:rsid w:val="00747EE5"/>
    <w:rsid w:val="007530E8"/>
    <w:rsid w:val="007542A6"/>
    <w:rsid w:val="00755062"/>
    <w:rsid w:val="00762423"/>
    <w:rsid w:val="007628A5"/>
    <w:rsid w:val="00762950"/>
    <w:rsid w:val="00763784"/>
    <w:rsid w:val="00763DED"/>
    <w:rsid w:val="00763E58"/>
    <w:rsid w:val="00767B60"/>
    <w:rsid w:val="00780B40"/>
    <w:rsid w:val="00782599"/>
    <w:rsid w:val="00782F12"/>
    <w:rsid w:val="00783B70"/>
    <w:rsid w:val="00784A5A"/>
    <w:rsid w:val="00790612"/>
    <w:rsid w:val="00792975"/>
    <w:rsid w:val="00793AEF"/>
    <w:rsid w:val="0079443B"/>
    <w:rsid w:val="00795964"/>
    <w:rsid w:val="00796C8D"/>
    <w:rsid w:val="00796D32"/>
    <w:rsid w:val="007A05CC"/>
    <w:rsid w:val="007A29D3"/>
    <w:rsid w:val="007A2AB6"/>
    <w:rsid w:val="007A31A3"/>
    <w:rsid w:val="007A38D5"/>
    <w:rsid w:val="007A53B0"/>
    <w:rsid w:val="007A6CAA"/>
    <w:rsid w:val="007A729D"/>
    <w:rsid w:val="007B2001"/>
    <w:rsid w:val="007B2555"/>
    <w:rsid w:val="007B3A61"/>
    <w:rsid w:val="007B4F8B"/>
    <w:rsid w:val="007B62F8"/>
    <w:rsid w:val="007B6E29"/>
    <w:rsid w:val="007B72EB"/>
    <w:rsid w:val="007B75DC"/>
    <w:rsid w:val="007B7832"/>
    <w:rsid w:val="007B7EF6"/>
    <w:rsid w:val="007C07CE"/>
    <w:rsid w:val="007C1769"/>
    <w:rsid w:val="007C1A68"/>
    <w:rsid w:val="007C27D6"/>
    <w:rsid w:val="007C3188"/>
    <w:rsid w:val="007C3BF0"/>
    <w:rsid w:val="007D0CC9"/>
    <w:rsid w:val="007D1B15"/>
    <w:rsid w:val="007D1DE3"/>
    <w:rsid w:val="007D1F6D"/>
    <w:rsid w:val="007D343C"/>
    <w:rsid w:val="007D489A"/>
    <w:rsid w:val="007D4D1B"/>
    <w:rsid w:val="007D67DF"/>
    <w:rsid w:val="007E387E"/>
    <w:rsid w:val="007E3D4B"/>
    <w:rsid w:val="007E7F9F"/>
    <w:rsid w:val="007F00BD"/>
    <w:rsid w:val="007F3BFE"/>
    <w:rsid w:val="007F6835"/>
    <w:rsid w:val="007F6B8D"/>
    <w:rsid w:val="007F736A"/>
    <w:rsid w:val="007F7713"/>
    <w:rsid w:val="007F7BA0"/>
    <w:rsid w:val="007F7C68"/>
    <w:rsid w:val="007F7FC7"/>
    <w:rsid w:val="00800368"/>
    <w:rsid w:val="00802093"/>
    <w:rsid w:val="0080242A"/>
    <w:rsid w:val="00803C77"/>
    <w:rsid w:val="008054A0"/>
    <w:rsid w:val="008058E1"/>
    <w:rsid w:val="00806AF8"/>
    <w:rsid w:val="0081406A"/>
    <w:rsid w:val="00816813"/>
    <w:rsid w:val="00817223"/>
    <w:rsid w:val="00817C18"/>
    <w:rsid w:val="00820344"/>
    <w:rsid w:val="00821AC3"/>
    <w:rsid w:val="008220CB"/>
    <w:rsid w:val="008252C6"/>
    <w:rsid w:val="00826622"/>
    <w:rsid w:val="00826A80"/>
    <w:rsid w:val="00826BB9"/>
    <w:rsid w:val="00826C5C"/>
    <w:rsid w:val="00826F43"/>
    <w:rsid w:val="00827C4A"/>
    <w:rsid w:val="0084084A"/>
    <w:rsid w:val="00845DB5"/>
    <w:rsid w:val="00850673"/>
    <w:rsid w:val="00850C0A"/>
    <w:rsid w:val="008515BF"/>
    <w:rsid w:val="008530F3"/>
    <w:rsid w:val="008541D4"/>
    <w:rsid w:val="00854249"/>
    <w:rsid w:val="0085493F"/>
    <w:rsid w:val="00854F2E"/>
    <w:rsid w:val="00855ABC"/>
    <w:rsid w:val="00855F81"/>
    <w:rsid w:val="00857295"/>
    <w:rsid w:val="0085780B"/>
    <w:rsid w:val="00861FD5"/>
    <w:rsid w:val="008629B4"/>
    <w:rsid w:val="00863F29"/>
    <w:rsid w:val="008641D8"/>
    <w:rsid w:val="008649A6"/>
    <w:rsid w:val="008661D6"/>
    <w:rsid w:val="00866BF1"/>
    <w:rsid w:val="00871DCE"/>
    <w:rsid w:val="00873693"/>
    <w:rsid w:val="00874614"/>
    <w:rsid w:val="00874CCD"/>
    <w:rsid w:val="0087732D"/>
    <w:rsid w:val="00877D07"/>
    <w:rsid w:val="00881C79"/>
    <w:rsid w:val="00883BF5"/>
    <w:rsid w:val="00886738"/>
    <w:rsid w:val="00887A04"/>
    <w:rsid w:val="00890469"/>
    <w:rsid w:val="00890F6B"/>
    <w:rsid w:val="00892F7E"/>
    <w:rsid w:val="00893820"/>
    <w:rsid w:val="008949BC"/>
    <w:rsid w:val="008950C0"/>
    <w:rsid w:val="008966FB"/>
    <w:rsid w:val="0089702C"/>
    <w:rsid w:val="00897BAD"/>
    <w:rsid w:val="008A1474"/>
    <w:rsid w:val="008A5ACE"/>
    <w:rsid w:val="008A67A2"/>
    <w:rsid w:val="008A72E2"/>
    <w:rsid w:val="008A7D64"/>
    <w:rsid w:val="008B2B62"/>
    <w:rsid w:val="008B7ED2"/>
    <w:rsid w:val="008C1C72"/>
    <w:rsid w:val="008C3E60"/>
    <w:rsid w:val="008C487A"/>
    <w:rsid w:val="008C5583"/>
    <w:rsid w:val="008C6751"/>
    <w:rsid w:val="008C70DD"/>
    <w:rsid w:val="008D0212"/>
    <w:rsid w:val="008D3130"/>
    <w:rsid w:val="008D5829"/>
    <w:rsid w:val="008D60A9"/>
    <w:rsid w:val="008D6F60"/>
    <w:rsid w:val="008D791A"/>
    <w:rsid w:val="008E084E"/>
    <w:rsid w:val="008E219B"/>
    <w:rsid w:val="008E361A"/>
    <w:rsid w:val="008E6A77"/>
    <w:rsid w:val="008F1E87"/>
    <w:rsid w:val="008F2B47"/>
    <w:rsid w:val="008F3248"/>
    <w:rsid w:val="008F621C"/>
    <w:rsid w:val="008F781F"/>
    <w:rsid w:val="00900D0E"/>
    <w:rsid w:val="00901D71"/>
    <w:rsid w:val="0090236F"/>
    <w:rsid w:val="009033C8"/>
    <w:rsid w:val="00903FA7"/>
    <w:rsid w:val="0090547E"/>
    <w:rsid w:val="009057D2"/>
    <w:rsid w:val="0090657E"/>
    <w:rsid w:val="00911DF3"/>
    <w:rsid w:val="009129E9"/>
    <w:rsid w:val="00916D3A"/>
    <w:rsid w:val="00922CEF"/>
    <w:rsid w:val="00924A52"/>
    <w:rsid w:val="00926BCE"/>
    <w:rsid w:val="00926E81"/>
    <w:rsid w:val="0092790F"/>
    <w:rsid w:val="00931194"/>
    <w:rsid w:val="009319D1"/>
    <w:rsid w:val="009334FD"/>
    <w:rsid w:val="009343EE"/>
    <w:rsid w:val="00934876"/>
    <w:rsid w:val="00936566"/>
    <w:rsid w:val="009407EE"/>
    <w:rsid w:val="00941528"/>
    <w:rsid w:val="00942C24"/>
    <w:rsid w:val="00943A95"/>
    <w:rsid w:val="00944D30"/>
    <w:rsid w:val="009465FD"/>
    <w:rsid w:val="00947907"/>
    <w:rsid w:val="00950FC3"/>
    <w:rsid w:val="00955A22"/>
    <w:rsid w:val="00956941"/>
    <w:rsid w:val="00960583"/>
    <w:rsid w:val="0096324B"/>
    <w:rsid w:val="00967707"/>
    <w:rsid w:val="00971448"/>
    <w:rsid w:val="00975349"/>
    <w:rsid w:val="00975BCE"/>
    <w:rsid w:val="00980162"/>
    <w:rsid w:val="00980E30"/>
    <w:rsid w:val="009828B6"/>
    <w:rsid w:val="009860F9"/>
    <w:rsid w:val="0099200C"/>
    <w:rsid w:val="0099418F"/>
    <w:rsid w:val="009972F3"/>
    <w:rsid w:val="009A002F"/>
    <w:rsid w:val="009A0595"/>
    <w:rsid w:val="009A35DF"/>
    <w:rsid w:val="009A5E34"/>
    <w:rsid w:val="009A7339"/>
    <w:rsid w:val="009A77F2"/>
    <w:rsid w:val="009A79F4"/>
    <w:rsid w:val="009B1749"/>
    <w:rsid w:val="009B19AF"/>
    <w:rsid w:val="009B19F1"/>
    <w:rsid w:val="009B4ADD"/>
    <w:rsid w:val="009B5D95"/>
    <w:rsid w:val="009B6639"/>
    <w:rsid w:val="009C545E"/>
    <w:rsid w:val="009C59AF"/>
    <w:rsid w:val="009C70D0"/>
    <w:rsid w:val="009D13F1"/>
    <w:rsid w:val="009D18DC"/>
    <w:rsid w:val="009D34D1"/>
    <w:rsid w:val="009D43E3"/>
    <w:rsid w:val="009D69E1"/>
    <w:rsid w:val="009D796E"/>
    <w:rsid w:val="009E0421"/>
    <w:rsid w:val="009E1A1E"/>
    <w:rsid w:val="009E2D52"/>
    <w:rsid w:val="009F157B"/>
    <w:rsid w:val="009F33D1"/>
    <w:rsid w:val="009F68EB"/>
    <w:rsid w:val="009F7162"/>
    <w:rsid w:val="00A006A3"/>
    <w:rsid w:val="00A0094D"/>
    <w:rsid w:val="00A05818"/>
    <w:rsid w:val="00A05FEB"/>
    <w:rsid w:val="00A060D7"/>
    <w:rsid w:val="00A0636A"/>
    <w:rsid w:val="00A066AE"/>
    <w:rsid w:val="00A1283C"/>
    <w:rsid w:val="00A14C0D"/>
    <w:rsid w:val="00A178B6"/>
    <w:rsid w:val="00A213EB"/>
    <w:rsid w:val="00A22C01"/>
    <w:rsid w:val="00A24234"/>
    <w:rsid w:val="00A246FD"/>
    <w:rsid w:val="00A272CF"/>
    <w:rsid w:val="00A275F1"/>
    <w:rsid w:val="00A27E70"/>
    <w:rsid w:val="00A329A8"/>
    <w:rsid w:val="00A32D87"/>
    <w:rsid w:val="00A34094"/>
    <w:rsid w:val="00A36F76"/>
    <w:rsid w:val="00A40D59"/>
    <w:rsid w:val="00A42206"/>
    <w:rsid w:val="00A4271F"/>
    <w:rsid w:val="00A43D0B"/>
    <w:rsid w:val="00A43D38"/>
    <w:rsid w:val="00A459A0"/>
    <w:rsid w:val="00A45FEC"/>
    <w:rsid w:val="00A4607D"/>
    <w:rsid w:val="00A47A60"/>
    <w:rsid w:val="00A510B4"/>
    <w:rsid w:val="00A5130A"/>
    <w:rsid w:val="00A53A94"/>
    <w:rsid w:val="00A53E55"/>
    <w:rsid w:val="00A54136"/>
    <w:rsid w:val="00A54378"/>
    <w:rsid w:val="00A54740"/>
    <w:rsid w:val="00A54849"/>
    <w:rsid w:val="00A577D3"/>
    <w:rsid w:val="00A605EA"/>
    <w:rsid w:val="00A63B95"/>
    <w:rsid w:val="00A651A8"/>
    <w:rsid w:val="00A66519"/>
    <w:rsid w:val="00A71841"/>
    <w:rsid w:val="00A71C31"/>
    <w:rsid w:val="00A7798B"/>
    <w:rsid w:val="00A80D76"/>
    <w:rsid w:val="00A8168A"/>
    <w:rsid w:val="00A8311C"/>
    <w:rsid w:val="00A85BDC"/>
    <w:rsid w:val="00A9113A"/>
    <w:rsid w:val="00A912AB"/>
    <w:rsid w:val="00A92E7F"/>
    <w:rsid w:val="00A94AD7"/>
    <w:rsid w:val="00A94E32"/>
    <w:rsid w:val="00A94EDD"/>
    <w:rsid w:val="00A95076"/>
    <w:rsid w:val="00A95C26"/>
    <w:rsid w:val="00A97E26"/>
    <w:rsid w:val="00AA0B89"/>
    <w:rsid w:val="00AA5F72"/>
    <w:rsid w:val="00AB108F"/>
    <w:rsid w:val="00AB1424"/>
    <w:rsid w:val="00AB16C6"/>
    <w:rsid w:val="00AB1B67"/>
    <w:rsid w:val="00AB5852"/>
    <w:rsid w:val="00AB6491"/>
    <w:rsid w:val="00AB79E1"/>
    <w:rsid w:val="00AC1C5F"/>
    <w:rsid w:val="00AC35EF"/>
    <w:rsid w:val="00AC47FD"/>
    <w:rsid w:val="00AC7F6B"/>
    <w:rsid w:val="00AD059C"/>
    <w:rsid w:val="00AD3D24"/>
    <w:rsid w:val="00AD4694"/>
    <w:rsid w:val="00AD554E"/>
    <w:rsid w:val="00AD78C1"/>
    <w:rsid w:val="00AE0CB1"/>
    <w:rsid w:val="00AE0D56"/>
    <w:rsid w:val="00AE144D"/>
    <w:rsid w:val="00AE25A8"/>
    <w:rsid w:val="00AE351F"/>
    <w:rsid w:val="00AE39FD"/>
    <w:rsid w:val="00AE4C5E"/>
    <w:rsid w:val="00AE4FA8"/>
    <w:rsid w:val="00AE59D2"/>
    <w:rsid w:val="00AE71E8"/>
    <w:rsid w:val="00AF1EBD"/>
    <w:rsid w:val="00AF2881"/>
    <w:rsid w:val="00AF2B93"/>
    <w:rsid w:val="00AF3EFD"/>
    <w:rsid w:val="00AF6531"/>
    <w:rsid w:val="00AF6616"/>
    <w:rsid w:val="00AF7262"/>
    <w:rsid w:val="00AF7BEB"/>
    <w:rsid w:val="00B00647"/>
    <w:rsid w:val="00B02FED"/>
    <w:rsid w:val="00B045B8"/>
    <w:rsid w:val="00B05234"/>
    <w:rsid w:val="00B059E4"/>
    <w:rsid w:val="00B05FDF"/>
    <w:rsid w:val="00B073C1"/>
    <w:rsid w:val="00B125A3"/>
    <w:rsid w:val="00B13090"/>
    <w:rsid w:val="00B136BB"/>
    <w:rsid w:val="00B13BA4"/>
    <w:rsid w:val="00B20FAC"/>
    <w:rsid w:val="00B2137B"/>
    <w:rsid w:val="00B227F2"/>
    <w:rsid w:val="00B23636"/>
    <w:rsid w:val="00B236AD"/>
    <w:rsid w:val="00B25DAB"/>
    <w:rsid w:val="00B25F9F"/>
    <w:rsid w:val="00B2744A"/>
    <w:rsid w:val="00B32C32"/>
    <w:rsid w:val="00B33E36"/>
    <w:rsid w:val="00B34A99"/>
    <w:rsid w:val="00B36207"/>
    <w:rsid w:val="00B3620B"/>
    <w:rsid w:val="00B36954"/>
    <w:rsid w:val="00B3740E"/>
    <w:rsid w:val="00B376A5"/>
    <w:rsid w:val="00B37B9B"/>
    <w:rsid w:val="00B403A5"/>
    <w:rsid w:val="00B4121D"/>
    <w:rsid w:val="00B41413"/>
    <w:rsid w:val="00B42B24"/>
    <w:rsid w:val="00B457CA"/>
    <w:rsid w:val="00B46B1C"/>
    <w:rsid w:val="00B46BC7"/>
    <w:rsid w:val="00B470A8"/>
    <w:rsid w:val="00B51047"/>
    <w:rsid w:val="00B51C9A"/>
    <w:rsid w:val="00B538BD"/>
    <w:rsid w:val="00B6175B"/>
    <w:rsid w:val="00B629D6"/>
    <w:rsid w:val="00B63155"/>
    <w:rsid w:val="00B64D27"/>
    <w:rsid w:val="00B64D6E"/>
    <w:rsid w:val="00B65E19"/>
    <w:rsid w:val="00B70C4E"/>
    <w:rsid w:val="00B71856"/>
    <w:rsid w:val="00B7260F"/>
    <w:rsid w:val="00B72D8A"/>
    <w:rsid w:val="00B75EA1"/>
    <w:rsid w:val="00B75F73"/>
    <w:rsid w:val="00B764B6"/>
    <w:rsid w:val="00B803CA"/>
    <w:rsid w:val="00B8157E"/>
    <w:rsid w:val="00B82171"/>
    <w:rsid w:val="00B826CB"/>
    <w:rsid w:val="00B82AA9"/>
    <w:rsid w:val="00B83CBB"/>
    <w:rsid w:val="00B8492A"/>
    <w:rsid w:val="00B857C7"/>
    <w:rsid w:val="00B86AD1"/>
    <w:rsid w:val="00B870CD"/>
    <w:rsid w:val="00B87CF7"/>
    <w:rsid w:val="00B87E1F"/>
    <w:rsid w:val="00B91C8E"/>
    <w:rsid w:val="00B93839"/>
    <w:rsid w:val="00B954AE"/>
    <w:rsid w:val="00B97150"/>
    <w:rsid w:val="00BA1FA4"/>
    <w:rsid w:val="00BA496A"/>
    <w:rsid w:val="00BA4C29"/>
    <w:rsid w:val="00BA56AD"/>
    <w:rsid w:val="00BA6701"/>
    <w:rsid w:val="00BA7FDF"/>
    <w:rsid w:val="00BB033B"/>
    <w:rsid w:val="00BB13B3"/>
    <w:rsid w:val="00BB26C4"/>
    <w:rsid w:val="00BB4E5E"/>
    <w:rsid w:val="00BB54F7"/>
    <w:rsid w:val="00BB564A"/>
    <w:rsid w:val="00BB6AD7"/>
    <w:rsid w:val="00BB6D6A"/>
    <w:rsid w:val="00BB74EC"/>
    <w:rsid w:val="00BB7E39"/>
    <w:rsid w:val="00BC05BC"/>
    <w:rsid w:val="00BC0FFC"/>
    <w:rsid w:val="00BC1EE7"/>
    <w:rsid w:val="00BC5BB8"/>
    <w:rsid w:val="00BC62DC"/>
    <w:rsid w:val="00BD11E6"/>
    <w:rsid w:val="00BD1B91"/>
    <w:rsid w:val="00BD37D0"/>
    <w:rsid w:val="00BD4742"/>
    <w:rsid w:val="00BD6B7D"/>
    <w:rsid w:val="00BD6D67"/>
    <w:rsid w:val="00BD7357"/>
    <w:rsid w:val="00BD735C"/>
    <w:rsid w:val="00BE0235"/>
    <w:rsid w:val="00BE0F3D"/>
    <w:rsid w:val="00BE2C32"/>
    <w:rsid w:val="00BE3C5C"/>
    <w:rsid w:val="00BE47C9"/>
    <w:rsid w:val="00BE4E0E"/>
    <w:rsid w:val="00BF008A"/>
    <w:rsid w:val="00BF05ED"/>
    <w:rsid w:val="00BF1D2C"/>
    <w:rsid w:val="00BF53B1"/>
    <w:rsid w:val="00BF583F"/>
    <w:rsid w:val="00C00A7C"/>
    <w:rsid w:val="00C01192"/>
    <w:rsid w:val="00C01E50"/>
    <w:rsid w:val="00C02B5A"/>
    <w:rsid w:val="00C0351C"/>
    <w:rsid w:val="00C035E9"/>
    <w:rsid w:val="00C04CCF"/>
    <w:rsid w:val="00C10782"/>
    <w:rsid w:val="00C11323"/>
    <w:rsid w:val="00C1186B"/>
    <w:rsid w:val="00C12133"/>
    <w:rsid w:val="00C12AE9"/>
    <w:rsid w:val="00C14122"/>
    <w:rsid w:val="00C14892"/>
    <w:rsid w:val="00C150E3"/>
    <w:rsid w:val="00C15A6E"/>
    <w:rsid w:val="00C16D39"/>
    <w:rsid w:val="00C171AB"/>
    <w:rsid w:val="00C20EDD"/>
    <w:rsid w:val="00C23280"/>
    <w:rsid w:val="00C23BD1"/>
    <w:rsid w:val="00C245ED"/>
    <w:rsid w:val="00C25567"/>
    <w:rsid w:val="00C26D60"/>
    <w:rsid w:val="00C27AC5"/>
    <w:rsid w:val="00C30E64"/>
    <w:rsid w:val="00C323EF"/>
    <w:rsid w:val="00C3565B"/>
    <w:rsid w:val="00C356D8"/>
    <w:rsid w:val="00C375A5"/>
    <w:rsid w:val="00C37F55"/>
    <w:rsid w:val="00C40738"/>
    <w:rsid w:val="00C4384E"/>
    <w:rsid w:val="00C45527"/>
    <w:rsid w:val="00C46B78"/>
    <w:rsid w:val="00C558FD"/>
    <w:rsid w:val="00C56B20"/>
    <w:rsid w:val="00C57148"/>
    <w:rsid w:val="00C663CB"/>
    <w:rsid w:val="00C71B75"/>
    <w:rsid w:val="00C727CD"/>
    <w:rsid w:val="00C76811"/>
    <w:rsid w:val="00C76B43"/>
    <w:rsid w:val="00C77E4E"/>
    <w:rsid w:val="00C82D25"/>
    <w:rsid w:val="00C834F9"/>
    <w:rsid w:val="00C835D7"/>
    <w:rsid w:val="00C837C3"/>
    <w:rsid w:val="00C84FB4"/>
    <w:rsid w:val="00C85B24"/>
    <w:rsid w:val="00C8694E"/>
    <w:rsid w:val="00C903DB"/>
    <w:rsid w:val="00C904C4"/>
    <w:rsid w:val="00C90A5A"/>
    <w:rsid w:val="00C91DE3"/>
    <w:rsid w:val="00C92DCE"/>
    <w:rsid w:val="00C935E2"/>
    <w:rsid w:val="00C95352"/>
    <w:rsid w:val="00C962EA"/>
    <w:rsid w:val="00C963A2"/>
    <w:rsid w:val="00C97CB9"/>
    <w:rsid w:val="00CA0D43"/>
    <w:rsid w:val="00CA255F"/>
    <w:rsid w:val="00CA47EE"/>
    <w:rsid w:val="00CA58B6"/>
    <w:rsid w:val="00CA594C"/>
    <w:rsid w:val="00CB0098"/>
    <w:rsid w:val="00CB299E"/>
    <w:rsid w:val="00CB6BEB"/>
    <w:rsid w:val="00CB74DB"/>
    <w:rsid w:val="00CB7A38"/>
    <w:rsid w:val="00CC2853"/>
    <w:rsid w:val="00CC564B"/>
    <w:rsid w:val="00CC60AB"/>
    <w:rsid w:val="00CD10A6"/>
    <w:rsid w:val="00CD125C"/>
    <w:rsid w:val="00CD235B"/>
    <w:rsid w:val="00CD5DD3"/>
    <w:rsid w:val="00CD6508"/>
    <w:rsid w:val="00CD653C"/>
    <w:rsid w:val="00CD65FC"/>
    <w:rsid w:val="00CD664D"/>
    <w:rsid w:val="00CD6F79"/>
    <w:rsid w:val="00CE043F"/>
    <w:rsid w:val="00CE0AE5"/>
    <w:rsid w:val="00CE1C83"/>
    <w:rsid w:val="00CE33A9"/>
    <w:rsid w:val="00CE653D"/>
    <w:rsid w:val="00CF094A"/>
    <w:rsid w:val="00CF1392"/>
    <w:rsid w:val="00CF30E2"/>
    <w:rsid w:val="00CF32EC"/>
    <w:rsid w:val="00CF3CCF"/>
    <w:rsid w:val="00CF47CE"/>
    <w:rsid w:val="00CF5A69"/>
    <w:rsid w:val="00CF61AC"/>
    <w:rsid w:val="00CF6CED"/>
    <w:rsid w:val="00D008AD"/>
    <w:rsid w:val="00D00934"/>
    <w:rsid w:val="00D0162F"/>
    <w:rsid w:val="00D01B71"/>
    <w:rsid w:val="00D01D48"/>
    <w:rsid w:val="00D030DB"/>
    <w:rsid w:val="00D036D8"/>
    <w:rsid w:val="00D060F5"/>
    <w:rsid w:val="00D10092"/>
    <w:rsid w:val="00D1046C"/>
    <w:rsid w:val="00D15434"/>
    <w:rsid w:val="00D16BEB"/>
    <w:rsid w:val="00D20EE4"/>
    <w:rsid w:val="00D21BD2"/>
    <w:rsid w:val="00D30AFE"/>
    <w:rsid w:val="00D341BF"/>
    <w:rsid w:val="00D34BB3"/>
    <w:rsid w:val="00D35B9C"/>
    <w:rsid w:val="00D37B83"/>
    <w:rsid w:val="00D40272"/>
    <w:rsid w:val="00D4066A"/>
    <w:rsid w:val="00D43582"/>
    <w:rsid w:val="00D43A0D"/>
    <w:rsid w:val="00D43C51"/>
    <w:rsid w:val="00D471DF"/>
    <w:rsid w:val="00D4783E"/>
    <w:rsid w:val="00D50CC7"/>
    <w:rsid w:val="00D5298E"/>
    <w:rsid w:val="00D549A5"/>
    <w:rsid w:val="00D578CC"/>
    <w:rsid w:val="00D60007"/>
    <w:rsid w:val="00D6050F"/>
    <w:rsid w:val="00D6116F"/>
    <w:rsid w:val="00D61808"/>
    <w:rsid w:val="00D61ACE"/>
    <w:rsid w:val="00D61DE6"/>
    <w:rsid w:val="00D625B3"/>
    <w:rsid w:val="00D63CF8"/>
    <w:rsid w:val="00D6449E"/>
    <w:rsid w:val="00D66A03"/>
    <w:rsid w:val="00D6701D"/>
    <w:rsid w:val="00D677AB"/>
    <w:rsid w:val="00D67828"/>
    <w:rsid w:val="00D703DF"/>
    <w:rsid w:val="00D710A5"/>
    <w:rsid w:val="00D71734"/>
    <w:rsid w:val="00D717FB"/>
    <w:rsid w:val="00D76A4F"/>
    <w:rsid w:val="00D813F1"/>
    <w:rsid w:val="00D81853"/>
    <w:rsid w:val="00D81E55"/>
    <w:rsid w:val="00D82056"/>
    <w:rsid w:val="00D9226F"/>
    <w:rsid w:val="00D93EDE"/>
    <w:rsid w:val="00DA06F3"/>
    <w:rsid w:val="00DA4221"/>
    <w:rsid w:val="00DA66AD"/>
    <w:rsid w:val="00DB0468"/>
    <w:rsid w:val="00DB138E"/>
    <w:rsid w:val="00DB1C02"/>
    <w:rsid w:val="00DB2F7E"/>
    <w:rsid w:val="00DB39A2"/>
    <w:rsid w:val="00DB49D2"/>
    <w:rsid w:val="00DB4F6A"/>
    <w:rsid w:val="00DC010D"/>
    <w:rsid w:val="00DC15E1"/>
    <w:rsid w:val="00DC1A29"/>
    <w:rsid w:val="00DC7865"/>
    <w:rsid w:val="00DC7D61"/>
    <w:rsid w:val="00DD0103"/>
    <w:rsid w:val="00DD0331"/>
    <w:rsid w:val="00DD36F4"/>
    <w:rsid w:val="00DD4107"/>
    <w:rsid w:val="00DD6633"/>
    <w:rsid w:val="00DD74AA"/>
    <w:rsid w:val="00DE124A"/>
    <w:rsid w:val="00DE2452"/>
    <w:rsid w:val="00DE3137"/>
    <w:rsid w:val="00DE3AFD"/>
    <w:rsid w:val="00DE4A8A"/>
    <w:rsid w:val="00DE5B0D"/>
    <w:rsid w:val="00DE5E0C"/>
    <w:rsid w:val="00DE72E5"/>
    <w:rsid w:val="00DF0A4A"/>
    <w:rsid w:val="00DF0AEA"/>
    <w:rsid w:val="00DF0DF9"/>
    <w:rsid w:val="00DF0ED1"/>
    <w:rsid w:val="00DF10AD"/>
    <w:rsid w:val="00DF1F0C"/>
    <w:rsid w:val="00DF27CA"/>
    <w:rsid w:val="00DF6218"/>
    <w:rsid w:val="00E00BF2"/>
    <w:rsid w:val="00E00EFF"/>
    <w:rsid w:val="00E02A15"/>
    <w:rsid w:val="00E02C78"/>
    <w:rsid w:val="00E02E75"/>
    <w:rsid w:val="00E03061"/>
    <w:rsid w:val="00E04479"/>
    <w:rsid w:val="00E044D8"/>
    <w:rsid w:val="00E04E68"/>
    <w:rsid w:val="00E06BA1"/>
    <w:rsid w:val="00E06FAF"/>
    <w:rsid w:val="00E11329"/>
    <w:rsid w:val="00E11871"/>
    <w:rsid w:val="00E11BA7"/>
    <w:rsid w:val="00E163B2"/>
    <w:rsid w:val="00E1692D"/>
    <w:rsid w:val="00E215A2"/>
    <w:rsid w:val="00E215EC"/>
    <w:rsid w:val="00E222AA"/>
    <w:rsid w:val="00E22C8D"/>
    <w:rsid w:val="00E237C6"/>
    <w:rsid w:val="00E23BC8"/>
    <w:rsid w:val="00E24943"/>
    <w:rsid w:val="00E24EE8"/>
    <w:rsid w:val="00E24FE5"/>
    <w:rsid w:val="00E25AD5"/>
    <w:rsid w:val="00E25FD1"/>
    <w:rsid w:val="00E26BCD"/>
    <w:rsid w:val="00E2709C"/>
    <w:rsid w:val="00E27A29"/>
    <w:rsid w:val="00E33A3B"/>
    <w:rsid w:val="00E340BC"/>
    <w:rsid w:val="00E41D01"/>
    <w:rsid w:val="00E41EF0"/>
    <w:rsid w:val="00E42C13"/>
    <w:rsid w:val="00E42F9C"/>
    <w:rsid w:val="00E437BE"/>
    <w:rsid w:val="00E43F43"/>
    <w:rsid w:val="00E4446B"/>
    <w:rsid w:val="00E502C4"/>
    <w:rsid w:val="00E50938"/>
    <w:rsid w:val="00E53EBF"/>
    <w:rsid w:val="00E541B8"/>
    <w:rsid w:val="00E54447"/>
    <w:rsid w:val="00E56116"/>
    <w:rsid w:val="00E56CCF"/>
    <w:rsid w:val="00E609DA"/>
    <w:rsid w:val="00E610F3"/>
    <w:rsid w:val="00E6136B"/>
    <w:rsid w:val="00E62285"/>
    <w:rsid w:val="00E638AE"/>
    <w:rsid w:val="00E709AD"/>
    <w:rsid w:val="00E7291C"/>
    <w:rsid w:val="00E73AAE"/>
    <w:rsid w:val="00E73B91"/>
    <w:rsid w:val="00E74AD5"/>
    <w:rsid w:val="00E80D61"/>
    <w:rsid w:val="00E815F2"/>
    <w:rsid w:val="00E8167E"/>
    <w:rsid w:val="00E82D37"/>
    <w:rsid w:val="00E83D24"/>
    <w:rsid w:val="00E86183"/>
    <w:rsid w:val="00E8713F"/>
    <w:rsid w:val="00E90B7F"/>
    <w:rsid w:val="00E90E2D"/>
    <w:rsid w:val="00E9253F"/>
    <w:rsid w:val="00E934D4"/>
    <w:rsid w:val="00E94DF3"/>
    <w:rsid w:val="00E94EF8"/>
    <w:rsid w:val="00E9680F"/>
    <w:rsid w:val="00E97540"/>
    <w:rsid w:val="00E97734"/>
    <w:rsid w:val="00EA2660"/>
    <w:rsid w:val="00EA29C1"/>
    <w:rsid w:val="00EA508E"/>
    <w:rsid w:val="00EA61B9"/>
    <w:rsid w:val="00EB1F54"/>
    <w:rsid w:val="00EB31ED"/>
    <w:rsid w:val="00EB33A6"/>
    <w:rsid w:val="00EB5CD2"/>
    <w:rsid w:val="00EB6311"/>
    <w:rsid w:val="00EB72D5"/>
    <w:rsid w:val="00EC079A"/>
    <w:rsid w:val="00EC2068"/>
    <w:rsid w:val="00EC2EEF"/>
    <w:rsid w:val="00EC3CBA"/>
    <w:rsid w:val="00EC6AFE"/>
    <w:rsid w:val="00EC78B6"/>
    <w:rsid w:val="00EC7ADE"/>
    <w:rsid w:val="00EE54D4"/>
    <w:rsid w:val="00EE5AEB"/>
    <w:rsid w:val="00EE673C"/>
    <w:rsid w:val="00EE6DB1"/>
    <w:rsid w:val="00EE7DCA"/>
    <w:rsid w:val="00EF05C2"/>
    <w:rsid w:val="00EF06A1"/>
    <w:rsid w:val="00EF1255"/>
    <w:rsid w:val="00EF16C5"/>
    <w:rsid w:val="00EF3A13"/>
    <w:rsid w:val="00EF4059"/>
    <w:rsid w:val="00EF59B5"/>
    <w:rsid w:val="00EF78E7"/>
    <w:rsid w:val="00F00152"/>
    <w:rsid w:val="00F026FE"/>
    <w:rsid w:val="00F02FDA"/>
    <w:rsid w:val="00F034C7"/>
    <w:rsid w:val="00F03EF5"/>
    <w:rsid w:val="00F05AF6"/>
    <w:rsid w:val="00F067B9"/>
    <w:rsid w:val="00F07DA7"/>
    <w:rsid w:val="00F07EB0"/>
    <w:rsid w:val="00F10D3B"/>
    <w:rsid w:val="00F11762"/>
    <w:rsid w:val="00F11AC3"/>
    <w:rsid w:val="00F14C2F"/>
    <w:rsid w:val="00F16BB5"/>
    <w:rsid w:val="00F25936"/>
    <w:rsid w:val="00F25F34"/>
    <w:rsid w:val="00F2625C"/>
    <w:rsid w:val="00F2790B"/>
    <w:rsid w:val="00F32BF7"/>
    <w:rsid w:val="00F35945"/>
    <w:rsid w:val="00F36123"/>
    <w:rsid w:val="00F36607"/>
    <w:rsid w:val="00F36668"/>
    <w:rsid w:val="00F3760D"/>
    <w:rsid w:val="00F4080E"/>
    <w:rsid w:val="00F41D98"/>
    <w:rsid w:val="00F4212E"/>
    <w:rsid w:val="00F42474"/>
    <w:rsid w:val="00F46963"/>
    <w:rsid w:val="00F47451"/>
    <w:rsid w:val="00F47D6A"/>
    <w:rsid w:val="00F53A2D"/>
    <w:rsid w:val="00F54273"/>
    <w:rsid w:val="00F5614A"/>
    <w:rsid w:val="00F601F9"/>
    <w:rsid w:val="00F613D3"/>
    <w:rsid w:val="00F61567"/>
    <w:rsid w:val="00F61661"/>
    <w:rsid w:val="00F61A21"/>
    <w:rsid w:val="00F627AA"/>
    <w:rsid w:val="00F62DCF"/>
    <w:rsid w:val="00F634D1"/>
    <w:rsid w:val="00F644CE"/>
    <w:rsid w:val="00F66BE3"/>
    <w:rsid w:val="00F70354"/>
    <w:rsid w:val="00F717B0"/>
    <w:rsid w:val="00F73C95"/>
    <w:rsid w:val="00F74229"/>
    <w:rsid w:val="00F748B8"/>
    <w:rsid w:val="00F74CC0"/>
    <w:rsid w:val="00F75211"/>
    <w:rsid w:val="00F82884"/>
    <w:rsid w:val="00F8334F"/>
    <w:rsid w:val="00F83B67"/>
    <w:rsid w:val="00F83CF3"/>
    <w:rsid w:val="00F85128"/>
    <w:rsid w:val="00F856BF"/>
    <w:rsid w:val="00F8752B"/>
    <w:rsid w:val="00F906CD"/>
    <w:rsid w:val="00F90CB4"/>
    <w:rsid w:val="00F90D8D"/>
    <w:rsid w:val="00F90DDD"/>
    <w:rsid w:val="00F91897"/>
    <w:rsid w:val="00F91E04"/>
    <w:rsid w:val="00F951BB"/>
    <w:rsid w:val="00F95E29"/>
    <w:rsid w:val="00FA2B37"/>
    <w:rsid w:val="00FA2B5D"/>
    <w:rsid w:val="00FA67AB"/>
    <w:rsid w:val="00FA6BE8"/>
    <w:rsid w:val="00FA6C2C"/>
    <w:rsid w:val="00FB06A1"/>
    <w:rsid w:val="00FB0A40"/>
    <w:rsid w:val="00FB2667"/>
    <w:rsid w:val="00FB27C1"/>
    <w:rsid w:val="00FB3A49"/>
    <w:rsid w:val="00FB4F1D"/>
    <w:rsid w:val="00FB552F"/>
    <w:rsid w:val="00FB683E"/>
    <w:rsid w:val="00FB6D13"/>
    <w:rsid w:val="00FC07D6"/>
    <w:rsid w:val="00FC0B33"/>
    <w:rsid w:val="00FC1EE3"/>
    <w:rsid w:val="00FC21D9"/>
    <w:rsid w:val="00FC2468"/>
    <w:rsid w:val="00FC3B19"/>
    <w:rsid w:val="00FC3EB8"/>
    <w:rsid w:val="00FC59FF"/>
    <w:rsid w:val="00FC70CE"/>
    <w:rsid w:val="00FD4BC5"/>
    <w:rsid w:val="00FD5B17"/>
    <w:rsid w:val="00FD5DD3"/>
    <w:rsid w:val="00FD63C7"/>
    <w:rsid w:val="00FD63DE"/>
    <w:rsid w:val="00FE04CE"/>
    <w:rsid w:val="00FE0812"/>
    <w:rsid w:val="00FE1D79"/>
    <w:rsid w:val="00FE1F89"/>
    <w:rsid w:val="00FE364F"/>
    <w:rsid w:val="00FE5889"/>
    <w:rsid w:val="00FF1DFA"/>
    <w:rsid w:val="00FF6D8C"/>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C98F"/>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69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5AD5"/>
    <w:rPr>
      <w:sz w:val="16"/>
      <w:szCs w:val="16"/>
    </w:rPr>
  </w:style>
  <w:style w:type="paragraph" w:styleId="CommentText">
    <w:name w:val="annotation text"/>
    <w:basedOn w:val="Normal"/>
    <w:link w:val="CommentTextChar"/>
    <w:uiPriority w:val="99"/>
    <w:unhideWhenUsed/>
    <w:rsid w:val="00E25AD5"/>
    <w:pPr>
      <w:spacing w:line="240" w:lineRule="auto"/>
    </w:pPr>
    <w:rPr>
      <w:sz w:val="20"/>
      <w:szCs w:val="20"/>
    </w:rPr>
  </w:style>
  <w:style w:type="character" w:customStyle="1" w:styleId="CommentTextChar">
    <w:name w:val="Comment Text Char"/>
    <w:basedOn w:val="DefaultParagraphFont"/>
    <w:link w:val="CommentText"/>
    <w:uiPriority w:val="99"/>
    <w:rsid w:val="00E25AD5"/>
    <w:rPr>
      <w:sz w:val="20"/>
      <w:szCs w:val="20"/>
    </w:rPr>
  </w:style>
  <w:style w:type="paragraph" w:styleId="CommentSubject">
    <w:name w:val="annotation subject"/>
    <w:basedOn w:val="CommentText"/>
    <w:next w:val="CommentText"/>
    <w:link w:val="CommentSubjectChar"/>
    <w:uiPriority w:val="99"/>
    <w:semiHidden/>
    <w:unhideWhenUsed/>
    <w:rsid w:val="00E25AD5"/>
    <w:rPr>
      <w:b/>
      <w:bCs/>
    </w:rPr>
  </w:style>
  <w:style w:type="character" w:customStyle="1" w:styleId="CommentSubjectChar">
    <w:name w:val="Comment Subject Char"/>
    <w:basedOn w:val="CommentTextChar"/>
    <w:link w:val="CommentSubject"/>
    <w:uiPriority w:val="99"/>
    <w:semiHidden/>
    <w:rsid w:val="00E25AD5"/>
    <w:rPr>
      <w:b/>
      <w:bCs/>
      <w:sz w:val="20"/>
      <w:szCs w:val="20"/>
    </w:rPr>
  </w:style>
  <w:style w:type="paragraph" w:styleId="NoSpacing">
    <w:name w:val="No Spacing"/>
    <w:uiPriority w:val="1"/>
    <w:qFormat/>
    <w:rsid w:val="00FE04CE"/>
    <w:pPr>
      <w:spacing w:after="0" w:line="240" w:lineRule="auto"/>
    </w:pPr>
  </w:style>
  <w:style w:type="character" w:customStyle="1" w:styleId="Heading2Char">
    <w:name w:val="Heading 2 Char"/>
    <w:basedOn w:val="DefaultParagraphFont"/>
    <w:link w:val="Heading2"/>
    <w:uiPriority w:val="9"/>
    <w:rsid w:val="001569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890">
      <w:bodyDiv w:val="1"/>
      <w:marLeft w:val="0"/>
      <w:marRight w:val="0"/>
      <w:marTop w:val="0"/>
      <w:marBottom w:val="0"/>
      <w:divBdr>
        <w:top w:val="none" w:sz="0" w:space="0" w:color="auto"/>
        <w:left w:val="none" w:sz="0" w:space="0" w:color="auto"/>
        <w:bottom w:val="none" w:sz="0" w:space="0" w:color="auto"/>
        <w:right w:val="none" w:sz="0" w:space="0" w:color="auto"/>
      </w:divBdr>
    </w:div>
    <w:div w:id="397437960">
      <w:bodyDiv w:val="1"/>
      <w:marLeft w:val="0"/>
      <w:marRight w:val="0"/>
      <w:marTop w:val="0"/>
      <w:marBottom w:val="0"/>
      <w:divBdr>
        <w:top w:val="none" w:sz="0" w:space="0" w:color="auto"/>
        <w:left w:val="none" w:sz="0" w:space="0" w:color="auto"/>
        <w:bottom w:val="none" w:sz="0" w:space="0" w:color="auto"/>
        <w:right w:val="none" w:sz="0" w:space="0" w:color="auto"/>
      </w:divBdr>
    </w:div>
    <w:div w:id="497232332">
      <w:bodyDiv w:val="1"/>
      <w:marLeft w:val="0"/>
      <w:marRight w:val="0"/>
      <w:marTop w:val="0"/>
      <w:marBottom w:val="0"/>
      <w:divBdr>
        <w:top w:val="none" w:sz="0" w:space="0" w:color="auto"/>
        <w:left w:val="none" w:sz="0" w:space="0" w:color="auto"/>
        <w:bottom w:val="none" w:sz="0" w:space="0" w:color="auto"/>
        <w:right w:val="none" w:sz="0" w:space="0" w:color="auto"/>
      </w:divBdr>
    </w:div>
    <w:div w:id="579219244">
      <w:bodyDiv w:val="1"/>
      <w:marLeft w:val="0"/>
      <w:marRight w:val="0"/>
      <w:marTop w:val="0"/>
      <w:marBottom w:val="0"/>
      <w:divBdr>
        <w:top w:val="none" w:sz="0" w:space="0" w:color="auto"/>
        <w:left w:val="none" w:sz="0" w:space="0" w:color="auto"/>
        <w:bottom w:val="none" w:sz="0" w:space="0" w:color="auto"/>
        <w:right w:val="none" w:sz="0" w:space="0" w:color="auto"/>
      </w:divBdr>
    </w:div>
    <w:div w:id="650520580">
      <w:bodyDiv w:val="1"/>
      <w:marLeft w:val="0"/>
      <w:marRight w:val="0"/>
      <w:marTop w:val="0"/>
      <w:marBottom w:val="0"/>
      <w:divBdr>
        <w:top w:val="none" w:sz="0" w:space="0" w:color="auto"/>
        <w:left w:val="none" w:sz="0" w:space="0" w:color="auto"/>
        <w:bottom w:val="none" w:sz="0" w:space="0" w:color="auto"/>
        <w:right w:val="none" w:sz="0" w:space="0" w:color="auto"/>
      </w:divBdr>
    </w:div>
    <w:div w:id="1194995858">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12328491">
      <w:bodyDiv w:val="1"/>
      <w:marLeft w:val="0"/>
      <w:marRight w:val="0"/>
      <w:marTop w:val="0"/>
      <w:marBottom w:val="0"/>
      <w:divBdr>
        <w:top w:val="none" w:sz="0" w:space="0" w:color="auto"/>
        <w:left w:val="none" w:sz="0" w:space="0" w:color="auto"/>
        <w:bottom w:val="none" w:sz="0" w:space="0" w:color="auto"/>
        <w:right w:val="none" w:sz="0" w:space="0" w:color="auto"/>
      </w:divBdr>
    </w:div>
    <w:div w:id="1595476522">
      <w:bodyDiv w:val="1"/>
      <w:marLeft w:val="0"/>
      <w:marRight w:val="0"/>
      <w:marTop w:val="0"/>
      <w:marBottom w:val="0"/>
      <w:divBdr>
        <w:top w:val="none" w:sz="0" w:space="0" w:color="auto"/>
        <w:left w:val="none" w:sz="0" w:space="0" w:color="auto"/>
        <w:bottom w:val="none" w:sz="0" w:space="0" w:color="auto"/>
        <w:right w:val="none" w:sz="0" w:space="0" w:color="auto"/>
      </w:divBdr>
    </w:div>
    <w:div w:id="1643345084">
      <w:bodyDiv w:val="1"/>
      <w:marLeft w:val="0"/>
      <w:marRight w:val="0"/>
      <w:marTop w:val="0"/>
      <w:marBottom w:val="0"/>
      <w:divBdr>
        <w:top w:val="none" w:sz="0" w:space="0" w:color="auto"/>
        <w:left w:val="none" w:sz="0" w:space="0" w:color="auto"/>
        <w:bottom w:val="none" w:sz="0" w:space="0" w:color="auto"/>
        <w:right w:val="none" w:sz="0" w:space="0" w:color="auto"/>
      </w:divBdr>
    </w:div>
    <w:div w:id="1727945537">
      <w:bodyDiv w:val="1"/>
      <w:marLeft w:val="0"/>
      <w:marRight w:val="0"/>
      <w:marTop w:val="0"/>
      <w:marBottom w:val="0"/>
      <w:divBdr>
        <w:top w:val="none" w:sz="0" w:space="0" w:color="auto"/>
        <w:left w:val="none" w:sz="0" w:space="0" w:color="auto"/>
        <w:bottom w:val="none" w:sz="0" w:space="0" w:color="auto"/>
        <w:right w:val="none" w:sz="0" w:space="0" w:color="auto"/>
      </w:divBdr>
    </w:div>
    <w:div w:id="1929459619">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506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455F-5D64-47C0-A576-C9593171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19</cp:revision>
  <cp:lastPrinted>2023-07-14T12:32:00Z</cp:lastPrinted>
  <dcterms:created xsi:type="dcterms:W3CDTF">2023-07-14T12:33:00Z</dcterms:created>
  <dcterms:modified xsi:type="dcterms:W3CDTF">2023-07-19T15:58:00Z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