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437A4" w14:textId="77777777" w:rsidR="00F90EA5" w:rsidRPr="00447912" w:rsidRDefault="00F90EA5" w:rsidP="00BE0D1F">
      <w:pPr>
        <w:pStyle w:val="ClientName"/>
        <w:ind w:left="1440"/>
        <w:rPr>
          <w:rFonts w:ascii="Times New Roman" w:hAnsi="Times New Roman"/>
          <w:b/>
          <w:sz w:val="28"/>
          <w:szCs w:val="28"/>
          <w:u w:val="none"/>
        </w:rPr>
      </w:pPr>
    </w:p>
    <w:p w14:paraId="01476307" w14:textId="77777777" w:rsidR="00F90EA5" w:rsidRPr="00447912" w:rsidRDefault="00F90EA5" w:rsidP="00BE0D1F">
      <w:pPr>
        <w:pStyle w:val="ClientName"/>
        <w:ind w:left="1440"/>
        <w:rPr>
          <w:rFonts w:ascii="Times New Roman" w:hAnsi="Times New Roman"/>
          <w:b/>
          <w:sz w:val="28"/>
          <w:szCs w:val="28"/>
          <w:u w:val="none"/>
        </w:rPr>
      </w:pPr>
    </w:p>
    <w:p w14:paraId="2AAEABDB" w14:textId="77777777" w:rsidR="00F90EA5" w:rsidRDefault="00F90EA5" w:rsidP="00BE0D1F">
      <w:pPr>
        <w:pStyle w:val="ClientName"/>
        <w:ind w:left="1440"/>
        <w:rPr>
          <w:rFonts w:ascii="Times New Roman" w:hAnsi="Times New Roman"/>
          <w:b/>
          <w:sz w:val="28"/>
          <w:szCs w:val="28"/>
          <w:u w:val="none"/>
        </w:rPr>
      </w:pPr>
    </w:p>
    <w:p w14:paraId="0A03BFC3" w14:textId="77777777" w:rsidR="00447912" w:rsidRDefault="00447912" w:rsidP="00BE0D1F">
      <w:pPr>
        <w:pStyle w:val="ClientName"/>
        <w:ind w:left="1440"/>
        <w:rPr>
          <w:rFonts w:ascii="Times New Roman" w:hAnsi="Times New Roman"/>
          <w:b/>
          <w:sz w:val="28"/>
          <w:szCs w:val="28"/>
          <w:u w:val="none"/>
        </w:rPr>
      </w:pPr>
    </w:p>
    <w:p w14:paraId="4CE05A98" w14:textId="77777777" w:rsidR="00447912" w:rsidRDefault="00447912" w:rsidP="00BE0D1F">
      <w:pPr>
        <w:pStyle w:val="ClientName"/>
        <w:ind w:left="1440"/>
        <w:rPr>
          <w:rFonts w:ascii="Times New Roman" w:hAnsi="Times New Roman"/>
          <w:b/>
          <w:sz w:val="28"/>
          <w:szCs w:val="28"/>
          <w:u w:val="none"/>
        </w:rPr>
      </w:pPr>
    </w:p>
    <w:p w14:paraId="560044A2" w14:textId="77777777" w:rsidR="00447912" w:rsidRDefault="00447912" w:rsidP="00BE0D1F">
      <w:pPr>
        <w:pStyle w:val="ClientName"/>
        <w:ind w:left="1440"/>
        <w:rPr>
          <w:rFonts w:ascii="Times New Roman" w:hAnsi="Times New Roman"/>
          <w:b/>
          <w:sz w:val="28"/>
          <w:szCs w:val="28"/>
          <w:u w:val="none"/>
        </w:rPr>
      </w:pPr>
    </w:p>
    <w:p w14:paraId="6355E10D" w14:textId="77777777" w:rsidR="00677F99" w:rsidRDefault="00677F99" w:rsidP="00677F99">
      <w:pPr>
        <w:pStyle w:val="ClientName"/>
        <w:tabs>
          <w:tab w:val="left" w:pos="9360"/>
        </w:tabs>
        <w:ind w:left="1440" w:right="260"/>
        <w:rPr>
          <w:rFonts w:ascii="Times New Roman" w:hAnsi="Times New Roman"/>
          <w:b/>
          <w:caps w:val="0"/>
          <w:sz w:val="28"/>
          <w:szCs w:val="24"/>
          <w:u w:val="none"/>
        </w:rPr>
      </w:pPr>
      <w:r>
        <w:rPr>
          <w:rFonts w:ascii="Times New Roman" w:hAnsi="Times New Roman"/>
          <w:b/>
          <w:caps w:val="0"/>
          <w:sz w:val="28"/>
          <w:szCs w:val="24"/>
          <w:u w:val="none"/>
        </w:rPr>
        <w:t xml:space="preserve">Analysis of the Reasonableness of Assumptions Used for </w:t>
      </w:r>
      <w:r w:rsidR="00C369E3">
        <w:rPr>
          <w:rFonts w:ascii="Times New Roman" w:hAnsi="Times New Roman"/>
          <w:b/>
          <w:caps w:val="0"/>
          <w:sz w:val="28"/>
          <w:szCs w:val="24"/>
          <w:u w:val="none"/>
        </w:rPr>
        <w:t xml:space="preserve">the </w:t>
      </w:r>
      <w:r>
        <w:rPr>
          <w:rFonts w:ascii="Times New Roman" w:hAnsi="Times New Roman"/>
          <w:b/>
          <w:caps w:val="0"/>
          <w:sz w:val="28"/>
          <w:szCs w:val="24"/>
          <w:u w:val="none"/>
        </w:rPr>
        <w:t xml:space="preserve">Feasibility of </w:t>
      </w:r>
      <w:r w:rsidR="008A2C66">
        <w:rPr>
          <w:rFonts w:ascii="Times New Roman" w:hAnsi="Times New Roman"/>
          <w:b/>
          <w:caps w:val="0"/>
          <w:sz w:val="28"/>
          <w:szCs w:val="24"/>
          <w:u w:val="none"/>
        </w:rPr>
        <w:t xml:space="preserve">Forecasted </w:t>
      </w:r>
      <w:r>
        <w:rPr>
          <w:rFonts w:ascii="Times New Roman" w:hAnsi="Times New Roman"/>
          <w:b/>
          <w:caps w:val="0"/>
          <w:sz w:val="28"/>
          <w:szCs w:val="24"/>
          <w:u w:val="none"/>
        </w:rPr>
        <w:t xml:space="preserve">Financials of: </w:t>
      </w:r>
    </w:p>
    <w:p w14:paraId="70A7A6A2" w14:textId="5EA206B0" w:rsidR="00447912" w:rsidRDefault="0029003E" w:rsidP="0029003E">
      <w:pPr>
        <w:pStyle w:val="ClientName"/>
        <w:tabs>
          <w:tab w:val="left" w:pos="4443"/>
        </w:tabs>
        <w:ind w:left="1440"/>
        <w:jc w:val="left"/>
        <w:rPr>
          <w:rFonts w:ascii="Times New Roman" w:hAnsi="Times New Roman"/>
          <w:b/>
          <w:sz w:val="28"/>
          <w:szCs w:val="28"/>
          <w:u w:val="none"/>
        </w:rPr>
      </w:pPr>
      <w:r>
        <w:rPr>
          <w:rFonts w:ascii="Times New Roman" w:hAnsi="Times New Roman"/>
          <w:b/>
          <w:sz w:val="28"/>
          <w:szCs w:val="28"/>
          <w:u w:val="none"/>
        </w:rPr>
        <w:tab/>
      </w:r>
    </w:p>
    <w:p w14:paraId="6AB078CE" w14:textId="77777777" w:rsidR="00447912" w:rsidRPr="00447912" w:rsidRDefault="00447912" w:rsidP="00BE0D1F">
      <w:pPr>
        <w:pStyle w:val="ClientName"/>
        <w:ind w:left="1440"/>
        <w:rPr>
          <w:rFonts w:ascii="Times New Roman" w:hAnsi="Times New Roman"/>
          <w:b/>
          <w:sz w:val="28"/>
          <w:szCs w:val="28"/>
          <w:u w:val="none"/>
        </w:rPr>
      </w:pPr>
    </w:p>
    <w:p w14:paraId="72C732ED" w14:textId="77777777" w:rsidR="0029003E" w:rsidRDefault="0029003E" w:rsidP="0029003E">
      <w:pPr>
        <w:pStyle w:val="Default"/>
      </w:pPr>
    </w:p>
    <w:p w14:paraId="0E4AB9D5" w14:textId="5EF9B617" w:rsidR="004A534A" w:rsidRPr="00F90EA5" w:rsidRDefault="0029003E" w:rsidP="0029003E">
      <w:pPr>
        <w:pStyle w:val="ClientName"/>
        <w:tabs>
          <w:tab w:val="left" w:pos="5400"/>
        </w:tabs>
        <w:ind w:left="1440" w:right="260"/>
        <w:rPr>
          <w:rFonts w:ascii="Times New Roman" w:hAnsi="Times New Roman"/>
          <w:b/>
          <w:sz w:val="28"/>
          <w:szCs w:val="28"/>
          <w:u w:val="none"/>
        </w:rPr>
      </w:pPr>
      <w:r>
        <w:t xml:space="preserve"> </w:t>
      </w:r>
      <w:r>
        <w:rPr>
          <w:b/>
          <w:bCs/>
          <w:sz w:val="34"/>
          <w:szCs w:val="34"/>
        </w:rPr>
        <w:t>BOSTON OUTPATIENT SURGICAL SUITES, LLC</w:t>
      </w:r>
    </w:p>
    <w:p w14:paraId="63C7CC36" w14:textId="77777777" w:rsidR="004A534A" w:rsidRPr="00F90EA5" w:rsidRDefault="004A534A" w:rsidP="00E7147C">
      <w:pPr>
        <w:pStyle w:val="ClientName"/>
        <w:ind w:left="1440" w:right="260"/>
        <w:rPr>
          <w:rFonts w:ascii="Times New Roman" w:hAnsi="Times New Roman"/>
          <w:b/>
          <w:sz w:val="28"/>
          <w:szCs w:val="28"/>
          <w:u w:val="none"/>
        </w:rPr>
      </w:pPr>
    </w:p>
    <w:p w14:paraId="02F2176D" w14:textId="77777777" w:rsidR="004A534A" w:rsidRPr="00F90EA5" w:rsidRDefault="004A534A" w:rsidP="00E7147C">
      <w:pPr>
        <w:pStyle w:val="ClientName"/>
        <w:ind w:left="1440" w:right="260"/>
        <w:rPr>
          <w:rFonts w:ascii="Times New Roman" w:hAnsi="Times New Roman"/>
          <w:b/>
          <w:sz w:val="28"/>
          <w:szCs w:val="28"/>
          <w:u w:val="none"/>
        </w:rPr>
      </w:pPr>
    </w:p>
    <w:p w14:paraId="1C7961FA" w14:textId="77777777" w:rsidR="004A534A" w:rsidRPr="00F90EA5" w:rsidRDefault="004A534A" w:rsidP="00E7147C">
      <w:pPr>
        <w:pStyle w:val="ClientName"/>
        <w:ind w:left="1440" w:right="260"/>
        <w:rPr>
          <w:rFonts w:ascii="Times New Roman" w:hAnsi="Times New Roman"/>
          <w:b/>
          <w:sz w:val="28"/>
          <w:szCs w:val="28"/>
          <w:u w:val="none"/>
        </w:rPr>
      </w:pPr>
    </w:p>
    <w:p w14:paraId="77B08232" w14:textId="77777777" w:rsidR="004A534A" w:rsidRPr="00F90EA5" w:rsidRDefault="004A534A" w:rsidP="00E7147C">
      <w:pPr>
        <w:pStyle w:val="ClientName"/>
        <w:ind w:left="1440" w:right="260"/>
        <w:rPr>
          <w:rFonts w:ascii="Times New Roman" w:hAnsi="Times New Roman"/>
          <w:b/>
          <w:sz w:val="28"/>
          <w:szCs w:val="28"/>
          <w:u w:val="none"/>
        </w:rPr>
      </w:pPr>
    </w:p>
    <w:p w14:paraId="497FA8DB" w14:textId="77777777" w:rsidR="004A534A" w:rsidRPr="00F90EA5" w:rsidRDefault="004A534A" w:rsidP="00E7147C">
      <w:pPr>
        <w:pStyle w:val="ClientName"/>
        <w:ind w:left="1440" w:right="260"/>
        <w:rPr>
          <w:rFonts w:ascii="Times New Roman" w:hAnsi="Times New Roman"/>
          <w:b/>
          <w:sz w:val="28"/>
          <w:szCs w:val="28"/>
          <w:u w:val="none"/>
        </w:rPr>
      </w:pPr>
    </w:p>
    <w:p w14:paraId="417DBA97" w14:textId="77777777" w:rsidR="004A534A" w:rsidRPr="00F90EA5" w:rsidRDefault="004A534A" w:rsidP="00E7147C">
      <w:pPr>
        <w:pStyle w:val="ClientName"/>
        <w:ind w:left="1440" w:right="260"/>
        <w:rPr>
          <w:rFonts w:ascii="Times New Roman" w:hAnsi="Times New Roman"/>
          <w:b/>
          <w:sz w:val="28"/>
          <w:szCs w:val="28"/>
          <w:u w:val="none"/>
        </w:rPr>
      </w:pPr>
    </w:p>
    <w:p w14:paraId="0F6C1551" w14:textId="77777777" w:rsidR="004A534A" w:rsidRPr="00F90EA5" w:rsidRDefault="004A534A" w:rsidP="00E7147C">
      <w:pPr>
        <w:pStyle w:val="ClientName"/>
        <w:ind w:left="1440" w:right="260"/>
        <w:rPr>
          <w:rFonts w:ascii="Times New Roman" w:hAnsi="Times New Roman"/>
          <w:b/>
          <w:sz w:val="28"/>
          <w:szCs w:val="28"/>
          <w:u w:val="none"/>
        </w:rPr>
      </w:pPr>
    </w:p>
    <w:p w14:paraId="407A6B77" w14:textId="77777777" w:rsidR="004A534A" w:rsidRPr="00F90EA5" w:rsidRDefault="004A534A" w:rsidP="00E7147C">
      <w:pPr>
        <w:pStyle w:val="ClientName"/>
        <w:ind w:left="1440" w:right="260"/>
        <w:rPr>
          <w:rFonts w:ascii="Times New Roman" w:hAnsi="Times New Roman"/>
          <w:b/>
          <w:sz w:val="28"/>
          <w:szCs w:val="28"/>
          <w:u w:val="none"/>
        </w:rPr>
      </w:pPr>
    </w:p>
    <w:p w14:paraId="3379800F" w14:textId="77777777" w:rsidR="004A534A" w:rsidRPr="00F90EA5" w:rsidRDefault="004A534A" w:rsidP="00E7147C">
      <w:pPr>
        <w:pStyle w:val="ClientName"/>
        <w:ind w:left="1440" w:right="260"/>
        <w:rPr>
          <w:rFonts w:ascii="Times New Roman" w:hAnsi="Times New Roman"/>
          <w:b/>
          <w:sz w:val="28"/>
          <w:szCs w:val="28"/>
          <w:u w:val="none"/>
        </w:rPr>
      </w:pPr>
    </w:p>
    <w:p w14:paraId="57329265" w14:textId="77777777" w:rsidR="004A534A" w:rsidRDefault="004A534A" w:rsidP="00E7147C">
      <w:pPr>
        <w:pStyle w:val="ClientName"/>
        <w:ind w:left="1440" w:right="260"/>
        <w:rPr>
          <w:rFonts w:ascii="Times New Roman" w:hAnsi="Times New Roman"/>
          <w:b/>
          <w:sz w:val="28"/>
          <w:szCs w:val="28"/>
          <w:u w:val="none"/>
        </w:rPr>
      </w:pPr>
    </w:p>
    <w:p w14:paraId="4A270974" w14:textId="77777777" w:rsidR="00F90EA5" w:rsidRDefault="00F90EA5" w:rsidP="00E7147C">
      <w:pPr>
        <w:pStyle w:val="ClientName"/>
        <w:ind w:left="1440" w:right="260"/>
        <w:rPr>
          <w:rFonts w:ascii="Times New Roman" w:hAnsi="Times New Roman"/>
          <w:b/>
          <w:sz w:val="28"/>
          <w:szCs w:val="28"/>
          <w:u w:val="none"/>
        </w:rPr>
      </w:pPr>
    </w:p>
    <w:p w14:paraId="56A27C09" w14:textId="77777777" w:rsidR="00F90EA5" w:rsidRPr="00F90EA5" w:rsidRDefault="00F90EA5" w:rsidP="00E7147C">
      <w:pPr>
        <w:pStyle w:val="ClientName"/>
        <w:ind w:left="1440" w:right="260"/>
        <w:rPr>
          <w:rFonts w:ascii="Times New Roman" w:hAnsi="Times New Roman"/>
          <w:b/>
          <w:sz w:val="28"/>
          <w:szCs w:val="28"/>
          <w:u w:val="none"/>
        </w:rPr>
      </w:pPr>
    </w:p>
    <w:p w14:paraId="327D3764" w14:textId="77777777" w:rsidR="004A534A" w:rsidRPr="00BB1E70" w:rsidRDefault="00BD35F4" w:rsidP="00E7147C">
      <w:pPr>
        <w:pStyle w:val="ClientName"/>
        <w:tabs>
          <w:tab w:val="left" w:pos="9360"/>
        </w:tabs>
        <w:ind w:left="1440" w:right="260"/>
        <w:rPr>
          <w:rFonts w:ascii="Times New Roman" w:hAnsi="Times New Roman"/>
          <w:b/>
          <w:caps w:val="0"/>
          <w:sz w:val="28"/>
          <w:szCs w:val="24"/>
          <w:u w:val="none"/>
        </w:rPr>
      </w:pPr>
      <w:r>
        <w:rPr>
          <w:rFonts w:ascii="Times New Roman" w:hAnsi="Times New Roman"/>
          <w:b/>
          <w:caps w:val="0"/>
          <w:sz w:val="28"/>
          <w:szCs w:val="24"/>
          <w:u w:val="none"/>
        </w:rPr>
        <w:t xml:space="preserve">Five-Year Financial </w:t>
      </w:r>
      <w:r w:rsidR="00C62902">
        <w:rPr>
          <w:rFonts w:ascii="Times New Roman" w:hAnsi="Times New Roman"/>
          <w:b/>
          <w:caps w:val="0"/>
          <w:sz w:val="28"/>
          <w:szCs w:val="24"/>
          <w:u w:val="none"/>
        </w:rPr>
        <w:t>Forecast</w:t>
      </w:r>
    </w:p>
    <w:p w14:paraId="08C2D42B" w14:textId="77777777" w:rsidR="004A534A" w:rsidRPr="00BB1E70" w:rsidRDefault="004A534A" w:rsidP="00F90EA5">
      <w:pPr>
        <w:pStyle w:val="ClientName"/>
        <w:ind w:left="1440" w:right="980"/>
        <w:rPr>
          <w:rFonts w:ascii="Times New Roman" w:hAnsi="Times New Roman"/>
          <w:b/>
          <w:caps w:val="0"/>
          <w:sz w:val="28"/>
          <w:szCs w:val="24"/>
          <w:u w:val="none"/>
        </w:rPr>
      </w:pPr>
    </w:p>
    <w:p w14:paraId="35522B1F" w14:textId="37879AC5" w:rsidR="004A534A" w:rsidRPr="00BB1E70" w:rsidRDefault="00BD35F4" w:rsidP="00E7147C">
      <w:pPr>
        <w:pStyle w:val="ClientName"/>
        <w:tabs>
          <w:tab w:val="left" w:pos="5400"/>
        </w:tabs>
        <w:ind w:left="1440" w:right="260"/>
        <w:rPr>
          <w:rFonts w:ascii="Times New Roman" w:hAnsi="Times New Roman"/>
          <w:b/>
          <w:caps w:val="0"/>
          <w:sz w:val="28"/>
          <w:szCs w:val="24"/>
          <w:u w:val="none"/>
        </w:rPr>
      </w:pPr>
      <w:r>
        <w:rPr>
          <w:rFonts w:ascii="Times New Roman" w:hAnsi="Times New Roman"/>
          <w:b/>
          <w:caps w:val="0"/>
          <w:sz w:val="28"/>
          <w:szCs w:val="24"/>
          <w:u w:val="none"/>
        </w:rPr>
        <w:t>Period</w:t>
      </w:r>
      <w:r w:rsidR="00253664">
        <w:rPr>
          <w:rFonts w:ascii="Times New Roman" w:hAnsi="Times New Roman"/>
          <w:b/>
          <w:caps w:val="0"/>
          <w:sz w:val="28"/>
          <w:szCs w:val="24"/>
          <w:u w:val="none"/>
        </w:rPr>
        <w:t xml:space="preserve"> </w:t>
      </w:r>
      <w:r w:rsidR="00A87F32">
        <w:rPr>
          <w:rFonts w:ascii="Times New Roman" w:hAnsi="Times New Roman"/>
          <w:b/>
          <w:caps w:val="0"/>
          <w:sz w:val="28"/>
          <w:szCs w:val="24"/>
          <w:u w:val="none"/>
        </w:rPr>
        <w:t>F</w:t>
      </w:r>
      <w:r w:rsidR="00527087">
        <w:rPr>
          <w:rFonts w:ascii="Times New Roman" w:hAnsi="Times New Roman"/>
          <w:b/>
          <w:caps w:val="0"/>
          <w:sz w:val="28"/>
          <w:szCs w:val="24"/>
          <w:u w:val="none"/>
        </w:rPr>
        <w:t>rom</w:t>
      </w:r>
      <w:r w:rsidR="00A87F32">
        <w:rPr>
          <w:rFonts w:ascii="Times New Roman" w:hAnsi="Times New Roman"/>
          <w:b/>
          <w:caps w:val="0"/>
          <w:sz w:val="28"/>
          <w:szCs w:val="24"/>
          <w:u w:val="none"/>
        </w:rPr>
        <w:t xml:space="preserve"> </w:t>
      </w:r>
      <w:r w:rsidR="00DA4E96">
        <w:rPr>
          <w:rFonts w:ascii="Times New Roman" w:hAnsi="Times New Roman"/>
          <w:b/>
          <w:caps w:val="0"/>
          <w:sz w:val="28"/>
          <w:szCs w:val="24"/>
          <w:u w:val="none"/>
        </w:rPr>
        <w:t>January 1, 2025 to December 31, 2029</w:t>
      </w:r>
    </w:p>
    <w:p w14:paraId="2C4D1243" w14:textId="77777777" w:rsidR="004A534A" w:rsidRPr="00BB1E70" w:rsidRDefault="004A534A" w:rsidP="00F90EA5">
      <w:pPr>
        <w:pStyle w:val="ClientName"/>
        <w:ind w:left="1440" w:right="980"/>
        <w:rPr>
          <w:rFonts w:ascii="Times New Roman" w:hAnsi="Times New Roman"/>
          <w:b/>
          <w:caps w:val="0"/>
          <w:sz w:val="28"/>
          <w:szCs w:val="24"/>
          <w:u w:val="none"/>
        </w:rPr>
      </w:pPr>
    </w:p>
    <w:p w14:paraId="23C2718D" w14:textId="77777777" w:rsidR="004A534A" w:rsidRPr="00BB1E70" w:rsidRDefault="004A534A" w:rsidP="00E7147C">
      <w:pPr>
        <w:pStyle w:val="ClientName"/>
        <w:ind w:left="1440" w:right="260"/>
        <w:rPr>
          <w:rFonts w:ascii="Times New Roman" w:hAnsi="Times New Roman"/>
          <w:b/>
          <w:caps w:val="0"/>
          <w:sz w:val="28"/>
          <w:szCs w:val="24"/>
          <w:u w:val="none"/>
        </w:rPr>
      </w:pPr>
      <w:r w:rsidRPr="00BB1E70">
        <w:rPr>
          <w:rFonts w:ascii="Times New Roman" w:hAnsi="Times New Roman"/>
          <w:b/>
          <w:caps w:val="0"/>
          <w:sz w:val="28"/>
          <w:szCs w:val="24"/>
          <w:u w:val="none"/>
        </w:rPr>
        <w:t xml:space="preserve">(With </w:t>
      </w:r>
      <w:r w:rsidR="006150ED">
        <w:rPr>
          <w:rFonts w:ascii="Times New Roman" w:hAnsi="Times New Roman"/>
          <w:b/>
          <w:caps w:val="0"/>
          <w:sz w:val="28"/>
          <w:szCs w:val="24"/>
          <w:u w:val="none"/>
        </w:rPr>
        <w:t xml:space="preserve">Independent </w:t>
      </w:r>
      <w:r w:rsidR="002B7E75">
        <w:rPr>
          <w:rFonts w:ascii="Times New Roman" w:hAnsi="Times New Roman"/>
          <w:b/>
          <w:caps w:val="0"/>
          <w:sz w:val="28"/>
          <w:szCs w:val="24"/>
          <w:u w:val="none"/>
        </w:rPr>
        <w:t>Accountant</w:t>
      </w:r>
      <w:r w:rsidR="0026571C">
        <w:rPr>
          <w:rFonts w:ascii="Times New Roman" w:hAnsi="Times New Roman"/>
          <w:b/>
          <w:caps w:val="0"/>
          <w:sz w:val="28"/>
          <w:szCs w:val="24"/>
          <w:u w:val="none"/>
        </w:rPr>
        <w:t>s’ Re</w:t>
      </w:r>
      <w:r w:rsidR="00E7147C">
        <w:rPr>
          <w:rFonts w:ascii="Times New Roman" w:hAnsi="Times New Roman"/>
          <w:b/>
          <w:caps w:val="0"/>
          <w:sz w:val="28"/>
          <w:szCs w:val="24"/>
          <w:u w:val="none"/>
        </w:rPr>
        <w:t xml:space="preserve">port </w:t>
      </w:r>
      <w:r w:rsidRPr="00BB1E70">
        <w:rPr>
          <w:rFonts w:ascii="Times New Roman" w:hAnsi="Times New Roman"/>
          <w:b/>
          <w:caps w:val="0"/>
          <w:sz w:val="28"/>
          <w:szCs w:val="24"/>
          <w:u w:val="none"/>
        </w:rPr>
        <w:t>Thereon)</w:t>
      </w:r>
    </w:p>
    <w:p w14:paraId="758B068F" w14:textId="77777777" w:rsidR="00263DFA" w:rsidRPr="00BB1E70" w:rsidRDefault="00263DFA" w:rsidP="00BE0D1F">
      <w:pPr>
        <w:pStyle w:val="ClientName"/>
        <w:ind w:left="1440"/>
        <w:jc w:val="left"/>
        <w:rPr>
          <w:rFonts w:ascii="Times New Roman" w:hAnsi="Times New Roman"/>
          <w:sz w:val="24"/>
          <w:szCs w:val="24"/>
          <w:u w:val="none"/>
        </w:rPr>
      </w:pPr>
    </w:p>
    <w:p w14:paraId="7187A211" w14:textId="77777777" w:rsidR="00263DFA" w:rsidRPr="00BB1E70" w:rsidRDefault="00263DFA" w:rsidP="00E05350">
      <w:pPr>
        <w:pStyle w:val="ClientName"/>
        <w:ind w:left="2160"/>
        <w:jc w:val="left"/>
        <w:rPr>
          <w:rFonts w:ascii="Times New Roman" w:hAnsi="Times New Roman"/>
          <w:sz w:val="24"/>
          <w:szCs w:val="24"/>
          <w:u w:val="none"/>
        </w:rPr>
      </w:pPr>
    </w:p>
    <w:p w14:paraId="7B616BC5" w14:textId="77777777" w:rsidR="00263DFA" w:rsidRPr="00BB1E70" w:rsidRDefault="00263DFA" w:rsidP="00E05350">
      <w:pPr>
        <w:pStyle w:val="ClientName"/>
        <w:ind w:left="2160"/>
        <w:jc w:val="left"/>
        <w:rPr>
          <w:rFonts w:ascii="Times New Roman" w:hAnsi="Times New Roman"/>
          <w:sz w:val="24"/>
          <w:szCs w:val="24"/>
        </w:rPr>
      </w:pPr>
    </w:p>
    <w:p w14:paraId="63705FAC" w14:textId="77777777" w:rsidR="00263DFA" w:rsidRPr="00BB1E70" w:rsidRDefault="00263DFA" w:rsidP="00E05350">
      <w:pPr>
        <w:pStyle w:val="ClientName"/>
        <w:ind w:left="2160"/>
        <w:jc w:val="left"/>
        <w:rPr>
          <w:rFonts w:ascii="Times New Roman" w:hAnsi="Times New Roman"/>
          <w:sz w:val="24"/>
          <w:szCs w:val="24"/>
        </w:rPr>
      </w:pPr>
    </w:p>
    <w:p w14:paraId="6913341B" w14:textId="77777777" w:rsidR="00E71A78" w:rsidRDefault="00E71A78" w:rsidP="004A534A">
      <w:pPr>
        <w:jc w:val="center"/>
        <w:rPr>
          <w:rFonts w:ascii="Times New Roman" w:hAnsi="Times New Roman"/>
          <w:b/>
          <w:sz w:val="28"/>
          <w:szCs w:val="24"/>
        </w:rPr>
        <w:sectPr w:rsidR="00E71A78" w:rsidSect="002E701F">
          <w:headerReference w:type="first" r:id="rId8"/>
          <w:type w:val="oddPage"/>
          <w:pgSz w:w="12240" w:h="15840" w:code="1"/>
          <w:pgMar w:top="720" w:right="1310" w:bottom="1195" w:left="1310" w:header="720" w:footer="720" w:gutter="0"/>
          <w:cols w:space="720"/>
          <w:titlePg/>
          <w:docGrid w:linePitch="299"/>
        </w:sectPr>
      </w:pPr>
    </w:p>
    <w:p w14:paraId="20C2DBDB" w14:textId="77777777" w:rsidR="00F90EA5" w:rsidRPr="00447912" w:rsidRDefault="00F90EA5" w:rsidP="004A534A">
      <w:pPr>
        <w:jc w:val="center"/>
        <w:rPr>
          <w:rFonts w:ascii="Times New Roman" w:hAnsi="Times New Roman"/>
          <w:b/>
          <w:sz w:val="28"/>
          <w:szCs w:val="24"/>
        </w:rPr>
      </w:pPr>
    </w:p>
    <w:p w14:paraId="6E79378C" w14:textId="77777777" w:rsidR="00F90EA5" w:rsidRPr="00447912" w:rsidRDefault="00F90EA5" w:rsidP="004A534A">
      <w:pPr>
        <w:jc w:val="center"/>
        <w:rPr>
          <w:rFonts w:ascii="Times New Roman" w:hAnsi="Times New Roman"/>
          <w:b/>
          <w:sz w:val="28"/>
          <w:szCs w:val="24"/>
        </w:rPr>
      </w:pPr>
    </w:p>
    <w:p w14:paraId="3B54F1A4" w14:textId="77777777" w:rsidR="00F90EA5" w:rsidRPr="00447912" w:rsidRDefault="00F90EA5" w:rsidP="004A534A">
      <w:pPr>
        <w:jc w:val="center"/>
        <w:rPr>
          <w:rFonts w:ascii="Times New Roman" w:hAnsi="Times New Roman"/>
          <w:b/>
          <w:sz w:val="28"/>
          <w:szCs w:val="24"/>
        </w:rPr>
      </w:pPr>
    </w:p>
    <w:p w14:paraId="44C6FD1D" w14:textId="77777777" w:rsidR="00F90EA5" w:rsidRPr="00447912" w:rsidRDefault="00F90EA5" w:rsidP="004A534A">
      <w:pPr>
        <w:jc w:val="center"/>
        <w:rPr>
          <w:rFonts w:ascii="Times New Roman" w:hAnsi="Times New Roman"/>
          <w:b/>
          <w:sz w:val="28"/>
          <w:szCs w:val="24"/>
        </w:rPr>
      </w:pPr>
    </w:p>
    <w:p w14:paraId="20E927E4" w14:textId="77777777" w:rsidR="00F90EA5" w:rsidRPr="00447912" w:rsidRDefault="00F90EA5" w:rsidP="004A534A">
      <w:pPr>
        <w:jc w:val="center"/>
        <w:rPr>
          <w:rFonts w:ascii="Times New Roman" w:hAnsi="Times New Roman"/>
          <w:b/>
          <w:sz w:val="28"/>
          <w:szCs w:val="24"/>
        </w:rPr>
      </w:pPr>
    </w:p>
    <w:p w14:paraId="2BAC0DF3" w14:textId="77777777" w:rsidR="00F90EA5" w:rsidRPr="00447912" w:rsidRDefault="00F90EA5" w:rsidP="004A534A">
      <w:pPr>
        <w:jc w:val="center"/>
        <w:rPr>
          <w:rFonts w:ascii="Times New Roman" w:hAnsi="Times New Roman"/>
          <w:b/>
          <w:sz w:val="28"/>
          <w:szCs w:val="24"/>
        </w:rPr>
      </w:pPr>
    </w:p>
    <w:p w14:paraId="029FFEFE" w14:textId="77777777" w:rsidR="00E158E9" w:rsidRPr="00447912" w:rsidRDefault="00E158E9" w:rsidP="004A534A">
      <w:pPr>
        <w:jc w:val="center"/>
        <w:rPr>
          <w:rFonts w:ascii="Times New Roman" w:hAnsi="Times New Roman"/>
          <w:b/>
          <w:sz w:val="28"/>
          <w:szCs w:val="24"/>
        </w:rPr>
      </w:pPr>
    </w:p>
    <w:p w14:paraId="4F061656" w14:textId="77777777" w:rsidR="00E158E9" w:rsidRPr="0029003E" w:rsidRDefault="00E158E9" w:rsidP="004A534A">
      <w:pPr>
        <w:jc w:val="center"/>
        <w:rPr>
          <w:rFonts w:ascii="Times New Roman" w:hAnsi="Times New Roman"/>
          <w:b/>
          <w:sz w:val="24"/>
          <w:szCs w:val="24"/>
        </w:rPr>
      </w:pPr>
    </w:p>
    <w:p w14:paraId="3793C6B3" w14:textId="0187AA47" w:rsidR="003409BD" w:rsidRPr="00BB1E70" w:rsidRDefault="0029003E" w:rsidP="004A534A">
      <w:pPr>
        <w:jc w:val="center"/>
        <w:rPr>
          <w:rFonts w:ascii="Times New Roman" w:hAnsi="Times New Roman"/>
          <w:b/>
          <w:sz w:val="24"/>
          <w:szCs w:val="24"/>
        </w:rPr>
      </w:pPr>
      <w:r w:rsidRPr="0029003E">
        <w:rPr>
          <w:rFonts w:ascii="Times New Roman" w:hAnsi="Times New Roman"/>
          <w:b/>
          <w:sz w:val="24"/>
          <w:szCs w:val="24"/>
        </w:rPr>
        <w:t>BOSTON OUTPATIENT SURGICAL SUITES</w:t>
      </w:r>
      <w:r w:rsidR="00BD35F4">
        <w:rPr>
          <w:rFonts w:ascii="Times New Roman" w:hAnsi="Times New Roman"/>
          <w:b/>
          <w:sz w:val="24"/>
          <w:szCs w:val="24"/>
        </w:rPr>
        <w:t>, LLC</w:t>
      </w:r>
    </w:p>
    <w:p w14:paraId="3B3A8942" w14:textId="77777777" w:rsidR="004A534A" w:rsidRPr="00BB1E70" w:rsidRDefault="004A534A" w:rsidP="004A534A">
      <w:pPr>
        <w:jc w:val="center"/>
        <w:rPr>
          <w:rFonts w:ascii="Times New Roman" w:hAnsi="Times New Roman"/>
          <w:b/>
          <w:sz w:val="24"/>
          <w:szCs w:val="24"/>
        </w:rPr>
      </w:pPr>
    </w:p>
    <w:p w14:paraId="4FB086B6" w14:textId="77777777" w:rsidR="00681918" w:rsidRPr="00681918" w:rsidRDefault="00BD35F4" w:rsidP="004A534A">
      <w:pPr>
        <w:jc w:val="center"/>
        <w:rPr>
          <w:rFonts w:ascii="Times New Roman" w:hAnsi="Times New Roman"/>
          <w:b/>
          <w:sz w:val="24"/>
          <w:szCs w:val="24"/>
        </w:rPr>
      </w:pPr>
      <w:r>
        <w:rPr>
          <w:rFonts w:ascii="Times New Roman" w:hAnsi="Times New Roman"/>
          <w:b/>
          <w:sz w:val="24"/>
          <w:szCs w:val="24"/>
        </w:rPr>
        <w:t xml:space="preserve">FIVE-YEAR FINANCIAL </w:t>
      </w:r>
      <w:r w:rsidR="00C62902">
        <w:rPr>
          <w:rFonts w:ascii="Times New Roman" w:hAnsi="Times New Roman"/>
          <w:b/>
          <w:sz w:val="24"/>
          <w:szCs w:val="24"/>
        </w:rPr>
        <w:t>FORECAST</w:t>
      </w:r>
    </w:p>
    <w:p w14:paraId="422CD6DF" w14:textId="77777777" w:rsidR="004A534A" w:rsidRPr="00681918" w:rsidRDefault="004A534A" w:rsidP="004A534A">
      <w:pPr>
        <w:jc w:val="center"/>
        <w:rPr>
          <w:rFonts w:ascii="Times New Roman" w:hAnsi="Times New Roman"/>
          <w:b/>
          <w:sz w:val="24"/>
          <w:szCs w:val="24"/>
        </w:rPr>
      </w:pPr>
    </w:p>
    <w:p w14:paraId="4D3C1249" w14:textId="4C450205" w:rsidR="004A534A" w:rsidRPr="00681918" w:rsidRDefault="001D5DC3" w:rsidP="004A534A">
      <w:pPr>
        <w:jc w:val="center"/>
        <w:rPr>
          <w:rFonts w:ascii="Times New Roman" w:hAnsi="Times New Roman"/>
          <w:b/>
          <w:sz w:val="24"/>
          <w:szCs w:val="24"/>
        </w:rPr>
      </w:pPr>
      <w:r>
        <w:rPr>
          <w:rFonts w:ascii="Times New Roman" w:hAnsi="Times New Roman"/>
          <w:b/>
          <w:sz w:val="24"/>
          <w:szCs w:val="24"/>
        </w:rPr>
        <w:t xml:space="preserve"> </w:t>
      </w:r>
      <w:r w:rsidR="00BD35F4">
        <w:rPr>
          <w:rFonts w:ascii="Times New Roman" w:hAnsi="Times New Roman"/>
          <w:b/>
          <w:sz w:val="24"/>
          <w:szCs w:val="24"/>
        </w:rPr>
        <w:t>PERIOD</w:t>
      </w:r>
      <w:r w:rsidR="00807A68">
        <w:rPr>
          <w:rFonts w:ascii="Times New Roman" w:hAnsi="Times New Roman"/>
          <w:b/>
          <w:sz w:val="24"/>
          <w:szCs w:val="24"/>
        </w:rPr>
        <w:t xml:space="preserve"> </w:t>
      </w:r>
      <w:r w:rsidR="00141385">
        <w:rPr>
          <w:rFonts w:ascii="Times New Roman" w:hAnsi="Times New Roman"/>
          <w:b/>
          <w:sz w:val="24"/>
          <w:szCs w:val="24"/>
        </w:rPr>
        <w:t xml:space="preserve">FROM </w:t>
      </w:r>
      <w:r w:rsidR="00DA4E96">
        <w:rPr>
          <w:rFonts w:ascii="Times New Roman" w:hAnsi="Times New Roman"/>
          <w:b/>
          <w:sz w:val="24"/>
          <w:szCs w:val="24"/>
        </w:rPr>
        <w:t>JANUARY 1, 2025 TO DECEMBER 31, 2029</w:t>
      </w:r>
    </w:p>
    <w:p w14:paraId="14965C3B" w14:textId="77777777" w:rsidR="003409BD" w:rsidRDefault="003409BD">
      <w:pPr>
        <w:pStyle w:val="Footer"/>
        <w:tabs>
          <w:tab w:val="clear" w:pos="4320"/>
          <w:tab w:val="clear" w:pos="8640"/>
        </w:tabs>
        <w:rPr>
          <w:sz w:val="24"/>
          <w:szCs w:val="24"/>
        </w:rPr>
      </w:pPr>
    </w:p>
    <w:p w14:paraId="675CF183" w14:textId="77777777" w:rsidR="00E158E9" w:rsidRPr="00BB1E70" w:rsidRDefault="00E158E9">
      <w:pPr>
        <w:pStyle w:val="Footer"/>
        <w:tabs>
          <w:tab w:val="clear" w:pos="4320"/>
          <w:tab w:val="clear" w:pos="8640"/>
        </w:tabs>
        <w:rPr>
          <w:sz w:val="24"/>
          <w:szCs w:val="24"/>
        </w:rPr>
      </w:pPr>
    </w:p>
    <w:p w14:paraId="73AA23A0" w14:textId="77777777" w:rsidR="003409BD" w:rsidRPr="00BB1E70" w:rsidRDefault="003409BD">
      <w:pPr>
        <w:rPr>
          <w:rFonts w:ascii="Times New Roman" w:hAnsi="Times New Roman"/>
          <w:sz w:val="24"/>
          <w:szCs w:val="24"/>
        </w:rPr>
      </w:pPr>
    </w:p>
    <w:tbl>
      <w:tblPr>
        <w:tblW w:w="0" w:type="auto"/>
        <w:jc w:val="center"/>
        <w:tblLayout w:type="fixed"/>
        <w:tblLook w:val="0000" w:firstRow="0" w:lastRow="0" w:firstColumn="0" w:lastColumn="0" w:noHBand="0" w:noVBand="0"/>
      </w:tblPr>
      <w:tblGrid>
        <w:gridCol w:w="7380"/>
        <w:gridCol w:w="1368"/>
      </w:tblGrid>
      <w:tr w:rsidR="003409BD" w:rsidRPr="00BB1E70" w14:paraId="36F7EF39" w14:textId="77777777" w:rsidTr="00427A93">
        <w:trPr>
          <w:trHeight w:hRule="exact" w:val="360"/>
          <w:jc w:val="center"/>
        </w:trPr>
        <w:tc>
          <w:tcPr>
            <w:tcW w:w="7380" w:type="dxa"/>
            <w:vAlign w:val="bottom"/>
          </w:tcPr>
          <w:p w14:paraId="6125A6B0" w14:textId="77777777" w:rsidR="003409BD" w:rsidRPr="00BB1E70" w:rsidRDefault="003409BD">
            <w:pPr>
              <w:pStyle w:val="ContentsText"/>
              <w:rPr>
                <w:rFonts w:ascii="Times New Roman" w:hAnsi="Times New Roman"/>
                <w:sz w:val="24"/>
                <w:szCs w:val="24"/>
              </w:rPr>
            </w:pPr>
          </w:p>
        </w:tc>
        <w:tc>
          <w:tcPr>
            <w:tcW w:w="1368" w:type="dxa"/>
          </w:tcPr>
          <w:p w14:paraId="7C7887A0" w14:textId="77777777" w:rsidR="003409BD" w:rsidRPr="00BB1E70" w:rsidRDefault="003409BD">
            <w:pPr>
              <w:pStyle w:val="ReportTitle"/>
              <w:rPr>
                <w:rFonts w:ascii="Times New Roman" w:hAnsi="Times New Roman"/>
                <w:sz w:val="24"/>
                <w:szCs w:val="24"/>
              </w:rPr>
            </w:pPr>
            <w:bookmarkStart w:id="0" w:name="_Toc441138991"/>
            <w:r w:rsidRPr="00BB1E70">
              <w:rPr>
                <w:rFonts w:ascii="Times New Roman" w:hAnsi="Times New Roman"/>
                <w:sz w:val="24"/>
                <w:szCs w:val="24"/>
              </w:rPr>
              <w:t>Page</w:t>
            </w:r>
            <w:bookmarkEnd w:id="0"/>
          </w:p>
        </w:tc>
      </w:tr>
      <w:tr w:rsidR="003409BD" w:rsidRPr="00BB1E70" w14:paraId="347A8A6D" w14:textId="77777777" w:rsidTr="00427A93">
        <w:trPr>
          <w:trHeight w:hRule="exact" w:val="360"/>
          <w:jc w:val="center"/>
        </w:trPr>
        <w:tc>
          <w:tcPr>
            <w:tcW w:w="7380" w:type="dxa"/>
            <w:vAlign w:val="bottom"/>
          </w:tcPr>
          <w:p w14:paraId="60A13F56" w14:textId="77777777" w:rsidR="003409BD" w:rsidRPr="00BB1E70" w:rsidRDefault="003409BD">
            <w:pPr>
              <w:pStyle w:val="ContentsText"/>
              <w:rPr>
                <w:rFonts w:ascii="Times New Roman" w:hAnsi="Times New Roman"/>
                <w:sz w:val="24"/>
                <w:szCs w:val="24"/>
              </w:rPr>
            </w:pPr>
          </w:p>
        </w:tc>
        <w:tc>
          <w:tcPr>
            <w:tcW w:w="1368" w:type="dxa"/>
            <w:vAlign w:val="bottom"/>
          </w:tcPr>
          <w:p w14:paraId="2507BA15" w14:textId="77777777" w:rsidR="003409BD" w:rsidRPr="00BB1E70" w:rsidRDefault="003409BD">
            <w:pPr>
              <w:pStyle w:val="ContentsPageNum"/>
              <w:rPr>
                <w:rFonts w:ascii="Times New Roman" w:hAnsi="Times New Roman"/>
                <w:sz w:val="24"/>
                <w:szCs w:val="24"/>
              </w:rPr>
            </w:pPr>
          </w:p>
        </w:tc>
      </w:tr>
      <w:tr w:rsidR="003409BD" w:rsidRPr="00BB1E70" w14:paraId="6E1A5FE2" w14:textId="77777777" w:rsidTr="00427A93">
        <w:trPr>
          <w:trHeight w:hRule="exact" w:val="360"/>
          <w:jc w:val="center"/>
        </w:trPr>
        <w:tc>
          <w:tcPr>
            <w:tcW w:w="7380" w:type="dxa"/>
            <w:vAlign w:val="bottom"/>
          </w:tcPr>
          <w:p w14:paraId="5C1D466C" w14:textId="77777777" w:rsidR="003409BD" w:rsidRPr="00BB1E70" w:rsidRDefault="00421DB0" w:rsidP="008C6BB3">
            <w:pPr>
              <w:pStyle w:val="ContentsText"/>
              <w:rPr>
                <w:rFonts w:ascii="Times New Roman" w:hAnsi="Times New Roman"/>
                <w:sz w:val="24"/>
                <w:szCs w:val="24"/>
              </w:rPr>
            </w:pPr>
            <w:r>
              <w:rPr>
                <w:rFonts w:ascii="Times New Roman" w:hAnsi="Times New Roman"/>
                <w:sz w:val="24"/>
                <w:szCs w:val="24"/>
              </w:rPr>
              <w:t xml:space="preserve">INDEPENDENT </w:t>
            </w:r>
            <w:r w:rsidR="003409BD" w:rsidRPr="00BB1E70">
              <w:rPr>
                <w:rFonts w:ascii="Times New Roman" w:hAnsi="Times New Roman"/>
                <w:sz w:val="24"/>
                <w:szCs w:val="24"/>
              </w:rPr>
              <w:t>ACCOUNTANTS’ REPORT</w:t>
            </w:r>
          </w:p>
        </w:tc>
        <w:tc>
          <w:tcPr>
            <w:tcW w:w="1368" w:type="dxa"/>
            <w:vAlign w:val="bottom"/>
          </w:tcPr>
          <w:p w14:paraId="6A237A5E" w14:textId="77777777" w:rsidR="003409BD" w:rsidRPr="00BB1E70" w:rsidRDefault="003409BD">
            <w:pPr>
              <w:pStyle w:val="ContentsPageNum"/>
              <w:rPr>
                <w:rFonts w:ascii="Times New Roman" w:hAnsi="Times New Roman"/>
                <w:sz w:val="24"/>
                <w:szCs w:val="24"/>
              </w:rPr>
            </w:pPr>
            <w:r w:rsidRPr="00BB1E70">
              <w:rPr>
                <w:rFonts w:ascii="Times New Roman" w:hAnsi="Times New Roman"/>
                <w:sz w:val="24"/>
                <w:szCs w:val="24"/>
              </w:rPr>
              <w:t>1</w:t>
            </w:r>
          </w:p>
        </w:tc>
      </w:tr>
      <w:tr w:rsidR="003409BD" w:rsidRPr="00BB1E70" w14:paraId="63B90E50" w14:textId="77777777" w:rsidTr="00427A93">
        <w:trPr>
          <w:trHeight w:hRule="exact" w:val="360"/>
          <w:jc w:val="center"/>
        </w:trPr>
        <w:tc>
          <w:tcPr>
            <w:tcW w:w="7380" w:type="dxa"/>
            <w:vAlign w:val="bottom"/>
          </w:tcPr>
          <w:p w14:paraId="04DD44FC" w14:textId="77777777" w:rsidR="003409BD" w:rsidRPr="00BB1E70" w:rsidRDefault="003409BD">
            <w:pPr>
              <w:pStyle w:val="ContentsText"/>
              <w:rPr>
                <w:rFonts w:ascii="Times New Roman" w:hAnsi="Times New Roman"/>
                <w:sz w:val="24"/>
                <w:szCs w:val="24"/>
              </w:rPr>
            </w:pPr>
          </w:p>
        </w:tc>
        <w:tc>
          <w:tcPr>
            <w:tcW w:w="1368" w:type="dxa"/>
            <w:vAlign w:val="bottom"/>
          </w:tcPr>
          <w:p w14:paraId="37AC2FF8" w14:textId="77777777" w:rsidR="003409BD" w:rsidRPr="00BB1E70" w:rsidRDefault="003409BD">
            <w:pPr>
              <w:pStyle w:val="ContentsPageNum"/>
              <w:rPr>
                <w:rFonts w:ascii="Times New Roman" w:hAnsi="Times New Roman"/>
                <w:sz w:val="24"/>
                <w:szCs w:val="24"/>
              </w:rPr>
            </w:pPr>
          </w:p>
        </w:tc>
      </w:tr>
      <w:tr w:rsidR="003409BD" w:rsidRPr="00BB1E70" w14:paraId="026A5EF4" w14:textId="77777777" w:rsidTr="00427A93">
        <w:trPr>
          <w:trHeight w:hRule="exact" w:val="360"/>
          <w:jc w:val="center"/>
        </w:trPr>
        <w:tc>
          <w:tcPr>
            <w:tcW w:w="7380" w:type="dxa"/>
            <w:vAlign w:val="bottom"/>
          </w:tcPr>
          <w:p w14:paraId="4D670F5E" w14:textId="77777777" w:rsidR="003409BD" w:rsidRPr="00BB1E70" w:rsidRDefault="003409BD">
            <w:pPr>
              <w:pStyle w:val="ContentsText"/>
              <w:rPr>
                <w:rFonts w:ascii="Times New Roman" w:hAnsi="Times New Roman"/>
                <w:sz w:val="24"/>
                <w:szCs w:val="24"/>
              </w:rPr>
            </w:pPr>
            <w:r w:rsidRPr="00BB1E70">
              <w:rPr>
                <w:rFonts w:ascii="Times New Roman" w:hAnsi="Times New Roman"/>
                <w:sz w:val="24"/>
                <w:szCs w:val="24"/>
              </w:rPr>
              <w:t xml:space="preserve">FINANCIAL </w:t>
            </w:r>
            <w:r w:rsidR="00C62902">
              <w:rPr>
                <w:rFonts w:ascii="Times New Roman" w:hAnsi="Times New Roman"/>
                <w:sz w:val="24"/>
                <w:szCs w:val="24"/>
              </w:rPr>
              <w:t>FORECAST</w:t>
            </w:r>
            <w:r w:rsidRPr="00BB1E70">
              <w:rPr>
                <w:rFonts w:ascii="Times New Roman" w:hAnsi="Times New Roman"/>
                <w:sz w:val="24"/>
                <w:szCs w:val="24"/>
              </w:rPr>
              <w:t>:</w:t>
            </w:r>
          </w:p>
        </w:tc>
        <w:tc>
          <w:tcPr>
            <w:tcW w:w="1368" w:type="dxa"/>
            <w:vAlign w:val="bottom"/>
          </w:tcPr>
          <w:p w14:paraId="05C5701B" w14:textId="77777777" w:rsidR="003409BD" w:rsidRPr="00BB1E70" w:rsidRDefault="003409BD">
            <w:pPr>
              <w:pStyle w:val="ContentsPageNum"/>
              <w:rPr>
                <w:rFonts w:ascii="Times New Roman" w:hAnsi="Times New Roman"/>
                <w:sz w:val="24"/>
                <w:szCs w:val="24"/>
              </w:rPr>
            </w:pPr>
          </w:p>
        </w:tc>
      </w:tr>
      <w:tr w:rsidR="003409BD" w:rsidRPr="00BB1E70" w14:paraId="5F613AD3" w14:textId="77777777" w:rsidTr="00427A93">
        <w:trPr>
          <w:trHeight w:hRule="exact" w:val="360"/>
          <w:jc w:val="center"/>
        </w:trPr>
        <w:tc>
          <w:tcPr>
            <w:tcW w:w="7380" w:type="dxa"/>
            <w:vAlign w:val="bottom"/>
          </w:tcPr>
          <w:p w14:paraId="45C97162" w14:textId="77777777" w:rsidR="003409BD" w:rsidRPr="00BB1E70" w:rsidRDefault="001D5DC3">
            <w:pPr>
              <w:pStyle w:val="ContentsText"/>
              <w:rPr>
                <w:rFonts w:ascii="Times New Roman" w:hAnsi="Times New Roman"/>
                <w:sz w:val="24"/>
                <w:szCs w:val="24"/>
              </w:rPr>
            </w:pPr>
            <w:r>
              <w:rPr>
                <w:rFonts w:ascii="Times New Roman" w:hAnsi="Times New Roman"/>
                <w:sz w:val="24"/>
                <w:szCs w:val="24"/>
              </w:rPr>
              <w:tab/>
            </w:r>
            <w:r w:rsidR="00E14607">
              <w:rPr>
                <w:rFonts w:ascii="Times New Roman" w:hAnsi="Times New Roman"/>
                <w:sz w:val="24"/>
                <w:szCs w:val="24"/>
              </w:rPr>
              <w:t xml:space="preserve">Schedule of </w:t>
            </w:r>
            <w:r w:rsidR="004E5905">
              <w:rPr>
                <w:rFonts w:ascii="Times New Roman" w:hAnsi="Times New Roman"/>
                <w:sz w:val="24"/>
                <w:szCs w:val="24"/>
              </w:rPr>
              <w:t xml:space="preserve">Revenue and </w:t>
            </w:r>
            <w:r w:rsidR="00E14607">
              <w:rPr>
                <w:rFonts w:ascii="Times New Roman" w:hAnsi="Times New Roman"/>
                <w:sz w:val="24"/>
                <w:szCs w:val="24"/>
              </w:rPr>
              <w:t>Earnings Before Taxes</w:t>
            </w:r>
          </w:p>
        </w:tc>
        <w:tc>
          <w:tcPr>
            <w:tcW w:w="1368" w:type="dxa"/>
            <w:vAlign w:val="bottom"/>
          </w:tcPr>
          <w:p w14:paraId="5C0FA607" w14:textId="77777777" w:rsidR="003409BD" w:rsidRPr="00BB1E70" w:rsidRDefault="00D52C02">
            <w:pPr>
              <w:pStyle w:val="ContentsPageNum"/>
              <w:rPr>
                <w:rFonts w:ascii="Times New Roman" w:hAnsi="Times New Roman"/>
                <w:sz w:val="24"/>
                <w:szCs w:val="24"/>
              </w:rPr>
            </w:pPr>
            <w:r>
              <w:rPr>
                <w:rFonts w:ascii="Times New Roman" w:hAnsi="Times New Roman"/>
                <w:sz w:val="24"/>
                <w:szCs w:val="24"/>
              </w:rPr>
              <w:t>2</w:t>
            </w:r>
          </w:p>
        </w:tc>
      </w:tr>
      <w:tr w:rsidR="003409BD" w:rsidRPr="00BB1E70" w14:paraId="0468C2F5" w14:textId="77777777" w:rsidTr="00427A93">
        <w:trPr>
          <w:trHeight w:hRule="exact" w:val="360"/>
          <w:jc w:val="center"/>
        </w:trPr>
        <w:tc>
          <w:tcPr>
            <w:tcW w:w="7380" w:type="dxa"/>
            <w:vAlign w:val="bottom"/>
          </w:tcPr>
          <w:p w14:paraId="301A9A27" w14:textId="77777777" w:rsidR="003409BD" w:rsidRPr="00BB1E70" w:rsidRDefault="003409BD" w:rsidP="00526795">
            <w:pPr>
              <w:pStyle w:val="ContentsText"/>
              <w:rPr>
                <w:rFonts w:ascii="Times New Roman" w:hAnsi="Times New Roman"/>
                <w:sz w:val="24"/>
                <w:szCs w:val="24"/>
              </w:rPr>
            </w:pPr>
          </w:p>
        </w:tc>
        <w:tc>
          <w:tcPr>
            <w:tcW w:w="1368" w:type="dxa"/>
            <w:vAlign w:val="bottom"/>
          </w:tcPr>
          <w:p w14:paraId="07989A6C" w14:textId="77777777" w:rsidR="003409BD" w:rsidRPr="00BB1E70" w:rsidRDefault="003409BD">
            <w:pPr>
              <w:pStyle w:val="ContentsPageNum"/>
              <w:rPr>
                <w:rFonts w:ascii="Times New Roman" w:hAnsi="Times New Roman"/>
                <w:sz w:val="24"/>
                <w:szCs w:val="24"/>
              </w:rPr>
            </w:pPr>
          </w:p>
        </w:tc>
      </w:tr>
      <w:tr w:rsidR="003409BD" w:rsidRPr="00BB1E70" w14:paraId="1EC3531A" w14:textId="77777777" w:rsidTr="00427A93">
        <w:trPr>
          <w:trHeight w:hRule="exact" w:val="360"/>
          <w:jc w:val="center"/>
        </w:trPr>
        <w:tc>
          <w:tcPr>
            <w:tcW w:w="7380" w:type="dxa"/>
            <w:vAlign w:val="bottom"/>
          </w:tcPr>
          <w:p w14:paraId="420BDA71" w14:textId="77777777" w:rsidR="003409BD" w:rsidRPr="00BB1E70" w:rsidRDefault="003409BD">
            <w:pPr>
              <w:pStyle w:val="ContentsText"/>
              <w:rPr>
                <w:rFonts w:ascii="Times New Roman" w:hAnsi="Times New Roman"/>
                <w:sz w:val="24"/>
                <w:szCs w:val="24"/>
              </w:rPr>
            </w:pPr>
            <w:r w:rsidRPr="00BB1E70">
              <w:rPr>
                <w:rFonts w:ascii="Times New Roman" w:hAnsi="Times New Roman"/>
                <w:sz w:val="24"/>
                <w:szCs w:val="24"/>
              </w:rPr>
              <w:tab/>
              <w:t xml:space="preserve">Notes to </w:t>
            </w:r>
            <w:r w:rsidR="009B2733">
              <w:rPr>
                <w:rFonts w:ascii="Times New Roman" w:hAnsi="Times New Roman"/>
                <w:sz w:val="24"/>
                <w:szCs w:val="24"/>
              </w:rPr>
              <w:t xml:space="preserve">the </w:t>
            </w:r>
            <w:r w:rsidR="00E14607">
              <w:rPr>
                <w:rFonts w:ascii="Times New Roman" w:hAnsi="Times New Roman"/>
                <w:sz w:val="24"/>
                <w:szCs w:val="24"/>
              </w:rPr>
              <w:t xml:space="preserve">Financial </w:t>
            </w:r>
            <w:r w:rsidR="00C62902">
              <w:rPr>
                <w:rFonts w:ascii="Times New Roman" w:hAnsi="Times New Roman"/>
                <w:sz w:val="24"/>
                <w:szCs w:val="24"/>
              </w:rPr>
              <w:t>Forecast</w:t>
            </w:r>
          </w:p>
        </w:tc>
        <w:tc>
          <w:tcPr>
            <w:tcW w:w="1368" w:type="dxa"/>
            <w:vAlign w:val="bottom"/>
          </w:tcPr>
          <w:p w14:paraId="5BC7E5AF" w14:textId="77777777" w:rsidR="003409BD" w:rsidRPr="00BB1E70" w:rsidRDefault="009243A9">
            <w:pPr>
              <w:pStyle w:val="ContentsPageNum"/>
              <w:rPr>
                <w:rFonts w:ascii="Times New Roman" w:hAnsi="Times New Roman"/>
                <w:sz w:val="24"/>
                <w:szCs w:val="24"/>
              </w:rPr>
            </w:pPr>
            <w:r>
              <w:rPr>
                <w:rFonts w:ascii="Times New Roman" w:hAnsi="Times New Roman"/>
                <w:sz w:val="24"/>
                <w:szCs w:val="24"/>
              </w:rPr>
              <w:t>3</w:t>
            </w:r>
            <w:r w:rsidR="003409BD" w:rsidRPr="00BB1E70">
              <w:rPr>
                <w:rFonts w:ascii="Times New Roman" w:hAnsi="Times New Roman"/>
                <w:sz w:val="24"/>
                <w:szCs w:val="24"/>
              </w:rPr>
              <w:t xml:space="preserve"> </w:t>
            </w:r>
          </w:p>
        </w:tc>
      </w:tr>
      <w:tr w:rsidR="003409BD" w:rsidRPr="00BB1E70" w14:paraId="5F3BC969" w14:textId="77777777" w:rsidTr="00427A93">
        <w:trPr>
          <w:trHeight w:hRule="exact" w:val="360"/>
          <w:jc w:val="center"/>
        </w:trPr>
        <w:tc>
          <w:tcPr>
            <w:tcW w:w="7380" w:type="dxa"/>
            <w:vAlign w:val="bottom"/>
          </w:tcPr>
          <w:p w14:paraId="4657CED5" w14:textId="77777777" w:rsidR="003409BD" w:rsidRPr="00BB1E70" w:rsidRDefault="003409BD">
            <w:pPr>
              <w:pStyle w:val="ContentsText"/>
              <w:rPr>
                <w:rFonts w:ascii="Times New Roman" w:hAnsi="Times New Roman"/>
                <w:sz w:val="24"/>
                <w:szCs w:val="24"/>
              </w:rPr>
            </w:pPr>
          </w:p>
        </w:tc>
        <w:tc>
          <w:tcPr>
            <w:tcW w:w="1368" w:type="dxa"/>
            <w:vAlign w:val="bottom"/>
          </w:tcPr>
          <w:p w14:paraId="31A698AC" w14:textId="77777777" w:rsidR="003409BD" w:rsidRPr="00BB1E70" w:rsidRDefault="003409BD">
            <w:pPr>
              <w:pStyle w:val="ContentsPageNum"/>
              <w:rPr>
                <w:rFonts w:ascii="Times New Roman" w:hAnsi="Times New Roman"/>
                <w:sz w:val="24"/>
                <w:szCs w:val="24"/>
              </w:rPr>
            </w:pPr>
          </w:p>
        </w:tc>
      </w:tr>
      <w:tr w:rsidR="003409BD" w:rsidRPr="00BB1E70" w14:paraId="136FF4E0" w14:textId="77777777" w:rsidTr="00427A93">
        <w:trPr>
          <w:trHeight w:hRule="exact" w:val="360"/>
          <w:jc w:val="center"/>
        </w:trPr>
        <w:tc>
          <w:tcPr>
            <w:tcW w:w="7380" w:type="dxa"/>
            <w:vAlign w:val="bottom"/>
          </w:tcPr>
          <w:p w14:paraId="13AAB390" w14:textId="77777777" w:rsidR="003409BD" w:rsidRPr="00BB1E70" w:rsidRDefault="003409BD">
            <w:pPr>
              <w:pStyle w:val="ContentsText"/>
              <w:rPr>
                <w:rFonts w:ascii="Times New Roman" w:hAnsi="Times New Roman"/>
                <w:sz w:val="24"/>
                <w:szCs w:val="24"/>
              </w:rPr>
            </w:pPr>
          </w:p>
        </w:tc>
        <w:tc>
          <w:tcPr>
            <w:tcW w:w="1368" w:type="dxa"/>
            <w:vAlign w:val="bottom"/>
          </w:tcPr>
          <w:p w14:paraId="16B75CCD" w14:textId="77777777" w:rsidR="003409BD" w:rsidRPr="00BB1E70" w:rsidRDefault="003409BD">
            <w:pPr>
              <w:pStyle w:val="ContentsPageNum"/>
              <w:rPr>
                <w:rFonts w:ascii="Times New Roman" w:hAnsi="Times New Roman"/>
                <w:sz w:val="24"/>
                <w:szCs w:val="24"/>
              </w:rPr>
            </w:pPr>
          </w:p>
        </w:tc>
      </w:tr>
    </w:tbl>
    <w:p w14:paraId="4911E507" w14:textId="77777777" w:rsidR="00174790" w:rsidRDefault="00174790">
      <w:pPr>
        <w:sectPr w:rsidR="00174790" w:rsidSect="002E701F">
          <w:type w:val="evenPage"/>
          <w:pgSz w:w="12240" w:h="15840" w:code="1"/>
          <w:pgMar w:top="720" w:right="1310" w:bottom="1195" w:left="1310" w:header="720" w:footer="720" w:gutter="0"/>
          <w:cols w:space="720"/>
          <w:titlePg/>
          <w:docGrid w:linePitch="299"/>
        </w:sectPr>
      </w:pPr>
    </w:p>
    <w:p w14:paraId="4E8C2B76" w14:textId="77777777" w:rsidR="00174790" w:rsidRDefault="00174790">
      <w:pPr>
        <w:sectPr w:rsidR="00174790" w:rsidSect="002E701F">
          <w:type w:val="continuous"/>
          <w:pgSz w:w="12240" w:h="15840" w:code="1"/>
          <w:pgMar w:top="720" w:right="1310" w:bottom="1195" w:left="1310" w:header="720" w:footer="720" w:gutter="0"/>
          <w:cols w:space="720"/>
          <w:titlePg/>
          <w:docGrid w:linePitch="299"/>
        </w:sectPr>
      </w:pPr>
    </w:p>
    <w:p w14:paraId="726C399C" w14:textId="77777777" w:rsidR="00791656" w:rsidRDefault="00791656"/>
    <w:p w14:paraId="3CEB1D84" w14:textId="77777777" w:rsidR="00174790" w:rsidRDefault="00174790"/>
    <w:p w14:paraId="22D836EF" w14:textId="77777777" w:rsidR="00174790" w:rsidRDefault="00174790"/>
    <w:p w14:paraId="5BC02A77" w14:textId="77777777" w:rsidR="00174790" w:rsidRDefault="00174790"/>
    <w:p w14:paraId="762A078C" w14:textId="77777777" w:rsidR="00174790" w:rsidRDefault="00174790"/>
    <w:p w14:paraId="45706A6A" w14:textId="77777777" w:rsidR="00174790" w:rsidRDefault="00174790"/>
    <w:p w14:paraId="04AF355C" w14:textId="77777777" w:rsidR="00174790" w:rsidRDefault="00174790"/>
    <w:p w14:paraId="509EBD86" w14:textId="77777777" w:rsidR="00174790" w:rsidRDefault="00174790"/>
    <w:p w14:paraId="74D992DF" w14:textId="77777777" w:rsidR="00174790" w:rsidRDefault="00174790"/>
    <w:p w14:paraId="59E46301" w14:textId="77777777" w:rsidR="00174790" w:rsidRDefault="00174790"/>
    <w:p w14:paraId="29B71015" w14:textId="77777777" w:rsidR="00174790" w:rsidRDefault="00174790"/>
    <w:p w14:paraId="6EF0ACA0" w14:textId="77777777" w:rsidR="00174790" w:rsidRDefault="00174790"/>
    <w:p w14:paraId="221B5C67" w14:textId="77777777" w:rsidR="00174790" w:rsidRDefault="00174790"/>
    <w:p w14:paraId="0EB4B303" w14:textId="77777777" w:rsidR="00174790" w:rsidRDefault="00174790"/>
    <w:p w14:paraId="45443A87" w14:textId="77777777" w:rsidR="00174790" w:rsidRDefault="00174790"/>
    <w:p w14:paraId="65862EF9" w14:textId="77777777" w:rsidR="00174790" w:rsidRDefault="00174790"/>
    <w:p w14:paraId="67C4EFCE" w14:textId="77777777" w:rsidR="00174790" w:rsidRDefault="00174790"/>
    <w:p w14:paraId="09309A84" w14:textId="77777777" w:rsidR="00174790" w:rsidRDefault="00174790"/>
    <w:p w14:paraId="28A463EA" w14:textId="77777777" w:rsidR="00174790" w:rsidRDefault="00174790"/>
    <w:p w14:paraId="4599D70F" w14:textId="77777777" w:rsidR="00174790" w:rsidRDefault="00174790"/>
    <w:p w14:paraId="39DC2621" w14:textId="77777777" w:rsidR="00174790" w:rsidRPr="00060971" w:rsidRDefault="00174790" w:rsidP="00883813">
      <w:pPr>
        <w:jc w:val="center"/>
        <w:rPr>
          <w:sz w:val="20"/>
          <w:szCs w:val="18"/>
        </w:rPr>
      </w:pPr>
    </w:p>
    <w:p w14:paraId="4DAF84FF" w14:textId="77777777" w:rsidR="00174790" w:rsidRPr="00060971" w:rsidRDefault="00174790" w:rsidP="00883813">
      <w:pPr>
        <w:jc w:val="center"/>
        <w:rPr>
          <w:sz w:val="20"/>
          <w:szCs w:val="18"/>
        </w:rPr>
      </w:pPr>
    </w:p>
    <w:p w14:paraId="618E0FA3" w14:textId="77777777" w:rsidR="00174790" w:rsidRPr="00060971" w:rsidRDefault="00174790" w:rsidP="00883813">
      <w:pPr>
        <w:jc w:val="center"/>
        <w:rPr>
          <w:sz w:val="20"/>
          <w:szCs w:val="18"/>
        </w:rPr>
      </w:pPr>
    </w:p>
    <w:p w14:paraId="21FADABA" w14:textId="77777777" w:rsidR="00174790" w:rsidRDefault="00174790" w:rsidP="00883813">
      <w:pPr>
        <w:jc w:val="center"/>
      </w:pPr>
    </w:p>
    <w:p w14:paraId="2FA5C45F" w14:textId="77777777" w:rsidR="00791656" w:rsidRDefault="00791656" w:rsidP="00883813">
      <w:pPr>
        <w:jc w:val="center"/>
      </w:pPr>
    </w:p>
    <w:p w14:paraId="056B5033" w14:textId="77777777" w:rsidR="002E5CF2" w:rsidRPr="0060143B" w:rsidRDefault="002E5CF2" w:rsidP="002E5CF2">
      <w:pPr>
        <w:jc w:val="center"/>
        <w:rPr>
          <w:rFonts w:ascii="Times New Roman" w:hAnsi="Times New Roman"/>
          <w:b/>
          <w:sz w:val="24"/>
        </w:rPr>
      </w:pPr>
      <w:r w:rsidRPr="0060143B">
        <w:rPr>
          <w:rFonts w:ascii="Times New Roman" w:hAnsi="Times New Roman"/>
          <w:b/>
          <w:sz w:val="24"/>
        </w:rPr>
        <w:t xml:space="preserve">INDEPENDENT </w:t>
      </w:r>
      <w:r w:rsidR="0026571C">
        <w:rPr>
          <w:rFonts w:ascii="Times New Roman" w:hAnsi="Times New Roman"/>
          <w:b/>
          <w:sz w:val="24"/>
        </w:rPr>
        <w:t>ACCOUNTANTS’</w:t>
      </w:r>
      <w:r w:rsidR="00677F99" w:rsidRPr="0060143B">
        <w:rPr>
          <w:rFonts w:ascii="Times New Roman" w:hAnsi="Times New Roman"/>
          <w:b/>
          <w:sz w:val="24"/>
        </w:rPr>
        <w:t xml:space="preserve"> </w:t>
      </w:r>
      <w:r w:rsidRPr="0060143B">
        <w:rPr>
          <w:rFonts w:ascii="Times New Roman" w:hAnsi="Times New Roman"/>
          <w:b/>
          <w:sz w:val="24"/>
        </w:rPr>
        <w:t>REPORT</w:t>
      </w:r>
    </w:p>
    <w:p w14:paraId="00F06649" w14:textId="77777777" w:rsidR="002C1B8D" w:rsidRPr="00060971" w:rsidRDefault="002C1B8D" w:rsidP="002E5CF2">
      <w:pPr>
        <w:pStyle w:val="PAParaText"/>
        <w:spacing w:after="0"/>
        <w:jc w:val="left"/>
        <w:rPr>
          <w:rFonts w:ascii="Times New Roman" w:hAnsi="Times New Roman"/>
        </w:rPr>
      </w:pPr>
    </w:p>
    <w:p w14:paraId="2190A303" w14:textId="77777777" w:rsidR="002C1B8D" w:rsidRPr="00060971" w:rsidRDefault="002C1B8D" w:rsidP="002E5CF2">
      <w:pPr>
        <w:pStyle w:val="PAParaText"/>
        <w:spacing w:after="0"/>
        <w:jc w:val="left"/>
        <w:rPr>
          <w:rFonts w:ascii="Times New Roman" w:hAnsi="Times New Roman"/>
        </w:rPr>
      </w:pPr>
    </w:p>
    <w:p w14:paraId="44CA6F2D" w14:textId="77777777" w:rsidR="00253664" w:rsidRDefault="00AA328D" w:rsidP="00527087">
      <w:pPr>
        <w:pStyle w:val="PAParaText"/>
        <w:spacing w:after="0"/>
        <w:rPr>
          <w:rFonts w:ascii="Times New Roman" w:hAnsi="Times New Roman"/>
          <w:sz w:val="24"/>
          <w:szCs w:val="24"/>
        </w:rPr>
      </w:pPr>
      <w:r>
        <w:rPr>
          <w:rFonts w:ascii="Times New Roman" w:hAnsi="Times New Roman"/>
          <w:sz w:val="24"/>
          <w:szCs w:val="24"/>
        </w:rPr>
        <w:t>To the Board of Directors</w:t>
      </w:r>
      <w:r w:rsidR="00791656">
        <w:rPr>
          <w:rFonts w:ascii="Times New Roman" w:hAnsi="Times New Roman"/>
          <w:sz w:val="24"/>
          <w:szCs w:val="24"/>
        </w:rPr>
        <w:t xml:space="preserve"> of</w:t>
      </w:r>
    </w:p>
    <w:p w14:paraId="2517E276" w14:textId="2E82CCFE" w:rsidR="00AA328D" w:rsidRPr="00253664" w:rsidRDefault="0029003E" w:rsidP="00527087">
      <w:pPr>
        <w:pStyle w:val="PAParaText"/>
        <w:spacing w:after="0"/>
        <w:rPr>
          <w:rFonts w:ascii="Times New Roman" w:hAnsi="Times New Roman"/>
          <w:sz w:val="24"/>
          <w:szCs w:val="24"/>
        </w:rPr>
      </w:pPr>
      <w:r w:rsidRPr="0029003E">
        <w:rPr>
          <w:rFonts w:ascii="Times New Roman" w:hAnsi="Times New Roman"/>
          <w:sz w:val="24"/>
          <w:szCs w:val="24"/>
        </w:rPr>
        <w:t>Boston Outpatient Surgical Suites</w:t>
      </w:r>
      <w:r w:rsidR="00791656">
        <w:rPr>
          <w:rFonts w:ascii="Times New Roman" w:hAnsi="Times New Roman"/>
          <w:sz w:val="24"/>
          <w:szCs w:val="24"/>
        </w:rPr>
        <w:t>, LLC</w:t>
      </w:r>
      <w:r w:rsidR="00527087">
        <w:rPr>
          <w:rFonts w:ascii="Times New Roman" w:hAnsi="Times New Roman"/>
          <w:sz w:val="24"/>
          <w:szCs w:val="24"/>
        </w:rPr>
        <w:t>:</w:t>
      </w:r>
    </w:p>
    <w:p w14:paraId="20578137" w14:textId="77777777" w:rsidR="002E5CF2" w:rsidRPr="001104BF" w:rsidRDefault="002E5CF2" w:rsidP="002E5CF2">
      <w:pPr>
        <w:pStyle w:val="PAParaText"/>
        <w:spacing w:after="0"/>
        <w:jc w:val="left"/>
        <w:rPr>
          <w:rFonts w:ascii="Times New Roman" w:hAnsi="Times New Roman"/>
          <w:sz w:val="24"/>
          <w:szCs w:val="24"/>
        </w:rPr>
      </w:pPr>
    </w:p>
    <w:p w14:paraId="5804E53C" w14:textId="242B7214" w:rsidR="00E14607" w:rsidRDefault="00E14607" w:rsidP="00E14607">
      <w:pPr>
        <w:pStyle w:val="PAParaText"/>
        <w:spacing w:before="120"/>
        <w:rPr>
          <w:rFonts w:ascii="Times New Roman" w:hAnsi="Times New Roman"/>
          <w:sz w:val="24"/>
          <w:szCs w:val="24"/>
        </w:rPr>
      </w:pPr>
      <w:r w:rsidRPr="001104BF">
        <w:rPr>
          <w:rFonts w:ascii="Times New Roman" w:hAnsi="Times New Roman"/>
          <w:sz w:val="24"/>
          <w:szCs w:val="24"/>
        </w:rPr>
        <w:t xml:space="preserve">We have examined the accompanying forecast of </w:t>
      </w:r>
      <w:r w:rsidR="0029003E" w:rsidRPr="0029003E">
        <w:rPr>
          <w:rFonts w:ascii="Times New Roman" w:hAnsi="Times New Roman"/>
          <w:sz w:val="24"/>
          <w:szCs w:val="24"/>
        </w:rPr>
        <w:t>Boston Outpatient Surgical Suites</w:t>
      </w:r>
      <w:r w:rsidRPr="001104BF">
        <w:rPr>
          <w:rFonts w:ascii="Times New Roman" w:hAnsi="Times New Roman"/>
          <w:sz w:val="24"/>
          <w:szCs w:val="24"/>
        </w:rPr>
        <w:t xml:space="preserve">, LLC, which comprises </w:t>
      </w:r>
      <w:r w:rsidR="00253664">
        <w:rPr>
          <w:rFonts w:ascii="Times New Roman" w:hAnsi="Times New Roman"/>
          <w:sz w:val="24"/>
          <w:szCs w:val="24"/>
        </w:rPr>
        <w:t xml:space="preserve">the </w:t>
      </w:r>
      <w:r w:rsidR="004E5905">
        <w:rPr>
          <w:rFonts w:ascii="Times New Roman" w:hAnsi="Times New Roman"/>
          <w:sz w:val="24"/>
          <w:szCs w:val="24"/>
        </w:rPr>
        <w:t xml:space="preserve">Schedule </w:t>
      </w:r>
      <w:r w:rsidR="00253664">
        <w:rPr>
          <w:rFonts w:ascii="Times New Roman" w:hAnsi="Times New Roman"/>
          <w:sz w:val="24"/>
          <w:szCs w:val="24"/>
        </w:rPr>
        <w:t>of Revenue and E</w:t>
      </w:r>
      <w:r w:rsidR="00C62902">
        <w:rPr>
          <w:rFonts w:ascii="Times New Roman" w:hAnsi="Times New Roman"/>
          <w:sz w:val="24"/>
          <w:szCs w:val="24"/>
        </w:rPr>
        <w:t xml:space="preserve">arnings before Taxes </w:t>
      </w:r>
      <w:r w:rsidR="00253664">
        <w:rPr>
          <w:rFonts w:ascii="Times New Roman" w:hAnsi="Times New Roman"/>
          <w:sz w:val="24"/>
          <w:szCs w:val="24"/>
        </w:rPr>
        <w:t xml:space="preserve">for </w:t>
      </w:r>
      <w:r w:rsidR="00807A68">
        <w:rPr>
          <w:rFonts w:ascii="Times New Roman" w:hAnsi="Times New Roman"/>
          <w:sz w:val="24"/>
          <w:szCs w:val="24"/>
        </w:rPr>
        <w:t xml:space="preserve">the </w:t>
      </w:r>
      <w:r w:rsidR="00527087">
        <w:rPr>
          <w:rFonts w:ascii="Times New Roman" w:hAnsi="Times New Roman"/>
          <w:sz w:val="24"/>
          <w:szCs w:val="24"/>
        </w:rPr>
        <w:t>p</w:t>
      </w:r>
      <w:r w:rsidR="00807A68">
        <w:rPr>
          <w:rFonts w:ascii="Times New Roman" w:hAnsi="Times New Roman"/>
          <w:sz w:val="24"/>
          <w:szCs w:val="24"/>
        </w:rPr>
        <w:t xml:space="preserve">eriod from </w:t>
      </w:r>
      <w:r w:rsidR="00DA4E96">
        <w:rPr>
          <w:rFonts w:ascii="Times New Roman" w:hAnsi="Times New Roman"/>
          <w:sz w:val="24"/>
          <w:szCs w:val="24"/>
        </w:rPr>
        <w:t>January 1, 2025 to December 31, 2029</w:t>
      </w:r>
      <w:r w:rsidR="00807A68">
        <w:rPr>
          <w:rFonts w:ascii="Times New Roman" w:hAnsi="Times New Roman"/>
          <w:sz w:val="24"/>
          <w:szCs w:val="24"/>
        </w:rPr>
        <w:t xml:space="preserve"> of o</w:t>
      </w:r>
      <w:r w:rsidR="003233F1">
        <w:rPr>
          <w:rFonts w:ascii="Times New Roman" w:hAnsi="Times New Roman"/>
          <w:sz w:val="24"/>
          <w:szCs w:val="24"/>
        </w:rPr>
        <w:t xml:space="preserve">perations </w:t>
      </w:r>
      <w:r w:rsidRPr="001104BF">
        <w:rPr>
          <w:rFonts w:ascii="Times New Roman" w:hAnsi="Times New Roman"/>
          <w:sz w:val="24"/>
          <w:szCs w:val="24"/>
        </w:rPr>
        <w:t xml:space="preserve">based on the guidelines for the presentation of a forecast established by the AICPA. </w:t>
      </w:r>
      <w:r w:rsidR="0029003E" w:rsidRPr="0029003E">
        <w:rPr>
          <w:rFonts w:ascii="Times New Roman" w:hAnsi="Times New Roman"/>
          <w:sz w:val="24"/>
          <w:szCs w:val="24"/>
        </w:rPr>
        <w:t>Boston Outpatient Surgical Suites</w:t>
      </w:r>
      <w:r w:rsidRPr="001104BF">
        <w:rPr>
          <w:rFonts w:ascii="Times New Roman" w:hAnsi="Times New Roman"/>
          <w:sz w:val="24"/>
          <w:szCs w:val="24"/>
        </w:rPr>
        <w:t>, LLC’s management is responsible for preparing and presenting the forecast in accordance with the guidelines for the presentation of a forecast established by the AICPA. Our responsibility is to express an opinion on the forecast based on our examination.</w:t>
      </w:r>
    </w:p>
    <w:p w14:paraId="4EDB08DC" w14:textId="77777777" w:rsidR="00E14607" w:rsidRPr="001104BF" w:rsidRDefault="00E14607" w:rsidP="00E14607">
      <w:pPr>
        <w:pStyle w:val="PAParaText"/>
        <w:spacing w:before="120"/>
        <w:rPr>
          <w:rFonts w:ascii="Times New Roman" w:hAnsi="Times New Roman"/>
          <w:sz w:val="24"/>
          <w:szCs w:val="24"/>
        </w:rPr>
      </w:pPr>
      <w:r w:rsidRPr="001104BF">
        <w:rPr>
          <w:rFonts w:ascii="Times New Roman" w:hAnsi="Times New Roman"/>
          <w:sz w:val="24"/>
          <w:szCs w:val="24"/>
        </w:rPr>
        <w:t>Our examination was conducted in accordance with attestation standards established by the AICPA. Those standards require that we plan and perform the examination to obtain reasonable assurance about whether the forecast is presented in accordance with the guidelines for the presentation of a forecast established by the AICPA, in all material respects. An examination involves performing procedures to obtain evidence about the forecast. The nature, timing, and extent of the procedures selected depend on our judgment, including an assessment of the risks of material misstatement of the forecast, whether due to fraud or error. We believe that the evidence we obtained is sufficient and appropriate to provide a reasonable basis for our opinion.</w:t>
      </w:r>
    </w:p>
    <w:p w14:paraId="43EFC680" w14:textId="77777777" w:rsidR="00E14607" w:rsidRPr="001104BF" w:rsidRDefault="00E14607" w:rsidP="00E14607">
      <w:pPr>
        <w:pStyle w:val="PAParaText"/>
        <w:spacing w:before="120"/>
        <w:rPr>
          <w:rFonts w:ascii="Times New Roman" w:hAnsi="Times New Roman"/>
          <w:sz w:val="24"/>
          <w:szCs w:val="24"/>
        </w:rPr>
      </w:pPr>
      <w:r w:rsidRPr="001104BF">
        <w:rPr>
          <w:rFonts w:ascii="Times New Roman" w:hAnsi="Times New Roman"/>
          <w:sz w:val="24"/>
          <w:szCs w:val="24"/>
        </w:rPr>
        <w:t>We are required to be independent and to meet our other ethical responsibilities in accordance with relevant ethical requirements relating to the engagement.</w:t>
      </w:r>
    </w:p>
    <w:p w14:paraId="609EE986" w14:textId="77777777" w:rsidR="00E14607" w:rsidRDefault="00E14607" w:rsidP="00E14607">
      <w:pPr>
        <w:pStyle w:val="PAParaText"/>
        <w:spacing w:before="120"/>
        <w:rPr>
          <w:rFonts w:ascii="Times New Roman" w:hAnsi="Times New Roman"/>
          <w:sz w:val="24"/>
          <w:szCs w:val="24"/>
        </w:rPr>
      </w:pPr>
      <w:r w:rsidRPr="001104BF">
        <w:rPr>
          <w:rFonts w:ascii="Times New Roman" w:hAnsi="Times New Roman"/>
          <w:sz w:val="24"/>
          <w:szCs w:val="24"/>
        </w:rPr>
        <w:t>In our opinion, the accompanying forecast is presented, in all material respects, in accordance with the guidelines for the presentation of a forecast established by the AICPA, and the underlying assumptions are suitably supported and provide a reasonable basis for management’s forecast.</w:t>
      </w:r>
    </w:p>
    <w:p w14:paraId="4B71AF64" w14:textId="77777777" w:rsidR="003233F1" w:rsidRPr="004E5905" w:rsidRDefault="003233F1" w:rsidP="004E5905">
      <w:pPr>
        <w:pStyle w:val="PAParaText"/>
        <w:spacing w:before="120"/>
        <w:rPr>
          <w:rFonts w:ascii="Times New Roman" w:hAnsi="Times New Roman"/>
          <w:sz w:val="24"/>
          <w:szCs w:val="24"/>
        </w:rPr>
      </w:pPr>
      <w:r w:rsidRPr="004E5905">
        <w:rPr>
          <w:rFonts w:ascii="Times New Roman" w:hAnsi="Times New Roman"/>
          <w:sz w:val="24"/>
          <w:szCs w:val="24"/>
        </w:rPr>
        <w:t xml:space="preserve">It is our conclusion that the Proposed Project </w:t>
      </w:r>
      <w:r w:rsidR="00566803">
        <w:rPr>
          <w:rFonts w:ascii="Times New Roman" w:hAnsi="Times New Roman"/>
          <w:sz w:val="24"/>
          <w:szCs w:val="24"/>
        </w:rPr>
        <w:t xml:space="preserve">as defined in Note 1 to the Notes to the Financial Forecast </w:t>
      </w:r>
      <w:r w:rsidRPr="004E5905">
        <w:rPr>
          <w:rFonts w:ascii="Times New Roman" w:hAnsi="Times New Roman"/>
          <w:sz w:val="24"/>
          <w:szCs w:val="24"/>
        </w:rPr>
        <w:t>is financially feasible and within the financial capability of the Applicant.</w:t>
      </w:r>
    </w:p>
    <w:p w14:paraId="636276E1" w14:textId="77777777" w:rsidR="00065963" w:rsidRDefault="00E14607" w:rsidP="00E14607">
      <w:pPr>
        <w:pStyle w:val="BodyText"/>
        <w:spacing w:after="0"/>
        <w:jc w:val="both"/>
        <w:rPr>
          <w:rFonts w:ascii="Times New Roman" w:hAnsi="Times New Roman"/>
          <w:sz w:val="24"/>
          <w:szCs w:val="24"/>
        </w:rPr>
      </w:pPr>
      <w:r w:rsidRPr="001104BF">
        <w:rPr>
          <w:rFonts w:ascii="Times New Roman" w:hAnsi="Times New Roman"/>
          <w:sz w:val="24"/>
          <w:szCs w:val="24"/>
        </w:rPr>
        <w:t>There will usually be differences between the forecasted and actual results because events and circumstances frequently do not occur as expected, and those differences may be material. We have no responsibility to update this report for events and circumstances occurring after the date of this report.</w:t>
      </w:r>
    </w:p>
    <w:p w14:paraId="537770A0" w14:textId="77777777" w:rsidR="0037500C" w:rsidRPr="00060971" w:rsidRDefault="0037500C" w:rsidP="00E14607">
      <w:pPr>
        <w:pStyle w:val="BodyText"/>
        <w:spacing w:after="0"/>
        <w:jc w:val="both"/>
        <w:rPr>
          <w:rFonts w:ascii="Times New Roman" w:hAnsi="Times New Roman"/>
          <w:sz w:val="20"/>
        </w:rPr>
      </w:pPr>
    </w:p>
    <w:p w14:paraId="282890A1" w14:textId="77777777" w:rsidR="0037500C" w:rsidRPr="001104BF" w:rsidRDefault="0037500C" w:rsidP="00E14607">
      <w:pPr>
        <w:pStyle w:val="BodyText"/>
        <w:spacing w:after="0"/>
        <w:jc w:val="both"/>
        <w:rPr>
          <w:rFonts w:ascii="Times New Roman" w:hAnsi="Times New Roman"/>
          <w:sz w:val="24"/>
          <w:szCs w:val="24"/>
        </w:rPr>
      </w:pPr>
      <w:r>
        <w:rPr>
          <w:rFonts w:ascii="Times New Roman" w:hAnsi="Times New Roman"/>
          <w:sz w:val="24"/>
          <w:szCs w:val="24"/>
        </w:rPr>
        <w:t xml:space="preserve">The accompanying forecast and this report are intended solely for the information and use of parties </w:t>
      </w:r>
      <w:r w:rsidR="003F3F6A">
        <w:rPr>
          <w:rFonts w:ascii="Times New Roman" w:hAnsi="Times New Roman"/>
          <w:sz w:val="24"/>
          <w:szCs w:val="24"/>
        </w:rPr>
        <w:t xml:space="preserve">involved in </w:t>
      </w:r>
      <w:r w:rsidRPr="0037500C">
        <w:rPr>
          <w:rFonts w:ascii="Times New Roman" w:hAnsi="Times New Roman"/>
          <w:sz w:val="24"/>
          <w:szCs w:val="24"/>
        </w:rPr>
        <w:t xml:space="preserve">filing </w:t>
      </w:r>
      <w:r w:rsidR="003F3F6A">
        <w:rPr>
          <w:rFonts w:ascii="Times New Roman" w:hAnsi="Times New Roman"/>
          <w:sz w:val="24"/>
          <w:szCs w:val="24"/>
        </w:rPr>
        <w:t xml:space="preserve">or evaluating the </w:t>
      </w:r>
      <w:r w:rsidRPr="0037500C">
        <w:rPr>
          <w:rFonts w:ascii="Times New Roman" w:hAnsi="Times New Roman"/>
          <w:sz w:val="24"/>
          <w:szCs w:val="24"/>
        </w:rPr>
        <w:t>Notice of Determination of Need</w:t>
      </w:r>
      <w:r w:rsidR="00C369E3">
        <w:rPr>
          <w:rFonts w:ascii="Times New Roman" w:hAnsi="Times New Roman"/>
          <w:sz w:val="24"/>
          <w:szCs w:val="24"/>
        </w:rPr>
        <w:t xml:space="preserve"> Application</w:t>
      </w:r>
      <w:r w:rsidR="003F3F6A" w:rsidRPr="003F3F6A">
        <w:t xml:space="preserve"> </w:t>
      </w:r>
      <w:r w:rsidR="003F3F6A" w:rsidRPr="003F3F6A">
        <w:rPr>
          <w:rFonts w:ascii="Times New Roman" w:hAnsi="Times New Roman"/>
          <w:sz w:val="24"/>
          <w:szCs w:val="24"/>
        </w:rPr>
        <w:t xml:space="preserve">as defined in Note </w:t>
      </w:r>
      <w:r w:rsidR="00EF3640" w:rsidRPr="003F3F6A">
        <w:rPr>
          <w:rFonts w:ascii="Times New Roman" w:hAnsi="Times New Roman"/>
          <w:sz w:val="24"/>
          <w:szCs w:val="24"/>
        </w:rPr>
        <w:t>1</w:t>
      </w:r>
      <w:r w:rsidR="00EF3640">
        <w:rPr>
          <w:rFonts w:ascii="Times New Roman" w:hAnsi="Times New Roman"/>
          <w:sz w:val="24"/>
          <w:szCs w:val="24"/>
        </w:rPr>
        <w:t>, and</w:t>
      </w:r>
      <w:r w:rsidR="003F3F6A">
        <w:rPr>
          <w:rFonts w:ascii="Times New Roman" w:hAnsi="Times New Roman"/>
          <w:sz w:val="24"/>
          <w:szCs w:val="24"/>
        </w:rPr>
        <w:t xml:space="preserve"> are not intended to be and should not be used by anyone other than these specified parties.</w:t>
      </w:r>
    </w:p>
    <w:p w14:paraId="3741368C" w14:textId="77777777" w:rsidR="00F93583" w:rsidRDefault="00F93583" w:rsidP="00333B7B">
      <w:pPr>
        <w:pStyle w:val="BodyText"/>
        <w:spacing w:after="0"/>
        <w:jc w:val="both"/>
        <w:rPr>
          <w:rFonts w:ascii="Times New Roman" w:hAnsi="Times New Roman"/>
          <w:sz w:val="24"/>
          <w:szCs w:val="24"/>
        </w:rPr>
      </w:pPr>
    </w:p>
    <w:p w14:paraId="5BD66C54" w14:textId="77777777" w:rsidR="00060971" w:rsidRPr="006F3C61" w:rsidRDefault="00060971" w:rsidP="00333B7B">
      <w:pPr>
        <w:pStyle w:val="BodyText"/>
        <w:spacing w:after="0"/>
        <w:jc w:val="both"/>
        <w:rPr>
          <w:rFonts w:ascii="Times New Roman" w:hAnsi="Times New Roman"/>
          <w:sz w:val="56"/>
          <w:szCs w:val="56"/>
        </w:rPr>
      </w:pPr>
    </w:p>
    <w:p w14:paraId="4C06B9B1" w14:textId="77777777" w:rsidR="003409BD" w:rsidRPr="00427AA4" w:rsidRDefault="00E22A71" w:rsidP="007523ED">
      <w:pPr>
        <w:pStyle w:val="PAParaText"/>
        <w:spacing w:after="0"/>
        <w:rPr>
          <w:rFonts w:ascii="Times New Roman" w:hAnsi="Times New Roman"/>
          <w:sz w:val="24"/>
          <w:szCs w:val="24"/>
        </w:rPr>
      </w:pPr>
      <w:r>
        <w:rPr>
          <w:rFonts w:ascii="Times New Roman" w:hAnsi="Times New Roman"/>
          <w:sz w:val="24"/>
          <w:szCs w:val="24"/>
        </w:rPr>
        <w:t>April 12, 2023</w:t>
      </w:r>
    </w:p>
    <w:p w14:paraId="390E99B6" w14:textId="77777777" w:rsidR="00CA1F45" w:rsidRDefault="00CA1F45" w:rsidP="006F4BC4">
      <w:pPr>
        <w:spacing w:line="360" w:lineRule="exact"/>
        <w:jc w:val="center"/>
        <w:rPr>
          <w:rFonts w:ascii="Times New Roman" w:hAnsi="Times New Roman"/>
          <w:sz w:val="24"/>
          <w:szCs w:val="24"/>
        </w:rPr>
        <w:sectPr w:rsidR="00CA1F45" w:rsidSect="002E701F">
          <w:type w:val="continuous"/>
          <w:pgSz w:w="12240" w:h="15840" w:code="1"/>
          <w:pgMar w:top="720" w:right="1310" w:bottom="1195" w:left="1310" w:header="720" w:footer="720" w:gutter="0"/>
          <w:cols w:space="720"/>
          <w:titlePg/>
          <w:docGrid w:linePitch="299"/>
        </w:sectPr>
      </w:pPr>
    </w:p>
    <w:p w14:paraId="002BAFDE" w14:textId="6C66DB74" w:rsidR="00AA328D" w:rsidRPr="007F4459" w:rsidRDefault="00FF16E6" w:rsidP="006F4BC4">
      <w:pPr>
        <w:spacing w:line="360" w:lineRule="exact"/>
        <w:jc w:val="center"/>
        <w:rPr>
          <w:rFonts w:ascii="Times New Roman" w:hAnsi="Times New Roman"/>
          <w:b/>
          <w:bCs/>
          <w:sz w:val="24"/>
          <w:szCs w:val="24"/>
        </w:rPr>
      </w:pPr>
      <w:r w:rsidRPr="007F4459">
        <w:rPr>
          <w:rFonts w:ascii="Times New Roman" w:hAnsi="Times New Roman"/>
          <w:b/>
          <w:bCs/>
          <w:sz w:val="24"/>
          <w:szCs w:val="24"/>
        </w:rPr>
        <w:lastRenderedPageBreak/>
        <w:t xml:space="preserve"> </w:t>
      </w:r>
      <w:r w:rsidR="0029003E" w:rsidRPr="0029003E">
        <w:rPr>
          <w:rFonts w:ascii="Times New Roman" w:hAnsi="Times New Roman"/>
          <w:b/>
          <w:sz w:val="24"/>
          <w:szCs w:val="24"/>
        </w:rPr>
        <w:t>BOSTON OUTPATIENT SURGICAL SUITES</w:t>
      </w:r>
      <w:r w:rsidR="0029003E">
        <w:rPr>
          <w:rFonts w:ascii="Times New Roman" w:hAnsi="Times New Roman"/>
          <w:b/>
          <w:bCs/>
          <w:sz w:val="24"/>
          <w:szCs w:val="24"/>
        </w:rPr>
        <w:t xml:space="preserve">, </w:t>
      </w:r>
      <w:r w:rsidRPr="007F4459">
        <w:rPr>
          <w:rFonts w:ascii="Times New Roman" w:hAnsi="Times New Roman"/>
          <w:b/>
          <w:bCs/>
          <w:sz w:val="24"/>
          <w:szCs w:val="24"/>
        </w:rPr>
        <w:t>LLC</w:t>
      </w:r>
    </w:p>
    <w:p w14:paraId="27067579" w14:textId="77777777" w:rsidR="006F4BC4" w:rsidRPr="007F4459" w:rsidRDefault="006F4BC4" w:rsidP="004251FB">
      <w:pPr>
        <w:spacing w:line="360" w:lineRule="exact"/>
        <w:ind w:left="-360" w:right="-72" w:firstLine="360"/>
        <w:jc w:val="center"/>
        <w:rPr>
          <w:rFonts w:ascii="Times New Roman" w:hAnsi="Times New Roman"/>
          <w:b/>
          <w:bCs/>
          <w:sz w:val="24"/>
          <w:szCs w:val="24"/>
        </w:rPr>
      </w:pPr>
      <w:r w:rsidRPr="007F4459">
        <w:rPr>
          <w:rFonts w:ascii="Times New Roman" w:hAnsi="Times New Roman"/>
          <w:b/>
          <w:bCs/>
          <w:sz w:val="24"/>
          <w:szCs w:val="24"/>
        </w:rPr>
        <w:t>S</w:t>
      </w:r>
      <w:r w:rsidR="00FF16E6" w:rsidRPr="007F4459">
        <w:rPr>
          <w:rFonts w:ascii="Times New Roman" w:hAnsi="Times New Roman"/>
          <w:b/>
          <w:bCs/>
          <w:sz w:val="24"/>
          <w:szCs w:val="24"/>
        </w:rPr>
        <w:t>CHEDULE</w:t>
      </w:r>
      <w:r w:rsidRPr="007F4459">
        <w:rPr>
          <w:rFonts w:ascii="Times New Roman" w:hAnsi="Times New Roman"/>
          <w:b/>
          <w:bCs/>
          <w:sz w:val="24"/>
          <w:szCs w:val="24"/>
        </w:rPr>
        <w:t xml:space="preserve"> </w:t>
      </w:r>
      <w:r w:rsidR="00FF16E6" w:rsidRPr="007F4459">
        <w:rPr>
          <w:rFonts w:ascii="Times New Roman" w:hAnsi="Times New Roman"/>
          <w:b/>
          <w:bCs/>
          <w:sz w:val="24"/>
          <w:szCs w:val="24"/>
        </w:rPr>
        <w:t>OF REVENUE</w:t>
      </w:r>
      <w:r w:rsidRPr="007F4459">
        <w:rPr>
          <w:rFonts w:ascii="Times New Roman" w:hAnsi="Times New Roman"/>
          <w:b/>
          <w:bCs/>
          <w:sz w:val="24"/>
          <w:szCs w:val="24"/>
        </w:rPr>
        <w:t xml:space="preserve"> </w:t>
      </w:r>
      <w:r w:rsidR="00FF16E6" w:rsidRPr="007F4459">
        <w:rPr>
          <w:rFonts w:ascii="Times New Roman" w:hAnsi="Times New Roman"/>
          <w:b/>
          <w:bCs/>
          <w:sz w:val="24"/>
          <w:szCs w:val="24"/>
        </w:rPr>
        <w:t>AND EARNINGS BEFORE TAXES</w:t>
      </w:r>
      <w:r w:rsidR="00C369E3">
        <w:rPr>
          <w:rFonts w:ascii="Times New Roman" w:hAnsi="Times New Roman"/>
          <w:b/>
          <w:bCs/>
          <w:sz w:val="24"/>
          <w:szCs w:val="24"/>
        </w:rPr>
        <w:t xml:space="preserve"> </w:t>
      </w:r>
    </w:p>
    <w:p w14:paraId="3DD561AD" w14:textId="284E2A8D" w:rsidR="00AA328D" w:rsidRPr="007F4459" w:rsidRDefault="00AA328D" w:rsidP="00AF6F46">
      <w:pPr>
        <w:spacing w:line="360" w:lineRule="exact"/>
        <w:ind w:left="-360" w:right="-295" w:firstLine="360"/>
        <w:jc w:val="center"/>
        <w:rPr>
          <w:rFonts w:ascii="Times New Roman" w:hAnsi="Times New Roman"/>
          <w:b/>
          <w:bCs/>
          <w:sz w:val="24"/>
          <w:szCs w:val="24"/>
        </w:rPr>
      </w:pPr>
      <w:r w:rsidRPr="007F4459">
        <w:rPr>
          <w:rFonts w:ascii="Times New Roman" w:hAnsi="Times New Roman"/>
          <w:b/>
          <w:bCs/>
          <w:sz w:val="24"/>
          <w:szCs w:val="24"/>
        </w:rPr>
        <w:t xml:space="preserve">Period from </w:t>
      </w:r>
      <w:r w:rsidR="00B13D18">
        <w:rPr>
          <w:rFonts w:ascii="Times New Roman" w:hAnsi="Times New Roman"/>
          <w:b/>
          <w:bCs/>
          <w:sz w:val="24"/>
          <w:szCs w:val="24"/>
        </w:rPr>
        <w:t>January 1, 2025 to December 31, 2029</w:t>
      </w:r>
    </w:p>
    <w:tbl>
      <w:tblPr>
        <w:tblW w:w="5200" w:type="pct"/>
        <w:tblInd w:w="-4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467"/>
        <w:gridCol w:w="623"/>
        <w:gridCol w:w="1116"/>
        <w:gridCol w:w="801"/>
        <w:gridCol w:w="1116"/>
        <w:gridCol w:w="801"/>
        <w:gridCol w:w="1116"/>
        <w:gridCol w:w="801"/>
        <w:gridCol w:w="1116"/>
        <w:gridCol w:w="801"/>
        <w:gridCol w:w="1116"/>
        <w:gridCol w:w="1071"/>
      </w:tblGrid>
      <w:tr w:rsidR="00381D9B" w:rsidRPr="00827B75" w14:paraId="61EB1F24" w14:textId="77777777" w:rsidTr="00E43CC8">
        <w:trPr>
          <w:cantSplit/>
          <w:trHeight w:val="375"/>
          <w:tblHeader/>
        </w:trPr>
        <w:tc>
          <w:tcPr>
            <w:tcW w:w="1659" w:type="pct"/>
            <w:tcBorders>
              <w:bottom w:val="single" w:sz="12" w:space="0" w:color="auto"/>
            </w:tcBorders>
            <w:shd w:val="clear" w:color="000000" w:fill="002060"/>
            <w:noWrap/>
            <w:vAlign w:val="center"/>
            <w:hideMark/>
          </w:tcPr>
          <w:p w14:paraId="3E10ECFC" w14:textId="77777777" w:rsidR="008B2E42" w:rsidRPr="00827B75" w:rsidRDefault="008B2E42" w:rsidP="00AF6F46">
            <w:pPr>
              <w:tabs>
                <w:tab w:val="left" w:pos="3315"/>
              </w:tabs>
              <w:ind w:left="-465" w:right="240" w:hanging="480"/>
              <w:rPr>
                <w:rFonts w:ascii="Times New Roman" w:hAnsi="Times New Roman"/>
                <w:color w:val="FFFFFF"/>
                <w:sz w:val="20"/>
              </w:rPr>
            </w:pPr>
          </w:p>
        </w:tc>
        <w:tc>
          <w:tcPr>
            <w:tcW w:w="87" w:type="pct"/>
            <w:tcBorders>
              <w:bottom w:val="single" w:sz="12" w:space="0" w:color="auto"/>
            </w:tcBorders>
            <w:shd w:val="clear" w:color="000000" w:fill="002060"/>
            <w:noWrap/>
            <w:vAlign w:val="center"/>
            <w:hideMark/>
          </w:tcPr>
          <w:p w14:paraId="2A604FCC" w14:textId="77777777" w:rsidR="008B2E42" w:rsidRPr="00827B75" w:rsidRDefault="008B2E42" w:rsidP="00AF6F46">
            <w:pPr>
              <w:tabs>
                <w:tab w:val="left" w:pos="3315"/>
              </w:tabs>
              <w:rPr>
                <w:rFonts w:ascii="Times New Roman" w:hAnsi="Times New Roman"/>
                <w:color w:val="FFFFFF"/>
                <w:sz w:val="20"/>
              </w:rPr>
            </w:pPr>
            <w:r w:rsidRPr="00827B75">
              <w:rPr>
                <w:rFonts w:ascii="Times New Roman" w:hAnsi="Times New Roman"/>
                <w:color w:val="FFFFFF"/>
                <w:sz w:val="20"/>
              </w:rPr>
              <w:t> </w:t>
            </w:r>
          </w:p>
        </w:tc>
        <w:tc>
          <w:tcPr>
            <w:tcW w:w="631" w:type="pct"/>
            <w:gridSpan w:val="2"/>
            <w:tcBorders>
              <w:bottom w:val="single" w:sz="12" w:space="0" w:color="auto"/>
            </w:tcBorders>
            <w:shd w:val="clear" w:color="000000" w:fill="002060"/>
            <w:vAlign w:val="center"/>
            <w:hideMark/>
          </w:tcPr>
          <w:p w14:paraId="4BE20D31" w14:textId="77777777" w:rsidR="008B2E42" w:rsidRPr="00827B75" w:rsidRDefault="00DA4E96" w:rsidP="00DE6E1C">
            <w:pPr>
              <w:jc w:val="center"/>
              <w:rPr>
                <w:rFonts w:ascii="Times New Roman" w:hAnsi="Times New Roman"/>
                <w:b/>
                <w:bCs/>
                <w:color w:val="FFFFFF"/>
                <w:sz w:val="20"/>
              </w:rPr>
            </w:pPr>
            <w:r>
              <w:rPr>
                <w:rFonts w:ascii="Times New Roman" w:hAnsi="Times New Roman"/>
                <w:b/>
                <w:bCs/>
                <w:color w:val="FFFFFF"/>
                <w:sz w:val="20"/>
              </w:rPr>
              <w:t xml:space="preserve">2025 - </w:t>
            </w:r>
            <w:r w:rsidR="008B2E42" w:rsidRPr="00827B75">
              <w:rPr>
                <w:rFonts w:ascii="Times New Roman" w:hAnsi="Times New Roman"/>
                <w:b/>
                <w:bCs/>
                <w:color w:val="FFFFFF"/>
                <w:sz w:val="20"/>
              </w:rPr>
              <w:t>Year 1</w:t>
            </w:r>
          </w:p>
        </w:tc>
        <w:tc>
          <w:tcPr>
            <w:tcW w:w="634" w:type="pct"/>
            <w:gridSpan w:val="2"/>
            <w:tcBorders>
              <w:bottom w:val="single" w:sz="12" w:space="0" w:color="auto"/>
            </w:tcBorders>
            <w:shd w:val="clear" w:color="000000" w:fill="002060"/>
            <w:vAlign w:val="center"/>
            <w:hideMark/>
          </w:tcPr>
          <w:p w14:paraId="3A20E09A" w14:textId="77777777" w:rsidR="008B2E42" w:rsidRPr="00827B75" w:rsidRDefault="00DA4E96" w:rsidP="00DE6E1C">
            <w:pPr>
              <w:jc w:val="center"/>
              <w:rPr>
                <w:rFonts w:ascii="Times New Roman" w:hAnsi="Times New Roman"/>
                <w:b/>
                <w:bCs/>
                <w:color w:val="FFFFFF"/>
                <w:sz w:val="20"/>
              </w:rPr>
            </w:pPr>
            <w:r>
              <w:rPr>
                <w:rFonts w:ascii="Times New Roman" w:hAnsi="Times New Roman"/>
                <w:b/>
                <w:bCs/>
                <w:color w:val="FFFFFF"/>
                <w:sz w:val="20"/>
              </w:rPr>
              <w:t xml:space="preserve">2026 - </w:t>
            </w:r>
            <w:r w:rsidR="008B2E42" w:rsidRPr="00827B75">
              <w:rPr>
                <w:rFonts w:ascii="Times New Roman" w:hAnsi="Times New Roman"/>
                <w:b/>
                <w:bCs/>
                <w:color w:val="FFFFFF"/>
                <w:sz w:val="20"/>
              </w:rPr>
              <w:t>Year 2</w:t>
            </w:r>
          </w:p>
        </w:tc>
        <w:tc>
          <w:tcPr>
            <w:tcW w:w="634" w:type="pct"/>
            <w:gridSpan w:val="2"/>
            <w:tcBorders>
              <w:bottom w:val="single" w:sz="12" w:space="0" w:color="auto"/>
            </w:tcBorders>
            <w:shd w:val="clear" w:color="000000" w:fill="002060"/>
            <w:vAlign w:val="center"/>
            <w:hideMark/>
          </w:tcPr>
          <w:p w14:paraId="1A553895" w14:textId="77777777" w:rsidR="008B2E42" w:rsidRPr="00827B75" w:rsidRDefault="00DA4E96" w:rsidP="00DE6E1C">
            <w:pPr>
              <w:jc w:val="center"/>
              <w:rPr>
                <w:rFonts w:ascii="Times New Roman" w:hAnsi="Times New Roman"/>
                <w:b/>
                <w:bCs/>
                <w:color w:val="FFFFFF"/>
                <w:sz w:val="20"/>
              </w:rPr>
            </w:pPr>
            <w:r>
              <w:rPr>
                <w:rFonts w:ascii="Times New Roman" w:hAnsi="Times New Roman"/>
                <w:b/>
                <w:bCs/>
                <w:color w:val="FFFFFF"/>
                <w:sz w:val="20"/>
              </w:rPr>
              <w:t xml:space="preserve">2027 - </w:t>
            </w:r>
            <w:r w:rsidR="008B2E42" w:rsidRPr="00827B75">
              <w:rPr>
                <w:rFonts w:ascii="Times New Roman" w:hAnsi="Times New Roman"/>
                <w:b/>
                <w:bCs/>
                <w:color w:val="FFFFFF"/>
                <w:sz w:val="20"/>
              </w:rPr>
              <w:t>Year 3</w:t>
            </w:r>
          </w:p>
        </w:tc>
        <w:tc>
          <w:tcPr>
            <w:tcW w:w="635" w:type="pct"/>
            <w:gridSpan w:val="2"/>
            <w:tcBorders>
              <w:bottom w:val="single" w:sz="12" w:space="0" w:color="auto"/>
            </w:tcBorders>
            <w:shd w:val="clear" w:color="000000" w:fill="002060"/>
            <w:vAlign w:val="center"/>
            <w:hideMark/>
          </w:tcPr>
          <w:p w14:paraId="52686E4A" w14:textId="77777777" w:rsidR="008B2E42" w:rsidRPr="00827B75" w:rsidRDefault="00DA4E96" w:rsidP="00DE6E1C">
            <w:pPr>
              <w:jc w:val="center"/>
              <w:rPr>
                <w:rFonts w:ascii="Times New Roman" w:hAnsi="Times New Roman"/>
                <w:b/>
                <w:bCs/>
                <w:color w:val="FFFFFF"/>
                <w:sz w:val="20"/>
              </w:rPr>
            </w:pPr>
            <w:r>
              <w:rPr>
                <w:rFonts w:ascii="Times New Roman" w:hAnsi="Times New Roman"/>
                <w:b/>
                <w:bCs/>
                <w:color w:val="FFFFFF"/>
                <w:sz w:val="20"/>
              </w:rPr>
              <w:t xml:space="preserve">2028 - </w:t>
            </w:r>
            <w:r w:rsidR="008B2E42" w:rsidRPr="00827B75">
              <w:rPr>
                <w:rFonts w:ascii="Times New Roman" w:hAnsi="Times New Roman"/>
                <w:b/>
                <w:bCs/>
                <w:color w:val="FFFFFF"/>
                <w:sz w:val="20"/>
              </w:rPr>
              <w:t>Year 4</w:t>
            </w:r>
          </w:p>
        </w:tc>
        <w:tc>
          <w:tcPr>
            <w:tcW w:w="719" w:type="pct"/>
            <w:gridSpan w:val="2"/>
            <w:tcBorders>
              <w:bottom w:val="single" w:sz="12" w:space="0" w:color="auto"/>
            </w:tcBorders>
            <w:shd w:val="clear" w:color="000000" w:fill="002060"/>
            <w:vAlign w:val="center"/>
            <w:hideMark/>
          </w:tcPr>
          <w:p w14:paraId="0B5BF5A3" w14:textId="77777777" w:rsidR="008B2E42" w:rsidRPr="00827B75" w:rsidRDefault="00DA4E96" w:rsidP="002F4F52">
            <w:pPr>
              <w:ind w:left="-329" w:firstLine="90"/>
              <w:jc w:val="center"/>
              <w:rPr>
                <w:rFonts w:ascii="Times New Roman" w:hAnsi="Times New Roman"/>
                <w:b/>
                <w:bCs/>
                <w:color w:val="FFFFFF"/>
                <w:sz w:val="20"/>
              </w:rPr>
            </w:pPr>
            <w:r>
              <w:rPr>
                <w:rFonts w:ascii="Times New Roman" w:hAnsi="Times New Roman"/>
                <w:b/>
                <w:bCs/>
                <w:color w:val="FFFFFF"/>
                <w:sz w:val="20"/>
              </w:rPr>
              <w:t xml:space="preserve">2029 - </w:t>
            </w:r>
            <w:r w:rsidR="008B2E42" w:rsidRPr="00827B75">
              <w:rPr>
                <w:rFonts w:ascii="Times New Roman" w:hAnsi="Times New Roman"/>
                <w:b/>
                <w:bCs/>
                <w:color w:val="FFFFFF"/>
                <w:sz w:val="20"/>
              </w:rPr>
              <w:t>Year 5</w:t>
            </w:r>
          </w:p>
        </w:tc>
      </w:tr>
      <w:tr w:rsidR="002105AB" w:rsidRPr="00827B75" w14:paraId="5EDA22AF" w14:textId="77777777" w:rsidTr="00E43CC8">
        <w:trPr>
          <w:cantSplit/>
          <w:trHeight w:val="300"/>
        </w:trPr>
        <w:tc>
          <w:tcPr>
            <w:tcW w:w="1659" w:type="pct"/>
            <w:tcBorders>
              <w:bottom w:val="single" w:sz="18" w:space="0" w:color="auto"/>
            </w:tcBorders>
            <w:shd w:val="clear" w:color="000000" w:fill="FFFFFF"/>
            <w:noWrap/>
            <w:vAlign w:val="center"/>
            <w:hideMark/>
          </w:tcPr>
          <w:p w14:paraId="1416995F" w14:textId="77777777" w:rsidR="008B2E42" w:rsidRPr="00A455F0" w:rsidRDefault="008B2E42" w:rsidP="00AF6F46">
            <w:pPr>
              <w:tabs>
                <w:tab w:val="left" w:pos="3315"/>
              </w:tabs>
              <w:rPr>
                <w:rFonts w:ascii="Times New Roman" w:hAnsi="Times New Roman"/>
                <w:b/>
                <w:bCs/>
                <w:sz w:val="18"/>
                <w:szCs w:val="18"/>
              </w:rPr>
            </w:pPr>
            <w:r w:rsidRPr="00A455F0">
              <w:rPr>
                <w:rFonts w:ascii="Times New Roman" w:hAnsi="Times New Roman"/>
                <w:b/>
                <w:bCs/>
                <w:sz w:val="18"/>
                <w:szCs w:val="18"/>
              </w:rPr>
              <w:t># of Operating Rooms</w:t>
            </w:r>
          </w:p>
        </w:tc>
        <w:tc>
          <w:tcPr>
            <w:tcW w:w="87" w:type="pct"/>
            <w:tcBorders>
              <w:bottom w:val="single" w:sz="18" w:space="0" w:color="auto"/>
            </w:tcBorders>
            <w:shd w:val="clear" w:color="000000" w:fill="FFFFFF"/>
            <w:noWrap/>
            <w:vAlign w:val="center"/>
            <w:hideMark/>
          </w:tcPr>
          <w:p w14:paraId="42069D90" w14:textId="77777777" w:rsidR="008B2E42" w:rsidRPr="00A455F0" w:rsidRDefault="008B2E42" w:rsidP="00AF6F46">
            <w:pPr>
              <w:tabs>
                <w:tab w:val="left" w:pos="3315"/>
              </w:tabs>
              <w:rPr>
                <w:rFonts w:ascii="Times New Roman" w:hAnsi="Times New Roman"/>
                <w:b/>
                <w:bCs/>
                <w:sz w:val="18"/>
                <w:szCs w:val="18"/>
              </w:rPr>
            </w:pPr>
            <w:r w:rsidRPr="00A455F0">
              <w:rPr>
                <w:rFonts w:ascii="Times New Roman" w:hAnsi="Times New Roman"/>
                <w:b/>
                <w:bCs/>
                <w:sz w:val="18"/>
                <w:szCs w:val="18"/>
              </w:rPr>
              <w:t> </w:t>
            </w:r>
          </w:p>
        </w:tc>
        <w:tc>
          <w:tcPr>
            <w:tcW w:w="367" w:type="pct"/>
            <w:tcBorders>
              <w:bottom w:val="single" w:sz="18" w:space="0" w:color="auto"/>
            </w:tcBorders>
            <w:shd w:val="clear" w:color="000000" w:fill="FFFFFF"/>
            <w:noWrap/>
            <w:vAlign w:val="center"/>
            <w:hideMark/>
          </w:tcPr>
          <w:p w14:paraId="12D7852B" w14:textId="77777777" w:rsidR="008B2E42" w:rsidRPr="00A455F0" w:rsidRDefault="008B2E42" w:rsidP="00DE6E1C">
            <w:pPr>
              <w:jc w:val="right"/>
              <w:rPr>
                <w:rFonts w:ascii="Times New Roman" w:hAnsi="Times New Roman"/>
                <w:b/>
                <w:bCs/>
                <w:sz w:val="18"/>
                <w:szCs w:val="18"/>
              </w:rPr>
            </w:pPr>
            <w:r w:rsidRPr="00A455F0">
              <w:rPr>
                <w:rFonts w:ascii="Times New Roman" w:hAnsi="Times New Roman"/>
                <w:b/>
                <w:bCs/>
                <w:sz w:val="18"/>
                <w:szCs w:val="18"/>
              </w:rPr>
              <w:t xml:space="preserve">8 </w:t>
            </w:r>
          </w:p>
        </w:tc>
        <w:tc>
          <w:tcPr>
            <w:tcW w:w="264" w:type="pct"/>
            <w:tcBorders>
              <w:bottom w:val="single" w:sz="18" w:space="0" w:color="auto"/>
            </w:tcBorders>
            <w:shd w:val="clear" w:color="000000" w:fill="FFFFFF"/>
            <w:noWrap/>
            <w:vAlign w:val="center"/>
            <w:hideMark/>
          </w:tcPr>
          <w:p w14:paraId="711C6CA7" w14:textId="77777777" w:rsidR="008B2E42" w:rsidRPr="00A455F0" w:rsidRDefault="008B2E42" w:rsidP="00DE6E1C">
            <w:pPr>
              <w:jc w:val="right"/>
              <w:rPr>
                <w:rFonts w:ascii="Times New Roman" w:hAnsi="Times New Roman"/>
                <w:b/>
                <w:bCs/>
                <w:sz w:val="18"/>
                <w:szCs w:val="18"/>
              </w:rPr>
            </w:pPr>
            <w:r w:rsidRPr="00A455F0">
              <w:rPr>
                <w:rFonts w:ascii="Times New Roman" w:hAnsi="Times New Roman"/>
                <w:b/>
                <w:bCs/>
                <w:sz w:val="18"/>
                <w:szCs w:val="18"/>
              </w:rPr>
              <w:t> </w:t>
            </w:r>
          </w:p>
        </w:tc>
        <w:tc>
          <w:tcPr>
            <w:tcW w:w="367" w:type="pct"/>
            <w:tcBorders>
              <w:bottom w:val="single" w:sz="18" w:space="0" w:color="auto"/>
            </w:tcBorders>
            <w:shd w:val="clear" w:color="000000" w:fill="FFFFFF"/>
            <w:noWrap/>
            <w:vAlign w:val="center"/>
            <w:hideMark/>
          </w:tcPr>
          <w:p w14:paraId="6A813F0C" w14:textId="77777777" w:rsidR="008B2E42" w:rsidRPr="00A455F0" w:rsidRDefault="008B2E42" w:rsidP="00DE6E1C">
            <w:pPr>
              <w:jc w:val="right"/>
              <w:rPr>
                <w:rFonts w:ascii="Times New Roman" w:hAnsi="Times New Roman"/>
                <w:b/>
                <w:bCs/>
                <w:sz w:val="18"/>
                <w:szCs w:val="18"/>
              </w:rPr>
            </w:pPr>
            <w:r w:rsidRPr="00A455F0">
              <w:rPr>
                <w:rFonts w:ascii="Times New Roman" w:hAnsi="Times New Roman"/>
                <w:b/>
                <w:bCs/>
                <w:sz w:val="18"/>
                <w:szCs w:val="18"/>
              </w:rPr>
              <w:t xml:space="preserve">8 </w:t>
            </w:r>
          </w:p>
        </w:tc>
        <w:tc>
          <w:tcPr>
            <w:tcW w:w="267" w:type="pct"/>
            <w:tcBorders>
              <w:bottom w:val="single" w:sz="18" w:space="0" w:color="auto"/>
            </w:tcBorders>
            <w:shd w:val="clear" w:color="000000" w:fill="FFFFFF"/>
            <w:noWrap/>
            <w:vAlign w:val="center"/>
            <w:hideMark/>
          </w:tcPr>
          <w:p w14:paraId="7B5C9D47" w14:textId="77777777" w:rsidR="008B2E42" w:rsidRPr="00A455F0" w:rsidRDefault="008B2E42" w:rsidP="00DE6E1C">
            <w:pPr>
              <w:jc w:val="right"/>
              <w:rPr>
                <w:rFonts w:ascii="Times New Roman" w:hAnsi="Times New Roman"/>
                <w:b/>
                <w:bCs/>
                <w:sz w:val="18"/>
                <w:szCs w:val="18"/>
              </w:rPr>
            </w:pPr>
            <w:r w:rsidRPr="00A455F0">
              <w:rPr>
                <w:rFonts w:ascii="Times New Roman" w:hAnsi="Times New Roman"/>
                <w:b/>
                <w:bCs/>
                <w:sz w:val="18"/>
                <w:szCs w:val="18"/>
              </w:rPr>
              <w:t> </w:t>
            </w:r>
          </w:p>
        </w:tc>
        <w:tc>
          <w:tcPr>
            <w:tcW w:w="367" w:type="pct"/>
            <w:tcBorders>
              <w:bottom w:val="single" w:sz="18" w:space="0" w:color="auto"/>
            </w:tcBorders>
            <w:shd w:val="clear" w:color="000000" w:fill="FFFFFF"/>
            <w:noWrap/>
            <w:vAlign w:val="center"/>
            <w:hideMark/>
          </w:tcPr>
          <w:p w14:paraId="2B0A988B" w14:textId="77777777" w:rsidR="008B2E42" w:rsidRPr="00A455F0" w:rsidRDefault="008B2E42" w:rsidP="00DE6E1C">
            <w:pPr>
              <w:jc w:val="right"/>
              <w:rPr>
                <w:rFonts w:ascii="Times New Roman" w:hAnsi="Times New Roman"/>
                <w:b/>
                <w:bCs/>
                <w:sz w:val="18"/>
                <w:szCs w:val="18"/>
              </w:rPr>
            </w:pPr>
            <w:r w:rsidRPr="00A455F0">
              <w:rPr>
                <w:rFonts w:ascii="Times New Roman" w:hAnsi="Times New Roman"/>
                <w:b/>
                <w:bCs/>
                <w:sz w:val="18"/>
                <w:szCs w:val="18"/>
              </w:rPr>
              <w:t xml:space="preserve">8 </w:t>
            </w:r>
          </w:p>
        </w:tc>
        <w:tc>
          <w:tcPr>
            <w:tcW w:w="267" w:type="pct"/>
            <w:tcBorders>
              <w:bottom w:val="single" w:sz="18" w:space="0" w:color="auto"/>
            </w:tcBorders>
            <w:shd w:val="clear" w:color="000000" w:fill="FFFFFF"/>
            <w:noWrap/>
            <w:vAlign w:val="center"/>
            <w:hideMark/>
          </w:tcPr>
          <w:p w14:paraId="508AC7C4" w14:textId="77777777" w:rsidR="008B2E42" w:rsidRPr="00A455F0" w:rsidRDefault="008B2E42" w:rsidP="00DE6E1C">
            <w:pPr>
              <w:jc w:val="right"/>
              <w:rPr>
                <w:rFonts w:ascii="Times New Roman" w:hAnsi="Times New Roman"/>
                <w:b/>
                <w:bCs/>
                <w:sz w:val="18"/>
                <w:szCs w:val="18"/>
              </w:rPr>
            </w:pPr>
            <w:r w:rsidRPr="00A455F0">
              <w:rPr>
                <w:rFonts w:ascii="Times New Roman" w:hAnsi="Times New Roman"/>
                <w:b/>
                <w:bCs/>
                <w:sz w:val="18"/>
                <w:szCs w:val="18"/>
              </w:rPr>
              <w:t> </w:t>
            </w:r>
          </w:p>
        </w:tc>
        <w:tc>
          <w:tcPr>
            <w:tcW w:w="367" w:type="pct"/>
            <w:tcBorders>
              <w:bottom w:val="single" w:sz="18" w:space="0" w:color="auto"/>
            </w:tcBorders>
            <w:shd w:val="clear" w:color="000000" w:fill="FFFFFF"/>
            <w:noWrap/>
            <w:vAlign w:val="center"/>
            <w:hideMark/>
          </w:tcPr>
          <w:p w14:paraId="771E77AD" w14:textId="77777777" w:rsidR="008B2E42" w:rsidRPr="00A455F0" w:rsidRDefault="008B2E42" w:rsidP="00DE6E1C">
            <w:pPr>
              <w:jc w:val="right"/>
              <w:rPr>
                <w:rFonts w:ascii="Times New Roman" w:hAnsi="Times New Roman"/>
                <w:b/>
                <w:bCs/>
                <w:sz w:val="18"/>
                <w:szCs w:val="18"/>
              </w:rPr>
            </w:pPr>
            <w:r w:rsidRPr="00A455F0">
              <w:rPr>
                <w:rFonts w:ascii="Times New Roman" w:hAnsi="Times New Roman"/>
                <w:b/>
                <w:bCs/>
                <w:sz w:val="18"/>
                <w:szCs w:val="18"/>
              </w:rPr>
              <w:t xml:space="preserve">8 </w:t>
            </w:r>
          </w:p>
        </w:tc>
        <w:tc>
          <w:tcPr>
            <w:tcW w:w="268" w:type="pct"/>
            <w:tcBorders>
              <w:bottom w:val="single" w:sz="18" w:space="0" w:color="auto"/>
            </w:tcBorders>
            <w:shd w:val="clear" w:color="000000" w:fill="FFFFFF"/>
            <w:noWrap/>
            <w:vAlign w:val="center"/>
            <w:hideMark/>
          </w:tcPr>
          <w:p w14:paraId="66E22101" w14:textId="77777777" w:rsidR="008B2E42" w:rsidRPr="00A455F0" w:rsidRDefault="008B2E42" w:rsidP="00DE6E1C">
            <w:pPr>
              <w:jc w:val="right"/>
              <w:rPr>
                <w:rFonts w:ascii="Times New Roman" w:hAnsi="Times New Roman"/>
                <w:b/>
                <w:bCs/>
                <w:sz w:val="18"/>
                <w:szCs w:val="18"/>
              </w:rPr>
            </w:pPr>
            <w:r w:rsidRPr="00A455F0">
              <w:rPr>
                <w:rFonts w:ascii="Times New Roman" w:hAnsi="Times New Roman"/>
                <w:b/>
                <w:bCs/>
                <w:sz w:val="18"/>
                <w:szCs w:val="18"/>
              </w:rPr>
              <w:t> </w:t>
            </w:r>
          </w:p>
        </w:tc>
        <w:tc>
          <w:tcPr>
            <w:tcW w:w="367" w:type="pct"/>
            <w:tcBorders>
              <w:bottom w:val="single" w:sz="18" w:space="0" w:color="auto"/>
            </w:tcBorders>
            <w:shd w:val="clear" w:color="000000" w:fill="FFFFFF"/>
            <w:noWrap/>
            <w:vAlign w:val="center"/>
            <w:hideMark/>
          </w:tcPr>
          <w:p w14:paraId="0C1918A1" w14:textId="77777777" w:rsidR="008B2E42" w:rsidRPr="00A455F0" w:rsidRDefault="008B2E42" w:rsidP="00DE6E1C">
            <w:pPr>
              <w:jc w:val="right"/>
              <w:rPr>
                <w:rFonts w:ascii="Times New Roman" w:hAnsi="Times New Roman"/>
                <w:b/>
                <w:bCs/>
                <w:sz w:val="18"/>
                <w:szCs w:val="18"/>
              </w:rPr>
            </w:pPr>
            <w:r w:rsidRPr="00A455F0">
              <w:rPr>
                <w:rFonts w:ascii="Times New Roman" w:hAnsi="Times New Roman"/>
                <w:b/>
                <w:bCs/>
                <w:sz w:val="18"/>
                <w:szCs w:val="18"/>
              </w:rPr>
              <w:t xml:space="preserve">8 </w:t>
            </w:r>
          </w:p>
        </w:tc>
        <w:tc>
          <w:tcPr>
            <w:tcW w:w="352" w:type="pct"/>
            <w:tcBorders>
              <w:bottom w:val="single" w:sz="18" w:space="0" w:color="auto"/>
            </w:tcBorders>
            <w:shd w:val="clear" w:color="000000" w:fill="FFFFFF"/>
            <w:noWrap/>
            <w:vAlign w:val="center"/>
            <w:hideMark/>
          </w:tcPr>
          <w:p w14:paraId="39D2963B" w14:textId="77777777" w:rsidR="008B2E42" w:rsidRPr="00A455F0" w:rsidRDefault="008B2E42" w:rsidP="00DE6E1C">
            <w:pPr>
              <w:jc w:val="right"/>
              <w:rPr>
                <w:rFonts w:ascii="Times New Roman" w:hAnsi="Times New Roman"/>
                <w:b/>
                <w:bCs/>
                <w:sz w:val="18"/>
                <w:szCs w:val="18"/>
              </w:rPr>
            </w:pPr>
          </w:p>
        </w:tc>
      </w:tr>
      <w:tr w:rsidR="002105AB" w:rsidRPr="00827B75" w14:paraId="063B71B9" w14:textId="77777777" w:rsidTr="00E43CC8">
        <w:trPr>
          <w:cantSplit/>
          <w:trHeight w:val="300"/>
        </w:trPr>
        <w:tc>
          <w:tcPr>
            <w:tcW w:w="1659" w:type="pct"/>
            <w:tcBorders>
              <w:top w:val="single" w:sz="18" w:space="0" w:color="auto"/>
              <w:bottom w:val="single" w:sz="2" w:space="0" w:color="auto"/>
            </w:tcBorders>
            <w:shd w:val="clear" w:color="000000" w:fill="FFFFFF"/>
            <w:noWrap/>
            <w:vAlign w:val="center"/>
            <w:hideMark/>
          </w:tcPr>
          <w:p w14:paraId="717177D3" w14:textId="77777777" w:rsidR="008B2E42" w:rsidRPr="00A455F0" w:rsidRDefault="008B2E42" w:rsidP="00AF6F46">
            <w:pPr>
              <w:tabs>
                <w:tab w:val="left" w:pos="3315"/>
              </w:tabs>
              <w:ind w:firstLineChars="100" w:firstLine="180"/>
              <w:rPr>
                <w:rFonts w:ascii="Times New Roman" w:hAnsi="Times New Roman"/>
                <w:sz w:val="18"/>
                <w:szCs w:val="18"/>
              </w:rPr>
            </w:pPr>
            <w:r w:rsidRPr="00A455F0">
              <w:rPr>
                <w:rFonts w:ascii="Times New Roman" w:hAnsi="Times New Roman"/>
                <w:sz w:val="18"/>
                <w:szCs w:val="18"/>
              </w:rPr>
              <w:t># cases by Arthroplasty only surgeons</w:t>
            </w:r>
          </w:p>
        </w:tc>
        <w:tc>
          <w:tcPr>
            <w:tcW w:w="87" w:type="pct"/>
            <w:tcBorders>
              <w:top w:val="single" w:sz="18" w:space="0" w:color="auto"/>
              <w:bottom w:val="single" w:sz="2" w:space="0" w:color="auto"/>
            </w:tcBorders>
            <w:shd w:val="clear" w:color="000000" w:fill="FFFFFF"/>
            <w:noWrap/>
            <w:vAlign w:val="center"/>
            <w:hideMark/>
          </w:tcPr>
          <w:p w14:paraId="290EDB35" w14:textId="77777777" w:rsidR="008B2E42" w:rsidRPr="00A455F0" w:rsidRDefault="008B2E42" w:rsidP="00AF6F46">
            <w:pPr>
              <w:tabs>
                <w:tab w:val="left" w:pos="3315"/>
              </w:tabs>
              <w:rPr>
                <w:rFonts w:ascii="Times New Roman" w:hAnsi="Times New Roman"/>
                <w:sz w:val="18"/>
                <w:szCs w:val="18"/>
              </w:rPr>
            </w:pPr>
            <w:r w:rsidRPr="00A455F0">
              <w:rPr>
                <w:rFonts w:ascii="Times New Roman" w:hAnsi="Times New Roman"/>
                <w:sz w:val="18"/>
                <w:szCs w:val="18"/>
              </w:rPr>
              <w:t> </w:t>
            </w:r>
          </w:p>
        </w:tc>
        <w:tc>
          <w:tcPr>
            <w:tcW w:w="367" w:type="pct"/>
            <w:tcBorders>
              <w:top w:val="single" w:sz="18" w:space="0" w:color="auto"/>
              <w:bottom w:val="single" w:sz="2" w:space="0" w:color="auto"/>
            </w:tcBorders>
            <w:shd w:val="clear" w:color="000000" w:fill="FFFFFF"/>
            <w:noWrap/>
            <w:vAlign w:val="center"/>
            <w:hideMark/>
          </w:tcPr>
          <w:p w14:paraId="39FC35FA" w14:textId="77777777" w:rsidR="008B2E42" w:rsidRPr="00A455F0" w:rsidRDefault="008B2E42" w:rsidP="00DE6E1C">
            <w:pPr>
              <w:jc w:val="right"/>
              <w:rPr>
                <w:rFonts w:ascii="Times New Roman" w:hAnsi="Times New Roman"/>
                <w:sz w:val="18"/>
                <w:szCs w:val="18"/>
              </w:rPr>
            </w:pPr>
            <w:r w:rsidRPr="00A455F0">
              <w:rPr>
                <w:rFonts w:ascii="Times New Roman" w:hAnsi="Times New Roman"/>
                <w:sz w:val="18"/>
                <w:szCs w:val="18"/>
              </w:rPr>
              <w:t xml:space="preserve">1,275 </w:t>
            </w:r>
          </w:p>
        </w:tc>
        <w:tc>
          <w:tcPr>
            <w:tcW w:w="264" w:type="pct"/>
            <w:tcBorders>
              <w:top w:val="single" w:sz="18" w:space="0" w:color="auto"/>
              <w:bottom w:val="single" w:sz="2" w:space="0" w:color="auto"/>
            </w:tcBorders>
            <w:shd w:val="clear" w:color="000000" w:fill="FFFFFF"/>
            <w:noWrap/>
            <w:vAlign w:val="center"/>
            <w:hideMark/>
          </w:tcPr>
          <w:p w14:paraId="1BAF9ABA" w14:textId="77777777" w:rsidR="008B2E42" w:rsidRPr="00A455F0" w:rsidRDefault="008B2E42" w:rsidP="00DE6E1C">
            <w:pPr>
              <w:jc w:val="right"/>
              <w:rPr>
                <w:rFonts w:ascii="Times New Roman" w:hAnsi="Times New Roman"/>
                <w:sz w:val="18"/>
                <w:szCs w:val="18"/>
              </w:rPr>
            </w:pPr>
            <w:r w:rsidRPr="00A455F0">
              <w:rPr>
                <w:rFonts w:ascii="Times New Roman" w:hAnsi="Times New Roman"/>
                <w:sz w:val="18"/>
                <w:szCs w:val="18"/>
              </w:rPr>
              <w:t> </w:t>
            </w:r>
          </w:p>
        </w:tc>
        <w:tc>
          <w:tcPr>
            <w:tcW w:w="367" w:type="pct"/>
            <w:tcBorders>
              <w:top w:val="single" w:sz="18" w:space="0" w:color="auto"/>
              <w:bottom w:val="single" w:sz="2" w:space="0" w:color="auto"/>
            </w:tcBorders>
            <w:shd w:val="clear" w:color="000000" w:fill="FFFFFF"/>
            <w:noWrap/>
            <w:vAlign w:val="center"/>
            <w:hideMark/>
          </w:tcPr>
          <w:p w14:paraId="3ACFA26B" w14:textId="77777777" w:rsidR="008B2E42" w:rsidRPr="00A455F0" w:rsidRDefault="008B2E42" w:rsidP="00DE6E1C">
            <w:pPr>
              <w:jc w:val="right"/>
              <w:rPr>
                <w:rFonts w:ascii="Times New Roman" w:hAnsi="Times New Roman"/>
                <w:sz w:val="18"/>
                <w:szCs w:val="18"/>
              </w:rPr>
            </w:pPr>
            <w:r w:rsidRPr="00A455F0">
              <w:rPr>
                <w:rFonts w:ascii="Times New Roman" w:hAnsi="Times New Roman"/>
                <w:sz w:val="18"/>
                <w:szCs w:val="18"/>
              </w:rPr>
              <w:t xml:space="preserve">1,367 </w:t>
            </w:r>
          </w:p>
        </w:tc>
        <w:tc>
          <w:tcPr>
            <w:tcW w:w="267" w:type="pct"/>
            <w:tcBorders>
              <w:top w:val="single" w:sz="18" w:space="0" w:color="auto"/>
              <w:bottom w:val="single" w:sz="2" w:space="0" w:color="auto"/>
            </w:tcBorders>
            <w:shd w:val="clear" w:color="000000" w:fill="FFFFFF"/>
            <w:noWrap/>
            <w:vAlign w:val="center"/>
            <w:hideMark/>
          </w:tcPr>
          <w:p w14:paraId="4A96BC56" w14:textId="77777777" w:rsidR="008B2E42" w:rsidRPr="00A455F0" w:rsidRDefault="008B2E42" w:rsidP="00DE6E1C">
            <w:pPr>
              <w:jc w:val="right"/>
              <w:rPr>
                <w:rFonts w:ascii="Times New Roman" w:hAnsi="Times New Roman"/>
                <w:sz w:val="18"/>
                <w:szCs w:val="18"/>
              </w:rPr>
            </w:pPr>
            <w:r w:rsidRPr="00A455F0">
              <w:rPr>
                <w:rFonts w:ascii="Times New Roman" w:hAnsi="Times New Roman"/>
                <w:sz w:val="18"/>
                <w:szCs w:val="18"/>
              </w:rPr>
              <w:t> </w:t>
            </w:r>
          </w:p>
        </w:tc>
        <w:tc>
          <w:tcPr>
            <w:tcW w:w="367" w:type="pct"/>
            <w:tcBorders>
              <w:top w:val="single" w:sz="18" w:space="0" w:color="auto"/>
              <w:bottom w:val="single" w:sz="2" w:space="0" w:color="auto"/>
            </w:tcBorders>
            <w:shd w:val="clear" w:color="000000" w:fill="FFFFFF"/>
            <w:noWrap/>
            <w:vAlign w:val="center"/>
            <w:hideMark/>
          </w:tcPr>
          <w:p w14:paraId="13C40470" w14:textId="77777777" w:rsidR="008B2E42" w:rsidRPr="00A455F0" w:rsidRDefault="008B2E42" w:rsidP="00DE6E1C">
            <w:pPr>
              <w:jc w:val="right"/>
              <w:rPr>
                <w:rFonts w:ascii="Times New Roman" w:hAnsi="Times New Roman"/>
                <w:sz w:val="18"/>
                <w:szCs w:val="18"/>
              </w:rPr>
            </w:pPr>
            <w:r w:rsidRPr="00A455F0">
              <w:rPr>
                <w:rFonts w:ascii="Times New Roman" w:hAnsi="Times New Roman"/>
                <w:sz w:val="18"/>
                <w:szCs w:val="18"/>
              </w:rPr>
              <w:t xml:space="preserve">1,467 </w:t>
            </w:r>
          </w:p>
        </w:tc>
        <w:tc>
          <w:tcPr>
            <w:tcW w:w="267" w:type="pct"/>
            <w:tcBorders>
              <w:top w:val="single" w:sz="18" w:space="0" w:color="auto"/>
              <w:bottom w:val="single" w:sz="2" w:space="0" w:color="auto"/>
            </w:tcBorders>
            <w:shd w:val="clear" w:color="000000" w:fill="FFFFFF"/>
            <w:noWrap/>
            <w:vAlign w:val="center"/>
            <w:hideMark/>
          </w:tcPr>
          <w:p w14:paraId="61EB0451" w14:textId="77777777" w:rsidR="008B2E42" w:rsidRPr="00A455F0" w:rsidRDefault="008B2E42" w:rsidP="00DE6E1C">
            <w:pPr>
              <w:jc w:val="right"/>
              <w:rPr>
                <w:rFonts w:ascii="Times New Roman" w:hAnsi="Times New Roman"/>
                <w:sz w:val="18"/>
                <w:szCs w:val="18"/>
              </w:rPr>
            </w:pPr>
            <w:r w:rsidRPr="00A455F0">
              <w:rPr>
                <w:rFonts w:ascii="Times New Roman" w:hAnsi="Times New Roman"/>
                <w:sz w:val="18"/>
                <w:szCs w:val="18"/>
              </w:rPr>
              <w:t> </w:t>
            </w:r>
          </w:p>
        </w:tc>
        <w:tc>
          <w:tcPr>
            <w:tcW w:w="367" w:type="pct"/>
            <w:tcBorders>
              <w:top w:val="single" w:sz="18" w:space="0" w:color="auto"/>
              <w:bottom w:val="single" w:sz="2" w:space="0" w:color="auto"/>
            </w:tcBorders>
            <w:shd w:val="clear" w:color="000000" w:fill="FFFFFF"/>
            <w:noWrap/>
            <w:vAlign w:val="center"/>
            <w:hideMark/>
          </w:tcPr>
          <w:p w14:paraId="10118A25" w14:textId="77777777" w:rsidR="008B2E42" w:rsidRPr="00A455F0" w:rsidRDefault="008B2E42" w:rsidP="00DE6E1C">
            <w:pPr>
              <w:jc w:val="right"/>
              <w:rPr>
                <w:rFonts w:ascii="Times New Roman" w:hAnsi="Times New Roman"/>
                <w:sz w:val="18"/>
                <w:szCs w:val="18"/>
              </w:rPr>
            </w:pPr>
            <w:r w:rsidRPr="00A455F0">
              <w:rPr>
                <w:rFonts w:ascii="Times New Roman" w:hAnsi="Times New Roman"/>
                <w:sz w:val="18"/>
                <w:szCs w:val="18"/>
              </w:rPr>
              <w:t xml:space="preserve">1,567 </w:t>
            </w:r>
          </w:p>
        </w:tc>
        <w:tc>
          <w:tcPr>
            <w:tcW w:w="268" w:type="pct"/>
            <w:tcBorders>
              <w:top w:val="single" w:sz="18" w:space="0" w:color="auto"/>
              <w:bottom w:val="single" w:sz="2" w:space="0" w:color="auto"/>
            </w:tcBorders>
            <w:shd w:val="clear" w:color="000000" w:fill="FFFFFF"/>
            <w:noWrap/>
            <w:vAlign w:val="center"/>
            <w:hideMark/>
          </w:tcPr>
          <w:p w14:paraId="0BED6471" w14:textId="77777777" w:rsidR="008B2E42" w:rsidRPr="00A455F0" w:rsidRDefault="008B2E42" w:rsidP="00DE6E1C">
            <w:pPr>
              <w:jc w:val="right"/>
              <w:rPr>
                <w:rFonts w:ascii="Times New Roman" w:hAnsi="Times New Roman"/>
                <w:sz w:val="18"/>
                <w:szCs w:val="18"/>
              </w:rPr>
            </w:pPr>
            <w:r w:rsidRPr="00A455F0">
              <w:rPr>
                <w:rFonts w:ascii="Times New Roman" w:hAnsi="Times New Roman"/>
                <w:sz w:val="18"/>
                <w:szCs w:val="18"/>
              </w:rPr>
              <w:t> </w:t>
            </w:r>
          </w:p>
        </w:tc>
        <w:tc>
          <w:tcPr>
            <w:tcW w:w="367" w:type="pct"/>
            <w:tcBorders>
              <w:top w:val="single" w:sz="18" w:space="0" w:color="auto"/>
              <w:bottom w:val="single" w:sz="2" w:space="0" w:color="auto"/>
            </w:tcBorders>
            <w:shd w:val="clear" w:color="000000" w:fill="FFFFFF"/>
            <w:noWrap/>
            <w:vAlign w:val="center"/>
            <w:hideMark/>
          </w:tcPr>
          <w:p w14:paraId="2D3302F7" w14:textId="77777777" w:rsidR="008B2E42" w:rsidRPr="00A455F0" w:rsidRDefault="008B2E42" w:rsidP="00DE6E1C">
            <w:pPr>
              <w:jc w:val="right"/>
              <w:rPr>
                <w:rFonts w:ascii="Times New Roman" w:hAnsi="Times New Roman"/>
                <w:sz w:val="18"/>
                <w:szCs w:val="18"/>
              </w:rPr>
            </w:pPr>
            <w:r w:rsidRPr="00A455F0">
              <w:rPr>
                <w:rFonts w:ascii="Times New Roman" w:hAnsi="Times New Roman"/>
                <w:sz w:val="18"/>
                <w:szCs w:val="18"/>
              </w:rPr>
              <w:t xml:space="preserve">1,667 </w:t>
            </w:r>
          </w:p>
        </w:tc>
        <w:tc>
          <w:tcPr>
            <w:tcW w:w="352" w:type="pct"/>
            <w:tcBorders>
              <w:top w:val="single" w:sz="18" w:space="0" w:color="auto"/>
              <w:bottom w:val="single" w:sz="2" w:space="0" w:color="auto"/>
            </w:tcBorders>
            <w:shd w:val="clear" w:color="000000" w:fill="FFFFFF"/>
            <w:noWrap/>
            <w:vAlign w:val="center"/>
            <w:hideMark/>
          </w:tcPr>
          <w:p w14:paraId="19059540" w14:textId="77777777" w:rsidR="008B2E42" w:rsidRPr="00A455F0" w:rsidRDefault="008B2E42" w:rsidP="00DE6E1C">
            <w:pPr>
              <w:jc w:val="right"/>
              <w:rPr>
                <w:rFonts w:ascii="Times New Roman" w:hAnsi="Times New Roman"/>
                <w:sz w:val="18"/>
                <w:szCs w:val="18"/>
              </w:rPr>
            </w:pPr>
            <w:r w:rsidRPr="00A455F0">
              <w:rPr>
                <w:rFonts w:ascii="Times New Roman" w:hAnsi="Times New Roman"/>
                <w:sz w:val="18"/>
                <w:szCs w:val="18"/>
              </w:rPr>
              <w:t> </w:t>
            </w:r>
          </w:p>
        </w:tc>
      </w:tr>
      <w:tr w:rsidR="002105AB" w:rsidRPr="00827B75" w14:paraId="67291550" w14:textId="77777777" w:rsidTr="00E43CC8">
        <w:trPr>
          <w:cantSplit/>
          <w:trHeight w:val="300"/>
        </w:trPr>
        <w:tc>
          <w:tcPr>
            <w:tcW w:w="1659" w:type="pct"/>
            <w:tcBorders>
              <w:top w:val="single" w:sz="2" w:space="0" w:color="auto"/>
              <w:bottom w:val="single" w:sz="18" w:space="0" w:color="auto"/>
            </w:tcBorders>
            <w:shd w:val="clear" w:color="000000" w:fill="FFFFFF"/>
            <w:noWrap/>
            <w:vAlign w:val="center"/>
            <w:hideMark/>
          </w:tcPr>
          <w:p w14:paraId="318685E6" w14:textId="77777777" w:rsidR="008B2E42" w:rsidRPr="00A455F0" w:rsidRDefault="008B2E42" w:rsidP="00AF6F46">
            <w:pPr>
              <w:tabs>
                <w:tab w:val="left" w:pos="3315"/>
              </w:tabs>
              <w:ind w:firstLineChars="100" w:firstLine="180"/>
              <w:rPr>
                <w:rFonts w:ascii="Times New Roman" w:hAnsi="Times New Roman"/>
                <w:sz w:val="18"/>
                <w:szCs w:val="18"/>
              </w:rPr>
            </w:pPr>
            <w:r w:rsidRPr="00A455F0">
              <w:rPr>
                <w:rFonts w:ascii="Times New Roman" w:hAnsi="Times New Roman"/>
                <w:sz w:val="18"/>
                <w:szCs w:val="18"/>
              </w:rPr>
              <w:t># of all other cases</w:t>
            </w:r>
          </w:p>
        </w:tc>
        <w:tc>
          <w:tcPr>
            <w:tcW w:w="87" w:type="pct"/>
            <w:tcBorders>
              <w:top w:val="single" w:sz="2" w:space="0" w:color="auto"/>
              <w:bottom w:val="single" w:sz="18" w:space="0" w:color="auto"/>
            </w:tcBorders>
            <w:shd w:val="clear" w:color="000000" w:fill="FFFFFF"/>
            <w:noWrap/>
            <w:vAlign w:val="center"/>
            <w:hideMark/>
          </w:tcPr>
          <w:p w14:paraId="10CB8B2B" w14:textId="77777777" w:rsidR="008B2E42" w:rsidRPr="00A455F0" w:rsidRDefault="008B2E42" w:rsidP="00AF6F46">
            <w:pPr>
              <w:tabs>
                <w:tab w:val="left" w:pos="3315"/>
              </w:tabs>
              <w:rPr>
                <w:rFonts w:ascii="Times New Roman" w:hAnsi="Times New Roman"/>
                <w:sz w:val="18"/>
                <w:szCs w:val="18"/>
              </w:rPr>
            </w:pPr>
            <w:r w:rsidRPr="00A455F0">
              <w:rPr>
                <w:rFonts w:ascii="Times New Roman" w:hAnsi="Times New Roman"/>
                <w:sz w:val="18"/>
                <w:szCs w:val="18"/>
              </w:rPr>
              <w:t> </w:t>
            </w:r>
          </w:p>
        </w:tc>
        <w:tc>
          <w:tcPr>
            <w:tcW w:w="367" w:type="pct"/>
            <w:tcBorders>
              <w:top w:val="single" w:sz="2" w:space="0" w:color="auto"/>
              <w:bottom w:val="single" w:sz="18" w:space="0" w:color="auto"/>
            </w:tcBorders>
            <w:shd w:val="clear" w:color="000000" w:fill="FFFFFF"/>
            <w:noWrap/>
            <w:vAlign w:val="center"/>
            <w:hideMark/>
          </w:tcPr>
          <w:p w14:paraId="6BA6B674" w14:textId="77777777" w:rsidR="008B2E42" w:rsidRPr="00A455F0" w:rsidRDefault="008B2E42" w:rsidP="00DE6E1C">
            <w:pPr>
              <w:jc w:val="right"/>
              <w:rPr>
                <w:rFonts w:ascii="Times New Roman" w:hAnsi="Times New Roman"/>
                <w:sz w:val="18"/>
                <w:szCs w:val="18"/>
              </w:rPr>
            </w:pPr>
            <w:r w:rsidRPr="00A455F0">
              <w:rPr>
                <w:rFonts w:ascii="Times New Roman" w:hAnsi="Times New Roman"/>
                <w:sz w:val="18"/>
                <w:szCs w:val="18"/>
              </w:rPr>
              <w:t xml:space="preserve">6,453 </w:t>
            </w:r>
          </w:p>
        </w:tc>
        <w:tc>
          <w:tcPr>
            <w:tcW w:w="264" w:type="pct"/>
            <w:tcBorders>
              <w:top w:val="single" w:sz="2" w:space="0" w:color="auto"/>
              <w:bottom w:val="single" w:sz="18" w:space="0" w:color="auto"/>
            </w:tcBorders>
            <w:shd w:val="clear" w:color="000000" w:fill="FFFFFF"/>
            <w:noWrap/>
            <w:vAlign w:val="center"/>
            <w:hideMark/>
          </w:tcPr>
          <w:p w14:paraId="75B26511" w14:textId="77777777" w:rsidR="008B2E42" w:rsidRPr="00A455F0" w:rsidRDefault="008B2E42" w:rsidP="00DE6E1C">
            <w:pPr>
              <w:jc w:val="right"/>
              <w:rPr>
                <w:rFonts w:ascii="Times New Roman" w:hAnsi="Times New Roman"/>
                <w:sz w:val="18"/>
                <w:szCs w:val="18"/>
              </w:rPr>
            </w:pPr>
            <w:r w:rsidRPr="00A455F0">
              <w:rPr>
                <w:rFonts w:ascii="Times New Roman" w:hAnsi="Times New Roman"/>
                <w:sz w:val="18"/>
                <w:szCs w:val="18"/>
              </w:rPr>
              <w:t> </w:t>
            </w:r>
          </w:p>
        </w:tc>
        <w:tc>
          <w:tcPr>
            <w:tcW w:w="367" w:type="pct"/>
            <w:tcBorders>
              <w:top w:val="single" w:sz="2" w:space="0" w:color="auto"/>
              <w:bottom w:val="single" w:sz="18" w:space="0" w:color="auto"/>
            </w:tcBorders>
            <w:shd w:val="clear" w:color="000000" w:fill="FFFFFF"/>
            <w:noWrap/>
            <w:vAlign w:val="center"/>
            <w:hideMark/>
          </w:tcPr>
          <w:p w14:paraId="57DC30CA" w14:textId="77777777" w:rsidR="008B2E42" w:rsidRPr="00A455F0" w:rsidRDefault="008B2E42" w:rsidP="00DE6E1C">
            <w:pPr>
              <w:jc w:val="right"/>
              <w:rPr>
                <w:rFonts w:ascii="Times New Roman" w:hAnsi="Times New Roman"/>
                <w:sz w:val="18"/>
                <w:szCs w:val="18"/>
              </w:rPr>
            </w:pPr>
            <w:r w:rsidRPr="00A455F0">
              <w:rPr>
                <w:rFonts w:ascii="Times New Roman" w:hAnsi="Times New Roman"/>
                <w:sz w:val="18"/>
                <w:szCs w:val="18"/>
              </w:rPr>
              <w:t xml:space="preserve">6,683 </w:t>
            </w:r>
          </w:p>
        </w:tc>
        <w:tc>
          <w:tcPr>
            <w:tcW w:w="267" w:type="pct"/>
            <w:tcBorders>
              <w:top w:val="single" w:sz="2" w:space="0" w:color="auto"/>
              <w:bottom w:val="single" w:sz="18" w:space="0" w:color="auto"/>
            </w:tcBorders>
            <w:shd w:val="clear" w:color="000000" w:fill="FFFFFF"/>
            <w:noWrap/>
            <w:vAlign w:val="center"/>
            <w:hideMark/>
          </w:tcPr>
          <w:p w14:paraId="354899B6" w14:textId="77777777" w:rsidR="008B2E42" w:rsidRPr="00A455F0" w:rsidRDefault="008B2E42" w:rsidP="00DE6E1C">
            <w:pPr>
              <w:jc w:val="right"/>
              <w:rPr>
                <w:rFonts w:ascii="Times New Roman" w:hAnsi="Times New Roman"/>
                <w:sz w:val="18"/>
                <w:szCs w:val="18"/>
              </w:rPr>
            </w:pPr>
            <w:r w:rsidRPr="00A455F0">
              <w:rPr>
                <w:rFonts w:ascii="Times New Roman" w:hAnsi="Times New Roman"/>
                <w:sz w:val="18"/>
                <w:szCs w:val="18"/>
              </w:rPr>
              <w:t> </w:t>
            </w:r>
          </w:p>
        </w:tc>
        <w:tc>
          <w:tcPr>
            <w:tcW w:w="367" w:type="pct"/>
            <w:tcBorders>
              <w:top w:val="single" w:sz="2" w:space="0" w:color="auto"/>
              <w:bottom w:val="single" w:sz="18" w:space="0" w:color="auto"/>
            </w:tcBorders>
            <w:shd w:val="clear" w:color="000000" w:fill="FFFFFF"/>
            <w:noWrap/>
            <w:vAlign w:val="center"/>
            <w:hideMark/>
          </w:tcPr>
          <w:p w14:paraId="3D3DBD46" w14:textId="77777777" w:rsidR="008B2E42" w:rsidRPr="00A455F0" w:rsidRDefault="008B2E42" w:rsidP="00DE6E1C">
            <w:pPr>
              <w:jc w:val="right"/>
              <w:rPr>
                <w:rFonts w:ascii="Times New Roman" w:hAnsi="Times New Roman"/>
                <w:sz w:val="18"/>
                <w:szCs w:val="18"/>
              </w:rPr>
            </w:pPr>
            <w:r w:rsidRPr="00A455F0">
              <w:rPr>
                <w:rFonts w:ascii="Times New Roman" w:hAnsi="Times New Roman"/>
                <w:sz w:val="18"/>
                <w:szCs w:val="18"/>
              </w:rPr>
              <w:t xml:space="preserve">6,925 </w:t>
            </w:r>
          </w:p>
        </w:tc>
        <w:tc>
          <w:tcPr>
            <w:tcW w:w="267" w:type="pct"/>
            <w:tcBorders>
              <w:top w:val="single" w:sz="2" w:space="0" w:color="auto"/>
              <w:bottom w:val="single" w:sz="18" w:space="0" w:color="auto"/>
            </w:tcBorders>
            <w:shd w:val="clear" w:color="000000" w:fill="FFFFFF"/>
            <w:noWrap/>
            <w:vAlign w:val="center"/>
            <w:hideMark/>
          </w:tcPr>
          <w:p w14:paraId="0492FE53" w14:textId="77777777" w:rsidR="008B2E42" w:rsidRPr="00A455F0" w:rsidRDefault="008B2E42" w:rsidP="00DE6E1C">
            <w:pPr>
              <w:jc w:val="right"/>
              <w:rPr>
                <w:rFonts w:ascii="Times New Roman" w:hAnsi="Times New Roman"/>
                <w:sz w:val="18"/>
                <w:szCs w:val="18"/>
              </w:rPr>
            </w:pPr>
            <w:r w:rsidRPr="00A455F0">
              <w:rPr>
                <w:rFonts w:ascii="Times New Roman" w:hAnsi="Times New Roman"/>
                <w:sz w:val="18"/>
                <w:szCs w:val="18"/>
              </w:rPr>
              <w:t> </w:t>
            </w:r>
          </w:p>
        </w:tc>
        <w:tc>
          <w:tcPr>
            <w:tcW w:w="367" w:type="pct"/>
            <w:tcBorders>
              <w:top w:val="single" w:sz="2" w:space="0" w:color="auto"/>
              <w:bottom w:val="single" w:sz="18" w:space="0" w:color="auto"/>
            </w:tcBorders>
            <w:shd w:val="clear" w:color="000000" w:fill="FFFFFF"/>
            <w:noWrap/>
            <w:vAlign w:val="center"/>
            <w:hideMark/>
          </w:tcPr>
          <w:p w14:paraId="16336C1B" w14:textId="77777777" w:rsidR="008B2E42" w:rsidRPr="00A455F0" w:rsidRDefault="008B2E42" w:rsidP="00DE6E1C">
            <w:pPr>
              <w:jc w:val="right"/>
              <w:rPr>
                <w:rFonts w:ascii="Times New Roman" w:hAnsi="Times New Roman"/>
                <w:sz w:val="18"/>
                <w:szCs w:val="18"/>
              </w:rPr>
            </w:pPr>
            <w:r w:rsidRPr="00A455F0">
              <w:rPr>
                <w:rFonts w:ascii="Times New Roman" w:hAnsi="Times New Roman"/>
                <w:sz w:val="18"/>
                <w:szCs w:val="18"/>
              </w:rPr>
              <w:t xml:space="preserve">7,166 </w:t>
            </w:r>
          </w:p>
        </w:tc>
        <w:tc>
          <w:tcPr>
            <w:tcW w:w="268" w:type="pct"/>
            <w:tcBorders>
              <w:top w:val="single" w:sz="2" w:space="0" w:color="auto"/>
              <w:bottom w:val="single" w:sz="18" w:space="0" w:color="auto"/>
            </w:tcBorders>
            <w:shd w:val="clear" w:color="000000" w:fill="FFFFFF"/>
            <w:noWrap/>
            <w:vAlign w:val="center"/>
            <w:hideMark/>
          </w:tcPr>
          <w:p w14:paraId="4DC6F2E4" w14:textId="77777777" w:rsidR="008B2E42" w:rsidRPr="00A455F0" w:rsidRDefault="008B2E42" w:rsidP="00DE6E1C">
            <w:pPr>
              <w:jc w:val="right"/>
              <w:rPr>
                <w:rFonts w:ascii="Times New Roman" w:hAnsi="Times New Roman"/>
                <w:sz w:val="18"/>
                <w:szCs w:val="18"/>
              </w:rPr>
            </w:pPr>
            <w:r w:rsidRPr="00A455F0">
              <w:rPr>
                <w:rFonts w:ascii="Times New Roman" w:hAnsi="Times New Roman"/>
                <w:sz w:val="18"/>
                <w:szCs w:val="18"/>
              </w:rPr>
              <w:t> </w:t>
            </w:r>
          </w:p>
        </w:tc>
        <w:tc>
          <w:tcPr>
            <w:tcW w:w="367" w:type="pct"/>
            <w:tcBorders>
              <w:top w:val="single" w:sz="2" w:space="0" w:color="auto"/>
              <w:bottom w:val="single" w:sz="18" w:space="0" w:color="auto"/>
            </w:tcBorders>
            <w:shd w:val="clear" w:color="000000" w:fill="FFFFFF"/>
            <w:noWrap/>
            <w:vAlign w:val="center"/>
            <w:hideMark/>
          </w:tcPr>
          <w:p w14:paraId="6460FFAD" w14:textId="77777777" w:rsidR="008B2E42" w:rsidRPr="00A455F0" w:rsidRDefault="008B2E42" w:rsidP="00DE6E1C">
            <w:pPr>
              <w:jc w:val="right"/>
              <w:rPr>
                <w:rFonts w:ascii="Times New Roman" w:hAnsi="Times New Roman"/>
                <w:sz w:val="18"/>
                <w:szCs w:val="18"/>
              </w:rPr>
            </w:pPr>
            <w:r w:rsidRPr="00A455F0">
              <w:rPr>
                <w:rFonts w:ascii="Times New Roman" w:hAnsi="Times New Roman"/>
                <w:sz w:val="18"/>
                <w:szCs w:val="18"/>
              </w:rPr>
              <w:t xml:space="preserve">7,408 </w:t>
            </w:r>
          </w:p>
        </w:tc>
        <w:tc>
          <w:tcPr>
            <w:tcW w:w="352" w:type="pct"/>
            <w:tcBorders>
              <w:top w:val="single" w:sz="2" w:space="0" w:color="auto"/>
              <w:bottom w:val="single" w:sz="18" w:space="0" w:color="auto"/>
            </w:tcBorders>
            <w:shd w:val="clear" w:color="000000" w:fill="FFFFFF"/>
            <w:noWrap/>
            <w:vAlign w:val="center"/>
            <w:hideMark/>
          </w:tcPr>
          <w:p w14:paraId="783D6A6F" w14:textId="77777777" w:rsidR="008B2E42" w:rsidRPr="00A455F0" w:rsidRDefault="008B2E42" w:rsidP="00DE6E1C">
            <w:pPr>
              <w:jc w:val="right"/>
              <w:rPr>
                <w:rFonts w:ascii="Times New Roman" w:hAnsi="Times New Roman"/>
                <w:sz w:val="18"/>
                <w:szCs w:val="18"/>
              </w:rPr>
            </w:pPr>
            <w:r w:rsidRPr="00A455F0">
              <w:rPr>
                <w:rFonts w:ascii="Times New Roman" w:hAnsi="Times New Roman"/>
                <w:sz w:val="18"/>
                <w:szCs w:val="18"/>
              </w:rPr>
              <w:t> </w:t>
            </w:r>
          </w:p>
        </w:tc>
      </w:tr>
      <w:tr w:rsidR="002105AB" w:rsidRPr="00827B75" w14:paraId="3C399195" w14:textId="77777777" w:rsidTr="00E43CC8">
        <w:trPr>
          <w:cantSplit/>
          <w:trHeight w:val="300"/>
        </w:trPr>
        <w:tc>
          <w:tcPr>
            <w:tcW w:w="1659" w:type="pct"/>
            <w:tcBorders>
              <w:top w:val="single" w:sz="18" w:space="0" w:color="auto"/>
              <w:bottom w:val="single" w:sz="2" w:space="0" w:color="auto"/>
            </w:tcBorders>
            <w:shd w:val="clear" w:color="000000" w:fill="FFFFFF"/>
            <w:noWrap/>
            <w:vAlign w:val="center"/>
            <w:hideMark/>
          </w:tcPr>
          <w:p w14:paraId="2E239AF8" w14:textId="77777777" w:rsidR="008B2E42" w:rsidRPr="00A455F0" w:rsidRDefault="008B2E42" w:rsidP="00AF6F46">
            <w:pPr>
              <w:tabs>
                <w:tab w:val="left" w:pos="3315"/>
              </w:tabs>
              <w:rPr>
                <w:rFonts w:ascii="Times New Roman" w:hAnsi="Times New Roman"/>
                <w:b/>
                <w:bCs/>
                <w:sz w:val="18"/>
                <w:szCs w:val="18"/>
              </w:rPr>
            </w:pPr>
            <w:r w:rsidRPr="00A455F0">
              <w:rPr>
                <w:rFonts w:ascii="Times New Roman" w:hAnsi="Times New Roman"/>
                <w:b/>
                <w:bCs/>
                <w:sz w:val="18"/>
                <w:szCs w:val="18"/>
              </w:rPr>
              <w:t># of Cases</w:t>
            </w:r>
          </w:p>
        </w:tc>
        <w:tc>
          <w:tcPr>
            <w:tcW w:w="87" w:type="pct"/>
            <w:tcBorders>
              <w:top w:val="single" w:sz="18" w:space="0" w:color="auto"/>
              <w:bottom w:val="single" w:sz="2" w:space="0" w:color="auto"/>
            </w:tcBorders>
            <w:shd w:val="clear" w:color="000000" w:fill="FFFFFF"/>
            <w:noWrap/>
            <w:vAlign w:val="center"/>
            <w:hideMark/>
          </w:tcPr>
          <w:p w14:paraId="26FCEE11" w14:textId="77777777" w:rsidR="008B2E42" w:rsidRPr="00A455F0" w:rsidRDefault="008B2E42" w:rsidP="00AF6F46">
            <w:pPr>
              <w:tabs>
                <w:tab w:val="left" w:pos="3315"/>
              </w:tabs>
              <w:rPr>
                <w:rFonts w:ascii="Times New Roman" w:hAnsi="Times New Roman"/>
                <w:b/>
                <w:bCs/>
                <w:sz w:val="18"/>
                <w:szCs w:val="18"/>
              </w:rPr>
            </w:pPr>
            <w:r w:rsidRPr="00A455F0">
              <w:rPr>
                <w:rFonts w:ascii="Times New Roman" w:hAnsi="Times New Roman"/>
                <w:b/>
                <w:bCs/>
                <w:sz w:val="18"/>
                <w:szCs w:val="18"/>
              </w:rPr>
              <w:t> </w:t>
            </w:r>
          </w:p>
        </w:tc>
        <w:tc>
          <w:tcPr>
            <w:tcW w:w="367" w:type="pct"/>
            <w:tcBorders>
              <w:top w:val="single" w:sz="18" w:space="0" w:color="auto"/>
              <w:bottom w:val="single" w:sz="2" w:space="0" w:color="auto"/>
            </w:tcBorders>
            <w:shd w:val="clear" w:color="000000" w:fill="FFFFFF"/>
            <w:noWrap/>
            <w:vAlign w:val="center"/>
            <w:hideMark/>
          </w:tcPr>
          <w:p w14:paraId="5045D113" w14:textId="77777777" w:rsidR="008B2E42" w:rsidRPr="00A455F0" w:rsidRDefault="008B2E42" w:rsidP="00DE6E1C">
            <w:pPr>
              <w:jc w:val="right"/>
              <w:rPr>
                <w:rFonts w:ascii="Times New Roman" w:hAnsi="Times New Roman"/>
                <w:b/>
                <w:bCs/>
                <w:sz w:val="18"/>
                <w:szCs w:val="18"/>
              </w:rPr>
            </w:pPr>
            <w:r w:rsidRPr="00A455F0">
              <w:rPr>
                <w:rFonts w:ascii="Times New Roman" w:hAnsi="Times New Roman"/>
                <w:b/>
                <w:bCs/>
                <w:sz w:val="18"/>
                <w:szCs w:val="18"/>
              </w:rPr>
              <w:t xml:space="preserve">7,728 </w:t>
            </w:r>
          </w:p>
        </w:tc>
        <w:tc>
          <w:tcPr>
            <w:tcW w:w="264" w:type="pct"/>
            <w:tcBorders>
              <w:top w:val="single" w:sz="18" w:space="0" w:color="auto"/>
              <w:bottom w:val="single" w:sz="2" w:space="0" w:color="auto"/>
            </w:tcBorders>
            <w:shd w:val="clear" w:color="000000" w:fill="FFFFFF"/>
            <w:noWrap/>
            <w:vAlign w:val="center"/>
            <w:hideMark/>
          </w:tcPr>
          <w:p w14:paraId="2172AA02" w14:textId="77777777" w:rsidR="008B2E42" w:rsidRPr="00A455F0" w:rsidRDefault="008B2E42" w:rsidP="00DE6E1C">
            <w:pPr>
              <w:jc w:val="right"/>
              <w:rPr>
                <w:rFonts w:ascii="Times New Roman" w:hAnsi="Times New Roman"/>
                <w:b/>
                <w:bCs/>
                <w:sz w:val="18"/>
                <w:szCs w:val="18"/>
              </w:rPr>
            </w:pPr>
            <w:r w:rsidRPr="00A455F0">
              <w:rPr>
                <w:rFonts w:ascii="Times New Roman" w:hAnsi="Times New Roman"/>
                <w:b/>
                <w:bCs/>
                <w:sz w:val="18"/>
                <w:szCs w:val="18"/>
              </w:rPr>
              <w:t> </w:t>
            </w:r>
          </w:p>
        </w:tc>
        <w:tc>
          <w:tcPr>
            <w:tcW w:w="367" w:type="pct"/>
            <w:tcBorders>
              <w:top w:val="single" w:sz="18" w:space="0" w:color="auto"/>
              <w:bottom w:val="single" w:sz="2" w:space="0" w:color="auto"/>
            </w:tcBorders>
            <w:shd w:val="clear" w:color="000000" w:fill="FFFFFF"/>
            <w:noWrap/>
            <w:vAlign w:val="center"/>
            <w:hideMark/>
          </w:tcPr>
          <w:p w14:paraId="46F0DBFA" w14:textId="77777777" w:rsidR="008B2E42" w:rsidRPr="00A455F0" w:rsidRDefault="008B2E42" w:rsidP="00DE6E1C">
            <w:pPr>
              <w:jc w:val="right"/>
              <w:rPr>
                <w:rFonts w:ascii="Times New Roman" w:hAnsi="Times New Roman"/>
                <w:b/>
                <w:bCs/>
                <w:sz w:val="18"/>
                <w:szCs w:val="18"/>
              </w:rPr>
            </w:pPr>
            <w:r w:rsidRPr="00A455F0">
              <w:rPr>
                <w:rFonts w:ascii="Times New Roman" w:hAnsi="Times New Roman"/>
                <w:b/>
                <w:bCs/>
                <w:sz w:val="18"/>
                <w:szCs w:val="18"/>
              </w:rPr>
              <w:t xml:space="preserve">8,051 </w:t>
            </w:r>
          </w:p>
        </w:tc>
        <w:tc>
          <w:tcPr>
            <w:tcW w:w="267" w:type="pct"/>
            <w:tcBorders>
              <w:top w:val="single" w:sz="18" w:space="0" w:color="auto"/>
              <w:bottom w:val="single" w:sz="2" w:space="0" w:color="auto"/>
            </w:tcBorders>
            <w:shd w:val="clear" w:color="000000" w:fill="FFFFFF"/>
            <w:noWrap/>
            <w:vAlign w:val="center"/>
            <w:hideMark/>
          </w:tcPr>
          <w:p w14:paraId="2133EA14" w14:textId="77777777" w:rsidR="008B2E42" w:rsidRPr="00A455F0" w:rsidRDefault="008B2E42" w:rsidP="00DE6E1C">
            <w:pPr>
              <w:jc w:val="right"/>
              <w:rPr>
                <w:rFonts w:ascii="Times New Roman" w:hAnsi="Times New Roman"/>
                <w:b/>
                <w:bCs/>
                <w:sz w:val="18"/>
                <w:szCs w:val="18"/>
              </w:rPr>
            </w:pPr>
            <w:r w:rsidRPr="00A455F0">
              <w:rPr>
                <w:rFonts w:ascii="Times New Roman" w:hAnsi="Times New Roman"/>
                <w:b/>
                <w:bCs/>
                <w:sz w:val="18"/>
                <w:szCs w:val="18"/>
              </w:rPr>
              <w:t> </w:t>
            </w:r>
          </w:p>
        </w:tc>
        <w:tc>
          <w:tcPr>
            <w:tcW w:w="367" w:type="pct"/>
            <w:tcBorders>
              <w:top w:val="single" w:sz="18" w:space="0" w:color="auto"/>
              <w:bottom w:val="single" w:sz="2" w:space="0" w:color="auto"/>
            </w:tcBorders>
            <w:shd w:val="clear" w:color="000000" w:fill="FFFFFF"/>
            <w:noWrap/>
            <w:vAlign w:val="center"/>
            <w:hideMark/>
          </w:tcPr>
          <w:p w14:paraId="5FA7B617" w14:textId="77777777" w:rsidR="008B2E42" w:rsidRPr="00A455F0" w:rsidRDefault="008B2E42" w:rsidP="00DE6E1C">
            <w:pPr>
              <w:jc w:val="right"/>
              <w:rPr>
                <w:rFonts w:ascii="Times New Roman" w:hAnsi="Times New Roman"/>
                <w:b/>
                <w:bCs/>
                <w:sz w:val="18"/>
                <w:szCs w:val="18"/>
              </w:rPr>
            </w:pPr>
            <w:r w:rsidRPr="00A455F0">
              <w:rPr>
                <w:rFonts w:ascii="Times New Roman" w:hAnsi="Times New Roman"/>
                <w:b/>
                <w:bCs/>
                <w:sz w:val="18"/>
                <w:szCs w:val="18"/>
              </w:rPr>
              <w:t xml:space="preserve">8,392 </w:t>
            </w:r>
          </w:p>
        </w:tc>
        <w:tc>
          <w:tcPr>
            <w:tcW w:w="267" w:type="pct"/>
            <w:tcBorders>
              <w:top w:val="single" w:sz="18" w:space="0" w:color="auto"/>
              <w:bottom w:val="single" w:sz="2" w:space="0" w:color="auto"/>
            </w:tcBorders>
            <w:shd w:val="clear" w:color="000000" w:fill="FFFFFF"/>
            <w:noWrap/>
            <w:vAlign w:val="center"/>
            <w:hideMark/>
          </w:tcPr>
          <w:p w14:paraId="40016C5E" w14:textId="77777777" w:rsidR="008B2E42" w:rsidRPr="00A455F0" w:rsidRDefault="008B2E42" w:rsidP="00DE6E1C">
            <w:pPr>
              <w:jc w:val="right"/>
              <w:rPr>
                <w:rFonts w:ascii="Times New Roman" w:hAnsi="Times New Roman"/>
                <w:b/>
                <w:bCs/>
                <w:sz w:val="18"/>
                <w:szCs w:val="18"/>
              </w:rPr>
            </w:pPr>
            <w:r w:rsidRPr="00A455F0">
              <w:rPr>
                <w:rFonts w:ascii="Times New Roman" w:hAnsi="Times New Roman"/>
                <w:b/>
                <w:bCs/>
                <w:sz w:val="18"/>
                <w:szCs w:val="18"/>
              </w:rPr>
              <w:t> </w:t>
            </w:r>
          </w:p>
        </w:tc>
        <w:tc>
          <w:tcPr>
            <w:tcW w:w="367" w:type="pct"/>
            <w:tcBorders>
              <w:top w:val="single" w:sz="18" w:space="0" w:color="auto"/>
              <w:bottom w:val="single" w:sz="2" w:space="0" w:color="auto"/>
            </w:tcBorders>
            <w:shd w:val="clear" w:color="000000" w:fill="FFFFFF"/>
            <w:noWrap/>
            <w:vAlign w:val="center"/>
            <w:hideMark/>
          </w:tcPr>
          <w:p w14:paraId="11A72E17" w14:textId="77777777" w:rsidR="008B2E42" w:rsidRPr="00A455F0" w:rsidRDefault="008B2E42" w:rsidP="00DE6E1C">
            <w:pPr>
              <w:jc w:val="right"/>
              <w:rPr>
                <w:rFonts w:ascii="Times New Roman" w:hAnsi="Times New Roman"/>
                <w:b/>
                <w:bCs/>
                <w:sz w:val="18"/>
                <w:szCs w:val="18"/>
              </w:rPr>
            </w:pPr>
            <w:r w:rsidRPr="00A455F0">
              <w:rPr>
                <w:rFonts w:ascii="Times New Roman" w:hAnsi="Times New Roman"/>
                <w:b/>
                <w:bCs/>
                <w:sz w:val="18"/>
                <w:szCs w:val="18"/>
              </w:rPr>
              <w:t xml:space="preserve">8,733 </w:t>
            </w:r>
          </w:p>
        </w:tc>
        <w:tc>
          <w:tcPr>
            <w:tcW w:w="268" w:type="pct"/>
            <w:tcBorders>
              <w:top w:val="single" w:sz="18" w:space="0" w:color="auto"/>
              <w:bottom w:val="single" w:sz="2" w:space="0" w:color="auto"/>
            </w:tcBorders>
            <w:shd w:val="clear" w:color="000000" w:fill="FFFFFF"/>
            <w:noWrap/>
            <w:vAlign w:val="center"/>
            <w:hideMark/>
          </w:tcPr>
          <w:p w14:paraId="559FD6F6" w14:textId="77777777" w:rsidR="008B2E42" w:rsidRPr="00A455F0" w:rsidRDefault="008B2E42" w:rsidP="00DE6E1C">
            <w:pPr>
              <w:jc w:val="right"/>
              <w:rPr>
                <w:rFonts w:ascii="Times New Roman" w:hAnsi="Times New Roman"/>
                <w:b/>
                <w:bCs/>
                <w:sz w:val="18"/>
                <w:szCs w:val="18"/>
              </w:rPr>
            </w:pPr>
            <w:r w:rsidRPr="00A455F0">
              <w:rPr>
                <w:rFonts w:ascii="Times New Roman" w:hAnsi="Times New Roman"/>
                <w:b/>
                <w:bCs/>
                <w:sz w:val="18"/>
                <w:szCs w:val="18"/>
              </w:rPr>
              <w:t> </w:t>
            </w:r>
          </w:p>
        </w:tc>
        <w:tc>
          <w:tcPr>
            <w:tcW w:w="367" w:type="pct"/>
            <w:tcBorders>
              <w:top w:val="single" w:sz="18" w:space="0" w:color="auto"/>
              <w:bottom w:val="single" w:sz="2" w:space="0" w:color="auto"/>
            </w:tcBorders>
            <w:shd w:val="clear" w:color="000000" w:fill="FFFFFF"/>
            <w:noWrap/>
            <w:vAlign w:val="center"/>
            <w:hideMark/>
          </w:tcPr>
          <w:p w14:paraId="70067474" w14:textId="77777777" w:rsidR="008B2E42" w:rsidRPr="00A455F0" w:rsidRDefault="008B2E42" w:rsidP="00DE6E1C">
            <w:pPr>
              <w:jc w:val="right"/>
              <w:rPr>
                <w:rFonts w:ascii="Times New Roman" w:hAnsi="Times New Roman"/>
                <w:b/>
                <w:bCs/>
                <w:sz w:val="18"/>
                <w:szCs w:val="18"/>
              </w:rPr>
            </w:pPr>
            <w:r w:rsidRPr="00A455F0">
              <w:rPr>
                <w:rFonts w:ascii="Times New Roman" w:hAnsi="Times New Roman"/>
                <w:b/>
                <w:bCs/>
                <w:sz w:val="18"/>
                <w:szCs w:val="18"/>
              </w:rPr>
              <w:t xml:space="preserve">9,075 </w:t>
            </w:r>
          </w:p>
        </w:tc>
        <w:tc>
          <w:tcPr>
            <w:tcW w:w="352" w:type="pct"/>
            <w:tcBorders>
              <w:top w:val="single" w:sz="18" w:space="0" w:color="auto"/>
              <w:bottom w:val="single" w:sz="2" w:space="0" w:color="auto"/>
            </w:tcBorders>
            <w:shd w:val="clear" w:color="000000" w:fill="FFFFFF"/>
            <w:noWrap/>
            <w:vAlign w:val="center"/>
            <w:hideMark/>
          </w:tcPr>
          <w:p w14:paraId="42AE8538" w14:textId="77777777" w:rsidR="008B2E42" w:rsidRPr="00A455F0" w:rsidRDefault="008B2E42" w:rsidP="00DE6E1C">
            <w:pPr>
              <w:jc w:val="right"/>
              <w:rPr>
                <w:rFonts w:ascii="Times New Roman" w:hAnsi="Times New Roman"/>
                <w:b/>
                <w:bCs/>
                <w:sz w:val="18"/>
                <w:szCs w:val="18"/>
              </w:rPr>
            </w:pPr>
            <w:r w:rsidRPr="00A455F0">
              <w:rPr>
                <w:rFonts w:ascii="Times New Roman" w:hAnsi="Times New Roman"/>
                <w:b/>
                <w:bCs/>
                <w:sz w:val="18"/>
                <w:szCs w:val="18"/>
              </w:rPr>
              <w:t> </w:t>
            </w:r>
          </w:p>
        </w:tc>
      </w:tr>
      <w:tr w:rsidR="002105AB" w:rsidRPr="00827B75" w14:paraId="7CADDD4F" w14:textId="77777777" w:rsidTr="00E43CC8">
        <w:trPr>
          <w:cantSplit/>
          <w:trHeight w:val="300"/>
        </w:trPr>
        <w:tc>
          <w:tcPr>
            <w:tcW w:w="1659" w:type="pct"/>
            <w:tcBorders>
              <w:top w:val="single" w:sz="2" w:space="0" w:color="auto"/>
              <w:bottom w:val="single" w:sz="2" w:space="0" w:color="auto"/>
            </w:tcBorders>
            <w:shd w:val="clear" w:color="000000" w:fill="FFFFFF"/>
            <w:noWrap/>
            <w:vAlign w:val="center"/>
            <w:hideMark/>
          </w:tcPr>
          <w:p w14:paraId="0792CB9D" w14:textId="77777777" w:rsidR="008B2E42" w:rsidRPr="00A455F0" w:rsidRDefault="008B2E42" w:rsidP="00AF6F46">
            <w:pPr>
              <w:tabs>
                <w:tab w:val="left" w:pos="3315"/>
              </w:tabs>
              <w:ind w:firstLineChars="100" w:firstLine="180"/>
              <w:rPr>
                <w:rFonts w:ascii="Times New Roman" w:hAnsi="Times New Roman"/>
                <w:i/>
                <w:iCs/>
                <w:sz w:val="18"/>
                <w:szCs w:val="18"/>
              </w:rPr>
            </w:pPr>
            <w:r w:rsidRPr="00A455F0">
              <w:rPr>
                <w:rFonts w:ascii="Times New Roman" w:hAnsi="Times New Roman"/>
                <w:i/>
                <w:iCs/>
                <w:sz w:val="18"/>
                <w:szCs w:val="18"/>
              </w:rPr>
              <w:t>% Change in Cases from Previous Period</w:t>
            </w:r>
          </w:p>
        </w:tc>
        <w:tc>
          <w:tcPr>
            <w:tcW w:w="87" w:type="pct"/>
            <w:tcBorders>
              <w:top w:val="single" w:sz="2" w:space="0" w:color="auto"/>
              <w:bottom w:val="single" w:sz="2" w:space="0" w:color="auto"/>
            </w:tcBorders>
            <w:shd w:val="clear" w:color="000000" w:fill="FFFFFF"/>
            <w:noWrap/>
            <w:vAlign w:val="center"/>
            <w:hideMark/>
          </w:tcPr>
          <w:p w14:paraId="2599E848" w14:textId="77777777" w:rsidR="008B2E42" w:rsidRPr="00A455F0" w:rsidRDefault="008B2E42" w:rsidP="00AF6F46">
            <w:pPr>
              <w:tabs>
                <w:tab w:val="left" w:pos="3315"/>
              </w:tabs>
              <w:ind w:firstLineChars="100" w:firstLine="180"/>
              <w:rPr>
                <w:rFonts w:ascii="Times New Roman" w:hAnsi="Times New Roman"/>
                <w:i/>
                <w:iCs/>
                <w:sz w:val="18"/>
                <w:szCs w:val="18"/>
              </w:rPr>
            </w:pPr>
            <w:r w:rsidRPr="00A455F0">
              <w:rPr>
                <w:rFonts w:ascii="Times New Roman" w:hAnsi="Times New Roman"/>
                <w:i/>
                <w:iCs/>
                <w:sz w:val="18"/>
                <w:szCs w:val="18"/>
              </w:rPr>
              <w:t> </w:t>
            </w:r>
          </w:p>
        </w:tc>
        <w:tc>
          <w:tcPr>
            <w:tcW w:w="367" w:type="pct"/>
            <w:tcBorders>
              <w:top w:val="single" w:sz="2" w:space="0" w:color="auto"/>
              <w:bottom w:val="single" w:sz="2" w:space="0" w:color="auto"/>
            </w:tcBorders>
            <w:shd w:val="clear" w:color="000000" w:fill="FFFFFF"/>
            <w:noWrap/>
            <w:vAlign w:val="center"/>
            <w:hideMark/>
          </w:tcPr>
          <w:p w14:paraId="1C70C602" w14:textId="77777777" w:rsidR="008B2E42" w:rsidRPr="00A455F0" w:rsidRDefault="008B2E42" w:rsidP="00DE6E1C">
            <w:pPr>
              <w:jc w:val="right"/>
              <w:rPr>
                <w:rFonts w:ascii="Times New Roman" w:hAnsi="Times New Roman"/>
                <w:sz w:val="18"/>
                <w:szCs w:val="18"/>
              </w:rPr>
            </w:pPr>
            <w:r w:rsidRPr="00A455F0">
              <w:rPr>
                <w:rFonts w:ascii="Times New Roman" w:hAnsi="Times New Roman"/>
                <w:sz w:val="18"/>
                <w:szCs w:val="18"/>
              </w:rPr>
              <w:t xml:space="preserve"> </w:t>
            </w:r>
          </w:p>
        </w:tc>
        <w:tc>
          <w:tcPr>
            <w:tcW w:w="264" w:type="pct"/>
            <w:tcBorders>
              <w:top w:val="single" w:sz="2" w:space="0" w:color="auto"/>
              <w:bottom w:val="single" w:sz="2" w:space="0" w:color="auto"/>
            </w:tcBorders>
            <w:shd w:val="clear" w:color="000000" w:fill="FFFFFF"/>
            <w:noWrap/>
            <w:vAlign w:val="center"/>
            <w:hideMark/>
          </w:tcPr>
          <w:p w14:paraId="2D6908E1" w14:textId="77777777" w:rsidR="008B2E42" w:rsidRPr="00A455F0" w:rsidRDefault="008B2E42" w:rsidP="00DE6E1C">
            <w:pPr>
              <w:jc w:val="right"/>
              <w:rPr>
                <w:rFonts w:ascii="Times New Roman" w:hAnsi="Times New Roman"/>
                <w:sz w:val="18"/>
                <w:szCs w:val="18"/>
              </w:rPr>
            </w:pPr>
            <w:r w:rsidRPr="00A455F0">
              <w:rPr>
                <w:rFonts w:ascii="Times New Roman" w:hAnsi="Times New Roman"/>
                <w:sz w:val="18"/>
                <w:szCs w:val="18"/>
              </w:rPr>
              <w:t> </w:t>
            </w:r>
          </w:p>
        </w:tc>
        <w:tc>
          <w:tcPr>
            <w:tcW w:w="367" w:type="pct"/>
            <w:tcBorders>
              <w:top w:val="single" w:sz="2" w:space="0" w:color="auto"/>
              <w:bottom w:val="single" w:sz="2" w:space="0" w:color="auto"/>
            </w:tcBorders>
            <w:shd w:val="clear" w:color="000000" w:fill="FFFFFF"/>
            <w:noWrap/>
            <w:vAlign w:val="center"/>
            <w:hideMark/>
          </w:tcPr>
          <w:p w14:paraId="31866486" w14:textId="77777777" w:rsidR="008B2E42" w:rsidRPr="00A455F0" w:rsidRDefault="008B2E42" w:rsidP="00DE6E1C">
            <w:pPr>
              <w:jc w:val="right"/>
              <w:rPr>
                <w:rFonts w:ascii="Times New Roman" w:hAnsi="Times New Roman"/>
                <w:sz w:val="18"/>
                <w:szCs w:val="18"/>
              </w:rPr>
            </w:pPr>
            <w:r w:rsidRPr="00A455F0">
              <w:rPr>
                <w:rFonts w:ascii="Times New Roman" w:hAnsi="Times New Roman"/>
                <w:sz w:val="18"/>
                <w:szCs w:val="18"/>
              </w:rPr>
              <w:t>4.17%</w:t>
            </w:r>
          </w:p>
        </w:tc>
        <w:tc>
          <w:tcPr>
            <w:tcW w:w="267" w:type="pct"/>
            <w:tcBorders>
              <w:top w:val="single" w:sz="2" w:space="0" w:color="auto"/>
              <w:bottom w:val="single" w:sz="2" w:space="0" w:color="auto"/>
            </w:tcBorders>
            <w:shd w:val="clear" w:color="000000" w:fill="FFFFFF"/>
            <w:noWrap/>
            <w:vAlign w:val="center"/>
            <w:hideMark/>
          </w:tcPr>
          <w:p w14:paraId="0BCB38C8" w14:textId="77777777" w:rsidR="008B2E42" w:rsidRPr="00A455F0" w:rsidRDefault="008B2E42" w:rsidP="00DE6E1C">
            <w:pPr>
              <w:jc w:val="right"/>
              <w:rPr>
                <w:rFonts w:ascii="Times New Roman" w:hAnsi="Times New Roman"/>
                <w:sz w:val="18"/>
                <w:szCs w:val="18"/>
              </w:rPr>
            </w:pPr>
            <w:r w:rsidRPr="00A455F0">
              <w:rPr>
                <w:rFonts w:ascii="Times New Roman" w:hAnsi="Times New Roman"/>
                <w:sz w:val="18"/>
                <w:szCs w:val="18"/>
              </w:rPr>
              <w:t> </w:t>
            </w:r>
          </w:p>
        </w:tc>
        <w:tc>
          <w:tcPr>
            <w:tcW w:w="367" w:type="pct"/>
            <w:tcBorders>
              <w:top w:val="single" w:sz="2" w:space="0" w:color="auto"/>
              <w:bottom w:val="single" w:sz="2" w:space="0" w:color="auto"/>
            </w:tcBorders>
            <w:shd w:val="clear" w:color="000000" w:fill="FFFFFF"/>
            <w:noWrap/>
            <w:vAlign w:val="center"/>
            <w:hideMark/>
          </w:tcPr>
          <w:p w14:paraId="0E4E0ACE" w14:textId="77777777" w:rsidR="008B2E42" w:rsidRPr="00A455F0" w:rsidRDefault="008B2E42" w:rsidP="00DE6E1C">
            <w:pPr>
              <w:jc w:val="right"/>
              <w:rPr>
                <w:rFonts w:ascii="Times New Roman" w:hAnsi="Times New Roman"/>
                <w:sz w:val="18"/>
                <w:szCs w:val="18"/>
              </w:rPr>
            </w:pPr>
            <w:r w:rsidRPr="00A455F0">
              <w:rPr>
                <w:rFonts w:ascii="Times New Roman" w:hAnsi="Times New Roman"/>
                <w:sz w:val="18"/>
                <w:szCs w:val="18"/>
              </w:rPr>
              <w:t>4.24%</w:t>
            </w:r>
          </w:p>
        </w:tc>
        <w:tc>
          <w:tcPr>
            <w:tcW w:w="267" w:type="pct"/>
            <w:tcBorders>
              <w:top w:val="single" w:sz="2" w:space="0" w:color="auto"/>
              <w:bottom w:val="single" w:sz="2" w:space="0" w:color="auto"/>
            </w:tcBorders>
            <w:shd w:val="clear" w:color="000000" w:fill="FFFFFF"/>
            <w:noWrap/>
            <w:vAlign w:val="center"/>
            <w:hideMark/>
          </w:tcPr>
          <w:p w14:paraId="63013283" w14:textId="77777777" w:rsidR="008B2E42" w:rsidRPr="00A455F0" w:rsidRDefault="008B2E42" w:rsidP="00DE6E1C">
            <w:pPr>
              <w:jc w:val="right"/>
              <w:rPr>
                <w:rFonts w:ascii="Times New Roman" w:hAnsi="Times New Roman"/>
                <w:sz w:val="18"/>
                <w:szCs w:val="18"/>
              </w:rPr>
            </w:pPr>
            <w:r w:rsidRPr="00A455F0">
              <w:rPr>
                <w:rFonts w:ascii="Times New Roman" w:hAnsi="Times New Roman"/>
                <w:sz w:val="18"/>
                <w:szCs w:val="18"/>
              </w:rPr>
              <w:t> </w:t>
            </w:r>
          </w:p>
        </w:tc>
        <w:tc>
          <w:tcPr>
            <w:tcW w:w="367" w:type="pct"/>
            <w:tcBorders>
              <w:top w:val="single" w:sz="2" w:space="0" w:color="auto"/>
              <w:bottom w:val="single" w:sz="2" w:space="0" w:color="auto"/>
            </w:tcBorders>
            <w:shd w:val="clear" w:color="000000" w:fill="FFFFFF"/>
            <w:noWrap/>
            <w:vAlign w:val="center"/>
            <w:hideMark/>
          </w:tcPr>
          <w:p w14:paraId="3FFBB5D7" w14:textId="77777777" w:rsidR="008B2E42" w:rsidRPr="00A455F0" w:rsidRDefault="008B2E42" w:rsidP="00DE6E1C">
            <w:pPr>
              <w:jc w:val="right"/>
              <w:rPr>
                <w:rFonts w:ascii="Times New Roman" w:hAnsi="Times New Roman"/>
                <w:sz w:val="18"/>
                <w:szCs w:val="18"/>
              </w:rPr>
            </w:pPr>
            <w:r w:rsidRPr="00A455F0">
              <w:rPr>
                <w:rFonts w:ascii="Times New Roman" w:hAnsi="Times New Roman"/>
                <w:sz w:val="18"/>
                <w:szCs w:val="18"/>
              </w:rPr>
              <w:t>4.07%</w:t>
            </w:r>
          </w:p>
        </w:tc>
        <w:tc>
          <w:tcPr>
            <w:tcW w:w="268" w:type="pct"/>
            <w:tcBorders>
              <w:top w:val="single" w:sz="2" w:space="0" w:color="auto"/>
              <w:bottom w:val="single" w:sz="2" w:space="0" w:color="auto"/>
            </w:tcBorders>
            <w:shd w:val="clear" w:color="000000" w:fill="FFFFFF"/>
            <w:noWrap/>
            <w:vAlign w:val="center"/>
            <w:hideMark/>
          </w:tcPr>
          <w:p w14:paraId="367BC250" w14:textId="77777777" w:rsidR="008B2E42" w:rsidRPr="00A455F0" w:rsidRDefault="008B2E42" w:rsidP="00DE6E1C">
            <w:pPr>
              <w:jc w:val="right"/>
              <w:rPr>
                <w:rFonts w:ascii="Times New Roman" w:hAnsi="Times New Roman"/>
                <w:sz w:val="18"/>
                <w:szCs w:val="18"/>
              </w:rPr>
            </w:pPr>
            <w:r w:rsidRPr="00A455F0">
              <w:rPr>
                <w:rFonts w:ascii="Times New Roman" w:hAnsi="Times New Roman"/>
                <w:sz w:val="18"/>
                <w:szCs w:val="18"/>
              </w:rPr>
              <w:t> </w:t>
            </w:r>
          </w:p>
        </w:tc>
        <w:tc>
          <w:tcPr>
            <w:tcW w:w="367" w:type="pct"/>
            <w:tcBorders>
              <w:top w:val="single" w:sz="2" w:space="0" w:color="auto"/>
              <w:bottom w:val="single" w:sz="2" w:space="0" w:color="auto"/>
            </w:tcBorders>
            <w:shd w:val="clear" w:color="000000" w:fill="FFFFFF"/>
            <w:noWrap/>
            <w:vAlign w:val="center"/>
            <w:hideMark/>
          </w:tcPr>
          <w:p w14:paraId="44DA3C4C" w14:textId="77777777" w:rsidR="008B2E42" w:rsidRPr="00A455F0" w:rsidRDefault="008B2E42" w:rsidP="00DE6E1C">
            <w:pPr>
              <w:jc w:val="right"/>
              <w:rPr>
                <w:rFonts w:ascii="Times New Roman" w:hAnsi="Times New Roman"/>
                <w:sz w:val="18"/>
                <w:szCs w:val="18"/>
              </w:rPr>
            </w:pPr>
            <w:r w:rsidRPr="00A455F0">
              <w:rPr>
                <w:rFonts w:ascii="Times New Roman" w:hAnsi="Times New Roman"/>
                <w:sz w:val="18"/>
                <w:szCs w:val="18"/>
              </w:rPr>
              <w:t>3.92%</w:t>
            </w:r>
          </w:p>
        </w:tc>
        <w:tc>
          <w:tcPr>
            <w:tcW w:w="352" w:type="pct"/>
            <w:tcBorders>
              <w:top w:val="single" w:sz="2" w:space="0" w:color="auto"/>
              <w:bottom w:val="single" w:sz="2" w:space="0" w:color="auto"/>
            </w:tcBorders>
            <w:shd w:val="clear" w:color="000000" w:fill="FFFFFF"/>
            <w:noWrap/>
            <w:vAlign w:val="center"/>
            <w:hideMark/>
          </w:tcPr>
          <w:p w14:paraId="03480329" w14:textId="77777777" w:rsidR="008B2E42" w:rsidRPr="00A455F0" w:rsidRDefault="008B2E42" w:rsidP="00DE6E1C">
            <w:pPr>
              <w:jc w:val="right"/>
              <w:rPr>
                <w:rFonts w:ascii="Times New Roman" w:hAnsi="Times New Roman"/>
                <w:sz w:val="18"/>
                <w:szCs w:val="18"/>
              </w:rPr>
            </w:pPr>
            <w:r w:rsidRPr="00A455F0">
              <w:rPr>
                <w:rFonts w:ascii="Times New Roman" w:hAnsi="Times New Roman"/>
                <w:sz w:val="18"/>
                <w:szCs w:val="18"/>
              </w:rPr>
              <w:t> </w:t>
            </w:r>
          </w:p>
        </w:tc>
      </w:tr>
      <w:tr w:rsidR="002105AB" w:rsidRPr="00827B75" w14:paraId="5E215161" w14:textId="77777777" w:rsidTr="00E43CC8">
        <w:trPr>
          <w:cantSplit/>
          <w:trHeight w:val="300"/>
        </w:trPr>
        <w:tc>
          <w:tcPr>
            <w:tcW w:w="1659" w:type="pct"/>
            <w:tcBorders>
              <w:top w:val="single" w:sz="2" w:space="0" w:color="auto"/>
              <w:bottom w:val="single" w:sz="12" w:space="0" w:color="auto"/>
            </w:tcBorders>
            <w:shd w:val="clear" w:color="000000" w:fill="FFFFFF"/>
            <w:noWrap/>
            <w:vAlign w:val="center"/>
            <w:hideMark/>
          </w:tcPr>
          <w:p w14:paraId="3510205B" w14:textId="77777777" w:rsidR="008B2E42" w:rsidRPr="00A455F0" w:rsidRDefault="008B2E42" w:rsidP="00AF6F46">
            <w:pPr>
              <w:tabs>
                <w:tab w:val="left" w:pos="3315"/>
              </w:tabs>
              <w:ind w:firstLineChars="200" w:firstLine="361"/>
              <w:rPr>
                <w:rFonts w:ascii="Times New Roman" w:hAnsi="Times New Roman"/>
                <w:b/>
                <w:bCs/>
                <w:sz w:val="18"/>
                <w:szCs w:val="18"/>
              </w:rPr>
            </w:pPr>
            <w:r w:rsidRPr="00A455F0">
              <w:rPr>
                <w:rFonts w:ascii="Times New Roman" w:hAnsi="Times New Roman"/>
                <w:b/>
                <w:bCs/>
                <w:sz w:val="18"/>
                <w:szCs w:val="18"/>
              </w:rPr>
              <w:t>Cases per Operating Room</w:t>
            </w:r>
          </w:p>
        </w:tc>
        <w:tc>
          <w:tcPr>
            <w:tcW w:w="87" w:type="pct"/>
            <w:tcBorders>
              <w:top w:val="single" w:sz="2" w:space="0" w:color="auto"/>
              <w:bottom w:val="single" w:sz="12" w:space="0" w:color="auto"/>
            </w:tcBorders>
            <w:shd w:val="clear" w:color="000000" w:fill="FFFFFF"/>
            <w:noWrap/>
            <w:vAlign w:val="center"/>
            <w:hideMark/>
          </w:tcPr>
          <w:p w14:paraId="46B608D1" w14:textId="77777777" w:rsidR="008B2E42" w:rsidRPr="00A455F0" w:rsidRDefault="008B2E42" w:rsidP="00AF6F46">
            <w:pPr>
              <w:tabs>
                <w:tab w:val="left" w:pos="3315"/>
              </w:tabs>
              <w:ind w:firstLineChars="200" w:firstLine="361"/>
              <w:rPr>
                <w:rFonts w:ascii="Times New Roman" w:hAnsi="Times New Roman"/>
                <w:b/>
                <w:bCs/>
                <w:sz w:val="18"/>
                <w:szCs w:val="18"/>
              </w:rPr>
            </w:pPr>
            <w:r w:rsidRPr="00A455F0">
              <w:rPr>
                <w:rFonts w:ascii="Times New Roman" w:hAnsi="Times New Roman"/>
                <w:b/>
                <w:bCs/>
                <w:sz w:val="18"/>
                <w:szCs w:val="18"/>
              </w:rPr>
              <w:t> </w:t>
            </w:r>
          </w:p>
        </w:tc>
        <w:tc>
          <w:tcPr>
            <w:tcW w:w="367" w:type="pct"/>
            <w:tcBorders>
              <w:top w:val="single" w:sz="2" w:space="0" w:color="auto"/>
              <w:bottom w:val="single" w:sz="12" w:space="0" w:color="auto"/>
            </w:tcBorders>
            <w:shd w:val="clear" w:color="000000" w:fill="FFFFFF"/>
            <w:noWrap/>
            <w:vAlign w:val="center"/>
            <w:hideMark/>
          </w:tcPr>
          <w:p w14:paraId="507D17E3" w14:textId="77777777" w:rsidR="008B2E42" w:rsidRPr="00A455F0" w:rsidRDefault="008B2E42" w:rsidP="00DE6E1C">
            <w:pPr>
              <w:jc w:val="right"/>
              <w:rPr>
                <w:rFonts w:ascii="Times New Roman" w:hAnsi="Times New Roman"/>
                <w:b/>
                <w:bCs/>
                <w:sz w:val="18"/>
                <w:szCs w:val="18"/>
              </w:rPr>
            </w:pPr>
            <w:r w:rsidRPr="00A455F0">
              <w:rPr>
                <w:rFonts w:ascii="Times New Roman" w:hAnsi="Times New Roman"/>
                <w:b/>
                <w:bCs/>
                <w:sz w:val="18"/>
                <w:szCs w:val="18"/>
              </w:rPr>
              <w:t xml:space="preserve">966 </w:t>
            </w:r>
          </w:p>
        </w:tc>
        <w:tc>
          <w:tcPr>
            <w:tcW w:w="264" w:type="pct"/>
            <w:tcBorders>
              <w:top w:val="single" w:sz="2" w:space="0" w:color="auto"/>
              <w:bottom w:val="single" w:sz="12" w:space="0" w:color="auto"/>
            </w:tcBorders>
            <w:shd w:val="clear" w:color="000000" w:fill="FFFFFF"/>
            <w:noWrap/>
            <w:vAlign w:val="center"/>
            <w:hideMark/>
          </w:tcPr>
          <w:p w14:paraId="6A0A30C3" w14:textId="77777777" w:rsidR="008B2E42" w:rsidRPr="00A455F0" w:rsidRDefault="008B2E42" w:rsidP="00DE6E1C">
            <w:pPr>
              <w:jc w:val="right"/>
              <w:rPr>
                <w:rFonts w:ascii="Times New Roman" w:hAnsi="Times New Roman"/>
                <w:b/>
                <w:bCs/>
                <w:sz w:val="18"/>
                <w:szCs w:val="18"/>
              </w:rPr>
            </w:pPr>
            <w:r w:rsidRPr="00A455F0">
              <w:rPr>
                <w:rFonts w:ascii="Times New Roman" w:hAnsi="Times New Roman"/>
                <w:b/>
                <w:bCs/>
                <w:sz w:val="18"/>
                <w:szCs w:val="18"/>
              </w:rPr>
              <w:t> </w:t>
            </w:r>
          </w:p>
        </w:tc>
        <w:tc>
          <w:tcPr>
            <w:tcW w:w="367" w:type="pct"/>
            <w:tcBorders>
              <w:top w:val="single" w:sz="2" w:space="0" w:color="auto"/>
              <w:bottom w:val="single" w:sz="12" w:space="0" w:color="auto"/>
            </w:tcBorders>
            <w:shd w:val="clear" w:color="000000" w:fill="FFFFFF"/>
            <w:noWrap/>
            <w:vAlign w:val="center"/>
            <w:hideMark/>
          </w:tcPr>
          <w:p w14:paraId="23FD85C1" w14:textId="77777777" w:rsidR="008B2E42" w:rsidRPr="00A455F0" w:rsidRDefault="008B2E42" w:rsidP="00DE6E1C">
            <w:pPr>
              <w:jc w:val="right"/>
              <w:rPr>
                <w:rFonts w:ascii="Times New Roman" w:hAnsi="Times New Roman"/>
                <w:b/>
                <w:bCs/>
                <w:sz w:val="18"/>
                <w:szCs w:val="18"/>
              </w:rPr>
            </w:pPr>
            <w:r w:rsidRPr="00A455F0">
              <w:rPr>
                <w:rFonts w:ascii="Times New Roman" w:hAnsi="Times New Roman"/>
                <w:b/>
                <w:bCs/>
                <w:sz w:val="18"/>
                <w:szCs w:val="18"/>
              </w:rPr>
              <w:t xml:space="preserve">1,006 </w:t>
            </w:r>
          </w:p>
        </w:tc>
        <w:tc>
          <w:tcPr>
            <w:tcW w:w="267" w:type="pct"/>
            <w:tcBorders>
              <w:top w:val="single" w:sz="2" w:space="0" w:color="auto"/>
              <w:bottom w:val="single" w:sz="12" w:space="0" w:color="auto"/>
            </w:tcBorders>
            <w:shd w:val="clear" w:color="000000" w:fill="FFFFFF"/>
            <w:noWrap/>
            <w:vAlign w:val="center"/>
            <w:hideMark/>
          </w:tcPr>
          <w:p w14:paraId="5000F994" w14:textId="77777777" w:rsidR="008B2E42" w:rsidRPr="00A455F0" w:rsidRDefault="008B2E42" w:rsidP="00DE6E1C">
            <w:pPr>
              <w:jc w:val="right"/>
              <w:rPr>
                <w:rFonts w:ascii="Times New Roman" w:hAnsi="Times New Roman"/>
                <w:b/>
                <w:bCs/>
                <w:sz w:val="18"/>
                <w:szCs w:val="18"/>
              </w:rPr>
            </w:pPr>
            <w:r w:rsidRPr="00A455F0">
              <w:rPr>
                <w:rFonts w:ascii="Times New Roman" w:hAnsi="Times New Roman"/>
                <w:b/>
                <w:bCs/>
                <w:sz w:val="18"/>
                <w:szCs w:val="18"/>
              </w:rPr>
              <w:t> </w:t>
            </w:r>
          </w:p>
        </w:tc>
        <w:tc>
          <w:tcPr>
            <w:tcW w:w="367" w:type="pct"/>
            <w:tcBorders>
              <w:top w:val="single" w:sz="2" w:space="0" w:color="auto"/>
              <w:bottom w:val="single" w:sz="12" w:space="0" w:color="auto"/>
            </w:tcBorders>
            <w:shd w:val="clear" w:color="000000" w:fill="FFFFFF"/>
            <w:noWrap/>
            <w:vAlign w:val="center"/>
            <w:hideMark/>
          </w:tcPr>
          <w:p w14:paraId="50739302" w14:textId="77777777" w:rsidR="008B2E42" w:rsidRPr="00A455F0" w:rsidRDefault="008B2E42" w:rsidP="00DE6E1C">
            <w:pPr>
              <w:jc w:val="right"/>
              <w:rPr>
                <w:rFonts w:ascii="Times New Roman" w:hAnsi="Times New Roman"/>
                <w:b/>
                <w:bCs/>
                <w:sz w:val="18"/>
                <w:szCs w:val="18"/>
              </w:rPr>
            </w:pPr>
            <w:r w:rsidRPr="00A455F0">
              <w:rPr>
                <w:rFonts w:ascii="Times New Roman" w:hAnsi="Times New Roman"/>
                <w:b/>
                <w:bCs/>
                <w:sz w:val="18"/>
                <w:szCs w:val="18"/>
              </w:rPr>
              <w:t xml:space="preserve">1,049 </w:t>
            </w:r>
          </w:p>
        </w:tc>
        <w:tc>
          <w:tcPr>
            <w:tcW w:w="267" w:type="pct"/>
            <w:tcBorders>
              <w:top w:val="single" w:sz="2" w:space="0" w:color="auto"/>
              <w:bottom w:val="single" w:sz="12" w:space="0" w:color="auto"/>
            </w:tcBorders>
            <w:shd w:val="clear" w:color="000000" w:fill="FFFFFF"/>
            <w:noWrap/>
            <w:vAlign w:val="center"/>
            <w:hideMark/>
          </w:tcPr>
          <w:p w14:paraId="7CDB914F" w14:textId="77777777" w:rsidR="008B2E42" w:rsidRPr="00A455F0" w:rsidRDefault="008B2E42" w:rsidP="00DE6E1C">
            <w:pPr>
              <w:jc w:val="right"/>
              <w:rPr>
                <w:rFonts w:ascii="Times New Roman" w:hAnsi="Times New Roman"/>
                <w:b/>
                <w:bCs/>
                <w:sz w:val="18"/>
                <w:szCs w:val="18"/>
              </w:rPr>
            </w:pPr>
            <w:r w:rsidRPr="00A455F0">
              <w:rPr>
                <w:rFonts w:ascii="Times New Roman" w:hAnsi="Times New Roman"/>
                <w:b/>
                <w:bCs/>
                <w:sz w:val="18"/>
                <w:szCs w:val="18"/>
              </w:rPr>
              <w:t> </w:t>
            </w:r>
          </w:p>
        </w:tc>
        <w:tc>
          <w:tcPr>
            <w:tcW w:w="367" w:type="pct"/>
            <w:tcBorders>
              <w:top w:val="single" w:sz="2" w:space="0" w:color="auto"/>
              <w:bottom w:val="single" w:sz="12" w:space="0" w:color="auto"/>
            </w:tcBorders>
            <w:shd w:val="clear" w:color="000000" w:fill="FFFFFF"/>
            <w:noWrap/>
            <w:vAlign w:val="center"/>
            <w:hideMark/>
          </w:tcPr>
          <w:p w14:paraId="0E627EE2" w14:textId="77777777" w:rsidR="008B2E42" w:rsidRPr="00A455F0" w:rsidRDefault="008B2E42" w:rsidP="00DE6E1C">
            <w:pPr>
              <w:jc w:val="right"/>
              <w:rPr>
                <w:rFonts w:ascii="Times New Roman" w:hAnsi="Times New Roman"/>
                <w:b/>
                <w:bCs/>
                <w:sz w:val="18"/>
                <w:szCs w:val="18"/>
              </w:rPr>
            </w:pPr>
            <w:r w:rsidRPr="00A455F0">
              <w:rPr>
                <w:rFonts w:ascii="Times New Roman" w:hAnsi="Times New Roman"/>
                <w:b/>
                <w:bCs/>
                <w:sz w:val="18"/>
                <w:szCs w:val="18"/>
              </w:rPr>
              <w:t xml:space="preserve">1,092 </w:t>
            </w:r>
          </w:p>
        </w:tc>
        <w:tc>
          <w:tcPr>
            <w:tcW w:w="268" w:type="pct"/>
            <w:tcBorders>
              <w:top w:val="single" w:sz="2" w:space="0" w:color="auto"/>
              <w:bottom w:val="single" w:sz="12" w:space="0" w:color="auto"/>
            </w:tcBorders>
            <w:shd w:val="clear" w:color="000000" w:fill="FFFFFF"/>
            <w:noWrap/>
            <w:vAlign w:val="center"/>
            <w:hideMark/>
          </w:tcPr>
          <w:p w14:paraId="73AA6F40" w14:textId="77777777" w:rsidR="008B2E42" w:rsidRPr="00A455F0" w:rsidRDefault="008B2E42" w:rsidP="00DE6E1C">
            <w:pPr>
              <w:jc w:val="right"/>
              <w:rPr>
                <w:rFonts w:ascii="Times New Roman" w:hAnsi="Times New Roman"/>
                <w:b/>
                <w:bCs/>
                <w:sz w:val="18"/>
                <w:szCs w:val="18"/>
              </w:rPr>
            </w:pPr>
            <w:r w:rsidRPr="00A455F0">
              <w:rPr>
                <w:rFonts w:ascii="Times New Roman" w:hAnsi="Times New Roman"/>
                <w:b/>
                <w:bCs/>
                <w:sz w:val="18"/>
                <w:szCs w:val="18"/>
              </w:rPr>
              <w:t> </w:t>
            </w:r>
          </w:p>
        </w:tc>
        <w:tc>
          <w:tcPr>
            <w:tcW w:w="367" w:type="pct"/>
            <w:tcBorders>
              <w:top w:val="single" w:sz="2" w:space="0" w:color="auto"/>
              <w:bottom w:val="single" w:sz="12" w:space="0" w:color="auto"/>
            </w:tcBorders>
            <w:shd w:val="clear" w:color="000000" w:fill="FFFFFF"/>
            <w:noWrap/>
            <w:vAlign w:val="center"/>
            <w:hideMark/>
          </w:tcPr>
          <w:p w14:paraId="6C7AF191" w14:textId="77777777" w:rsidR="008B2E42" w:rsidRPr="00A455F0" w:rsidRDefault="008B2E42" w:rsidP="00DE6E1C">
            <w:pPr>
              <w:jc w:val="right"/>
              <w:rPr>
                <w:rFonts w:ascii="Times New Roman" w:hAnsi="Times New Roman"/>
                <w:b/>
                <w:bCs/>
                <w:sz w:val="18"/>
                <w:szCs w:val="18"/>
              </w:rPr>
            </w:pPr>
            <w:r w:rsidRPr="00A455F0">
              <w:rPr>
                <w:rFonts w:ascii="Times New Roman" w:hAnsi="Times New Roman"/>
                <w:b/>
                <w:bCs/>
                <w:sz w:val="18"/>
                <w:szCs w:val="18"/>
              </w:rPr>
              <w:t xml:space="preserve">1,134 </w:t>
            </w:r>
          </w:p>
        </w:tc>
        <w:tc>
          <w:tcPr>
            <w:tcW w:w="352" w:type="pct"/>
            <w:tcBorders>
              <w:top w:val="single" w:sz="2" w:space="0" w:color="auto"/>
              <w:bottom w:val="single" w:sz="12" w:space="0" w:color="auto"/>
            </w:tcBorders>
            <w:shd w:val="clear" w:color="000000" w:fill="FFFFFF"/>
            <w:noWrap/>
            <w:vAlign w:val="center"/>
            <w:hideMark/>
          </w:tcPr>
          <w:p w14:paraId="439249AD" w14:textId="77777777" w:rsidR="008B2E42" w:rsidRPr="00A455F0" w:rsidRDefault="008B2E42" w:rsidP="00DE6E1C">
            <w:pPr>
              <w:jc w:val="right"/>
              <w:rPr>
                <w:rFonts w:ascii="Times New Roman" w:hAnsi="Times New Roman"/>
                <w:b/>
                <w:bCs/>
                <w:sz w:val="18"/>
                <w:szCs w:val="18"/>
              </w:rPr>
            </w:pPr>
            <w:r w:rsidRPr="00A455F0">
              <w:rPr>
                <w:rFonts w:ascii="Times New Roman" w:hAnsi="Times New Roman"/>
                <w:b/>
                <w:bCs/>
                <w:sz w:val="18"/>
                <w:szCs w:val="18"/>
              </w:rPr>
              <w:t> </w:t>
            </w:r>
          </w:p>
        </w:tc>
      </w:tr>
      <w:tr w:rsidR="002105AB" w:rsidRPr="00827B75" w14:paraId="1A882C28" w14:textId="77777777" w:rsidTr="00E43CC8">
        <w:trPr>
          <w:cantSplit/>
          <w:trHeight w:val="274"/>
        </w:trPr>
        <w:tc>
          <w:tcPr>
            <w:tcW w:w="1659" w:type="pct"/>
            <w:tcBorders>
              <w:top w:val="single" w:sz="12" w:space="0" w:color="auto"/>
              <w:bottom w:val="single" w:sz="2" w:space="0" w:color="auto"/>
            </w:tcBorders>
            <w:shd w:val="clear" w:color="000000" w:fill="FFFFFF"/>
            <w:noWrap/>
            <w:hideMark/>
          </w:tcPr>
          <w:p w14:paraId="3F3BE6C8" w14:textId="77777777" w:rsidR="008B2E42" w:rsidRPr="00A455F0" w:rsidRDefault="008B2E42" w:rsidP="00AF6F46">
            <w:pPr>
              <w:tabs>
                <w:tab w:val="left" w:pos="3315"/>
              </w:tabs>
              <w:rPr>
                <w:rFonts w:ascii="Times New Roman" w:hAnsi="Times New Roman"/>
                <w:b/>
                <w:bCs/>
                <w:sz w:val="18"/>
                <w:szCs w:val="18"/>
              </w:rPr>
            </w:pPr>
            <w:r w:rsidRPr="00A455F0">
              <w:rPr>
                <w:rFonts w:ascii="Times New Roman" w:hAnsi="Times New Roman"/>
                <w:b/>
                <w:bCs/>
                <w:sz w:val="18"/>
                <w:szCs w:val="18"/>
              </w:rPr>
              <w:t>Total Revenue per Case</w:t>
            </w:r>
          </w:p>
        </w:tc>
        <w:tc>
          <w:tcPr>
            <w:tcW w:w="87" w:type="pct"/>
            <w:tcBorders>
              <w:top w:val="single" w:sz="12" w:space="0" w:color="auto"/>
              <w:bottom w:val="single" w:sz="2" w:space="0" w:color="auto"/>
            </w:tcBorders>
            <w:shd w:val="clear" w:color="000000" w:fill="FFFFFF"/>
            <w:noWrap/>
            <w:hideMark/>
          </w:tcPr>
          <w:p w14:paraId="781159C0" w14:textId="77777777" w:rsidR="008B2E42" w:rsidRPr="00A455F0" w:rsidRDefault="008B2E42" w:rsidP="00AF6F46">
            <w:pPr>
              <w:tabs>
                <w:tab w:val="left" w:pos="3315"/>
              </w:tabs>
              <w:rPr>
                <w:rFonts w:ascii="Times New Roman" w:hAnsi="Times New Roman"/>
                <w:b/>
                <w:bCs/>
                <w:sz w:val="18"/>
                <w:szCs w:val="18"/>
              </w:rPr>
            </w:pPr>
            <w:r w:rsidRPr="00A455F0">
              <w:rPr>
                <w:rFonts w:ascii="Times New Roman" w:hAnsi="Times New Roman"/>
                <w:b/>
                <w:bCs/>
                <w:sz w:val="18"/>
                <w:szCs w:val="18"/>
              </w:rPr>
              <w:t> </w:t>
            </w:r>
          </w:p>
        </w:tc>
        <w:tc>
          <w:tcPr>
            <w:tcW w:w="367" w:type="pct"/>
            <w:tcBorders>
              <w:top w:val="single" w:sz="12" w:space="0" w:color="auto"/>
              <w:bottom w:val="single" w:sz="2" w:space="0" w:color="auto"/>
            </w:tcBorders>
            <w:shd w:val="clear" w:color="000000" w:fill="FFFFFF"/>
            <w:noWrap/>
            <w:hideMark/>
          </w:tcPr>
          <w:p w14:paraId="4CAD0573" w14:textId="77777777" w:rsidR="008B2E42" w:rsidRPr="00A455F0" w:rsidRDefault="008B2E42" w:rsidP="00DE6E1C">
            <w:pPr>
              <w:jc w:val="right"/>
              <w:rPr>
                <w:rFonts w:ascii="Times New Roman" w:hAnsi="Times New Roman"/>
                <w:b/>
                <w:bCs/>
                <w:sz w:val="18"/>
                <w:szCs w:val="18"/>
              </w:rPr>
            </w:pPr>
            <w:r w:rsidRPr="00A455F0">
              <w:rPr>
                <w:rFonts w:ascii="Times New Roman" w:hAnsi="Times New Roman"/>
                <w:b/>
                <w:bCs/>
                <w:sz w:val="18"/>
                <w:szCs w:val="18"/>
              </w:rPr>
              <w:t xml:space="preserve">$5,424 </w:t>
            </w:r>
          </w:p>
        </w:tc>
        <w:tc>
          <w:tcPr>
            <w:tcW w:w="264" w:type="pct"/>
            <w:tcBorders>
              <w:top w:val="single" w:sz="12" w:space="0" w:color="auto"/>
              <w:bottom w:val="single" w:sz="2" w:space="0" w:color="auto"/>
            </w:tcBorders>
            <w:shd w:val="clear" w:color="000000" w:fill="FFFFFF"/>
            <w:noWrap/>
            <w:hideMark/>
          </w:tcPr>
          <w:p w14:paraId="24B6D96E" w14:textId="77777777" w:rsidR="008B2E42" w:rsidRPr="00A455F0" w:rsidRDefault="008B2E42" w:rsidP="00DE6E1C">
            <w:pPr>
              <w:jc w:val="right"/>
              <w:rPr>
                <w:rFonts w:ascii="Times New Roman" w:hAnsi="Times New Roman"/>
                <w:b/>
                <w:bCs/>
                <w:sz w:val="18"/>
                <w:szCs w:val="18"/>
              </w:rPr>
            </w:pPr>
            <w:r w:rsidRPr="00A455F0">
              <w:rPr>
                <w:rFonts w:ascii="Times New Roman" w:hAnsi="Times New Roman"/>
                <w:b/>
                <w:bCs/>
                <w:sz w:val="18"/>
                <w:szCs w:val="18"/>
              </w:rPr>
              <w:t> </w:t>
            </w:r>
          </w:p>
        </w:tc>
        <w:tc>
          <w:tcPr>
            <w:tcW w:w="367" w:type="pct"/>
            <w:tcBorders>
              <w:top w:val="single" w:sz="12" w:space="0" w:color="auto"/>
              <w:bottom w:val="single" w:sz="2" w:space="0" w:color="auto"/>
            </w:tcBorders>
            <w:shd w:val="clear" w:color="000000" w:fill="FFFFFF"/>
            <w:noWrap/>
            <w:hideMark/>
          </w:tcPr>
          <w:p w14:paraId="15C023D6" w14:textId="77777777" w:rsidR="008B2E42" w:rsidRPr="00A455F0" w:rsidRDefault="008B2E42" w:rsidP="00DE6E1C">
            <w:pPr>
              <w:jc w:val="right"/>
              <w:rPr>
                <w:rFonts w:ascii="Times New Roman" w:hAnsi="Times New Roman"/>
                <w:b/>
                <w:bCs/>
                <w:sz w:val="18"/>
                <w:szCs w:val="18"/>
              </w:rPr>
            </w:pPr>
            <w:r w:rsidRPr="00A455F0">
              <w:rPr>
                <w:rFonts w:ascii="Times New Roman" w:hAnsi="Times New Roman"/>
                <w:b/>
                <w:bCs/>
                <w:sz w:val="18"/>
                <w:szCs w:val="18"/>
              </w:rPr>
              <w:t xml:space="preserve">$5,606 </w:t>
            </w:r>
          </w:p>
        </w:tc>
        <w:tc>
          <w:tcPr>
            <w:tcW w:w="267" w:type="pct"/>
            <w:tcBorders>
              <w:top w:val="single" w:sz="12" w:space="0" w:color="auto"/>
              <w:bottom w:val="single" w:sz="2" w:space="0" w:color="auto"/>
            </w:tcBorders>
            <w:shd w:val="clear" w:color="000000" w:fill="FFFFFF"/>
            <w:noWrap/>
            <w:hideMark/>
          </w:tcPr>
          <w:p w14:paraId="072B782D" w14:textId="77777777" w:rsidR="008B2E42" w:rsidRPr="00A455F0" w:rsidRDefault="008B2E42" w:rsidP="00DE6E1C">
            <w:pPr>
              <w:jc w:val="right"/>
              <w:rPr>
                <w:rFonts w:ascii="Times New Roman" w:hAnsi="Times New Roman"/>
                <w:b/>
                <w:bCs/>
                <w:sz w:val="18"/>
                <w:szCs w:val="18"/>
              </w:rPr>
            </w:pPr>
            <w:r w:rsidRPr="00A455F0">
              <w:rPr>
                <w:rFonts w:ascii="Times New Roman" w:hAnsi="Times New Roman"/>
                <w:b/>
                <w:bCs/>
                <w:sz w:val="18"/>
                <w:szCs w:val="18"/>
              </w:rPr>
              <w:t> </w:t>
            </w:r>
          </w:p>
        </w:tc>
        <w:tc>
          <w:tcPr>
            <w:tcW w:w="367" w:type="pct"/>
            <w:tcBorders>
              <w:top w:val="single" w:sz="12" w:space="0" w:color="auto"/>
              <w:bottom w:val="single" w:sz="2" w:space="0" w:color="auto"/>
            </w:tcBorders>
            <w:shd w:val="clear" w:color="000000" w:fill="FFFFFF"/>
            <w:noWrap/>
            <w:hideMark/>
          </w:tcPr>
          <w:p w14:paraId="29AE0900" w14:textId="77777777" w:rsidR="008B2E42" w:rsidRPr="00A455F0" w:rsidRDefault="008B2E42" w:rsidP="00DE6E1C">
            <w:pPr>
              <w:jc w:val="right"/>
              <w:rPr>
                <w:rFonts w:ascii="Times New Roman" w:hAnsi="Times New Roman"/>
                <w:b/>
                <w:bCs/>
                <w:sz w:val="18"/>
                <w:szCs w:val="18"/>
              </w:rPr>
            </w:pPr>
            <w:r w:rsidRPr="00A455F0">
              <w:rPr>
                <w:rFonts w:ascii="Times New Roman" w:hAnsi="Times New Roman"/>
                <w:b/>
                <w:bCs/>
                <w:sz w:val="18"/>
                <w:szCs w:val="18"/>
              </w:rPr>
              <w:t xml:space="preserve">$5,796 </w:t>
            </w:r>
          </w:p>
        </w:tc>
        <w:tc>
          <w:tcPr>
            <w:tcW w:w="267" w:type="pct"/>
            <w:tcBorders>
              <w:top w:val="single" w:sz="12" w:space="0" w:color="auto"/>
              <w:bottom w:val="single" w:sz="2" w:space="0" w:color="auto"/>
            </w:tcBorders>
            <w:shd w:val="clear" w:color="000000" w:fill="FFFFFF"/>
            <w:noWrap/>
            <w:hideMark/>
          </w:tcPr>
          <w:p w14:paraId="149C16C0" w14:textId="77777777" w:rsidR="008B2E42" w:rsidRPr="00A455F0" w:rsidRDefault="008B2E42" w:rsidP="00DE6E1C">
            <w:pPr>
              <w:jc w:val="right"/>
              <w:rPr>
                <w:rFonts w:ascii="Times New Roman" w:hAnsi="Times New Roman"/>
                <w:b/>
                <w:bCs/>
                <w:sz w:val="18"/>
                <w:szCs w:val="18"/>
              </w:rPr>
            </w:pPr>
            <w:r w:rsidRPr="00A455F0">
              <w:rPr>
                <w:rFonts w:ascii="Times New Roman" w:hAnsi="Times New Roman"/>
                <w:b/>
                <w:bCs/>
                <w:sz w:val="18"/>
                <w:szCs w:val="18"/>
              </w:rPr>
              <w:t> </w:t>
            </w:r>
          </w:p>
        </w:tc>
        <w:tc>
          <w:tcPr>
            <w:tcW w:w="367" w:type="pct"/>
            <w:tcBorders>
              <w:top w:val="single" w:sz="12" w:space="0" w:color="auto"/>
              <w:bottom w:val="single" w:sz="2" w:space="0" w:color="auto"/>
            </w:tcBorders>
            <w:shd w:val="clear" w:color="000000" w:fill="FFFFFF"/>
            <w:noWrap/>
            <w:hideMark/>
          </w:tcPr>
          <w:p w14:paraId="43217DBF" w14:textId="77777777" w:rsidR="008B2E42" w:rsidRPr="00A455F0" w:rsidRDefault="008B2E42" w:rsidP="00DE6E1C">
            <w:pPr>
              <w:jc w:val="right"/>
              <w:rPr>
                <w:rFonts w:ascii="Times New Roman" w:hAnsi="Times New Roman"/>
                <w:b/>
                <w:bCs/>
                <w:sz w:val="18"/>
                <w:szCs w:val="18"/>
              </w:rPr>
            </w:pPr>
            <w:r w:rsidRPr="00A455F0">
              <w:rPr>
                <w:rFonts w:ascii="Times New Roman" w:hAnsi="Times New Roman"/>
                <w:b/>
                <w:bCs/>
                <w:sz w:val="18"/>
                <w:szCs w:val="18"/>
              </w:rPr>
              <w:t xml:space="preserve">$5,988 </w:t>
            </w:r>
          </w:p>
        </w:tc>
        <w:tc>
          <w:tcPr>
            <w:tcW w:w="268" w:type="pct"/>
            <w:tcBorders>
              <w:top w:val="single" w:sz="12" w:space="0" w:color="auto"/>
              <w:bottom w:val="single" w:sz="2" w:space="0" w:color="auto"/>
            </w:tcBorders>
            <w:shd w:val="clear" w:color="000000" w:fill="FFFFFF"/>
            <w:noWrap/>
            <w:hideMark/>
          </w:tcPr>
          <w:p w14:paraId="76E1D27D" w14:textId="77777777" w:rsidR="008B2E42" w:rsidRPr="00A455F0" w:rsidRDefault="008B2E42" w:rsidP="00DE6E1C">
            <w:pPr>
              <w:jc w:val="right"/>
              <w:rPr>
                <w:rFonts w:ascii="Times New Roman" w:hAnsi="Times New Roman"/>
                <w:b/>
                <w:bCs/>
                <w:sz w:val="18"/>
                <w:szCs w:val="18"/>
              </w:rPr>
            </w:pPr>
            <w:r w:rsidRPr="00A455F0">
              <w:rPr>
                <w:rFonts w:ascii="Times New Roman" w:hAnsi="Times New Roman"/>
                <w:b/>
                <w:bCs/>
                <w:sz w:val="18"/>
                <w:szCs w:val="18"/>
              </w:rPr>
              <w:t> </w:t>
            </w:r>
          </w:p>
        </w:tc>
        <w:tc>
          <w:tcPr>
            <w:tcW w:w="367" w:type="pct"/>
            <w:tcBorders>
              <w:top w:val="single" w:sz="12" w:space="0" w:color="auto"/>
              <w:bottom w:val="single" w:sz="2" w:space="0" w:color="auto"/>
            </w:tcBorders>
            <w:shd w:val="clear" w:color="000000" w:fill="FFFFFF"/>
            <w:noWrap/>
            <w:hideMark/>
          </w:tcPr>
          <w:p w14:paraId="5054F7E6" w14:textId="77777777" w:rsidR="008B2E42" w:rsidRPr="00A455F0" w:rsidRDefault="008B2E42" w:rsidP="00DE6E1C">
            <w:pPr>
              <w:jc w:val="right"/>
              <w:rPr>
                <w:rFonts w:ascii="Times New Roman" w:hAnsi="Times New Roman"/>
                <w:b/>
                <w:bCs/>
                <w:sz w:val="18"/>
                <w:szCs w:val="18"/>
              </w:rPr>
            </w:pPr>
            <w:r w:rsidRPr="00A455F0">
              <w:rPr>
                <w:rFonts w:ascii="Times New Roman" w:hAnsi="Times New Roman"/>
                <w:b/>
                <w:bCs/>
                <w:sz w:val="18"/>
                <w:szCs w:val="18"/>
              </w:rPr>
              <w:t xml:space="preserve">$6,182 </w:t>
            </w:r>
          </w:p>
        </w:tc>
        <w:tc>
          <w:tcPr>
            <w:tcW w:w="352" w:type="pct"/>
            <w:tcBorders>
              <w:top w:val="single" w:sz="12" w:space="0" w:color="auto"/>
              <w:bottom w:val="single" w:sz="2" w:space="0" w:color="auto"/>
            </w:tcBorders>
            <w:shd w:val="clear" w:color="000000" w:fill="FFFFFF"/>
            <w:noWrap/>
            <w:hideMark/>
          </w:tcPr>
          <w:p w14:paraId="66B7215F" w14:textId="77777777" w:rsidR="008B2E42" w:rsidRPr="00A455F0" w:rsidRDefault="008B2E42" w:rsidP="00DE6E1C">
            <w:pPr>
              <w:jc w:val="right"/>
              <w:rPr>
                <w:rFonts w:ascii="Times New Roman" w:hAnsi="Times New Roman"/>
                <w:b/>
                <w:bCs/>
                <w:sz w:val="18"/>
                <w:szCs w:val="18"/>
              </w:rPr>
            </w:pPr>
            <w:r w:rsidRPr="00A455F0">
              <w:rPr>
                <w:rFonts w:ascii="Times New Roman" w:hAnsi="Times New Roman"/>
                <w:b/>
                <w:bCs/>
                <w:sz w:val="18"/>
                <w:szCs w:val="18"/>
              </w:rPr>
              <w:t> </w:t>
            </w:r>
          </w:p>
        </w:tc>
      </w:tr>
      <w:tr w:rsidR="002105AB" w:rsidRPr="00827B75" w14:paraId="74D4EE88" w14:textId="77777777" w:rsidTr="00E43CC8">
        <w:trPr>
          <w:cantSplit/>
          <w:trHeight w:val="300"/>
        </w:trPr>
        <w:tc>
          <w:tcPr>
            <w:tcW w:w="1659" w:type="pct"/>
            <w:tcBorders>
              <w:top w:val="single" w:sz="2" w:space="0" w:color="auto"/>
              <w:bottom w:val="single" w:sz="18" w:space="0" w:color="auto"/>
            </w:tcBorders>
            <w:shd w:val="clear" w:color="000000" w:fill="FFFFFF"/>
            <w:noWrap/>
            <w:vAlign w:val="center"/>
            <w:hideMark/>
          </w:tcPr>
          <w:p w14:paraId="7512AA8F" w14:textId="77777777" w:rsidR="008B2E42" w:rsidRPr="00A455F0" w:rsidRDefault="008B2E42" w:rsidP="00AF6F46">
            <w:pPr>
              <w:tabs>
                <w:tab w:val="left" w:pos="3315"/>
              </w:tabs>
              <w:ind w:firstLineChars="100" w:firstLine="180"/>
              <w:rPr>
                <w:rFonts w:ascii="Times New Roman" w:hAnsi="Times New Roman"/>
                <w:i/>
                <w:iCs/>
                <w:sz w:val="18"/>
                <w:szCs w:val="18"/>
              </w:rPr>
            </w:pPr>
            <w:r w:rsidRPr="00A455F0">
              <w:rPr>
                <w:rFonts w:ascii="Times New Roman" w:hAnsi="Times New Roman"/>
                <w:i/>
                <w:iCs/>
                <w:sz w:val="18"/>
                <w:szCs w:val="18"/>
              </w:rPr>
              <w:t>% Change in Revenue/Case from Previous      Period</w:t>
            </w:r>
          </w:p>
        </w:tc>
        <w:tc>
          <w:tcPr>
            <w:tcW w:w="87" w:type="pct"/>
            <w:tcBorders>
              <w:top w:val="single" w:sz="2" w:space="0" w:color="auto"/>
              <w:bottom w:val="single" w:sz="18" w:space="0" w:color="auto"/>
            </w:tcBorders>
            <w:shd w:val="clear" w:color="000000" w:fill="FFFFFF"/>
            <w:noWrap/>
            <w:vAlign w:val="center"/>
            <w:hideMark/>
          </w:tcPr>
          <w:p w14:paraId="68261A58" w14:textId="77777777" w:rsidR="008B2E42" w:rsidRPr="00A455F0" w:rsidRDefault="008B2E42" w:rsidP="00AF6F46">
            <w:pPr>
              <w:tabs>
                <w:tab w:val="left" w:pos="3315"/>
              </w:tabs>
              <w:ind w:firstLineChars="100" w:firstLine="180"/>
              <w:rPr>
                <w:rFonts w:ascii="Times New Roman" w:hAnsi="Times New Roman"/>
                <w:i/>
                <w:iCs/>
                <w:sz w:val="18"/>
                <w:szCs w:val="18"/>
              </w:rPr>
            </w:pPr>
            <w:r w:rsidRPr="00A455F0">
              <w:rPr>
                <w:rFonts w:ascii="Times New Roman" w:hAnsi="Times New Roman"/>
                <w:i/>
                <w:iCs/>
                <w:sz w:val="18"/>
                <w:szCs w:val="18"/>
              </w:rPr>
              <w:t> </w:t>
            </w:r>
          </w:p>
        </w:tc>
        <w:tc>
          <w:tcPr>
            <w:tcW w:w="367" w:type="pct"/>
            <w:tcBorders>
              <w:top w:val="single" w:sz="2" w:space="0" w:color="auto"/>
              <w:bottom w:val="single" w:sz="18" w:space="0" w:color="auto"/>
            </w:tcBorders>
            <w:shd w:val="clear" w:color="000000" w:fill="FFFFFF"/>
            <w:noWrap/>
            <w:vAlign w:val="center"/>
            <w:hideMark/>
          </w:tcPr>
          <w:p w14:paraId="18CD9F7A" w14:textId="77777777" w:rsidR="008B2E42" w:rsidRPr="00A455F0" w:rsidRDefault="008B2E42" w:rsidP="00DE6E1C">
            <w:pPr>
              <w:jc w:val="right"/>
              <w:rPr>
                <w:rFonts w:ascii="Times New Roman" w:hAnsi="Times New Roman"/>
                <w:sz w:val="18"/>
                <w:szCs w:val="18"/>
              </w:rPr>
            </w:pPr>
          </w:p>
        </w:tc>
        <w:tc>
          <w:tcPr>
            <w:tcW w:w="264" w:type="pct"/>
            <w:tcBorders>
              <w:top w:val="single" w:sz="2" w:space="0" w:color="auto"/>
              <w:bottom w:val="single" w:sz="18" w:space="0" w:color="auto"/>
            </w:tcBorders>
            <w:shd w:val="clear" w:color="000000" w:fill="FFFFFF"/>
            <w:noWrap/>
            <w:vAlign w:val="center"/>
            <w:hideMark/>
          </w:tcPr>
          <w:p w14:paraId="236BC850" w14:textId="77777777" w:rsidR="008B2E42" w:rsidRPr="00A455F0" w:rsidRDefault="008B2E42" w:rsidP="00DE6E1C">
            <w:pPr>
              <w:jc w:val="right"/>
              <w:rPr>
                <w:rFonts w:ascii="Times New Roman" w:hAnsi="Times New Roman"/>
                <w:sz w:val="18"/>
                <w:szCs w:val="18"/>
              </w:rPr>
            </w:pPr>
            <w:r w:rsidRPr="00A455F0">
              <w:rPr>
                <w:rFonts w:ascii="Times New Roman" w:hAnsi="Times New Roman"/>
                <w:sz w:val="18"/>
                <w:szCs w:val="18"/>
              </w:rPr>
              <w:t> </w:t>
            </w:r>
          </w:p>
        </w:tc>
        <w:tc>
          <w:tcPr>
            <w:tcW w:w="367" w:type="pct"/>
            <w:tcBorders>
              <w:top w:val="single" w:sz="2" w:space="0" w:color="auto"/>
              <w:bottom w:val="single" w:sz="18" w:space="0" w:color="auto"/>
            </w:tcBorders>
            <w:shd w:val="clear" w:color="000000" w:fill="FFFFFF"/>
            <w:noWrap/>
            <w:vAlign w:val="center"/>
            <w:hideMark/>
          </w:tcPr>
          <w:p w14:paraId="78F0795B" w14:textId="77777777" w:rsidR="008B2E42" w:rsidRPr="00A455F0" w:rsidRDefault="008B2E42" w:rsidP="00DE6E1C">
            <w:pPr>
              <w:jc w:val="right"/>
              <w:rPr>
                <w:rFonts w:ascii="Times New Roman" w:hAnsi="Times New Roman"/>
                <w:sz w:val="18"/>
                <w:szCs w:val="18"/>
              </w:rPr>
            </w:pPr>
            <w:r w:rsidRPr="00A455F0">
              <w:rPr>
                <w:rFonts w:ascii="Times New Roman" w:hAnsi="Times New Roman"/>
                <w:sz w:val="18"/>
                <w:szCs w:val="18"/>
              </w:rPr>
              <w:t>3.36%</w:t>
            </w:r>
          </w:p>
        </w:tc>
        <w:tc>
          <w:tcPr>
            <w:tcW w:w="267" w:type="pct"/>
            <w:tcBorders>
              <w:top w:val="single" w:sz="2" w:space="0" w:color="auto"/>
              <w:bottom w:val="single" w:sz="18" w:space="0" w:color="auto"/>
            </w:tcBorders>
            <w:shd w:val="clear" w:color="000000" w:fill="FFFFFF"/>
            <w:noWrap/>
            <w:vAlign w:val="center"/>
            <w:hideMark/>
          </w:tcPr>
          <w:p w14:paraId="3C6C7F29" w14:textId="77777777" w:rsidR="008B2E42" w:rsidRPr="00A455F0" w:rsidRDefault="008B2E42" w:rsidP="00DE6E1C">
            <w:pPr>
              <w:jc w:val="right"/>
              <w:rPr>
                <w:rFonts w:ascii="Times New Roman" w:hAnsi="Times New Roman"/>
                <w:sz w:val="18"/>
                <w:szCs w:val="18"/>
              </w:rPr>
            </w:pPr>
            <w:r w:rsidRPr="00A455F0">
              <w:rPr>
                <w:rFonts w:ascii="Times New Roman" w:hAnsi="Times New Roman"/>
                <w:sz w:val="18"/>
                <w:szCs w:val="18"/>
              </w:rPr>
              <w:t> </w:t>
            </w:r>
          </w:p>
        </w:tc>
        <w:tc>
          <w:tcPr>
            <w:tcW w:w="367" w:type="pct"/>
            <w:tcBorders>
              <w:top w:val="single" w:sz="2" w:space="0" w:color="auto"/>
              <w:bottom w:val="single" w:sz="18" w:space="0" w:color="auto"/>
            </w:tcBorders>
            <w:shd w:val="clear" w:color="000000" w:fill="FFFFFF"/>
            <w:noWrap/>
            <w:vAlign w:val="center"/>
            <w:hideMark/>
          </w:tcPr>
          <w:p w14:paraId="29571F56" w14:textId="77777777" w:rsidR="008B2E42" w:rsidRPr="00A455F0" w:rsidRDefault="008B2E42" w:rsidP="00DE6E1C">
            <w:pPr>
              <w:jc w:val="right"/>
              <w:rPr>
                <w:rFonts w:ascii="Times New Roman" w:hAnsi="Times New Roman"/>
                <w:sz w:val="18"/>
                <w:szCs w:val="18"/>
              </w:rPr>
            </w:pPr>
            <w:r w:rsidRPr="00A455F0">
              <w:rPr>
                <w:rFonts w:ascii="Times New Roman" w:hAnsi="Times New Roman"/>
                <w:sz w:val="18"/>
                <w:szCs w:val="18"/>
              </w:rPr>
              <w:t>3.39%</w:t>
            </w:r>
          </w:p>
        </w:tc>
        <w:tc>
          <w:tcPr>
            <w:tcW w:w="267" w:type="pct"/>
            <w:tcBorders>
              <w:top w:val="single" w:sz="2" w:space="0" w:color="auto"/>
              <w:bottom w:val="single" w:sz="18" w:space="0" w:color="auto"/>
            </w:tcBorders>
            <w:shd w:val="clear" w:color="000000" w:fill="FFFFFF"/>
            <w:noWrap/>
            <w:vAlign w:val="center"/>
            <w:hideMark/>
          </w:tcPr>
          <w:p w14:paraId="0E59FF1C" w14:textId="77777777" w:rsidR="008B2E42" w:rsidRPr="00A455F0" w:rsidRDefault="008B2E42" w:rsidP="00DE6E1C">
            <w:pPr>
              <w:jc w:val="right"/>
              <w:rPr>
                <w:rFonts w:ascii="Times New Roman" w:hAnsi="Times New Roman"/>
                <w:sz w:val="18"/>
                <w:szCs w:val="18"/>
              </w:rPr>
            </w:pPr>
            <w:r w:rsidRPr="00A455F0">
              <w:rPr>
                <w:rFonts w:ascii="Times New Roman" w:hAnsi="Times New Roman"/>
                <w:sz w:val="18"/>
                <w:szCs w:val="18"/>
              </w:rPr>
              <w:t> </w:t>
            </w:r>
          </w:p>
        </w:tc>
        <w:tc>
          <w:tcPr>
            <w:tcW w:w="367" w:type="pct"/>
            <w:tcBorders>
              <w:top w:val="single" w:sz="2" w:space="0" w:color="auto"/>
              <w:bottom w:val="single" w:sz="18" w:space="0" w:color="auto"/>
            </w:tcBorders>
            <w:shd w:val="clear" w:color="000000" w:fill="FFFFFF"/>
            <w:noWrap/>
            <w:vAlign w:val="center"/>
            <w:hideMark/>
          </w:tcPr>
          <w:p w14:paraId="2D9C98FC" w14:textId="77777777" w:rsidR="008B2E42" w:rsidRPr="00A455F0" w:rsidRDefault="008B2E42" w:rsidP="00DE6E1C">
            <w:pPr>
              <w:jc w:val="right"/>
              <w:rPr>
                <w:rFonts w:ascii="Times New Roman" w:hAnsi="Times New Roman"/>
                <w:sz w:val="18"/>
                <w:szCs w:val="18"/>
              </w:rPr>
            </w:pPr>
            <w:r w:rsidRPr="00A455F0">
              <w:rPr>
                <w:rFonts w:ascii="Times New Roman" w:hAnsi="Times New Roman"/>
                <w:sz w:val="18"/>
                <w:szCs w:val="18"/>
              </w:rPr>
              <w:t>3.31%</w:t>
            </w:r>
          </w:p>
        </w:tc>
        <w:tc>
          <w:tcPr>
            <w:tcW w:w="268" w:type="pct"/>
            <w:tcBorders>
              <w:top w:val="single" w:sz="2" w:space="0" w:color="auto"/>
              <w:bottom w:val="single" w:sz="18" w:space="0" w:color="auto"/>
            </w:tcBorders>
            <w:shd w:val="clear" w:color="000000" w:fill="FFFFFF"/>
            <w:noWrap/>
            <w:vAlign w:val="center"/>
            <w:hideMark/>
          </w:tcPr>
          <w:p w14:paraId="6BA5BDC8" w14:textId="77777777" w:rsidR="008B2E42" w:rsidRPr="00A455F0" w:rsidRDefault="008B2E42" w:rsidP="00DE6E1C">
            <w:pPr>
              <w:jc w:val="right"/>
              <w:rPr>
                <w:rFonts w:ascii="Times New Roman" w:hAnsi="Times New Roman"/>
                <w:sz w:val="18"/>
                <w:szCs w:val="18"/>
              </w:rPr>
            </w:pPr>
            <w:r w:rsidRPr="00A455F0">
              <w:rPr>
                <w:rFonts w:ascii="Times New Roman" w:hAnsi="Times New Roman"/>
                <w:sz w:val="18"/>
                <w:szCs w:val="18"/>
              </w:rPr>
              <w:t> </w:t>
            </w:r>
          </w:p>
        </w:tc>
        <w:tc>
          <w:tcPr>
            <w:tcW w:w="367" w:type="pct"/>
            <w:tcBorders>
              <w:top w:val="single" w:sz="2" w:space="0" w:color="auto"/>
              <w:bottom w:val="single" w:sz="18" w:space="0" w:color="auto"/>
            </w:tcBorders>
            <w:shd w:val="clear" w:color="000000" w:fill="FFFFFF"/>
            <w:noWrap/>
            <w:vAlign w:val="center"/>
            <w:hideMark/>
          </w:tcPr>
          <w:p w14:paraId="506E9160" w14:textId="77777777" w:rsidR="008B2E42" w:rsidRPr="00A455F0" w:rsidRDefault="008B2E42" w:rsidP="00DE6E1C">
            <w:pPr>
              <w:jc w:val="right"/>
              <w:rPr>
                <w:rFonts w:ascii="Times New Roman" w:hAnsi="Times New Roman"/>
                <w:sz w:val="18"/>
                <w:szCs w:val="18"/>
              </w:rPr>
            </w:pPr>
            <w:r w:rsidRPr="00A455F0">
              <w:rPr>
                <w:rFonts w:ascii="Times New Roman" w:hAnsi="Times New Roman"/>
                <w:sz w:val="18"/>
                <w:szCs w:val="18"/>
              </w:rPr>
              <w:t>6.66%</w:t>
            </w:r>
          </w:p>
        </w:tc>
        <w:tc>
          <w:tcPr>
            <w:tcW w:w="352" w:type="pct"/>
            <w:tcBorders>
              <w:top w:val="single" w:sz="2" w:space="0" w:color="auto"/>
              <w:bottom w:val="single" w:sz="18" w:space="0" w:color="auto"/>
            </w:tcBorders>
            <w:shd w:val="clear" w:color="000000" w:fill="FFFFFF"/>
            <w:noWrap/>
            <w:vAlign w:val="center"/>
            <w:hideMark/>
          </w:tcPr>
          <w:p w14:paraId="3CCBE31F" w14:textId="77777777" w:rsidR="008B2E42" w:rsidRPr="00A455F0" w:rsidRDefault="008B2E42" w:rsidP="00DE6E1C">
            <w:pPr>
              <w:jc w:val="right"/>
              <w:rPr>
                <w:rFonts w:ascii="Times New Roman" w:hAnsi="Times New Roman"/>
                <w:sz w:val="18"/>
                <w:szCs w:val="18"/>
              </w:rPr>
            </w:pPr>
            <w:r w:rsidRPr="00A455F0">
              <w:rPr>
                <w:rFonts w:ascii="Times New Roman" w:hAnsi="Times New Roman"/>
                <w:sz w:val="18"/>
                <w:szCs w:val="18"/>
              </w:rPr>
              <w:t> </w:t>
            </w:r>
          </w:p>
        </w:tc>
      </w:tr>
      <w:tr w:rsidR="002105AB" w:rsidRPr="00827B75" w14:paraId="611B1AB6" w14:textId="77777777" w:rsidTr="00E43CC8">
        <w:trPr>
          <w:cantSplit/>
          <w:trHeight w:val="300"/>
        </w:trPr>
        <w:tc>
          <w:tcPr>
            <w:tcW w:w="1659" w:type="pct"/>
            <w:tcBorders>
              <w:top w:val="single" w:sz="18" w:space="0" w:color="auto"/>
              <w:bottom w:val="single" w:sz="2" w:space="0" w:color="auto"/>
            </w:tcBorders>
            <w:shd w:val="clear" w:color="000000" w:fill="FFFFFF"/>
            <w:noWrap/>
            <w:vAlign w:val="center"/>
            <w:hideMark/>
          </w:tcPr>
          <w:p w14:paraId="27CFC22E" w14:textId="77777777" w:rsidR="008B2E42" w:rsidRPr="00A455F0" w:rsidRDefault="008B2E42" w:rsidP="00AF6F46">
            <w:pPr>
              <w:tabs>
                <w:tab w:val="left" w:pos="3315"/>
              </w:tabs>
              <w:rPr>
                <w:rFonts w:ascii="Times New Roman" w:hAnsi="Times New Roman"/>
                <w:b/>
                <w:bCs/>
                <w:sz w:val="18"/>
                <w:szCs w:val="18"/>
              </w:rPr>
            </w:pPr>
            <w:r w:rsidRPr="00A455F0">
              <w:rPr>
                <w:rFonts w:ascii="Times New Roman" w:hAnsi="Times New Roman"/>
                <w:b/>
                <w:bCs/>
                <w:sz w:val="18"/>
                <w:szCs w:val="18"/>
              </w:rPr>
              <w:t xml:space="preserve">Total Revenue </w:t>
            </w:r>
          </w:p>
        </w:tc>
        <w:tc>
          <w:tcPr>
            <w:tcW w:w="87" w:type="pct"/>
            <w:tcBorders>
              <w:top w:val="single" w:sz="18" w:space="0" w:color="auto"/>
              <w:bottom w:val="single" w:sz="2" w:space="0" w:color="auto"/>
            </w:tcBorders>
            <w:shd w:val="clear" w:color="000000" w:fill="FFFFFF"/>
            <w:noWrap/>
            <w:vAlign w:val="center"/>
            <w:hideMark/>
          </w:tcPr>
          <w:p w14:paraId="68593267" w14:textId="77777777" w:rsidR="008B2E42" w:rsidRPr="00A455F0" w:rsidRDefault="008B2E42" w:rsidP="00AF6F46">
            <w:pPr>
              <w:tabs>
                <w:tab w:val="left" w:pos="3315"/>
              </w:tabs>
              <w:rPr>
                <w:rFonts w:ascii="Times New Roman" w:hAnsi="Times New Roman"/>
                <w:b/>
                <w:bCs/>
                <w:sz w:val="18"/>
                <w:szCs w:val="18"/>
              </w:rPr>
            </w:pPr>
            <w:r w:rsidRPr="00A455F0">
              <w:rPr>
                <w:rFonts w:ascii="Times New Roman" w:hAnsi="Times New Roman"/>
                <w:b/>
                <w:bCs/>
                <w:sz w:val="18"/>
                <w:szCs w:val="18"/>
              </w:rPr>
              <w:t> </w:t>
            </w:r>
          </w:p>
        </w:tc>
        <w:tc>
          <w:tcPr>
            <w:tcW w:w="367" w:type="pct"/>
            <w:tcBorders>
              <w:top w:val="single" w:sz="18" w:space="0" w:color="auto"/>
              <w:bottom w:val="single" w:sz="2" w:space="0" w:color="auto"/>
            </w:tcBorders>
            <w:shd w:val="clear" w:color="000000" w:fill="FFFFFF"/>
            <w:noWrap/>
            <w:vAlign w:val="center"/>
            <w:hideMark/>
          </w:tcPr>
          <w:p w14:paraId="40EF9580" w14:textId="77777777" w:rsidR="008B2E42" w:rsidRPr="00A455F0" w:rsidRDefault="008B2E42" w:rsidP="00DE6E1C">
            <w:pPr>
              <w:jc w:val="right"/>
              <w:rPr>
                <w:rFonts w:ascii="Times New Roman" w:hAnsi="Times New Roman"/>
                <w:b/>
                <w:bCs/>
                <w:sz w:val="18"/>
                <w:szCs w:val="18"/>
              </w:rPr>
            </w:pPr>
            <w:r w:rsidRPr="00A455F0">
              <w:rPr>
                <w:rFonts w:ascii="Times New Roman" w:hAnsi="Times New Roman"/>
                <w:b/>
                <w:bCs/>
                <w:sz w:val="18"/>
                <w:szCs w:val="18"/>
              </w:rPr>
              <w:t xml:space="preserve">$41,921,447 </w:t>
            </w:r>
          </w:p>
        </w:tc>
        <w:tc>
          <w:tcPr>
            <w:tcW w:w="264" w:type="pct"/>
            <w:tcBorders>
              <w:top w:val="single" w:sz="18" w:space="0" w:color="auto"/>
              <w:bottom w:val="single" w:sz="2" w:space="0" w:color="auto"/>
            </w:tcBorders>
            <w:shd w:val="clear" w:color="000000" w:fill="FFFFFF"/>
            <w:noWrap/>
            <w:vAlign w:val="center"/>
            <w:hideMark/>
          </w:tcPr>
          <w:p w14:paraId="4247218C" w14:textId="77777777" w:rsidR="008B2E42" w:rsidRPr="00A455F0" w:rsidRDefault="008B2E42" w:rsidP="00DE6E1C">
            <w:pPr>
              <w:jc w:val="right"/>
              <w:rPr>
                <w:rFonts w:ascii="Times New Roman" w:hAnsi="Times New Roman"/>
                <w:b/>
                <w:bCs/>
                <w:sz w:val="18"/>
                <w:szCs w:val="18"/>
              </w:rPr>
            </w:pPr>
            <w:r w:rsidRPr="00A455F0">
              <w:rPr>
                <w:rFonts w:ascii="Times New Roman" w:hAnsi="Times New Roman"/>
                <w:b/>
                <w:bCs/>
                <w:sz w:val="18"/>
                <w:szCs w:val="18"/>
              </w:rPr>
              <w:t>100%</w:t>
            </w:r>
          </w:p>
        </w:tc>
        <w:tc>
          <w:tcPr>
            <w:tcW w:w="367" w:type="pct"/>
            <w:tcBorders>
              <w:top w:val="single" w:sz="18" w:space="0" w:color="auto"/>
              <w:bottom w:val="single" w:sz="2" w:space="0" w:color="auto"/>
            </w:tcBorders>
            <w:shd w:val="clear" w:color="000000" w:fill="FFFFFF"/>
            <w:noWrap/>
            <w:vAlign w:val="center"/>
            <w:hideMark/>
          </w:tcPr>
          <w:p w14:paraId="3DDECDBA" w14:textId="77777777" w:rsidR="008B2E42" w:rsidRPr="00A455F0" w:rsidRDefault="008B2E42" w:rsidP="00DE6E1C">
            <w:pPr>
              <w:jc w:val="center"/>
              <w:rPr>
                <w:rFonts w:ascii="Times New Roman" w:hAnsi="Times New Roman"/>
                <w:b/>
                <w:bCs/>
                <w:sz w:val="18"/>
                <w:szCs w:val="18"/>
              </w:rPr>
            </w:pPr>
            <w:r w:rsidRPr="00A455F0">
              <w:rPr>
                <w:rFonts w:ascii="Times New Roman" w:hAnsi="Times New Roman"/>
                <w:b/>
                <w:bCs/>
                <w:sz w:val="18"/>
                <w:szCs w:val="18"/>
              </w:rPr>
              <w:t xml:space="preserve">$45,134,977 </w:t>
            </w:r>
          </w:p>
        </w:tc>
        <w:tc>
          <w:tcPr>
            <w:tcW w:w="267" w:type="pct"/>
            <w:tcBorders>
              <w:top w:val="single" w:sz="18" w:space="0" w:color="auto"/>
              <w:bottom w:val="single" w:sz="2" w:space="0" w:color="auto"/>
            </w:tcBorders>
            <w:shd w:val="clear" w:color="000000" w:fill="FFFFFF"/>
            <w:noWrap/>
            <w:vAlign w:val="center"/>
            <w:hideMark/>
          </w:tcPr>
          <w:p w14:paraId="2787388E" w14:textId="77777777" w:rsidR="008B2E42" w:rsidRPr="00A455F0" w:rsidRDefault="008B2E42" w:rsidP="00DE6E1C">
            <w:pPr>
              <w:jc w:val="right"/>
              <w:rPr>
                <w:rFonts w:ascii="Times New Roman" w:hAnsi="Times New Roman"/>
                <w:b/>
                <w:bCs/>
                <w:sz w:val="18"/>
                <w:szCs w:val="18"/>
              </w:rPr>
            </w:pPr>
            <w:r w:rsidRPr="00A455F0">
              <w:rPr>
                <w:rFonts w:ascii="Times New Roman" w:hAnsi="Times New Roman"/>
                <w:b/>
                <w:bCs/>
                <w:sz w:val="18"/>
                <w:szCs w:val="18"/>
              </w:rPr>
              <w:t>100%</w:t>
            </w:r>
          </w:p>
        </w:tc>
        <w:tc>
          <w:tcPr>
            <w:tcW w:w="367" w:type="pct"/>
            <w:tcBorders>
              <w:top w:val="single" w:sz="18" w:space="0" w:color="auto"/>
              <w:bottom w:val="single" w:sz="2" w:space="0" w:color="auto"/>
            </w:tcBorders>
            <w:shd w:val="clear" w:color="000000" w:fill="FFFFFF"/>
            <w:noWrap/>
            <w:vAlign w:val="center"/>
            <w:hideMark/>
          </w:tcPr>
          <w:p w14:paraId="09916D37" w14:textId="77777777" w:rsidR="008B2E42" w:rsidRPr="00A455F0" w:rsidRDefault="008B2E42" w:rsidP="00DE6E1C">
            <w:pPr>
              <w:jc w:val="center"/>
              <w:rPr>
                <w:rFonts w:ascii="Times New Roman" w:hAnsi="Times New Roman"/>
                <w:b/>
                <w:bCs/>
                <w:sz w:val="18"/>
                <w:szCs w:val="18"/>
              </w:rPr>
            </w:pPr>
            <w:r w:rsidRPr="00A455F0">
              <w:rPr>
                <w:rFonts w:ascii="Times New Roman" w:hAnsi="Times New Roman"/>
                <w:b/>
                <w:bCs/>
                <w:sz w:val="18"/>
                <w:szCs w:val="18"/>
              </w:rPr>
              <w:t xml:space="preserve">$48,641,517 </w:t>
            </w:r>
          </w:p>
        </w:tc>
        <w:tc>
          <w:tcPr>
            <w:tcW w:w="267" w:type="pct"/>
            <w:tcBorders>
              <w:top w:val="single" w:sz="18" w:space="0" w:color="auto"/>
              <w:bottom w:val="single" w:sz="2" w:space="0" w:color="auto"/>
            </w:tcBorders>
            <w:shd w:val="clear" w:color="000000" w:fill="FFFFFF"/>
            <w:noWrap/>
            <w:vAlign w:val="center"/>
            <w:hideMark/>
          </w:tcPr>
          <w:p w14:paraId="2B17915A" w14:textId="77777777" w:rsidR="008B2E42" w:rsidRPr="00A455F0" w:rsidRDefault="008B2E42" w:rsidP="00DE6E1C">
            <w:pPr>
              <w:jc w:val="right"/>
              <w:rPr>
                <w:rFonts w:ascii="Times New Roman" w:hAnsi="Times New Roman"/>
                <w:b/>
                <w:bCs/>
                <w:sz w:val="18"/>
                <w:szCs w:val="18"/>
              </w:rPr>
            </w:pPr>
            <w:r w:rsidRPr="00A455F0">
              <w:rPr>
                <w:rFonts w:ascii="Times New Roman" w:hAnsi="Times New Roman"/>
                <w:b/>
                <w:bCs/>
                <w:sz w:val="18"/>
                <w:szCs w:val="18"/>
              </w:rPr>
              <w:t>100%</w:t>
            </w:r>
          </w:p>
        </w:tc>
        <w:tc>
          <w:tcPr>
            <w:tcW w:w="367" w:type="pct"/>
            <w:tcBorders>
              <w:top w:val="single" w:sz="18" w:space="0" w:color="auto"/>
              <w:bottom w:val="single" w:sz="2" w:space="0" w:color="auto"/>
            </w:tcBorders>
            <w:shd w:val="clear" w:color="000000" w:fill="FFFFFF"/>
            <w:noWrap/>
            <w:vAlign w:val="center"/>
            <w:hideMark/>
          </w:tcPr>
          <w:p w14:paraId="422FF047" w14:textId="77777777" w:rsidR="008B2E42" w:rsidRPr="00A455F0" w:rsidRDefault="008B2E42" w:rsidP="00DE6E1C">
            <w:pPr>
              <w:jc w:val="center"/>
              <w:rPr>
                <w:rFonts w:ascii="Times New Roman" w:hAnsi="Times New Roman"/>
                <w:b/>
                <w:bCs/>
                <w:sz w:val="18"/>
                <w:szCs w:val="18"/>
              </w:rPr>
            </w:pPr>
            <w:r w:rsidRPr="00A455F0">
              <w:rPr>
                <w:rFonts w:ascii="Times New Roman" w:hAnsi="Times New Roman"/>
                <w:b/>
                <w:bCs/>
                <w:sz w:val="18"/>
                <w:szCs w:val="18"/>
              </w:rPr>
              <w:t xml:space="preserve">$52,295,268 </w:t>
            </w:r>
          </w:p>
        </w:tc>
        <w:tc>
          <w:tcPr>
            <w:tcW w:w="268" w:type="pct"/>
            <w:tcBorders>
              <w:top w:val="single" w:sz="18" w:space="0" w:color="auto"/>
              <w:bottom w:val="single" w:sz="2" w:space="0" w:color="auto"/>
            </w:tcBorders>
            <w:shd w:val="clear" w:color="000000" w:fill="FFFFFF"/>
            <w:noWrap/>
            <w:vAlign w:val="center"/>
            <w:hideMark/>
          </w:tcPr>
          <w:p w14:paraId="4421B1AE" w14:textId="77777777" w:rsidR="008B2E42" w:rsidRPr="00A455F0" w:rsidRDefault="008B2E42" w:rsidP="00DE6E1C">
            <w:pPr>
              <w:jc w:val="right"/>
              <w:rPr>
                <w:rFonts w:ascii="Times New Roman" w:hAnsi="Times New Roman"/>
                <w:b/>
                <w:bCs/>
                <w:sz w:val="18"/>
                <w:szCs w:val="18"/>
              </w:rPr>
            </w:pPr>
            <w:r w:rsidRPr="00A455F0">
              <w:rPr>
                <w:rFonts w:ascii="Times New Roman" w:hAnsi="Times New Roman"/>
                <w:b/>
                <w:bCs/>
                <w:sz w:val="18"/>
                <w:szCs w:val="18"/>
              </w:rPr>
              <w:t>100%</w:t>
            </w:r>
          </w:p>
        </w:tc>
        <w:tc>
          <w:tcPr>
            <w:tcW w:w="367" w:type="pct"/>
            <w:tcBorders>
              <w:top w:val="single" w:sz="18" w:space="0" w:color="auto"/>
              <w:bottom w:val="single" w:sz="2" w:space="0" w:color="auto"/>
            </w:tcBorders>
            <w:shd w:val="clear" w:color="000000" w:fill="FFFFFF"/>
            <w:noWrap/>
            <w:vAlign w:val="center"/>
            <w:hideMark/>
          </w:tcPr>
          <w:p w14:paraId="5BAA2A8A" w14:textId="77777777" w:rsidR="008B2E42" w:rsidRPr="00A455F0" w:rsidRDefault="008B2E42" w:rsidP="00DE6E1C">
            <w:pPr>
              <w:jc w:val="center"/>
              <w:rPr>
                <w:rFonts w:ascii="Times New Roman" w:hAnsi="Times New Roman"/>
                <w:b/>
                <w:bCs/>
                <w:sz w:val="18"/>
                <w:szCs w:val="18"/>
              </w:rPr>
            </w:pPr>
            <w:r w:rsidRPr="00A455F0">
              <w:rPr>
                <w:rFonts w:ascii="Times New Roman" w:hAnsi="Times New Roman"/>
                <w:b/>
                <w:bCs/>
                <w:sz w:val="18"/>
                <w:szCs w:val="18"/>
              </w:rPr>
              <w:t xml:space="preserve">$56,103,851 </w:t>
            </w:r>
          </w:p>
        </w:tc>
        <w:tc>
          <w:tcPr>
            <w:tcW w:w="352" w:type="pct"/>
            <w:tcBorders>
              <w:top w:val="single" w:sz="18" w:space="0" w:color="auto"/>
              <w:bottom w:val="single" w:sz="2" w:space="0" w:color="auto"/>
            </w:tcBorders>
            <w:shd w:val="clear" w:color="000000" w:fill="FFFFFF"/>
            <w:noWrap/>
            <w:vAlign w:val="center"/>
            <w:hideMark/>
          </w:tcPr>
          <w:p w14:paraId="2A2ED12B" w14:textId="77777777" w:rsidR="008B2E42" w:rsidRPr="00A455F0" w:rsidRDefault="008B2E42" w:rsidP="00AF6F46">
            <w:pPr>
              <w:rPr>
                <w:rFonts w:ascii="Times New Roman" w:hAnsi="Times New Roman"/>
                <w:b/>
                <w:bCs/>
                <w:sz w:val="18"/>
                <w:szCs w:val="18"/>
              </w:rPr>
            </w:pPr>
            <w:r>
              <w:rPr>
                <w:rFonts w:ascii="Times New Roman" w:hAnsi="Times New Roman"/>
                <w:b/>
                <w:bCs/>
                <w:sz w:val="18"/>
                <w:szCs w:val="18"/>
              </w:rPr>
              <w:t xml:space="preserve">       </w:t>
            </w:r>
            <w:r w:rsidRPr="00A455F0">
              <w:rPr>
                <w:rFonts w:ascii="Times New Roman" w:hAnsi="Times New Roman"/>
                <w:b/>
                <w:bCs/>
                <w:sz w:val="18"/>
                <w:szCs w:val="18"/>
              </w:rPr>
              <w:t>100%</w:t>
            </w:r>
          </w:p>
        </w:tc>
      </w:tr>
      <w:tr w:rsidR="002105AB" w:rsidRPr="00827B75" w14:paraId="3D83095F" w14:textId="77777777" w:rsidTr="00E43CC8">
        <w:trPr>
          <w:cantSplit/>
          <w:trHeight w:val="319"/>
        </w:trPr>
        <w:tc>
          <w:tcPr>
            <w:tcW w:w="1659" w:type="pct"/>
            <w:tcBorders>
              <w:top w:val="single" w:sz="2" w:space="0" w:color="auto"/>
              <w:bottom w:val="single" w:sz="18" w:space="0" w:color="auto"/>
            </w:tcBorders>
            <w:shd w:val="clear" w:color="000000" w:fill="FFFFFF"/>
            <w:noWrap/>
            <w:vAlign w:val="center"/>
            <w:hideMark/>
          </w:tcPr>
          <w:p w14:paraId="67DCABE1" w14:textId="77777777" w:rsidR="008B2E42" w:rsidRPr="00A455F0" w:rsidRDefault="008B2E42" w:rsidP="00AF6F46">
            <w:pPr>
              <w:tabs>
                <w:tab w:val="left" w:pos="3315"/>
              </w:tabs>
              <w:ind w:firstLineChars="100" w:firstLine="180"/>
              <w:rPr>
                <w:rFonts w:ascii="Times New Roman" w:hAnsi="Times New Roman"/>
                <w:i/>
                <w:iCs/>
                <w:sz w:val="18"/>
                <w:szCs w:val="18"/>
              </w:rPr>
            </w:pPr>
            <w:r w:rsidRPr="00A455F0">
              <w:rPr>
                <w:rFonts w:ascii="Times New Roman" w:hAnsi="Times New Roman"/>
                <w:i/>
                <w:iCs/>
                <w:sz w:val="18"/>
                <w:szCs w:val="18"/>
              </w:rPr>
              <w:t>% Change in Revenue from Previous Period</w:t>
            </w:r>
          </w:p>
        </w:tc>
        <w:tc>
          <w:tcPr>
            <w:tcW w:w="87" w:type="pct"/>
            <w:tcBorders>
              <w:top w:val="single" w:sz="2" w:space="0" w:color="auto"/>
              <w:bottom w:val="single" w:sz="18" w:space="0" w:color="auto"/>
            </w:tcBorders>
            <w:shd w:val="clear" w:color="000000" w:fill="FFFFFF"/>
            <w:noWrap/>
            <w:vAlign w:val="center"/>
            <w:hideMark/>
          </w:tcPr>
          <w:p w14:paraId="17BAC8EF" w14:textId="77777777" w:rsidR="008B2E42" w:rsidRPr="00A455F0" w:rsidRDefault="008B2E42" w:rsidP="00AF6F46">
            <w:pPr>
              <w:tabs>
                <w:tab w:val="left" w:pos="3315"/>
              </w:tabs>
              <w:ind w:firstLineChars="100" w:firstLine="180"/>
              <w:rPr>
                <w:rFonts w:ascii="Times New Roman" w:hAnsi="Times New Roman"/>
                <w:i/>
                <w:iCs/>
                <w:sz w:val="18"/>
                <w:szCs w:val="18"/>
              </w:rPr>
            </w:pPr>
            <w:r w:rsidRPr="00A455F0">
              <w:rPr>
                <w:rFonts w:ascii="Times New Roman" w:hAnsi="Times New Roman"/>
                <w:i/>
                <w:iCs/>
                <w:sz w:val="18"/>
                <w:szCs w:val="18"/>
              </w:rPr>
              <w:t> </w:t>
            </w:r>
          </w:p>
        </w:tc>
        <w:tc>
          <w:tcPr>
            <w:tcW w:w="367" w:type="pct"/>
            <w:tcBorders>
              <w:top w:val="single" w:sz="2" w:space="0" w:color="auto"/>
              <w:bottom w:val="single" w:sz="18" w:space="0" w:color="auto"/>
            </w:tcBorders>
            <w:shd w:val="clear" w:color="000000" w:fill="FFFFFF"/>
            <w:noWrap/>
            <w:vAlign w:val="center"/>
            <w:hideMark/>
          </w:tcPr>
          <w:p w14:paraId="73BB2567" w14:textId="77777777" w:rsidR="008B2E42" w:rsidRPr="00A455F0" w:rsidRDefault="008B2E42" w:rsidP="00DE6E1C">
            <w:pPr>
              <w:jc w:val="right"/>
              <w:rPr>
                <w:rFonts w:ascii="Times New Roman" w:hAnsi="Times New Roman"/>
                <w:sz w:val="18"/>
                <w:szCs w:val="18"/>
              </w:rPr>
            </w:pPr>
          </w:p>
        </w:tc>
        <w:tc>
          <w:tcPr>
            <w:tcW w:w="264" w:type="pct"/>
            <w:tcBorders>
              <w:top w:val="single" w:sz="2" w:space="0" w:color="auto"/>
              <w:bottom w:val="single" w:sz="18" w:space="0" w:color="auto"/>
            </w:tcBorders>
            <w:shd w:val="clear" w:color="000000" w:fill="FFFFFF"/>
            <w:noWrap/>
            <w:vAlign w:val="center"/>
            <w:hideMark/>
          </w:tcPr>
          <w:p w14:paraId="6D96E38A" w14:textId="77777777" w:rsidR="008B2E42" w:rsidRPr="00A455F0" w:rsidRDefault="008B2E42" w:rsidP="00DE6E1C">
            <w:pPr>
              <w:jc w:val="right"/>
              <w:rPr>
                <w:rFonts w:ascii="Times New Roman" w:hAnsi="Times New Roman"/>
                <w:sz w:val="18"/>
                <w:szCs w:val="18"/>
              </w:rPr>
            </w:pPr>
            <w:r w:rsidRPr="00A455F0">
              <w:rPr>
                <w:rFonts w:ascii="Times New Roman" w:hAnsi="Times New Roman"/>
                <w:sz w:val="18"/>
                <w:szCs w:val="18"/>
              </w:rPr>
              <w:t> </w:t>
            </w:r>
          </w:p>
        </w:tc>
        <w:tc>
          <w:tcPr>
            <w:tcW w:w="367" w:type="pct"/>
            <w:tcBorders>
              <w:top w:val="single" w:sz="2" w:space="0" w:color="auto"/>
              <w:bottom w:val="single" w:sz="18" w:space="0" w:color="auto"/>
            </w:tcBorders>
            <w:shd w:val="clear" w:color="000000" w:fill="FFFFFF"/>
            <w:noWrap/>
            <w:vAlign w:val="center"/>
            <w:hideMark/>
          </w:tcPr>
          <w:p w14:paraId="50A4208A" w14:textId="77777777" w:rsidR="008B2E42" w:rsidRPr="00A455F0" w:rsidRDefault="008B2E42" w:rsidP="00DE6E1C">
            <w:pPr>
              <w:jc w:val="right"/>
              <w:rPr>
                <w:rFonts w:ascii="Times New Roman" w:hAnsi="Times New Roman"/>
                <w:sz w:val="18"/>
                <w:szCs w:val="18"/>
              </w:rPr>
            </w:pPr>
            <w:r w:rsidRPr="00A455F0">
              <w:rPr>
                <w:rFonts w:ascii="Times New Roman" w:hAnsi="Times New Roman"/>
                <w:sz w:val="18"/>
                <w:szCs w:val="18"/>
              </w:rPr>
              <w:t>7.67%</w:t>
            </w:r>
          </w:p>
        </w:tc>
        <w:tc>
          <w:tcPr>
            <w:tcW w:w="267" w:type="pct"/>
            <w:tcBorders>
              <w:top w:val="single" w:sz="2" w:space="0" w:color="auto"/>
              <w:bottom w:val="single" w:sz="18" w:space="0" w:color="auto"/>
            </w:tcBorders>
            <w:shd w:val="clear" w:color="000000" w:fill="FFFFFF"/>
            <w:noWrap/>
            <w:vAlign w:val="center"/>
            <w:hideMark/>
          </w:tcPr>
          <w:p w14:paraId="43812E44" w14:textId="77777777" w:rsidR="008B2E42" w:rsidRPr="00A455F0" w:rsidRDefault="008B2E42" w:rsidP="00DE6E1C">
            <w:pPr>
              <w:jc w:val="right"/>
              <w:rPr>
                <w:rFonts w:ascii="Times New Roman" w:hAnsi="Times New Roman"/>
                <w:sz w:val="18"/>
                <w:szCs w:val="18"/>
              </w:rPr>
            </w:pPr>
            <w:r w:rsidRPr="00A455F0">
              <w:rPr>
                <w:rFonts w:ascii="Times New Roman" w:hAnsi="Times New Roman"/>
                <w:sz w:val="18"/>
                <w:szCs w:val="18"/>
              </w:rPr>
              <w:t> </w:t>
            </w:r>
          </w:p>
        </w:tc>
        <w:tc>
          <w:tcPr>
            <w:tcW w:w="367" w:type="pct"/>
            <w:tcBorders>
              <w:top w:val="single" w:sz="2" w:space="0" w:color="auto"/>
              <w:bottom w:val="single" w:sz="18" w:space="0" w:color="auto"/>
            </w:tcBorders>
            <w:shd w:val="clear" w:color="000000" w:fill="FFFFFF"/>
            <w:noWrap/>
            <w:vAlign w:val="center"/>
            <w:hideMark/>
          </w:tcPr>
          <w:p w14:paraId="4DD8C244" w14:textId="77777777" w:rsidR="008B2E42" w:rsidRPr="00A455F0" w:rsidRDefault="008B2E42" w:rsidP="00DE6E1C">
            <w:pPr>
              <w:jc w:val="right"/>
              <w:rPr>
                <w:rFonts w:ascii="Times New Roman" w:hAnsi="Times New Roman"/>
                <w:sz w:val="18"/>
                <w:szCs w:val="18"/>
              </w:rPr>
            </w:pPr>
            <w:r w:rsidRPr="00A455F0">
              <w:rPr>
                <w:rFonts w:ascii="Times New Roman" w:hAnsi="Times New Roman"/>
                <w:sz w:val="18"/>
                <w:szCs w:val="18"/>
              </w:rPr>
              <w:t>7.77%</w:t>
            </w:r>
          </w:p>
        </w:tc>
        <w:tc>
          <w:tcPr>
            <w:tcW w:w="267" w:type="pct"/>
            <w:tcBorders>
              <w:top w:val="single" w:sz="2" w:space="0" w:color="auto"/>
              <w:bottom w:val="single" w:sz="18" w:space="0" w:color="auto"/>
            </w:tcBorders>
            <w:shd w:val="clear" w:color="000000" w:fill="FFFFFF"/>
            <w:noWrap/>
            <w:vAlign w:val="center"/>
            <w:hideMark/>
          </w:tcPr>
          <w:p w14:paraId="0FA18332" w14:textId="77777777" w:rsidR="008B2E42" w:rsidRPr="00A455F0" w:rsidRDefault="008B2E42" w:rsidP="00DE6E1C">
            <w:pPr>
              <w:jc w:val="right"/>
              <w:rPr>
                <w:rFonts w:ascii="Times New Roman" w:hAnsi="Times New Roman"/>
                <w:sz w:val="18"/>
                <w:szCs w:val="18"/>
              </w:rPr>
            </w:pPr>
            <w:r w:rsidRPr="00A455F0">
              <w:rPr>
                <w:rFonts w:ascii="Times New Roman" w:hAnsi="Times New Roman"/>
                <w:sz w:val="18"/>
                <w:szCs w:val="18"/>
              </w:rPr>
              <w:t> </w:t>
            </w:r>
          </w:p>
        </w:tc>
        <w:tc>
          <w:tcPr>
            <w:tcW w:w="367" w:type="pct"/>
            <w:tcBorders>
              <w:top w:val="single" w:sz="2" w:space="0" w:color="auto"/>
              <w:bottom w:val="single" w:sz="18" w:space="0" w:color="auto"/>
            </w:tcBorders>
            <w:shd w:val="clear" w:color="000000" w:fill="FFFFFF"/>
            <w:noWrap/>
            <w:vAlign w:val="center"/>
            <w:hideMark/>
          </w:tcPr>
          <w:p w14:paraId="4232DC7F" w14:textId="77777777" w:rsidR="008B2E42" w:rsidRPr="00A455F0" w:rsidRDefault="008B2E42" w:rsidP="00DE6E1C">
            <w:pPr>
              <w:jc w:val="right"/>
              <w:rPr>
                <w:rFonts w:ascii="Times New Roman" w:hAnsi="Times New Roman"/>
                <w:sz w:val="18"/>
                <w:szCs w:val="18"/>
              </w:rPr>
            </w:pPr>
            <w:r w:rsidRPr="00A455F0">
              <w:rPr>
                <w:rFonts w:ascii="Times New Roman" w:hAnsi="Times New Roman"/>
                <w:sz w:val="18"/>
                <w:szCs w:val="18"/>
              </w:rPr>
              <w:t>7.51%</w:t>
            </w:r>
          </w:p>
        </w:tc>
        <w:tc>
          <w:tcPr>
            <w:tcW w:w="268" w:type="pct"/>
            <w:tcBorders>
              <w:top w:val="single" w:sz="2" w:space="0" w:color="auto"/>
              <w:bottom w:val="single" w:sz="18" w:space="0" w:color="auto"/>
            </w:tcBorders>
            <w:shd w:val="clear" w:color="000000" w:fill="FFFFFF"/>
            <w:noWrap/>
            <w:vAlign w:val="center"/>
            <w:hideMark/>
          </w:tcPr>
          <w:p w14:paraId="3441CAFB" w14:textId="77777777" w:rsidR="008B2E42" w:rsidRPr="00A455F0" w:rsidRDefault="008B2E42" w:rsidP="00DE6E1C">
            <w:pPr>
              <w:jc w:val="right"/>
              <w:rPr>
                <w:rFonts w:ascii="Times New Roman" w:hAnsi="Times New Roman"/>
                <w:sz w:val="18"/>
                <w:szCs w:val="18"/>
              </w:rPr>
            </w:pPr>
            <w:r w:rsidRPr="00A455F0">
              <w:rPr>
                <w:rFonts w:ascii="Times New Roman" w:hAnsi="Times New Roman"/>
                <w:sz w:val="18"/>
                <w:szCs w:val="18"/>
              </w:rPr>
              <w:t> </w:t>
            </w:r>
          </w:p>
        </w:tc>
        <w:tc>
          <w:tcPr>
            <w:tcW w:w="367" w:type="pct"/>
            <w:tcBorders>
              <w:top w:val="single" w:sz="2" w:space="0" w:color="auto"/>
              <w:bottom w:val="single" w:sz="18" w:space="0" w:color="auto"/>
            </w:tcBorders>
            <w:shd w:val="clear" w:color="000000" w:fill="FFFFFF"/>
            <w:noWrap/>
            <w:vAlign w:val="center"/>
            <w:hideMark/>
          </w:tcPr>
          <w:p w14:paraId="5B14C6AA" w14:textId="77777777" w:rsidR="008B2E42" w:rsidRPr="00A455F0" w:rsidRDefault="008B2E42" w:rsidP="00DE6E1C">
            <w:pPr>
              <w:jc w:val="right"/>
              <w:rPr>
                <w:rFonts w:ascii="Times New Roman" w:hAnsi="Times New Roman"/>
                <w:sz w:val="18"/>
                <w:szCs w:val="18"/>
              </w:rPr>
            </w:pPr>
            <w:r w:rsidRPr="00A455F0">
              <w:rPr>
                <w:rFonts w:ascii="Times New Roman" w:hAnsi="Times New Roman"/>
                <w:sz w:val="18"/>
                <w:szCs w:val="18"/>
              </w:rPr>
              <w:t>7.28%</w:t>
            </w:r>
          </w:p>
        </w:tc>
        <w:tc>
          <w:tcPr>
            <w:tcW w:w="352" w:type="pct"/>
            <w:tcBorders>
              <w:top w:val="single" w:sz="2" w:space="0" w:color="auto"/>
              <w:bottom w:val="single" w:sz="18" w:space="0" w:color="auto"/>
            </w:tcBorders>
            <w:shd w:val="clear" w:color="000000" w:fill="FFFFFF"/>
            <w:noWrap/>
            <w:vAlign w:val="center"/>
            <w:hideMark/>
          </w:tcPr>
          <w:p w14:paraId="47164C89" w14:textId="77777777" w:rsidR="008B2E42" w:rsidRPr="00A455F0" w:rsidRDefault="008B2E42" w:rsidP="00DE6E1C">
            <w:pPr>
              <w:jc w:val="right"/>
              <w:rPr>
                <w:rFonts w:ascii="Times New Roman" w:hAnsi="Times New Roman"/>
                <w:sz w:val="18"/>
                <w:szCs w:val="18"/>
              </w:rPr>
            </w:pPr>
            <w:r w:rsidRPr="00A455F0">
              <w:rPr>
                <w:rFonts w:ascii="Times New Roman" w:hAnsi="Times New Roman"/>
                <w:sz w:val="18"/>
                <w:szCs w:val="18"/>
              </w:rPr>
              <w:t> </w:t>
            </w:r>
          </w:p>
        </w:tc>
      </w:tr>
      <w:tr w:rsidR="002105AB" w:rsidRPr="00827B75" w14:paraId="3B7966D4" w14:textId="77777777" w:rsidTr="00E43CC8">
        <w:trPr>
          <w:cantSplit/>
          <w:trHeight w:val="76"/>
        </w:trPr>
        <w:tc>
          <w:tcPr>
            <w:tcW w:w="1659" w:type="pct"/>
            <w:tcBorders>
              <w:top w:val="single" w:sz="18" w:space="0" w:color="auto"/>
              <w:bottom w:val="single" w:sz="18" w:space="0" w:color="auto"/>
            </w:tcBorders>
            <w:shd w:val="clear" w:color="000000" w:fill="FFFFFF"/>
            <w:noWrap/>
            <w:vAlign w:val="center"/>
            <w:hideMark/>
          </w:tcPr>
          <w:p w14:paraId="670B670A" w14:textId="77777777" w:rsidR="008B2E42" w:rsidRPr="00A455F0" w:rsidRDefault="008B2E42" w:rsidP="00AF6F46">
            <w:pPr>
              <w:tabs>
                <w:tab w:val="left" w:pos="3315"/>
              </w:tabs>
              <w:rPr>
                <w:rFonts w:ascii="Times New Roman" w:hAnsi="Times New Roman"/>
                <w:b/>
                <w:bCs/>
                <w:sz w:val="18"/>
                <w:szCs w:val="18"/>
              </w:rPr>
            </w:pPr>
            <w:r w:rsidRPr="00A455F0">
              <w:rPr>
                <w:rFonts w:ascii="Times New Roman" w:hAnsi="Times New Roman"/>
                <w:b/>
                <w:bCs/>
                <w:sz w:val="18"/>
                <w:szCs w:val="18"/>
              </w:rPr>
              <w:t>Operating Expenses</w:t>
            </w:r>
          </w:p>
        </w:tc>
        <w:tc>
          <w:tcPr>
            <w:tcW w:w="87" w:type="pct"/>
            <w:tcBorders>
              <w:top w:val="single" w:sz="18" w:space="0" w:color="auto"/>
              <w:bottom w:val="single" w:sz="18" w:space="0" w:color="auto"/>
            </w:tcBorders>
            <w:shd w:val="clear" w:color="000000" w:fill="FFFFFF"/>
            <w:noWrap/>
            <w:vAlign w:val="center"/>
            <w:hideMark/>
          </w:tcPr>
          <w:p w14:paraId="3B7CC931" w14:textId="77777777" w:rsidR="008B2E42" w:rsidRPr="00A455F0" w:rsidRDefault="008B2E42" w:rsidP="00AF6F46">
            <w:pPr>
              <w:tabs>
                <w:tab w:val="left" w:pos="3315"/>
              </w:tabs>
              <w:rPr>
                <w:rFonts w:ascii="Times New Roman" w:hAnsi="Times New Roman"/>
                <w:b/>
                <w:bCs/>
                <w:sz w:val="18"/>
                <w:szCs w:val="18"/>
              </w:rPr>
            </w:pPr>
            <w:r w:rsidRPr="00A455F0">
              <w:rPr>
                <w:rFonts w:ascii="Times New Roman" w:hAnsi="Times New Roman"/>
                <w:b/>
                <w:bCs/>
                <w:sz w:val="18"/>
                <w:szCs w:val="18"/>
              </w:rPr>
              <w:t> </w:t>
            </w:r>
          </w:p>
        </w:tc>
        <w:tc>
          <w:tcPr>
            <w:tcW w:w="367" w:type="pct"/>
            <w:tcBorders>
              <w:top w:val="single" w:sz="18" w:space="0" w:color="auto"/>
              <w:bottom w:val="single" w:sz="18" w:space="0" w:color="auto"/>
            </w:tcBorders>
            <w:shd w:val="clear" w:color="000000" w:fill="FFFFFF"/>
            <w:noWrap/>
            <w:vAlign w:val="center"/>
            <w:hideMark/>
          </w:tcPr>
          <w:p w14:paraId="3D3F3F7B" w14:textId="77777777" w:rsidR="008B2E42" w:rsidRPr="00A455F0" w:rsidRDefault="008B2E42" w:rsidP="00DE6E1C">
            <w:pPr>
              <w:jc w:val="right"/>
              <w:rPr>
                <w:rFonts w:ascii="Times New Roman" w:hAnsi="Times New Roman"/>
                <w:sz w:val="18"/>
                <w:szCs w:val="18"/>
              </w:rPr>
            </w:pPr>
            <w:r w:rsidRPr="00A455F0">
              <w:rPr>
                <w:rFonts w:ascii="Times New Roman" w:hAnsi="Times New Roman"/>
                <w:sz w:val="18"/>
                <w:szCs w:val="18"/>
              </w:rPr>
              <w:t> </w:t>
            </w:r>
          </w:p>
        </w:tc>
        <w:tc>
          <w:tcPr>
            <w:tcW w:w="264" w:type="pct"/>
            <w:tcBorders>
              <w:top w:val="single" w:sz="18" w:space="0" w:color="auto"/>
              <w:bottom w:val="single" w:sz="18" w:space="0" w:color="auto"/>
            </w:tcBorders>
            <w:shd w:val="clear" w:color="000000" w:fill="FFFFFF"/>
            <w:noWrap/>
            <w:vAlign w:val="center"/>
            <w:hideMark/>
          </w:tcPr>
          <w:p w14:paraId="3E7333FD" w14:textId="77777777" w:rsidR="008B2E42" w:rsidRPr="00A455F0" w:rsidRDefault="008B2E42" w:rsidP="00DE6E1C">
            <w:pPr>
              <w:jc w:val="right"/>
              <w:rPr>
                <w:rFonts w:ascii="Times New Roman" w:hAnsi="Times New Roman"/>
                <w:sz w:val="18"/>
                <w:szCs w:val="18"/>
              </w:rPr>
            </w:pPr>
            <w:r w:rsidRPr="00A455F0">
              <w:rPr>
                <w:rFonts w:ascii="Times New Roman" w:hAnsi="Times New Roman"/>
                <w:sz w:val="18"/>
                <w:szCs w:val="18"/>
              </w:rPr>
              <w:t> </w:t>
            </w:r>
          </w:p>
        </w:tc>
        <w:tc>
          <w:tcPr>
            <w:tcW w:w="367" w:type="pct"/>
            <w:tcBorders>
              <w:top w:val="single" w:sz="18" w:space="0" w:color="auto"/>
              <w:bottom w:val="single" w:sz="18" w:space="0" w:color="auto"/>
            </w:tcBorders>
            <w:shd w:val="clear" w:color="000000" w:fill="FFFFFF"/>
            <w:noWrap/>
            <w:vAlign w:val="center"/>
            <w:hideMark/>
          </w:tcPr>
          <w:p w14:paraId="649E56BC" w14:textId="77777777" w:rsidR="008B2E42" w:rsidRPr="00A455F0" w:rsidRDefault="008B2E42" w:rsidP="00DE6E1C">
            <w:pPr>
              <w:jc w:val="center"/>
              <w:rPr>
                <w:rFonts w:ascii="Times New Roman" w:hAnsi="Times New Roman"/>
                <w:sz w:val="18"/>
                <w:szCs w:val="18"/>
              </w:rPr>
            </w:pPr>
            <w:r w:rsidRPr="00A455F0">
              <w:rPr>
                <w:rFonts w:ascii="Times New Roman" w:hAnsi="Times New Roman"/>
                <w:sz w:val="18"/>
                <w:szCs w:val="18"/>
              </w:rPr>
              <w:t> </w:t>
            </w:r>
          </w:p>
        </w:tc>
        <w:tc>
          <w:tcPr>
            <w:tcW w:w="267" w:type="pct"/>
            <w:tcBorders>
              <w:top w:val="single" w:sz="18" w:space="0" w:color="auto"/>
              <w:bottom w:val="single" w:sz="18" w:space="0" w:color="auto"/>
            </w:tcBorders>
            <w:shd w:val="clear" w:color="000000" w:fill="FFFFFF"/>
            <w:noWrap/>
            <w:vAlign w:val="center"/>
            <w:hideMark/>
          </w:tcPr>
          <w:p w14:paraId="297264BB" w14:textId="77777777" w:rsidR="008B2E42" w:rsidRPr="00A455F0" w:rsidRDefault="008B2E42" w:rsidP="00DE6E1C">
            <w:pPr>
              <w:jc w:val="right"/>
              <w:rPr>
                <w:rFonts w:ascii="Times New Roman" w:hAnsi="Times New Roman"/>
                <w:sz w:val="18"/>
                <w:szCs w:val="18"/>
              </w:rPr>
            </w:pPr>
            <w:r w:rsidRPr="00A455F0">
              <w:rPr>
                <w:rFonts w:ascii="Times New Roman" w:hAnsi="Times New Roman"/>
                <w:sz w:val="18"/>
                <w:szCs w:val="18"/>
              </w:rPr>
              <w:t> </w:t>
            </w:r>
          </w:p>
        </w:tc>
        <w:tc>
          <w:tcPr>
            <w:tcW w:w="367" w:type="pct"/>
            <w:tcBorders>
              <w:top w:val="single" w:sz="18" w:space="0" w:color="auto"/>
              <w:bottom w:val="single" w:sz="18" w:space="0" w:color="auto"/>
            </w:tcBorders>
            <w:shd w:val="clear" w:color="000000" w:fill="FFFFFF"/>
            <w:noWrap/>
            <w:vAlign w:val="center"/>
            <w:hideMark/>
          </w:tcPr>
          <w:p w14:paraId="248F2C22" w14:textId="77777777" w:rsidR="008B2E42" w:rsidRPr="00A455F0" w:rsidRDefault="008B2E42" w:rsidP="00DE6E1C">
            <w:pPr>
              <w:jc w:val="center"/>
              <w:rPr>
                <w:rFonts w:ascii="Times New Roman" w:hAnsi="Times New Roman"/>
                <w:sz w:val="18"/>
                <w:szCs w:val="18"/>
              </w:rPr>
            </w:pPr>
            <w:r w:rsidRPr="00A455F0">
              <w:rPr>
                <w:rFonts w:ascii="Times New Roman" w:hAnsi="Times New Roman"/>
                <w:sz w:val="18"/>
                <w:szCs w:val="18"/>
              </w:rPr>
              <w:t> </w:t>
            </w:r>
          </w:p>
        </w:tc>
        <w:tc>
          <w:tcPr>
            <w:tcW w:w="267" w:type="pct"/>
            <w:tcBorders>
              <w:top w:val="single" w:sz="18" w:space="0" w:color="auto"/>
              <w:bottom w:val="single" w:sz="18" w:space="0" w:color="auto"/>
            </w:tcBorders>
            <w:shd w:val="clear" w:color="000000" w:fill="FFFFFF"/>
            <w:noWrap/>
            <w:vAlign w:val="center"/>
            <w:hideMark/>
          </w:tcPr>
          <w:p w14:paraId="239CD1CB" w14:textId="77777777" w:rsidR="008B2E42" w:rsidRPr="00A455F0" w:rsidRDefault="008B2E42" w:rsidP="00DE6E1C">
            <w:pPr>
              <w:jc w:val="right"/>
              <w:rPr>
                <w:rFonts w:ascii="Times New Roman" w:hAnsi="Times New Roman"/>
                <w:sz w:val="18"/>
                <w:szCs w:val="18"/>
              </w:rPr>
            </w:pPr>
            <w:r w:rsidRPr="00A455F0">
              <w:rPr>
                <w:rFonts w:ascii="Times New Roman" w:hAnsi="Times New Roman"/>
                <w:sz w:val="18"/>
                <w:szCs w:val="18"/>
              </w:rPr>
              <w:t> </w:t>
            </w:r>
          </w:p>
        </w:tc>
        <w:tc>
          <w:tcPr>
            <w:tcW w:w="367" w:type="pct"/>
            <w:tcBorders>
              <w:top w:val="single" w:sz="18" w:space="0" w:color="auto"/>
              <w:bottom w:val="single" w:sz="18" w:space="0" w:color="auto"/>
            </w:tcBorders>
            <w:shd w:val="clear" w:color="000000" w:fill="FFFFFF"/>
            <w:noWrap/>
            <w:vAlign w:val="center"/>
            <w:hideMark/>
          </w:tcPr>
          <w:p w14:paraId="5229307D" w14:textId="77777777" w:rsidR="008B2E42" w:rsidRPr="00A455F0" w:rsidRDefault="008B2E42" w:rsidP="00DE6E1C">
            <w:pPr>
              <w:jc w:val="center"/>
              <w:rPr>
                <w:rFonts w:ascii="Times New Roman" w:hAnsi="Times New Roman"/>
                <w:sz w:val="18"/>
                <w:szCs w:val="18"/>
              </w:rPr>
            </w:pPr>
            <w:r w:rsidRPr="00A455F0">
              <w:rPr>
                <w:rFonts w:ascii="Times New Roman" w:hAnsi="Times New Roman"/>
                <w:sz w:val="18"/>
                <w:szCs w:val="18"/>
              </w:rPr>
              <w:t> </w:t>
            </w:r>
          </w:p>
        </w:tc>
        <w:tc>
          <w:tcPr>
            <w:tcW w:w="268" w:type="pct"/>
            <w:tcBorders>
              <w:top w:val="single" w:sz="18" w:space="0" w:color="auto"/>
              <w:bottom w:val="single" w:sz="18" w:space="0" w:color="auto"/>
            </w:tcBorders>
            <w:shd w:val="clear" w:color="000000" w:fill="FFFFFF"/>
            <w:noWrap/>
            <w:vAlign w:val="center"/>
            <w:hideMark/>
          </w:tcPr>
          <w:p w14:paraId="1135F9CA" w14:textId="77777777" w:rsidR="008B2E42" w:rsidRPr="00A455F0" w:rsidRDefault="008B2E42" w:rsidP="00DE6E1C">
            <w:pPr>
              <w:jc w:val="right"/>
              <w:rPr>
                <w:rFonts w:ascii="Times New Roman" w:hAnsi="Times New Roman"/>
                <w:sz w:val="18"/>
                <w:szCs w:val="18"/>
              </w:rPr>
            </w:pPr>
            <w:r w:rsidRPr="00A455F0">
              <w:rPr>
                <w:rFonts w:ascii="Times New Roman" w:hAnsi="Times New Roman"/>
                <w:sz w:val="18"/>
                <w:szCs w:val="18"/>
              </w:rPr>
              <w:t> </w:t>
            </w:r>
          </w:p>
        </w:tc>
        <w:tc>
          <w:tcPr>
            <w:tcW w:w="367" w:type="pct"/>
            <w:tcBorders>
              <w:top w:val="single" w:sz="18" w:space="0" w:color="auto"/>
              <w:bottom w:val="single" w:sz="18" w:space="0" w:color="auto"/>
            </w:tcBorders>
            <w:shd w:val="clear" w:color="000000" w:fill="FFFFFF"/>
            <w:noWrap/>
            <w:vAlign w:val="center"/>
            <w:hideMark/>
          </w:tcPr>
          <w:p w14:paraId="5EBC6DB5" w14:textId="77777777" w:rsidR="008B2E42" w:rsidRPr="00A455F0" w:rsidRDefault="008B2E42" w:rsidP="00DE6E1C">
            <w:pPr>
              <w:jc w:val="center"/>
              <w:rPr>
                <w:rFonts w:ascii="Times New Roman" w:hAnsi="Times New Roman"/>
                <w:sz w:val="18"/>
                <w:szCs w:val="18"/>
              </w:rPr>
            </w:pPr>
            <w:r w:rsidRPr="00A455F0">
              <w:rPr>
                <w:rFonts w:ascii="Times New Roman" w:hAnsi="Times New Roman"/>
                <w:sz w:val="18"/>
                <w:szCs w:val="18"/>
              </w:rPr>
              <w:t> </w:t>
            </w:r>
          </w:p>
        </w:tc>
        <w:tc>
          <w:tcPr>
            <w:tcW w:w="352" w:type="pct"/>
            <w:tcBorders>
              <w:top w:val="single" w:sz="18" w:space="0" w:color="auto"/>
              <w:bottom w:val="single" w:sz="18" w:space="0" w:color="auto"/>
            </w:tcBorders>
            <w:shd w:val="clear" w:color="000000" w:fill="FFFFFF"/>
            <w:noWrap/>
            <w:vAlign w:val="center"/>
            <w:hideMark/>
          </w:tcPr>
          <w:p w14:paraId="7DC9A2D9" w14:textId="77777777" w:rsidR="008B2E42" w:rsidRPr="00A455F0" w:rsidRDefault="008B2E42" w:rsidP="00DE6E1C">
            <w:pPr>
              <w:jc w:val="right"/>
              <w:rPr>
                <w:rFonts w:ascii="Times New Roman" w:hAnsi="Times New Roman"/>
                <w:sz w:val="18"/>
                <w:szCs w:val="18"/>
              </w:rPr>
            </w:pPr>
            <w:r w:rsidRPr="00A455F0">
              <w:rPr>
                <w:rFonts w:ascii="Times New Roman" w:hAnsi="Times New Roman"/>
                <w:sz w:val="18"/>
                <w:szCs w:val="18"/>
              </w:rPr>
              <w:t> </w:t>
            </w:r>
          </w:p>
        </w:tc>
      </w:tr>
      <w:tr w:rsidR="002105AB" w:rsidRPr="00827B75" w14:paraId="27E7B841" w14:textId="77777777" w:rsidTr="00E43CC8">
        <w:trPr>
          <w:cantSplit/>
          <w:trHeight w:val="300"/>
        </w:trPr>
        <w:tc>
          <w:tcPr>
            <w:tcW w:w="1659" w:type="pct"/>
            <w:tcBorders>
              <w:top w:val="single" w:sz="18" w:space="0" w:color="auto"/>
              <w:bottom w:val="single" w:sz="2" w:space="0" w:color="auto"/>
            </w:tcBorders>
            <w:shd w:val="clear" w:color="000000" w:fill="FFFFFF"/>
            <w:noWrap/>
            <w:vAlign w:val="center"/>
            <w:hideMark/>
          </w:tcPr>
          <w:p w14:paraId="3B6AA091" w14:textId="77777777" w:rsidR="008B2E42" w:rsidRPr="00A455F0" w:rsidRDefault="008B2E42" w:rsidP="00AF6F46">
            <w:pPr>
              <w:tabs>
                <w:tab w:val="left" w:pos="3315"/>
              </w:tabs>
              <w:ind w:firstLineChars="100" w:firstLine="180"/>
              <w:rPr>
                <w:rFonts w:ascii="Times New Roman" w:hAnsi="Times New Roman"/>
                <w:sz w:val="18"/>
                <w:szCs w:val="18"/>
              </w:rPr>
            </w:pPr>
            <w:r w:rsidRPr="00A455F0">
              <w:rPr>
                <w:rFonts w:ascii="Times New Roman" w:hAnsi="Times New Roman"/>
                <w:sz w:val="18"/>
                <w:szCs w:val="18"/>
              </w:rPr>
              <w:t>Salaries, Wages, and Benefits</w:t>
            </w:r>
          </w:p>
        </w:tc>
        <w:tc>
          <w:tcPr>
            <w:tcW w:w="87" w:type="pct"/>
            <w:tcBorders>
              <w:top w:val="single" w:sz="18" w:space="0" w:color="auto"/>
              <w:bottom w:val="single" w:sz="2" w:space="0" w:color="auto"/>
            </w:tcBorders>
            <w:shd w:val="clear" w:color="000000" w:fill="FFFFFF"/>
            <w:noWrap/>
            <w:vAlign w:val="center"/>
            <w:hideMark/>
          </w:tcPr>
          <w:p w14:paraId="049EB472" w14:textId="77777777" w:rsidR="008B2E42" w:rsidRPr="00A455F0" w:rsidRDefault="008B2E42" w:rsidP="00AF6F46">
            <w:pPr>
              <w:tabs>
                <w:tab w:val="left" w:pos="3315"/>
              </w:tabs>
              <w:ind w:firstLineChars="100" w:firstLine="180"/>
              <w:rPr>
                <w:rFonts w:ascii="Times New Roman" w:hAnsi="Times New Roman"/>
                <w:sz w:val="18"/>
                <w:szCs w:val="18"/>
              </w:rPr>
            </w:pPr>
            <w:r w:rsidRPr="00A455F0">
              <w:rPr>
                <w:rFonts w:ascii="Times New Roman" w:hAnsi="Times New Roman"/>
                <w:sz w:val="18"/>
                <w:szCs w:val="18"/>
              </w:rPr>
              <w:t> </w:t>
            </w:r>
          </w:p>
        </w:tc>
        <w:tc>
          <w:tcPr>
            <w:tcW w:w="367" w:type="pct"/>
            <w:tcBorders>
              <w:top w:val="single" w:sz="18" w:space="0" w:color="auto"/>
              <w:bottom w:val="single" w:sz="2" w:space="0" w:color="auto"/>
            </w:tcBorders>
            <w:shd w:val="clear" w:color="000000" w:fill="FFFFFF"/>
            <w:noWrap/>
            <w:vAlign w:val="center"/>
            <w:hideMark/>
          </w:tcPr>
          <w:p w14:paraId="577D1DC1" w14:textId="77777777" w:rsidR="008B2E42" w:rsidRPr="00A455F0" w:rsidRDefault="008B2E42" w:rsidP="00DE6E1C">
            <w:pPr>
              <w:jc w:val="right"/>
              <w:rPr>
                <w:rFonts w:ascii="Times New Roman" w:hAnsi="Times New Roman"/>
                <w:sz w:val="18"/>
                <w:szCs w:val="18"/>
              </w:rPr>
            </w:pPr>
            <w:r w:rsidRPr="00A455F0">
              <w:rPr>
                <w:rFonts w:ascii="Times New Roman" w:hAnsi="Times New Roman"/>
                <w:sz w:val="18"/>
                <w:szCs w:val="18"/>
              </w:rPr>
              <w:t xml:space="preserve">$6,799,585 </w:t>
            </w:r>
          </w:p>
        </w:tc>
        <w:tc>
          <w:tcPr>
            <w:tcW w:w="264" w:type="pct"/>
            <w:tcBorders>
              <w:top w:val="single" w:sz="18" w:space="0" w:color="auto"/>
              <w:bottom w:val="single" w:sz="2" w:space="0" w:color="auto"/>
            </w:tcBorders>
            <w:shd w:val="clear" w:color="000000" w:fill="FFFFFF"/>
            <w:noWrap/>
            <w:vAlign w:val="center"/>
            <w:hideMark/>
          </w:tcPr>
          <w:p w14:paraId="75EB529F" w14:textId="77777777" w:rsidR="008B2E42" w:rsidRPr="00A455F0" w:rsidRDefault="008B2E42" w:rsidP="00DE6E1C">
            <w:pPr>
              <w:jc w:val="right"/>
              <w:rPr>
                <w:rFonts w:ascii="Times New Roman" w:hAnsi="Times New Roman"/>
                <w:sz w:val="18"/>
                <w:szCs w:val="18"/>
              </w:rPr>
            </w:pPr>
            <w:r w:rsidRPr="00A455F0">
              <w:rPr>
                <w:rFonts w:ascii="Times New Roman" w:hAnsi="Times New Roman"/>
                <w:sz w:val="18"/>
                <w:szCs w:val="18"/>
              </w:rPr>
              <w:t>16.22%</w:t>
            </w:r>
          </w:p>
        </w:tc>
        <w:tc>
          <w:tcPr>
            <w:tcW w:w="367" w:type="pct"/>
            <w:tcBorders>
              <w:top w:val="single" w:sz="18" w:space="0" w:color="auto"/>
              <w:bottom w:val="single" w:sz="2" w:space="0" w:color="auto"/>
            </w:tcBorders>
            <w:shd w:val="clear" w:color="000000" w:fill="FFFFFF"/>
            <w:noWrap/>
            <w:vAlign w:val="center"/>
            <w:hideMark/>
          </w:tcPr>
          <w:p w14:paraId="5FCD91F9" w14:textId="77777777" w:rsidR="008B2E42" w:rsidRPr="00A455F0" w:rsidRDefault="008B2E42" w:rsidP="00DE6E1C">
            <w:pPr>
              <w:jc w:val="right"/>
              <w:rPr>
                <w:rFonts w:ascii="Times New Roman" w:hAnsi="Times New Roman"/>
                <w:sz w:val="18"/>
                <w:szCs w:val="18"/>
              </w:rPr>
            </w:pPr>
            <w:r w:rsidRPr="00A455F0">
              <w:rPr>
                <w:rFonts w:ascii="Times New Roman" w:hAnsi="Times New Roman"/>
                <w:sz w:val="18"/>
                <w:szCs w:val="18"/>
              </w:rPr>
              <w:t xml:space="preserve">$7,378,634 </w:t>
            </w:r>
          </w:p>
        </w:tc>
        <w:tc>
          <w:tcPr>
            <w:tcW w:w="267" w:type="pct"/>
            <w:tcBorders>
              <w:top w:val="single" w:sz="18" w:space="0" w:color="auto"/>
              <w:bottom w:val="single" w:sz="2" w:space="0" w:color="auto"/>
            </w:tcBorders>
            <w:shd w:val="clear" w:color="000000" w:fill="FFFFFF"/>
            <w:noWrap/>
            <w:vAlign w:val="center"/>
            <w:hideMark/>
          </w:tcPr>
          <w:p w14:paraId="6C65F32B" w14:textId="77777777" w:rsidR="008B2E42" w:rsidRPr="00A455F0" w:rsidRDefault="008B2E42" w:rsidP="00DE6E1C">
            <w:pPr>
              <w:jc w:val="right"/>
              <w:rPr>
                <w:rFonts w:ascii="Times New Roman" w:hAnsi="Times New Roman"/>
                <w:sz w:val="18"/>
                <w:szCs w:val="18"/>
              </w:rPr>
            </w:pPr>
            <w:r w:rsidRPr="00A455F0">
              <w:rPr>
                <w:rFonts w:ascii="Times New Roman" w:hAnsi="Times New Roman"/>
                <w:sz w:val="18"/>
                <w:szCs w:val="18"/>
              </w:rPr>
              <w:t>16.35%</w:t>
            </w:r>
          </w:p>
        </w:tc>
        <w:tc>
          <w:tcPr>
            <w:tcW w:w="367" w:type="pct"/>
            <w:tcBorders>
              <w:top w:val="single" w:sz="18" w:space="0" w:color="auto"/>
              <w:bottom w:val="single" w:sz="2" w:space="0" w:color="auto"/>
            </w:tcBorders>
            <w:shd w:val="clear" w:color="000000" w:fill="FFFFFF"/>
            <w:noWrap/>
            <w:vAlign w:val="center"/>
            <w:hideMark/>
          </w:tcPr>
          <w:p w14:paraId="1E2EA02D" w14:textId="77777777" w:rsidR="008B2E42" w:rsidRPr="00A455F0" w:rsidRDefault="008B2E42" w:rsidP="00DE6E1C">
            <w:pPr>
              <w:jc w:val="right"/>
              <w:rPr>
                <w:rFonts w:ascii="Times New Roman" w:hAnsi="Times New Roman"/>
                <w:sz w:val="18"/>
                <w:szCs w:val="18"/>
              </w:rPr>
            </w:pPr>
            <w:r w:rsidRPr="00A455F0">
              <w:rPr>
                <w:rFonts w:ascii="Times New Roman" w:hAnsi="Times New Roman"/>
                <w:sz w:val="18"/>
                <w:szCs w:val="18"/>
              </w:rPr>
              <w:t xml:space="preserve">$8,013,807 </w:t>
            </w:r>
          </w:p>
        </w:tc>
        <w:tc>
          <w:tcPr>
            <w:tcW w:w="267" w:type="pct"/>
            <w:tcBorders>
              <w:top w:val="single" w:sz="18" w:space="0" w:color="auto"/>
              <w:bottom w:val="single" w:sz="2" w:space="0" w:color="auto"/>
            </w:tcBorders>
            <w:shd w:val="clear" w:color="000000" w:fill="FFFFFF"/>
            <w:noWrap/>
            <w:vAlign w:val="center"/>
            <w:hideMark/>
          </w:tcPr>
          <w:p w14:paraId="7DC39305" w14:textId="77777777" w:rsidR="008B2E42" w:rsidRPr="00A455F0" w:rsidRDefault="008B2E42" w:rsidP="00DE6E1C">
            <w:pPr>
              <w:jc w:val="right"/>
              <w:rPr>
                <w:rFonts w:ascii="Times New Roman" w:hAnsi="Times New Roman"/>
                <w:sz w:val="18"/>
                <w:szCs w:val="18"/>
              </w:rPr>
            </w:pPr>
            <w:r w:rsidRPr="00A455F0">
              <w:rPr>
                <w:rFonts w:ascii="Times New Roman" w:hAnsi="Times New Roman"/>
                <w:sz w:val="18"/>
                <w:szCs w:val="18"/>
              </w:rPr>
              <w:t>16.48%</w:t>
            </w:r>
          </w:p>
        </w:tc>
        <w:tc>
          <w:tcPr>
            <w:tcW w:w="367" w:type="pct"/>
            <w:tcBorders>
              <w:top w:val="single" w:sz="18" w:space="0" w:color="auto"/>
              <w:bottom w:val="single" w:sz="2" w:space="0" w:color="auto"/>
            </w:tcBorders>
            <w:shd w:val="clear" w:color="000000" w:fill="FFFFFF"/>
            <w:noWrap/>
            <w:vAlign w:val="center"/>
            <w:hideMark/>
          </w:tcPr>
          <w:p w14:paraId="52EC1B41" w14:textId="77777777" w:rsidR="008B2E42" w:rsidRPr="00A455F0" w:rsidRDefault="008B2E42" w:rsidP="00DE6E1C">
            <w:pPr>
              <w:jc w:val="right"/>
              <w:rPr>
                <w:rFonts w:ascii="Times New Roman" w:hAnsi="Times New Roman"/>
                <w:sz w:val="18"/>
                <w:szCs w:val="18"/>
              </w:rPr>
            </w:pPr>
            <w:r w:rsidRPr="00A455F0">
              <w:rPr>
                <w:rFonts w:ascii="Times New Roman" w:hAnsi="Times New Roman"/>
                <w:sz w:val="18"/>
                <w:szCs w:val="18"/>
              </w:rPr>
              <w:t xml:space="preserve">$8,694,082 </w:t>
            </w:r>
          </w:p>
        </w:tc>
        <w:tc>
          <w:tcPr>
            <w:tcW w:w="268" w:type="pct"/>
            <w:tcBorders>
              <w:top w:val="single" w:sz="18" w:space="0" w:color="auto"/>
              <w:bottom w:val="single" w:sz="2" w:space="0" w:color="auto"/>
            </w:tcBorders>
            <w:shd w:val="clear" w:color="000000" w:fill="FFFFFF"/>
            <w:noWrap/>
            <w:vAlign w:val="center"/>
            <w:hideMark/>
          </w:tcPr>
          <w:p w14:paraId="46DE70F1" w14:textId="77777777" w:rsidR="008B2E42" w:rsidRPr="00A455F0" w:rsidRDefault="008B2E42" w:rsidP="00DE6E1C">
            <w:pPr>
              <w:jc w:val="right"/>
              <w:rPr>
                <w:rFonts w:ascii="Times New Roman" w:hAnsi="Times New Roman"/>
                <w:sz w:val="18"/>
                <w:szCs w:val="18"/>
              </w:rPr>
            </w:pPr>
            <w:r w:rsidRPr="00A455F0">
              <w:rPr>
                <w:rFonts w:ascii="Times New Roman" w:hAnsi="Times New Roman"/>
                <w:sz w:val="18"/>
                <w:szCs w:val="18"/>
              </w:rPr>
              <w:t>16.62%</w:t>
            </w:r>
          </w:p>
        </w:tc>
        <w:tc>
          <w:tcPr>
            <w:tcW w:w="367" w:type="pct"/>
            <w:tcBorders>
              <w:top w:val="single" w:sz="18" w:space="0" w:color="auto"/>
              <w:bottom w:val="single" w:sz="2" w:space="0" w:color="auto"/>
            </w:tcBorders>
            <w:shd w:val="clear" w:color="000000" w:fill="FFFFFF"/>
            <w:noWrap/>
            <w:vAlign w:val="center"/>
            <w:hideMark/>
          </w:tcPr>
          <w:p w14:paraId="5E9FAFB5" w14:textId="77777777" w:rsidR="008B2E42" w:rsidRPr="00A455F0" w:rsidRDefault="008B2E42" w:rsidP="00DE6E1C">
            <w:pPr>
              <w:jc w:val="right"/>
              <w:rPr>
                <w:rFonts w:ascii="Times New Roman" w:hAnsi="Times New Roman"/>
                <w:sz w:val="18"/>
                <w:szCs w:val="18"/>
              </w:rPr>
            </w:pPr>
            <w:r w:rsidRPr="00A455F0">
              <w:rPr>
                <w:rFonts w:ascii="Times New Roman" w:hAnsi="Times New Roman"/>
                <w:sz w:val="18"/>
                <w:szCs w:val="18"/>
              </w:rPr>
              <w:t xml:space="preserve">$9,423,180 </w:t>
            </w:r>
          </w:p>
        </w:tc>
        <w:tc>
          <w:tcPr>
            <w:tcW w:w="352" w:type="pct"/>
            <w:tcBorders>
              <w:top w:val="single" w:sz="18" w:space="0" w:color="auto"/>
              <w:bottom w:val="single" w:sz="2" w:space="0" w:color="auto"/>
            </w:tcBorders>
            <w:shd w:val="clear" w:color="000000" w:fill="FFFFFF"/>
            <w:noWrap/>
            <w:vAlign w:val="center"/>
            <w:hideMark/>
          </w:tcPr>
          <w:p w14:paraId="2F248AA5" w14:textId="77777777" w:rsidR="008B2E42" w:rsidRPr="00A455F0" w:rsidRDefault="008B2E42" w:rsidP="00AF6F46">
            <w:pPr>
              <w:rPr>
                <w:rFonts w:ascii="Times New Roman" w:hAnsi="Times New Roman"/>
                <w:sz w:val="18"/>
                <w:szCs w:val="18"/>
              </w:rPr>
            </w:pPr>
            <w:r>
              <w:rPr>
                <w:rFonts w:ascii="Times New Roman" w:hAnsi="Times New Roman"/>
                <w:sz w:val="18"/>
                <w:szCs w:val="18"/>
              </w:rPr>
              <w:t xml:space="preserve">     </w:t>
            </w:r>
            <w:r w:rsidRPr="00A455F0">
              <w:rPr>
                <w:rFonts w:ascii="Times New Roman" w:hAnsi="Times New Roman"/>
                <w:sz w:val="18"/>
                <w:szCs w:val="18"/>
              </w:rPr>
              <w:t>16.80%</w:t>
            </w:r>
          </w:p>
        </w:tc>
      </w:tr>
      <w:tr w:rsidR="002105AB" w:rsidRPr="00827B75" w14:paraId="63534056" w14:textId="77777777" w:rsidTr="00E43CC8">
        <w:trPr>
          <w:cantSplit/>
          <w:trHeight w:val="300"/>
        </w:trPr>
        <w:tc>
          <w:tcPr>
            <w:tcW w:w="1659" w:type="pct"/>
            <w:tcBorders>
              <w:top w:val="single" w:sz="2" w:space="0" w:color="auto"/>
              <w:bottom w:val="single" w:sz="2" w:space="0" w:color="auto"/>
            </w:tcBorders>
            <w:shd w:val="clear" w:color="000000" w:fill="FFFFFF"/>
            <w:noWrap/>
            <w:vAlign w:val="center"/>
            <w:hideMark/>
          </w:tcPr>
          <w:p w14:paraId="7F94670F" w14:textId="77777777" w:rsidR="008B2E42" w:rsidRPr="00A455F0" w:rsidRDefault="008B2E42" w:rsidP="00AF6F46">
            <w:pPr>
              <w:tabs>
                <w:tab w:val="left" w:pos="3315"/>
              </w:tabs>
              <w:ind w:firstLineChars="100" w:firstLine="180"/>
              <w:rPr>
                <w:rFonts w:ascii="Times New Roman" w:hAnsi="Times New Roman"/>
                <w:sz w:val="18"/>
                <w:szCs w:val="18"/>
              </w:rPr>
            </w:pPr>
            <w:r w:rsidRPr="00A455F0">
              <w:rPr>
                <w:rFonts w:ascii="Times New Roman" w:hAnsi="Times New Roman"/>
                <w:sz w:val="18"/>
                <w:szCs w:val="18"/>
              </w:rPr>
              <w:t>Supplies &amp; Drugs</w:t>
            </w:r>
          </w:p>
        </w:tc>
        <w:tc>
          <w:tcPr>
            <w:tcW w:w="87" w:type="pct"/>
            <w:tcBorders>
              <w:top w:val="single" w:sz="2" w:space="0" w:color="auto"/>
              <w:bottom w:val="single" w:sz="2" w:space="0" w:color="auto"/>
            </w:tcBorders>
            <w:shd w:val="clear" w:color="000000" w:fill="FFFFFF"/>
            <w:noWrap/>
            <w:vAlign w:val="center"/>
            <w:hideMark/>
          </w:tcPr>
          <w:p w14:paraId="7B42954B" w14:textId="77777777" w:rsidR="008B2E42" w:rsidRPr="00A455F0" w:rsidRDefault="008B2E42" w:rsidP="00AF6F46">
            <w:pPr>
              <w:tabs>
                <w:tab w:val="left" w:pos="3315"/>
              </w:tabs>
              <w:ind w:firstLineChars="100" w:firstLine="180"/>
              <w:rPr>
                <w:rFonts w:ascii="Times New Roman" w:hAnsi="Times New Roman"/>
                <w:sz w:val="18"/>
                <w:szCs w:val="18"/>
              </w:rPr>
            </w:pPr>
            <w:r w:rsidRPr="00A455F0">
              <w:rPr>
                <w:rFonts w:ascii="Times New Roman" w:hAnsi="Times New Roman"/>
                <w:sz w:val="18"/>
                <w:szCs w:val="18"/>
              </w:rPr>
              <w:t> </w:t>
            </w:r>
          </w:p>
        </w:tc>
        <w:tc>
          <w:tcPr>
            <w:tcW w:w="367" w:type="pct"/>
            <w:tcBorders>
              <w:top w:val="single" w:sz="2" w:space="0" w:color="auto"/>
              <w:bottom w:val="single" w:sz="2" w:space="0" w:color="auto"/>
            </w:tcBorders>
            <w:shd w:val="clear" w:color="000000" w:fill="FFFFFF"/>
            <w:noWrap/>
            <w:vAlign w:val="center"/>
            <w:hideMark/>
          </w:tcPr>
          <w:p w14:paraId="44665F59" w14:textId="77777777" w:rsidR="008B2E42" w:rsidRPr="00A455F0" w:rsidRDefault="008B2E42" w:rsidP="00DE6E1C">
            <w:pPr>
              <w:jc w:val="right"/>
              <w:rPr>
                <w:rFonts w:ascii="Times New Roman" w:hAnsi="Times New Roman"/>
                <w:sz w:val="18"/>
                <w:szCs w:val="18"/>
              </w:rPr>
            </w:pPr>
            <w:r w:rsidRPr="00A455F0">
              <w:rPr>
                <w:rFonts w:ascii="Times New Roman" w:hAnsi="Times New Roman"/>
                <w:sz w:val="18"/>
                <w:szCs w:val="18"/>
              </w:rPr>
              <w:t xml:space="preserve">$15,257,016 </w:t>
            </w:r>
          </w:p>
        </w:tc>
        <w:tc>
          <w:tcPr>
            <w:tcW w:w="264" w:type="pct"/>
            <w:tcBorders>
              <w:top w:val="single" w:sz="2" w:space="0" w:color="auto"/>
              <w:bottom w:val="single" w:sz="2" w:space="0" w:color="auto"/>
            </w:tcBorders>
            <w:shd w:val="clear" w:color="000000" w:fill="FFFFFF"/>
            <w:noWrap/>
            <w:vAlign w:val="center"/>
            <w:hideMark/>
          </w:tcPr>
          <w:p w14:paraId="2664B1F9" w14:textId="77777777" w:rsidR="008B2E42" w:rsidRPr="00A455F0" w:rsidRDefault="008B2E42" w:rsidP="00DE6E1C">
            <w:pPr>
              <w:jc w:val="right"/>
              <w:rPr>
                <w:rFonts w:ascii="Times New Roman" w:hAnsi="Times New Roman"/>
                <w:sz w:val="18"/>
                <w:szCs w:val="18"/>
              </w:rPr>
            </w:pPr>
            <w:r w:rsidRPr="00A455F0">
              <w:rPr>
                <w:rFonts w:ascii="Times New Roman" w:hAnsi="Times New Roman"/>
                <w:sz w:val="18"/>
                <w:szCs w:val="18"/>
              </w:rPr>
              <w:t>36.39%</w:t>
            </w:r>
          </w:p>
        </w:tc>
        <w:tc>
          <w:tcPr>
            <w:tcW w:w="367" w:type="pct"/>
            <w:tcBorders>
              <w:top w:val="single" w:sz="2" w:space="0" w:color="auto"/>
              <w:bottom w:val="single" w:sz="2" w:space="0" w:color="auto"/>
            </w:tcBorders>
            <w:shd w:val="clear" w:color="000000" w:fill="FFFFFF"/>
            <w:noWrap/>
            <w:vAlign w:val="center"/>
            <w:hideMark/>
          </w:tcPr>
          <w:p w14:paraId="000C72BB" w14:textId="77777777" w:rsidR="008B2E42" w:rsidRPr="00A455F0" w:rsidRDefault="008B2E42" w:rsidP="00DE6E1C">
            <w:pPr>
              <w:jc w:val="right"/>
              <w:rPr>
                <w:rFonts w:ascii="Times New Roman" w:hAnsi="Times New Roman"/>
                <w:sz w:val="18"/>
                <w:szCs w:val="18"/>
              </w:rPr>
            </w:pPr>
            <w:r w:rsidRPr="00A455F0">
              <w:rPr>
                <w:rFonts w:ascii="Times New Roman" w:hAnsi="Times New Roman"/>
                <w:sz w:val="18"/>
                <w:szCs w:val="18"/>
              </w:rPr>
              <w:t xml:space="preserve">$16,372,809 </w:t>
            </w:r>
          </w:p>
        </w:tc>
        <w:tc>
          <w:tcPr>
            <w:tcW w:w="267" w:type="pct"/>
            <w:tcBorders>
              <w:top w:val="single" w:sz="2" w:space="0" w:color="auto"/>
              <w:bottom w:val="single" w:sz="2" w:space="0" w:color="auto"/>
            </w:tcBorders>
            <w:shd w:val="clear" w:color="000000" w:fill="FFFFFF"/>
            <w:noWrap/>
            <w:vAlign w:val="center"/>
            <w:hideMark/>
          </w:tcPr>
          <w:p w14:paraId="789A182B" w14:textId="77777777" w:rsidR="008B2E42" w:rsidRPr="00A455F0" w:rsidRDefault="008B2E42" w:rsidP="00DE6E1C">
            <w:pPr>
              <w:jc w:val="right"/>
              <w:rPr>
                <w:rFonts w:ascii="Times New Roman" w:hAnsi="Times New Roman"/>
                <w:sz w:val="18"/>
                <w:szCs w:val="18"/>
              </w:rPr>
            </w:pPr>
            <w:r w:rsidRPr="00A455F0">
              <w:rPr>
                <w:rFonts w:ascii="Times New Roman" w:hAnsi="Times New Roman"/>
                <w:sz w:val="18"/>
                <w:szCs w:val="18"/>
              </w:rPr>
              <w:t>36.28%</w:t>
            </w:r>
          </w:p>
        </w:tc>
        <w:tc>
          <w:tcPr>
            <w:tcW w:w="367" w:type="pct"/>
            <w:tcBorders>
              <w:top w:val="single" w:sz="2" w:space="0" w:color="auto"/>
              <w:bottom w:val="single" w:sz="2" w:space="0" w:color="auto"/>
            </w:tcBorders>
            <w:shd w:val="clear" w:color="000000" w:fill="FFFFFF"/>
            <w:noWrap/>
            <w:vAlign w:val="center"/>
            <w:hideMark/>
          </w:tcPr>
          <w:p w14:paraId="4A9E1837" w14:textId="77777777" w:rsidR="008B2E42" w:rsidRPr="00A455F0" w:rsidRDefault="008B2E42" w:rsidP="00DE6E1C">
            <w:pPr>
              <w:jc w:val="right"/>
              <w:rPr>
                <w:rFonts w:ascii="Times New Roman" w:hAnsi="Times New Roman"/>
                <w:sz w:val="18"/>
                <w:szCs w:val="18"/>
              </w:rPr>
            </w:pPr>
            <w:r w:rsidRPr="00A455F0">
              <w:rPr>
                <w:rFonts w:ascii="Times New Roman" w:hAnsi="Times New Roman"/>
                <w:sz w:val="18"/>
                <w:szCs w:val="18"/>
              </w:rPr>
              <w:t xml:space="preserve">$17,585,676 </w:t>
            </w:r>
          </w:p>
        </w:tc>
        <w:tc>
          <w:tcPr>
            <w:tcW w:w="267" w:type="pct"/>
            <w:tcBorders>
              <w:top w:val="single" w:sz="2" w:space="0" w:color="auto"/>
              <w:bottom w:val="single" w:sz="2" w:space="0" w:color="auto"/>
            </w:tcBorders>
            <w:shd w:val="clear" w:color="000000" w:fill="FFFFFF"/>
            <w:noWrap/>
            <w:vAlign w:val="center"/>
            <w:hideMark/>
          </w:tcPr>
          <w:p w14:paraId="2E13E181" w14:textId="77777777" w:rsidR="008B2E42" w:rsidRPr="00A455F0" w:rsidRDefault="008B2E42" w:rsidP="00DE6E1C">
            <w:pPr>
              <w:jc w:val="right"/>
              <w:rPr>
                <w:rFonts w:ascii="Times New Roman" w:hAnsi="Times New Roman"/>
                <w:sz w:val="18"/>
                <w:szCs w:val="18"/>
              </w:rPr>
            </w:pPr>
            <w:r w:rsidRPr="00A455F0">
              <w:rPr>
                <w:rFonts w:ascii="Times New Roman" w:hAnsi="Times New Roman"/>
                <w:sz w:val="18"/>
                <w:szCs w:val="18"/>
              </w:rPr>
              <w:t>36.15%</w:t>
            </w:r>
          </w:p>
        </w:tc>
        <w:tc>
          <w:tcPr>
            <w:tcW w:w="367" w:type="pct"/>
            <w:tcBorders>
              <w:top w:val="single" w:sz="2" w:space="0" w:color="auto"/>
              <w:bottom w:val="single" w:sz="2" w:space="0" w:color="auto"/>
            </w:tcBorders>
            <w:shd w:val="clear" w:color="000000" w:fill="FFFFFF"/>
            <w:noWrap/>
            <w:vAlign w:val="center"/>
            <w:hideMark/>
          </w:tcPr>
          <w:p w14:paraId="4BBEDE71" w14:textId="77777777" w:rsidR="008B2E42" w:rsidRPr="00A455F0" w:rsidRDefault="008B2E42" w:rsidP="00DE6E1C">
            <w:pPr>
              <w:jc w:val="right"/>
              <w:rPr>
                <w:rFonts w:ascii="Times New Roman" w:hAnsi="Times New Roman"/>
                <w:sz w:val="18"/>
                <w:szCs w:val="18"/>
              </w:rPr>
            </w:pPr>
            <w:r w:rsidRPr="00A455F0">
              <w:rPr>
                <w:rFonts w:ascii="Times New Roman" w:hAnsi="Times New Roman"/>
                <w:sz w:val="18"/>
                <w:szCs w:val="18"/>
              </w:rPr>
              <w:t xml:space="preserve">$18,840,566 </w:t>
            </w:r>
          </w:p>
        </w:tc>
        <w:tc>
          <w:tcPr>
            <w:tcW w:w="268" w:type="pct"/>
            <w:tcBorders>
              <w:top w:val="single" w:sz="2" w:space="0" w:color="auto"/>
              <w:bottom w:val="single" w:sz="2" w:space="0" w:color="auto"/>
            </w:tcBorders>
            <w:shd w:val="clear" w:color="000000" w:fill="FFFFFF"/>
            <w:noWrap/>
            <w:vAlign w:val="center"/>
            <w:hideMark/>
          </w:tcPr>
          <w:p w14:paraId="746860F3" w14:textId="77777777" w:rsidR="008B2E42" w:rsidRPr="00A455F0" w:rsidRDefault="008B2E42" w:rsidP="00DE6E1C">
            <w:pPr>
              <w:jc w:val="right"/>
              <w:rPr>
                <w:rFonts w:ascii="Times New Roman" w:hAnsi="Times New Roman"/>
                <w:sz w:val="18"/>
                <w:szCs w:val="18"/>
              </w:rPr>
            </w:pPr>
            <w:r w:rsidRPr="00A455F0">
              <w:rPr>
                <w:rFonts w:ascii="Times New Roman" w:hAnsi="Times New Roman"/>
                <w:sz w:val="18"/>
                <w:szCs w:val="18"/>
              </w:rPr>
              <w:t>36.03%</w:t>
            </w:r>
          </w:p>
        </w:tc>
        <w:tc>
          <w:tcPr>
            <w:tcW w:w="367" w:type="pct"/>
            <w:tcBorders>
              <w:top w:val="single" w:sz="2" w:space="0" w:color="auto"/>
              <w:bottom w:val="single" w:sz="2" w:space="0" w:color="auto"/>
            </w:tcBorders>
            <w:shd w:val="clear" w:color="000000" w:fill="FFFFFF"/>
            <w:noWrap/>
            <w:vAlign w:val="center"/>
            <w:hideMark/>
          </w:tcPr>
          <w:p w14:paraId="635C4A8E" w14:textId="77777777" w:rsidR="008B2E42" w:rsidRPr="00A455F0" w:rsidRDefault="008B2E42" w:rsidP="00DE6E1C">
            <w:pPr>
              <w:jc w:val="right"/>
              <w:rPr>
                <w:rFonts w:ascii="Times New Roman" w:hAnsi="Times New Roman"/>
                <w:sz w:val="18"/>
                <w:szCs w:val="18"/>
              </w:rPr>
            </w:pPr>
            <w:r w:rsidRPr="00A455F0">
              <w:rPr>
                <w:rFonts w:ascii="Times New Roman" w:hAnsi="Times New Roman"/>
                <w:sz w:val="18"/>
                <w:szCs w:val="18"/>
              </w:rPr>
              <w:t xml:space="preserve">$20,140,088 </w:t>
            </w:r>
          </w:p>
        </w:tc>
        <w:tc>
          <w:tcPr>
            <w:tcW w:w="352" w:type="pct"/>
            <w:tcBorders>
              <w:top w:val="single" w:sz="2" w:space="0" w:color="auto"/>
              <w:bottom w:val="single" w:sz="2" w:space="0" w:color="auto"/>
            </w:tcBorders>
            <w:shd w:val="clear" w:color="000000" w:fill="FFFFFF"/>
            <w:noWrap/>
            <w:vAlign w:val="center"/>
            <w:hideMark/>
          </w:tcPr>
          <w:p w14:paraId="66A50239" w14:textId="77777777" w:rsidR="008B2E42" w:rsidRPr="00A455F0" w:rsidRDefault="008B2E42" w:rsidP="00AF6F46">
            <w:pPr>
              <w:rPr>
                <w:rFonts w:ascii="Times New Roman" w:hAnsi="Times New Roman"/>
                <w:sz w:val="18"/>
                <w:szCs w:val="18"/>
              </w:rPr>
            </w:pPr>
            <w:r>
              <w:rPr>
                <w:rFonts w:ascii="Times New Roman" w:hAnsi="Times New Roman"/>
                <w:sz w:val="18"/>
                <w:szCs w:val="18"/>
              </w:rPr>
              <w:t xml:space="preserve">     </w:t>
            </w:r>
            <w:r w:rsidRPr="00A455F0">
              <w:rPr>
                <w:rFonts w:ascii="Times New Roman" w:hAnsi="Times New Roman"/>
                <w:sz w:val="18"/>
                <w:szCs w:val="18"/>
              </w:rPr>
              <w:t>35.90%</w:t>
            </w:r>
          </w:p>
        </w:tc>
      </w:tr>
      <w:tr w:rsidR="002105AB" w:rsidRPr="00827B75" w14:paraId="7C9774BC" w14:textId="77777777" w:rsidTr="00E43CC8">
        <w:trPr>
          <w:cantSplit/>
          <w:trHeight w:val="300"/>
        </w:trPr>
        <w:tc>
          <w:tcPr>
            <w:tcW w:w="1659" w:type="pct"/>
            <w:tcBorders>
              <w:top w:val="single" w:sz="2" w:space="0" w:color="auto"/>
              <w:bottom w:val="single" w:sz="2" w:space="0" w:color="auto"/>
            </w:tcBorders>
            <w:shd w:val="clear" w:color="000000" w:fill="FFFFFF"/>
            <w:noWrap/>
            <w:vAlign w:val="center"/>
            <w:hideMark/>
          </w:tcPr>
          <w:p w14:paraId="0BD81835" w14:textId="77777777" w:rsidR="008B2E42" w:rsidRPr="00A455F0" w:rsidRDefault="008B2E42" w:rsidP="00AF6F46">
            <w:pPr>
              <w:tabs>
                <w:tab w:val="left" w:pos="3315"/>
              </w:tabs>
              <w:ind w:firstLineChars="100" w:firstLine="180"/>
              <w:rPr>
                <w:rFonts w:ascii="Times New Roman" w:hAnsi="Times New Roman"/>
                <w:sz w:val="18"/>
                <w:szCs w:val="18"/>
              </w:rPr>
            </w:pPr>
            <w:r w:rsidRPr="00A455F0">
              <w:rPr>
                <w:rFonts w:ascii="Times New Roman" w:hAnsi="Times New Roman"/>
                <w:sz w:val="18"/>
                <w:szCs w:val="18"/>
              </w:rPr>
              <w:t>Other Variable Expenses</w:t>
            </w:r>
          </w:p>
        </w:tc>
        <w:tc>
          <w:tcPr>
            <w:tcW w:w="87" w:type="pct"/>
            <w:tcBorders>
              <w:top w:val="single" w:sz="2" w:space="0" w:color="auto"/>
              <w:bottom w:val="single" w:sz="2" w:space="0" w:color="auto"/>
            </w:tcBorders>
            <w:shd w:val="clear" w:color="000000" w:fill="FFFFFF"/>
            <w:noWrap/>
            <w:vAlign w:val="center"/>
            <w:hideMark/>
          </w:tcPr>
          <w:p w14:paraId="7C25717B" w14:textId="77777777" w:rsidR="008B2E42" w:rsidRPr="00A455F0" w:rsidRDefault="008B2E42" w:rsidP="00AF6F46">
            <w:pPr>
              <w:tabs>
                <w:tab w:val="left" w:pos="3315"/>
              </w:tabs>
              <w:ind w:firstLineChars="100" w:firstLine="180"/>
              <w:rPr>
                <w:rFonts w:ascii="Times New Roman" w:hAnsi="Times New Roman"/>
                <w:sz w:val="18"/>
                <w:szCs w:val="18"/>
              </w:rPr>
            </w:pPr>
            <w:r w:rsidRPr="00A455F0">
              <w:rPr>
                <w:rFonts w:ascii="Times New Roman" w:hAnsi="Times New Roman"/>
                <w:sz w:val="18"/>
                <w:szCs w:val="18"/>
              </w:rPr>
              <w:t> </w:t>
            </w:r>
          </w:p>
        </w:tc>
        <w:tc>
          <w:tcPr>
            <w:tcW w:w="367" w:type="pct"/>
            <w:tcBorders>
              <w:top w:val="single" w:sz="2" w:space="0" w:color="auto"/>
              <w:bottom w:val="single" w:sz="2" w:space="0" w:color="auto"/>
            </w:tcBorders>
            <w:shd w:val="clear" w:color="000000" w:fill="FFFFFF"/>
            <w:noWrap/>
            <w:vAlign w:val="center"/>
            <w:hideMark/>
          </w:tcPr>
          <w:p w14:paraId="437F7FC8" w14:textId="77777777" w:rsidR="008B2E42" w:rsidRPr="00A455F0" w:rsidRDefault="008B2E42" w:rsidP="00DE6E1C">
            <w:pPr>
              <w:jc w:val="right"/>
              <w:rPr>
                <w:rFonts w:ascii="Times New Roman" w:hAnsi="Times New Roman"/>
                <w:sz w:val="18"/>
                <w:szCs w:val="18"/>
              </w:rPr>
            </w:pPr>
            <w:r w:rsidRPr="00A455F0">
              <w:rPr>
                <w:rFonts w:ascii="Times New Roman" w:hAnsi="Times New Roman"/>
                <w:sz w:val="18"/>
                <w:szCs w:val="18"/>
              </w:rPr>
              <w:t xml:space="preserve">$2,252,878 </w:t>
            </w:r>
          </w:p>
        </w:tc>
        <w:tc>
          <w:tcPr>
            <w:tcW w:w="264" w:type="pct"/>
            <w:tcBorders>
              <w:top w:val="single" w:sz="2" w:space="0" w:color="auto"/>
              <w:bottom w:val="single" w:sz="2" w:space="0" w:color="auto"/>
            </w:tcBorders>
            <w:shd w:val="clear" w:color="000000" w:fill="FFFFFF"/>
            <w:noWrap/>
            <w:vAlign w:val="center"/>
            <w:hideMark/>
          </w:tcPr>
          <w:p w14:paraId="0D55FE7D" w14:textId="77777777" w:rsidR="008B2E42" w:rsidRPr="00A455F0" w:rsidRDefault="008B2E42" w:rsidP="00DE6E1C">
            <w:pPr>
              <w:jc w:val="right"/>
              <w:rPr>
                <w:rFonts w:ascii="Times New Roman" w:hAnsi="Times New Roman"/>
                <w:sz w:val="18"/>
                <w:szCs w:val="18"/>
              </w:rPr>
            </w:pPr>
            <w:r w:rsidRPr="00A455F0">
              <w:rPr>
                <w:rFonts w:ascii="Times New Roman" w:hAnsi="Times New Roman"/>
                <w:sz w:val="18"/>
                <w:szCs w:val="18"/>
              </w:rPr>
              <w:t>5.37%</w:t>
            </w:r>
          </w:p>
        </w:tc>
        <w:tc>
          <w:tcPr>
            <w:tcW w:w="367" w:type="pct"/>
            <w:tcBorders>
              <w:top w:val="single" w:sz="2" w:space="0" w:color="auto"/>
              <w:bottom w:val="single" w:sz="2" w:space="0" w:color="auto"/>
            </w:tcBorders>
            <w:shd w:val="clear" w:color="000000" w:fill="FFFFFF"/>
            <w:noWrap/>
            <w:vAlign w:val="center"/>
            <w:hideMark/>
          </w:tcPr>
          <w:p w14:paraId="3710CB4A" w14:textId="77777777" w:rsidR="008B2E42" w:rsidRPr="00A455F0" w:rsidRDefault="008B2E42" w:rsidP="00DE6E1C">
            <w:pPr>
              <w:jc w:val="right"/>
              <w:rPr>
                <w:rFonts w:ascii="Times New Roman" w:hAnsi="Times New Roman"/>
                <w:sz w:val="18"/>
                <w:szCs w:val="18"/>
              </w:rPr>
            </w:pPr>
            <w:r w:rsidRPr="00A455F0">
              <w:rPr>
                <w:rFonts w:ascii="Times New Roman" w:hAnsi="Times New Roman"/>
                <w:sz w:val="18"/>
                <w:szCs w:val="18"/>
              </w:rPr>
              <w:t xml:space="preserve">$2,425,575 </w:t>
            </w:r>
          </w:p>
        </w:tc>
        <w:tc>
          <w:tcPr>
            <w:tcW w:w="267" w:type="pct"/>
            <w:tcBorders>
              <w:top w:val="single" w:sz="2" w:space="0" w:color="auto"/>
              <w:bottom w:val="single" w:sz="2" w:space="0" w:color="auto"/>
            </w:tcBorders>
            <w:shd w:val="clear" w:color="000000" w:fill="FFFFFF"/>
            <w:noWrap/>
            <w:vAlign w:val="center"/>
            <w:hideMark/>
          </w:tcPr>
          <w:p w14:paraId="1A53B379" w14:textId="77777777" w:rsidR="008B2E42" w:rsidRPr="00A455F0" w:rsidRDefault="008B2E42" w:rsidP="00DE6E1C">
            <w:pPr>
              <w:jc w:val="right"/>
              <w:rPr>
                <w:rFonts w:ascii="Times New Roman" w:hAnsi="Times New Roman"/>
                <w:sz w:val="18"/>
                <w:szCs w:val="18"/>
              </w:rPr>
            </w:pPr>
            <w:r w:rsidRPr="00A455F0">
              <w:rPr>
                <w:rFonts w:ascii="Times New Roman" w:hAnsi="Times New Roman"/>
                <w:sz w:val="18"/>
                <w:szCs w:val="18"/>
              </w:rPr>
              <w:t>5.37%</w:t>
            </w:r>
          </w:p>
        </w:tc>
        <w:tc>
          <w:tcPr>
            <w:tcW w:w="367" w:type="pct"/>
            <w:tcBorders>
              <w:top w:val="single" w:sz="2" w:space="0" w:color="auto"/>
              <w:bottom w:val="single" w:sz="2" w:space="0" w:color="auto"/>
            </w:tcBorders>
            <w:shd w:val="clear" w:color="000000" w:fill="FFFFFF"/>
            <w:noWrap/>
            <w:vAlign w:val="center"/>
            <w:hideMark/>
          </w:tcPr>
          <w:p w14:paraId="1818D76A" w14:textId="77777777" w:rsidR="008B2E42" w:rsidRPr="00A455F0" w:rsidRDefault="008B2E42" w:rsidP="00DE6E1C">
            <w:pPr>
              <w:jc w:val="right"/>
              <w:rPr>
                <w:rFonts w:ascii="Times New Roman" w:hAnsi="Times New Roman"/>
                <w:sz w:val="18"/>
                <w:szCs w:val="18"/>
              </w:rPr>
            </w:pPr>
            <w:r w:rsidRPr="00A455F0">
              <w:rPr>
                <w:rFonts w:ascii="Times New Roman" w:hAnsi="Times New Roman"/>
                <w:sz w:val="18"/>
                <w:szCs w:val="18"/>
              </w:rPr>
              <w:t xml:space="preserve">$2,614,018 </w:t>
            </w:r>
          </w:p>
        </w:tc>
        <w:tc>
          <w:tcPr>
            <w:tcW w:w="267" w:type="pct"/>
            <w:tcBorders>
              <w:top w:val="single" w:sz="2" w:space="0" w:color="auto"/>
              <w:bottom w:val="single" w:sz="2" w:space="0" w:color="auto"/>
            </w:tcBorders>
            <w:shd w:val="clear" w:color="000000" w:fill="FFFFFF"/>
            <w:noWrap/>
            <w:vAlign w:val="center"/>
            <w:hideMark/>
          </w:tcPr>
          <w:p w14:paraId="0C0CC8AA" w14:textId="77777777" w:rsidR="008B2E42" w:rsidRPr="00A455F0" w:rsidRDefault="008B2E42" w:rsidP="00DE6E1C">
            <w:pPr>
              <w:jc w:val="right"/>
              <w:rPr>
                <w:rFonts w:ascii="Times New Roman" w:hAnsi="Times New Roman"/>
                <w:sz w:val="18"/>
                <w:szCs w:val="18"/>
              </w:rPr>
            </w:pPr>
            <w:r w:rsidRPr="00A455F0">
              <w:rPr>
                <w:rFonts w:ascii="Times New Roman" w:hAnsi="Times New Roman"/>
                <w:sz w:val="18"/>
                <w:szCs w:val="18"/>
              </w:rPr>
              <w:t>5.37%</w:t>
            </w:r>
          </w:p>
        </w:tc>
        <w:tc>
          <w:tcPr>
            <w:tcW w:w="367" w:type="pct"/>
            <w:tcBorders>
              <w:top w:val="single" w:sz="2" w:space="0" w:color="auto"/>
              <w:bottom w:val="single" w:sz="2" w:space="0" w:color="auto"/>
            </w:tcBorders>
            <w:shd w:val="clear" w:color="000000" w:fill="FFFFFF"/>
            <w:noWrap/>
            <w:vAlign w:val="center"/>
            <w:hideMark/>
          </w:tcPr>
          <w:p w14:paraId="617ADC5A" w14:textId="77777777" w:rsidR="008B2E42" w:rsidRPr="00A455F0" w:rsidRDefault="008B2E42" w:rsidP="00DE6E1C">
            <w:pPr>
              <w:jc w:val="right"/>
              <w:rPr>
                <w:rFonts w:ascii="Times New Roman" w:hAnsi="Times New Roman"/>
                <w:sz w:val="18"/>
                <w:szCs w:val="18"/>
              </w:rPr>
            </w:pPr>
            <w:r w:rsidRPr="00A455F0">
              <w:rPr>
                <w:rFonts w:ascii="Times New Roman" w:hAnsi="Times New Roman"/>
                <w:sz w:val="18"/>
                <w:szCs w:val="18"/>
              </w:rPr>
              <w:t xml:space="preserve">$2,810,372 </w:t>
            </w:r>
          </w:p>
        </w:tc>
        <w:tc>
          <w:tcPr>
            <w:tcW w:w="268" w:type="pct"/>
            <w:tcBorders>
              <w:top w:val="single" w:sz="2" w:space="0" w:color="auto"/>
              <w:bottom w:val="single" w:sz="2" w:space="0" w:color="auto"/>
            </w:tcBorders>
            <w:shd w:val="clear" w:color="000000" w:fill="FFFFFF"/>
            <w:noWrap/>
            <w:vAlign w:val="center"/>
            <w:hideMark/>
          </w:tcPr>
          <w:p w14:paraId="4164442F" w14:textId="77777777" w:rsidR="008B2E42" w:rsidRPr="00A455F0" w:rsidRDefault="008B2E42" w:rsidP="00DE6E1C">
            <w:pPr>
              <w:jc w:val="right"/>
              <w:rPr>
                <w:rFonts w:ascii="Times New Roman" w:hAnsi="Times New Roman"/>
                <w:sz w:val="18"/>
                <w:szCs w:val="18"/>
              </w:rPr>
            </w:pPr>
            <w:r w:rsidRPr="00A455F0">
              <w:rPr>
                <w:rFonts w:ascii="Times New Roman" w:hAnsi="Times New Roman"/>
                <w:sz w:val="18"/>
                <w:szCs w:val="18"/>
              </w:rPr>
              <w:t>5.37%</w:t>
            </w:r>
          </w:p>
        </w:tc>
        <w:tc>
          <w:tcPr>
            <w:tcW w:w="367" w:type="pct"/>
            <w:tcBorders>
              <w:top w:val="single" w:sz="2" w:space="0" w:color="auto"/>
              <w:bottom w:val="single" w:sz="2" w:space="0" w:color="auto"/>
            </w:tcBorders>
            <w:shd w:val="clear" w:color="000000" w:fill="FFFFFF"/>
            <w:noWrap/>
            <w:vAlign w:val="center"/>
            <w:hideMark/>
          </w:tcPr>
          <w:p w14:paraId="3E989099" w14:textId="77777777" w:rsidR="008B2E42" w:rsidRPr="00A455F0" w:rsidRDefault="008B2E42" w:rsidP="00DE6E1C">
            <w:pPr>
              <w:jc w:val="right"/>
              <w:rPr>
                <w:rFonts w:ascii="Times New Roman" w:hAnsi="Times New Roman"/>
                <w:sz w:val="18"/>
                <w:szCs w:val="18"/>
              </w:rPr>
            </w:pPr>
            <w:r w:rsidRPr="00A455F0">
              <w:rPr>
                <w:rFonts w:ascii="Times New Roman" w:hAnsi="Times New Roman"/>
                <w:sz w:val="18"/>
                <w:szCs w:val="18"/>
              </w:rPr>
              <w:t xml:space="preserve">$3,015,047 </w:t>
            </w:r>
          </w:p>
        </w:tc>
        <w:tc>
          <w:tcPr>
            <w:tcW w:w="352" w:type="pct"/>
            <w:tcBorders>
              <w:top w:val="single" w:sz="2" w:space="0" w:color="auto"/>
              <w:bottom w:val="single" w:sz="2" w:space="0" w:color="auto"/>
            </w:tcBorders>
            <w:shd w:val="clear" w:color="000000" w:fill="FFFFFF"/>
            <w:noWrap/>
            <w:vAlign w:val="center"/>
            <w:hideMark/>
          </w:tcPr>
          <w:p w14:paraId="7DF00908" w14:textId="77777777" w:rsidR="008B2E42" w:rsidRPr="00A455F0" w:rsidRDefault="008B2E42" w:rsidP="00AF6F46">
            <w:pPr>
              <w:rPr>
                <w:rFonts w:ascii="Times New Roman" w:hAnsi="Times New Roman"/>
                <w:sz w:val="18"/>
                <w:szCs w:val="18"/>
              </w:rPr>
            </w:pPr>
            <w:r>
              <w:rPr>
                <w:rFonts w:ascii="Times New Roman" w:hAnsi="Times New Roman"/>
                <w:sz w:val="18"/>
                <w:szCs w:val="18"/>
              </w:rPr>
              <w:t xml:space="preserve">       </w:t>
            </w:r>
            <w:r w:rsidRPr="00A455F0">
              <w:rPr>
                <w:rFonts w:ascii="Times New Roman" w:hAnsi="Times New Roman"/>
                <w:sz w:val="18"/>
                <w:szCs w:val="18"/>
              </w:rPr>
              <w:t>5.37%</w:t>
            </w:r>
          </w:p>
        </w:tc>
      </w:tr>
      <w:tr w:rsidR="002105AB" w:rsidRPr="00827B75" w14:paraId="5CE0FFB2" w14:textId="77777777" w:rsidTr="00E43CC8">
        <w:trPr>
          <w:cantSplit/>
          <w:trHeight w:val="300"/>
        </w:trPr>
        <w:tc>
          <w:tcPr>
            <w:tcW w:w="1659" w:type="pct"/>
            <w:tcBorders>
              <w:top w:val="single" w:sz="2" w:space="0" w:color="auto"/>
              <w:bottom w:val="single" w:sz="2" w:space="0" w:color="auto"/>
            </w:tcBorders>
            <w:shd w:val="clear" w:color="000000" w:fill="FFFFFF"/>
            <w:noWrap/>
            <w:vAlign w:val="center"/>
            <w:hideMark/>
          </w:tcPr>
          <w:p w14:paraId="596641D0" w14:textId="77777777" w:rsidR="008B2E42" w:rsidRPr="00A455F0" w:rsidRDefault="008B2E42" w:rsidP="00AF6F46">
            <w:pPr>
              <w:tabs>
                <w:tab w:val="left" w:pos="3315"/>
              </w:tabs>
              <w:ind w:firstLineChars="100" w:firstLine="180"/>
              <w:rPr>
                <w:rFonts w:ascii="Times New Roman" w:hAnsi="Times New Roman"/>
                <w:sz w:val="18"/>
                <w:szCs w:val="18"/>
              </w:rPr>
            </w:pPr>
            <w:r w:rsidRPr="00A455F0">
              <w:rPr>
                <w:rFonts w:ascii="Times New Roman" w:hAnsi="Times New Roman"/>
                <w:sz w:val="18"/>
                <w:szCs w:val="18"/>
              </w:rPr>
              <w:t>Building Rent, CAM, and Utilities (Fixed Expenses)</w:t>
            </w:r>
          </w:p>
        </w:tc>
        <w:tc>
          <w:tcPr>
            <w:tcW w:w="87" w:type="pct"/>
            <w:tcBorders>
              <w:top w:val="single" w:sz="2" w:space="0" w:color="auto"/>
              <w:bottom w:val="single" w:sz="2" w:space="0" w:color="auto"/>
            </w:tcBorders>
            <w:shd w:val="clear" w:color="000000" w:fill="FFFFFF"/>
            <w:noWrap/>
            <w:vAlign w:val="center"/>
            <w:hideMark/>
          </w:tcPr>
          <w:p w14:paraId="42F7A998" w14:textId="77777777" w:rsidR="008B2E42" w:rsidRPr="00A455F0" w:rsidRDefault="008B2E42" w:rsidP="00AF6F46">
            <w:pPr>
              <w:tabs>
                <w:tab w:val="left" w:pos="3315"/>
              </w:tabs>
              <w:ind w:firstLineChars="100" w:firstLine="180"/>
              <w:rPr>
                <w:rFonts w:ascii="Times New Roman" w:hAnsi="Times New Roman"/>
                <w:sz w:val="18"/>
                <w:szCs w:val="18"/>
              </w:rPr>
            </w:pPr>
            <w:r w:rsidRPr="00A455F0">
              <w:rPr>
                <w:rFonts w:ascii="Times New Roman" w:hAnsi="Times New Roman"/>
                <w:sz w:val="18"/>
                <w:szCs w:val="18"/>
              </w:rPr>
              <w:t> </w:t>
            </w:r>
          </w:p>
        </w:tc>
        <w:tc>
          <w:tcPr>
            <w:tcW w:w="367" w:type="pct"/>
            <w:tcBorders>
              <w:top w:val="single" w:sz="2" w:space="0" w:color="auto"/>
              <w:bottom w:val="single" w:sz="2" w:space="0" w:color="auto"/>
            </w:tcBorders>
            <w:shd w:val="clear" w:color="000000" w:fill="FFFFFF"/>
            <w:noWrap/>
            <w:vAlign w:val="center"/>
            <w:hideMark/>
          </w:tcPr>
          <w:p w14:paraId="32320EAD" w14:textId="77777777" w:rsidR="008B2E42" w:rsidRPr="00A455F0" w:rsidRDefault="008B2E42" w:rsidP="00DE6E1C">
            <w:pPr>
              <w:jc w:val="right"/>
              <w:rPr>
                <w:rFonts w:ascii="Times New Roman" w:hAnsi="Times New Roman"/>
                <w:sz w:val="18"/>
                <w:szCs w:val="18"/>
              </w:rPr>
            </w:pPr>
            <w:r w:rsidRPr="00A455F0">
              <w:rPr>
                <w:rFonts w:ascii="Times New Roman" w:hAnsi="Times New Roman"/>
                <w:sz w:val="18"/>
                <w:szCs w:val="18"/>
              </w:rPr>
              <w:t>$</w:t>
            </w:r>
            <w:r w:rsidR="00B71CB3">
              <w:rPr>
                <w:rFonts w:ascii="Times New Roman" w:hAnsi="Times New Roman"/>
                <w:sz w:val="18"/>
                <w:szCs w:val="18"/>
              </w:rPr>
              <w:t>3,767,513</w:t>
            </w:r>
          </w:p>
        </w:tc>
        <w:tc>
          <w:tcPr>
            <w:tcW w:w="264" w:type="pct"/>
            <w:tcBorders>
              <w:top w:val="single" w:sz="2" w:space="0" w:color="auto"/>
              <w:bottom w:val="single" w:sz="2" w:space="0" w:color="auto"/>
            </w:tcBorders>
            <w:shd w:val="clear" w:color="000000" w:fill="FFFFFF"/>
            <w:noWrap/>
            <w:vAlign w:val="center"/>
            <w:hideMark/>
          </w:tcPr>
          <w:p w14:paraId="4569D040" w14:textId="77777777" w:rsidR="008B2E42" w:rsidRPr="00A455F0" w:rsidRDefault="00452B25" w:rsidP="00DE6E1C">
            <w:pPr>
              <w:jc w:val="right"/>
              <w:rPr>
                <w:rFonts w:ascii="Times New Roman" w:hAnsi="Times New Roman"/>
                <w:sz w:val="18"/>
                <w:szCs w:val="18"/>
              </w:rPr>
            </w:pPr>
            <w:r>
              <w:rPr>
                <w:rFonts w:ascii="Times New Roman" w:hAnsi="Times New Roman"/>
                <w:sz w:val="18"/>
                <w:szCs w:val="18"/>
              </w:rPr>
              <w:t>8.99</w:t>
            </w:r>
            <w:r w:rsidR="008B2E42" w:rsidRPr="00A455F0">
              <w:rPr>
                <w:rFonts w:ascii="Times New Roman" w:hAnsi="Times New Roman"/>
                <w:sz w:val="18"/>
                <w:szCs w:val="18"/>
              </w:rPr>
              <w:t>%</w:t>
            </w:r>
          </w:p>
        </w:tc>
        <w:tc>
          <w:tcPr>
            <w:tcW w:w="367" w:type="pct"/>
            <w:tcBorders>
              <w:top w:val="single" w:sz="2" w:space="0" w:color="auto"/>
              <w:bottom w:val="single" w:sz="2" w:space="0" w:color="auto"/>
            </w:tcBorders>
            <w:shd w:val="clear" w:color="000000" w:fill="FFFFFF"/>
            <w:noWrap/>
            <w:vAlign w:val="center"/>
            <w:hideMark/>
          </w:tcPr>
          <w:p w14:paraId="0766F315" w14:textId="77777777" w:rsidR="008B2E42" w:rsidRPr="00A455F0" w:rsidRDefault="008B2E42" w:rsidP="00DE6E1C">
            <w:pPr>
              <w:jc w:val="right"/>
              <w:rPr>
                <w:rFonts w:ascii="Times New Roman" w:hAnsi="Times New Roman"/>
                <w:sz w:val="18"/>
                <w:szCs w:val="18"/>
              </w:rPr>
            </w:pPr>
            <w:r w:rsidRPr="00A455F0">
              <w:rPr>
                <w:rFonts w:ascii="Times New Roman" w:hAnsi="Times New Roman"/>
                <w:sz w:val="18"/>
                <w:szCs w:val="18"/>
              </w:rPr>
              <w:t>$</w:t>
            </w:r>
            <w:r w:rsidR="00452B25">
              <w:rPr>
                <w:rFonts w:ascii="Times New Roman" w:hAnsi="Times New Roman"/>
                <w:sz w:val="18"/>
                <w:szCs w:val="18"/>
              </w:rPr>
              <w:t>3,875,125</w:t>
            </w:r>
            <w:r w:rsidRPr="00A455F0">
              <w:rPr>
                <w:rFonts w:ascii="Times New Roman" w:hAnsi="Times New Roman"/>
                <w:sz w:val="18"/>
                <w:szCs w:val="18"/>
              </w:rPr>
              <w:t xml:space="preserve"> </w:t>
            </w:r>
          </w:p>
        </w:tc>
        <w:tc>
          <w:tcPr>
            <w:tcW w:w="267" w:type="pct"/>
            <w:tcBorders>
              <w:top w:val="single" w:sz="2" w:space="0" w:color="auto"/>
              <w:bottom w:val="single" w:sz="2" w:space="0" w:color="auto"/>
            </w:tcBorders>
            <w:shd w:val="clear" w:color="000000" w:fill="FFFFFF"/>
            <w:noWrap/>
            <w:vAlign w:val="center"/>
            <w:hideMark/>
          </w:tcPr>
          <w:p w14:paraId="13881937" w14:textId="77777777" w:rsidR="008B2E42" w:rsidRPr="00A455F0" w:rsidRDefault="00824D38" w:rsidP="00DE6E1C">
            <w:pPr>
              <w:jc w:val="right"/>
              <w:rPr>
                <w:rFonts w:ascii="Times New Roman" w:hAnsi="Times New Roman"/>
                <w:sz w:val="18"/>
                <w:szCs w:val="18"/>
              </w:rPr>
            </w:pPr>
            <w:r>
              <w:rPr>
                <w:rFonts w:ascii="Times New Roman" w:hAnsi="Times New Roman"/>
                <w:sz w:val="18"/>
                <w:szCs w:val="18"/>
              </w:rPr>
              <w:t>8.59</w:t>
            </w:r>
            <w:r w:rsidR="008B2E42" w:rsidRPr="00A455F0">
              <w:rPr>
                <w:rFonts w:ascii="Times New Roman" w:hAnsi="Times New Roman"/>
                <w:sz w:val="18"/>
                <w:szCs w:val="18"/>
              </w:rPr>
              <w:t>%</w:t>
            </w:r>
          </w:p>
        </w:tc>
        <w:tc>
          <w:tcPr>
            <w:tcW w:w="367" w:type="pct"/>
            <w:tcBorders>
              <w:top w:val="single" w:sz="2" w:space="0" w:color="auto"/>
              <w:bottom w:val="single" w:sz="2" w:space="0" w:color="auto"/>
            </w:tcBorders>
            <w:shd w:val="clear" w:color="000000" w:fill="FFFFFF"/>
            <w:noWrap/>
            <w:vAlign w:val="center"/>
            <w:hideMark/>
          </w:tcPr>
          <w:p w14:paraId="673C0960" w14:textId="77777777" w:rsidR="008B2E42" w:rsidRPr="00A455F0" w:rsidRDefault="008B2E42" w:rsidP="00DE6E1C">
            <w:pPr>
              <w:jc w:val="right"/>
              <w:rPr>
                <w:rFonts w:ascii="Times New Roman" w:hAnsi="Times New Roman"/>
                <w:sz w:val="18"/>
                <w:szCs w:val="18"/>
              </w:rPr>
            </w:pPr>
            <w:r w:rsidRPr="00A455F0">
              <w:rPr>
                <w:rFonts w:ascii="Times New Roman" w:hAnsi="Times New Roman"/>
                <w:sz w:val="18"/>
                <w:szCs w:val="18"/>
              </w:rPr>
              <w:t>$</w:t>
            </w:r>
            <w:r w:rsidR="00452B25">
              <w:rPr>
                <w:rFonts w:ascii="Times New Roman" w:hAnsi="Times New Roman"/>
                <w:sz w:val="18"/>
                <w:szCs w:val="18"/>
              </w:rPr>
              <w:t>3,985,858</w:t>
            </w:r>
            <w:r w:rsidRPr="00A455F0">
              <w:rPr>
                <w:rFonts w:ascii="Times New Roman" w:hAnsi="Times New Roman"/>
                <w:sz w:val="18"/>
                <w:szCs w:val="18"/>
              </w:rPr>
              <w:t xml:space="preserve"> </w:t>
            </w:r>
          </w:p>
        </w:tc>
        <w:tc>
          <w:tcPr>
            <w:tcW w:w="267" w:type="pct"/>
            <w:tcBorders>
              <w:top w:val="single" w:sz="2" w:space="0" w:color="auto"/>
              <w:bottom w:val="single" w:sz="2" w:space="0" w:color="auto"/>
            </w:tcBorders>
            <w:shd w:val="clear" w:color="000000" w:fill="FFFFFF"/>
            <w:noWrap/>
            <w:vAlign w:val="center"/>
            <w:hideMark/>
          </w:tcPr>
          <w:p w14:paraId="0540A323" w14:textId="77777777" w:rsidR="008B2E42" w:rsidRPr="00A455F0" w:rsidRDefault="00824D38" w:rsidP="00DE6E1C">
            <w:pPr>
              <w:jc w:val="right"/>
              <w:rPr>
                <w:rFonts w:ascii="Times New Roman" w:hAnsi="Times New Roman"/>
                <w:sz w:val="18"/>
                <w:szCs w:val="18"/>
              </w:rPr>
            </w:pPr>
            <w:r>
              <w:rPr>
                <w:rFonts w:ascii="Times New Roman" w:hAnsi="Times New Roman"/>
                <w:sz w:val="18"/>
                <w:szCs w:val="18"/>
              </w:rPr>
              <w:t>8.18</w:t>
            </w:r>
            <w:r w:rsidR="008B2E42" w:rsidRPr="00A455F0">
              <w:rPr>
                <w:rFonts w:ascii="Times New Roman" w:hAnsi="Times New Roman"/>
                <w:sz w:val="18"/>
                <w:szCs w:val="18"/>
              </w:rPr>
              <w:t>%</w:t>
            </w:r>
          </w:p>
        </w:tc>
        <w:tc>
          <w:tcPr>
            <w:tcW w:w="367" w:type="pct"/>
            <w:tcBorders>
              <w:top w:val="single" w:sz="2" w:space="0" w:color="auto"/>
              <w:bottom w:val="single" w:sz="2" w:space="0" w:color="auto"/>
            </w:tcBorders>
            <w:shd w:val="clear" w:color="000000" w:fill="FFFFFF"/>
            <w:noWrap/>
            <w:vAlign w:val="center"/>
            <w:hideMark/>
          </w:tcPr>
          <w:p w14:paraId="1BBF217A" w14:textId="77777777" w:rsidR="008B2E42" w:rsidRPr="00A455F0" w:rsidRDefault="008B2E42" w:rsidP="00DE6E1C">
            <w:pPr>
              <w:jc w:val="right"/>
              <w:rPr>
                <w:rFonts w:ascii="Times New Roman" w:hAnsi="Times New Roman"/>
                <w:sz w:val="18"/>
                <w:szCs w:val="18"/>
              </w:rPr>
            </w:pPr>
            <w:r w:rsidRPr="00A455F0">
              <w:rPr>
                <w:rFonts w:ascii="Times New Roman" w:hAnsi="Times New Roman"/>
                <w:sz w:val="18"/>
                <w:szCs w:val="18"/>
              </w:rPr>
              <w:t>$</w:t>
            </w:r>
            <w:r w:rsidR="00452B25">
              <w:rPr>
                <w:rFonts w:ascii="Times New Roman" w:hAnsi="Times New Roman"/>
                <w:sz w:val="18"/>
                <w:szCs w:val="18"/>
              </w:rPr>
              <w:t>4,099,803</w:t>
            </w:r>
            <w:r w:rsidRPr="00A455F0">
              <w:rPr>
                <w:rFonts w:ascii="Times New Roman" w:hAnsi="Times New Roman"/>
                <w:sz w:val="18"/>
                <w:szCs w:val="18"/>
              </w:rPr>
              <w:t xml:space="preserve"> </w:t>
            </w:r>
          </w:p>
        </w:tc>
        <w:tc>
          <w:tcPr>
            <w:tcW w:w="268" w:type="pct"/>
            <w:tcBorders>
              <w:top w:val="single" w:sz="2" w:space="0" w:color="auto"/>
              <w:bottom w:val="single" w:sz="2" w:space="0" w:color="auto"/>
            </w:tcBorders>
            <w:shd w:val="clear" w:color="000000" w:fill="FFFFFF"/>
            <w:noWrap/>
            <w:vAlign w:val="center"/>
            <w:hideMark/>
          </w:tcPr>
          <w:p w14:paraId="0E73FBCC" w14:textId="77777777" w:rsidR="008B2E42" w:rsidRPr="00A455F0" w:rsidRDefault="00824D38" w:rsidP="00DE6E1C">
            <w:pPr>
              <w:jc w:val="right"/>
              <w:rPr>
                <w:rFonts w:ascii="Times New Roman" w:hAnsi="Times New Roman"/>
                <w:sz w:val="18"/>
                <w:szCs w:val="18"/>
              </w:rPr>
            </w:pPr>
            <w:r>
              <w:rPr>
                <w:rFonts w:ascii="Times New Roman" w:hAnsi="Times New Roman"/>
                <w:sz w:val="18"/>
                <w:szCs w:val="18"/>
              </w:rPr>
              <w:t>7.84</w:t>
            </w:r>
            <w:r w:rsidR="008B2E42" w:rsidRPr="00A455F0">
              <w:rPr>
                <w:rFonts w:ascii="Times New Roman" w:hAnsi="Times New Roman"/>
                <w:sz w:val="18"/>
                <w:szCs w:val="18"/>
              </w:rPr>
              <w:t>%</w:t>
            </w:r>
          </w:p>
        </w:tc>
        <w:tc>
          <w:tcPr>
            <w:tcW w:w="367" w:type="pct"/>
            <w:tcBorders>
              <w:top w:val="single" w:sz="2" w:space="0" w:color="auto"/>
              <w:bottom w:val="single" w:sz="2" w:space="0" w:color="auto"/>
            </w:tcBorders>
            <w:shd w:val="clear" w:color="000000" w:fill="FFFFFF"/>
            <w:noWrap/>
            <w:vAlign w:val="center"/>
            <w:hideMark/>
          </w:tcPr>
          <w:p w14:paraId="128F769C" w14:textId="77777777" w:rsidR="008B2E42" w:rsidRPr="00A455F0" w:rsidRDefault="008B2E42" w:rsidP="00DE6E1C">
            <w:pPr>
              <w:jc w:val="right"/>
              <w:rPr>
                <w:rFonts w:ascii="Times New Roman" w:hAnsi="Times New Roman"/>
                <w:sz w:val="18"/>
                <w:szCs w:val="18"/>
              </w:rPr>
            </w:pPr>
            <w:r w:rsidRPr="00A455F0">
              <w:rPr>
                <w:rFonts w:ascii="Times New Roman" w:hAnsi="Times New Roman"/>
                <w:sz w:val="18"/>
                <w:szCs w:val="18"/>
              </w:rPr>
              <w:t>$</w:t>
            </w:r>
            <w:r w:rsidR="00452B25">
              <w:rPr>
                <w:rFonts w:ascii="Times New Roman" w:hAnsi="Times New Roman"/>
                <w:sz w:val="18"/>
                <w:szCs w:val="18"/>
              </w:rPr>
              <w:t>4,217,053</w:t>
            </w:r>
            <w:r w:rsidRPr="00A455F0">
              <w:rPr>
                <w:rFonts w:ascii="Times New Roman" w:hAnsi="Times New Roman"/>
                <w:sz w:val="18"/>
                <w:szCs w:val="18"/>
              </w:rPr>
              <w:t xml:space="preserve"> </w:t>
            </w:r>
          </w:p>
        </w:tc>
        <w:tc>
          <w:tcPr>
            <w:tcW w:w="352" w:type="pct"/>
            <w:tcBorders>
              <w:top w:val="single" w:sz="2" w:space="0" w:color="auto"/>
              <w:bottom w:val="single" w:sz="2" w:space="0" w:color="auto"/>
            </w:tcBorders>
            <w:shd w:val="clear" w:color="000000" w:fill="FFFFFF"/>
            <w:noWrap/>
            <w:vAlign w:val="center"/>
            <w:hideMark/>
          </w:tcPr>
          <w:p w14:paraId="24C60CAD" w14:textId="77777777" w:rsidR="008B2E42" w:rsidRPr="00A455F0" w:rsidRDefault="008B2E42" w:rsidP="00404C97">
            <w:pPr>
              <w:ind w:right="75"/>
              <w:rPr>
                <w:rFonts w:ascii="Times New Roman" w:hAnsi="Times New Roman"/>
                <w:sz w:val="18"/>
                <w:szCs w:val="18"/>
              </w:rPr>
            </w:pPr>
            <w:r>
              <w:rPr>
                <w:rFonts w:ascii="Times New Roman" w:hAnsi="Times New Roman"/>
                <w:sz w:val="18"/>
                <w:szCs w:val="18"/>
              </w:rPr>
              <w:t xml:space="preserve">       </w:t>
            </w:r>
            <w:r w:rsidR="00824D38">
              <w:rPr>
                <w:rFonts w:ascii="Times New Roman" w:hAnsi="Times New Roman"/>
                <w:sz w:val="18"/>
                <w:szCs w:val="18"/>
              </w:rPr>
              <w:t>7.52</w:t>
            </w:r>
            <w:r w:rsidRPr="00A455F0">
              <w:rPr>
                <w:rFonts w:ascii="Times New Roman" w:hAnsi="Times New Roman"/>
                <w:sz w:val="18"/>
                <w:szCs w:val="18"/>
              </w:rPr>
              <w:t>%</w:t>
            </w:r>
          </w:p>
        </w:tc>
      </w:tr>
      <w:tr w:rsidR="00B71CB3" w:rsidRPr="00827B75" w14:paraId="47B0CAB6" w14:textId="77777777" w:rsidTr="00E43CC8">
        <w:trPr>
          <w:cantSplit/>
          <w:trHeight w:val="300"/>
        </w:trPr>
        <w:tc>
          <w:tcPr>
            <w:tcW w:w="1659" w:type="pct"/>
            <w:tcBorders>
              <w:top w:val="single" w:sz="2" w:space="0" w:color="auto"/>
              <w:bottom w:val="single" w:sz="2" w:space="0" w:color="auto"/>
            </w:tcBorders>
            <w:shd w:val="clear" w:color="000000" w:fill="FFFFFF"/>
            <w:noWrap/>
            <w:vAlign w:val="center"/>
          </w:tcPr>
          <w:p w14:paraId="3EBE2801" w14:textId="77777777" w:rsidR="00B71CB3" w:rsidRPr="00A455F0" w:rsidRDefault="00B71CB3" w:rsidP="00AF6F46">
            <w:pPr>
              <w:tabs>
                <w:tab w:val="left" w:pos="3315"/>
              </w:tabs>
              <w:ind w:firstLineChars="100" w:firstLine="180"/>
              <w:rPr>
                <w:rFonts w:ascii="Times New Roman" w:hAnsi="Times New Roman"/>
                <w:sz w:val="18"/>
                <w:szCs w:val="18"/>
              </w:rPr>
            </w:pPr>
            <w:r>
              <w:rPr>
                <w:rFonts w:ascii="Times New Roman" w:hAnsi="Times New Roman"/>
                <w:sz w:val="18"/>
                <w:szCs w:val="18"/>
              </w:rPr>
              <w:t>Additional Tenant Improvement Rent</w:t>
            </w:r>
          </w:p>
        </w:tc>
        <w:tc>
          <w:tcPr>
            <w:tcW w:w="87" w:type="pct"/>
            <w:tcBorders>
              <w:top w:val="single" w:sz="2" w:space="0" w:color="auto"/>
              <w:bottom w:val="single" w:sz="2" w:space="0" w:color="auto"/>
            </w:tcBorders>
            <w:shd w:val="clear" w:color="000000" w:fill="FFFFFF"/>
            <w:noWrap/>
            <w:vAlign w:val="center"/>
          </w:tcPr>
          <w:p w14:paraId="20118E20" w14:textId="77777777" w:rsidR="00B71CB3" w:rsidRPr="00A455F0" w:rsidRDefault="00B71CB3" w:rsidP="00AF6F46">
            <w:pPr>
              <w:tabs>
                <w:tab w:val="left" w:pos="3315"/>
              </w:tabs>
              <w:ind w:firstLineChars="100" w:firstLine="180"/>
              <w:rPr>
                <w:rFonts w:ascii="Times New Roman" w:hAnsi="Times New Roman"/>
                <w:sz w:val="18"/>
                <w:szCs w:val="18"/>
              </w:rPr>
            </w:pPr>
          </w:p>
        </w:tc>
        <w:tc>
          <w:tcPr>
            <w:tcW w:w="367" w:type="pct"/>
            <w:tcBorders>
              <w:top w:val="single" w:sz="2" w:space="0" w:color="auto"/>
              <w:bottom w:val="single" w:sz="2" w:space="0" w:color="auto"/>
            </w:tcBorders>
            <w:shd w:val="clear" w:color="auto" w:fill="auto"/>
            <w:noWrap/>
            <w:vAlign w:val="center"/>
          </w:tcPr>
          <w:p w14:paraId="5C861A58" w14:textId="77777777" w:rsidR="00B71CB3" w:rsidRPr="00A455F0" w:rsidRDefault="00B71CB3" w:rsidP="00DE6E1C">
            <w:pPr>
              <w:jc w:val="right"/>
              <w:rPr>
                <w:rFonts w:ascii="Times New Roman" w:hAnsi="Times New Roman"/>
                <w:sz w:val="18"/>
                <w:szCs w:val="18"/>
              </w:rPr>
            </w:pPr>
            <w:r>
              <w:rPr>
                <w:rFonts w:ascii="Times New Roman" w:hAnsi="Times New Roman"/>
                <w:sz w:val="18"/>
                <w:szCs w:val="18"/>
              </w:rPr>
              <w:t>$2,099,772</w:t>
            </w:r>
          </w:p>
        </w:tc>
        <w:tc>
          <w:tcPr>
            <w:tcW w:w="264" w:type="pct"/>
            <w:tcBorders>
              <w:top w:val="single" w:sz="2" w:space="0" w:color="auto"/>
              <w:bottom w:val="single" w:sz="2" w:space="0" w:color="auto"/>
            </w:tcBorders>
            <w:shd w:val="clear" w:color="000000" w:fill="FFFFFF"/>
            <w:noWrap/>
            <w:vAlign w:val="center"/>
          </w:tcPr>
          <w:p w14:paraId="1FAD8F11" w14:textId="77777777" w:rsidR="00B71CB3" w:rsidRPr="00A455F0" w:rsidRDefault="00452B25" w:rsidP="00DE6E1C">
            <w:pPr>
              <w:jc w:val="right"/>
              <w:rPr>
                <w:rFonts w:ascii="Times New Roman" w:hAnsi="Times New Roman"/>
                <w:sz w:val="18"/>
                <w:szCs w:val="18"/>
              </w:rPr>
            </w:pPr>
            <w:r>
              <w:rPr>
                <w:rFonts w:ascii="Times New Roman" w:hAnsi="Times New Roman"/>
                <w:sz w:val="18"/>
                <w:szCs w:val="18"/>
              </w:rPr>
              <w:t>5.0</w:t>
            </w:r>
            <w:r w:rsidR="00824D38">
              <w:rPr>
                <w:rFonts w:ascii="Times New Roman" w:hAnsi="Times New Roman"/>
                <w:sz w:val="18"/>
                <w:szCs w:val="18"/>
              </w:rPr>
              <w:t>1</w:t>
            </w:r>
            <w:r>
              <w:rPr>
                <w:rFonts w:ascii="Times New Roman" w:hAnsi="Times New Roman"/>
                <w:sz w:val="18"/>
                <w:szCs w:val="18"/>
              </w:rPr>
              <w:t>%</w:t>
            </w:r>
          </w:p>
        </w:tc>
        <w:tc>
          <w:tcPr>
            <w:tcW w:w="367" w:type="pct"/>
            <w:tcBorders>
              <w:top w:val="single" w:sz="2" w:space="0" w:color="auto"/>
              <w:bottom w:val="single" w:sz="2" w:space="0" w:color="auto"/>
            </w:tcBorders>
            <w:shd w:val="clear" w:color="auto" w:fill="auto"/>
            <w:noWrap/>
            <w:vAlign w:val="center"/>
          </w:tcPr>
          <w:p w14:paraId="605644A2" w14:textId="77777777" w:rsidR="00B71CB3" w:rsidRPr="00A455F0" w:rsidRDefault="00B71CB3" w:rsidP="00DE6E1C">
            <w:pPr>
              <w:jc w:val="right"/>
              <w:rPr>
                <w:rFonts w:ascii="Times New Roman" w:hAnsi="Times New Roman"/>
                <w:sz w:val="18"/>
                <w:szCs w:val="18"/>
              </w:rPr>
            </w:pPr>
            <w:r>
              <w:rPr>
                <w:rFonts w:ascii="Times New Roman" w:hAnsi="Times New Roman"/>
                <w:sz w:val="18"/>
                <w:szCs w:val="18"/>
              </w:rPr>
              <w:t>$2,099,772</w:t>
            </w:r>
          </w:p>
        </w:tc>
        <w:tc>
          <w:tcPr>
            <w:tcW w:w="267" w:type="pct"/>
            <w:tcBorders>
              <w:top w:val="single" w:sz="2" w:space="0" w:color="auto"/>
              <w:bottom w:val="single" w:sz="2" w:space="0" w:color="auto"/>
            </w:tcBorders>
            <w:shd w:val="clear" w:color="000000" w:fill="FFFFFF"/>
            <w:noWrap/>
            <w:vAlign w:val="center"/>
          </w:tcPr>
          <w:p w14:paraId="6893E34D" w14:textId="77777777" w:rsidR="00B71CB3" w:rsidRPr="00A455F0" w:rsidRDefault="00824D38" w:rsidP="00DE6E1C">
            <w:pPr>
              <w:jc w:val="right"/>
              <w:rPr>
                <w:rFonts w:ascii="Times New Roman" w:hAnsi="Times New Roman"/>
                <w:sz w:val="18"/>
                <w:szCs w:val="18"/>
              </w:rPr>
            </w:pPr>
            <w:r>
              <w:rPr>
                <w:rFonts w:ascii="Times New Roman" w:hAnsi="Times New Roman"/>
                <w:sz w:val="18"/>
                <w:szCs w:val="18"/>
              </w:rPr>
              <w:t>4.65%</w:t>
            </w:r>
          </w:p>
        </w:tc>
        <w:tc>
          <w:tcPr>
            <w:tcW w:w="367" w:type="pct"/>
            <w:tcBorders>
              <w:top w:val="single" w:sz="2" w:space="0" w:color="auto"/>
              <w:bottom w:val="single" w:sz="2" w:space="0" w:color="auto"/>
            </w:tcBorders>
            <w:shd w:val="clear" w:color="auto" w:fill="auto"/>
            <w:noWrap/>
            <w:vAlign w:val="center"/>
          </w:tcPr>
          <w:p w14:paraId="0C83E2C2" w14:textId="77777777" w:rsidR="00B71CB3" w:rsidRPr="00A455F0" w:rsidRDefault="00B71CB3" w:rsidP="00DE6E1C">
            <w:pPr>
              <w:jc w:val="right"/>
              <w:rPr>
                <w:rFonts w:ascii="Times New Roman" w:hAnsi="Times New Roman"/>
                <w:sz w:val="18"/>
                <w:szCs w:val="18"/>
              </w:rPr>
            </w:pPr>
            <w:r>
              <w:rPr>
                <w:rFonts w:ascii="Times New Roman" w:hAnsi="Times New Roman"/>
                <w:sz w:val="18"/>
                <w:szCs w:val="18"/>
              </w:rPr>
              <w:t>$2,099,772</w:t>
            </w:r>
          </w:p>
        </w:tc>
        <w:tc>
          <w:tcPr>
            <w:tcW w:w="267" w:type="pct"/>
            <w:tcBorders>
              <w:top w:val="single" w:sz="2" w:space="0" w:color="auto"/>
              <w:bottom w:val="single" w:sz="2" w:space="0" w:color="auto"/>
            </w:tcBorders>
            <w:shd w:val="clear" w:color="000000" w:fill="FFFFFF"/>
            <w:noWrap/>
            <w:vAlign w:val="center"/>
          </w:tcPr>
          <w:p w14:paraId="3A9EE187" w14:textId="77777777" w:rsidR="00B71CB3" w:rsidRPr="00A455F0" w:rsidRDefault="00824D38" w:rsidP="00DE6E1C">
            <w:pPr>
              <w:jc w:val="right"/>
              <w:rPr>
                <w:rFonts w:ascii="Times New Roman" w:hAnsi="Times New Roman"/>
                <w:sz w:val="18"/>
                <w:szCs w:val="18"/>
              </w:rPr>
            </w:pPr>
            <w:r>
              <w:rPr>
                <w:rFonts w:ascii="Times New Roman" w:hAnsi="Times New Roman"/>
                <w:sz w:val="18"/>
                <w:szCs w:val="18"/>
              </w:rPr>
              <w:t>4.32%</w:t>
            </w:r>
          </w:p>
        </w:tc>
        <w:tc>
          <w:tcPr>
            <w:tcW w:w="367" w:type="pct"/>
            <w:tcBorders>
              <w:top w:val="single" w:sz="2" w:space="0" w:color="auto"/>
              <w:bottom w:val="single" w:sz="2" w:space="0" w:color="auto"/>
            </w:tcBorders>
            <w:shd w:val="clear" w:color="auto" w:fill="auto"/>
            <w:noWrap/>
            <w:vAlign w:val="center"/>
          </w:tcPr>
          <w:p w14:paraId="7C3EC298" w14:textId="77777777" w:rsidR="00B71CB3" w:rsidRPr="00A455F0" w:rsidRDefault="00B71CB3" w:rsidP="00DE6E1C">
            <w:pPr>
              <w:jc w:val="right"/>
              <w:rPr>
                <w:rFonts w:ascii="Times New Roman" w:hAnsi="Times New Roman"/>
                <w:sz w:val="18"/>
                <w:szCs w:val="18"/>
              </w:rPr>
            </w:pPr>
            <w:r>
              <w:rPr>
                <w:rFonts w:ascii="Times New Roman" w:hAnsi="Times New Roman"/>
                <w:sz w:val="18"/>
                <w:szCs w:val="18"/>
              </w:rPr>
              <w:t>$2,099,772</w:t>
            </w:r>
          </w:p>
        </w:tc>
        <w:tc>
          <w:tcPr>
            <w:tcW w:w="268" w:type="pct"/>
            <w:tcBorders>
              <w:top w:val="single" w:sz="2" w:space="0" w:color="auto"/>
              <w:bottom w:val="single" w:sz="2" w:space="0" w:color="auto"/>
            </w:tcBorders>
            <w:shd w:val="clear" w:color="000000" w:fill="FFFFFF"/>
            <w:noWrap/>
            <w:vAlign w:val="center"/>
          </w:tcPr>
          <w:p w14:paraId="0EBC3729" w14:textId="77777777" w:rsidR="00B71CB3" w:rsidRPr="00A455F0" w:rsidRDefault="00824D38" w:rsidP="00DE6E1C">
            <w:pPr>
              <w:jc w:val="right"/>
              <w:rPr>
                <w:rFonts w:ascii="Times New Roman" w:hAnsi="Times New Roman"/>
                <w:sz w:val="18"/>
                <w:szCs w:val="18"/>
              </w:rPr>
            </w:pPr>
            <w:r>
              <w:rPr>
                <w:rFonts w:ascii="Times New Roman" w:hAnsi="Times New Roman"/>
                <w:sz w:val="18"/>
                <w:szCs w:val="18"/>
              </w:rPr>
              <w:t>4.02%</w:t>
            </w:r>
          </w:p>
        </w:tc>
        <w:tc>
          <w:tcPr>
            <w:tcW w:w="367" w:type="pct"/>
            <w:tcBorders>
              <w:top w:val="single" w:sz="2" w:space="0" w:color="auto"/>
              <w:bottom w:val="single" w:sz="2" w:space="0" w:color="auto"/>
            </w:tcBorders>
            <w:shd w:val="clear" w:color="auto" w:fill="auto"/>
            <w:noWrap/>
            <w:vAlign w:val="center"/>
          </w:tcPr>
          <w:p w14:paraId="659CCFC6" w14:textId="77777777" w:rsidR="00B71CB3" w:rsidRPr="00A455F0" w:rsidRDefault="00B71CB3" w:rsidP="00DE6E1C">
            <w:pPr>
              <w:jc w:val="right"/>
              <w:rPr>
                <w:rFonts w:ascii="Times New Roman" w:hAnsi="Times New Roman"/>
                <w:sz w:val="18"/>
                <w:szCs w:val="18"/>
              </w:rPr>
            </w:pPr>
            <w:r>
              <w:rPr>
                <w:rFonts w:ascii="Times New Roman" w:hAnsi="Times New Roman"/>
                <w:sz w:val="18"/>
                <w:szCs w:val="18"/>
              </w:rPr>
              <w:t>$2,099,772</w:t>
            </w:r>
          </w:p>
        </w:tc>
        <w:tc>
          <w:tcPr>
            <w:tcW w:w="352" w:type="pct"/>
            <w:tcBorders>
              <w:top w:val="single" w:sz="2" w:space="0" w:color="auto"/>
              <w:bottom w:val="single" w:sz="2" w:space="0" w:color="auto"/>
            </w:tcBorders>
            <w:shd w:val="clear" w:color="000000" w:fill="FFFFFF"/>
            <w:noWrap/>
            <w:vAlign w:val="center"/>
          </w:tcPr>
          <w:p w14:paraId="4BDBBB64" w14:textId="77777777" w:rsidR="00B71CB3" w:rsidRDefault="00824D38" w:rsidP="00AF6F46">
            <w:pPr>
              <w:rPr>
                <w:rFonts w:ascii="Times New Roman" w:hAnsi="Times New Roman"/>
                <w:sz w:val="18"/>
                <w:szCs w:val="18"/>
              </w:rPr>
            </w:pPr>
            <w:r>
              <w:rPr>
                <w:rFonts w:ascii="Times New Roman" w:hAnsi="Times New Roman"/>
                <w:sz w:val="18"/>
                <w:szCs w:val="18"/>
              </w:rPr>
              <w:t xml:space="preserve">       3.74</w:t>
            </w:r>
            <w:r w:rsidRPr="00A455F0">
              <w:rPr>
                <w:rFonts w:ascii="Times New Roman" w:hAnsi="Times New Roman"/>
                <w:sz w:val="18"/>
                <w:szCs w:val="18"/>
              </w:rPr>
              <w:t>%</w:t>
            </w:r>
          </w:p>
        </w:tc>
      </w:tr>
      <w:tr w:rsidR="002105AB" w:rsidRPr="00827B75" w14:paraId="759ACC68" w14:textId="77777777" w:rsidTr="00E43CC8">
        <w:trPr>
          <w:cantSplit/>
          <w:trHeight w:val="300"/>
        </w:trPr>
        <w:tc>
          <w:tcPr>
            <w:tcW w:w="1659" w:type="pct"/>
            <w:tcBorders>
              <w:top w:val="single" w:sz="2" w:space="0" w:color="auto"/>
              <w:bottom w:val="single" w:sz="2" w:space="0" w:color="auto"/>
            </w:tcBorders>
            <w:shd w:val="clear" w:color="000000" w:fill="FFFFFF"/>
            <w:noWrap/>
            <w:vAlign w:val="center"/>
            <w:hideMark/>
          </w:tcPr>
          <w:p w14:paraId="645D8AB9" w14:textId="77777777" w:rsidR="008B2E42" w:rsidRPr="00A455F0" w:rsidRDefault="008B2E42" w:rsidP="00AF6F46">
            <w:pPr>
              <w:tabs>
                <w:tab w:val="left" w:pos="3315"/>
              </w:tabs>
              <w:ind w:firstLineChars="100" w:firstLine="180"/>
              <w:rPr>
                <w:rFonts w:ascii="Times New Roman" w:hAnsi="Times New Roman"/>
                <w:sz w:val="18"/>
                <w:szCs w:val="18"/>
              </w:rPr>
            </w:pPr>
            <w:r w:rsidRPr="00A455F0">
              <w:rPr>
                <w:rFonts w:ascii="Times New Roman" w:hAnsi="Times New Roman"/>
                <w:sz w:val="18"/>
                <w:szCs w:val="18"/>
              </w:rPr>
              <w:t>Operating Taxes</w:t>
            </w:r>
          </w:p>
        </w:tc>
        <w:tc>
          <w:tcPr>
            <w:tcW w:w="87" w:type="pct"/>
            <w:tcBorders>
              <w:top w:val="single" w:sz="2" w:space="0" w:color="auto"/>
              <w:bottom w:val="single" w:sz="2" w:space="0" w:color="auto"/>
            </w:tcBorders>
            <w:shd w:val="clear" w:color="000000" w:fill="FFFFFF"/>
            <w:noWrap/>
            <w:vAlign w:val="center"/>
            <w:hideMark/>
          </w:tcPr>
          <w:p w14:paraId="739FB68B" w14:textId="77777777" w:rsidR="008B2E42" w:rsidRPr="00A455F0" w:rsidRDefault="008B2E42" w:rsidP="00AF6F46">
            <w:pPr>
              <w:tabs>
                <w:tab w:val="left" w:pos="3315"/>
              </w:tabs>
              <w:ind w:firstLineChars="100" w:firstLine="180"/>
              <w:rPr>
                <w:rFonts w:ascii="Times New Roman" w:hAnsi="Times New Roman"/>
                <w:sz w:val="18"/>
                <w:szCs w:val="18"/>
              </w:rPr>
            </w:pPr>
            <w:r w:rsidRPr="00A455F0">
              <w:rPr>
                <w:rFonts w:ascii="Times New Roman" w:hAnsi="Times New Roman"/>
                <w:sz w:val="18"/>
                <w:szCs w:val="18"/>
              </w:rPr>
              <w:t> </w:t>
            </w:r>
          </w:p>
        </w:tc>
        <w:tc>
          <w:tcPr>
            <w:tcW w:w="367" w:type="pct"/>
            <w:tcBorders>
              <w:top w:val="single" w:sz="2" w:space="0" w:color="auto"/>
              <w:bottom w:val="single" w:sz="2" w:space="0" w:color="auto"/>
            </w:tcBorders>
            <w:shd w:val="clear" w:color="auto" w:fill="auto"/>
            <w:noWrap/>
            <w:vAlign w:val="center"/>
            <w:hideMark/>
          </w:tcPr>
          <w:p w14:paraId="512ADC72" w14:textId="77777777" w:rsidR="008B2E42" w:rsidRPr="00A455F0" w:rsidRDefault="008B2E42" w:rsidP="00DE6E1C">
            <w:pPr>
              <w:jc w:val="right"/>
              <w:rPr>
                <w:rFonts w:ascii="Times New Roman" w:hAnsi="Times New Roman"/>
                <w:sz w:val="18"/>
                <w:szCs w:val="18"/>
              </w:rPr>
            </w:pPr>
            <w:r w:rsidRPr="00A455F0">
              <w:rPr>
                <w:rFonts w:ascii="Times New Roman" w:hAnsi="Times New Roman"/>
                <w:sz w:val="18"/>
                <w:szCs w:val="18"/>
              </w:rPr>
              <w:t xml:space="preserve">$58,403 </w:t>
            </w:r>
          </w:p>
        </w:tc>
        <w:tc>
          <w:tcPr>
            <w:tcW w:w="264" w:type="pct"/>
            <w:tcBorders>
              <w:top w:val="single" w:sz="2" w:space="0" w:color="auto"/>
              <w:bottom w:val="single" w:sz="2" w:space="0" w:color="auto"/>
            </w:tcBorders>
            <w:shd w:val="clear" w:color="000000" w:fill="FFFFFF"/>
            <w:noWrap/>
            <w:vAlign w:val="center"/>
            <w:hideMark/>
          </w:tcPr>
          <w:p w14:paraId="7457D542" w14:textId="77777777" w:rsidR="008B2E42" w:rsidRPr="00A455F0" w:rsidRDefault="008B2E42" w:rsidP="00DE6E1C">
            <w:pPr>
              <w:jc w:val="right"/>
              <w:rPr>
                <w:rFonts w:ascii="Times New Roman" w:hAnsi="Times New Roman"/>
                <w:sz w:val="18"/>
                <w:szCs w:val="18"/>
              </w:rPr>
            </w:pPr>
            <w:r w:rsidRPr="00A455F0">
              <w:rPr>
                <w:rFonts w:ascii="Times New Roman" w:hAnsi="Times New Roman"/>
                <w:sz w:val="18"/>
                <w:szCs w:val="18"/>
              </w:rPr>
              <w:t>0.14%</w:t>
            </w:r>
          </w:p>
        </w:tc>
        <w:tc>
          <w:tcPr>
            <w:tcW w:w="367" w:type="pct"/>
            <w:tcBorders>
              <w:top w:val="single" w:sz="2" w:space="0" w:color="auto"/>
              <w:bottom w:val="single" w:sz="2" w:space="0" w:color="auto"/>
            </w:tcBorders>
            <w:shd w:val="clear" w:color="auto" w:fill="auto"/>
            <w:noWrap/>
            <w:vAlign w:val="center"/>
            <w:hideMark/>
          </w:tcPr>
          <w:p w14:paraId="689D28A1" w14:textId="77777777" w:rsidR="008B2E42" w:rsidRPr="00A455F0" w:rsidRDefault="008B2E42" w:rsidP="00DE6E1C">
            <w:pPr>
              <w:jc w:val="right"/>
              <w:rPr>
                <w:rFonts w:ascii="Times New Roman" w:hAnsi="Times New Roman"/>
                <w:sz w:val="18"/>
                <w:szCs w:val="18"/>
              </w:rPr>
            </w:pPr>
            <w:r w:rsidRPr="00A455F0">
              <w:rPr>
                <w:rFonts w:ascii="Times New Roman" w:hAnsi="Times New Roman"/>
                <w:sz w:val="18"/>
                <w:szCs w:val="18"/>
              </w:rPr>
              <w:t xml:space="preserve">$60,155 </w:t>
            </w:r>
          </w:p>
        </w:tc>
        <w:tc>
          <w:tcPr>
            <w:tcW w:w="267" w:type="pct"/>
            <w:tcBorders>
              <w:top w:val="single" w:sz="2" w:space="0" w:color="auto"/>
              <w:bottom w:val="single" w:sz="2" w:space="0" w:color="auto"/>
            </w:tcBorders>
            <w:shd w:val="clear" w:color="000000" w:fill="FFFFFF"/>
            <w:noWrap/>
            <w:vAlign w:val="center"/>
            <w:hideMark/>
          </w:tcPr>
          <w:p w14:paraId="702C98CE" w14:textId="77777777" w:rsidR="008B2E42" w:rsidRPr="00A455F0" w:rsidRDefault="008B2E42" w:rsidP="00DE6E1C">
            <w:pPr>
              <w:jc w:val="right"/>
              <w:rPr>
                <w:rFonts w:ascii="Times New Roman" w:hAnsi="Times New Roman"/>
                <w:sz w:val="18"/>
                <w:szCs w:val="18"/>
              </w:rPr>
            </w:pPr>
            <w:r w:rsidRPr="00A455F0">
              <w:rPr>
                <w:rFonts w:ascii="Times New Roman" w:hAnsi="Times New Roman"/>
                <w:sz w:val="18"/>
                <w:szCs w:val="18"/>
              </w:rPr>
              <w:t>0.13%</w:t>
            </w:r>
          </w:p>
        </w:tc>
        <w:tc>
          <w:tcPr>
            <w:tcW w:w="367" w:type="pct"/>
            <w:tcBorders>
              <w:top w:val="single" w:sz="2" w:space="0" w:color="auto"/>
              <w:bottom w:val="single" w:sz="2" w:space="0" w:color="auto"/>
            </w:tcBorders>
            <w:shd w:val="clear" w:color="auto" w:fill="auto"/>
            <w:noWrap/>
            <w:vAlign w:val="center"/>
            <w:hideMark/>
          </w:tcPr>
          <w:p w14:paraId="79EEFB63" w14:textId="77777777" w:rsidR="008B2E42" w:rsidRPr="00A455F0" w:rsidRDefault="008B2E42" w:rsidP="00DE6E1C">
            <w:pPr>
              <w:jc w:val="right"/>
              <w:rPr>
                <w:rFonts w:ascii="Times New Roman" w:hAnsi="Times New Roman"/>
                <w:sz w:val="18"/>
                <w:szCs w:val="18"/>
              </w:rPr>
            </w:pPr>
            <w:r w:rsidRPr="00A455F0">
              <w:rPr>
                <w:rFonts w:ascii="Times New Roman" w:hAnsi="Times New Roman"/>
                <w:sz w:val="18"/>
                <w:szCs w:val="18"/>
              </w:rPr>
              <w:t xml:space="preserve">$61,959 </w:t>
            </w:r>
          </w:p>
        </w:tc>
        <w:tc>
          <w:tcPr>
            <w:tcW w:w="267" w:type="pct"/>
            <w:tcBorders>
              <w:top w:val="single" w:sz="2" w:space="0" w:color="auto"/>
              <w:bottom w:val="single" w:sz="2" w:space="0" w:color="auto"/>
            </w:tcBorders>
            <w:shd w:val="clear" w:color="000000" w:fill="FFFFFF"/>
            <w:noWrap/>
            <w:vAlign w:val="center"/>
            <w:hideMark/>
          </w:tcPr>
          <w:p w14:paraId="602EFC2D" w14:textId="77777777" w:rsidR="008B2E42" w:rsidRPr="00A455F0" w:rsidRDefault="008B2E42" w:rsidP="00DE6E1C">
            <w:pPr>
              <w:jc w:val="right"/>
              <w:rPr>
                <w:rFonts w:ascii="Times New Roman" w:hAnsi="Times New Roman"/>
                <w:sz w:val="18"/>
                <w:szCs w:val="18"/>
              </w:rPr>
            </w:pPr>
            <w:r w:rsidRPr="00A455F0">
              <w:rPr>
                <w:rFonts w:ascii="Times New Roman" w:hAnsi="Times New Roman"/>
                <w:sz w:val="18"/>
                <w:szCs w:val="18"/>
              </w:rPr>
              <w:t>0.13%</w:t>
            </w:r>
          </w:p>
        </w:tc>
        <w:tc>
          <w:tcPr>
            <w:tcW w:w="367" w:type="pct"/>
            <w:tcBorders>
              <w:top w:val="single" w:sz="2" w:space="0" w:color="auto"/>
              <w:bottom w:val="single" w:sz="2" w:space="0" w:color="auto"/>
            </w:tcBorders>
            <w:shd w:val="clear" w:color="auto" w:fill="auto"/>
            <w:noWrap/>
            <w:vAlign w:val="center"/>
            <w:hideMark/>
          </w:tcPr>
          <w:p w14:paraId="058D23E4" w14:textId="77777777" w:rsidR="008B2E42" w:rsidRPr="00A455F0" w:rsidRDefault="008B2E42" w:rsidP="00DE6E1C">
            <w:pPr>
              <w:jc w:val="right"/>
              <w:rPr>
                <w:rFonts w:ascii="Times New Roman" w:hAnsi="Times New Roman"/>
                <w:sz w:val="18"/>
                <w:szCs w:val="18"/>
              </w:rPr>
            </w:pPr>
            <w:r w:rsidRPr="00A455F0">
              <w:rPr>
                <w:rFonts w:ascii="Times New Roman" w:hAnsi="Times New Roman"/>
                <w:sz w:val="18"/>
                <w:szCs w:val="18"/>
              </w:rPr>
              <w:t xml:space="preserve">$63,818 </w:t>
            </w:r>
          </w:p>
        </w:tc>
        <w:tc>
          <w:tcPr>
            <w:tcW w:w="268" w:type="pct"/>
            <w:tcBorders>
              <w:top w:val="single" w:sz="2" w:space="0" w:color="auto"/>
              <w:bottom w:val="single" w:sz="2" w:space="0" w:color="auto"/>
            </w:tcBorders>
            <w:shd w:val="clear" w:color="000000" w:fill="FFFFFF"/>
            <w:noWrap/>
            <w:vAlign w:val="center"/>
            <w:hideMark/>
          </w:tcPr>
          <w:p w14:paraId="12A697A1" w14:textId="77777777" w:rsidR="008B2E42" w:rsidRPr="00A455F0" w:rsidRDefault="008B2E42" w:rsidP="00DE6E1C">
            <w:pPr>
              <w:jc w:val="right"/>
              <w:rPr>
                <w:rFonts w:ascii="Times New Roman" w:hAnsi="Times New Roman"/>
                <w:sz w:val="18"/>
                <w:szCs w:val="18"/>
              </w:rPr>
            </w:pPr>
            <w:r w:rsidRPr="00A455F0">
              <w:rPr>
                <w:rFonts w:ascii="Times New Roman" w:hAnsi="Times New Roman"/>
                <w:sz w:val="18"/>
                <w:szCs w:val="18"/>
              </w:rPr>
              <w:t>0.12%</w:t>
            </w:r>
          </w:p>
        </w:tc>
        <w:tc>
          <w:tcPr>
            <w:tcW w:w="367" w:type="pct"/>
            <w:tcBorders>
              <w:top w:val="single" w:sz="2" w:space="0" w:color="auto"/>
              <w:bottom w:val="single" w:sz="2" w:space="0" w:color="auto"/>
            </w:tcBorders>
            <w:shd w:val="clear" w:color="auto" w:fill="auto"/>
            <w:noWrap/>
            <w:vAlign w:val="center"/>
            <w:hideMark/>
          </w:tcPr>
          <w:p w14:paraId="1C13BF00" w14:textId="77777777" w:rsidR="008B2E42" w:rsidRPr="00A455F0" w:rsidRDefault="008B2E42" w:rsidP="00DE6E1C">
            <w:pPr>
              <w:jc w:val="right"/>
              <w:rPr>
                <w:rFonts w:ascii="Times New Roman" w:hAnsi="Times New Roman"/>
                <w:sz w:val="18"/>
                <w:szCs w:val="18"/>
              </w:rPr>
            </w:pPr>
            <w:r w:rsidRPr="00A455F0">
              <w:rPr>
                <w:rFonts w:ascii="Times New Roman" w:hAnsi="Times New Roman"/>
                <w:sz w:val="18"/>
                <w:szCs w:val="18"/>
              </w:rPr>
              <w:t xml:space="preserve">$65,733 </w:t>
            </w:r>
          </w:p>
        </w:tc>
        <w:tc>
          <w:tcPr>
            <w:tcW w:w="352" w:type="pct"/>
            <w:tcBorders>
              <w:top w:val="single" w:sz="2" w:space="0" w:color="auto"/>
              <w:bottom w:val="single" w:sz="2" w:space="0" w:color="auto"/>
            </w:tcBorders>
            <w:shd w:val="clear" w:color="000000" w:fill="FFFFFF"/>
            <w:noWrap/>
            <w:vAlign w:val="center"/>
            <w:hideMark/>
          </w:tcPr>
          <w:p w14:paraId="3C932FBA" w14:textId="77777777" w:rsidR="008B2E42" w:rsidRPr="00A455F0" w:rsidRDefault="008B2E42" w:rsidP="00AF6F46">
            <w:pPr>
              <w:rPr>
                <w:rFonts w:ascii="Times New Roman" w:hAnsi="Times New Roman"/>
                <w:sz w:val="18"/>
                <w:szCs w:val="18"/>
              </w:rPr>
            </w:pPr>
            <w:r>
              <w:rPr>
                <w:rFonts w:ascii="Times New Roman" w:hAnsi="Times New Roman"/>
                <w:sz w:val="18"/>
                <w:szCs w:val="18"/>
              </w:rPr>
              <w:t xml:space="preserve">       </w:t>
            </w:r>
            <w:r w:rsidRPr="00A455F0">
              <w:rPr>
                <w:rFonts w:ascii="Times New Roman" w:hAnsi="Times New Roman"/>
                <w:sz w:val="18"/>
                <w:szCs w:val="18"/>
              </w:rPr>
              <w:t>0.12%</w:t>
            </w:r>
          </w:p>
        </w:tc>
      </w:tr>
      <w:tr w:rsidR="00381D9B" w:rsidRPr="00827B75" w14:paraId="6E6E8C13" w14:textId="77777777" w:rsidTr="00E43CC8">
        <w:trPr>
          <w:cantSplit/>
          <w:trHeight w:val="300"/>
        </w:trPr>
        <w:tc>
          <w:tcPr>
            <w:tcW w:w="1659" w:type="pct"/>
            <w:tcBorders>
              <w:top w:val="single" w:sz="18" w:space="0" w:color="auto"/>
              <w:bottom w:val="single" w:sz="18" w:space="0" w:color="auto"/>
            </w:tcBorders>
            <w:shd w:val="clear" w:color="000000" w:fill="FFFFFF"/>
            <w:noWrap/>
            <w:vAlign w:val="center"/>
          </w:tcPr>
          <w:p w14:paraId="4EA0A9D1" w14:textId="77777777" w:rsidR="00381D9B" w:rsidRPr="00A455F0" w:rsidRDefault="00381D9B" w:rsidP="00381D9B">
            <w:pPr>
              <w:tabs>
                <w:tab w:val="left" w:pos="3315"/>
              </w:tabs>
              <w:rPr>
                <w:rFonts w:ascii="Times New Roman" w:hAnsi="Times New Roman"/>
                <w:sz w:val="18"/>
                <w:szCs w:val="18"/>
              </w:rPr>
            </w:pPr>
            <w:r w:rsidRPr="00A455F0">
              <w:rPr>
                <w:rFonts w:ascii="Times New Roman" w:hAnsi="Times New Roman"/>
                <w:b/>
                <w:bCs/>
                <w:sz w:val="18"/>
                <w:szCs w:val="18"/>
              </w:rPr>
              <w:t>Total Operating Expenses</w:t>
            </w:r>
          </w:p>
        </w:tc>
        <w:tc>
          <w:tcPr>
            <w:tcW w:w="87" w:type="pct"/>
            <w:tcBorders>
              <w:top w:val="single" w:sz="18" w:space="0" w:color="auto"/>
              <w:bottom w:val="single" w:sz="18" w:space="0" w:color="auto"/>
            </w:tcBorders>
            <w:shd w:val="clear" w:color="000000" w:fill="FFFFFF"/>
            <w:noWrap/>
            <w:vAlign w:val="center"/>
          </w:tcPr>
          <w:p w14:paraId="049F9078" w14:textId="77777777" w:rsidR="00381D9B" w:rsidRPr="00A455F0" w:rsidRDefault="00381D9B" w:rsidP="00381D9B">
            <w:pPr>
              <w:tabs>
                <w:tab w:val="left" w:pos="3315"/>
              </w:tabs>
              <w:ind w:firstLineChars="100" w:firstLine="180"/>
              <w:rPr>
                <w:rFonts w:ascii="Times New Roman" w:hAnsi="Times New Roman"/>
                <w:sz w:val="18"/>
                <w:szCs w:val="18"/>
              </w:rPr>
            </w:pPr>
          </w:p>
        </w:tc>
        <w:tc>
          <w:tcPr>
            <w:tcW w:w="367" w:type="pct"/>
            <w:tcBorders>
              <w:top w:val="single" w:sz="18" w:space="0" w:color="auto"/>
              <w:bottom w:val="single" w:sz="18" w:space="0" w:color="auto"/>
            </w:tcBorders>
            <w:shd w:val="clear" w:color="000000" w:fill="FFFFFF"/>
            <w:noWrap/>
            <w:vAlign w:val="center"/>
          </w:tcPr>
          <w:p w14:paraId="78760164" w14:textId="77777777" w:rsidR="00381D9B" w:rsidRPr="00A455F0" w:rsidRDefault="00381D9B" w:rsidP="00381D9B">
            <w:pPr>
              <w:jc w:val="right"/>
              <w:rPr>
                <w:rFonts w:ascii="Times New Roman" w:hAnsi="Times New Roman"/>
                <w:sz w:val="18"/>
                <w:szCs w:val="18"/>
              </w:rPr>
            </w:pPr>
            <w:r w:rsidRPr="00A455F0">
              <w:rPr>
                <w:rFonts w:ascii="Times New Roman" w:hAnsi="Times New Roman"/>
                <w:b/>
                <w:bCs/>
                <w:sz w:val="18"/>
                <w:szCs w:val="18"/>
              </w:rPr>
              <w:t>$</w:t>
            </w:r>
            <w:r w:rsidR="000E24AC">
              <w:rPr>
                <w:rFonts w:ascii="Times New Roman" w:hAnsi="Times New Roman"/>
                <w:b/>
                <w:bCs/>
                <w:sz w:val="18"/>
                <w:szCs w:val="18"/>
              </w:rPr>
              <w:t>30,235,167</w:t>
            </w:r>
            <w:r w:rsidRPr="00A455F0">
              <w:rPr>
                <w:rFonts w:ascii="Times New Roman" w:hAnsi="Times New Roman"/>
                <w:b/>
                <w:bCs/>
                <w:sz w:val="18"/>
                <w:szCs w:val="18"/>
              </w:rPr>
              <w:t xml:space="preserve"> </w:t>
            </w:r>
          </w:p>
        </w:tc>
        <w:tc>
          <w:tcPr>
            <w:tcW w:w="264" w:type="pct"/>
            <w:tcBorders>
              <w:top w:val="single" w:sz="18" w:space="0" w:color="auto"/>
              <w:bottom w:val="single" w:sz="18" w:space="0" w:color="auto"/>
            </w:tcBorders>
            <w:shd w:val="clear" w:color="000000" w:fill="FFFFFF"/>
            <w:noWrap/>
            <w:vAlign w:val="center"/>
          </w:tcPr>
          <w:p w14:paraId="62204333" w14:textId="77777777" w:rsidR="00381D9B" w:rsidRPr="00A455F0" w:rsidRDefault="00824D38" w:rsidP="00381D9B">
            <w:pPr>
              <w:jc w:val="right"/>
              <w:rPr>
                <w:rFonts w:ascii="Times New Roman" w:hAnsi="Times New Roman"/>
                <w:sz w:val="18"/>
                <w:szCs w:val="18"/>
              </w:rPr>
            </w:pPr>
            <w:r>
              <w:rPr>
                <w:rFonts w:ascii="Times New Roman" w:hAnsi="Times New Roman"/>
                <w:b/>
                <w:bCs/>
                <w:sz w:val="18"/>
                <w:szCs w:val="18"/>
              </w:rPr>
              <w:t>72.12</w:t>
            </w:r>
            <w:r w:rsidR="00381D9B" w:rsidRPr="00A455F0">
              <w:rPr>
                <w:rFonts w:ascii="Times New Roman" w:hAnsi="Times New Roman"/>
                <w:b/>
                <w:bCs/>
                <w:sz w:val="18"/>
                <w:szCs w:val="18"/>
              </w:rPr>
              <w:t>%</w:t>
            </w:r>
          </w:p>
        </w:tc>
        <w:tc>
          <w:tcPr>
            <w:tcW w:w="367" w:type="pct"/>
            <w:tcBorders>
              <w:top w:val="single" w:sz="18" w:space="0" w:color="auto"/>
              <w:bottom w:val="single" w:sz="18" w:space="0" w:color="auto"/>
            </w:tcBorders>
            <w:shd w:val="clear" w:color="000000" w:fill="FFFFFF"/>
            <w:noWrap/>
            <w:vAlign w:val="center"/>
          </w:tcPr>
          <w:p w14:paraId="0ABEEEB2" w14:textId="77777777" w:rsidR="00381D9B" w:rsidRPr="00A455F0" w:rsidRDefault="00381D9B" w:rsidP="00381D9B">
            <w:pPr>
              <w:jc w:val="right"/>
              <w:rPr>
                <w:rFonts w:ascii="Times New Roman" w:hAnsi="Times New Roman"/>
                <w:sz w:val="18"/>
                <w:szCs w:val="18"/>
              </w:rPr>
            </w:pPr>
            <w:r w:rsidRPr="00A455F0">
              <w:rPr>
                <w:rFonts w:ascii="Times New Roman" w:hAnsi="Times New Roman"/>
                <w:b/>
                <w:bCs/>
                <w:sz w:val="18"/>
                <w:szCs w:val="18"/>
              </w:rPr>
              <w:t>$</w:t>
            </w:r>
            <w:r w:rsidR="00824D38">
              <w:rPr>
                <w:rFonts w:ascii="Times New Roman" w:hAnsi="Times New Roman"/>
                <w:b/>
                <w:bCs/>
                <w:sz w:val="18"/>
                <w:szCs w:val="18"/>
              </w:rPr>
              <w:t>32,212,070</w:t>
            </w:r>
            <w:r w:rsidRPr="00A455F0">
              <w:rPr>
                <w:rFonts w:ascii="Times New Roman" w:hAnsi="Times New Roman"/>
                <w:b/>
                <w:bCs/>
                <w:sz w:val="18"/>
                <w:szCs w:val="18"/>
              </w:rPr>
              <w:t xml:space="preserve"> </w:t>
            </w:r>
          </w:p>
        </w:tc>
        <w:tc>
          <w:tcPr>
            <w:tcW w:w="267" w:type="pct"/>
            <w:tcBorders>
              <w:top w:val="single" w:sz="18" w:space="0" w:color="auto"/>
              <w:bottom w:val="single" w:sz="18" w:space="0" w:color="auto"/>
            </w:tcBorders>
            <w:shd w:val="clear" w:color="000000" w:fill="FFFFFF"/>
            <w:noWrap/>
            <w:vAlign w:val="center"/>
          </w:tcPr>
          <w:p w14:paraId="59D7DD1B" w14:textId="77777777" w:rsidR="00381D9B" w:rsidRPr="00A455F0" w:rsidRDefault="00824D38" w:rsidP="00381D9B">
            <w:pPr>
              <w:jc w:val="right"/>
              <w:rPr>
                <w:rFonts w:ascii="Times New Roman" w:hAnsi="Times New Roman"/>
                <w:sz w:val="18"/>
                <w:szCs w:val="18"/>
              </w:rPr>
            </w:pPr>
            <w:r>
              <w:rPr>
                <w:rFonts w:ascii="Times New Roman" w:hAnsi="Times New Roman"/>
                <w:b/>
                <w:bCs/>
                <w:sz w:val="18"/>
                <w:szCs w:val="18"/>
              </w:rPr>
              <w:t>71.37</w:t>
            </w:r>
            <w:r w:rsidR="00381D9B" w:rsidRPr="00A455F0">
              <w:rPr>
                <w:rFonts w:ascii="Times New Roman" w:hAnsi="Times New Roman"/>
                <w:b/>
                <w:bCs/>
                <w:sz w:val="18"/>
                <w:szCs w:val="18"/>
              </w:rPr>
              <w:t>%</w:t>
            </w:r>
          </w:p>
        </w:tc>
        <w:tc>
          <w:tcPr>
            <w:tcW w:w="367" w:type="pct"/>
            <w:tcBorders>
              <w:top w:val="single" w:sz="18" w:space="0" w:color="auto"/>
              <w:bottom w:val="single" w:sz="18" w:space="0" w:color="auto"/>
            </w:tcBorders>
            <w:shd w:val="clear" w:color="000000" w:fill="FFFFFF"/>
            <w:noWrap/>
            <w:vAlign w:val="center"/>
          </w:tcPr>
          <w:p w14:paraId="494A48B9" w14:textId="77777777" w:rsidR="00381D9B" w:rsidRPr="00A455F0" w:rsidRDefault="00381D9B" w:rsidP="00381D9B">
            <w:pPr>
              <w:jc w:val="right"/>
              <w:rPr>
                <w:rFonts w:ascii="Times New Roman" w:hAnsi="Times New Roman"/>
                <w:sz w:val="18"/>
                <w:szCs w:val="18"/>
              </w:rPr>
            </w:pPr>
            <w:r w:rsidRPr="00A455F0">
              <w:rPr>
                <w:rFonts w:ascii="Times New Roman" w:hAnsi="Times New Roman"/>
                <w:b/>
                <w:bCs/>
                <w:sz w:val="18"/>
                <w:szCs w:val="18"/>
              </w:rPr>
              <w:t>$34</w:t>
            </w:r>
            <w:r w:rsidR="00824D38">
              <w:rPr>
                <w:rFonts w:ascii="Times New Roman" w:hAnsi="Times New Roman"/>
                <w:b/>
                <w:bCs/>
                <w:sz w:val="18"/>
                <w:szCs w:val="18"/>
              </w:rPr>
              <w:t>,361,091</w:t>
            </w:r>
            <w:r w:rsidRPr="00A455F0">
              <w:rPr>
                <w:rFonts w:ascii="Times New Roman" w:hAnsi="Times New Roman"/>
                <w:b/>
                <w:bCs/>
                <w:sz w:val="18"/>
                <w:szCs w:val="18"/>
              </w:rPr>
              <w:t xml:space="preserve"> </w:t>
            </w:r>
          </w:p>
        </w:tc>
        <w:tc>
          <w:tcPr>
            <w:tcW w:w="267" w:type="pct"/>
            <w:tcBorders>
              <w:top w:val="single" w:sz="18" w:space="0" w:color="auto"/>
              <w:bottom w:val="single" w:sz="18" w:space="0" w:color="auto"/>
            </w:tcBorders>
            <w:shd w:val="clear" w:color="000000" w:fill="FFFFFF"/>
            <w:noWrap/>
            <w:vAlign w:val="center"/>
          </w:tcPr>
          <w:p w14:paraId="41D4BAF9" w14:textId="77777777" w:rsidR="00381D9B" w:rsidRPr="00A455F0" w:rsidRDefault="00824D38" w:rsidP="00381D9B">
            <w:pPr>
              <w:jc w:val="right"/>
              <w:rPr>
                <w:rFonts w:ascii="Times New Roman" w:hAnsi="Times New Roman"/>
                <w:sz w:val="18"/>
                <w:szCs w:val="18"/>
              </w:rPr>
            </w:pPr>
            <w:r>
              <w:rPr>
                <w:rFonts w:ascii="Times New Roman" w:hAnsi="Times New Roman"/>
                <w:b/>
                <w:bCs/>
                <w:sz w:val="18"/>
                <w:szCs w:val="18"/>
              </w:rPr>
              <w:t>70.64</w:t>
            </w:r>
            <w:r w:rsidR="00381D9B" w:rsidRPr="00A455F0">
              <w:rPr>
                <w:rFonts w:ascii="Times New Roman" w:hAnsi="Times New Roman"/>
                <w:b/>
                <w:bCs/>
                <w:sz w:val="18"/>
                <w:szCs w:val="18"/>
              </w:rPr>
              <w:t>%</w:t>
            </w:r>
          </w:p>
        </w:tc>
        <w:tc>
          <w:tcPr>
            <w:tcW w:w="367" w:type="pct"/>
            <w:tcBorders>
              <w:top w:val="single" w:sz="18" w:space="0" w:color="auto"/>
              <w:bottom w:val="single" w:sz="18" w:space="0" w:color="auto"/>
            </w:tcBorders>
            <w:shd w:val="clear" w:color="000000" w:fill="FFFFFF"/>
            <w:noWrap/>
            <w:vAlign w:val="center"/>
          </w:tcPr>
          <w:p w14:paraId="1915AD2A" w14:textId="77777777" w:rsidR="00381D9B" w:rsidRPr="00A455F0" w:rsidRDefault="00381D9B" w:rsidP="00381D9B">
            <w:pPr>
              <w:jc w:val="right"/>
              <w:rPr>
                <w:rFonts w:ascii="Times New Roman" w:hAnsi="Times New Roman"/>
                <w:sz w:val="18"/>
                <w:szCs w:val="18"/>
              </w:rPr>
            </w:pPr>
            <w:r w:rsidRPr="00A455F0">
              <w:rPr>
                <w:rFonts w:ascii="Times New Roman" w:hAnsi="Times New Roman"/>
                <w:b/>
                <w:bCs/>
                <w:sz w:val="18"/>
                <w:szCs w:val="18"/>
              </w:rPr>
              <w:t>$</w:t>
            </w:r>
            <w:r w:rsidR="00824D38">
              <w:rPr>
                <w:rFonts w:ascii="Times New Roman" w:hAnsi="Times New Roman"/>
                <w:b/>
                <w:bCs/>
                <w:sz w:val="18"/>
                <w:szCs w:val="18"/>
              </w:rPr>
              <w:t>36,608,413</w:t>
            </w:r>
            <w:r w:rsidRPr="00A455F0">
              <w:rPr>
                <w:rFonts w:ascii="Times New Roman" w:hAnsi="Times New Roman"/>
                <w:b/>
                <w:bCs/>
                <w:sz w:val="18"/>
                <w:szCs w:val="18"/>
              </w:rPr>
              <w:t xml:space="preserve"> </w:t>
            </w:r>
          </w:p>
        </w:tc>
        <w:tc>
          <w:tcPr>
            <w:tcW w:w="268" w:type="pct"/>
            <w:tcBorders>
              <w:top w:val="single" w:sz="18" w:space="0" w:color="auto"/>
              <w:bottom w:val="single" w:sz="18" w:space="0" w:color="auto"/>
            </w:tcBorders>
            <w:shd w:val="clear" w:color="000000" w:fill="FFFFFF"/>
            <w:noWrap/>
            <w:vAlign w:val="center"/>
          </w:tcPr>
          <w:p w14:paraId="6FA0DB67" w14:textId="77777777" w:rsidR="00381D9B" w:rsidRPr="00A455F0" w:rsidRDefault="00824D38" w:rsidP="00381D9B">
            <w:pPr>
              <w:jc w:val="right"/>
              <w:rPr>
                <w:rFonts w:ascii="Times New Roman" w:hAnsi="Times New Roman"/>
                <w:sz w:val="18"/>
                <w:szCs w:val="18"/>
              </w:rPr>
            </w:pPr>
            <w:r>
              <w:rPr>
                <w:rFonts w:ascii="Times New Roman" w:hAnsi="Times New Roman"/>
                <w:b/>
                <w:bCs/>
                <w:sz w:val="18"/>
                <w:szCs w:val="18"/>
              </w:rPr>
              <w:t>70.00</w:t>
            </w:r>
            <w:r w:rsidR="00381D9B" w:rsidRPr="00A455F0">
              <w:rPr>
                <w:rFonts w:ascii="Times New Roman" w:hAnsi="Times New Roman"/>
                <w:b/>
                <w:bCs/>
                <w:sz w:val="18"/>
                <w:szCs w:val="18"/>
              </w:rPr>
              <w:t>%</w:t>
            </w:r>
          </w:p>
        </w:tc>
        <w:tc>
          <w:tcPr>
            <w:tcW w:w="367" w:type="pct"/>
            <w:tcBorders>
              <w:top w:val="single" w:sz="18" w:space="0" w:color="auto"/>
              <w:bottom w:val="single" w:sz="18" w:space="0" w:color="auto"/>
            </w:tcBorders>
            <w:shd w:val="clear" w:color="000000" w:fill="FFFFFF"/>
            <w:noWrap/>
            <w:vAlign w:val="center"/>
          </w:tcPr>
          <w:p w14:paraId="090DF2A3" w14:textId="77777777" w:rsidR="00381D9B" w:rsidRPr="00A455F0" w:rsidRDefault="00381D9B" w:rsidP="00381D9B">
            <w:pPr>
              <w:jc w:val="right"/>
              <w:rPr>
                <w:rFonts w:ascii="Times New Roman" w:hAnsi="Times New Roman"/>
                <w:sz w:val="18"/>
                <w:szCs w:val="18"/>
              </w:rPr>
            </w:pPr>
            <w:r w:rsidRPr="00A455F0">
              <w:rPr>
                <w:rFonts w:ascii="Times New Roman" w:hAnsi="Times New Roman"/>
                <w:b/>
                <w:bCs/>
                <w:sz w:val="18"/>
                <w:szCs w:val="18"/>
              </w:rPr>
              <w:t>$</w:t>
            </w:r>
            <w:r w:rsidR="00824D38">
              <w:rPr>
                <w:rFonts w:ascii="Times New Roman" w:hAnsi="Times New Roman"/>
                <w:b/>
                <w:bCs/>
                <w:sz w:val="18"/>
                <w:szCs w:val="18"/>
              </w:rPr>
              <w:t>38,960,873</w:t>
            </w:r>
            <w:r w:rsidRPr="00A455F0">
              <w:rPr>
                <w:rFonts w:ascii="Times New Roman" w:hAnsi="Times New Roman"/>
                <w:b/>
                <w:bCs/>
                <w:sz w:val="18"/>
                <w:szCs w:val="18"/>
              </w:rPr>
              <w:t xml:space="preserve"> </w:t>
            </w:r>
          </w:p>
        </w:tc>
        <w:tc>
          <w:tcPr>
            <w:tcW w:w="352" w:type="pct"/>
            <w:tcBorders>
              <w:top w:val="single" w:sz="18" w:space="0" w:color="auto"/>
              <w:bottom w:val="single" w:sz="18" w:space="0" w:color="auto"/>
            </w:tcBorders>
            <w:shd w:val="clear" w:color="000000" w:fill="FFFFFF"/>
            <w:noWrap/>
            <w:vAlign w:val="center"/>
          </w:tcPr>
          <w:p w14:paraId="77220033" w14:textId="77777777" w:rsidR="00381D9B" w:rsidRDefault="00381D9B" w:rsidP="00381D9B">
            <w:pPr>
              <w:rPr>
                <w:rFonts w:ascii="Times New Roman" w:hAnsi="Times New Roman"/>
                <w:sz w:val="18"/>
                <w:szCs w:val="18"/>
              </w:rPr>
            </w:pPr>
            <w:r>
              <w:rPr>
                <w:rFonts w:ascii="Times New Roman" w:hAnsi="Times New Roman"/>
                <w:b/>
                <w:bCs/>
                <w:sz w:val="18"/>
                <w:szCs w:val="18"/>
              </w:rPr>
              <w:t xml:space="preserve">     </w:t>
            </w:r>
            <w:r w:rsidR="00824D38">
              <w:rPr>
                <w:rFonts w:ascii="Times New Roman" w:hAnsi="Times New Roman"/>
                <w:b/>
                <w:bCs/>
                <w:sz w:val="18"/>
                <w:szCs w:val="18"/>
              </w:rPr>
              <w:t>69.44</w:t>
            </w:r>
            <w:r w:rsidRPr="00A455F0">
              <w:rPr>
                <w:rFonts w:ascii="Times New Roman" w:hAnsi="Times New Roman"/>
                <w:b/>
                <w:bCs/>
                <w:sz w:val="18"/>
                <w:szCs w:val="18"/>
              </w:rPr>
              <w:t>%</w:t>
            </w:r>
          </w:p>
        </w:tc>
      </w:tr>
      <w:tr w:rsidR="00381D9B" w:rsidRPr="00827B75" w14:paraId="2DAD8541" w14:textId="77777777" w:rsidTr="00E43CC8">
        <w:trPr>
          <w:cantSplit/>
          <w:trHeight w:val="357"/>
        </w:trPr>
        <w:tc>
          <w:tcPr>
            <w:tcW w:w="1659" w:type="pct"/>
            <w:tcBorders>
              <w:top w:val="single" w:sz="18" w:space="0" w:color="auto"/>
              <w:bottom w:val="single" w:sz="18" w:space="0" w:color="auto"/>
            </w:tcBorders>
            <w:shd w:val="clear" w:color="000000" w:fill="FFFFFF"/>
            <w:noWrap/>
            <w:vAlign w:val="center"/>
            <w:hideMark/>
          </w:tcPr>
          <w:p w14:paraId="2200B64E" w14:textId="77777777" w:rsidR="00381D9B" w:rsidRPr="00A455F0" w:rsidRDefault="00381D9B" w:rsidP="00381D9B">
            <w:pPr>
              <w:tabs>
                <w:tab w:val="left" w:pos="3315"/>
              </w:tabs>
              <w:rPr>
                <w:rFonts w:ascii="Times New Roman" w:hAnsi="Times New Roman"/>
                <w:b/>
                <w:bCs/>
                <w:sz w:val="18"/>
                <w:szCs w:val="18"/>
              </w:rPr>
            </w:pPr>
            <w:r w:rsidRPr="00A455F0">
              <w:rPr>
                <w:rFonts w:ascii="Times New Roman" w:hAnsi="Times New Roman"/>
                <w:b/>
                <w:bCs/>
                <w:sz w:val="18"/>
                <w:szCs w:val="18"/>
              </w:rPr>
              <w:t>Earnings (Income) Before Taxes (EBT)</w:t>
            </w:r>
          </w:p>
        </w:tc>
        <w:tc>
          <w:tcPr>
            <w:tcW w:w="87" w:type="pct"/>
            <w:tcBorders>
              <w:top w:val="single" w:sz="18" w:space="0" w:color="auto"/>
              <w:bottom w:val="single" w:sz="18" w:space="0" w:color="auto"/>
            </w:tcBorders>
            <w:shd w:val="clear" w:color="000000" w:fill="FFFFFF"/>
            <w:noWrap/>
            <w:vAlign w:val="center"/>
            <w:hideMark/>
          </w:tcPr>
          <w:p w14:paraId="105E9C7D" w14:textId="77777777" w:rsidR="00381D9B" w:rsidRPr="00A455F0" w:rsidRDefault="00381D9B" w:rsidP="00381D9B">
            <w:pPr>
              <w:tabs>
                <w:tab w:val="left" w:pos="3315"/>
              </w:tabs>
              <w:rPr>
                <w:rFonts w:ascii="Times New Roman" w:hAnsi="Times New Roman"/>
                <w:b/>
                <w:bCs/>
                <w:sz w:val="18"/>
                <w:szCs w:val="18"/>
              </w:rPr>
            </w:pPr>
            <w:r w:rsidRPr="00A455F0">
              <w:rPr>
                <w:rFonts w:ascii="Times New Roman" w:hAnsi="Times New Roman"/>
                <w:b/>
                <w:bCs/>
                <w:sz w:val="18"/>
                <w:szCs w:val="18"/>
              </w:rPr>
              <w:t> </w:t>
            </w:r>
          </w:p>
        </w:tc>
        <w:tc>
          <w:tcPr>
            <w:tcW w:w="367" w:type="pct"/>
            <w:tcBorders>
              <w:top w:val="single" w:sz="18" w:space="0" w:color="auto"/>
              <w:bottom w:val="single" w:sz="18" w:space="0" w:color="auto"/>
            </w:tcBorders>
            <w:shd w:val="clear" w:color="000000" w:fill="FFFFFF"/>
            <w:noWrap/>
            <w:vAlign w:val="center"/>
            <w:hideMark/>
          </w:tcPr>
          <w:p w14:paraId="18A62C32" w14:textId="77777777" w:rsidR="00381D9B" w:rsidRPr="00A455F0" w:rsidRDefault="00381D9B" w:rsidP="00381D9B">
            <w:pPr>
              <w:jc w:val="right"/>
              <w:rPr>
                <w:rFonts w:ascii="Times New Roman" w:hAnsi="Times New Roman"/>
                <w:b/>
                <w:bCs/>
                <w:sz w:val="18"/>
                <w:szCs w:val="18"/>
              </w:rPr>
            </w:pPr>
            <w:r w:rsidRPr="00A455F0">
              <w:rPr>
                <w:rFonts w:ascii="Times New Roman" w:hAnsi="Times New Roman"/>
                <w:b/>
                <w:bCs/>
                <w:sz w:val="18"/>
                <w:szCs w:val="18"/>
              </w:rPr>
              <w:t>$</w:t>
            </w:r>
            <w:r w:rsidR="00824D38">
              <w:rPr>
                <w:rFonts w:ascii="Times New Roman" w:hAnsi="Times New Roman"/>
                <w:b/>
                <w:bCs/>
                <w:sz w:val="18"/>
                <w:szCs w:val="18"/>
              </w:rPr>
              <w:t>11,686,28</w:t>
            </w:r>
            <w:r w:rsidR="000E24AC">
              <w:rPr>
                <w:rFonts w:ascii="Times New Roman" w:hAnsi="Times New Roman"/>
                <w:b/>
                <w:bCs/>
                <w:sz w:val="18"/>
                <w:szCs w:val="18"/>
              </w:rPr>
              <w:t>0</w:t>
            </w:r>
            <w:r w:rsidRPr="00A455F0">
              <w:rPr>
                <w:rFonts w:ascii="Times New Roman" w:hAnsi="Times New Roman"/>
                <w:b/>
                <w:bCs/>
                <w:sz w:val="18"/>
                <w:szCs w:val="18"/>
              </w:rPr>
              <w:t xml:space="preserve"> </w:t>
            </w:r>
          </w:p>
        </w:tc>
        <w:tc>
          <w:tcPr>
            <w:tcW w:w="264" w:type="pct"/>
            <w:tcBorders>
              <w:top w:val="single" w:sz="18" w:space="0" w:color="auto"/>
              <w:bottom w:val="single" w:sz="18" w:space="0" w:color="auto"/>
            </w:tcBorders>
            <w:shd w:val="clear" w:color="000000" w:fill="FFFFFF"/>
            <w:noWrap/>
            <w:vAlign w:val="center"/>
            <w:hideMark/>
          </w:tcPr>
          <w:p w14:paraId="39FA4A43" w14:textId="77777777" w:rsidR="00381D9B" w:rsidRPr="00A455F0" w:rsidRDefault="00824D38" w:rsidP="00381D9B">
            <w:pPr>
              <w:jc w:val="right"/>
              <w:rPr>
                <w:rFonts w:ascii="Times New Roman" w:hAnsi="Times New Roman"/>
                <w:b/>
                <w:bCs/>
                <w:sz w:val="18"/>
                <w:szCs w:val="18"/>
              </w:rPr>
            </w:pPr>
            <w:r>
              <w:rPr>
                <w:rFonts w:ascii="Times New Roman" w:hAnsi="Times New Roman"/>
                <w:b/>
                <w:bCs/>
                <w:sz w:val="18"/>
                <w:szCs w:val="18"/>
              </w:rPr>
              <w:t>27.88</w:t>
            </w:r>
            <w:r w:rsidR="00381D9B" w:rsidRPr="00A455F0">
              <w:rPr>
                <w:rFonts w:ascii="Times New Roman" w:hAnsi="Times New Roman"/>
                <w:b/>
                <w:bCs/>
                <w:sz w:val="18"/>
                <w:szCs w:val="18"/>
              </w:rPr>
              <w:t>%</w:t>
            </w:r>
          </w:p>
        </w:tc>
        <w:tc>
          <w:tcPr>
            <w:tcW w:w="367" w:type="pct"/>
            <w:tcBorders>
              <w:top w:val="single" w:sz="18" w:space="0" w:color="auto"/>
              <w:bottom w:val="single" w:sz="18" w:space="0" w:color="auto"/>
            </w:tcBorders>
            <w:shd w:val="clear" w:color="000000" w:fill="FFFFFF"/>
            <w:noWrap/>
            <w:vAlign w:val="center"/>
            <w:hideMark/>
          </w:tcPr>
          <w:p w14:paraId="51FFCCD9" w14:textId="77777777" w:rsidR="00381D9B" w:rsidRPr="00A455F0" w:rsidRDefault="00381D9B" w:rsidP="00381D9B">
            <w:pPr>
              <w:jc w:val="right"/>
              <w:rPr>
                <w:rFonts w:ascii="Times New Roman" w:hAnsi="Times New Roman"/>
                <w:b/>
                <w:bCs/>
                <w:sz w:val="18"/>
                <w:szCs w:val="18"/>
              </w:rPr>
            </w:pPr>
            <w:r w:rsidRPr="00A455F0">
              <w:rPr>
                <w:rFonts w:ascii="Times New Roman" w:hAnsi="Times New Roman"/>
                <w:b/>
                <w:bCs/>
                <w:sz w:val="18"/>
                <w:szCs w:val="18"/>
              </w:rPr>
              <w:t>$12,</w:t>
            </w:r>
            <w:r w:rsidR="00824D38">
              <w:rPr>
                <w:rFonts w:ascii="Times New Roman" w:hAnsi="Times New Roman"/>
                <w:b/>
                <w:bCs/>
                <w:sz w:val="18"/>
                <w:szCs w:val="18"/>
              </w:rPr>
              <w:t>922,90</w:t>
            </w:r>
            <w:r w:rsidR="000E24AC">
              <w:rPr>
                <w:rFonts w:ascii="Times New Roman" w:hAnsi="Times New Roman"/>
                <w:b/>
                <w:bCs/>
                <w:sz w:val="18"/>
                <w:szCs w:val="18"/>
              </w:rPr>
              <w:t>7</w:t>
            </w:r>
            <w:r w:rsidRPr="00A455F0">
              <w:rPr>
                <w:rFonts w:ascii="Times New Roman" w:hAnsi="Times New Roman"/>
                <w:b/>
                <w:bCs/>
                <w:sz w:val="18"/>
                <w:szCs w:val="18"/>
              </w:rPr>
              <w:t xml:space="preserve"> </w:t>
            </w:r>
          </w:p>
        </w:tc>
        <w:tc>
          <w:tcPr>
            <w:tcW w:w="267" w:type="pct"/>
            <w:tcBorders>
              <w:top w:val="single" w:sz="18" w:space="0" w:color="auto"/>
              <w:bottom w:val="single" w:sz="18" w:space="0" w:color="auto"/>
            </w:tcBorders>
            <w:shd w:val="clear" w:color="000000" w:fill="FFFFFF"/>
            <w:noWrap/>
            <w:vAlign w:val="center"/>
            <w:hideMark/>
          </w:tcPr>
          <w:p w14:paraId="5D6278DF" w14:textId="77777777" w:rsidR="00381D9B" w:rsidRPr="00A455F0" w:rsidRDefault="00824D38" w:rsidP="00381D9B">
            <w:pPr>
              <w:jc w:val="right"/>
              <w:rPr>
                <w:rFonts w:ascii="Times New Roman" w:hAnsi="Times New Roman"/>
                <w:b/>
                <w:bCs/>
                <w:sz w:val="18"/>
                <w:szCs w:val="18"/>
              </w:rPr>
            </w:pPr>
            <w:r>
              <w:rPr>
                <w:rFonts w:ascii="Times New Roman" w:hAnsi="Times New Roman"/>
                <w:b/>
                <w:bCs/>
                <w:sz w:val="18"/>
                <w:szCs w:val="18"/>
              </w:rPr>
              <w:t>28.63</w:t>
            </w:r>
            <w:r w:rsidR="00381D9B" w:rsidRPr="00A455F0">
              <w:rPr>
                <w:rFonts w:ascii="Times New Roman" w:hAnsi="Times New Roman"/>
                <w:b/>
                <w:bCs/>
                <w:sz w:val="18"/>
                <w:szCs w:val="18"/>
              </w:rPr>
              <w:t>%</w:t>
            </w:r>
          </w:p>
        </w:tc>
        <w:tc>
          <w:tcPr>
            <w:tcW w:w="367" w:type="pct"/>
            <w:tcBorders>
              <w:top w:val="single" w:sz="18" w:space="0" w:color="auto"/>
              <w:bottom w:val="single" w:sz="18" w:space="0" w:color="auto"/>
            </w:tcBorders>
            <w:shd w:val="clear" w:color="000000" w:fill="FFFFFF"/>
            <w:noWrap/>
            <w:vAlign w:val="center"/>
            <w:hideMark/>
          </w:tcPr>
          <w:p w14:paraId="25C3ED43" w14:textId="77777777" w:rsidR="00381D9B" w:rsidRPr="00A455F0" w:rsidRDefault="00381D9B" w:rsidP="00381D9B">
            <w:pPr>
              <w:jc w:val="right"/>
              <w:rPr>
                <w:rFonts w:ascii="Times New Roman" w:hAnsi="Times New Roman"/>
                <w:b/>
                <w:bCs/>
                <w:sz w:val="18"/>
                <w:szCs w:val="18"/>
              </w:rPr>
            </w:pPr>
            <w:r w:rsidRPr="00A455F0">
              <w:rPr>
                <w:rFonts w:ascii="Times New Roman" w:hAnsi="Times New Roman"/>
                <w:b/>
                <w:bCs/>
                <w:sz w:val="18"/>
                <w:szCs w:val="18"/>
              </w:rPr>
              <w:t>$</w:t>
            </w:r>
            <w:r w:rsidR="00824D38">
              <w:rPr>
                <w:rFonts w:ascii="Times New Roman" w:hAnsi="Times New Roman"/>
                <w:b/>
                <w:bCs/>
                <w:sz w:val="18"/>
                <w:szCs w:val="18"/>
              </w:rPr>
              <w:t>14,280,42</w:t>
            </w:r>
            <w:r w:rsidR="000E24AC">
              <w:rPr>
                <w:rFonts w:ascii="Times New Roman" w:hAnsi="Times New Roman"/>
                <w:b/>
                <w:bCs/>
                <w:sz w:val="18"/>
                <w:szCs w:val="18"/>
              </w:rPr>
              <w:t>6</w:t>
            </w:r>
            <w:r w:rsidRPr="00A455F0">
              <w:rPr>
                <w:rFonts w:ascii="Times New Roman" w:hAnsi="Times New Roman"/>
                <w:b/>
                <w:bCs/>
                <w:sz w:val="18"/>
                <w:szCs w:val="18"/>
              </w:rPr>
              <w:t xml:space="preserve"> </w:t>
            </w:r>
          </w:p>
        </w:tc>
        <w:tc>
          <w:tcPr>
            <w:tcW w:w="267" w:type="pct"/>
            <w:tcBorders>
              <w:top w:val="single" w:sz="18" w:space="0" w:color="auto"/>
              <w:bottom w:val="single" w:sz="18" w:space="0" w:color="auto"/>
            </w:tcBorders>
            <w:shd w:val="clear" w:color="000000" w:fill="FFFFFF"/>
            <w:noWrap/>
            <w:vAlign w:val="center"/>
            <w:hideMark/>
          </w:tcPr>
          <w:p w14:paraId="6871EC8B" w14:textId="77777777" w:rsidR="00381D9B" w:rsidRPr="00A455F0" w:rsidRDefault="00824D38" w:rsidP="00381D9B">
            <w:pPr>
              <w:jc w:val="right"/>
              <w:rPr>
                <w:rFonts w:ascii="Times New Roman" w:hAnsi="Times New Roman"/>
                <w:b/>
                <w:bCs/>
                <w:sz w:val="18"/>
                <w:szCs w:val="18"/>
              </w:rPr>
            </w:pPr>
            <w:r>
              <w:rPr>
                <w:rFonts w:ascii="Times New Roman" w:hAnsi="Times New Roman"/>
                <w:b/>
                <w:bCs/>
                <w:sz w:val="18"/>
                <w:szCs w:val="18"/>
              </w:rPr>
              <w:t>29.36</w:t>
            </w:r>
            <w:r w:rsidR="00381D9B" w:rsidRPr="00A455F0">
              <w:rPr>
                <w:rFonts w:ascii="Times New Roman" w:hAnsi="Times New Roman"/>
                <w:b/>
                <w:bCs/>
                <w:sz w:val="18"/>
                <w:szCs w:val="18"/>
              </w:rPr>
              <w:t>%</w:t>
            </w:r>
          </w:p>
        </w:tc>
        <w:tc>
          <w:tcPr>
            <w:tcW w:w="367" w:type="pct"/>
            <w:tcBorders>
              <w:top w:val="single" w:sz="18" w:space="0" w:color="auto"/>
              <w:bottom w:val="single" w:sz="18" w:space="0" w:color="auto"/>
            </w:tcBorders>
            <w:shd w:val="clear" w:color="000000" w:fill="FFFFFF"/>
            <w:noWrap/>
            <w:vAlign w:val="center"/>
            <w:hideMark/>
          </w:tcPr>
          <w:p w14:paraId="758C7C17" w14:textId="77777777" w:rsidR="00381D9B" w:rsidRPr="00A455F0" w:rsidRDefault="00381D9B" w:rsidP="00381D9B">
            <w:pPr>
              <w:jc w:val="right"/>
              <w:rPr>
                <w:rFonts w:ascii="Times New Roman" w:hAnsi="Times New Roman"/>
                <w:b/>
                <w:bCs/>
                <w:sz w:val="18"/>
                <w:szCs w:val="18"/>
              </w:rPr>
            </w:pPr>
            <w:r w:rsidRPr="00A455F0">
              <w:rPr>
                <w:rFonts w:ascii="Times New Roman" w:hAnsi="Times New Roman"/>
                <w:b/>
                <w:bCs/>
                <w:sz w:val="18"/>
                <w:szCs w:val="18"/>
              </w:rPr>
              <w:t>$</w:t>
            </w:r>
            <w:r w:rsidR="00824D38">
              <w:rPr>
                <w:rFonts w:ascii="Times New Roman" w:hAnsi="Times New Roman"/>
                <w:b/>
                <w:bCs/>
                <w:sz w:val="18"/>
                <w:szCs w:val="18"/>
              </w:rPr>
              <w:t>15,686,855</w:t>
            </w:r>
            <w:r w:rsidRPr="00A455F0">
              <w:rPr>
                <w:rFonts w:ascii="Times New Roman" w:hAnsi="Times New Roman"/>
                <w:b/>
                <w:bCs/>
                <w:sz w:val="18"/>
                <w:szCs w:val="18"/>
              </w:rPr>
              <w:t xml:space="preserve"> </w:t>
            </w:r>
          </w:p>
        </w:tc>
        <w:tc>
          <w:tcPr>
            <w:tcW w:w="268" w:type="pct"/>
            <w:tcBorders>
              <w:top w:val="single" w:sz="18" w:space="0" w:color="auto"/>
              <w:bottom w:val="single" w:sz="18" w:space="0" w:color="auto"/>
            </w:tcBorders>
            <w:shd w:val="clear" w:color="000000" w:fill="FFFFFF"/>
            <w:noWrap/>
            <w:vAlign w:val="center"/>
            <w:hideMark/>
          </w:tcPr>
          <w:p w14:paraId="29817844" w14:textId="77777777" w:rsidR="00381D9B" w:rsidRPr="00A455F0" w:rsidRDefault="00824D38" w:rsidP="00381D9B">
            <w:pPr>
              <w:jc w:val="right"/>
              <w:rPr>
                <w:rFonts w:ascii="Times New Roman" w:hAnsi="Times New Roman"/>
                <w:b/>
                <w:bCs/>
                <w:sz w:val="18"/>
                <w:szCs w:val="18"/>
              </w:rPr>
            </w:pPr>
            <w:r>
              <w:rPr>
                <w:rFonts w:ascii="Times New Roman" w:hAnsi="Times New Roman"/>
                <w:b/>
                <w:bCs/>
                <w:sz w:val="18"/>
                <w:szCs w:val="18"/>
              </w:rPr>
              <w:t>30.00</w:t>
            </w:r>
            <w:r w:rsidR="00381D9B" w:rsidRPr="00A455F0">
              <w:rPr>
                <w:rFonts w:ascii="Times New Roman" w:hAnsi="Times New Roman"/>
                <w:b/>
                <w:bCs/>
                <w:sz w:val="18"/>
                <w:szCs w:val="18"/>
              </w:rPr>
              <w:t>%</w:t>
            </w:r>
          </w:p>
        </w:tc>
        <w:tc>
          <w:tcPr>
            <w:tcW w:w="367" w:type="pct"/>
            <w:tcBorders>
              <w:top w:val="single" w:sz="18" w:space="0" w:color="auto"/>
              <w:bottom w:val="single" w:sz="18" w:space="0" w:color="auto"/>
            </w:tcBorders>
            <w:shd w:val="clear" w:color="000000" w:fill="FFFFFF"/>
            <w:noWrap/>
            <w:vAlign w:val="center"/>
            <w:hideMark/>
          </w:tcPr>
          <w:p w14:paraId="66EF908F" w14:textId="77777777" w:rsidR="00381D9B" w:rsidRPr="00A455F0" w:rsidRDefault="00381D9B" w:rsidP="00381D9B">
            <w:pPr>
              <w:jc w:val="right"/>
              <w:rPr>
                <w:rFonts w:ascii="Times New Roman" w:hAnsi="Times New Roman"/>
                <w:b/>
                <w:bCs/>
                <w:sz w:val="18"/>
                <w:szCs w:val="18"/>
              </w:rPr>
            </w:pPr>
            <w:r w:rsidRPr="00A455F0">
              <w:rPr>
                <w:rFonts w:ascii="Times New Roman" w:hAnsi="Times New Roman"/>
                <w:b/>
                <w:bCs/>
                <w:sz w:val="18"/>
                <w:szCs w:val="18"/>
              </w:rPr>
              <w:t>$</w:t>
            </w:r>
            <w:r w:rsidR="00824D38">
              <w:rPr>
                <w:rFonts w:ascii="Times New Roman" w:hAnsi="Times New Roman"/>
                <w:b/>
                <w:bCs/>
                <w:sz w:val="18"/>
                <w:szCs w:val="18"/>
              </w:rPr>
              <w:t>17,142,978</w:t>
            </w:r>
            <w:r w:rsidRPr="00A455F0">
              <w:rPr>
                <w:rFonts w:ascii="Times New Roman" w:hAnsi="Times New Roman"/>
                <w:b/>
                <w:bCs/>
                <w:sz w:val="18"/>
                <w:szCs w:val="18"/>
              </w:rPr>
              <w:t xml:space="preserve"> </w:t>
            </w:r>
          </w:p>
        </w:tc>
        <w:tc>
          <w:tcPr>
            <w:tcW w:w="352" w:type="pct"/>
            <w:tcBorders>
              <w:top w:val="single" w:sz="18" w:space="0" w:color="auto"/>
              <w:bottom w:val="single" w:sz="18" w:space="0" w:color="auto"/>
            </w:tcBorders>
            <w:shd w:val="clear" w:color="000000" w:fill="FFFFFF"/>
            <w:noWrap/>
            <w:vAlign w:val="center"/>
            <w:hideMark/>
          </w:tcPr>
          <w:p w14:paraId="0F899F36" w14:textId="77777777" w:rsidR="00381D9B" w:rsidRPr="00A455F0" w:rsidRDefault="00381D9B" w:rsidP="00381D9B">
            <w:pPr>
              <w:rPr>
                <w:rFonts w:ascii="Times New Roman" w:hAnsi="Times New Roman"/>
                <w:b/>
                <w:bCs/>
                <w:sz w:val="18"/>
                <w:szCs w:val="18"/>
              </w:rPr>
            </w:pPr>
            <w:r>
              <w:rPr>
                <w:rFonts w:ascii="Times New Roman" w:hAnsi="Times New Roman"/>
                <w:b/>
                <w:bCs/>
                <w:sz w:val="18"/>
                <w:szCs w:val="18"/>
              </w:rPr>
              <w:t xml:space="preserve">     </w:t>
            </w:r>
            <w:r w:rsidR="00824D38">
              <w:rPr>
                <w:rFonts w:ascii="Times New Roman" w:hAnsi="Times New Roman"/>
                <w:b/>
                <w:bCs/>
                <w:sz w:val="18"/>
                <w:szCs w:val="18"/>
              </w:rPr>
              <w:t>30.56</w:t>
            </w:r>
            <w:r w:rsidRPr="00A455F0">
              <w:rPr>
                <w:rFonts w:ascii="Times New Roman" w:hAnsi="Times New Roman"/>
                <w:b/>
                <w:bCs/>
                <w:sz w:val="18"/>
                <w:szCs w:val="18"/>
              </w:rPr>
              <w:t>%</w:t>
            </w:r>
          </w:p>
        </w:tc>
      </w:tr>
    </w:tbl>
    <w:p w14:paraId="74DDCFA6" w14:textId="77777777" w:rsidR="00174790" w:rsidRDefault="00174790">
      <w:pPr>
        <w:spacing w:line="360" w:lineRule="exact"/>
        <w:rPr>
          <w:rFonts w:ascii="Times New Roman" w:hAnsi="Times New Roman"/>
          <w:sz w:val="24"/>
          <w:szCs w:val="24"/>
        </w:rPr>
        <w:sectPr w:rsidR="00174790" w:rsidSect="002E701F">
          <w:headerReference w:type="even" r:id="rId9"/>
          <w:headerReference w:type="default" r:id="rId10"/>
          <w:footerReference w:type="default" r:id="rId11"/>
          <w:headerReference w:type="first" r:id="rId12"/>
          <w:footerReference w:type="first" r:id="rId13"/>
          <w:pgSz w:w="15840" w:h="12240" w:orient="landscape" w:code="1"/>
          <w:pgMar w:top="720" w:right="720" w:bottom="720" w:left="720" w:header="720" w:footer="720" w:gutter="0"/>
          <w:pgNumType w:start="2"/>
          <w:cols w:space="720"/>
          <w:titlePg/>
          <w:docGrid w:linePitch="299"/>
        </w:sectPr>
      </w:pPr>
    </w:p>
    <w:p w14:paraId="7C74069E" w14:textId="77777777" w:rsidR="003409BD" w:rsidRPr="003D7270" w:rsidRDefault="00677F99" w:rsidP="005C5338">
      <w:pPr>
        <w:pStyle w:val="FinancialText"/>
        <w:numPr>
          <w:ilvl w:val="0"/>
          <w:numId w:val="45"/>
        </w:numPr>
        <w:spacing w:line="240" w:lineRule="auto"/>
        <w:ind w:left="-180" w:hanging="180"/>
        <w:rPr>
          <w:rFonts w:ascii="Times New Roman" w:hAnsi="Times New Roman"/>
          <w:b/>
          <w:sz w:val="24"/>
          <w:szCs w:val="24"/>
        </w:rPr>
      </w:pPr>
      <w:r>
        <w:rPr>
          <w:rFonts w:ascii="Times New Roman" w:hAnsi="Times New Roman"/>
          <w:b/>
          <w:sz w:val="24"/>
          <w:szCs w:val="24"/>
        </w:rPr>
        <w:lastRenderedPageBreak/>
        <w:t xml:space="preserve">Relevant Background Information </w:t>
      </w:r>
    </w:p>
    <w:p w14:paraId="0A2ECA39" w14:textId="77777777" w:rsidR="003409BD" w:rsidRPr="003D7270" w:rsidRDefault="003409BD" w:rsidP="003D7270">
      <w:pPr>
        <w:pStyle w:val="FinancialText"/>
        <w:spacing w:line="240" w:lineRule="auto"/>
        <w:ind w:firstLine="0"/>
        <w:rPr>
          <w:rFonts w:ascii="Times New Roman" w:hAnsi="Times New Roman"/>
          <w:sz w:val="24"/>
          <w:szCs w:val="24"/>
        </w:rPr>
      </w:pPr>
    </w:p>
    <w:p w14:paraId="401092B2" w14:textId="69853B9A" w:rsidR="00C343DF" w:rsidRDefault="0029003E" w:rsidP="00915060">
      <w:pPr>
        <w:spacing w:after="160"/>
        <w:jc w:val="both"/>
        <w:rPr>
          <w:rFonts w:ascii="Times New Roman" w:eastAsia="Calibri" w:hAnsi="Times New Roman"/>
          <w:sz w:val="24"/>
          <w:szCs w:val="24"/>
        </w:rPr>
      </w:pPr>
      <w:r>
        <w:rPr>
          <w:rFonts w:ascii="Times New Roman" w:eastAsia="Calibri" w:hAnsi="Times New Roman"/>
          <w:sz w:val="24"/>
          <w:szCs w:val="24"/>
        </w:rPr>
        <w:t>Boston Outpatient Surgical Suites</w:t>
      </w:r>
      <w:r w:rsidR="00FC5C8D" w:rsidRPr="003D7270">
        <w:rPr>
          <w:rFonts w:ascii="Times New Roman" w:eastAsia="Calibri" w:hAnsi="Times New Roman"/>
          <w:sz w:val="24"/>
          <w:szCs w:val="24"/>
        </w:rPr>
        <w:t>, LLC (“Applicant</w:t>
      </w:r>
      <w:r w:rsidR="00893167" w:rsidRPr="003D7270">
        <w:rPr>
          <w:rFonts w:ascii="Times New Roman" w:eastAsia="Calibri" w:hAnsi="Times New Roman"/>
          <w:sz w:val="24"/>
          <w:szCs w:val="24"/>
        </w:rPr>
        <w:t>”</w:t>
      </w:r>
      <w:r w:rsidR="00FC5C8D" w:rsidRPr="003D7270">
        <w:rPr>
          <w:rFonts w:ascii="Times New Roman" w:eastAsia="Calibri" w:hAnsi="Times New Roman"/>
          <w:sz w:val="24"/>
          <w:szCs w:val="24"/>
        </w:rPr>
        <w:t xml:space="preserve">) </w:t>
      </w:r>
      <w:r w:rsidR="003233F1" w:rsidRPr="003D7270">
        <w:rPr>
          <w:rFonts w:ascii="Times New Roman" w:eastAsia="Calibri" w:hAnsi="Times New Roman"/>
          <w:sz w:val="24"/>
          <w:szCs w:val="24"/>
        </w:rPr>
        <w:t xml:space="preserve">is proposing the establishment of a multispecialty </w:t>
      </w:r>
      <w:r w:rsidR="00915060" w:rsidRPr="003D7270">
        <w:rPr>
          <w:rFonts w:ascii="Times New Roman" w:eastAsia="Calibri" w:hAnsi="Times New Roman"/>
          <w:sz w:val="24"/>
          <w:szCs w:val="24"/>
        </w:rPr>
        <w:t xml:space="preserve">ambulatory surgery center (“ASC”) to be located at </w:t>
      </w:r>
      <w:r w:rsidR="00AB03AA">
        <w:rPr>
          <w:rFonts w:ascii="Times New Roman" w:eastAsia="Calibri" w:hAnsi="Times New Roman"/>
          <w:sz w:val="24"/>
          <w:szCs w:val="24"/>
        </w:rPr>
        <w:t>1265 Main Street</w:t>
      </w:r>
      <w:r w:rsidR="00915060" w:rsidRPr="003D7270">
        <w:rPr>
          <w:rFonts w:ascii="Times New Roman" w:eastAsia="Calibri" w:hAnsi="Times New Roman"/>
          <w:sz w:val="24"/>
          <w:szCs w:val="24"/>
        </w:rPr>
        <w:t xml:space="preserve">, Waltham, MA 02451 (“Proposed Project” or “Proposed ASC”) </w:t>
      </w:r>
      <w:r w:rsidR="003233F1" w:rsidRPr="003D7270">
        <w:rPr>
          <w:rFonts w:ascii="Times New Roman" w:eastAsia="Calibri" w:hAnsi="Times New Roman"/>
          <w:sz w:val="24"/>
          <w:szCs w:val="24"/>
        </w:rPr>
        <w:t xml:space="preserve">offering services in Orthopedics, Pain Management and General Surgery to patients 14 years and older.  Management has indicated the Proposed Project will be accredited by the Accreditation Association for Ambulatory Health Care (AAAHC). </w:t>
      </w:r>
      <w:r w:rsidR="00915060">
        <w:rPr>
          <w:rFonts w:ascii="Times New Roman" w:eastAsia="Calibri" w:hAnsi="Times New Roman"/>
          <w:sz w:val="24"/>
          <w:szCs w:val="24"/>
        </w:rPr>
        <w:t xml:space="preserve"> </w:t>
      </w:r>
      <w:bookmarkStart w:id="1" w:name="_Hlk113975790"/>
      <w:r w:rsidR="003233F1" w:rsidRPr="003D7270">
        <w:rPr>
          <w:rFonts w:ascii="Times New Roman" w:eastAsia="Calibri" w:hAnsi="Times New Roman"/>
          <w:sz w:val="24"/>
          <w:szCs w:val="24"/>
        </w:rPr>
        <w:t>The Proposed Project shall include a newly constructed state of the art Orthopedic Ambulatory Surgical Center</w:t>
      </w:r>
      <w:r w:rsidR="00915060">
        <w:rPr>
          <w:rFonts w:ascii="Times New Roman" w:eastAsia="Calibri" w:hAnsi="Times New Roman"/>
          <w:sz w:val="24"/>
          <w:szCs w:val="24"/>
        </w:rPr>
        <w:t>.</w:t>
      </w:r>
      <w:r w:rsidR="003233F1" w:rsidRPr="003D7270">
        <w:rPr>
          <w:rFonts w:ascii="Times New Roman" w:eastAsia="Calibri" w:hAnsi="Times New Roman"/>
          <w:sz w:val="24"/>
          <w:szCs w:val="24"/>
        </w:rPr>
        <w:t xml:space="preserve"> </w:t>
      </w:r>
      <w:r w:rsidR="00915060">
        <w:rPr>
          <w:rFonts w:ascii="Times New Roman" w:eastAsia="Calibri" w:hAnsi="Times New Roman"/>
          <w:sz w:val="24"/>
          <w:szCs w:val="24"/>
        </w:rPr>
        <w:t xml:space="preserve"> </w:t>
      </w:r>
      <w:bookmarkEnd w:id="1"/>
    </w:p>
    <w:p w14:paraId="56D89406" w14:textId="77777777" w:rsidR="00CC5557" w:rsidRDefault="003233F1" w:rsidP="005C5338">
      <w:pPr>
        <w:spacing w:after="160"/>
        <w:jc w:val="both"/>
        <w:rPr>
          <w:rFonts w:ascii="Times New Roman" w:eastAsia="Calibri" w:hAnsi="Times New Roman"/>
          <w:sz w:val="24"/>
          <w:szCs w:val="24"/>
        </w:rPr>
      </w:pPr>
      <w:r w:rsidRPr="003D7270">
        <w:rPr>
          <w:rFonts w:ascii="Times New Roman" w:eastAsia="Calibri" w:hAnsi="Times New Roman"/>
          <w:sz w:val="24"/>
          <w:szCs w:val="24"/>
        </w:rPr>
        <w:t xml:space="preserve">The </w:t>
      </w:r>
      <w:bookmarkStart w:id="2" w:name="_Hlk115126064"/>
      <w:r w:rsidRPr="003D7270">
        <w:rPr>
          <w:rFonts w:ascii="Times New Roman" w:eastAsia="Calibri" w:hAnsi="Times New Roman"/>
          <w:sz w:val="24"/>
          <w:szCs w:val="24"/>
        </w:rPr>
        <w:t xml:space="preserve">Applicant is filing a Notice of Determination of Need </w:t>
      </w:r>
      <w:bookmarkEnd w:id="2"/>
      <w:r w:rsidRPr="003D7270">
        <w:rPr>
          <w:rFonts w:ascii="Times New Roman" w:eastAsia="Calibri" w:hAnsi="Times New Roman"/>
          <w:sz w:val="24"/>
          <w:szCs w:val="24"/>
        </w:rPr>
        <w:t xml:space="preserve">(“DoN”) </w:t>
      </w:r>
      <w:r w:rsidR="000E2EC1">
        <w:rPr>
          <w:rFonts w:ascii="Times New Roman" w:eastAsia="Calibri" w:hAnsi="Times New Roman"/>
          <w:sz w:val="24"/>
          <w:szCs w:val="24"/>
        </w:rPr>
        <w:t>with the</w:t>
      </w:r>
      <w:r w:rsidR="000E2EC1" w:rsidRPr="000E2EC1">
        <w:rPr>
          <w:rFonts w:ascii="Times New Roman" w:eastAsia="Calibri" w:hAnsi="Times New Roman"/>
          <w:sz w:val="24"/>
          <w:szCs w:val="24"/>
        </w:rPr>
        <w:t xml:space="preserve"> Massachusetts Public Health Council </w:t>
      </w:r>
      <w:r w:rsidRPr="003D7270">
        <w:rPr>
          <w:rFonts w:ascii="Times New Roman" w:eastAsia="Calibri" w:hAnsi="Times New Roman"/>
          <w:sz w:val="24"/>
          <w:szCs w:val="24"/>
        </w:rPr>
        <w:t xml:space="preserve">for this purpose. This report details our analysis and findings with regards to the reasonableness of assumptions used in the preparation and feasibility of the </w:t>
      </w:r>
      <w:r w:rsidR="00036104">
        <w:rPr>
          <w:rFonts w:ascii="Times New Roman" w:eastAsia="Calibri" w:hAnsi="Times New Roman"/>
          <w:sz w:val="24"/>
          <w:szCs w:val="24"/>
        </w:rPr>
        <w:t>forecasted</w:t>
      </w:r>
      <w:r w:rsidR="00036104" w:rsidRPr="003D7270">
        <w:rPr>
          <w:rFonts w:ascii="Times New Roman" w:eastAsia="Calibri" w:hAnsi="Times New Roman"/>
          <w:sz w:val="24"/>
          <w:szCs w:val="24"/>
        </w:rPr>
        <w:t xml:space="preserve"> </w:t>
      </w:r>
      <w:r w:rsidRPr="003D7270">
        <w:rPr>
          <w:rFonts w:ascii="Times New Roman" w:eastAsia="Calibri" w:hAnsi="Times New Roman"/>
          <w:sz w:val="24"/>
          <w:szCs w:val="24"/>
        </w:rPr>
        <w:t>financial information of the Proposed Project as prepared by management of the Applicant (</w:t>
      </w:r>
      <w:r w:rsidR="00AF7831">
        <w:rPr>
          <w:rFonts w:ascii="Times New Roman" w:eastAsia="Calibri" w:hAnsi="Times New Roman"/>
          <w:sz w:val="24"/>
          <w:szCs w:val="24"/>
        </w:rPr>
        <w:t>“</w:t>
      </w:r>
      <w:r w:rsidRPr="003D7270">
        <w:rPr>
          <w:rFonts w:ascii="Times New Roman" w:eastAsia="Calibri" w:hAnsi="Times New Roman"/>
          <w:sz w:val="24"/>
          <w:szCs w:val="24"/>
        </w:rPr>
        <w:t>Management</w:t>
      </w:r>
      <w:r w:rsidR="00AF7831">
        <w:rPr>
          <w:rFonts w:ascii="Times New Roman" w:eastAsia="Calibri" w:hAnsi="Times New Roman"/>
          <w:sz w:val="24"/>
          <w:szCs w:val="24"/>
        </w:rPr>
        <w:t>’’</w:t>
      </w:r>
      <w:r w:rsidRPr="003D7270">
        <w:rPr>
          <w:rFonts w:ascii="Times New Roman" w:eastAsia="Calibri" w:hAnsi="Times New Roman"/>
          <w:sz w:val="24"/>
          <w:szCs w:val="24"/>
        </w:rPr>
        <w:t>). This report is to be included by the Applicant in its DoN application, (sec Factor 4(a) of the DoN) and should not be distributed or relied upon for any other purpose.</w:t>
      </w:r>
    </w:p>
    <w:p w14:paraId="4DB39075" w14:textId="77777777" w:rsidR="00CC5557" w:rsidRDefault="00CC5557" w:rsidP="005C5338">
      <w:pPr>
        <w:spacing w:after="160"/>
        <w:jc w:val="both"/>
        <w:rPr>
          <w:rFonts w:ascii="Times New Roman" w:eastAsia="Calibri" w:hAnsi="Times New Roman"/>
          <w:sz w:val="24"/>
          <w:szCs w:val="24"/>
        </w:rPr>
      </w:pPr>
      <w:r w:rsidRPr="00CC5557">
        <w:rPr>
          <w:rFonts w:ascii="Times New Roman" w:eastAsia="Calibri" w:hAnsi="Times New Roman"/>
          <w:sz w:val="24"/>
          <w:szCs w:val="24"/>
        </w:rPr>
        <w:t>The forecas</w:t>
      </w:r>
      <w:r>
        <w:rPr>
          <w:rFonts w:ascii="Times New Roman" w:eastAsia="Calibri" w:hAnsi="Times New Roman"/>
          <w:sz w:val="24"/>
          <w:szCs w:val="24"/>
        </w:rPr>
        <w:t>t</w:t>
      </w:r>
      <w:r w:rsidRPr="00CC5557">
        <w:rPr>
          <w:rFonts w:ascii="Times New Roman" w:eastAsia="Calibri" w:hAnsi="Times New Roman"/>
          <w:sz w:val="24"/>
          <w:szCs w:val="24"/>
        </w:rPr>
        <w:t xml:space="preserve"> present</w:t>
      </w:r>
      <w:r>
        <w:rPr>
          <w:rFonts w:ascii="Times New Roman" w:eastAsia="Calibri" w:hAnsi="Times New Roman"/>
          <w:sz w:val="24"/>
          <w:szCs w:val="24"/>
        </w:rPr>
        <w:t>s</w:t>
      </w:r>
      <w:r w:rsidRPr="00CC5557">
        <w:rPr>
          <w:rFonts w:ascii="Times New Roman" w:eastAsia="Calibri" w:hAnsi="Times New Roman"/>
          <w:sz w:val="24"/>
          <w:szCs w:val="24"/>
        </w:rPr>
        <w:t xml:space="preserve">, to the best of </w:t>
      </w:r>
      <w:r>
        <w:rPr>
          <w:rFonts w:ascii="Times New Roman" w:eastAsia="Calibri" w:hAnsi="Times New Roman"/>
          <w:sz w:val="24"/>
          <w:szCs w:val="24"/>
        </w:rPr>
        <w:t>M</w:t>
      </w:r>
      <w:r w:rsidRPr="00CC5557">
        <w:rPr>
          <w:rFonts w:ascii="Times New Roman" w:eastAsia="Calibri" w:hAnsi="Times New Roman"/>
          <w:sz w:val="24"/>
          <w:szCs w:val="24"/>
        </w:rPr>
        <w:t>anagement</w:t>
      </w:r>
      <w:r w:rsidR="00AF7831">
        <w:rPr>
          <w:rFonts w:ascii="Times New Roman" w:eastAsia="Calibri" w:hAnsi="Times New Roman"/>
          <w:sz w:val="24"/>
          <w:szCs w:val="24"/>
        </w:rPr>
        <w:t>’</w:t>
      </w:r>
      <w:r w:rsidRPr="00CC5557">
        <w:rPr>
          <w:rFonts w:ascii="Times New Roman" w:eastAsia="Calibri" w:hAnsi="Times New Roman"/>
          <w:sz w:val="24"/>
          <w:szCs w:val="24"/>
        </w:rPr>
        <w:t xml:space="preserve">s knowledge and belief, the expected </w:t>
      </w:r>
      <w:proofErr w:type="gramStart"/>
      <w:r>
        <w:rPr>
          <w:rFonts w:ascii="Times New Roman" w:eastAsia="Calibri" w:hAnsi="Times New Roman"/>
          <w:sz w:val="24"/>
          <w:szCs w:val="24"/>
        </w:rPr>
        <w:t>revenue</w:t>
      </w:r>
      <w:proofErr w:type="gramEnd"/>
      <w:r>
        <w:rPr>
          <w:rFonts w:ascii="Times New Roman" w:eastAsia="Calibri" w:hAnsi="Times New Roman"/>
          <w:sz w:val="24"/>
          <w:szCs w:val="24"/>
        </w:rPr>
        <w:t xml:space="preserve"> and earnings before </w:t>
      </w:r>
      <w:r w:rsidRPr="00CC5557">
        <w:rPr>
          <w:rFonts w:ascii="Times New Roman" w:eastAsia="Calibri" w:hAnsi="Times New Roman"/>
          <w:sz w:val="24"/>
          <w:szCs w:val="24"/>
        </w:rPr>
        <w:t>tax</w:t>
      </w:r>
      <w:r>
        <w:rPr>
          <w:rFonts w:ascii="Times New Roman" w:eastAsia="Calibri" w:hAnsi="Times New Roman"/>
          <w:sz w:val="24"/>
          <w:szCs w:val="24"/>
        </w:rPr>
        <w:t xml:space="preserve">es </w:t>
      </w:r>
      <w:r w:rsidRPr="00CC5557">
        <w:rPr>
          <w:rFonts w:ascii="Times New Roman" w:eastAsia="Calibri" w:hAnsi="Times New Roman"/>
          <w:sz w:val="24"/>
          <w:szCs w:val="24"/>
        </w:rPr>
        <w:t xml:space="preserve">of the </w:t>
      </w:r>
      <w:r>
        <w:rPr>
          <w:rFonts w:ascii="Times New Roman" w:eastAsia="Calibri" w:hAnsi="Times New Roman"/>
          <w:sz w:val="24"/>
          <w:szCs w:val="24"/>
        </w:rPr>
        <w:t>ASC</w:t>
      </w:r>
      <w:r w:rsidRPr="00CC5557">
        <w:rPr>
          <w:rFonts w:ascii="Times New Roman" w:eastAsia="Calibri" w:hAnsi="Times New Roman"/>
          <w:sz w:val="24"/>
          <w:szCs w:val="24"/>
        </w:rPr>
        <w:t xml:space="preserve"> for the forecast period. Accordingly, the forecast reflect</w:t>
      </w:r>
      <w:r>
        <w:rPr>
          <w:rFonts w:ascii="Times New Roman" w:eastAsia="Calibri" w:hAnsi="Times New Roman"/>
          <w:sz w:val="24"/>
          <w:szCs w:val="24"/>
        </w:rPr>
        <w:t>s</w:t>
      </w:r>
      <w:r w:rsidRPr="00CC5557">
        <w:rPr>
          <w:rFonts w:ascii="Times New Roman" w:eastAsia="Calibri" w:hAnsi="Times New Roman"/>
          <w:sz w:val="24"/>
          <w:szCs w:val="24"/>
        </w:rPr>
        <w:t xml:space="preserve"> </w:t>
      </w:r>
      <w:r>
        <w:rPr>
          <w:rFonts w:ascii="Times New Roman" w:eastAsia="Calibri" w:hAnsi="Times New Roman"/>
          <w:sz w:val="24"/>
          <w:szCs w:val="24"/>
        </w:rPr>
        <w:t>M</w:t>
      </w:r>
      <w:r w:rsidRPr="00CC5557">
        <w:rPr>
          <w:rFonts w:ascii="Times New Roman" w:eastAsia="Calibri" w:hAnsi="Times New Roman"/>
          <w:sz w:val="24"/>
          <w:szCs w:val="24"/>
        </w:rPr>
        <w:t>anagement</w:t>
      </w:r>
      <w:r w:rsidR="00AF7831">
        <w:rPr>
          <w:rFonts w:ascii="Times New Roman" w:eastAsia="Calibri" w:hAnsi="Times New Roman"/>
          <w:sz w:val="24"/>
          <w:szCs w:val="24"/>
        </w:rPr>
        <w:t>’</w:t>
      </w:r>
      <w:r w:rsidRPr="00CC5557">
        <w:rPr>
          <w:rFonts w:ascii="Times New Roman" w:eastAsia="Calibri" w:hAnsi="Times New Roman"/>
          <w:sz w:val="24"/>
          <w:szCs w:val="24"/>
        </w:rPr>
        <w:t xml:space="preserve">s judgment as of </w:t>
      </w:r>
      <w:r w:rsidR="00CC527A">
        <w:rPr>
          <w:rFonts w:ascii="Times New Roman" w:eastAsia="Calibri" w:hAnsi="Times New Roman"/>
          <w:sz w:val="24"/>
          <w:szCs w:val="24"/>
        </w:rPr>
        <w:t>April 12</w:t>
      </w:r>
      <w:r w:rsidRPr="00CC5557">
        <w:rPr>
          <w:rFonts w:ascii="Times New Roman" w:eastAsia="Calibri" w:hAnsi="Times New Roman"/>
          <w:sz w:val="24"/>
          <w:szCs w:val="24"/>
        </w:rPr>
        <w:t>,</w:t>
      </w:r>
      <w:r w:rsidR="00CC527A">
        <w:rPr>
          <w:rFonts w:ascii="Times New Roman" w:eastAsia="Calibri" w:hAnsi="Times New Roman"/>
          <w:sz w:val="24"/>
          <w:szCs w:val="24"/>
        </w:rPr>
        <w:t xml:space="preserve"> 2023,</w:t>
      </w:r>
      <w:r w:rsidRPr="00CC5557">
        <w:rPr>
          <w:rFonts w:ascii="Times New Roman" w:eastAsia="Calibri" w:hAnsi="Times New Roman"/>
          <w:sz w:val="24"/>
          <w:szCs w:val="24"/>
        </w:rPr>
        <w:t xml:space="preserve"> the date of th</w:t>
      </w:r>
      <w:r>
        <w:rPr>
          <w:rFonts w:ascii="Times New Roman" w:eastAsia="Calibri" w:hAnsi="Times New Roman"/>
          <w:sz w:val="24"/>
          <w:szCs w:val="24"/>
        </w:rPr>
        <w:t>is</w:t>
      </w:r>
      <w:r w:rsidRPr="00CC5557">
        <w:rPr>
          <w:rFonts w:ascii="Times New Roman" w:eastAsia="Calibri" w:hAnsi="Times New Roman"/>
          <w:sz w:val="24"/>
          <w:szCs w:val="24"/>
        </w:rPr>
        <w:t xml:space="preserve"> forecast, of the expected conditions and its expected course of action. The assumptions disclosed herein are those that </w:t>
      </w:r>
      <w:r>
        <w:rPr>
          <w:rFonts w:ascii="Times New Roman" w:eastAsia="Calibri" w:hAnsi="Times New Roman"/>
          <w:sz w:val="24"/>
          <w:szCs w:val="24"/>
        </w:rPr>
        <w:t>M</w:t>
      </w:r>
      <w:r w:rsidRPr="00CC5557">
        <w:rPr>
          <w:rFonts w:ascii="Times New Roman" w:eastAsia="Calibri" w:hAnsi="Times New Roman"/>
          <w:sz w:val="24"/>
          <w:szCs w:val="24"/>
        </w:rPr>
        <w:t xml:space="preserve">anagement believes are significant to the forecast. There will usually be differences between the </w:t>
      </w:r>
      <w:proofErr w:type="gramStart"/>
      <w:r w:rsidRPr="00CC5557">
        <w:rPr>
          <w:rFonts w:ascii="Times New Roman" w:eastAsia="Calibri" w:hAnsi="Times New Roman"/>
          <w:sz w:val="24"/>
          <w:szCs w:val="24"/>
        </w:rPr>
        <w:t>forecasted</w:t>
      </w:r>
      <w:proofErr w:type="gramEnd"/>
      <w:r w:rsidRPr="00CC5557">
        <w:rPr>
          <w:rFonts w:ascii="Times New Roman" w:eastAsia="Calibri" w:hAnsi="Times New Roman"/>
          <w:sz w:val="24"/>
          <w:szCs w:val="24"/>
        </w:rPr>
        <w:t xml:space="preserve"> and actual </w:t>
      </w:r>
      <w:proofErr w:type="gramStart"/>
      <w:r w:rsidRPr="00CC5557">
        <w:rPr>
          <w:rFonts w:ascii="Times New Roman" w:eastAsia="Calibri" w:hAnsi="Times New Roman"/>
          <w:sz w:val="24"/>
          <w:szCs w:val="24"/>
        </w:rPr>
        <w:t>results, because</w:t>
      </w:r>
      <w:proofErr w:type="gramEnd"/>
      <w:r w:rsidRPr="00CC5557">
        <w:rPr>
          <w:rFonts w:ascii="Times New Roman" w:eastAsia="Calibri" w:hAnsi="Times New Roman"/>
          <w:sz w:val="24"/>
          <w:szCs w:val="24"/>
        </w:rPr>
        <w:t xml:space="preserve"> events and circumstances frequently do not occur as expected, and those differences may be material.</w:t>
      </w:r>
    </w:p>
    <w:p w14:paraId="7CB9B004" w14:textId="77777777" w:rsidR="00CD340A" w:rsidRDefault="00CD340A" w:rsidP="00CD340A">
      <w:pPr>
        <w:pStyle w:val="FinancialText"/>
        <w:spacing w:line="240" w:lineRule="auto"/>
        <w:rPr>
          <w:rFonts w:ascii="Times New Roman" w:hAnsi="Times New Roman"/>
          <w:b/>
          <w:sz w:val="24"/>
          <w:szCs w:val="24"/>
        </w:rPr>
      </w:pPr>
    </w:p>
    <w:p w14:paraId="7AA28FA5" w14:textId="77777777" w:rsidR="00CD340A" w:rsidRPr="003D7270" w:rsidRDefault="00CD340A" w:rsidP="002B7E75">
      <w:pPr>
        <w:pStyle w:val="FinancialText"/>
        <w:numPr>
          <w:ilvl w:val="0"/>
          <w:numId w:val="45"/>
        </w:numPr>
        <w:spacing w:line="240" w:lineRule="auto"/>
        <w:ind w:left="0"/>
        <w:rPr>
          <w:rFonts w:ascii="Times New Roman" w:hAnsi="Times New Roman"/>
          <w:b/>
          <w:sz w:val="24"/>
          <w:szCs w:val="24"/>
        </w:rPr>
      </w:pPr>
      <w:r>
        <w:rPr>
          <w:rFonts w:ascii="Times New Roman" w:hAnsi="Times New Roman"/>
          <w:b/>
          <w:sz w:val="24"/>
          <w:szCs w:val="24"/>
        </w:rPr>
        <w:t>Summary of Significant Accounting Policies</w:t>
      </w:r>
    </w:p>
    <w:p w14:paraId="496DB96F" w14:textId="77777777" w:rsidR="00CD340A" w:rsidRDefault="00CD340A" w:rsidP="00CD340A">
      <w:pPr>
        <w:autoSpaceDE w:val="0"/>
        <w:autoSpaceDN w:val="0"/>
        <w:adjustRightInd w:val="0"/>
        <w:jc w:val="both"/>
        <w:rPr>
          <w:rFonts w:ascii="TimesNewRomanPSMT" w:hAnsi="TimesNewRomanPSMT" w:cs="TimesNewRomanPSMT"/>
          <w:sz w:val="24"/>
          <w:szCs w:val="24"/>
        </w:rPr>
      </w:pPr>
    </w:p>
    <w:p w14:paraId="116FA0FB" w14:textId="77777777" w:rsidR="00B50B55" w:rsidRDefault="00B50B55" w:rsidP="00CD340A">
      <w:pPr>
        <w:autoSpaceDE w:val="0"/>
        <w:autoSpaceDN w:val="0"/>
        <w:adjustRightInd w:val="0"/>
        <w:jc w:val="both"/>
        <w:rPr>
          <w:rFonts w:ascii="TimesNewRomanPSMT" w:hAnsi="TimesNewRomanPSMT" w:cs="TimesNewRomanPSMT"/>
          <w:sz w:val="24"/>
          <w:szCs w:val="24"/>
        </w:rPr>
      </w:pPr>
      <w:r>
        <w:rPr>
          <w:rFonts w:ascii="TimesNewRomanPSMT" w:hAnsi="TimesNewRomanPSMT" w:cs="TimesNewRomanPSMT"/>
          <w:sz w:val="24"/>
          <w:szCs w:val="24"/>
        </w:rPr>
        <w:t xml:space="preserve">This summary of significant accounting policies of the </w:t>
      </w:r>
      <w:r w:rsidR="00742D64">
        <w:rPr>
          <w:rFonts w:ascii="TimesNewRomanPSMT" w:hAnsi="TimesNewRomanPSMT" w:cs="TimesNewRomanPSMT"/>
          <w:sz w:val="24"/>
          <w:szCs w:val="24"/>
        </w:rPr>
        <w:t>Applicant</w:t>
      </w:r>
      <w:r>
        <w:rPr>
          <w:rFonts w:ascii="TimesNewRomanPSMT" w:hAnsi="TimesNewRomanPSMT" w:cs="TimesNewRomanPSMT"/>
          <w:sz w:val="24"/>
          <w:szCs w:val="24"/>
        </w:rPr>
        <w:t xml:space="preserve"> is presented to assist in understanding the </w:t>
      </w:r>
      <w:r w:rsidR="00742D64">
        <w:rPr>
          <w:rFonts w:ascii="TimesNewRomanPSMT" w:hAnsi="TimesNewRomanPSMT" w:cs="TimesNewRomanPSMT"/>
          <w:sz w:val="24"/>
          <w:szCs w:val="24"/>
        </w:rPr>
        <w:t>Applicant</w:t>
      </w:r>
      <w:r>
        <w:rPr>
          <w:rFonts w:ascii="TimesNewRomanPSMT" w:hAnsi="TimesNewRomanPSMT" w:cs="TimesNewRomanPSMT"/>
          <w:sz w:val="24"/>
          <w:szCs w:val="24"/>
        </w:rPr>
        <w:t xml:space="preserve">'s </w:t>
      </w:r>
      <w:r w:rsidR="00742D64">
        <w:rPr>
          <w:rFonts w:ascii="TimesNewRomanPSMT" w:hAnsi="TimesNewRomanPSMT" w:cs="TimesNewRomanPSMT"/>
          <w:sz w:val="24"/>
          <w:szCs w:val="24"/>
        </w:rPr>
        <w:t>financial forecast</w:t>
      </w:r>
      <w:r>
        <w:rPr>
          <w:rFonts w:ascii="TimesNewRomanPSMT" w:hAnsi="TimesNewRomanPSMT" w:cs="TimesNewRomanPSMT"/>
          <w:sz w:val="24"/>
          <w:szCs w:val="24"/>
        </w:rPr>
        <w:t xml:space="preserve">. The financial </w:t>
      </w:r>
      <w:r w:rsidR="00742D64">
        <w:rPr>
          <w:rFonts w:ascii="TimesNewRomanPSMT" w:hAnsi="TimesNewRomanPSMT" w:cs="TimesNewRomanPSMT"/>
          <w:sz w:val="24"/>
          <w:szCs w:val="24"/>
        </w:rPr>
        <w:t>forecast</w:t>
      </w:r>
      <w:r>
        <w:rPr>
          <w:rFonts w:ascii="TimesNewRomanPSMT" w:hAnsi="TimesNewRomanPSMT" w:cs="TimesNewRomanPSMT"/>
          <w:sz w:val="24"/>
          <w:szCs w:val="24"/>
        </w:rPr>
        <w:t xml:space="preserve"> and notes are</w:t>
      </w:r>
      <w:r w:rsidR="00CD340A">
        <w:rPr>
          <w:rFonts w:ascii="TimesNewRomanPSMT" w:hAnsi="TimesNewRomanPSMT" w:cs="TimesNewRomanPSMT"/>
          <w:sz w:val="24"/>
          <w:szCs w:val="24"/>
        </w:rPr>
        <w:t xml:space="preserve"> </w:t>
      </w:r>
      <w:r>
        <w:rPr>
          <w:rFonts w:ascii="TimesNewRomanPSMT" w:hAnsi="TimesNewRomanPSMT" w:cs="TimesNewRomanPSMT"/>
          <w:sz w:val="24"/>
          <w:szCs w:val="24"/>
        </w:rPr>
        <w:t xml:space="preserve">representations of the </w:t>
      </w:r>
      <w:r w:rsidR="00742D64">
        <w:rPr>
          <w:rFonts w:ascii="TimesNewRomanPSMT" w:hAnsi="TimesNewRomanPSMT" w:cs="TimesNewRomanPSMT"/>
          <w:sz w:val="24"/>
          <w:szCs w:val="24"/>
        </w:rPr>
        <w:t>Applicant’</w:t>
      </w:r>
      <w:r>
        <w:rPr>
          <w:rFonts w:ascii="TimesNewRomanPSMT" w:hAnsi="TimesNewRomanPSMT" w:cs="TimesNewRomanPSMT"/>
          <w:sz w:val="24"/>
          <w:szCs w:val="24"/>
        </w:rPr>
        <w:t>s management, which is responsible for their integrity and</w:t>
      </w:r>
      <w:r w:rsidR="00CD340A">
        <w:rPr>
          <w:rFonts w:ascii="TimesNewRomanPSMT" w:hAnsi="TimesNewRomanPSMT" w:cs="TimesNewRomanPSMT"/>
          <w:sz w:val="24"/>
          <w:szCs w:val="24"/>
        </w:rPr>
        <w:t xml:space="preserve"> </w:t>
      </w:r>
      <w:r>
        <w:rPr>
          <w:rFonts w:ascii="TimesNewRomanPSMT" w:hAnsi="TimesNewRomanPSMT" w:cs="TimesNewRomanPSMT"/>
          <w:sz w:val="24"/>
          <w:szCs w:val="24"/>
        </w:rPr>
        <w:t>objectivity. These accounting policies conform to accounting principles generally accepted</w:t>
      </w:r>
      <w:r w:rsidR="00CD340A">
        <w:rPr>
          <w:rFonts w:ascii="TimesNewRomanPSMT" w:hAnsi="TimesNewRomanPSMT" w:cs="TimesNewRomanPSMT"/>
          <w:sz w:val="24"/>
          <w:szCs w:val="24"/>
        </w:rPr>
        <w:t xml:space="preserve"> </w:t>
      </w:r>
      <w:r>
        <w:rPr>
          <w:rFonts w:ascii="TimesNewRomanPSMT" w:hAnsi="TimesNewRomanPSMT" w:cs="TimesNewRomanPSMT"/>
          <w:sz w:val="24"/>
          <w:szCs w:val="24"/>
        </w:rPr>
        <w:t>in the United States of America (U.S. GAAP) and have been consistently applied in the</w:t>
      </w:r>
      <w:r w:rsidR="00CD340A">
        <w:rPr>
          <w:rFonts w:ascii="TimesNewRomanPSMT" w:hAnsi="TimesNewRomanPSMT" w:cs="TimesNewRomanPSMT"/>
          <w:sz w:val="24"/>
          <w:szCs w:val="24"/>
        </w:rPr>
        <w:t xml:space="preserve"> </w:t>
      </w:r>
      <w:r>
        <w:rPr>
          <w:rFonts w:ascii="TimesNewRomanPSMT" w:hAnsi="TimesNewRomanPSMT" w:cs="TimesNewRomanPSMT"/>
          <w:sz w:val="24"/>
          <w:szCs w:val="24"/>
        </w:rPr>
        <w:t xml:space="preserve">preparation of the financial </w:t>
      </w:r>
      <w:r w:rsidR="00742D64">
        <w:rPr>
          <w:rFonts w:ascii="TimesNewRomanPSMT" w:hAnsi="TimesNewRomanPSMT" w:cs="TimesNewRomanPSMT"/>
          <w:sz w:val="24"/>
          <w:szCs w:val="24"/>
        </w:rPr>
        <w:t>forecast</w:t>
      </w:r>
      <w:r>
        <w:rPr>
          <w:rFonts w:ascii="TimesNewRomanPSMT" w:hAnsi="TimesNewRomanPSMT" w:cs="TimesNewRomanPSMT"/>
          <w:sz w:val="24"/>
          <w:szCs w:val="24"/>
        </w:rPr>
        <w:t>.</w:t>
      </w:r>
    </w:p>
    <w:p w14:paraId="027F85DE" w14:textId="77777777" w:rsidR="00CD340A" w:rsidRDefault="00CD340A" w:rsidP="00CD340A">
      <w:pPr>
        <w:autoSpaceDE w:val="0"/>
        <w:autoSpaceDN w:val="0"/>
        <w:adjustRightInd w:val="0"/>
        <w:jc w:val="both"/>
        <w:rPr>
          <w:rFonts w:ascii="TimesNewRomanPSMT" w:hAnsi="TimesNewRomanPSMT" w:cs="TimesNewRomanPSMT"/>
          <w:sz w:val="24"/>
          <w:szCs w:val="24"/>
        </w:rPr>
      </w:pPr>
    </w:p>
    <w:p w14:paraId="713F5077" w14:textId="77777777" w:rsidR="00CD340A" w:rsidRPr="003D7270" w:rsidRDefault="00CD340A" w:rsidP="00CD340A">
      <w:pPr>
        <w:jc w:val="both"/>
        <w:rPr>
          <w:rFonts w:ascii="Times New Roman" w:eastAsia="Calibri" w:hAnsi="Times New Roman"/>
          <w:b/>
          <w:bCs/>
          <w:i/>
          <w:iCs/>
          <w:sz w:val="24"/>
          <w:szCs w:val="24"/>
        </w:rPr>
      </w:pPr>
      <w:r w:rsidRPr="003D7270">
        <w:rPr>
          <w:rFonts w:ascii="Times New Roman" w:eastAsia="Calibri" w:hAnsi="Times New Roman"/>
          <w:b/>
          <w:bCs/>
          <w:i/>
          <w:iCs/>
          <w:sz w:val="24"/>
          <w:szCs w:val="24"/>
        </w:rPr>
        <w:t>Revenues</w:t>
      </w:r>
    </w:p>
    <w:p w14:paraId="24FED5A1" w14:textId="331D6D5B" w:rsidR="00CD340A" w:rsidRDefault="00CD340A" w:rsidP="00CD340A">
      <w:pPr>
        <w:autoSpaceDE w:val="0"/>
        <w:autoSpaceDN w:val="0"/>
        <w:adjustRightInd w:val="0"/>
        <w:jc w:val="both"/>
        <w:rPr>
          <w:rFonts w:ascii="TimesNewRomanPSMT" w:hAnsi="TimesNewRomanPSMT" w:cs="TimesNewRomanPSMT"/>
          <w:sz w:val="24"/>
          <w:szCs w:val="24"/>
        </w:rPr>
      </w:pPr>
      <w:r>
        <w:rPr>
          <w:rFonts w:ascii="TimesNewRomanPSMT" w:hAnsi="TimesNewRomanPSMT" w:cs="TimesNewRomanPSMT"/>
          <w:sz w:val="24"/>
          <w:szCs w:val="24"/>
        </w:rPr>
        <w:t xml:space="preserve">Revenue from medical services is reported at the amount that reflects the consideration to which the Applicant expects to be entitled in exchange for providing patient care. Amounts are due from patients, third-party payers and others and include variable consideration for retroactive adjustments due to settlement of audits, </w:t>
      </w:r>
      <w:r w:rsidR="000A3EE5">
        <w:rPr>
          <w:rFonts w:ascii="TimesNewRomanPSMT" w:hAnsi="TimesNewRomanPSMT" w:cs="TimesNewRomanPSMT"/>
          <w:sz w:val="24"/>
          <w:szCs w:val="24"/>
        </w:rPr>
        <w:t>reviews,</w:t>
      </w:r>
      <w:r>
        <w:rPr>
          <w:rFonts w:ascii="TimesNewRomanPSMT" w:hAnsi="TimesNewRomanPSMT" w:cs="TimesNewRomanPSMT"/>
          <w:sz w:val="24"/>
          <w:szCs w:val="24"/>
        </w:rPr>
        <w:t xml:space="preserve"> and investigations.</w:t>
      </w:r>
    </w:p>
    <w:p w14:paraId="5F56375C" w14:textId="77777777" w:rsidR="00CD340A" w:rsidRDefault="00CD340A" w:rsidP="00CD340A">
      <w:pPr>
        <w:autoSpaceDE w:val="0"/>
        <w:autoSpaceDN w:val="0"/>
        <w:adjustRightInd w:val="0"/>
        <w:jc w:val="both"/>
        <w:rPr>
          <w:rFonts w:ascii="TimesNewRomanPSMT" w:hAnsi="TimesNewRomanPSMT" w:cs="TimesNewRomanPSMT"/>
          <w:sz w:val="24"/>
          <w:szCs w:val="24"/>
        </w:rPr>
      </w:pPr>
    </w:p>
    <w:p w14:paraId="0996B544" w14:textId="77777777" w:rsidR="00CD340A" w:rsidRDefault="003E24AE" w:rsidP="00CD340A">
      <w:pPr>
        <w:autoSpaceDE w:val="0"/>
        <w:autoSpaceDN w:val="0"/>
        <w:adjustRightInd w:val="0"/>
        <w:jc w:val="both"/>
        <w:rPr>
          <w:rFonts w:ascii="TimesNewRomanPSMT" w:hAnsi="TimesNewRomanPSMT" w:cs="TimesNewRomanPSMT"/>
          <w:sz w:val="24"/>
          <w:szCs w:val="24"/>
        </w:rPr>
      </w:pPr>
      <w:r>
        <w:rPr>
          <w:rFonts w:ascii="TimesNewRomanPSMT" w:hAnsi="TimesNewRomanPSMT" w:cs="TimesNewRomanPSMT"/>
          <w:sz w:val="24"/>
          <w:szCs w:val="24"/>
        </w:rPr>
        <w:br w:type="page"/>
      </w:r>
      <w:r w:rsidR="00CD340A">
        <w:rPr>
          <w:rFonts w:ascii="TimesNewRomanPSMT" w:hAnsi="TimesNewRomanPSMT" w:cs="TimesNewRomanPSMT"/>
          <w:sz w:val="24"/>
          <w:szCs w:val="24"/>
        </w:rPr>
        <w:lastRenderedPageBreak/>
        <w:t xml:space="preserve">Performance obligations for inpatient services are </w:t>
      </w:r>
      <w:r w:rsidR="006E3B40">
        <w:rPr>
          <w:rFonts w:ascii="TimesNewRomanPSMT" w:hAnsi="TimesNewRomanPSMT" w:cs="TimesNewRomanPSMT"/>
          <w:sz w:val="24"/>
          <w:szCs w:val="24"/>
        </w:rPr>
        <w:t>expected to be</w:t>
      </w:r>
      <w:r w:rsidR="00CD340A">
        <w:rPr>
          <w:rFonts w:ascii="TimesNewRomanPSMT" w:hAnsi="TimesNewRomanPSMT" w:cs="TimesNewRomanPSMT"/>
          <w:sz w:val="24"/>
          <w:szCs w:val="24"/>
        </w:rPr>
        <w:t xml:space="preserve"> satisfied over one to five days. Performance obligations for outpatient services are generally </w:t>
      </w:r>
      <w:r w:rsidR="006E3B40">
        <w:rPr>
          <w:rFonts w:ascii="TimesNewRomanPSMT" w:hAnsi="TimesNewRomanPSMT" w:cs="TimesNewRomanPSMT"/>
          <w:sz w:val="24"/>
          <w:szCs w:val="24"/>
        </w:rPr>
        <w:t xml:space="preserve">expected to be </w:t>
      </w:r>
      <w:r w:rsidR="00CD340A">
        <w:rPr>
          <w:rFonts w:ascii="TimesNewRomanPSMT" w:hAnsi="TimesNewRomanPSMT" w:cs="TimesNewRomanPSMT"/>
          <w:sz w:val="24"/>
          <w:szCs w:val="24"/>
        </w:rPr>
        <w:t xml:space="preserve">satisfied in one day. Due to the short period of time over which the performance obligation is satisfied, the </w:t>
      </w:r>
      <w:r w:rsidR="006E3B40">
        <w:rPr>
          <w:rFonts w:ascii="TimesNewRomanPSMT" w:hAnsi="TimesNewRomanPSMT" w:cs="TimesNewRomanPSMT"/>
          <w:sz w:val="24"/>
          <w:szCs w:val="24"/>
        </w:rPr>
        <w:t>Applicant</w:t>
      </w:r>
      <w:r w:rsidR="00CD340A">
        <w:rPr>
          <w:rFonts w:ascii="TimesNewRomanPSMT" w:hAnsi="TimesNewRomanPSMT" w:cs="TimesNewRomanPSMT"/>
          <w:sz w:val="24"/>
          <w:szCs w:val="24"/>
        </w:rPr>
        <w:t xml:space="preserve"> </w:t>
      </w:r>
      <w:r w:rsidR="006E3B40">
        <w:rPr>
          <w:rFonts w:ascii="TimesNewRomanPSMT" w:hAnsi="TimesNewRomanPSMT" w:cs="TimesNewRomanPSMT"/>
          <w:sz w:val="24"/>
          <w:szCs w:val="24"/>
        </w:rPr>
        <w:t xml:space="preserve">will </w:t>
      </w:r>
      <w:r w:rsidR="00CD340A">
        <w:rPr>
          <w:rFonts w:ascii="TimesNewRomanPSMT" w:hAnsi="TimesNewRomanPSMT" w:cs="TimesNewRomanPSMT"/>
          <w:sz w:val="24"/>
          <w:szCs w:val="24"/>
        </w:rPr>
        <w:t xml:space="preserve">recognize revenue for all medical services at a point in time on the day the service </w:t>
      </w:r>
      <w:r w:rsidR="006E3B40">
        <w:rPr>
          <w:rFonts w:ascii="TimesNewRomanPSMT" w:hAnsi="TimesNewRomanPSMT" w:cs="TimesNewRomanPSMT"/>
          <w:sz w:val="24"/>
          <w:szCs w:val="24"/>
        </w:rPr>
        <w:t>is</w:t>
      </w:r>
      <w:r w:rsidR="00CD340A">
        <w:rPr>
          <w:rFonts w:ascii="TimesNewRomanPSMT" w:hAnsi="TimesNewRomanPSMT" w:cs="TimesNewRomanPSMT"/>
          <w:sz w:val="24"/>
          <w:szCs w:val="24"/>
        </w:rPr>
        <w:t xml:space="preserve"> performed.</w:t>
      </w:r>
    </w:p>
    <w:p w14:paraId="75B4BA4E" w14:textId="77777777" w:rsidR="004C2807" w:rsidRDefault="004C2807" w:rsidP="004C2807">
      <w:pPr>
        <w:jc w:val="both"/>
        <w:rPr>
          <w:rFonts w:ascii="Times New Roman" w:eastAsia="Calibri" w:hAnsi="Times New Roman"/>
          <w:b/>
          <w:bCs/>
          <w:i/>
          <w:iCs/>
          <w:sz w:val="24"/>
          <w:szCs w:val="24"/>
        </w:rPr>
      </w:pPr>
    </w:p>
    <w:p w14:paraId="315C42EA" w14:textId="77777777" w:rsidR="004C2807" w:rsidRPr="003D7270" w:rsidRDefault="004C2807" w:rsidP="003D7270">
      <w:pPr>
        <w:pStyle w:val="FinancialText"/>
        <w:spacing w:line="240" w:lineRule="auto"/>
        <w:ind w:left="0" w:firstLine="0"/>
        <w:jc w:val="both"/>
        <w:rPr>
          <w:rFonts w:ascii="Times New Roman" w:hAnsi="Times New Roman"/>
          <w:sz w:val="24"/>
          <w:szCs w:val="24"/>
        </w:rPr>
      </w:pPr>
    </w:p>
    <w:p w14:paraId="3B7FD929" w14:textId="77777777" w:rsidR="0084332E" w:rsidRPr="003D7270" w:rsidRDefault="0026571C" w:rsidP="002B7E75">
      <w:pPr>
        <w:pStyle w:val="ClientName"/>
        <w:numPr>
          <w:ilvl w:val="0"/>
          <w:numId w:val="45"/>
        </w:numPr>
        <w:ind w:left="0"/>
        <w:jc w:val="left"/>
        <w:rPr>
          <w:rFonts w:ascii="Times New Roman" w:hAnsi="Times New Roman"/>
          <w:b/>
          <w:caps w:val="0"/>
          <w:sz w:val="24"/>
          <w:szCs w:val="24"/>
          <w:u w:val="none"/>
        </w:rPr>
      </w:pPr>
      <w:r>
        <w:rPr>
          <w:rFonts w:ascii="Times New Roman" w:hAnsi="Times New Roman"/>
          <w:b/>
          <w:caps w:val="0"/>
          <w:sz w:val="24"/>
          <w:szCs w:val="24"/>
          <w:u w:val="none"/>
        </w:rPr>
        <w:t>Summary of Significant Assumptions</w:t>
      </w:r>
    </w:p>
    <w:p w14:paraId="32BABEAE" w14:textId="77777777" w:rsidR="00933ED2" w:rsidRDefault="00933ED2" w:rsidP="005C5338">
      <w:pPr>
        <w:spacing w:after="160"/>
        <w:jc w:val="both"/>
        <w:rPr>
          <w:rFonts w:ascii="Times New Roman" w:eastAsia="Calibri" w:hAnsi="Times New Roman"/>
          <w:sz w:val="24"/>
          <w:szCs w:val="24"/>
        </w:rPr>
      </w:pPr>
    </w:p>
    <w:p w14:paraId="4131E94F" w14:textId="77777777" w:rsidR="00253664" w:rsidRPr="003D7270" w:rsidRDefault="00253664" w:rsidP="005C5338">
      <w:pPr>
        <w:spacing w:after="160"/>
        <w:jc w:val="both"/>
        <w:rPr>
          <w:rFonts w:ascii="Times New Roman" w:eastAsia="Calibri" w:hAnsi="Times New Roman"/>
          <w:sz w:val="24"/>
          <w:szCs w:val="24"/>
        </w:rPr>
      </w:pPr>
      <w:r w:rsidRPr="003D7270">
        <w:rPr>
          <w:rFonts w:ascii="Times New Roman" w:eastAsia="Calibri" w:hAnsi="Times New Roman"/>
          <w:sz w:val="24"/>
          <w:szCs w:val="24"/>
        </w:rPr>
        <w:t xml:space="preserve">This report is based upon an </w:t>
      </w:r>
      <w:r w:rsidRPr="002B7E75">
        <w:rPr>
          <w:rFonts w:ascii="Times New Roman" w:eastAsia="Calibri" w:hAnsi="Times New Roman"/>
          <w:sz w:val="24"/>
          <w:szCs w:val="24"/>
        </w:rPr>
        <w:t>analysis</w:t>
      </w:r>
      <w:r w:rsidRPr="003D7270">
        <w:rPr>
          <w:rFonts w:ascii="Times New Roman" w:eastAsia="Calibri" w:hAnsi="Times New Roman"/>
          <w:sz w:val="24"/>
          <w:szCs w:val="24"/>
        </w:rPr>
        <w:t xml:space="preserve"> of historical Physician data and prospective financial information provided to us by Manageme</w:t>
      </w:r>
      <w:r w:rsidRPr="00915060">
        <w:rPr>
          <w:rFonts w:ascii="Times New Roman" w:eastAsia="Calibri" w:hAnsi="Times New Roman"/>
          <w:sz w:val="24"/>
          <w:szCs w:val="24"/>
        </w:rPr>
        <w:t>nt</w:t>
      </w:r>
      <w:r w:rsidR="00915060" w:rsidRPr="00915060">
        <w:rPr>
          <w:rFonts w:ascii="Times New Roman" w:eastAsia="Calibri" w:hAnsi="Times New Roman"/>
          <w:sz w:val="24"/>
          <w:szCs w:val="24"/>
        </w:rPr>
        <w:t xml:space="preserve">. </w:t>
      </w:r>
    </w:p>
    <w:p w14:paraId="32D05C35" w14:textId="77777777" w:rsidR="00C62902" w:rsidRPr="003D7270" w:rsidRDefault="00C62902" w:rsidP="005C5338">
      <w:pPr>
        <w:spacing w:after="160"/>
        <w:jc w:val="both"/>
        <w:rPr>
          <w:rFonts w:ascii="Times New Roman" w:eastAsia="Calibri" w:hAnsi="Times New Roman"/>
          <w:sz w:val="24"/>
          <w:szCs w:val="24"/>
        </w:rPr>
      </w:pPr>
      <w:r w:rsidRPr="003D7270">
        <w:rPr>
          <w:rFonts w:ascii="Times New Roman" w:eastAsia="Calibri" w:hAnsi="Times New Roman"/>
          <w:sz w:val="24"/>
          <w:szCs w:val="24"/>
        </w:rPr>
        <w:t>Management engaged an independent health care consultant, Health Capital Consultants (HCC)</w:t>
      </w:r>
      <w:r w:rsidR="0010020E">
        <w:rPr>
          <w:rFonts w:ascii="Times New Roman" w:eastAsia="Calibri" w:hAnsi="Times New Roman"/>
          <w:sz w:val="24"/>
          <w:szCs w:val="24"/>
        </w:rPr>
        <w:t>,</w:t>
      </w:r>
      <w:r w:rsidRPr="003D7270">
        <w:rPr>
          <w:rFonts w:ascii="Times New Roman" w:eastAsia="Calibri" w:hAnsi="Times New Roman"/>
          <w:sz w:val="24"/>
          <w:szCs w:val="24"/>
        </w:rPr>
        <w:t xml:space="preserve"> to assist in the preparation of the Forecast and Analysis of Industry Benchmarks. </w:t>
      </w:r>
    </w:p>
    <w:p w14:paraId="7E6E354B" w14:textId="2C9014EC" w:rsidR="004E5905" w:rsidRDefault="004E5905" w:rsidP="005C5338">
      <w:pPr>
        <w:spacing w:after="160"/>
        <w:jc w:val="both"/>
        <w:rPr>
          <w:rFonts w:ascii="Times New Roman" w:eastAsia="Calibri" w:hAnsi="Times New Roman"/>
          <w:sz w:val="24"/>
          <w:szCs w:val="24"/>
        </w:rPr>
      </w:pPr>
      <w:r w:rsidRPr="003D7270">
        <w:rPr>
          <w:rFonts w:ascii="Times New Roman" w:eastAsia="Calibri" w:hAnsi="Times New Roman"/>
          <w:sz w:val="24"/>
          <w:szCs w:val="24"/>
        </w:rPr>
        <w:t>Reasonableness is defined within the context of this report as supportable and proper, given the underlying information.  Feasibility is defined as based on the assumptions used</w:t>
      </w:r>
      <w:r w:rsidR="00DA4E96">
        <w:rPr>
          <w:rFonts w:ascii="Times New Roman" w:eastAsia="Calibri" w:hAnsi="Times New Roman"/>
          <w:sz w:val="24"/>
          <w:szCs w:val="24"/>
        </w:rPr>
        <w:t xml:space="preserve"> and operating costs to support the Proposed Project without negative impacts or consequences to the Applicant’s Patient Panel (DoN Regulation 100.210(A)(4)).</w:t>
      </w:r>
    </w:p>
    <w:p w14:paraId="64FF687E" w14:textId="77777777" w:rsidR="00677F99" w:rsidRPr="002B7E75" w:rsidRDefault="00677F99" w:rsidP="005C5338">
      <w:pPr>
        <w:spacing w:after="160"/>
        <w:jc w:val="both"/>
        <w:rPr>
          <w:rFonts w:ascii="Times New Roman" w:eastAsia="Calibri" w:hAnsi="Times New Roman"/>
          <w:b/>
          <w:sz w:val="24"/>
          <w:szCs w:val="24"/>
        </w:rPr>
      </w:pPr>
      <w:r w:rsidRPr="002B7E75">
        <w:rPr>
          <w:rFonts w:ascii="Times New Roman" w:eastAsia="Calibri" w:hAnsi="Times New Roman"/>
          <w:b/>
          <w:i/>
          <w:iCs/>
          <w:sz w:val="24"/>
          <w:szCs w:val="24"/>
        </w:rPr>
        <w:t>Sources of Information Utilized</w:t>
      </w:r>
    </w:p>
    <w:p w14:paraId="3558997E" w14:textId="77777777" w:rsidR="00253664" w:rsidRPr="00D3317F" w:rsidRDefault="00253664" w:rsidP="00FA772B">
      <w:pPr>
        <w:spacing w:after="160"/>
        <w:jc w:val="both"/>
        <w:rPr>
          <w:rFonts w:ascii="Times New Roman" w:eastAsia="Calibri" w:hAnsi="Times New Roman"/>
          <w:sz w:val="24"/>
          <w:szCs w:val="24"/>
        </w:rPr>
      </w:pPr>
      <w:r w:rsidRPr="00D3317F">
        <w:rPr>
          <w:rFonts w:ascii="Times New Roman" w:eastAsia="Calibri" w:hAnsi="Times New Roman"/>
          <w:sz w:val="24"/>
          <w:szCs w:val="24"/>
        </w:rPr>
        <w:t>The following information was used and relied upon and/or referenced in this report:</w:t>
      </w:r>
    </w:p>
    <w:p w14:paraId="230549F2" w14:textId="77777777" w:rsidR="00253664" w:rsidRPr="00D3317F" w:rsidRDefault="00036104" w:rsidP="00FA772B">
      <w:pPr>
        <w:numPr>
          <w:ilvl w:val="0"/>
          <w:numId w:val="44"/>
        </w:numPr>
        <w:jc w:val="both"/>
        <w:rPr>
          <w:rFonts w:ascii="Times New Roman" w:eastAsia="Calibri" w:hAnsi="Times New Roman"/>
          <w:sz w:val="24"/>
          <w:szCs w:val="24"/>
        </w:rPr>
      </w:pPr>
      <w:r>
        <w:rPr>
          <w:rFonts w:ascii="Times New Roman" w:eastAsia="Calibri" w:hAnsi="Times New Roman"/>
          <w:sz w:val="24"/>
          <w:szCs w:val="24"/>
        </w:rPr>
        <w:t>Forecasted</w:t>
      </w:r>
      <w:r w:rsidR="00253664" w:rsidRPr="00D3317F">
        <w:rPr>
          <w:rFonts w:ascii="Times New Roman" w:eastAsia="Calibri" w:hAnsi="Times New Roman"/>
          <w:sz w:val="24"/>
          <w:szCs w:val="24"/>
        </w:rPr>
        <w:t>/proforma revenue and expenses for Year 1 through Year 5 of the Proposed ASC.</w:t>
      </w:r>
    </w:p>
    <w:p w14:paraId="1CF29438" w14:textId="77777777" w:rsidR="00253664" w:rsidRPr="00D3317F" w:rsidRDefault="00253664" w:rsidP="00FA772B">
      <w:pPr>
        <w:numPr>
          <w:ilvl w:val="0"/>
          <w:numId w:val="44"/>
        </w:numPr>
        <w:ind w:left="720" w:hanging="720"/>
        <w:jc w:val="both"/>
        <w:rPr>
          <w:rFonts w:ascii="Times New Roman" w:eastAsia="Calibri" w:hAnsi="Times New Roman"/>
          <w:sz w:val="24"/>
          <w:szCs w:val="24"/>
        </w:rPr>
      </w:pPr>
      <w:r w:rsidRPr="00D3317F">
        <w:rPr>
          <w:rFonts w:ascii="Times New Roman" w:eastAsia="Calibri" w:hAnsi="Times New Roman"/>
          <w:sz w:val="24"/>
          <w:szCs w:val="24"/>
        </w:rPr>
        <w:t>Management/HCC-prepared Proforma Case Volume for the ASC for Years 1 through 5 of the Proposed ASC.</w:t>
      </w:r>
    </w:p>
    <w:p w14:paraId="212CF0E0" w14:textId="77777777" w:rsidR="00253664" w:rsidRPr="00D3317F" w:rsidRDefault="00253664" w:rsidP="00FA772B">
      <w:pPr>
        <w:numPr>
          <w:ilvl w:val="0"/>
          <w:numId w:val="44"/>
        </w:numPr>
        <w:ind w:left="720" w:hanging="720"/>
        <w:jc w:val="both"/>
        <w:rPr>
          <w:rFonts w:ascii="Times New Roman" w:eastAsia="Calibri" w:hAnsi="Times New Roman"/>
          <w:sz w:val="24"/>
          <w:szCs w:val="24"/>
        </w:rPr>
      </w:pPr>
      <w:r w:rsidRPr="00D3317F">
        <w:rPr>
          <w:rFonts w:ascii="Times New Roman" w:eastAsia="Calibri" w:hAnsi="Times New Roman"/>
          <w:sz w:val="24"/>
          <w:szCs w:val="24"/>
        </w:rPr>
        <w:t xml:space="preserve">Historical volume of procedures performed by certain physicians for the fiscal year ended December 31, </w:t>
      </w:r>
      <w:r w:rsidR="001C71D3" w:rsidRPr="00D3317F">
        <w:rPr>
          <w:rFonts w:ascii="Times New Roman" w:eastAsia="Calibri" w:hAnsi="Times New Roman"/>
          <w:sz w:val="24"/>
          <w:szCs w:val="24"/>
        </w:rPr>
        <w:t>2021,</w:t>
      </w:r>
      <w:r w:rsidRPr="00D3317F">
        <w:rPr>
          <w:rFonts w:ascii="Times New Roman" w:eastAsia="Calibri" w:hAnsi="Times New Roman"/>
          <w:sz w:val="24"/>
          <w:szCs w:val="24"/>
        </w:rPr>
        <w:t xml:space="preserve"> and the </w:t>
      </w:r>
      <w:r w:rsidR="00036104">
        <w:rPr>
          <w:rFonts w:ascii="Times New Roman" w:eastAsia="Calibri" w:hAnsi="Times New Roman"/>
          <w:sz w:val="24"/>
          <w:szCs w:val="24"/>
        </w:rPr>
        <w:t>forecasted/pro</w:t>
      </w:r>
      <w:r w:rsidRPr="00D3317F">
        <w:rPr>
          <w:rFonts w:ascii="Times New Roman" w:eastAsia="Calibri" w:hAnsi="Times New Roman"/>
          <w:sz w:val="24"/>
          <w:szCs w:val="24"/>
        </w:rPr>
        <w:t>forma volume for the Proposed ASC for Year 1 through Year 5 of the Proposed ASC.</w:t>
      </w:r>
    </w:p>
    <w:p w14:paraId="5421949F" w14:textId="1C9F4BBF" w:rsidR="00253664" w:rsidRPr="00D3317F" w:rsidRDefault="00253664" w:rsidP="00FA772B">
      <w:pPr>
        <w:numPr>
          <w:ilvl w:val="0"/>
          <w:numId w:val="44"/>
        </w:numPr>
        <w:ind w:left="720" w:hanging="720"/>
        <w:jc w:val="both"/>
        <w:rPr>
          <w:rFonts w:ascii="Times New Roman" w:eastAsia="Calibri" w:hAnsi="Times New Roman"/>
          <w:sz w:val="24"/>
          <w:szCs w:val="24"/>
        </w:rPr>
      </w:pPr>
      <w:r w:rsidRPr="00D3317F">
        <w:rPr>
          <w:rFonts w:ascii="Times New Roman" w:eastAsia="Calibri" w:hAnsi="Times New Roman"/>
          <w:sz w:val="24"/>
          <w:szCs w:val="24"/>
        </w:rPr>
        <w:t xml:space="preserve">Executed Letter of Intent for a commercial lease between 1265 Main Medical Owner, LLC and </w:t>
      </w:r>
      <w:r w:rsidR="0029003E">
        <w:rPr>
          <w:rFonts w:ascii="Times New Roman" w:eastAsia="Calibri" w:hAnsi="Times New Roman"/>
          <w:sz w:val="24"/>
          <w:szCs w:val="24"/>
        </w:rPr>
        <w:t>Boston Outpatient Surgical Suites</w:t>
      </w:r>
      <w:r w:rsidRPr="00D3317F">
        <w:rPr>
          <w:rFonts w:ascii="Times New Roman" w:eastAsia="Calibri" w:hAnsi="Times New Roman"/>
          <w:sz w:val="24"/>
          <w:szCs w:val="24"/>
        </w:rPr>
        <w:t>, LLC.</w:t>
      </w:r>
    </w:p>
    <w:p w14:paraId="274F6A09" w14:textId="77777777" w:rsidR="00253664" w:rsidRPr="00D3317F" w:rsidRDefault="00253664" w:rsidP="00FA772B">
      <w:pPr>
        <w:numPr>
          <w:ilvl w:val="0"/>
          <w:numId w:val="44"/>
        </w:numPr>
        <w:jc w:val="both"/>
        <w:rPr>
          <w:rFonts w:ascii="Times New Roman" w:eastAsia="Calibri" w:hAnsi="Times New Roman"/>
          <w:sz w:val="24"/>
          <w:szCs w:val="24"/>
        </w:rPr>
      </w:pPr>
      <w:r w:rsidRPr="00D3317F">
        <w:rPr>
          <w:rFonts w:ascii="Times New Roman" w:eastAsia="Calibri" w:hAnsi="Times New Roman"/>
          <w:sz w:val="24"/>
          <w:szCs w:val="24"/>
        </w:rPr>
        <w:t>DoN Application Instructions dated March 2017.</w:t>
      </w:r>
    </w:p>
    <w:p w14:paraId="2CA39FAE" w14:textId="77777777" w:rsidR="00253664" w:rsidRPr="00D3317F" w:rsidRDefault="00253664" w:rsidP="00FA772B">
      <w:pPr>
        <w:numPr>
          <w:ilvl w:val="0"/>
          <w:numId w:val="44"/>
        </w:numPr>
        <w:jc w:val="both"/>
        <w:rPr>
          <w:rFonts w:ascii="Times New Roman" w:eastAsia="Calibri" w:hAnsi="Times New Roman"/>
          <w:sz w:val="24"/>
          <w:szCs w:val="24"/>
        </w:rPr>
      </w:pPr>
      <w:r w:rsidRPr="00D3317F">
        <w:rPr>
          <w:rFonts w:ascii="Times New Roman" w:eastAsia="Calibri" w:hAnsi="Times New Roman"/>
          <w:sz w:val="24"/>
          <w:szCs w:val="24"/>
        </w:rPr>
        <w:t>DoN Narrative draft provided by Management dated August 4, 2022.</w:t>
      </w:r>
    </w:p>
    <w:p w14:paraId="1C31A9D5" w14:textId="77777777" w:rsidR="00253664" w:rsidRPr="00D3317F" w:rsidRDefault="00253664" w:rsidP="00FA772B">
      <w:pPr>
        <w:numPr>
          <w:ilvl w:val="0"/>
          <w:numId w:val="44"/>
        </w:numPr>
        <w:ind w:left="720" w:hanging="720"/>
        <w:jc w:val="both"/>
        <w:rPr>
          <w:rFonts w:ascii="Times New Roman" w:eastAsia="Calibri" w:hAnsi="Times New Roman"/>
          <w:sz w:val="24"/>
          <w:szCs w:val="24"/>
        </w:rPr>
      </w:pPr>
      <w:r w:rsidRPr="00D3317F">
        <w:rPr>
          <w:rFonts w:ascii="Times New Roman" w:eastAsia="Calibri" w:hAnsi="Times New Roman"/>
          <w:sz w:val="24"/>
          <w:szCs w:val="24"/>
        </w:rPr>
        <w:t>Management/HCC provided Proforma detail listing of FTEs for the Proposed ASC for Year 1 through Year 5.</w:t>
      </w:r>
    </w:p>
    <w:p w14:paraId="384D1F21" w14:textId="77777777" w:rsidR="00253664" w:rsidRPr="00D3317F" w:rsidRDefault="00253664" w:rsidP="00FA772B">
      <w:pPr>
        <w:numPr>
          <w:ilvl w:val="0"/>
          <w:numId w:val="44"/>
        </w:numPr>
        <w:ind w:left="720" w:hanging="720"/>
        <w:jc w:val="both"/>
        <w:rPr>
          <w:rFonts w:ascii="Times New Roman" w:eastAsia="Calibri" w:hAnsi="Times New Roman"/>
          <w:sz w:val="24"/>
          <w:szCs w:val="24"/>
        </w:rPr>
      </w:pPr>
      <w:r w:rsidRPr="00D3317F">
        <w:rPr>
          <w:rFonts w:ascii="Times New Roman" w:eastAsia="Calibri" w:hAnsi="Times New Roman"/>
          <w:sz w:val="24"/>
          <w:szCs w:val="24"/>
        </w:rPr>
        <w:t>Estimated total capitalization costs for the Proposed Project of approximately $</w:t>
      </w:r>
      <w:r w:rsidR="00CC527A">
        <w:rPr>
          <w:rFonts w:ascii="Times New Roman" w:eastAsia="Calibri" w:hAnsi="Times New Roman"/>
          <w:sz w:val="24"/>
          <w:szCs w:val="24"/>
        </w:rPr>
        <w:t>29</w:t>
      </w:r>
      <w:r w:rsidRPr="00D3317F">
        <w:rPr>
          <w:rFonts w:ascii="Times New Roman" w:eastAsia="Calibri" w:hAnsi="Times New Roman"/>
          <w:sz w:val="24"/>
          <w:szCs w:val="24"/>
        </w:rPr>
        <w:t xml:space="preserve">M </w:t>
      </w:r>
      <w:r w:rsidR="00060F19">
        <w:rPr>
          <w:rFonts w:ascii="Times New Roman" w:eastAsia="Calibri" w:hAnsi="Times New Roman"/>
          <w:sz w:val="24"/>
          <w:szCs w:val="24"/>
        </w:rPr>
        <w:t>is being provided by</w:t>
      </w:r>
      <w:r w:rsidR="00E630B1">
        <w:rPr>
          <w:rFonts w:ascii="Times New Roman" w:eastAsia="Calibri" w:hAnsi="Times New Roman"/>
          <w:sz w:val="24"/>
          <w:szCs w:val="24"/>
        </w:rPr>
        <w:t xml:space="preserve"> a related party,</w:t>
      </w:r>
      <w:r w:rsidR="00060F19">
        <w:rPr>
          <w:rFonts w:ascii="Times New Roman" w:eastAsia="Calibri" w:hAnsi="Times New Roman"/>
          <w:sz w:val="24"/>
          <w:szCs w:val="24"/>
        </w:rPr>
        <w:t xml:space="preserve"> </w:t>
      </w:r>
      <w:r w:rsidR="003919FE">
        <w:rPr>
          <w:rFonts w:ascii="Times New Roman" w:eastAsia="Calibri" w:hAnsi="Times New Roman"/>
          <w:sz w:val="24"/>
          <w:szCs w:val="24"/>
        </w:rPr>
        <w:t>1265 Main Medical Owner, LLC</w:t>
      </w:r>
      <w:r w:rsidR="002C06CA">
        <w:rPr>
          <w:rFonts w:ascii="Times New Roman" w:eastAsia="Calibri" w:hAnsi="Times New Roman"/>
          <w:sz w:val="24"/>
          <w:szCs w:val="24"/>
        </w:rPr>
        <w:t xml:space="preserve"> (Landlord), </w:t>
      </w:r>
      <w:r w:rsidR="00060F19">
        <w:rPr>
          <w:rFonts w:ascii="Times New Roman" w:eastAsia="Calibri" w:hAnsi="Times New Roman"/>
          <w:sz w:val="24"/>
          <w:szCs w:val="24"/>
        </w:rPr>
        <w:t>and reimbu</w:t>
      </w:r>
      <w:r w:rsidR="003919FE">
        <w:rPr>
          <w:rFonts w:ascii="Times New Roman" w:eastAsia="Calibri" w:hAnsi="Times New Roman"/>
          <w:sz w:val="24"/>
          <w:szCs w:val="24"/>
        </w:rPr>
        <w:t>rsed</w:t>
      </w:r>
      <w:r w:rsidR="00060F19">
        <w:rPr>
          <w:rFonts w:ascii="Times New Roman" w:eastAsia="Calibri" w:hAnsi="Times New Roman"/>
          <w:sz w:val="24"/>
          <w:szCs w:val="24"/>
        </w:rPr>
        <w:t xml:space="preserve"> through </w:t>
      </w:r>
      <w:r w:rsidR="003919FE">
        <w:rPr>
          <w:rFonts w:ascii="Times New Roman" w:eastAsia="Calibri" w:hAnsi="Times New Roman"/>
          <w:sz w:val="24"/>
          <w:szCs w:val="24"/>
        </w:rPr>
        <w:t>Additional Tenant Improvement Rent.</w:t>
      </w:r>
      <w:r w:rsidR="00060F19">
        <w:rPr>
          <w:rFonts w:ascii="Times New Roman" w:eastAsia="Calibri" w:hAnsi="Times New Roman"/>
          <w:sz w:val="24"/>
          <w:szCs w:val="24"/>
        </w:rPr>
        <w:t xml:space="preserve"> </w:t>
      </w:r>
    </w:p>
    <w:p w14:paraId="01B00B29" w14:textId="77777777" w:rsidR="00253664" w:rsidRPr="00FB27B5" w:rsidRDefault="00FB27B5" w:rsidP="00FA772B">
      <w:pPr>
        <w:numPr>
          <w:ilvl w:val="0"/>
          <w:numId w:val="44"/>
        </w:numPr>
        <w:jc w:val="both"/>
        <w:rPr>
          <w:rFonts w:ascii="Times New Roman" w:eastAsia="Calibri" w:hAnsi="Times New Roman"/>
          <w:sz w:val="24"/>
          <w:szCs w:val="24"/>
        </w:rPr>
      </w:pPr>
      <w:r w:rsidRPr="00FB27B5">
        <w:rPr>
          <w:rFonts w:ascii="Times New Roman" w:hAnsi="Times New Roman"/>
          <w:sz w:val="24"/>
          <w:szCs w:val="24"/>
        </w:rPr>
        <w:t xml:space="preserve">Management has represented that the required funding for the initial capitalization of </w:t>
      </w:r>
      <w:r>
        <w:rPr>
          <w:rFonts w:ascii="Times New Roman" w:hAnsi="Times New Roman"/>
          <w:sz w:val="24"/>
          <w:szCs w:val="24"/>
        </w:rPr>
        <w:t xml:space="preserve">the </w:t>
      </w:r>
      <w:r>
        <w:rPr>
          <w:rFonts w:ascii="Times New Roman" w:hAnsi="Times New Roman"/>
          <w:sz w:val="24"/>
          <w:szCs w:val="24"/>
        </w:rPr>
        <w:tab/>
        <w:t>Applicant</w:t>
      </w:r>
      <w:r w:rsidRPr="00FB27B5">
        <w:rPr>
          <w:rFonts w:ascii="Times New Roman" w:hAnsi="Times New Roman"/>
          <w:sz w:val="24"/>
          <w:szCs w:val="24"/>
        </w:rPr>
        <w:t xml:space="preserve"> will be provided through a debt instrument with </w:t>
      </w:r>
      <w:r>
        <w:rPr>
          <w:rFonts w:ascii="Times New Roman" w:hAnsi="Times New Roman"/>
          <w:sz w:val="24"/>
          <w:szCs w:val="24"/>
        </w:rPr>
        <w:t>the Landlord</w:t>
      </w:r>
      <w:r w:rsidRPr="00FB27B5">
        <w:rPr>
          <w:rFonts w:ascii="Times New Roman" w:hAnsi="Times New Roman"/>
          <w:sz w:val="24"/>
          <w:szCs w:val="24"/>
        </w:rPr>
        <w:t xml:space="preserve"> which is supported </w:t>
      </w:r>
      <w:r>
        <w:rPr>
          <w:rFonts w:ascii="Times New Roman" w:hAnsi="Times New Roman"/>
          <w:sz w:val="24"/>
          <w:szCs w:val="24"/>
        </w:rPr>
        <w:tab/>
      </w:r>
      <w:r w:rsidRPr="00FB27B5">
        <w:rPr>
          <w:rFonts w:ascii="Times New Roman" w:hAnsi="Times New Roman"/>
          <w:sz w:val="24"/>
          <w:szCs w:val="24"/>
        </w:rPr>
        <w:t>by an executed construction loan agreement</w:t>
      </w:r>
      <w:r>
        <w:rPr>
          <w:rFonts w:ascii="Times New Roman" w:hAnsi="Times New Roman"/>
          <w:sz w:val="24"/>
          <w:szCs w:val="24"/>
        </w:rPr>
        <w:t>.</w:t>
      </w:r>
      <w:r w:rsidR="00060F19" w:rsidRPr="00FB27B5">
        <w:rPr>
          <w:rFonts w:ascii="Times New Roman" w:eastAsia="Calibri" w:hAnsi="Times New Roman"/>
          <w:sz w:val="24"/>
          <w:szCs w:val="24"/>
        </w:rPr>
        <w:t xml:space="preserve"> </w:t>
      </w:r>
    </w:p>
    <w:p w14:paraId="59A8D306" w14:textId="77777777" w:rsidR="00B50B55" w:rsidRDefault="00B50B55" w:rsidP="00B50B55">
      <w:pPr>
        <w:autoSpaceDE w:val="0"/>
        <w:autoSpaceDN w:val="0"/>
        <w:adjustRightInd w:val="0"/>
        <w:jc w:val="both"/>
        <w:rPr>
          <w:rFonts w:ascii="TimesNewRomanPSMT" w:hAnsi="TimesNewRomanPSMT" w:cs="TimesNewRomanPSMT"/>
          <w:sz w:val="24"/>
          <w:szCs w:val="24"/>
        </w:rPr>
      </w:pPr>
    </w:p>
    <w:p w14:paraId="3CB470B0" w14:textId="77777777" w:rsidR="00677F99" w:rsidRDefault="00677F99" w:rsidP="00236FDF">
      <w:pPr>
        <w:jc w:val="both"/>
        <w:rPr>
          <w:rFonts w:ascii="Times New Roman" w:eastAsia="Calibri" w:hAnsi="Times New Roman"/>
          <w:b/>
          <w:bCs/>
          <w:iCs/>
          <w:sz w:val="24"/>
          <w:szCs w:val="24"/>
        </w:rPr>
      </w:pPr>
    </w:p>
    <w:p w14:paraId="7153E2CE" w14:textId="77777777" w:rsidR="00FB27B5" w:rsidRDefault="00FB27B5" w:rsidP="00236FDF">
      <w:pPr>
        <w:jc w:val="both"/>
        <w:rPr>
          <w:rFonts w:ascii="Times New Roman" w:eastAsia="Calibri" w:hAnsi="Times New Roman"/>
          <w:b/>
          <w:bCs/>
          <w:iCs/>
          <w:sz w:val="24"/>
          <w:szCs w:val="24"/>
        </w:rPr>
      </w:pPr>
    </w:p>
    <w:p w14:paraId="1CB79E4E" w14:textId="77777777" w:rsidR="0071339E" w:rsidRDefault="0071339E" w:rsidP="00236FDF">
      <w:pPr>
        <w:jc w:val="both"/>
        <w:rPr>
          <w:rFonts w:ascii="Times New Roman" w:eastAsia="Calibri" w:hAnsi="Times New Roman"/>
          <w:b/>
          <w:bCs/>
          <w:iCs/>
          <w:sz w:val="24"/>
          <w:szCs w:val="24"/>
        </w:rPr>
      </w:pPr>
    </w:p>
    <w:p w14:paraId="3A30F4FE" w14:textId="77777777" w:rsidR="009E33BC" w:rsidRDefault="009E33BC" w:rsidP="00236FDF">
      <w:pPr>
        <w:jc w:val="both"/>
        <w:rPr>
          <w:rFonts w:ascii="Times New Roman" w:eastAsia="Calibri" w:hAnsi="Times New Roman"/>
          <w:b/>
          <w:bCs/>
          <w:i/>
          <w:iCs/>
          <w:sz w:val="24"/>
          <w:szCs w:val="24"/>
        </w:rPr>
      </w:pPr>
      <w:r w:rsidRPr="00236FDF">
        <w:rPr>
          <w:rFonts w:ascii="Times New Roman" w:eastAsia="Calibri" w:hAnsi="Times New Roman"/>
          <w:b/>
          <w:bCs/>
          <w:i/>
          <w:iCs/>
          <w:sz w:val="24"/>
          <w:szCs w:val="24"/>
        </w:rPr>
        <w:lastRenderedPageBreak/>
        <w:t>Revenue</w:t>
      </w:r>
    </w:p>
    <w:p w14:paraId="03338D5E" w14:textId="77777777" w:rsidR="00807A68" w:rsidRPr="003D7270" w:rsidRDefault="00253664" w:rsidP="00B50B55">
      <w:pPr>
        <w:spacing w:after="160"/>
        <w:jc w:val="both"/>
        <w:rPr>
          <w:rFonts w:ascii="Times New Roman" w:eastAsia="Calibri" w:hAnsi="Times New Roman"/>
          <w:sz w:val="24"/>
          <w:szCs w:val="24"/>
        </w:rPr>
      </w:pPr>
      <w:r w:rsidRPr="003D7270">
        <w:rPr>
          <w:rFonts w:ascii="Times New Roman" w:eastAsia="Calibri" w:hAnsi="Times New Roman"/>
          <w:sz w:val="24"/>
          <w:szCs w:val="24"/>
        </w:rPr>
        <w:t>The Applicant anticipates having a total of approximately 41 member surgeons, many of whom will have an ownership stake.  Moreover, it is expected that the member surgeons will perform a large proportion of their surgeries at the Proposed ASC, in part because the federal Anti-Kickback Statute requires that at least one-third of the Proposed ASC surgeon investor’s procedures be performed at that ASC in order to meet the applicable regulatory “safe harbors.” (“Exceptions: Ambulatory Surgery Centers” 42 C.F.R Section 1001.952(r)).</w:t>
      </w:r>
      <w:r w:rsidR="00807A68" w:rsidRPr="003D7270">
        <w:rPr>
          <w:rFonts w:ascii="Times New Roman" w:eastAsia="Calibri" w:hAnsi="Times New Roman"/>
          <w:sz w:val="24"/>
          <w:szCs w:val="24"/>
        </w:rPr>
        <w:t xml:space="preserve"> </w:t>
      </w:r>
    </w:p>
    <w:p w14:paraId="6BC3017F" w14:textId="77777777" w:rsidR="005C5338" w:rsidRDefault="00253664" w:rsidP="003D7270">
      <w:pPr>
        <w:spacing w:after="160"/>
        <w:jc w:val="both"/>
        <w:rPr>
          <w:rFonts w:ascii="Times New Roman" w:eastAsia="Calibri" w:hAnsi="Times New Roman"/>
          <w:sz w:val="24"/>
          <w:szCs w:val="24"/>
        </w:rPr>
      </w:pPr>
      <w:r w:rsidRPr="003D7270">
        <w:rPr>
          <w:rFonts w:ascii="Times New Roman" w:eastAsia="Calibri" w:hAnsi="Times New Roman"/>
          <w:sz w:val="24"/>
          <w:szCs w:val="24"/>
        </w:rPr>
        <w:t>In addition to case mix, forecasted payor mix, i.e., percentage of case volume and revenue coming from higher paying private insurance companies versus government insurance programs like Medicare and Medicaid is as follows:</w:t>
      </w:r>
    </w:p>
    <w:p w14:paraId="63766C53" w14:textId="77777777" w:rsidR="002815E8" w:rsidRDefault="002815E8" w:rsidP="003D7270">
      <w:pPr>
        <w:spacing w:after="160"/>
        <w:jc w:val="both"/>
        <w:rPr>
          <w:rFonts w:ascii="Times New Roman" w:eastAsia="Calibri" w:hAnsi="Times New Roman"/>
          <w:sz w:val="24"/>
          <w:szCs w:val="24"/>
        </w:rPr>
      </w:pPr>
    </w:p>
    <w:p w14:paraId="1103EE92" w14:textId="5ED4F0C6" w:rsidR="002815E8" w:rsidRDefault="002815E8" w:rsidP="003D7270">
      <w:pPr>
        <w:spacing w:after="160"/>
        <w:jc w:val="both"/>
        <w:rPr>
          <w:rFonts w:ascii="Times New Roman" w:eastAsia="Calibri" w:hAnsi="Times New Roman"/>
          <w:sz w:val="24"/>
          <w:szCs w:val="24"/>
        </w:rPr>
      </w:pPr>
      <w:r>
        <w:rPr>
          <w:rFonts w:ascii="Times New Roman" w:eastAsia="Calibri" w:hAnsi="Times New Roman"/>
          <w:sz w:val="24"/>
          <w:szCs w:val="24"/>
        </w:rPr>
        <w:t>Exhibit 1:  Payor Mix by Procedure Volume</w:t>
      </w:r>
    </w:p>
    <w:tbl>
      <w:tblPr>
        <w:tblStyle w:val="TableGrid"/>
        <w:tblW w:w="0" w:type="auto"/>
        <w:tblLook w:val="04A0" w:firstRow="1" w:lastRow="0" w:firstColumn="1" w:lastColumn="0" w:noHBand="0" w:noVBand="1"/>
      </w:tblPr>
      <w:tblGrid>
        <w:gridCol w:w="1372"/>
        <w:gridCol w:w="1373"/>
        <w:gridCol w:w="1373"/>
        <w:gridCol w:w="1373"/>
        <w:gridCol w:w="1373"/>
        <w:gridCol w:w="1373"/>
        <w:gridCol w:w="1373"/>
      </w:tblGrid>
      <w:tr w:rsidR="002815E8" w14:paraId="0D02F201" w14:textId="77777777" w:rsidTr="006D3227">
        <w:trPr>
          <w:cantSplit/>
          <w:tblHeader/>
        </w:trPr>
        <w:tc>
          <w:tcPr>
            <w:tcW w:w="1372" w:type="dxa"/>
          </w:tcPr>
          <w:p w14:paraId="6AA0D432" w14:textId="77777777" w:rsidR="002815E8" w:rsidRPr="00CA2972" w:rsidRDefault="002815E8" w:rsidP="003D7270">
            <w:pPr>
              <w:spacing w:after="160"/>
              <w:jc w:val="both"/>
              <w:rPr>
                <w:rFonts w:ascii="Times New Roman" w:hAnsi="Times New Roman"/>
              </w:rPr>
            </w:pPr>
          </w:p>
        </w:tc>
        <w:tc>
          <w:tcPr>
            <w:tcW w:w="1373" w:type="dxa"/>
          </w:tcPr>
          <w:p w14:paraId="36F96A64" w14:textId="502079D6" w:rsidR="002815E8" w:rsidRPr="00CA2972" w:rsidRDefault="002815E8" w:rsidP="00CA2972">
            <w:pPr>
              <w:spacing w:after="160"/>
              <w:jc w:val="center"/>
              <w:rPr>
                <w:rFonts w:ascii="Times New Roman" w:hAnsi="Times New Roman"/>
              </w:rPr>
            </w:pPr>
            <w:r>
              <w:rPr>
                <w:rFonts w:ascii="Times New Roman" w:hAnsi="Times New Roman"/>
              </w:rPr>
              <w:t>Commercial</w:t>
            </w:r>
          </w:p>
        </w:tc>
        <w:tc>
          <w:tcPr>
            <w:tcW w:w="1373" w:type="dxa"/>
          </w:tcPr>
          <w:p w14:paraId="19734B35" w14:textId="49F60BBC" w:rsidR="002815E8" w:rsidRPr="00CA2972" w:rsidRDefault="002815E8" w:rsidP="00CA2972">
            <w:pPr>
              <w:spacing w:after="160"/>
              <w:jc w:val="center"/>
              <w:rPr>
                <w:rFonts w:ascii="Times New Roman" w:hAnsi="Times New Roman"/>
              </w:rPr>
            </w:pPr>
            <w:r>
              <w:rPr>
                <w:rFonts w:ascii="Times New Roman" w:hAnsi="Times New Roman"/>
              </w:rPr>
              <w:t>Worker's Comp</w:t>
            </w:r>
          </w:p>
        </w:tc>
        <w:tc>
          <w:tcPr>
            <w:tcW w:w="1373" w:type="dxa"/>
          </w:tcPr>
          <w:p w14:paraId="7718F1AA" w14:textId="20339B3F" w:rsidR="002815E8" w:rsidRPr="00CA2972" w:rsidRDefault="00C672BF" w:rsidP="00CA2972">
            <w:pPr>
              <w:spacing w:after="160"/>
              <w:jc w:val="center"/>
              <w:rPr>
                <w:rFonts w:ascii="Times New Roman" w:hAnsi="Times New Roman"/>
              </w:rPr>
            </w:pPr>
            <w:r>
              <w:rPr>
                <w:rFonts w:ascii="Times New Roman" w:hAnsi="Times New Roman"/>
              </w:rPr>
              <w:t>Medicare</w:t>
            </w:r>
          </w:p>
        </w:tc>
        <w:tc>
          <w:tcPr>
            <w:tcW w:w="1373" w:type="dxa"/>
          </w:tcPr>
          <w:p w14:paraId="12FBF68E" w14:textId="39B0EFB8" w:rsidR="002815E8" w:rsidRPr="00CA2972" w:rsidRDefault="00C672BF" w:rsidP="00CA2972">
            <w:pPr>
              <w:spacing w:after="160"/>
              <w:jc w:val="center"/>
              <w:rPr>
                <w:rFonts w:ascii="Times New Roman" w:hAnsi="Times New Roman"/>
              </w:rPr>
            </w:pPr>
            <w:r>
              <w:rPr>
                <w:rFonts w:ascii="Times New Roman" w:hAnsi="Times New Roman"/>
              </w:rPr>
              <w:t>Medicaid</w:t>
            </w:r>
          </w:p>
        </w:tc>
        <w:tc>
          <w:tcPr>
            <w:tcW w:w="1373" w:type="dxa"/>
          </w:tcPr>
          <w:p w14:paraId="672E595C" w14:textId="54AF32FE" w:rsidR="002815E8" w:rsidRPr="00CA2972" w:rsidRDefault="00C672BF" w:rsidP="00CA2972">
            <w:pPr>
              <w:spacing w:after="160"/>
              <w:jc w:val="center"/>
              <w:rPr>
                <w:rFonts w:ascii="Times New Roman" w:hAnsi="Times New Roman"/>
              </w:rPr>
            </w:pPr>
            <w:r>
              <w:rPr>
                <w:rFonts w:ascii="Times New Roman" w:hAnsi="Times New Roman"/>
              </w:rPr>
              <w:t>Self Pay</w:t>
            </w:r>
          </w:p>
        </w:tc>
        <w:tc>
          <w:tcPr>
            <w:tcW w:w="1373" w:type="dxa"/>
          </w:tcPr>
          <w:p w14:paraId="78270BF7" w14:textId="3B143E95" w:rsidR="002815E8" w:rsidRPr="00CA2972" w:rsidRDefault="00C672BF" w:rsidP="00CA2972">
            <w:pPr>
              <w:spacing w:after="160"/>
              <w:jc w:val="center"/>
              <w:rPr>
                <w:rFonts w:ascii="Times New Roman" w:hAnsi="Times New Roman"/>
              </w:rPr>
            </w:pPr>
            <w:r>
              <w:rPr>
                <w:rFonts w:ascii="Times New Roman" w:hAnsi="Times New Roman"/>
              </w:rPr>
              <w:t>Other</w:t>
            </w:r>
          </w:p>
        </w:tc>
      </w:tr>
      <w:tr w:rsidR="002815E8" w14:paraId="668D136B" w14:textId="77777777" w:rsidTr="006D3227">
        <w:trPr>
          <w:cantSplit/>
        </w:trPr>
        <w:tc>
          <w:tcPr>
            <w:tcW w:w="1372" w:type="dxa"/>
          </w:tcPr>
          <w:p w14:paraId="450AB9CC" w14:textId="693CC565" w:rsidR="002815E8" w:rsidRPr="00CA2972" w:rsidRDefault="002815E8" w:rsidP="003D7270">
            <w:pPr>
              <w:spacing w:after="160"/>
              <w:jc w:val="both"/>
              <w:rPr>
                <w:rFonts w:ascii="Times New Roman" w:hAnsi="Times New Roman"/>
              </w:rPr>
            </w:pPr>
            <w:r w:rsidRPr="00CA2972">
              <w:rPr>
                <w:rFonts w:ascii="Times New Roman" w:hAnsi="Times New Roman"/>
              </w:rPr>
              <w:t>Forecasted Payor Mix</w:t>
            </w:r>
          </w:p>
        </w:tc>
        <w:tc>
          <w:tcPr>
            <w:tcW w:w="1373" w:type="dxa"/>
          </w:tcPr>
          <w:p w14:paraId="4786B21B" w14:textId="0B2F9966" w:rsidR="002815E8" w:rsidRPr="00CA2972" w:rsidRDefault="00C672BF" w:rsidP="00CA2972">
            <w:pPr>
              <w:spacing w:after="160"/>
              <w:jc w:val="center"/>
              <w:rPr>
                <w:rFonts w:ascii="Times New Roman" w:hAnsi="Times New Roman"/>
              </w:rPr>
            </w:pPr>
            <w:r>
              <w:rPr>
                <w:rFonts w:ascii="Times New Roman" w:hAnsi="Times New Roman"/>
              </w:rPr>
              <w:t>62.5%</w:t>
            </w:r>
          </w:p>
        </w:tc>
        <w:tc>
          <w:tcPr>
            <w:tcW w:w="1373" w:type="dxa"/>
          </w:tcPr>
          <w:p w14:paraId="156B9E56" w14:textId="6BE346CF" w:rsidR="002815E8" w:rsidRPr="00CA2972" w:rsidRDefault="00C672BF" w:rsidP="00CA2972">
            <w:pPr>
              <w:spacing w:after="160"/>
              <w:jc w:val="center"/>
              <w:rPr>
                <w:rFonts w:ascii="Times New Roman" w:hAnsi="Times New Roman"/>
              </w:rPr>
            </w:pPr>
            <w:r>
              <w:rPr>
                <w:rFonts w:ascii="Times New Roman" w:hAnsi="Times New Roman"/>
              </w:rPr>
              <w:t>23.8%</w:t>
            </w:r>
          </w:p>
        </w:tc>
        <w:tc>
          <w:tcPr>
            <w:tcW w:w="1373" w:type="dxa"/>
          </w:tcPr>
          <w:p w14:paraId="5CA60BA1" w14:textId="0E3BD5BB" w:rsidR="002815E8" w:rsidRPr="00CA2972" w:rsidRDefault="00C672BF" w:rsidP="00CA2972">
            <w:pPr>
              <w:spacing w:after="160"/>
              <w:jc w:val="center"/>
              <w:rPr>
                <w:rFonts w:ascii="Times New Roman" w:hAnsi="Times New Roman"/>
              </w:rPr>
            </w:pPr>
            <w:r>
              <w:rPr>
                <w:rFonts w:ascii="Times New Roman" w:hAnsi="Times New Roman"/>
              </w:rPr>
              <w:t>12.3%</w:t>
            </w:r>
          </w:p>
        </w:tc>
        <w:tc>
          <w:tcPr>
            <w:tcW w:w="1373" w:type="dxa"/>
          </w:tcPr>
          <w:p w14:paraId="6918F6C7" w14:textId="25FDC8DE" w:rsidR="002815E8" w:rsidRPr="00CA2972" w:rsidRDefault="00C672BF" w:rsidP="00CA2972">
            <w:pPr>
              <w:spacing w:after="160"/>
              <w:jc w:val="center"/>
              <w:rPr>
                <w:rFonts w:ascii="Times New Roman" w:hAnsi="Times New Roman"/>
              </w:rPr>
            </w:pPr>
            <w:r>
              <w:rPr>
                <w:rFonts w:ascii="Times New Roman" w:hAnsi="Times New Roman"/>
              </w:rPr>
              <w:t>0.6%</w:t>
            </w:r>
          </w:p>
        </w:tc>
        <w:tc>
          <w:tcPr>
            <w:tcW w:w="1373" w:type="dxa"/>
          </w:tcPr>
          <w:p w14:paraId="7DC02195" w14:textId="57E9EB93" w:rsidR="002815E8" w:rsidRPr="00CA2972" w:rsidRDefault="00C672BF" w:rsidP="00CA2972">
            <w:pPr>
              <w:spacing w:after="160"/>
              <w:jc w:val="center"/>
              <w:rPr>
                <w:rFonts w:ascii="Times New Roman" w:hAnsi="Times New Roman"/>
              </w:rPr>
            </w:pPr>
            <w:r>
              <w:rPr>
                <w:rFonts w:ascii="Times New Roman" w:hAnsi="Times New Roman"/>
              </w:rPr>
              <w:t>0.1%</w:t>
            </w:r>
          </w:p>
        </w:tc>
        <w:tc>
          <w:tcPr>
            <w:tcW w:w="1373" w:type="dxa"/>
          </w:tcPr>
          <w:p w14:paraId="4ED5438B" w14:textId="1947CA90" w:rsidR="002815E8" w:rsidRPr="00CA2972" w:rsidRDefault="00C672BF" w:rsidP="00CA2972">
            <w:pPr>
              <w:spacing w:after="160"/>
              <w:jc w:val="center"/>
              <w:rPr>
                <w:rFonts w:ascii="Times New Roman" w:hAnsi="Times New Roman"/>
              </w:rPr>
            </w:pPr>
            <w:r>
              <w:rPr>
                <w:rFonts w:ascii="Times New Roman" w:hAnsi="Times New Roman"/>
              </w:rPr>
              <w:t>0.7%</w:t>
            </w:r>
          </w:p>
        </w:tc>
      </w:tr>
      <w:tr w:rsidR="002815E8" w14:paraId="125D5173" w14:textId="77777777" w:rsidTr="006D3227">
        <w:trPr>
          <w:cantSplit/>
        </w:trPr>
        <w:tc>
          <w:tcPr>
            <w:tcW w:w="1372" w:type="dxa"/>
          </w:tcPr>
          <w:p w14:paraId="4D2EED9A" w14:textId="1EC32EEB" w:rsidR="002815E8" w:rsidRPr="00451614" w:rsidRDefault="00C672BF" w:rsidP="003D7270">
            <w:pPr>
              <w:spacing w:after="160"/>
              <w:jc w:val="both"/>
              <w:rPr>
                <w:rFonts w:ascii="Times New Roman" w:hAnsi="Times New Roman"/>
              </w:rPr>
            </w:pPr>
            <w:r>
              <w:rPr>
                <w:rFonts w:ascii="Times New Roman" w:hAnsi="Times New Roman"/>
              </w:rPr>
              <w:t>Industry Averages</w:t>
            </w:r>
          </w:p>
        </w:tc>
        <w:tc>
          <w:tcPr>
            <w:tcW w:w="1373" w:type="dxa"/>
          </w:tcPr>
          <w:p w14:paraId="1C5DFED8" w14:textId="16A80DC5" w:rsidR="002815E8" w:rsidRPr="00451614" w:rsidRDefault="00C672BF" w:rsidP="00CA2972">
            <w:pPr>
              <w:spacing w:after="160"/>
              <w:jc w:val="center"/>
              <w:rPr>
                <w:rFonts w:ascii="Times New Roman" w:hAnsi="Times New Roman"/>
              </w:rPr>
            </w:pPr>
            <w:r>
              <w:rPr>
                <w:rFonts w:ascii="Times New Roman" w:hAnsi="Times New Roman"/>
              </w:rPr>
              <w:t>44.0%</w:t>
            </w:r>
          </w:p>
        </w:tc>
        <w:tc>
          <w:tcPr>
            <w:tcW w:w="1373" w:type="dxa"/>
          </w:tcPr>
          <w:p w14:paraId="5D066C66" w14:textId="602431AF" w:rsidR="002815E8" w:rsidRPr="00451614" w:rsidRDefault="00C672BF" w:rsidP="00CA2972">
            <w:pPr>
              <w:spacing w:after="160"/>
              <w:jc w:val="center"/>
              <w:rPr>
                <w:rFonts w:ascii="Times New Roman" w:hAnsi="Times New Roman"/>
              </w:rPr>
            </w:pPr>
            <w:r>
              <w:rPr>
                <w:rFonts w:ascii="Times New Roman" w:hAnsi="Times New Roman"/>
              </w:rPr>
              <w:t>3.0%</w:t>
            </w:r>
          </w:p>
        </w:tc>
        <w:tc>
          <w:tcPr>
            <w:tcW w:w="1373" w:type="dxa"/>
          </w:tcPr>
          <w:p w14:paraId="5A796D47" w14:textId="15F9CB8C" w:rsidR="002815E8" w:rsidRPr="00451614" w:rsidRDefault="00C672BF" w:rsidP="00CA2972">
            <w:pPr>
              <w:spacing w:after="160"/>
              <w:jc w:val="center"/>
              <w:rPr>
                <w:rFonts w:ascii="Times New Roman" w:hAnsi="Times New Roman"/>
              </w:rPr>
            </w:pPr>
            <w:r>
              <w:rPr>
                <w:rFonts w:ascii="Times New Roman" w:hAnsi="Times New Roman"/>
              </w:rPr>
              <w:t>34.0%</w:t>
            </w:r>
          </w:p>
        </w:tc>
        <w:tc>
          <w:tcPr>
            <w:tcW w:w="1373" w:type="dxa"/>
          </w:tcPr>
          <w:p w14:paraId="7F623007" w14:textId="13A776A6" w:rsidR="002815E8" w:rsidRPr="00451614" w:rsidRDefault="00C672BF" w:rsidP="00CA2972">
            <w:pPr>
              <w:spacing w:after="160"/>
              <w:jc w:val="center"/>
              <w:rPr>
                <w:rFonts w:ascii="Times New Roman" w:hAnsi="Times New Roman"/>
              </w:rPr>
            </w:pPr>
            <w:r>
              <w:rPr>
                <w:rFonts w:ascii="Times New Roman" w:hAnsi="Times New Roman"/>
              </w:rPr>
              <w:t>7.0%</w:t>
            </w:r>
          </w:p>
        </w:tc>
        <w:tc>
          <w:tcPr>
            <w:tcW w:w="1373" w:type="dxa"/>
          </w:tcPr>
          <w:p w14:paraId="74D98AAE" w14:textId="559504A5" w:rsidR="002815E8" w:rsidRPr="00451614" w:rsidRDefault="00C672BF" w:rsidP="00CA2972">
            <w:pPr>
              <w:spacing w:after="160"/>
              <w:jc w:val="center"/>
              <w:rPr>
                <w:rFonts w:ascii="Times New Roman" w:hAnsi="Times New Roman"/>
              </w:rPr>
            </w:pPr>
            <w:r>
              <w:rPr>
                <w:rFonts w:ascii="Times New Roman" w:hAnsi="Times New Roman"/>
              </w:rPr>
              <w:t>3.0%</w:t>
            </w:r>
          </w:p>
        </w:tc>
        <w:tc>
          <w:tcPr>
            <w:tcW w:w="1373" w:type="dxa"/>
          </w:tcPr>
          <w:p w14:paraId="58AA2514" w14:textId="6079DE61" w:rsidR="002815E8" w:rsidRPr="00451614" w:rsidRDefault="00C672BF" w:rsidP="00CA2972">
            <w:pPr>
              <w:spacing w:after="160"/>
              <w:jc w:val="center"/>
              <w:rPr>
                <w:rFonts w:ascii="Times New Roman" w:hAnsi="Times New Roman"/>
              </w:rPr>
            </w:pPr>
            <w:r>
              <w:rPr>
                <w:rFonts w:ascii="Times New Roman" w:hAnsi="Times New Roman"/>
              </w:rPr>
              <w:t>8.0%</w:t>
            </w:r>
          </w:p>
        </w:tc>
      </w:tr>
    </w:tbl>
    <w:p w14:paraId="354C8E11" w14:textId="77777777" w:rsidR="002815E8" w:rsidRDefault="002815E8" w:rsidP="003D7270">
      <w:pPr>
        <w:spacing w:after="160"/>
        <w:jc w:val="both"/>
        <w:rPr>
          <w:rFonts w:ascii="Times New Roman" w:eastAsia="Calibri" w:hAnsi="Times New Roman"/>
          <w:sz w:val="24"/>
          <w:szCs w:val="24"/>
        </w:rPr>
      </w:pPr>
    </w:p>
    <w:p w14:paraId="25FE1B85" w14:textId="2E550269" w:rsidR="00C672BF" w:rsidRDefault="00C672BF" w:rsidP="00C672BF">
      <w:pPr>
        <w:spacing w:after="160"/>
        <w:jc w:val="both"/>
        <w:rPr>
          <w:rFonts w:ascii="Times New Roman" w:eastAsia="Calibri" w:hAnsi="Times New Roman"/>
          <w:sz w:val="24"/>
          <w:szCs w:val="24"/>
        </w:rPr>
      </w:pPr>
      <w:r>
        <w:rPr>
          <w:rFonts w:ascii="Times New Roman" w:eastAsia="Calibri" w:hAnsi="Times New Roman"/>
          <w:sz w:val="24"/>
          <w:szCs w:val="24"/>
        </w:rPr>
        <w:t>Exhibit 2:  Payor Mix by Net Revenue</w:t>
      </w:r>
    </w:p>
    <w:tbl>
      <w:tblPr>
        <w:tblStyle w:val="TableGrid"/>
        <w:tblW w:w="0" w:type="auto"/>
        <w:tblLook w:val="04A0" w:firstRow="1" w:lastRow="0" w:firstColumn="1" w:lastColumn="0" w:noHBand="0" w:noVBand="1"/>
      </w:tblPr>
      <w:tblGrid>
        <w:gridCol w:w="1372"/>
        <w:gridCol w:w="1373"/>
        <w:gridCol w:w="1373"/>
        <w:gridCol w:w="1373"/>
        <w:gridCol w:w="1373"/>
        <w:gridCol w:w="1373"/>
        <w:gridCol w:w="1373"/>
      </w:tblGrid>
      <w:tr w:rsidR="00C672BF" w14:paraId="7BADCDF5" w14:textId="77777777" w:rsidTr="006D3227">
        <w:trPr>
          <w:cantSplit/>
          <w:tblHeader/>
        </w:trPr>
        <w:tc>
          <w:tcPr>
            <w:tcW w:w="1372" w:type="dxa"/>
          </w:tcPr>
          <w:p w14:paraId="20728CF8" w14:textId="77777777" w:rsidR="00C672BF" w:rsidRPr="00CC1678" w:rsidRDefault="00C672BF" w:rsidP="00CC1678">
            <w:pPr>
              <w:spacing w:after="160"/>
              <w:jc w:val="both"/>
              <w:rPr>
                <w:rFonts w:ascii="Times New Roman" w:hAnsi="Times New Roman"/>
              </w:rPr>
            </w:pPr>
          </w:p>
        </w:tc>
        <w:tc>
          <w:tcPr>
            <w:tcW w:w="1373" w:type="dxa"/>
          </w:tcPr>
          <w:p w14:paraId="6596BCCA" w14:textId="77777777" w:rsidR="00C672BF" w:rsidRPr="00CC1678" w:rsidRDefault="00C672BF" w:rsidP="00CC1678">
            <w:pPr>
              <w:spacing w:after="160"/>
              <w:jc w:val="center"/>
              <w:rPr>
                <w:rFonts w:ascii="Times New Roman" w:hAnsi="Times New Roman"/>
              </w:rPr>
            </w:pPr>
            <w:r>
              <w:rPr>
                <w:rFonts w:ascii="Times New Roman" w:hAnsi="Times New Roman"/>
              </w:rPr>
              <w:t>Commercial</w:t>
            </w:r>
          </w:p>
        </w:tc>
        <w:tc>
          <w:tcPr>
            <w:tcW w:w="1373" w:type="dxa"/>
          </w:tcPr>
          <w:p w14:paraId="62D58226" w14:textId="77777777" w:rsidR="00C672BF" w:rsidRPr="00CC1678" w:rsidRDefault="00C672BF" w:rsidP="00CC1678">
            <w:pPr>
              <w:spacing w:after="160"/>
              <w:jc w:val="center"/>
              <w:rPr>
                <w:rFonts w:ascii="Times New Roman" w:hAnsi="Times New Roman"/>
              </w:rPr>
            </w:pPr>
            <w:r>
              <w:rPr>
                <w:rFonts w:ascii="Times New Roman" w:hAnsi="Times New Roman"/>
              </w:rPr>
              <w:t>Worker's Comp</w:t>
            </w:r>
          </w:p>
        </w:tc>
        <w:tc>
          <w:tcPr>
            <w:tcW w:w="1373" w:type="dxa"/>
          </w:tcPr>
          <w:p w14:paraId="33EED3CE" w14:textId="77777777" w:rsidR="00C672BF" w:rsidRPr="00CC1678" w:rsidRDefault="00C672BF" w:rsidP="00CC1678">
            <w:pPr>
              <w:spacing w:after="160"/>
              <w:jc w:val="center"/>
              <w:rPr>
                <w:rFonts w:ascii="Times New Roman" w:hAnsi="Times New Roman"/>
              </w:rPr>
            </w:pPr>
            <w:r>
              <w:rPr>
                <w:rFonts w:ascii="Times New Roman" w:hAnsi="Times New Roman"/>
              </w:rPr>
              <w:t>Medicare</w:t>
            </w:r>
          </w:p>
        </w:tc>
        <w:tc>
          <w:tcPr>
            <w:tcW w:w="1373" w:type="dxa"/>
          </w:tcPr>
          <w:p w14:paraId="6C40642B" w14:textId="77777777" w:rsidR="00C672BF" w:rsidRPr="00CC1678" w:rsidRDefault="00C672BF" w:rsidP="00CC1678">
            <w:pPr>
              <w:spacing w:after="160"/>
              <w:jc w:val="center"/>
              <w:rPr>
                <w:rFonts w:ascii="Times New Roman" w:hAnsi="Times New Roman"/>
              </w:rPr>
            </w:pPr>
            <w:r>
              <w:rPr>
                <w:rFonts w:ascii="Times New Roman" w:hAnsi="Times New Roman"/>
              </w:rPr>
              <w:t>Medicaid</w:t>
            </w:r>
          </w:p>
        </w:tc>
        <w:tc>
          <w:tcPr>
            <w:tcW w:w="1373" w:type="dxa"/>
          </w:tcPr>
          <w:p w14:paraId="7D4FB9C2" w14:textId="77777777" w:rsidR="00C672BF" w:rsidRPr="00CC1678" w:rsidRDefault="00C672BF" w:rsidP="00CC1678">
            <w:pPr>
              <w:spacing w:after="160"/>
              <w:jc w:val="center"/>
              <w:rPr>
                <w:rFonts w:ascii="Times New Roman" w:hAnsi="Times New Roman"/>
              </w:rPr>
            </w:pPr>
            <w:r>
              <w:rPr>
                <w:rFonts w:ascii="Times New Roman" w:hAnsi="Times New Roman"/>
              </w:rPr>
              <w:t>Self Pay</w:t>
            </w:r>
          </w:p>
        </w:tc>
        <w:tc>
          <w:tcPr>
            <w:tcW w:w="1373" w:type="dxa"/>
          </w:tcPr>
          <w:p w14:paraId="7696364B" w14:textId="77777777" w:rsidR="00C672BF" w:rsidRPr="00CC1678" w:rsidRDefault="00C672BF" w:rsidP="00CC1678">
            <w:pPr>
              <w:spacing w:after="160"/>
              <w:jc w:val="center"/>
              <w:rPr>
                <w:rFonts w:ascii="Times New Roman" w:hAnsi="Times New Roman"/>
              </w:rPr>
            </w:pPr>
            <w:r>
              <w:rPr>
                <w:rFonts w:ascii="Times New Roman" w:hAnsi="Times New Roman"/>
              </w:rPr>
              <w:t>Other</w:t>
            </w:r>
          </w:p>
        </w:tc>
      </w:tr>
      <w:tr w:rsidR="00C672BF" w14:paraId="47A4F97F" w14:textId="77777777" w:rsidTr="006D3227">
        <w:trPr>
          <w:cantSplit/>
        </w:trPr>
        <w:tc>
          <w:tcPr>
            <w:tcW w:w="1372" w:type="dxa"/>
          </w:tcPr>
          <w:p w14:paraId="55C333CD" w14:textId="77777777" w:rsidR="00C672BF" w:rsidRPr="00CC1678" w:rsidRDefault="00C672BF" w:rsidP="00CC1678">
            <w:pPr>
              <w:spacing w:after="160"/>
              <w:jc w:val="both"/>
              <w:rPr>
                <w:rFonts w:ascii="Times New Roman" w:hAnsi="Times New Roman"/>
              </w:rPr>
            </w:pPr>
            <w:r w:rsidRPr="00CC1678">
              <w:rPr>
                <w:rFonts w:ascii="Times New Roman" w:hAnsi="Times New Roman"/>
              </w:rPr>
              <w:t>Forecasted Payor Mix</w:t>
            </w:r>
          </w:p>
        </w:tc>
        <w:tc>
          <w:tcPr>
            <w:tcW w:w="1373" w:type="dxa"/>
          </w:tcPr>
          <w:p w14:paraId="3CA72CCB" w14:textId="4D30B87E" w:rsidR="00C672BF" w:rsidRPr="00CC1678" w:rsidRDefault="00C672BF" w:rsidP="00CC1678">
            <w:pPr>
              <w:spacing w:after="160"/>
              <w:jc w:val="center"/>
              <w:rPr>
                <w:rFonts w:ascii="Times New Roman" w:hAnsi="Times New Roman"/>
              </w:rPr>
            </w:pPr>
            <w:r>
              <w:rPr>
                <w:rFonts w:ascii="Times New Roman" w:hAnsi="Times New Roman"/>
              </w:rPr>
              <w:t>73.0%</w:t>
            </w:r>
          </w:p>
        </w:tc>
        <w:tc>
          <w:tcPr>
            <w:tcW w:w="1373" w:type="dxa"/>
          </w:tcPr>
          <w:p w14:paraId="746E421B" w14:textId="7574158F" w:rsidR="00C672BF" w:rsidRPr="00CC1678" w:rsidRDefault="00C672BF" w:rsidP="00CC1678">
            <w:pPr>
              <w:spacing w:after="160"/>
              <w:jc w:val="center"/>
              <w:rPr>
                <w:rFonts w:ascii="Times New Roman" w:hAnsi="Times New Roman"/>
              </w:rPr>
            </w:pPr>
            <w:r>
              <w:rPr>
                <w:rFonts w:ascii="Times New Roman" w:hAnsi="Times New Roman"/>
              </w:rPr>
              <w:t>17.8%</w:t>
            </w:r>
          </w:p>
        </w:tc>
        <w:tc>
          <w:tcPr>
            <w:tcW w:w="1373" w:type="dxa"/>
          </w:tcPr>
          <w:p w14:paraId="44EB0842" w14:textId="03F0C295" w:rsidR="00C672BF" w:rsidRPr="00CC1678" w:rsidRDefault="00C672BF" w:rsidP="00CC1678">
            <w:pPr>
              <w:spacing w:after="160"/>
              <w:jc w:val="center"/>
              <w:rPr>
                <w:rFonts w:ascii="Times New Roman" w:hAnsi="Times New Roman"/>
              </w:rPr>
            </w:pPr>
            <w:r>
              <w:rPr>
                <w:rFonts w:ascii="Times New Roman" w:hAnsi="Times New Roman"/>
              </w:rPr>
              <w:t>8.3%</w:t>
            </w:r>
          </w:p>
        </w:tc>
        <w:tc>
          <w:tcPr>
            <w:tcW w:w="1373" w:type="dxa"/>
          </w:tcPr>
          <w:p w14:paraId="07A8AEF6" w14:textId="3F5D674A" w:rsidR="00C672BF" w:rsidRPr="00CC1678" w:rsidRDefault="00C672BF" w:rsidP="00CC1678">
            <w:pPr>
              <w:spacing w:after="160"/>
              <w:jc w:val="center"/>
              <w:rPr>
                <w:rFonts w:ascii="Times New Roman" w:hAnsi="Times New Roman"/>
              </w:rPr>
            </w:pPr>
            <w:r>
              <w:rPr>
                <w:rFonts w:ascii="Times New Roman" w:hAnsi="Times New Roman"/>
              </w:rPr>
              <w:t>0.3%</w:t>
            </w:r>
          </w:p>
        </w:tc>
        <w:tc>
          <w:tcPr>
            <w:tcW w:w="1373" w:type="dxa"/>
          </w:tcPr>
          <w:p w14:paraId="6D4CC4D1" w14:textId="70747C6E" w:rsidR="00C672BF" w:rsidRPr="00CC1678" w:rsidRDefault="00C672BF" w:rsidP="00CC1678">
            <w:pPr>
              <w:spacing w:after="160"/>
              <w:jc w:val="center"/>
              <w:rPr>
                <w:rFonts w:ascii="Times New Roman" w:hAnsi="Times New Roman"/>
              </w:rPr>
            </w:pPr>
            <w:r>
              <w:rPr>
                <w:rFonts w:ascii="Times New Roman" w:hAnsi="Times New Roman"/>
              </w:rPr>
              <w:t>0.2%</w:t>
            </w:r>
          </w:p>
        </w:tc>
        <w:tc>
          <w:tcPr>
            <w:tcW w:w="1373" w:type="dxa"/>
          </w:tcPr>
          <w:p w14:paraId="352781A2" w14:textId="1FCF984D" w:rsidR="00C672BF" w:rsidRPr="00CC1678" w:rsidRDefault="00C672BF" w:rsidP="00CC1678">
            <w:pPr>
              <w:spacing w:after="160"/>
              <w:jc w:val="center"/>
              <w:rPr>
                <w:rFonts w:ascii="Times New Roman" w:hAnsi="Times New Roman"/>
              </w:rPr>
            </w:pPr>
            <w:r>
              <w:rPr>
                <w:rFonts w:ascii="Times New Roman" w:hAnsi="Times New Roman"/>
              </w:rPr>
              <w:t>0.4%</w:t>
            </w:r>
          </w:p>
        </w:tc>
      </w:tr>
      <w:tr w:rsidR="00C672BF" w14:paraId="7496924F" w14:textId="77777777" w:rsidTr="006D3227">
        <w:trPr>
          <w:cantSplit/>
        </w:trPr>
        <w:tc>
          <w:tcPr>
            <w:tcW w:w="1372" w:type="dxa"/>
          </w:tcPr>
          <w:p w14:paraId="1F044838" w14:textId="77777777" w:rsidR="00C672BF" w:rsidRPr="00CC1678" w:rsidRDefault="00C672BF" w:rsidP="00CC1678">
            <w:pPr>
              <w:spacing w:after="160"/>
              <w:jc w:val="both"/>
              <w:rPr>
                <w:rFonts w:ascii="Times New Roman" w:hAnsi="Times New Roman"/>
              </w:rPr>
            </w:pPr>
            <w:r>
              <w:rPr>
                <w:rFonts w:ascii="Times New Roman" w:hAnsi="Times New Roman"/>
              </w:rPr>
              <w:t>Industry Averages</w:t>
            </w:r>
          </w:p>
        </w:tc>
        <w:tc>
          <w:tcPr>
            <w:tcW w:w="1373" w:type="dxa"/>
          </w:tcPr>
          <w:p w14:paraId="02533FF9" w14:textId="0C72CF33" w:rsidR="00C672BF" w:rsidRPr="00CC1678" w:rsidRDefault="00C672BF" w:rsidP="00CC1678">
            <w:pPr>
              <w:spacing w:after="160"/>
              <w:jc w:val="center"/>
              <w:rPr>
                <w:rFonts w:ascii="Times New Roman" w:hAnsi="Times New Roman"/>
              </w:rPr>
            </w:pPr>
            <w:r>
              <w:rPr>
                <w:rFonts w:ascii="Times New Roman" w:hAnsi="Times New Roman"/>
              </w:rPr>
              <w:t>58.0%</w:t>
            </w:r>
          </w:p>
        </w:tc>
        <w:tc>
          <w:tcPr>
            <w:tcW w:w="1373" w:type="dxa"/>
          </w:tcPr>
          <w:p w14:paraId="4EC9ECB4" w14:textId="043BD613" w:rsidR="00C672BF" w:rsidRPr="00CC1678" w:rsidRDefault="00C672BF" w:rsidP="00CC1678">
            <w:pPr>
              <w:spacing w:after="160"/>
              <w:jc w:val="center"/>
              <w:rPr>
                <w:rFonts w:ascii="Times New Roman" w:hAnsi="Times New Roman"/>
              </w:rPr>
            </w:pPr>
            <w:r>
              <w:rPr>
                <w:rFonts w:ascii="Times New Roman" w:hAnsi="Times New Roman"/>
              </w:rPr>
              <w:t>6.0%</w:t>
            </w:r>
          </w:p>
        </w:tc>
        <w:tc>
          <w:tcPr>
            <w:tcW w:w="1373" w:type="dxa"/>
          </w:tcPr>
          <w:p w14:paraId="338A868B" w14:textId="580E2ABB" w:rsidR="00C672BF" w:rsidRPr="00CC1678" w:rsidRDefault="00C672BF" w:rsidP="00CC1678">
            <w:pPr>
              <w:spacing w:after="160"/>
              <w:jc w:val="center"/>
              <w:rPr>
                <w:rFonts w:ascii="Times New Roman" w:hAnsi="Times New Roman"/>
              </w:rPr>
            </w:pPr>
            <w:r>
              <w:rPr>
                <w:rFonts w:ascii="Times New Roman" w:hAnsi="Times New Roman"/>
              </w:rPr>
              <w:t>21.0%</w:t>
            </w:r>
          </w:p>
        </w:tc>
        <w:tc>
          <w:tcPr>
            <w:tcW w:w="1373" w:type="dxa"/>
          </w:tcPr>
          <w:p w14:paraId="6458421C" w14:textId="38D51EDE" w:rsidR="00C672BF" w:rsidRPr="00CC1678" w:rsidRDefault="00C672BF" w:rsidP="00CC1678">
            <w:pPr>
              <w:spacing w:after="160"/>
              <w:jc w:val="center"/>
              <w:rPr>
                <w:rFonts w:ascii="Times New Roman" w:hAnsi="Times New Roman"/>
              </w:rPr>
            </w:pPr>
            <w:r>
              <w:rPr>
                <w:rFonts w:ascii="Times New Roman" w:hAnsi="Times New Roman"/>
              </w:rPr>
              <w:t>4.0%</w:t>
            </w:r>
          </w:p>
        </w:tc>
        <w:tc>
          <w:tcPr>
            <w:tcW w:w="1373" w:type="dxa"/>
          </w:tcPr>
          <w:p w14:paraId="28ED0E2E" w14:textId="77777777" w:rsidR="00C672BF" w:rsidRPr="00CC1678" w:rsidRDefault="00C672BF" w:rsidP="00CC1678">
            <w:pPr>
              <w:spacing w:after="160"/>
              <w:jc w:val="center"/>
              <w:rPr>
                <w:rFonts w:ascii="Times New Roman" w:hAnsi="Times New Roman"/>
              </w:rPr>
            </w:pPr>
            <w:r>
              <w:rPr>
                <w:rFonts w:ascii="Times New Roman" w:hAnsi="Times New Roman"/>
              </w:rPr>
              <w:t>3.0%</w:t>
            </w:r>
          </w:p>
        </w:tc>
        <w:tc>
          <w:tcPr>
            <w:tcW w:w="1373" w:type="dxa"/>
          </w:tcPr>
          <w:p w14:paraId="2945C4AB" w14:textId="77777777" w:rsidR="00C672BF" w:rsidRPr="00CC1678" w:rsidRDefault="00C672BF" w:rsidP="00CC1678">
            <w:pPr>
              <w:spacing w:after="160"/>
              <w:jc w:val="center"/>
              <w:rPr>
                <w:rFonts w:ascii="Times New Roman" w:hAnsi="Times New Roman"/>
              </w:rPr>
            </w:pPr>
            <w:r>
              <w:rPr>
                <w:rFonts w:ascii="Times New Roman" w:hAnsi="Times New Roman"/>
              </w:rPr>
              <w:t>8.0%</w:t>
            </w:r>
          </w:p>
        </w:tc>
      </w:tr>
    </w:tbl>
    <w:p w14:paraId="2D550994" w14:textId="77777777" w:rsidR="00451614" w:rsidRDefault="00451614" w:rsidP="005C5338">
      <w:pPr>
        <w:spacing w:after="160"/>
        <w:jc w:val="both"/>
        <w:rPr>
          <w:rFonts w:ascii="Times New Roman" w:eastAsia="Calibri" w:hAnsi="Times New Roman"/>
          <w:sz w:val="24"/>
          <w:szCs w:val="24"/>
        </w:rPr>
      </w:pPr>
    </w:p>
    <w:p w14:paraId="46E30DFB" w14:textId="4D50BC4F" w:rsidR="00253664" w:rsidRPr="003D7270" w:rsidRDefault="00253664" w:rsidP="005C5338">
      <w:pPr>
        <w:spacing w:after="160"/>
        <w:jc w:val="both"/>
        <w:rPr>
          <w:rFonts w:ascii="Times New Roman" w:eastAsia="Calibri" w:hAnsi="Times New Roman"/>
          <w:sz w:val="24"/>
          <w:szCs w:val="24"/>
        </w:rPr>
      </w:pPr>
      <w:r w:rsidRPr="003D7270">
        <w:rPr>
          <w:rFonts w:ascii="Times New Roman" w:eastAsia="Calibri" w:hAnsi="Times New Roman"/>
          <w:sz w:val="24"/>
          <w:szCs w:val="24"/>
        </w:rPr>
        <w:t xml:space="preserve">As set forth above, </w:t>
      </w:r>
      <w:r w:rsidR="00A25D6A">
        <w:rPr>
          <w:rFonts w:ascii="Times New Roman" w:eastAsia="Calibri" w:hAnsi="Times New Roman"/>
          <w:sz w:val="24"/>
          <w:szCs w:val="24"/>
        </w:rPr>
        <w:t xml:space="preserve">it is forecasted that the </w:t>
      </w:r>
      <w:r w:rsidR="00A25D6A" w:rsidRPr="003D7270">
        <w:rPr>
          <w:rFonts w:ascii="Times New Roman" w:eastAsia="Calibri" w:hAnsi="Times New Roman"/>
          <w:sz w:val="24"/>
          <w:szCs w:val="24"/>
        </w:rPr>
        <w:t xml:space="preserve">Proposed </w:t>
      </w:r>
      <w:r w:rsidR="00A25D6A">
        <w:rPr>
          <w:rFonts w:ascii="Times New Roman" w:eastAsia="Calibri" w:hAnsi="Times New Roman"/>
          <w:sz w:val="24"/>
          <w:szCs w:val="24"/>
        </w:rPr>
        <w:t xml:space="preserve">ASC patients will be significantly comprised of </w:t>
      </w:r>
      <w:r w:rsidRPr="003D7270">
        <w:rPr>
          <w:rFonts w:ascii="Times New Roman" w:eastAsia="Calibri" w:hAnsi="Times New Roman"/>
          <w:sz w:val="24"/>
          <w:szCs w:val="24"/>
        </w:rPr>
        <w:t>higher</w:t>
      </w:r>
      <w:r w:rsidR="00A25D6A">
        <w:rPr>
          <w:rFonts w:ascii="Times New Roman" w:eastAsia="Calibri" w:hAnsi="Times New Roman"/>
          <w:sz w:val="24"/>
          <w:szCs w:val="24"/>
        </w:rPr>
        <w:t xml:space="preserve">-paying </w:t>
      </w:r>
      <w:r w:rsidRPr="003D7270">
        <w:rPr>
          <w:rFonts w:ascii="Times New Roman" w:eastAsia="Calibri" w:hAnsi="Times New Roman"/>
          <w:sz w:val="24"/>
          <w:szCs w:val="24"/>
        </w:rPr>
        <w:t xml:space="preserve">commercial </w:t>
      </w:r>
      <w:r w:rsidR="00A25D6A">
        <w:rPr>
          <w:rFonts w:ascii="Times New Roman" w:eastAsia="Calibri" w:hAnsi="Times New Roman"/>
          <w:sz w:val="24"/>
          <w:szCs w:val="24"/>
        </w:rPr>
        <w:t xml:space="preserve">insurance and </w:t>
      </w:r>
      <w:r w:rsidRPr="003D7270">
        <w:rPr>
          <w:rFonts w:ascii="Times New Roman" w:eastAsia="Calibri" w:hAnsi="Times New Roman"/>
          <w:sz w:val="24"/>
          <w:szCs w:val="24"/>
        </w:rPr>
        <w:t xml:space="preserve">worker’s compensation </w:t>
      </w:r>
      <w:r w:rsidR="00A25D6A">
        <w:rPr>
          <w:rFonts w:ascii="Times New Roman" w:eastAsia="Calibri" w:hAnsi="Times New Roman"/>
          <w:sz w:val="24"/>
          <w:szCs w:val="24"/>
        </w:rPr>
        <w:t xml:space="preserve">beneficiaries </w:t>
      </w:r>
      <w:r w:rsidRPr="003D7270">
        <w:rPr>
          <w:rFonts w:ascii="Times New Roman" w:eastAsia="Calibri" w:hAnsi="Times New Roman"/>
          <w:sz w:val="24"/>
          <w:szCs w:val="24"/>
        </w:rPr>
        <w:t xml:space="preserve">and less Medicare and Medicaid </w:t>
      </w:r>
      <w:r w:rsidR="00A25D6A">
        <w:rPr>
          <w:rFonts w:ascii="Times New Roman" w:eastAsia="Calibri" w:hAnsi="Times New Roman"/>
          <w:sz w:val="24"/>
          <w:szCs w:val="24"/>
        </w:rPr>
        <w:t xml:space="preserve">beneficiaries </w:t>
      </w:r>
      <w:r w:rsidRPr="003D7270">
        <w:rPr>
          <w:rFonts w:ascii="Times New Roman" w:eastAsia="Calibri" w:hAnsi="Times New Roman"/>
          <w:sz w:val="24"/>
          <w:szCs w:val="24"/>
        </w:rPr>
        <w:t xml:space="preserve">than industry averages.  </w:t>
      </w:r>
    </w:p>
    <w:p w14:paraId="0F9C313A" w14:textId="77777777" w:rsidR="0035718B" w:rsidRDefault="00253664" w:rsidP="004C2807">
      <w:pPr>
        <w:spacing w:after="160"/>
        <w:jc w:val="both"/>
        <w:rPr>
          <w:rFonts w:ascii="Times New Roman" w:eastAsia="Calibri" w:hAnsi="Times New Roman"/>
          <w:sz w:val="24"/>
          <w:szCs w:val="24"/>
        </w:rPr>
      </w:pPr>
      <w:r w:rsidRPr="003D7270">
        <w:rPr>
          <w:rFonts w:ascii="Times New Roman" w:eastAsia="Calibri" w:hAnsi="Times New Roman"/>
          <w:sz w:val="24"/>
          <w:szCs w:val="24"/>
        </w:rPr>
        <w:t xml:space="preserve">Forecasted case volume included the considerations of the greater healthcare industry shift to surgical care in outpatient settings. Over the past decade, procedures that had historically been performed in an inpatient setting have shifted to outpatient settings such as ASCs (which shift was accelerated by the COVID-19 pandemic), due in large part to technological advancements (particularly with minimally invasive surgical procedures). </w:t>
      </w:r>
    </w:p>
    <w:p w14:paraId="761925C8" w14:textId="5C9FDECF" w:rsidR="004C2807" w:rsidRDefault="0035718B" w:rsidP="004C2807">
      <w:pPr>
        <w:spacing w:after="160"/>
        <w:jc w:val="both"/>
        <w:rPr>
          <w:rFonts w:ascii="Times New Roman" w:eastAsia="Calibri" w:hAnsi="Times New Roman"/>
          <w:sz w:val="24"/>
          <w:szCs w:val="24"/>
        </w:rPr>
      </w:pPr>
      <w:r>
        <w:rPr>
          <w:rFonts w:ascii="Times New Roman" w:eastAsia="Calibri" w:hAnsi="Times New Roman"/>
          <w:sz w:val="24"/>
          <w:szCs w:val="24"/>
        </w:rPr>
        <w:br w:type="page"/>
      </w:r>
      <w:r w:rsidR="00253664" w:rsidRPr="003D7270">
        <w:rPr>
          <w:rFonts w:ascii="Times New Roman" w:eastAsia="Calibri" w:hAnsi="Times New Roman"/>
          <w:sz w:val="24"/>
          <w:szCs w:val="24"/>
        </w:rPr>
        <w:lastRenderedPageBreak/>
        <w:t>The Centers for Medicare &amp; Medicaid Services (“CMS”) continues to enable this shift by covering more and more services that can be safely provided in an ASC setting.  In 2022, for example, CMS removed Current Procedural Terminology (CPT) codes 22630 (Lumbar spine fusion), 23472 (Reconstruct shoulder joint), and 27702 (Reconstruct ankle joint) from the inpatient only list, (CMS Fact Sheet “</w:t>
      </w:r>
      <w:hyperlink r:id="rId14" w:history="1">
        <w:r w:rsidR="00253664" w:rsidRPr="00A7537F">
          <w:rPr>
            <w:rStyle w:val="Hyperlink"/>
            <w:rFonts w:ascii="Times New Roman" w:eastAsia="Calibri" w:hAnsi="Times New Roman"/>
            <w:color w:val="auto"/>
            <w:sz w:val="24"/>
            <w:szCs w:val="24"/>
            <w:u w:val="none"/>
          </w:rPr>
          <w:t>CY 2022 Medicare Hospital Outpatient Prospective Payment System and Ambulatory Surgical Center Payment System Final Rule (CMS-1753FC)”</w:t>
        </w:r>
      </w:hyperlink>
      <w:r w:rsidR="00253664" w:rsidRPr="00A7537F">
        <w:rPr>
          <w:rFonts w:ascii="Times New Roman" w:eastAsia="Calibri" w:hAnsi="Times New Roman"/>
          <w:sz w:val="24"/>
          <w:szCs w:val="24"/>
        </w:rPr>
        <w:t xml:space="preserve"> </w:t>
      </w:r>
      <w:r w:rsidR="00253664" w:rsidRPr="003D7270">
        <w:rPr>
          <w:rFonts w:ascii="Times New Roman" w:eastAsia="Calibri" w:hAnsi="Times New Roman"/>
          <w:sz w:val="24"/>
          <w:szCs w:val="24"/>
        </w:rPr>
        <w:t xml:space="preserve">accessed at </w:t>
      </w:r>
      <w:hyperlink r:id="rId15" w:history="1">
        <w:r w:rsidR="00933ED2" w:rsidRPr="00656E47">
          <w:rPr>
            <w:rStyle w:val="Hyperlink"/>
            <w:rFonts w:ascii="Times New Roman" w:eastAsia="Calibri" w:hAnsi="Times New Roman"/>
            <w:sz w:val="24"/>
            <w:szCs w:val="24"/>
          </w:rPr>
          <w:t>https://www.cms.gov/newsroom/fact-sheets/cy-2022-medicare-hospital-outpatient-prospective-payment-system-and-ambulatory-surgical-center-0</w:t>
        </w:r>
      </w:hyperlink>
      <w:r w:rsidR="00933ED2">
        <w:rPr>
          <w:rFonts w:ascii="Times New Roman" w:eastAsia="Calibri" w:hAnsi="Times New Roman"/>
          <w:sz w:val="24"/>
          <w:szCs w:val="24"/>
        </w:rPr>
        <w:t xml:space="preserve"> </w:t>
      </w:r>
      <w:r w:rsidR="00253664" w:rsidRPr="003D7270">
        <w:rPr>
          <w:rFonts w:ascii="Times New Roman" w:eastAsia="Calibri" w:hAnsi="Times New Roman"/>
          <w:sz w:val="24"/>
          <w:szCs w:val="24"/>
        </w:rPr>
        <w:t>on 2/9/2022),  meaning that Medicare will now cover these procedures if they are performed in an ASC. It is expected that Medicare will continue to remove procedures from the inpatient only list going forward; therefore, it is reasonable to assume that the types of procedures that the member surgeons will be able to conduct at the new ASC facility will continue to grow in the future.</w:t>
      </w:r>
    </w:p>
    <w:p w14:paraId="3DCB4DD6" w14:textId="77777777" w:rsidR="00807A68" w:rsidRPr="003D7270" w:rsidRDefault="00807A68" w:rsidP="004C2807">
      <w:pPr>
        <w:spacing w:after="160"/>
        <w:jc w:val="both"/>
        <w:rPr>
          <w:rFonts w:ascii="Times New Roman" w:eastAsia="Calibri" w:hAnsi="Times New Roman"/>
          <w:sz w:val="24"/>
          <w:szCs w:val="24"/>
        </w:rPr>
      </w:pPr>
      <w:r w:rsidRPr="003D7270">
        <w:rPr>
          <w:rFonts w:ascii="Times New Roman" w:eastAsia="Calibri" w:hAnsi="Times New Roman"/>
          <w:sz w:val="24"/>
          <w:szCs w:val="24"/>
        </w:rPr>
        <w:t xml:space="preserve">The overall results were analyzed in relation to the profit and loss reporting based on the reasonableness of the number of procedures contemplated in </w:t>
      </w:r>
      <w:r w:rsidR="00C369E3">
        <w:rPr>
          <w:rFonts w:ascii="Times New Roman" w:eastAsia="Calibri" w:hAnsi="Times New Roman"/>
          <w:sz w:val="24"/>
          <w:szCs w:val="24"/>
        </w:rPr>
        <w:t>the Proposed ASC</w:t>
      </w:r>
      <w:r w:rsidRPr="003D7270">
        <w:rPr>
          <w:rFonts w:ascii="Times New Roman" w:eastAsia="Calibri" w:hAnsi="Times New Roman"/>
          <w:sz w:val="24"/>
          <w:szCs w:val="24"/>
        </w:rPr>
        <w:t>, industry data and other factors.</w:t>
      </w:r>
    </w:p>
    <w:p w14:paraId="3B75DF0A" w14:textId="77777777" w:rsidR="00253664" w:rsidRPr="003D7270" w:rsidRDefault="00253664" w:rsidP="00B73E3D">
      <w:pPr>
        <w:jc w:val="both"/>
        <w:rPr>
          <w:rFonts w:ascii="Times New Roman" w:eastAsia="Calibri" w:hAnsi="Times New Roman"/>
          <w:b/>
          <w:bCs/>
          <w:i/>
          <w:iCs/>
          <w:sz w:val="24"/>
          <w:szCs w:val="24"/>
        </w:rPr>
      </w:pPr>
      <w:r w:rsidRPr="003D7270">
        <w:rPr>
          <w:rFonts w:ascii="Times New Roman" w:eastAsia="Calibri" w:hAnsi="Times New Roman"/>
          <w:b/>
          <w:bCs/>
          <w:i/>
          <w:iCs/>
          <w:sz w:val="24"/>
          <w:szCs w:val="24"/>
        </w:rPr>
        <w:t>Salaries, Wages and Benefits Expense</w:t>
      </w:r>
    </w:p>
    <w:p w14:paraId="33FA435F" w14:textId="77777777" w:rsidR="00253664" w:rsidRPr="003D7270" w:rsidRDefault="00253664" w:rsidP="005C5338">
      <w:pPr>
        <w:spacing w:after="160"/>
        <w:jc w:val="both"/>
        <w:rPr>
          <w:rFonts w:ascii="Times New Roman" w:eastAsia="Calibri" w:hAnsi="Times New Roman"/>
          <w:sz w:val="24"/>
          <w:szCs w:val="24"/>
        </w:rPr>
      </w:pPr>
      <w:r w:rsidRPr="003D7270">
        <w:rPr>
          <w:rFonts w:ascii="Times New Roman" w:eastAsia="Calibri" w:hAnsi="Times New Roman"/>
          <w:sz w:val="24"/>
          <w:szCs w:val="24"/>
        </w:rPr>
        <w:t xml:space="preserve">Salaries, Wages and Benefits expense includes the office and administrative team as well as surgical support staff including nurses, technicians, nurse assistances and other professional staff. Management/HCC provided a detailed FTE analysis of the Proposed ASC.  </w:t>
      </w:r>
      <w:r w:rsidR="00036104">
        <w:rPr>
          <w:rFonts w:ascii="Times New Roman" w:eastAsia="Calibri" w:hAnsi="Times New Roman"/>
          <w:sz w:val="24"/>
          <w:szCs w:val="24"/>
        </w:rPr>
        <w:t>Forecasted</w:t>
      </w:r>
      <w:r w:rsidR="00036104" w:rsidRPr="003D7270">
        <w:rPr>
          <w:rFonts w:ascii="Times New Roman" w:eastAsia="Calibri" w:hAnsi="Times New Roman"/>
          <w:sz w:val="24"/>
          <w:szCs w:val="24"/>
        </w:rPr>
        <w:t xml:space="preserve"> </w:t>
      </w:r>
      <w:r w:rsidRPr="003D7270">
        <w:rPr>
          <w:rFonts w:ascii="Times New Roman" w:eastAsia="Calibri" w:hAnsi="Times New Roman"/>
          <w:sz w:val="24"/>
          <w:szCs w:val="24"/>
        </w:rPr>
        <w:t>staff full time equivalents (FTEs) total staff hours per case are within industry benchmark norms.</w:t>
      </w:r>
    </w:p>
    <w:p w14:paraId="22F76AF5" w14:textId="77777777" w:rsidR="00253664" w:rsidRPr="003D7270" w:rsidRDefault="00253664" w:rsidP="005C5338">
      <w:pPr>
        <w:spacing w:after="160"/>
        <w:jc w:val="both"/>
        <w:rPr>
          <w:rFonts w:ascii="Times New Roman" w:eastAsia="Calibri" w:hAnsi="Times New Roman"/>
          <w:sz w:val="24"/>
          <w:szCs w:val="24"/>
        </w:rPr>
      </w:pPr>
      <w:r w:rsidRPr="003D7270">
        <w:rPr>
          <w:rFonts w:ascii="Times New Roman" w:eastAsia="Calibri" w:hAnsi="Times New Roman"/>
          <w:sz w:val="24"/>
          <w:szCs w:val="24"/>
        </w:rPr>
        <w:t xml:space="preserve">As a result of this FTE analysis, coupled with the </w:t>
      </w:r>
      <w:r w:rsidR="00036979">
        <w:rPr>
          <w:rFonts w:ascii="Times New Roman" w:eastAsia="Calibri" w:hAnsi="Times New Roman"/>
          <w:sz w:val="24"/>
          <w:szCs w:val="24"/>
        </w:rPr>
        <w:t>forecasted</w:t>
      </w:r>
      <w:r w:rsidR="00036979" w:rsidRPr="003D7270">
        <w:rPr>
          <w:rFonts w:ascii="Times New Roman" w:eastAsia="Calibri" w:hAnsi="Times New Roman"/>
          <w:sz w:val="24"/>
          <w:szCs w:val="24"/>
        </w:rPr>
        <w:t xml:space="preserve"> </w:t>
      </w:r>
      <w:r w:rsidRPr="003D7270">
        <w:rPr>
          <w:rFonts w:ascii="Times New Roman" w:eastAsia="Calibri" w:hAnsi="Times New Roman"/>
          <w:sz w:val="24"/>
          <w:szCs w:val="24"/>
        </w:rPr>
        <w:t>number of surgical procedures the total payroll expense is anticipated to total approximately $6.8M in Year 1 and $</w:t>
      </w:r>
      <w:r w:rsidR="00A511A4">
        <w:rPr>
          <w:rFonts w:ascii="Times New Roman" w:eastAsia="Calibri" w:hAnsi="Times New Roman"/>
          <w:sz w:val="24"/>
          <w:szCs w:val="24"/>
        </w:rPr>
        <w:t>9</w:t>
      </w:r>
      <w:r w:rsidRPr="003D7270">
        <w:rPr>
          <w:rFonts w:ascii="Times New Roman" w:eastAsia="Calibri" w:hAnsi="Times New Roman"/>
          <w:sz w:val="24"/>
          <w:szCs w:val="24"/>
        </w:rPr>
        <w:t xml:space="preserve">.4M in Year </w:t>
      </w:r>
      <w:r w:rsidR="00A511A4">
        <w:rPr>
          <w:rFonts w:ascii="Times New Roman" w:eastAsia="Calibri" w:hAnsi="Times New Roman"/>
          <w:sz w:val="24"/>
          <w:szCs w:val="24"/>
        </w:rPr>
        <w:t>5</w:t>
      </w:r>
      <w:r w:rsidRPr="003D7270">
        <w:rPr>
          <w:rFonts w:ascii="Times New Roman" w:eastAsia="Calibri" w:hAnsi="Times New Roman"/>
          <w:sz w:val="24"/>
          <w:szCs w:val="24"/>
        </w:rPr>
        <w:t xml:space="preserve">.  The growth in payroll expenses is driven by a combination of the forecasted increased case volume and salary/wage inflation.  While the estimated payroll expense </w:t>
      </w:r>
      <w:r w:rsidR="00807A68" w:rsidRPr="003D7270">
        <w:rPr>
          <w:rFonts w:ascii="Times New Roman" w:eastAsia="Calibri" w:hAnsi="Times New Roman"/>
          <w:sz w:val="24"/>
          <w:szCs w:val="24"/>
        </w:rPr>
        <w:t>represents</w:t>
      </w:r>
      <w:r w:rsidRPr="003D7270">
        <w:rPr>
          <w:rFonts w:ascii="Times New Roman" w:eastAsia="Calibri" w:hAnsi="Times New Roman"/>
          <w:sz w:val="24"/>
          <w:szCs w:val="24"/>
        </w:rPr>
        <w:t xml:space="preserve"> 16.3%</w:t>
      </w:r>
      <w:r w:rsidR="00A511A4">
        <w:rPr>
          <w:rFonts w:ascii="Times New Roman" w:eastAsia="Calibri" w:hAnsi="Times New Roman"/>
          <w:sz w:val="24"/>
          <w:szCs w:val="24"/>
        </w:rPr>
        <w:t>-</w:t>
      </w:r>
      <w:r w:rsidRPr="003D7270">
        <w:rPr>
          <w:rFonts w:ascii="Times New Roman" w:eastAsia="Calibri" w:hAnsi="Times New Roman"/>
          <w:sz w:val="24"/>
          <w:szCs w:val="24"/>
        </w:rPr>
        <w:t>16.8% of revenue is below industry averages of 21-23%, payroll expense was determined to be reasonable in consideration that staffing hours and total FTEs are within industry benchmark norms and the Proposed ASC’s higher reimbursed cases as compared to industry averages.</w:t>
      </w:r>
    </w:p>
    <w:p w14:paraId="08CEEB82" w14:textId="77777777" w:rsidR="00253664" w:rsidRDefault="00253664" w:rsidP="00527087">
      <w:pPr>
        <w:rPr>
          <w:rFonts w:ascii="Times New Roman" w:eastAsia="Calibri" w:hAnsi="Times New Roman"/>
          <w:b/>
          <w:bCs/>
          <w:i/>
          <w:iCs/>
          <w:sz w:val="24"/>
          <w:szCs w:val="24"/>
        </w:rPr>
      </w:pPr>
      <w:r w:rsidRPr="003D7270">
        <w:rPr>
          <w:rFonts w:ascii="Times New Roman" w:eastAsia="Calibri" w:hAnsi="Times New Roman"/>
          <w:b/>
          <w:bCs/>
          <w:i/>
          <w:iCs/>
          <w:sz w:val="24"/>
          <w:szCs w:val="24"/>
        </w:rPr>
        <w:t>Supplies and Drugs Expense</w:t>
      </w:r>
    </w:p>
    <w:p w14:paraId="052D9E0A" w14:textId="77777777" w:rsidR="00253664" w:rsidRDefault="00253664" w:rsidP="00527087">
      <w:pPr>
        <w:jc w:val="both"/>
        <w:rPr>
          <w:rFonts w:ascii="Times New Roman" w:eastAsia="Calibri" w:hAnsi="Times New Roman"/>
          <w:sz w:val="24"/>
          <w:szCs w:val="24"/>
        </w:rPr>
      </w:pPr>
      <w:r w:rsidRPr="003D7270">
        <w:rPr>
          <w:rFonts w:ascii="Times New Roman" w:eastAsia="Calibri" w:hAnsi="Times New Roman"/>
          <w:sz w:val="24"/>
          <w:szCs w:val="24"/>
        </w:rPr>
        <w:t xml:space="preserve">Supplies and Drug expense includes the cost of materials and other consumables required for the performance of surgical procedures.  The </w:t>
      </w:r>
      <w:r w:rsidR="00C62902" w:rsidRPr="003D7270">
        <w:rPr>
          <w:rFonts w:ascii="Times New Roman" w:eastAsia="Calibri" w:hAnsi="Times New Roman"/>
          <w:sz w:val="24"/>
          <w:szCs w:val="24"/>
        </w:rPr>
        <w:t>Forecast</w:t>
      </w:r>
      <w:r w:rsidRPr="003D7270">
        <w:rPr>
          <w:rFonts w:ascii="Times New Roman" w:eastAsia="Calibri" w:hAnsi="Times New Roman"/>
          <w:sz w:val="24"/>
          <w:szCs w:val="24"/>
        </w:rPr>
        <w:t xml:space="preserve"> anticipates these costs per surgical case to increase by 2% per year for non-arthroplasty cases.</w:t>
      </w:r>
    </w:p>
    <w:p w14:paraId="4214A7DF" w14:textId="77777777" w:rsidR="004C2807" w:rsidRPr="003D7270" w:rsidRDefault="004C2807" w:rsidP="00527087">
      <w:pPr>
        <w:jc w:val="both"/>
        <w:rPr>
          <w:rFonts w:ascii="Times New Roman" w:eastAsia="Calibri" w:hAnsi="Times New Roman"/>
          <w:sz w:val="24"/>
          <w:szCs w:val="24"/>
        </w:rPr>
      </w:pPr>
    </w:p>
    <w:p w14:paraId="2D78DF5E" w14:textId="77777777" w:rsidR="00253664" w:rsidRPr="003D7270" w:rsidRDefault="00253664" w:rsidP="005C5338">
      <w:pPr>
        <w:spacing w:after="160"/>
        <w:jc w:val="both"/>
        <w:rPr>
          <w:rFonts w:ascii="Times New Roman" w:eastAsia="Calibri" w:hAnsi="Times New Roman"/>
          <w:sz w:val="24"/>
          <w:szCs w:val="24"/>
        </w:rPr>
      </w:pPr>
      <w:r w:rsidRPr="003D7270">
        <w:rPr>
          <w:rFonts w:ascii="Times New Roman" w:eastAsia="Calibri" w:hAnsi="Times New Roman"/>
          <w:sz w:val="24"/>
          <w:szCs w:val="24"/>
        </w:rPr>
        <w:t>Based upon the anticipated increase in total number of cases and the number of Arthroplasty cases, the total cost of Supplies and Drugs is forecasted to be approximately $1</w:t>
      </w:r>
      <w:r w:rsidR="00A511A4">
        <w:rPr>
          <w:rFonts w:ascii="Times New Roman" w:eastAsia="Calibri" w:hAnsi="Times New Roman"/>
          <w:sz w:val="24"/>
          <w:szCs w:val="24"/>
        </w:rPr>
        <w:t>5.3</w:t>
      </w:r>
      <w:r w:rsidRPr="003D7270">
        <w:rPr>
          <w:rFonts w:ascii="Times New Roman" w:eastAsia="Calibri" w:hAnsi="Times New Roman"/>
          <w:sz w:val="24"/>
          <w:szCs w:val="24"/>
        </w:rPr>
        <w:t>M in Year 1 and grow to approximately $2</w:t>
      </w:r>
      <w:r w:rsidR="00A511A4">
        <w:rPr>
          <w:rFonts w:ascii="Times New Roman" w:eastAsia="Calibri" w:hAnsi="Times New Roman"/>
          <w:sz w:val="24"/>
          <w:szCs w:val="24"/>
        </w:rPr>
        <w:t>0</w:t>
      </w:r>
      <w:r w:rsidRPr="003D7270">
        <w:rPr>
          <w:rFonts w:ascii="Times New Roman" w:eastAsia="Calibri" w:hAnsi="Times New Roman"/>
          <w:sz w:val="24"/>
          <w:szCs w:val="24"/>
        </w:rPr>
        <w:t xml:space="preserve">M in Year </w:t>
      </w:r>
      <w:r w:rsidR="00A511A4">
        <w:rPr>
          <w:rFonts w:ascii="Times New Roman" w:eastAsia="Calibri" w:hAnsi="Times New Roman"/>
          <w:sz w:val="24"/>
          <w:szCs w:val="24"/>
        </w:rPr>
        <w:t>5</w:t>
      </w:r>
      <w:r w:rsidRPr="003D7270">
        <w:rPr>
          <w:rFonts w:ascii="Times New Roman" w:eastAsia="Calibri" w:hAnsi="Times New Roman"/>
          <w:sz w:val="24"/>
          <w:szCs w:val="24"/>
        </w:rPr>
        <w:t xml:space="preserve"> driven by the increase in number of cases and an estimated 2% increase in cost per case per annum.  This is higher than industry averages of 26-28%, as the cases performed at the new facility require more expensive implants than the typical ASC.</w:t>
      </w:r>
    </w:p>
    <w:p w14:paraId="111DEC52" w14:textId="77777777" w:rsidR="00253664" w:rsidRPr="003D7270" w:rsidRDefault="00253664" w:rsidP="00106C90">
      <w:pPr>
        <w:jc w:val="both"/>
        <w:rPr>
          <w:rFonts w:ascii="Times New Roman" w:eastAsia="Calibri" w:hAnsi="Times New Roman"/>
          <w:b/>
          <w:bCs/>
          <w:i/>
          <w:iCs/>
          <w:sz w:val="24"/>
          <w:szCs w:val="24"/>
        </w:rPr>
      </w:pPr>
      <w:r w:rsidRPr="003D7270">
        <w:rPr>
          <w:rFonts w:ascii="Times New Roman" w:eastAsia="Calibri" w:hAnsi="Times New Roman"/>
          <w:b/>
          <w:bCs/>
          <w:i/>
          <w:iCs/>
          <w:sz w:val="24"/>
          <w:szCs w:val="24"/>
        </w:rPr>
        <w:t>Other Variable Expenses</w:t>
      </w:r>
    </w:p>
    <w:p w14:paraId="43FFD118" w14:textId="77777777" w:rsidR="00106C90" w:rsidRDefault="00253664" w:rsidP="00106C90">
      <w:pPr>
        <w:jc w:val="both"/>
        <w:rPr>
          <w:rFonts w:ascii="Times New Roman" w:eastAsia="Calibri" w:hAnsi="Times New Roman"/>
          <w:sz w:val="24"/>
          <w:szCs w:val="24"/>
        </w:rPr>
      </w:pPr>
      <w:r w:rsidRPr="003D7270">
        <w:rPr>
          <w:rFonts w:ascii="Times New Roman" w:eastAsia="Calibri" w:hAnsi="Times New Roman"/>
          <w:sz w:val="24"/>
          <w:szCs w:val="24"/>
        </w:rPr>
        <w:t xml:space="preserve">Other Variable Expenses include the costs of overhead and administrative costs including linen services, cleaning supplies, medical waste, office supplies, office and administrative costs.  These expenses are forecasted at 5.37% of revenue, which is reasonable.  </w:t>
      </w:r>
    </w:p>
    <w:p w14:paraId="48054E40" w14:textId="77777777" w:rsidR="00253664" w:rsidRPr="003D7270" w:rsidRDefault="00253664" w:rsidP="00106C90">
      <w:pPr>
        <w:jc w:val="both"/>
        <w:rPr>
          <w:rFonts w:ascii="Times New Roman" w:eastAsia="Calibri" w:hAnsi="Times New Roman"/>
          <w:b/>
          <w:bCs/>
          <w:i/>
          <w:iCs/>
          <w:sz w:val="24"/>
          <w:szCs w:val="24"/>
        </w:rPr>
      </w:pPr>
      <w:r w:rsidRPr="003D7270">
        <w:rPr>
          <w:rFonts w:ascii="Times New Roman" w:eastAsia="Calibri" w:hAnsi="Times New Roman"/>
          <w:b/>
          <w:bCs/>
          <w:i/>
          <w:iCs/>
          <w:sz w:val="24"/>
          <w:szCs w:val="24"/>
        </w:rPr>
        <w:lastRenderedPageBreak/>
        <w:t>Building Rent and CAM Expenses</w:t>
      </w:r>
    </w:p>
    <w:p w14:paraId="0E97C080" w14:textId="77777777" w:rsidR="00253664" w:rsidRDefault="00253664" w:rsidP="00106C90">
      <w:pPr>
        <w:jc w:val="both"/>
        <w:rPr>
          <w:rFonts w:ascii="Times New Roman" w:eastAsia="Calibri" w:hAnsi="Times New Roman"/>
          <w:sz w:val="24"/>
          <w:szCs w:val="24"/>
        </w:rPr>
      </w:pPr>
      <w:r w:rsidRPr="003D7270">
        <w:rPr>
          <w:rFonts w:ascii="Times New Roman" w:eastAsia="Calibri" w:hAnsi="Times New Roman"/>
          <w:sz w:val="24"/>
          <w:szCs w:val="24"/>
        </w:rPr>
        <w:t>Building Rent and CAM expenses represent the agreed upon rent and related expenses [NNN basis] determined under the executed Letter of Intent commercial lease agreement for the Proposed Project, provided by Management.</w:t>
      </w:r>
      <w:r w:rsidRPr="003D7270">
        <w:rPr>
          <w:rFonts w:ascii="Times New Roman" w:eastAsia="Calibri" w:hAnsi="Times New Roman"/>
          <w:b/>
          <w:bCs/>
          <w:color w:val="FF0000"/>
          <w:sz w:val="24"/>
          <w:szCs w:val="24"/>
        </w:rPr>
        <w:t xml:space="preserve">  </w:t>
      </w:r>
      <w:r w:rsidRPr="003D7270">
        <w:rPr>
          <w:rFonts w:ascii="Times New Roman" w:eastAsia="Calibri" w:hAnsi="Times New Roman"/>
          <w:sz w:val="24"/>
          <w:szCs w:val="24"/>
        </w:rPr>
        <w:t xml:space="preserve">This amount is forecasted at between </w:t>
      </w:r>
      <w:r w:rsidR="003C250A">
        <w:rPr>
          <w:rFonts w:ascii="Times New Roman" w:eastAsia="Calibri" w:hAnsi="Times New Roman"/>
          <w:sz w:val="24"/>
          <w:szCs w:val="24"/>
        </w:rPr>
        <w:t>7</w:t>
      </w:r>
      <w:r w:rsidRPr="003D7270">
        <w:rPr>
          <w:rFonts w:ascii="Times New Roman" w:eastAsia="Calibri" w:hAnsi="Times New Roman"/>
          <w:sz w:val="24"/>
          <w:szCs w:val="24"/>
        </w:rPr>
        <w:t>-</w:t>
      </w:r>
      <w:r w:rsidR="003C250A">
        <w:rPr>
          <w:rFonts w:ascii="Times New Roman" w:eastAsia="Calibri" w:hAnsi="Times New Roman"/>
          <w:sz w:val="24"/>
          <w:szCs w:val="24"/>
        </w:rPr>
        <w:t>9</w:t>
      </w:r>
      <w:r w:rsidRPr="003D7270">
        <w:rPr>
          <w:rFonts w:ascii="Times New Roman" w:eastAsia="Calibri" w:hAnsi="Times New Roman"/>
          <w:sz w:val="24"/>
          <w:szCs w:val="24"/>
        </w:rPr>
        <w:t xml:space="preserve">% of revenue, which is consistent with industry averages. </w:t>
      </w:r>
    </w:p>
    <w:p w14:paraId="6EC09A68" w14:textId="77777777" w:rsidR="003C250A" w:rsidRDefault="003C250A" w:rsidP="00106C90">
      <w:pPr>
        <w:jc w:val="both"/>
        <w:rPr>
          <w:rFonts w:ascii="Times New Roman" w:eastAsia="Calibri" w:hAnsi="Times New Roman"/>
          <w:sz w:val="24"/>
          <w:szCs w:val="24"/>
        </w:rPr>
      </w:pPr>
    </w:p>
    <w:p w14:paraId="6DF0728D" w14:textId="77777777" w:rsidR="003C250A" w:rsidRPr="003D7270" w:rsidRDefault="003C250A" w:rsidP="003C250A">
      <w:pPr>
        <w:jc w:val="both"/>
        <w:rPr>
          <w:rFonts w:ascii="Times New Roman" w:eastAsia="Calibri" w:hAnsi="Times New Roman"/>
          <w:b/>
          <w:bCs/>
          <w:i/>
          <w:iCs/>
          <w:sz w:val="24"/>
          <w:szCs w:val="24"/>
        </w:rPr>
      </w:pPr>
      <w:r>
        <w:rPr>
          <w:rFonts w:ascii="Times New Roman" w:eastAsia="Calibri" w:hAnsi="Times New Roman"/>
          <w:b/>
          <w:bCs/>
          <w:i/>
          <w:iCs/>
          <w:sz w:val="24"/>
          <w:szCs w:val="24"/>
        </w:rPr>
        <w:t>Additional Tenant Improvement Rent</w:t>
      </w:r>
    </w:p>
    <w:p w14:paraId="3C678548" w14:textId="77777777" w:rsidR="003C250A" w:rsidRDefault="003C250A" w:rsidP="003C250A">
      <w:pPr>
        <w:jc w:val="both"/>
        <w:rPr>
          <w:rFonts w:ascii="Times New Roman" w:eastAsia="Calibri" w:hAnsi="Times New Roman"/>
          <w:sz w:val="24"/>
          <w:szCs w:val="24"/>
        </w:rPr>
      </w:pPr>
      <w:r>
        <w:rPr>
          <w:rFonts w:ascii="Times New Roman" w:eastAsia="Calibri" w:hAnsi="Times New Roman"/>
          <w:sz w:val="24"/>
          <w:szCs w:val="24"/>
        </w:rPr>
        <w:t xml:space="preserve">Additional Tenant Improvement Rent represents the agreed upon fixed TI Rent under the proposed Medical Office Lease between the Applicant and </w:t>
      </w:r>
      <w:bookmarkStart w:id="3" w:name="_Hlk132208955"/>
      <w:r>
        <w:rPr>
          <w:rFonts w:ascii="Times New Roman" w:eastAsia="Calibri" w:hAnsi="Times New Roman"/>
          <w:sz w:val="24"/>
          <w:szCs w:val="24"/>
        </w:rPr>
        <w:t>1265 Main Medical Owner, LLC, as Landlord</w:t>
      </w:r>
      <w:bookmarkEnd w:id="3"/>
      <w:r>
        <w:rPr>
          <w:rFonts w:ascii="Times New Roman" w:eastAsia="Calibri" w:hAnsi="Times New Roman"/>
          <w:sz w:val="24"/>
          <w:szCs w:val="24"/>
        </w:rPr>
        <w:t>.</w:t>
      </w:r>
    </w:p>
    <w:p w14:paraId="6A70F0F2" w14:textId="77777777" w:rsidR="004C2807" w:rsidRDefault="004C2807" w:rsidP="00106C90">
      <w:pPr>
        <w:jc w:val="both"/>
        <w:rPr>
          <w:rFonts w:ascii="Times New Roman" w:eastAsia="Calibri" w:hAnsi="Times New Roman"/>
          <w:b/>
          <w:bCs/>
          <w:i/>
          <w:iCs/>
          <w:sz w:val="24"/>
          <w:szCs w:val="24"/>
        </w:rPr>
      </w:pPr>
    </w:p>
    <w:p w14:paraId="09D8734C" w14:textId="77777777" w:rsidR="00253664" w:rsidRPr="005C5338" w:rsidRDefault="00253664" w:rsidP="00106C90">
      <w:pPr>
        <w:jc w:val="both"/>
        <w:rPr>
          <w:rFonts w:ascii="Times New Roman" w:eastAsia="Calibri" w:hAnsi="Times New Roman"/>
          <w:i/>
          <w:iCs/>
          <w:sz w:val="24"/>
          <w:szCs w:val="24"/>
        </w:rPr>
      </w:pPr>
      <w:r w:rsidRPr="005C5338">
        <w:rPr>
          <w:rFonts w:ascii="Times New Roman" w:eastAsia="Calibri" w:hAnsi="Times New Roman"/>
          <w:b/>
          <w:bCs/>
          <w:i/>
          <w:iCs/>
          <w:sz w:val="24"/>
          <w:szCs w:val="24"/>
        </w:rPr>
        <w:t>Forecasted Net Cash Flow</w:t>
      </w:r>
    </w:p>
    <w:p w14:paraId="4FCBD5FE" w14:textId="77777777" w:rsidR="00CD29E6" w:rsidRDefault="00CD29E6" w:rsidP="00CD29E6">
      <w:pPr>
        <w:spacing w:after="160"/>
        <w:jc w:val="both"/>
        <w:rPr>
          <w:rFonts w:ascii="Times New Roman" w:eastAsia="Calibri" w:hAnsi="Times New Roman"/>
          <w:sz w:val="24"/>
          <w:szCs w:val="24"/>
        </w:rPr>
      </w:pPr>
      <w:r w:rsidRPr="003D7270">
        <w:rPr>
          <w:rFonts w:ascii="Times New Roman" w:eastAsia="Calibri" w:hAnsi="Times New Roman"/>
          <w:sz w:val="24"/>
          <w:szCs w:val="24"/>
        </w:rPr>
        <w:t xml:space="preserve">The ASC is </w:t>
      </w:r>
      <w:r w:rsidR="00036979">
        <w:rPr>
          <w:rFonts w:ascii="Times New Roman" w:eastAsia="Calibri" w:hAnsi="Times New Roman"/>
          <w:sz w:val="24"/>
          <w:szCs w:val="24"/>
        </w:rPr>
        <w:t>forecasted</w:t>
      </w:r>
      <w:r w:rsidR="00036979" w:rsidRPr="003D7270">
        <w:rPr>
          <w:rFonts w:ascii="Times New Roman" w:eastAsia="Calibri" w:hAnsi="Times New Roman"/>
          <w:sz w:val="24"/>
          <w:szCs w:val="24"/>
        </w:rPr>
        <w:t xml:space="preserve"> </w:t>
      </w:r>
      <w:r w:rsidRPr="003D7270">
        <w:rPr>
          <w:rFonts w:ascii="Times New Roman" w:eastAsia="Calibri" w:hAnsi="Times New Roman"/>
          <w:sz w:val="24"/>
          <w:szCs w:val="24"/>
        </w:rPr>
        <w:t xml:space="preserve">to have positive overall cash flows. We determined that </w:t>
      </w:r>
      <w:r w:rsidRPr="00F84A03">
        <w:rPr>
          <w:rFonts w:ascii="Times New Roman" w:eastAsia="Calibri" w:hAnsi="Times New Roman"/>
          <w:sz w:val="24"/>
          <w:szCs w:val="24"/>
        </w:rPr>
        <w:t xml:space="preserve">the Forecast </w:t>
      </w:r>
      <w:r w:rsidR="003C250A">
        <w:rPr>
          <w:rFonts w:ascii="Times New Roman" w:eastAsia="Calibri" w:hAnsi="Times New Roman"/>
          <w:sz w:val="24"/>
          <w:szCs w:val="24"/>
        </w:rPr>
        <w:t>is</w:t>
      </w:r>
      <w:r w:rsidRPr="00F84A03">
        <w:rPr>
          <w:rFonts w:ascii="Times New Roman" w:eastAsia="Calibri" w:hAnsi="Times New Roman"/>
          <w:sz w:val="24"/>
          <w:szCs w:val="24"/>
        </w:rPr>
        <w:t xml:space="preserve"> not likely to result in a scenario where there are insufficient funds available for the ongoing operating costs required to support the ASC. </w:t>
      </w:r>
    </w:p>
    <w:p w14:paraId="59DD51A1" w14:textId="77777777" w:rsidR="00A25D6A" w:rsidRDefault="00A25D6A" w:rsidP="00A25D6A">
      <w:pPr>
        <w:jc w:val="both"/>
        <w:rPr>
          <w:rFonts w:ascii="Times New Roman" w:eastAsia="Calibri" w:hAnsi="Times New Roman"/>
          <w:sz w:val="24"/>
          <w:szCs w:val="24"/>
        </w:rPr>
      </w:pPr>
      <w:r w:rsidRPr="003D7270">
        <w:rPr>
          <w:rFonts w:ascii="Times New Roman" w:eastAsia="Calibri" w:hAnsi="Times New Roman"/>
          <w:sz w:val="24"/>
          <w:szCs w:val="24"/>
        </w:rPr>
        <w:t>The table below proves a summary of cash flow by year:</w:t>
      </w:r>
    </w:p>
    <w:p w14:paraId="79DD0671" w14:textId="77777777" w:rsidR="00C672BF" w:rsidRDefault="00C672BF" w:rsidP="00A25D6A">
      <w:pPr>
        <w:jc w:val="both"/>
        <w:rPr>
          <w:rFonts w:ascii="Times New Roman" w:eastAsia="Calibri" w:hAnsi="Times New Roman"/>
          <w:sz w:val="24"/>
          <w:szCs w:val="24"/>
        </w:rPr>
      </w:pPr>
    </w:p>
    <w:tbl>
      <w:tblPr>
        <w:tblStyle w:val="TableGrid"/>
        <w:tblW w:w="0" w:type="auto"/>
        <w:tblLook w:val="04A0" w:firstRow="1" w:lastRow="0" w:firstColumn="1" w:lastColumn="0" w:noHBand="0" w:noVBand="1"/>
      </w:tblPr>
      <w:tblGrid>
        <w:gridCol w:w="2846"/>
        <w:gridCol w:w="1352"/>
        <w:gridCol w:w="1355"/>
        <w:gridCol w:w="1350"/>
        <w:gridCol w:w="1357"/>
        <w:gridCol w:w="1350"/>
      </w:tblGrid>
      <w:tr w:rsidR="00F052BA" w14:paraId="4960719C" w14:textId="77777777" w:rsidTr="00F23AAB">
        <w:trPr>
          <w:cantSplit/>
          <w:tblHeader/>
        </w:trPr>
        <w:tc>
          <w:tcPr>
            <w:tcW w:w="2846" w:type="dxa"/>
            <w:shd w:val="clear" w:color="auto" w:fill="auto"/>
          </w:tcPr>
          <w:p w14:paraId="2281D7AF" w14:textId="262AA99B" w:rsidR="00C672BF" w:rsidRPr="00CA2972" w:rsidRDefault="00C672BF" w:rsidP="00451614">
            <w:pPr>
              <w:rPr>
                <w:rFonts w:ascii="Times New Roman" w:hAnsi="Times New Roman"/>
                <w:sz w:val="20"/>
                <w:szCs w:val="20"/>
              </w:rPr>
            </w:pPr>
            <w:r w:rsidRPr="00CA2972">
              <w:rPr>
                <w:rFonts w:ascii="Times New Roman" w:hAnsi="Times New Roman"/>
                <w:sz w:val="20"/>
                <w:szCs w:val="20"/>
              </w:rPr>
              <w:t>Forecasted Period</w:t>
            </w:r>
          </w:p>
        </w:tc>
        <w:tc>
          <w:tcPr>
            <w:tcW w:w="1352" w:type="dxa"/>
            <w:shd w:val="clear" w:color="auto" w:fill="auto"/>
          </w:tcPr>
          <w:p w14:paraId="6A3C16CF" w14:textId="3DFAEC98" w:rsidR="00C672BF" w:rsidRPr="00CA2972" w:rsidRDefault="00C672BF" w:rsidP="00CA2972">
            <w:pPr>
              <w:jc w:val="center"/>
              <w:rPr>
                <w:rFonts w:ascii="Times New Roman" w:hAnsi="Times New Roman"/>
                <w:sz w:val="20"/>
                <w:szCs w:val="20"/>
              </w:rPr>
            </w:pPr>
            <w:r w:rsidRPr="00CA2972">
              <w:rPr>
                <w:rFonts w:ascii="Times New Roman" w:hAnsi="Times New Roman"/>
                <w:sz w:val="20"/>
                <w:szCs w:val="20"/>
              </w:rPr>
              <w:t>Year 1</w:t>
            </w:r>
          </w:p>
        </w:tc>
        <w:tc>
          <w:tcPr>
            <w:tcW w:w="1355" w:type="dxa"/>
            <w:shd w:val="clear" w:color="auto" w:fill="auto"/>
          </w:tcPr>
          <w:p w14:paraId="1E43F2EB" w14:textId="47294B00" w:rsidR="00C672BF" w:rsidRPr="00CA2972" w:rsidRDefault="00C672BF" w:rsidP="00CA2972">
            <w:pPr>
              <w:jc w:val="center"/>
              <w:rPr>
                <w:rFonts w:ascii="Times New Roman" w:hAnsi="Times New Roman"/>
                <w:sz w:val="20"/>
                <w:szCs w:val="20"/>
              </w:rPr>
            </w:pPr>
            <w:r w:rsidRPr="00CA2972">
              <w:rPr>
                <w:rFonts w:ascii="Times New Roman" w:hAnsi="Times New Roman"/>
                <w:sz w:val="20"/>
                <w:szCs w:val="20"/>
              </w:rPr>
              <w:t>Year 2</w:t>
            </w:r>
          </w:p>
        </w:tc>
        <w:tc>
          <w:tcPr>
            <w:tcW w:w="1350" w:type="dxa"/>
            <w:shd w:val="clear" w:color="auto" w:fill="auto"/>
          </w:tcPr>
          <w:p w14:paraId="2FCAF48B" w14:textId="7C309917" w:rsidR="00C672BF" w:rsidRPr="00CA2972" w:rsidRDefault="00C672BF" w:rsidP="00CA2972">
            <w:pPr>
              <w:jc w:val="center"/>
              <w:rPr>
                <w:rFonts w:ascii="Times New Roman" w:hAnsi="Times New Roman"/>
                <w:sz w:val="20"/>
                <w:szCs w:val="20"/>
              </w:rPr>
            </w:pPr>
            <w:r w:rsidRPr="00CA2972">
              <w:rPr>
                <w:rFonts w:ascii="Times New Roman" w:hAnsi="Times New Roman"/>
                <w:sz w:val="20"/>
                <w:szCs w:val="20"/>
              </w:rPr>
              <w:t>Year 3</w:t>
            </w:r>
          </w:p>
        </w:tc>
        <w:tc>
          <w:tcPr>
            <w:tcW w:w="1357" w:type="dxa"/>
            <w:shd w:val="clear" w:color="auto" w:fill="auto"/>
          </w:tcPr>
          <w:p w14:paraId="181443CD" w14:textId="0115BF62" w:rsidR="00C672BF" w:rsidRPr="00CA2972" w:rsidRDefault="00C672BF" w:rsidP="00CA2972">
            <w:pPr>
              <w:jc w:val="center"/>
              <w:rPr>
                <w:rFonts w:ascii="Times New Roman" w:hAnsi="Times New Roman"/>
                <w:sz w:val="20"/>
                <w:szCs w:val="20"/>
              </w:rPr>
            </w:pPr>
            <w:r w:rsidRPr="00CA2972">
              <w:rPr>
                <w:rFonts w:ascii="Times New Roman" w:hAnsi="Times New Roman"/>
                <w:sz w:val="20"/>
                <w:szCs w:val="20"/>
              </w:rPr>
              <w:t>Year 4</w:t>
            </w:r>
          </w:p>
        </w:tc>
        <w:tc>
          <w:tcPr>
            <w:tcW w:w="1350" w:type="dxa"/>
            <w:shd w:val="clear" w:color="auto" w:fill="auto"/>
          </w:tcPr>
          <w:p w14:paraId="5C79D800" w14:textId="7CF7B2FC" w:rsidR="00C672BF" w:rsidRPr="00CA2972" w:rsidRDefault="00C672BF" w:rsidP="00CA2972">
            <w:pPr>
              <w:jc w:val="center"/>
              <w:rPr>
                <w:rFonts w:ascii="Times New Roman" w:hAnsi="Times New Roman"/>
                <w:sz w:val="20"/>
                <w:szCs w:val="20"/>
              </w:rPr>
            </w:pPr>
            <w:r w:rsidRPr="00CA2972">
              <w:rPr>
                <w:rFonts w:ascii="Times New Roman" w:hAnsi="Times New Roman"/>
                <w:sz w:val="20"/>
                <w:szCs w:val="20"/>
              </w:rPr>
              <w:t>Year 5</w:t>
            </w:r>
          </w:p>
        </w:tc>
      </w:tr>
      <w:tr w:rsidR="00F052BA" w14:paraId="448EA470" w14:textId="77777777" w:rsidTr="00F23AAB">
        <w:trPr>
          <w:cantSplit/>
        </w:trPr>
        <w:tc>
          <w:tcPr>
            <w:tcW w:w="2846" w:type="dxa"/>
            <w:shd w:val="clear" w:color="auto" w:fill="auto"/>
          </w:tcPr>
          <w:p w14:paraId="13F33FF2" w14:textId="03824FA7" w:rsidR="00C672BF" w:rsidRPr="00CA2972" w:rsidRDefault="00C672BF" w:rsidP="00451614">
            <w:pPr>
              <w:rPr>
                <w:rFonts w:ascii="Times New Roman" w:hAnsi="Times New Roman"/>
                <w:sz w:val="20"/>
                <w:szCs w:val="20"/>
              </w:rPr>
            </w:pPr>
            <w:r w:rsidRPr="00CA2972">
              <w:rPr>
                <w:rFonts w:ascii="Times New Roman" w:hAnsi="Times New Roman"/>
                <w:sz w:val="20"/>
                <w:szCs w:val="20"/>
              </w:rPr>
              <w:t>1. Net Revenues</w:t>
            </w:r>
          </w:p>
        </w:tc>
        <w:tc>
          <w:tcPr>
            <w:tcW w:w="1352" w:type="dxa"/>
            <w:shd w:val="clear" w:color="auto" w:fill="auto"/>
          </w:tcPr>
          <w:p w14:paraId="75E8EB52" w14:textId="636F568E" w:rsidR="00C672BF" w:rsidRPr="00CA2972" w:rsidRDefault="00C672BF" w:rsidP="00451614">
            <w:pPr>
              <w:jc w:val="center"/>
              <w:rPr>
                <w:rFonts w:ascii="Times New Roman" w:hAnsi="Times New Roman"/>
                <w:sz w:val="20"/>
                <w:szCs w:val="20"/>
              </w:rPr>
            </w:pPr>
            <w:r w:rsidRPr="00CA2972">
              <w:rPr>
                <w:rFonts w:ascii="Times New Roman" w:hAnsi="Times New Roman"/>
                <w:sz w:val="20"/>
                <w:szCs w:val="20"/>
              </w:rPr>
              <w:t>$41,921,447</w:t>
            </w:r>
          </w:p>
        </w:tc>
        <w:tc>
          <w:tcPr>
            <w:tcW w:w="1355" w:type="dxa"/>
            <w:shd w:val="clear" w:color="auto" w:fill="auto"/>
          </w:tcPr>
          <w:p w14:paraId="0398A2C7" w14:textId="14B49BF8" w:rsidR="00C672BF" w:rsidRPr="00CA2972" w:rsidRDefault="00C672BF" w:rsidP="00451614">
            <w:pPr>
              <w:jc w:val="center"/>
              <w:rPr>
                <w:rFonts w:ascii="Times New Roman" w:hAnsi="Times New Roman"/>
                <w:sz w:val="20"/>
                <w:szCs w:val="20"/>
              </w:rPr>
            </w:pPr>
            <w:r w:rsidRPr="00CA2972">
              <w:rPr>
                <w:rFonts w:ascii="Times New Roman" w:hAnsi="Times New Roman"/>
                <w:sz w:val="20"/>
                <w:szCs w:val="20"/>
              </w:rPr>
              <w:t>$45,134,977</w:t>
            </w:r>
          </w:p>
        </w:tc>
        <w:tc>
          <w:tcPr>
            <w:tcW w:w="1350" w:type="dxa"/>
            <w:shd w:val="clear" w:color="auto" w:fill="auto"/>
          </w:tcPr>
          <w:p w14:paraId="11A954AF" w14:textId="1FE26F81" w:rsidR="00C672BF" w:rsidRPr="00CA2972" w:rsidRDefault="00C672BF" w:rsidP="00451614">
            <w:pPr>
              <w:jc w:val="center"/>
              <w:rPr>
                <w:rFonts w:ascii="Times New Roman" w:hAnsi="Times New Roman"/>
                <w:sz w:val="20"/>
                <w:szCs w:val="20"/>
              </w:rPr>
            </w:pPr>
            <w:r w:rsidRPr="00CA2972">
              <w:rPr>
                <w:rFonts w:ascii="Times New Roman" w:hAnsi="Times New Roman"/>
                <w:sz w:val="20"/>
                <w:szCs w:val="20"/>
              </w:rPr>
              <w:t>$48,641,517</w:t>
            </w:r>
          </w:p>
        </w:tc>
        <w:tc>
          <w:tcPr>
            <w:tcW w:w="1357" w:type="dxa"/>
            <w:shd w:val="clear" w:color="auto" w:fill="auto"/>
          </w:tcPr>
          <w:p w14:paraId="28226D61" w14:textId="7B3DD819" w:rsidR="00C672BF" w:rsidRPr="00CA2972" w:rsidRDefault="00C672BF" w:rsidP="00451614">
            <w:pPr>
              <w:jc w:val="center"/>
              <w:rPr>
                <w:rFonts w:ascii="Times New Roman" w:hAnsi="Times New Roman"/>
                <w:sz w:val="20"/>
                <w:szCs w:val="20"/>
              </w:rPr>
            </w:pPr>
            <w:r w:rsidRPr="00CA2972">
              <w:rPr>
                <w:rFonts w:ascii="Times New Roman" w:hAnsi="Times New Roman"/>
                <w:sz w:val="20"/>
                <w:szCs w:val="20"/>
              </w:rPr>
              <w:t>$52,295,268</w:t>
            </w:r>
          </w:p>
        </w:tc>
        <w:tc>
          <w:tcPr>
            <w:tcW w:w="1350" w:type="dxa"/>
            <w:shd w:val="clear" w:color="auto" w:fill="auto"/>
          </w:tcPr>
          <w:p w14:paraId="4BCAF7BB" w14:textId="24527447" w:rsidR="00C672BF" w:rsidRPr="00CA2972" w:rsidRDefault="00C672BF" w:rsidP="00451614">
            <w:pPr>
              <w:jc w:val="center"/>
              <w:rPr>
                <w:rFonts w:ascii="Times New Roman" w:hAnsi="Times New Roman"/>
                <w:sz w:val="20"/>
                <w:szCs w:val="20"/>
              </w:rPr>
            </w:pPr>
            <w:r w:rsidRPr="00CA2972">
              <w:rPr>
                <w:rFonts w:ascii="Times New Roman" w:hAnsi="Times New Roman"/>
                <w:sz w:val="20"/>
                <w:szCs w:val="20"/>
              </w:rPr>
              <w:t>$56,103,851</w:t>
            </w:r>
          </w:p>
        </w:tc>
      </w:tr>
      <w:tr w:rsidR="00F052BA" w14:paraId="674C1CBB" w14:textId="77777777" w:rsidTr="00F23AAB">
        <w:trPr>
          <w:cantSplit/>
        </w:trPr>
        <w:tc>
          <w:tcPr>
            <w:tcW w:w="2846" w:type="dxa"/>
            <w:shd w:val="clear" w:color="auto" w:fill="auto"/>
          </w:tcPr>
          <w:p w14:paraId="2F473EEB" w14:textId="0A0BA27C" w:rsidR="00F052BA" w:rsidRPr="00CA2972" w:rsidRDefault="00F052BA" w:rsidP="00451614">
            <w:pPr>
              <w:rPr>
                <w:rFonts w:ascii="Times New Roman" w:hAnsi="Times New Roman"/>
                <w:sz w:val="20"/>
                <w:szCs w:val="20"/>
              </w:rPr>
            </w:pPr>
            <w:r w:rsidRPr="00CA2972">
              <w:rPr>
                <w:rFonts w:ascii="Times New Roman" w:hAnsi="Times New Roman"/>
                <w:sz w:val="20"/>
                <w:szCs w:val="20"/>
              </w:rPr>
              <w:t>2. Less:  Operating Expenses</w:t>
            </w:r>
          </w:p>
        </w:tc>
        <w:tc>
          <w:tcPr>
            <w:tcW w:w="1352" w:type="dxa"/>
            <w:shd w:val="clear" w:color="auto" w:fill="auto"/>
          </w:tcPr>
          <w:p w14:paraId="5B459C3B" w14:textId="28D9B7D5" w:rsidR="00F052BA" w:rsidRPr="00CA2972" w:rsidRDefault="00F052BA" w:rsidP="00451614">
            <w:pPr>
              <w:jc w:val="center"/>
              <w:rPr>
                <w:rFonts w:ascii="Times New Roman" w:hAnsi="Times New Roman"/>
                <w:sz w:val="20"/>
                <w:szCs w:val="20"/>
              </w:rPr>
            </w:pPr>
            <w:r w:rsidRPr="00CA2972">
              <w:rPr>
                <w:rFonts w:ascii="Times New Roman" w:hAnsi="Times New Roman"/>
                <w:sz w:val="20"/>
                <w:szCs w:val="20"/>
              </w:rPr>
              <w:t>($30,235,167)</w:t>
            </w:r>
          </w:p>
        </w:tc>
        <w:tc>
          <w:tcPr>
            <w:tcW w:w="1355" w:type="dxa"/>
            <w:shd w:val="clear" w:color="auto" w:fill="auto"/>
          </w:tcPr>
          <w:p w14:paraId="18875BA0" w14:textId="67FEA325" w:rsidR="00F052BA" w:rsidRPr="00CA2972" w:rsidRDefault="00F052BA" w:rsidP="00451614">
            <w:pPr>
              <w:jc w:val="center"/>
              <w:rPr>
                <w:rFonts w:ascii="Times New Roman" w:hAnsi="Times New Roman"/>
                <w:sz w:val="20"/>
                <w:szCs w:val="20"/>
              </w:rPr>
            </w:pPr>
            <w:r w:rsidRPr="00CA2972">
              <w:rPr>
                <w:rFonts w:ascii="Times New Roman" w:hAnsi="Times New Roman"/>
                <w:sz w:val="20"/>
                <w:szCs w:val="20"/>
              </w:rPr>
              <w:t>($32,212,070)</w:t>
            </w:r>
          </w:p>
        </w:tc>
        <w:tc>
          <w:tcPr>
            <w:tcW w:w="1350" w:type="dxa"/>
            <w:shd w:val="clear" w:color="auto" w:fill="auto"/>
          </w:tcPr>
          <w:p w14:paraId="1BD2DAF3" w14:textId="7DE4B176" w:rsidR="00F052BA" w:rsidRPr="00CA2972" w:rsidRDefault="00F052BA" w:rsidP="00451614">
            <w:pPr>
              <w:jc w:val="center"/>
              <w:rPr>
                <w:rFonts w:ascii="Times New Roman" w:hAnsi="Times New Roman"/>
                <w:sz w:val="20"/>
                <w:szCs w:val="20"/>
              </w:rPr>
            </w:pPr>
            <w:r w:rsidRPr="00CA2972">
              <w:rPr>
                <w:rFonts w:ascii="Times New Roman" w:hAnsi="Times New Roman"/>
                <w:sz w:val="20"/>
                <w:szCs w:val="20"/>
              </w:rPr>
              <w:t>($34,361,091)</w:t>
            </w:r>
          </w:p>
        </w:tc>
        <w:tc>
          <w:tcPr>
            <w:tcW w:w="1357" w:type="dxa"/>
            <w:shd w:val="clear" w:color="auto" w:fill="auto"/>
          </w:tcPr>
          <w:p w14:paraId="03265D3F" w14:textId="5728F444" w:rsidR="00F052BA" w:rsidRPr="00CA2972" w:rsidRDefault="00F052BA" w:rsidP="00451614">
            <w:pPr>
              <w:jc w:val="center"/>
              <w:rPr>
                <w:rFonts w:ascii="Times New Roman" w:hAnsi="Times New Roman"/>
                <w:sz w:val="20"/>
                <w:szCs w:val="20"/>
              </w:rPr>
            </w:pPr>
            <w:r w:rsidRPr="00CA2972">
              <w:rPr>
                <w:rFonts w:ascii="Times New Roman" w:hAnsi="Times New Roman"/>
                <w:sz w:val="20"/>
                <w:szCs w:val="20"/>
              </w:rPr>
              <w:t>($36,608,413)</w:t>
            </w:r>
          </w:p>
        </w:tc>
        <w:tc>
          <w:tcPr>
            <w:tcW w:w="1350" w:type="dxa"/>
            <w:shd w:val="clear" w:color="auto" w:fill="auto"/>
          </w:tcPr>
          <w:p w14:paraId="71D3D981" w14:textId="359BE303" w:rsidR="00F052BA" w:rsidRPr="00CA2972" w:rsidRDefault="00F052BA" w:rsidP="00451614">
            <w:pPr>
              <w:jc w:val="center"/>
              <w:rPr>
                <w:rFonts w:ascii="Times New Roman" w:hAnsi="Times New Roman"/>
                <w:sz w:val="20"/>
                <w:szCs w:val="20"/>
              </w:rPr>
            </w:pPr>
            <w:r w:rsidRPr="00CA2972">
              <w:rPr>
                <w:rFonts w:ascii="Times New Roman" w:hAnsi="Times New Roman"/>
                <w:sz w:val="20"/>
                <w:szCs w:val="20"/>
              </w:rPr>
              <w:t>($38,960,873)</w:t>
            </w:r>
          </w:p>
        </w:tc>
      </w:tr>
      <w:tr w:rsidR="00F052BA" w14:paraId="0BE8C1A6" w14:textId="77777777" w:rsidTr="00F23AAB">
        <w:trPr>
          <w:cantSplit/>
        </w:trPr>
        <w:tc>
          <w:tcPr>
            <w:tcW w:w="2846" w:type="dxa"/>
            <w:shd w:val="clear" w:color="auto" w:fill="auto"/>
          </w:tcPr>
          <w:p w14:paraId="6DF70DDE" w14:textId="7088E7C6" w:rsidR="00F052BA" w:rsidRPr="00CA2972" w:rsidRDefault="00F052BA" w:rsidP="00451614">
            <w:pPr>
              <w:rPr>
                <w:rFonts w:ascii="Times New Roman" w:hAnsi="Times New Roman"/>
                <w:sz w:val="20"/>
                <w:szCs w:val="20"/>
              </w:rPr>
            </w:pPr>
            <w:r w:rsidRPr="00CA2972">
              <w:rPr>
                <w:rFonts w:ascii="Times New Roman" w:hAnsi="Times New Roman"/>
                <w:sz w:val="20"/>
                <w:szCs w:val="20"/>
              </w:rPr>
              <w:t>3. Earnings Before Taxes (EBT)</w:t>
            </w:r>
          </w:p>
        </w:tc>
        <w:tc>
          <w:tcPr>
            <w:tcW w:w="1352" w:type="dxa"/>
            <w:shd w:val="clear" w:color="auto" w:fill="auto"/>
          </w:tcPr>
          <w:p w14:paraId="39DBF8FB" w14:textId="61EAA62B" w:rsidR="00F052BA" w:rsidRPr="00CA2972" w:rsidRDefault="00F052BA" w:rsidP="00451614">
            <w:pPr>
              <w:jc w:val="center"/>
              <w:rPr>
                <w:rFonts w:ascii="Times New Roman" w:hAnsi="Times New Roman"/>
                <w:sz w:val="20"/>
                <w:szCs w:val="20"/>
              </w:rPr>
            </w:pPr>
            <w:r w:rsidRPr="00CA2972">
              <w:rPr>
                <w:rFonts w:ascii="Times New Roman" w:hAnsi="Times New Roman"/>
                <w:sz w:val="20"/>
                <w:szCs w:val="20"/>
              </w:rPr>
              <w:t>$11,686,280</w:t>
            </w:r>
          </w:p>
        </w:tc>
        <w:tc>
          <w:tcPr>
            <w:tcW w:w="1355" w:type="dxa"/>
            <w:shd w:val="clear" w:color="auto" w:fill="auto"/>
          </w:tcPr>
          <w:p w14:paraId="46EB8E6C" w14:textId="7C6A2F73" w:rsidR="00F052BA" w:rsidRPr="00CA2972" w:rsidRDefault="00F052BA" w:rsidP="00451614">
            <w:pPr>
              <w:jc w:val="center"/>
              <w:rPr>
                <w:rFonts w:ascii="Times New Roman" w:hAnsi="Times New Roman"/>
                <w:sz w:val="20"/>
                <w:szCs w:val="20"/>
              </w:rPr>
            </w:pPr>
            <w:r w:rsidRPr="00CA2972">
              <w:rPr>
                <w:rFonts w:ascii="Times New Roman" w:hAnsi="Times New Roman"/>
                <w:sz w:val="20"/>
                <w:szCs w:val="20"/>
              </w:rPr>
              <w:t>$12,922,907</w:t>
            </w:r>
          </w:p>
        </w:tc>
        <w:tc>
          <w:tcPr>
            <w:tcW w:w="1350" w:type="dxa"/>
            <w:shd w:val="clear" w:color="auto" w:fill="auto"/>
          </w:tcPr>
          <w:p w14:paraId="55C3ABE3" w14:textId="7540CB0F" w:rsidR="00F052BA" w:rsidRPr="00CA2972" w:rsidRDefault="00F052BA" w:rsidP="00451614">
            <w:pPr>
              <w:jc w:val="center"/>
              <w:rPr>
                <w:rFonts w:ascii="Times New Roman" w:hAnsi="Times New Roman"/>
                <w:sz w:val="20"/>
                <w:szCs w:val="20"/>
              </w:rPr>
            </w:pPr>
            <w:r w:rsidRPr="00CA2972">
              <w:rPr>
                <w:rFonts w:ascii="Times New Roman" w:hAnsi="Times New Roman"/>
                <w:sz w:val="20"/>
                <w:szCs w:val="20"/>
              </w:rPr>
              <w:t>$14,280,426</w:t>
            </w:r>
          </w:p>
        </w:tc>
        <w:tc>
          <w:tcPr>
            <w:tcW w:w="1357" w:type="dxa"/>
            <w:shd w:val="clear" w:color="auto" w:fill="auto"/>
          </w:tcPr>
          <w:p w14:paraId="4EA5F775" w14:textId="72D6FF55" w:rsidR="00F052BA" w:rsidRPr="00CA2972" w:rsidRDefault="00F052BA" w:rsidP="00451614">
            <w:pPr>
              <w:jc w:val="center"/>
              <w:rPr>
                <w:rFonts w:ascii="Times New Roman" w:hAnsi="Times New Roman"/>
                <w:sz w:val="20"/>
                <w:szCs w:val="20"/>
              </w:rPr>
            </w:pPr>
            <w:r w:rsidRPr="00CA2972">
              <w:rPr>
                <w:rFonts w:ascii="Times New Roman" w:hAnsi="Times New Roman"/>
                <w:sz w:val="20"/>
                <w:szCs w:val="20"/>
              </w:rPr>
              <w:t>$15,686,855</w:t>
            </w:r>
          </w:p>
        </w:tc>
        <w:tc>
          <w:tcPr>
            <w:tcW w:w="1350" w:type="dxa"/>
            <w:shd w:val="clear" w:color="auto" w:fill="auto"/>
          </w:tcPr>
          <w:p w14:paraId="50133518" w14:textId="07B52E6C" w:rsidR="00F052BA" w:rsidRPr="00CA2972" w:rsidRDefault="00F052BA" w:rsidP="00451614">
            <w:pPr>
              <w:jc w:val="center"/>
              <w:rPr>
                <w:rFonts w:ascii="Times New Roman" w:hAnsi="Times New Roman"/>
                <w:sz w:val="20"/>
                <w:szCs w:val="20"/>
              </w:rPr>
            </w:pPr>
            <w:r w:rsidRPr="00CA2972">
              <w:rPr>
                <w:rFonts w:ascii="Times New Roman" w:hAnsi="Times New Roman"/>
                <w:sz w:val="20"/>
                <w:szCs w:val="20"/>
              </w:rPr>
              <w:t>$17,142,978</w:t>
            </w:r>
          </w:p>
        </w:tc>
      </w:tr>
      <w:tr w:rsidR="00F052BA" w14:paraId="7816BDEB" w14:textId="77777777" w:rsidTr="00F23AAB">
        <w:trPr>
          <w:cantSplit/>
        </w:trPr>
        <w:tc>
          <w:tcPr>
            <w:tcW w:w="2846" w:type="dxa"/>
            <w:shd w:val="clear" w:color="auto" w:fill="auto"/>
          </w:tcPr>
          <w:p w14:paraId="7B59AE4E" w14:textId="341AE7C1" w:rsidR="00F052BA" w:rsidRPr="00CA2972" w:rsidRDefault="00F052BA" w:rsidP="00CA2972">
            <w:pPr>
              <w:rPr>
                <w:rFonts w:ascii="Times New Roman" w:hAnsi="Times New Roman"/>
                <w:sz w:val="20"/>
                <w:szCs w:val="20"/>
              </w:rPr>
            </w:pPr>
            <w:r w:rsidRPr="00CA2972">
              <w:rPr>
                <w:rFonts w:ascii="Times New Roman" w:hAnsi="Times New Roman"/>
                <w:sz w:val="20"/>
                <w:szCs w:val="20"/>
              </w:rPr>
              <w:t>Projected Economic Net Cash Flow</w:t>
            </w:r>
          </w:p>
        </w:tc>
        <w:tc>
          <w:tcPr>
            <w:tcW w:w="1352" w:type="dxa"/>
            <w:shd w:val="clear" w:color="auto" w:fill="auto"/>
          </w:tcPr>
          <w:p w14:paraId="3A80DE99" w14:textId="19FD4ECB" w:rsidR="00F052BA" w:rsidRPr="00CA2972" w:rsidRDefault="00F052BA" w:rsidP="00CA2972">
            <w:pPr>
              <w:jc w:val="center"/>
              <w:rPr>
                <w:rFonts w:ascii="Times New Roman" w:hAnsi="Times New Roman"/>
                <w:sz w:val="20"/>
                <w:szCs w:val="20"/>
              </w:rPr>
            </w:pPr>
            <w:r w:rsidRPr="00CA2972">
              <w:rPr>
                <w:rFonts w:ascii="Times New Roman" w:hAnsi="Times New Roman"/>
                <w:sz w:val="20"/>
                <w:szCs w:val="20"/>
              </w:rPr>
              <w:t>$11,686,280</w:t>
            </w:r>
          </w:p>
        </w:tc>
        <w:tc>
          <w:tcPr>
            <w:tcW w:w="1355" w:type="dxa"/>
            <w:shd w:val="clear" w:color="auto" w:fill="auto"/>
          </w:tcPr>
          <w:p w14:paraId="7CE85B96" w14:textId="32705F91" w:rsidR="00F052BA" w:rsidRPr="00CA2972" w:rsidRDefault="00F052BA" w:rsidP="00CA2972">
            <w:pPr>
              <w:jc w:val="center"/>
              <w:rPr>
                <w:rFonts w:ascii="Times New Roman" w:hAnsi="Times New Roman"/>
                <w:sz w:val="20"/>
                <w:szCs w:val="20"/>
              </w:rPr>
            </w:pPr>
            <w:r w:rsidRPr="00CA2972">
              <w:rPr>
                <w:rFonts w:ascii="Times New Roman" w:hAnsi="Times New Roman"/>
                <w:sz w:val="20"/>
                <w:szCs w:val="20"/>
              </w:rPr>
              <w:t>$12,922,907</w:t>
            </w:r>
          </w:p>
        </w:tc>
        <w:tc>
          <w:tcPr>
            <w:tcW w:w="1350" w:type="dxa"/>
            <w:shd w:val="clear" w:color="auto" w:fill="auto"/>
          </w:tcPr>
          <w:p w14:paraId="790E78AF" w14:textId="4B9C6AF1" w:rsidR="00F052BA" w:rsidRPr="00CA2972" w:rsidRDefault="00F052BA" w:rsidP="00CA2972">
            <w:pPr>
              <w:jc w:val="center"/>
              <w:rPr>
                <w:rFonts w:ascii="Times New Roman" w:hAnsi="Times New Roman"/>
                <w:sz w:val="20"/>
                <w:szCs w:val="20"/>
              </w:rPr>
            </w:pPr>
            <w:r w:rsidRPr="00CA2972">
              <w:rPr>
                <w:rFonts w:ascii="Times New Roman" w:hAnsi="Times New Roman"/>
                <w:sz w:val="20"/>
                <w:szCs w:val="20"/>
              </w:rPr>
              <w:t>$14,280,426</w:t>
            </w:r>
          </w:p>
        </w:tc>
        <w:tc>
          <w:tcPr>
            <w:tcW w:w="1357" w:type="dxa"/>
            <w:shd w:val="clear" w:color="auto" w:fill="auto"/>
          </w:tcPr>
          <w:p w14:paraId="3B38C0B2" w14:textId="6793721C" w:rsidR="00F052BA" w:rsidRPr="00CA2972" w:rsidRDefault="00F052BA" w:rsidP="00CA2972">
            <w:pPr>
              <w:jc w:val="center"/>
              <w:rPr>
                <w:rFonts w:ascii="Times New Roman" w:hAnsi="Times New Roman"/>
                <w:sz w:val="20"/>
                <w:szCs w:val="20"/>
              </w:rPr>
            </w:pPr>
            <w:r w:rsidRPr="00CA2972">
              <w:rPr>
                <w:rFonts w:ascii="Times New Roman" w:hAnsi="Times New Roman"/>
                <w:sz w:val="20"/>
                <w:szCs w:val="20"/>
              </w:rPr>
              <w:t>$15,686,855</w:t>
            </w:r>
          </w:p>
        </w:tc>
        <w:tc>
          <w:tcPr>
            <w:tcW w:w="1350" w:type="dxa"/>
            <w:shd w:val="clear" w:color="auto" w:fill="auto"/>
          </w:tcPr>
          <w:p w14:paraId="0B452E88" w14:textId="18C5951D" w:rsidR="00F052BA" w:rsidRPr="00CA2972" w:rsidRDefault="00F052BA" w:rsidP="00CA2972">
            <w:pPr>
              <w:jc w:val="center"/>
              <w:rPr>
                <w:rFonts w:ascii="Times New Roman" w:hAnsi="Times New Roman"/>
                <w:sz w:val="20"/>
                <w:szCs w:val="20"/>
              </w:rPr>
            </w:pPr>
            <w:r w:rsidRPr="00CA2972">
              <w:rPr>
                <w:rFonts w:ascii="Times New Roman" w:hAnsi="Times New Roman"/>
                <w:sz w:val="20"/>
                <w:szCs w:val="20"/>
              </w:rPr>
              <w:t>$17,142,978</w:t>
            </w:r>
          </w:p>
        </w:tc>
      </w:tr>
    </w:tbl>
    <w:p w14:paraId="6AFCFA20" w14:textId="77777777" w:rsidR="00C672BF" w:rsidRDefault="00C672BF" w:rsidP="00A25D6A">
      <w:pPr>
        <w:jc w:val="both"/>
        <w:rPr>
          <w:rFonts w:ascii="Times New Roman" w:eastAsia="Calibri" w:hAnsi="Times New Roman"/>
          <w:sz w:val="24"/>
          <w:szCs w:val="24"/>
        </w:rPr>
      </w:pPr>
    </w:p>
    <w:p w14:paraId="72007D79" w14:textId="77777777" w:rsidR="00253664" w:rsidRPr="003D7270" w:rsidRDefault="00253664" w:rsidP="00106C90">
      <w:pPr>
        <w:jc w:val="both"/>
        <w:rPr>
          <w:rFonts w:ascii="Times New Roman" w:eastAsia="Calibri" w:hAnsi="Times New Roman"/>
          <w:b/>
          <w:bCs/>
          <w:i/>
          <w:iCs/>
          <w:sz w:val="24"/>
          <w:szCs w:val="24"/>
        </w:rPr>
      </w:pPr>
      <w:r w:rsidRPr="003D7270">
        <w:rPr>
          <w:rFonts w:ascii="Times New Roman" w:eastAsia="Calibri" w:hAnsi="Times New Roman"/>
          <w:b/>
          <w:bCs/>
          <w:i/>
          <w:iCs/>
          <w:sz w:val="24"/>
          <w:szCs w:val="24"/>
        </w:rPr>
        <w:t xml:space="preserve">Funding and Debt </w:t>
      </w:r>
      <w:r w:rsidR="001171AB">
        <w:rPr>
          <w:rFonts w:ascii="Times New Roman" w:eastAsia="Calibri" w:hAnsi="Times New Roman"/>
          <w:b/>
          <w:bCs/>
          <w:i/>
          <w:iCs/>
          <w:sz w:val="24"/>
          <w:szCs w:val="24"/>
        </w:rPr>
        <w:t>Guarantee</w:t>
      </w:r>
    </w:p>
    <w:p w14:paraId="17DA87B7" w14:textId="77777777" w:rsidR="00253664" w:rsidRPr="003D7270" w:rsidRDefault="00253664" w:rsidP="00586C22">
      <w:pPr>
        <w:jc w:val="both"/>
        <w:rPr>
          <w:rFonts w:ascii="Times New Roman" w:eastAsia="Calibri" w:hAnsi="Times New Roman"/>
          <w:sz w:val="24"/>
          <w:szCs w:val="24"/>
        </w:rPr>
      </w:pPr>
      <w:r w:rsidRPr="003D7270">
        <w:rPr>
          <w:rFonts w:ascii="Times New Roman" w:eastAsia="Calibri" w:hAnsi="Times New Roman"/>
          <w:sz w:val="24"/>
          <w:szCs w:val="24"/>
        </w:rPr>
        <w:t>Management has represented that the required funding for the initial capital</w:t>
      </w:r>
      <w:r w:rsidR="00990E69">
        <w:rPr>
          <w:rFonts w:ascii="Times New Roman" w:eastAsia="Calibri" w:hAnsi="Times New Roman"/>
          <w:sz w:val="24"/>
          <w:szCs w:val="24"/>
        </w:rPr>
        <w:t xml:space="preserve">ization of the Applicant </w:t>
      </w:r>
      <w:r w:rsidRPr="003D7270">
        <w:rPr>
          <w:rFonts w:ascii="Times New Roman" w:eastAsia="Calibri" w:hAnsi="Times New Roman"/>
          <w:sz w:val="24"/>
          <w:szCs w:val="24"/>
        </w:rPr>
        <w:t xml:space="preserve">will be provided through a debt instrument with a related party which is supported by an executed </w:t>
      </w:r>
      <w:r w:rsidR="00AB03AA">
        <w:rPr>
          <w:rFonts w:ascii="Times New Roman" w:eastAsia="Calibri" w:hAnsi="Times New Roman"/>
          <w:sz w:val="24"/>
          <w:szCs w:val="24"/>
        </w:rPr>
        <w:t>bank commitment letter and appropriate capital commitments to support the Proposed Project.</w:t>
      </w:r>
    </w:p>
    <w:p w14:paraId="35953B97" w14:textId="77777777" w:rsidR="00933ED2" w:rsidRDefault="00933ED2" w:rsidP="00586C22">
      <w:pPr>
        <w:jc w:val="both"/>
        <w:rPr>
          <w:rFonts w:ascii="Times New Roman" w:eastAsia="Calibri" w:hAnsi="Times New Roman"/>
          <w:sz w:val="24"/>
          <w:szCs w:val="24"/>
        </w:rPr>
      </w:pPr>
    </w:p>
    <w:sectPr w:rsidR="00933ED2" w:rsidSect="002E701F">
      <w:headerReference w:type="even" r:id="rId16"/>
      <w:headerReference w:type="default" r:id="rId17"/>
      <w:footerReference w:type="default" r:id="rId18"/>
      <w:headerReference w:type="first" r:id="rId19"/>
      <w:footerReference w:type="first" r:id="rId20"/>
      <w:pgSz w:w="12240" w:h="15840" w:code="1"/>
      <w:pgMar w:top="720" w:right="1310" w:bottom="1195" w:left="131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88998" w14:textId="77777777" w:rsidR="002E701F" w:rsidRDefault="002E701F">
      <w:pPr>
        <w:pStyle w:val="DollarRight"/>
      </w:pPr>
      <w:r>
        <w:separator/>
      </w:r>
    </w:p>
  </w:endnote>
  <w:endnote w:type="continuationSeparator" w:id="0">
    <w:p w14:paraId="65032782" w14:textId="77777777" w:rsidR="002E701F" w:rsidRDefault="002E701F">
      <w:pPr>
        <w:pStyle w:val="DollarRight"/>
      </w:pPr>
      <w:r>
        <w:continuationSeparator/>
      </w:r>
    </w:p>
  </w:endnote>
  <w:endnote w:type="continuationNotice" w:id="1">
    <w:p w14:paraId="0345A916" w14:textId="77777777" w:rsidR="002E701F" w:rsidRDefault="002E70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3D1C2" w14:textId="77777777" w:rsidR="005C2A54" w:rsidRDefault="00174918" w:rsidP="00BB1E70">
    <w:pPr>
      <w:pStyle w:val="Foo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ED378" w14:textId="77777777" w:rsidR="00A455F0" w:rsidRDefault="00A455F0" w:rsidP="00A455F0">
    <w:pPr>
      <w:pStyle w:val="pf0"/>
      <w:rPr>
        <w:rFonts w:ascii="Arial" w:hAnsi="Arial" w:cs="Arial"/>
        <w:sz w:val="20"/>
        <w:szCs w:val="20"/>
      </w:rPr>
    </w:pPr>
    <w:r w:rsidRPr="00A455F0">
      <w:rPr>
        <w:rStyle w:val="cf01"/>
        <w:rFonts w:ascii="Times New Roman" w:hAnsi="Times New Roman" w:cs="Times New Roman"/>
        <w:sz w:val="24"/>
        <w:szCs w:val="24"/>
      </w:rPr>
      <w:t>See accompanying notes to the financial forecast</w:t>
    </w:r>
    <w:r>
      <w:rPr>
        <w:rStyle w:val="cf01"/>
      </w:rPr>
      <w:t>.</w:t>
    </w:r>
  </w:p>
  <w:p w14:paraId="24239E4D" w14:textId="77777777" w:rsidR="00174918" w:rsidRPr="007D0560" w:rsidRDefault="00A455F0" w:rsidP="00A455F0">
    <w:pPr>
      <w:pStyle w:val="Footer"/>
      <w:tabs>
        <w:tab w:val="clear" w:pos="4320"/>
        <w:tab w:val="clear" w:pos="8640"/>
        <w:tab w:val="left" w:pos="10095"/>
        <w:tab w:val="right" w:pos="13925"/>
      </w:tabs>
      <w:rPr>
        <w:sz w:val="24"/>
        <w:szCs w:val="24"/>
      </w:rPr>
    </w:pPr>
    <w:r>
      <w:rPr>
        <w:sz w:val="24"/>
        <w:szCs w:val="24"/>
      </w:rPr>
      <w:tab/>
    </w:r>
    <w:r>
      <w:rPr>
        <w:sz w:val="24"/>
        <w:szCs w:val="24"/>
      </w:rPr>
      <w:tab/>
    </w:r>
    <w:r w:rsidR="00174918" w:rsidRPr="007D0560">
      <w:rPr>
        <w:sz w:val="24"/>
        <w:szCs w:val="24"/>
      </w:rPr>
      <w:fldChar w:fldCharType="begin"/>
    </w:r>
    <w:r w:rsidR="00174918" w:rsidRPr="007D0560">
      <w:rPr>
        <w:sz w:val="24"/>
        <w:szCs w:val="24"/>
      </w:rPr>
      <w:instrText xml:space="preserve"> PAGE   \* MERGEFORMAT </w:instrText>
    </w:r>
    <w:r w:rsidR="00174918" w:rsidRPr="007D0560">
      <w:rPr>
        <w:sz w:val="24"/>
        <w:szCs w:val="24"/>
      </w:rPr>
      <w:fldChar w:fldCharType="separate"/>
    </w:r>
    <w:r w:rsidR="00FA7C39">
      <w:rPr>
        <w:noProof/>
        <w:sz w:val="24"/>
        <w:szCs w:val="24"/>
      </w:rPr>
      <w:t>2</w:t>
    </w:r>
    <w:r w:rsidR="00174918" w:rsidRPr="007D0560">
      <w:rPr>
        <w:noProof/>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44505" w14:textId="77777777" w:rsidR="00174918" w:rsidRPr="005D6A64" w:rsidRDefault="00174918" w:rsidP="004774CF">
    <w:pPr>
      <w:pStyle w:val="Footer"/>
      <w:jc w:val="right"/>
      <w:rPr>
        <w:sz w:val="24"/>
        <w:szCs w:val="24"/>
      </w:rPr>
    </w:pPr>
    <w:r w:rsidRPr="005D6A64">
      <w:rPr>
        <w:sz w:val="24"/>
        <w:szCs w:val="24"/>
      </w:rPr>
      <w:fldChar w:fldCharType="begin"/>
    </w:r>
    <w:r w:rsidRPr="005D6A64">
      <w:rPr>
        <w:sz w:val="24"/>
        <w:szCs w:val="24"/>
      </w:rPr>
      <w:instrText xml:space="preserve"> PAGE   \* MERGEFORMAT </w:instrText>
    </w:r>
    <w:r w:rsidRPr="005D6A64">
      <w:rPr>
        <w:sz w:val="24"/>
        <w:szCs w:val="24"/>
      </w:rPr>
      <w:fldChar w:fldCharType="separate"/>
    </w:r>
    <w:r w:rsidR="00FA7C39">
      <w:rPr>
        <w:noProof/>
        <w:sz w:val="24"/>
        <w:szCs w:val="24"/>
      </w:rPr>
      <w:t>7</w:t>
    </w:r>
    <w:r w:rsidRPr="005D6A64">
      <w:rPr>
        <w:noProof/>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01DA7" w14:textId="77777777" w:rsidR="004774CF" w:rsidRDefault="004774CF" w:rsidP="004774CF">
    <w:pPr>
      <w:pStyle w:val="Footer"/>
      <w:tabs>
        <w:tab w:val="clear" w:pos="4320"/>
        <w:tab w:val="clear" w:pos="8640"/>
        <w:tab w:val="left" w:pos="10095"/>
      </w:tabs>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94EB5" w14:textId="77777777" w:rsidR="002E701F" w:rsidRDefault="002E701F">
      <w:pPr>
        <w:pStyle w:val="DollarRight"/>
      </w:pPr>
      <w:r>
        <w:separator/>
      </w:r>
    </w:p>
  </w:footnote>
  <w:footnote w:type="continuationSeparator" w:id="0">
    <w:p w14:paraId="32099450" w14:textId="77777777" w:rsidR="002E701F" w:rsidRDefault="002E701F">
      <w:pPr>
        <w:pStyle w:val="DollarRight"/>
      </w:pPr>
      <w:r>
        <w:continuationSeparator/>
      </w:r>
    </w:p>
  </w:footnote>
  <w:footnote w:type="continuationNotice" w:id="1">
    <w:p w14:paraId="6B9CD7C2" w14:textId="77777777" w:rsidR="002E701F" w:rsidRDefault="002E70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65617" w14:textId="77777777" w:rsidR="0029003E" w:rsidRPr="0029003E" w:rsidRDefault="0029003E" w:rsidP="0029003E">
    <w:pPr>
      <w:pStyle w:val="Default"/>
      <w:rPr>
        <w:sz w:val="20"/>
        <w:szCs w:val="20"/>
      </w:rPr>
    </w:pPr>
  </w:p>
  <w:p w14:paraId="43A11607" w14:textId="0C51755E" w:rsidR="0029003E" w:rsidRPr="0029003E" w:rsidRDefault="0029003E" w:rsidP="0029003E">
    <w:pPr>
      <w:pStyle w:val="Header"/>
      <w:rPr>
        <w:sz w:val="15"/>
        <w:szCs w:val="15"/>
      </w:rPr>
    </w:pPr>
    <w:r w:rsidRPr="0029003E">
      <w:rPr>
        <w:sz w:val="15"/>
        <w:szCs w:val="15"/>
      </w:rPr>
      <w:t xml:space="preserve"> </w:t>
    </w:r>
    <w:r w:rsidRPr="0029003E">
      <w:rPr>
        <w:sz w:val="21"/>
        <w:szCs w:val="21"/>
      </w:rPr>
      <w:t>DON# BOSS-22051213-AS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83B55" w14:textId="77777777" w:rsidR="004A1C54" w:rsidRDefault="004A1C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E1352" w14:textId="77777777" w:rsidR="00CA1F45" w:rsidRPr="00CA1F45" w:rsidRDefault="00CA1F45" w:rsidP="00CA1F45">
    <w:pPr>
      <w:spacing w:line="360" w:lineRule="exact"/>
      <w:jc w:val="center"/>
      <w:rPr>
        <w:rFonts w:ascii="Times New Roman" w:hAnsi="Times New Roman"/>
        <w:b/>
        <w:bCs/>
        <w:sz w:val="24"/>
        <w:szCs w:val="24"/>
      </w:rPr>
    </w:pPr>
    <w:r w:rsidRPr="00CA1F45">
      <w:rPr>
        <w:rFonts w:ascii="Times New Roman" w:hAnsi="Times New Roman"/>
        <w:b/>
        <w:bCs/>
        <w:sz w:val="24"/>
        <w:szCs w:val="24"/>
      </w:rPr>
      <w:t>128 MAIN WALTHAM SURGERY, LLC</w:t>
    </w:r>
  </w:p>
  <w:p w14:paraId="4C87EA7C" w14:textId="77777777" w:rsidR="00CA1F45" w:rsidRPr="00CA1F45" w:rsidRDefault="00CA1F45" w:rsidP="00CA1F45">
    <w:pPr>
      <w:autoSpaceDE w:val="0"/>
      <w:autoSpaceDN w:val="0"/>
      <w:adjustRightInd w:val="0"/>
      <w:jc w:val="center"/>
      <w:rPr>
        <w:rFonts w:ascii="TimesNewRomanPS-BoldMT" w:hAnsi="TimesNewRomanPS-BoldMT" w:cs="TimesNewRomanPS-BoldMT"/>
        <w:b/>
        <w:bCs/>
        <w:sz w:val="24"/>
        <w:szCs w:val="24"/>
      </w:rPr>
    </w:pPr>
    <w:r w:rsidRPr="00CA1F45">
      <w:rPr>
        <w:rFonts w:ascii="TimesNewRomanPS-BoldMT" w:hAnsi="TimesNewRomanPS-BoldMT" w:cs="TimesNewRomanPS-BoldMT"/>
        <w:b/>
        <w:bCs/>
        <w:sz w:val="24"/>
        <w:szCs w:val="24"/>
      </w:rPr>
      <w:t>NOTES TO THE FINANCIAL FORECAST</w:t>
    </w:r>
  </w:p>
  <w:p w14:paraId="153B6BA5" w14:textId="77777777" w:rsidR="00CA1F45" w:rsidRPr="00CA1F45" w:rsidRDefault="00CA1F45" w:rsidP="00CA1F45">
    <w:pPr>
      <w:spacing w:line="360" w:lineRule="exact"/>
      <w:ind w:left="-360" w:right="-320" w:firstLine="360"/>
      <w:jc w:val="center"/>
      <w:rPr>
        <w:rFonts w:ascii="Times New Roman" w:hAnsi="Times New Roman"/>
        <w:b/>
        <w:bCs/>
        <w:sz w:val="24"/>
        <w:szCs w:val="24"/>
      </w:rPr>
    </w:pPr>
    <w:r w:rsidRPr="00CA1F45">
      <w:rPr>
        <w:rFonts w:ascii="Times New Roman" w:hAnsi="Times New Roman"/>
        <w:b/>
        <w:bCs/>
        <w:sz w:val="24"/>
        <w:szCs w:val="24"/>
      </w:rPr>
      <w:t>Period from Inception to year 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BE931" w14:textId="77777777" w:rsidR="00894357" w:rsidRDefault="0089435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6097B" w14:textId="77777777" w:rsidR="004A1C54" w:rsidRDefault="004A1C5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6214F" w14:textId="7F0C4D68" w:rsidR="00894357" w:rsidRPr="00CA1F45" w:rsidRDefault="0029003E" w:rsidP="00CA1F45">
    <w:pPr>
      <w:spacing w:line="360" w:lineRule="exact"/>
      <w:jc w:val="center"/>
      <w:rPr>
        <w:rFonts w:ascii="Times New Roman" w:hAnsi="Times New Roman"/>
        <w:b/>
        <w:bCs/>
        <w:sz w:val="24"/>
        <w:szCs w:val="24"/>
      </w:rPr>
    </w:pPr>
    <w:r w:rsidRPr="0029003E">
      <w:rPr>
        <w:rFonts w:ascii="Times New Roman" w:hAnsi="Times New Roman"/>
        <w:b/>
        <w:sz w:val="24"/>
        <w:szCs w:val="24"/>
      </w:rPr>
      <w:t>BOSTON OUTPATIENT SURGICAL SUITES</w:t>
    </w:r>
    <w:r w:rsidR="00894357" w:rsidRPr="00CA1F45">
      <w:rPr>
        <w:rFonts w:ascii="Times New Roman" w:hAnsi="Times New Roman"/>
        <w:b/>
        <w:bCs/>
        <w:sz w:val="24"/>
        <w:szCs w:val="24"/>
      </w:rPr>
      <w:t>, LLC</w:t>
    </w:r>
  </w:p>
  <w:p w14:paraId="7F38A4D8" w14:textId="77777777" w:rsidR="00894357" w:rsidRPr="00CA1F45" w:rsidRDefault="00894357" w:rsidP="00CA1F45">
    <w:pPr>
      <w:autoSpaceDE w:val="0"/>
      <w:autoSpaceDN w:val="0"/>
      <w:adjustRightInd w:val="0"/>
      <w:jc w:val="center"/>
      <w:rPr>
        <w:rFonts w:ascii="TimesNewRomanPS-BoldMT" w:hAnsi="TimesNewRomanPS-BoldMT" w:cs="TimesNewRomanPS-BoldMT"/>
        <w:b/>
        <w:bCs/>
        <w:sz w:val="24"/>
        <w:szCs w:val="24"/>
      </w:rPr>
    </w:pPr>
    <w:r w:rsidRPr="00CA1F45">
      <w:rPr>
        <w:rFonts w:ascii="TimesNewRomanPS-BoldMT" w:hAnsi="TimesNewRomanPS-BoldMT" w:cs="TimesNewRomanPS-BoldMT"/>
        <w:b/>
        <w:bCs/>
        <w:sz w:val="24"/>
        <w:szCs w:val="24"/>
      </w:rPr>
      <w:t>NOTES TO THE FINANCIAL FORECAST</w:t>
    </w:r>
  </w:p>
  <w:p w14:paraId="3B18E7CF" w14:textId="2E515551" w:rsidR="00894357" w:rsidRDefault="00894357" w:rsidP="00CA1F45">
    <w:pPr>
      <w:spacing w:line="360" w:lineRule="exact"/>
      <w:ind w:left="-360" w:right="-320" w:firstLine="360"/>
      <w:jc w:val="center"/>
      <w:rPr>
        <w:rFonts w:ascii="Times New Roman" w:hAnsi="Times New Roman"/>
        <w:b/>
        <w:bCs/>
        <w:sz w:val="24"/>
        <w:szCs w:val="24"/>
      </w:rPr>
    </w:pPr>
    <w:r w:rsidRPr="00CA1F45">
      <w:rPr>
        <w:rFonts w:ascii="Times New Roman" w:hAnsi="Times New Roman"/>
        <w:b/>
        <w:bCs/>
        <w:sz w:val="24"/>
        <w:szCs w:val="24"/>
      </w:rPr>
      <w:t xml:space="preserve">Period from </w:t>
    </w:r>
    <w:r w:rsidR="00DA4E96">
      <w:rPr>
        <w:rFonts w:ascii="Times New Roman" w:hAnsi="Times New Roman"/>
        <w:b/>
        <w:bCs/>
        <w:sz w:val="24"/>
        <w:szCs w:val="24"/>
      </w:rPr>
      <w:t>January 1, 2025 to December 31, 2029</w:t>
    </w:r>
  </w:p>
  <w:p w14:paraId="4581B50F" w14:textId="77777777" w:rsidR="007D0560" w:rsidRDefault="007D0560" w:rsidP="00CA1F45">
    <w:pPr>
      <w:spacing w:line="360" w:lineRule="exact"/>
      <w:ind w:left="-360" w:right="-320" w:firstLine="360"/>
      <w:jc w:val="center"/>
      <w:rPr>
        <w:rFonts w:ascii="Times New Roman" w:hAnsi="Times New Roman"/>
        <w:b/>
        <w:bCs/>
        <w:sz w:val="24"/>
        <w:szCs w:val="24"/>
      </w:rPr>
    </w:pPr>
  </w:p>
  <w:p w14:paraId="1C0BD785" w14:textId="77777777" w:rsidR="007D0560" w:rsidRPr="00CA1F45" w:rsidRDefault="007D0560" w:rsidP="00CA1F45">
    <w:pPr>
      <w:spacing w:line="360" w:lineRule="exact"/>
      <w:ind w:left="-360" w:right="-320" w:firstLine="360"/>
      <w:jc w:val="center"/>
      <w:rPr>
        <w:rFonts w:ascii="Times New Roman" w:hAnsi="Times New Roman"/>
        <w:b/>
        <w:bCs/>
        <w:sz w:val="24"/>
        <w:szCs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62A89" w14:textId="77777777" w:rsidR="004A1C54" w:rsidRDefault="004A1C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07C2"/>
    <w:multiLevelType w:val="hybridMultilevel"/>
    <w:tmpl w:val="252EA112"/>
    <w:lvl w:ilvl="0" w:tplc="58D458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C664E"/>
    <w:multiLevelType w:val="hybridMultilevel"/>
    <w:tmpl w:val="3FAC16BC"/>
    <w:lvl w:ilvl="0" w:tplc="5B1E18D6">
      <w:start w:val="405"/>
      <w:numFmt w:val="bullet"/>
      <w:lvlText w:val="-"/>
      <w:lvlJc w:val="left"/>
      <w:pPr>
        <w:ind w:left="1815" w:hanging="1455"/>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5A2728"/>
    <w:multiLevelType w:val="hybridMultilevel"/>
    <w:tmpl w:val="C966D6D4"/>
    <w:lvl w:ilvl="0" w:tplc="FA7286E0">
      <w:start w:val="405"/>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6896E53"/>
    <w:multiLevelType w:val="hybridMultilevel"/>
    <w:tmpl w:val="468CE39A"/>
    <w:lvl w:ilvl="0" w:tplc="F0BA9FF6">
      <w:numFmt w:val="bullet"/>
      <w:lvlText w:val="•"/>
      <w:lvlJc w:val="left"/>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AA680F"/>
    <w:multiLevelType w:val="multilevel"/>
    <w:tmpl w:val="941A353E"/>
    <w:lvl w:ilvl="0">
      <w:start w:val="1"/>
      <w:numFmt w:val="upperLetter"/>
      <w:lvlText w:val="%1."/>
      <w:lvlJc w:val="left"/>
      <w:pPr>
        <w:tabs>
          <w:tab w:val="num" w:pos="360"/>
        </w:tabs>
        <w:ind w:left="72" w:hanging="72"/>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07574A58"/>
    <w:multiLevelType w:val="singleLevel"/>
    <w:tmpl w:val="45C4D7D2"/>
    <w:lvl w:ilvl="0">
      <w:start w:val="1"/>
      <w:numFmt w:val="upperLetter"/>
      <w:lvlText w:val="%1."/>
      <w:lvlJc w:val="left"/>
      <w:pPr>
        <w:tabs>
          <w:tab w:val="num" w:pos="360"/>
        </w:tabs>
        <w:ind w:left="360" w:hanging="360"/>
      </w:pPr>
    </w:lvl>
  </w:abstractNum>
  <w:abstractNum w:abstractNumId="6" w15:restartNumberingAfterBreak="0">
    <w:nsid w:val="081710E9"/>
    <w:multiLevelType w:val="singleLevel"/>
    <w:tmpl w:val="D1E27EEE"/>
    <w:lvl w:ilvl="0">
      <w:start w:val="3"/>
      <w:numFmt w:val="upperLetter"/>
      <w:lvlText w:val="%1."/>
      <w:lvlJc w:val="left"/>
      <w:pPr>
        <w:tabs>
          <w:tab w:val="num" w:pos="720"/>
        </w:tabs>
        <w:ind w:left="720" w:hanging="720"/>
      </w:pPr>
      <w:rPr>
        <w:rFonts w:hint="default"/>
      </w:rPr>
    </w:lvl>
  </w:abstractNum>
  <w:abstractNum w:abstractNumId="7" w15:restartNumberingAfterBreak="0">
    <w:nsid w:val="08851272"/>
    <w:multiLevelType w:val="hybridMultilevel"/>
    <w:tmpl w:val="F6C6C034"/>
    <w:lvl w:ilvl="0" w:tplc="04090015">
      <w:start w:val="9"/>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D203266"/>
    <w:multiLevelType w:val="hybridMultilevel"/>
    <w:tmpl w:val="50788EE8"/>
    <w:lvl w:ilvl="0" w:tplc="16E82D2C">
      <w:numFmt w:val="bullet"/>
      <w:lvlText w:val="-"/>
      <w:lvlJc w:val="left"/>
      <w:pPr>
        <w:ind w:left="1545" w:hanging="118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AC3178"/>
    <w:multiLevelType w:val="singleLevel"/>
    <w:tmpl w:val="F9280D2C"/>
    <w:lvl w:ilvl="0">
      <w:start w:val="1"/>
      <w:numFmt w:val="upperLetter"/>
      <w:lvlText w:val="%1."/>
      <w:lvlJc w:val="left"/>
      <w:pPr>
        <w:tabs>
          <w:tab w:val="num" w:pos="720"/>
        </w:tabs>
        <w:ind w:left="720" w:hanging="720"/>
      </w:pPr>
      <w:rPr>
        <w:rFonts w:hint="default"/>
      </w:rPr>
    </w:lvl>
  </w:abstractNum>
  <w:abstractNum w:abstractNumId="10" w15:restartNumberingAfterBreak="0">
    <w:nsid w:val="14552729"/>
    <w:multiLevelType w:val="singleLevel"/>
    <w:tmpl w:val="136EE526"/>
    <w:lvl w:ilvl="0">
      <w:start w:val="14"/>
      <w:numFmt w:val="upperLetter"/>
      <w:lvlText w:val="%1."/>
      <w:lvlJc w:val="left"/>
      <w:pPr>
        <w:tabs>
          <w:tab w:val="num" w:pos="360"/>
        </w:tabs>
        <w:ind w:left="360" w:hanging="360"/>
      </w:pPr>
      <w:rPr>
        <w:rFonts w:hint="default"/>
        <w:u w:val="single"/>
      </w:rPr>
    </w:lvl>
  </w:abstractNum>
  <w:abstractNum w:abstractNumId="11" w15:restartNumberingAfterBreak="0">
    <w:nsid w:val="17096A34"/>
    <w:multiLevelType w:val="hybridMultilevel"/>
    <w:tmpl w:val="1654EF4E"/>
    <w:lvl w:ilvl="0" w:tplc="F0BA9FF6">
      <w:numFmt w:val="bullet"/>
      <w:lvlText w:val="•"/>
      <w:lvlJc w:val="left"/>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C52789"/>
    <w:multiLevelType w:val="singleLevel"/>
    <w:tmpl w:val="FFF858C6"/>
    <w:lvl w:ilvl="0">
      <w:start w:val="3"/>
      <w:numFmt w:val="upperLetter"/>
      <w:lvlText w:val="%1."/>
      <w:lvlJc w:val="left"/>
      <w:pPr>
        <w:tabs>
          <w:tab w:val="num" w:pos="720"/>
        </w:tabs>
        <w:ind w:left="720" w:hanging="720"/>
      </w:pPr>
      <w:rPr>
        <w:rFonts w:hint="default"/>
      </w:rPr>
    </w:lvl>
  </w:abstractNum>
  <w:abstractNum w:abstractNumId="13" w15:restartNumberingAfterBreak="0">
    <w:nsid w:val="186D4050"/>
    <w:multiLevelType w:val="singleLevel"/>
    <w:tmpl w:val="217E26EC"/>
    <w:lvl w:ilvl="0">
      <w:start w:val="15"/>
      <w:numFmt w:val="upperLetter"/>
      <w:lvlText w:val="%1."/>
      <w:lvlJc w:val="left"/>
      <w:pPr>
        <w:tabs>
          <w:tab w:val="num" w:pos="720"/>
        </w:tabs>
        <w:ind w:left="720" w:hanging="720"/>
      </w:pPr>
      <w:rPr>
        <w:rFonts w:hint="default"/>
      </w:rPr>
    </w:lvl>
  </w:abstractNum>
  <w:abstractNum w:abstractNumId="14" w15:restartNumberingAfterBreak="0">
    <w:nsid w:val="1F4F5AC8"/>
    <w:multiLevelType w:val="hybridMultilevel"/>
    <w:tmpl w:val="04385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08427B"/>
    <w:multiLevelType w:val="singleLevel"/>
    <w:tmpl w:val="6A80503A"/>
    <w:lvl w:ilvl="0">
      <w:start w:val="12"/>
      <w:numFmt w:val="upperLetter"/>
      <w:lvlText w:val="%1."/>
      <w:lvlJc w:val="left"/>
      <w:pPr>
        <w:tabs>
          <w:tab w:val="num" w:pos="720"/>
        </w:tabs>
        <w:ind w:left="720" w:hanging="720"/>
      </w:pPr>
      <w:rPr>
        <w:rFonts w:hint="default"/>
      </w:rPr>
    </w:lvl>
  </w:abstractNum>
  <w:abstractNum w:abstractNumId="16" w15:restartNumberingAfterBreak="0">
    <w:nsid w:val="22182AC8"/>
    <w:multiLevelType w:val="hybridMultilevel"/>
    <w:tmpl w:val="EE18D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631490"/>
    <w:multiLevelType w:val="hybridMultilevel"/>
    <w:tmpl w:val="0C64A5C4"/>
    <w:lvl w:ilvl="0" w:tplc="F0BA9FF6">
      <w:numFmt w:val="bullet"/>
      <w:lvlText w:val="•"/>
      <w:lvlJc w:val="left"/>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7465D9"/>
    <w:multiLevelType w:val="hybridMultilevel"/>
    <w:tmpl w:val="C20E0E96"/>
    <w:lvl w:ilvl="0" w:tplc="FF728272">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19" w15:restartNumberingAfterBreak="0">
    <w:nsid w:val="2E93796F"/>
    <w:multiLevelType w:val="hybridMultilevel"/>
    <w:tmpl w:val="1ECCEB36"/>
    <w:lvl w:ilvl="0" w:tplc="48A44FA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2EB75BCB"/>
    <w:multiLevelType w:val="singleLevel"/>
    <w:tmpl w:val="04090015"/>
    <w:lvl w:ilvl="0">
      <w:start w:val="12"/>
      <w:numFmt w:val="upperLetter"/>
      <w:lvlText w:val="%1."/>
      <w:lvlJc w:val="left"/>
      <w:pPr>
        <w:tabs>
          <w:tab w:val="num" w:pos="360"/>
        </w:tabs>
        <w:ind w:left="360" w:hanging="360"/>
      </w:pPr>
      <w:rPr>
        <w:rFonts w:hint="default"/>
      </w:rPr>
    </w:lvl>
  </w:abstractNum>
  <w:abstractNum w:abstractNumId="21" w15:restartNumberingAfterBreak="0">
    <w:nsid w:val="3C3D3DAB"/>
    <w:multiLevelType w:val="singleLevel"/>
    <w:tmpl w:val="025859BA"/>
    <w:lvl w:ilvl="0">
      <w:start w:val="1"/>
      <w:numFmt w:val="upperLetter"/>
      <w:lvlText w:val="%1."/>
      <w:lvlJc w:val="left"/>
      <w:pPr>
        <w:tabs>
          <w:tab w:val="num" w:pos="720"/>
        </w:tabs>
        <w:ind w:left="720" w:hanging="720"/>
      </w:pPr>
      <w:rPr>
        <w:rFonts w:hint="default"/>
      </w:rPr>
    </w:lvl>
  </w:abstractNum>
  <w:abstractNum w:abstractNumId="22" w15:restartNumberingAfterBreak="0">
    <w:nsid w:val="3E993D40"/>
    <w:multiLevelType w:val="hybridMultilevel"/>
    <w:tmpl w:val="F0C2DA7E"/>
    <w:lvl w:ilvl="0" w:tplc="00984640">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C77B29"/>
    <w:multiLevelType w:val="singleLevel"/>
    <w:tmpl w:val="04090015"/>
    <w:lvl w:ilvl="0">
      <w:start w:val="9"/>
      <w:numFmt w:val="upperLetter"/>
      <w:lvlText w:val="%1."/>
      <w:lvlJc w:val="left"/>
      <w:pPr>
        <w:tabs>
          <w:tab w:val="num" w:pos="360"/>
        </w:tabs>
        <w:ind w:left="360" w:hanging="360"/>
      </w:pPr>
      <w:rPr>
        <w:rFonts w:hint="default"/>
      </w:rPr>
    </w:lvl>
  </w:abstractNum>
  <w:abstractNum w:abstractNumId="24" w15:restartNumberingAfterBreak="0">
    <w:nsid w:val="422001AF"/>
    <w:multiLevelType w:val="hybridMultilevel"/>
    <w:tmpl w:val="A3F448CC"/>
    <w:lvl w:ilvl="0" w:tplc="D134304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24E6CA7"/>
    <w:multiLevelType w:val="hybridMultilevel"/>
    <w:tmpl w:val="AEA21BEA"/>
    <w:lvl w:ilvl="0" w:tplc="AA56568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D4685A"/>
    <w:multiLevelType w:val="multilevel"/>
    <w:tmpl w:val="941A353E"/>
    <w:lvl w:ilvl="0">
      <w:start w:val="1"/>
      <w:numFmt w:val="upperLetter"/>
      <w:lvlText w:val="%1."/>
      <w:lvlJc w:val="left"/>
      <w:pPr>
        <w:tabs>
          <w:tab w:val="num" w:pos="360"/>
        </w:tabs>
        <w:ind w:left="72" w:hanging="72"/>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43D5178E"/>
    <w:multiLevelType w:val="hybridMultilevel"/>
    <w:tmpl w:val="778A62D6"/>
    <w:lvl w:ilvl="0" w:tplc="F410CCEE">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28" w15:restartNumberingAfterBreak="0">
    <w:nsid w:val="440E11A2"/>
    <w:multiLevelType w:val="hybridMultilevel"/>
    <w:tmpl w:val="5BF2A972"/>
    <w:lvl w:ilvl="0" w:tplc="80082B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F94530"/>
    <w:multiLevelType w:val="hybridMultilevel"/>
    <w:tmpl w:val="BC08190E"/>
    <w:lvl w:ilvl="0" w:tplc="219E3744">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0" w15:restartNumberingAfterBreak="0">
    <w:nsid w:val="48AD5F1F"/>
    <w:multiLevelType w:val="singleLevel"/>
    <w:tmpl w:val="3EFEFF5A"/>
    <w:lvl w:ilvl="0">
      <w:start w:val="1"/>
      <w:numFmt w:val="upperLetter"/>
      <w:lvlText w:val="%1."/>
      <w:lvlJc w:val="left"/>
      <w:pPr>
        <w:tabs>
          <w:tab w:val="num" w:pos="720"/>
        </w:tabs>
        <w:ind w:left="720" w:hanging="720"/>
      </w:pPr>
      <w:rPr>
        <w:rFonts w:hint="default"/>
      </w:rPr>
    </w:lvl>
  </w:abstractNum>
  <w:abstractNum w:abstractNumId="31" w15:restartNumberingAfterBreak="0">
    <w:nsid w:val="48CD2CB1"/>
    <w:multiLevelType w:val="hybridMultilevel"/>
    <w:tmpl w:val="176CCCFA"/>
    <w:lvl w:ilvl="0" w:tplc="D2803524">
      <w:start w:val="405"/>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49AB77E0"/>
    <w:multiLevelType w:val="singleLevel"/>
    <w:tmpl w:val="04090013"/>
    <w:lvl w:ilvl="0">
      <w:start w:val="1"/>
      <w:numFmt w:val="upperRoman"/>
      <w:lvlText w:val="%1."/>
      <w:lvlJc w:val="left"/>
      <w:pPr>
        <w:tabs>
          <w:tab w:val="num" w:pos="720"/>
        </w:tabs>
        <w:ind w:left="720" w:hanging="720"/>
      </w:pPr>
      <w:rPr>
        <w:rFonts w:hint="default"/>
      </w:rPr>
    </w:lvl>
  </w:abstractNum>
  <w:abstractNum w:abstractNumId="33" w15:restartNumberingAfterBreak="0">
    <w:nsid w:val="4BFE2659"/>
    <w:multiLevelType w:val="hybridMultilevel"/>
    <w:tmpl w:val="6950963C"/>
    <w:lvl w:ilvl="0" w:tplc="DBE80B6C">
      <w:numFmt w:val="bullet"/>
      <w:lvlText w:val="-"/>
      <w:lvlJc w:val="left"/>
      <w:pPr>
        <w:ind w:left="1545" w:hanging="118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C4A7DE8"/>
    <w:multiLevelType w:val="multilevel"/>
    <w:tmpl w:val="941A353E"/>
    <w:lvl w:ilvl="0">
      <w:start w:val="1"/>
      <w:numFmt w:val="upperLetter"/>
      <w:lvlText w:val="%1."/>
      <w:lvlJc w:val="left"/>
      <w:pPr>
        <w:tabs>
          <w:tab w:val="num" w:pos="360"/>
        </w:tabs>
        <w:ind w:left="72" w:hanging="72"/>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15:restartNumberingAfterBreak="0">
    <w:nsid w:val="53D71458"/>
    <w:multiLevelType w:val="singleLevel"/>
    <w:tmpl w:val="04090015"/>
    <w:lvl w:ilvl="0">
      <w:start w:val="14"/>
      <w:numFmt w:val="upperLetter"/>
      <w:lvlText w:val="%1."/>
      <w:lvlJc w:val="left"/>
      <w:pPr>
        <w:tabs>
          <w:tab w:val="num" w:pos="360"/>
        </w:tabs>
        <w:ind w:left="360" w:hanging="360"/>
      </w:pPr>
      <w:rPr>
        <w:rFonts w:hint="default"/>
      </w:rPr>
    </w:lvl>
  </w:abstractNum>
  <w:abstractNum w:abstractNumId="36" w15:restartNumberingAfterBreak="0">
    <w:nsid w:val="54BF7486"/>
    <w:multiLevelType w:val="hybridMultilevel"/>
    <w:tmpl w:val="2EF25AE4"/>
    <w:lvl w:ilvl="0" w:tplc="64848E1E">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623841"/>
    <w:multiLevelType w:val="singleLevel"/>
    <w:tmpl w:val="B0DA2E4E"/>
    <w:lvl w:ilvl="0">
      <w:start w:val="6"/>
      <w:numFmt w:val="upperLetter"/>
      <w:lvlText w:val="%1."/>
      <w:lvlJc w:val="left"/>
      <w:pPr>
        <w:tabs>
          <w:tab w:val="num" w:pos="720"/>
        </w:tabs>
        <w:ind w:left="720" w:hanging="720"/>
      </w:pPr>
      <w:rPr>
        <w:rFonts w:hint="default"/>
      </w:rPr>
    </w:lvl>
  </w:abstractNum>
  <w:abstractNum w:abstractNumId="38" w15:restartNumberingAfterBreak="0">
    <w:nsid w:val="5A7B64AD"/>
    <w:multiLevelType w:val="singleLevel"/>
    <w:tmpl w:val="3EFEFF5A"/>
    <w:lvl w:ilvl="0">
      <w:start w:val="1"/>
      <w:numFmt w:val="upperLetter"/>
      <w:lvlText w:val="%1."/>
      <w:lvlJc w:val="left"/>
      <w:pPr>
        <w:tabs>
          <w:tab w:val="num" w:pos="720"/>
        </w:tabs>
        <w:ind w:left="720" w:hanging="720"/>
      </w:pPr>
      <w:rPr>
        <w:rFonts w:hint="default"/>
      </w:rPr>
    </w:lvl>
  </w:abstractNum>
  <w:abstractNum w:abstractNumId="39" w15:restartNumberingAfterBreak="0">
    <w:nsid w:val="63B55749"/>
    <w:multiLevelType w:val="hybridMultilevel"/>
    <w:tmpl w:val="F7D69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23645C"/>
    <w:multiLevelType w:val="hybridMultilevel"/>
    <w:tmpl w:val="BD74B152"/>
    <w:lvl w:ilvl="0" w:tplc="C9267054">
      <w:numFmt w:val="bullet"/>
      <w:lvlText w:val="-"/>
      <w:lvlJc w:val="left"/>
      <w:pPr>
        <w:ind w:left="1560" w:hanging="360"/>
      </w:pPr>
      <w:rPr>
        <w:rFonts w:ascii="Times New Roman" w:eastAsia="Times New Roman" w:hAnsi="Times New Roman" w:cs="Times New Roman"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41" w15:restartNumberingAfterBreak="0">
    <w:nsid w:val="689740C2"/>
    <w:multiLevelType w:val="singleLevel"/>
    <w:tmpl w:val="2D30DA40"/>
    <w:lvl w:ilvl="0">
      <w:start w:val="8"/>
      <w:numFmt w:val="upperLetter"/>
      <w:lvlText w:val="%1."/>
      <w:lvlJc w:val="left"/>
      <w:pPr>
        <w:tabs>
          <w:tab w:val="num" w:pos="720"/>
        </w:tabs>
        <w:ind w:left="720" w:hanging="720"/>
      </w:pPr>
      <w:rPr>
        <w:rFonts w:hint="default"/>
      </w:rPr>
    </w:lvl>
  </w:abstractNum>
  <w:abstractNum w:abstractNumId="42" w15:restartNumberingAfterBreak="0">
    <w:nsid w:val="69EF4DDB"/>
    <w:multiLevelType w:val="hybridMultilevel"/>
    <w:tmpl w:val="E9C48A38"/>
    <w:lvl w:ilvl="0" w:tplc="990266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6706DA"/>
    <w:multiLevelType w:val="hybridMultilevel"/>
    <w:tmpl w:val="368AAB7C"/>
    <w:lvl w:ilvl="0" w:tplc="F0BA9FF6">
      <w:numFmt w:val="bullet"/>
      <w:lvlText w:val="•"/>
      <w:lvlJc w:val="left"/>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F439D5"/>
    <w:multiLevelType w:val="singleLevel"/>
    <w:tmpl w:val="04090015"/>
    <w:lvl w:ilvl="0">
      <w:start w:val="8"/>
      <w:numFmt w:val="upperLetter"/>
      <w:lvlText w:val="%1."/>
      <w:lvlJc w:val="left"/>
      <w:pPr>
        <w:tabs>
          <w:tab w:val="num" w:pos="360"/>
        </w:tabs>
        <w:ind w:left="360" w:hanging="360"/>
      </w:pPr>
      <w:rPr>
        <w:rFonts w:hint="default"/>
      </w:rPr>
    </w:lvl>
  </w:abstractNum>
  <w:abstractNum w:abstractNumId="45" w15:restartNumberingAfterBreak="0">
    <w:nsid w:val="776B070A"/>
    <w:multiLevelType w:val="multilevel"/>
    <w:tmpl w:val="941A353E"/>
    <w:lvl w:ilvl="0">
      <w:start w:val="1"/>
      <w:numFmt w:val="upperLetter"/>
      <w:lvlText w:val="%1."/>
      <w:lvlJc w:val="left"/>
      <w:pPr>
        <w:tabs>
          <w:tab w:val="num" w:pos="360"/>
        </w:tabs>
        <w:ind w:left="72" w:hanging="72"/>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688871018">
    <w:abstractNumId w:val="5"/>
  </w:num>
  <w:num w:numId="2" w16cid:durableId="688945928">
    <w:abstractNumId w:val="38"/>
  </w:num>
  <w:num w:numId="3" w16cid:durableId="739986435">
    <w:abstractNumId w:val="4"/>
  </w:num>
  <w:num w:numId="4" w16cid:durableId="1590429750">
    <w:abstractNumId w:val="34"/>
  </w:num>
  <w:num w:numId="5" w16cid:durableId="1048601356">
    <w:abstractNumId w:val="45"/>
  </w:num>
  <w:num w:numId="6" w16cid:durableId="115831893">
    <w:abstractNumId w:val="26"/>
  </w:num>
  <w:num w:numId="7" w16cid:durableId="555361836">
    <w:abstractNumId w:val="30"/>
  </w:num>
  <w:num w:numId="8" w16cid:durableId="394738956">
    <w:abstractNumId w:val="9"/>
  </w:num>
  <w:num w:numId="9" w16cid:durableId="866718078">
    <w:abstractNumId w:val="37"/>
  </w:num>
  <w:num w:numId="10" w16cid:durableId="1244922329">
    <w:abstractNumId w:val="32"/>
  </w:num>
  <w:num w:numId="11" w16cid:durableId="499467665">
    <w:abstractNumId w:val="12"/>
  </w:num>
  <w:num w:numId="12" w16cid:durableId="2093968881">
    <w:abstractNumId w:val="6"/>
  </w:num>
  <w:num w:numId="13" w16cid:durableId="94059723">
    <w:abstractNumId w:val="41"/>
  </w:num>
  <w:num w:numId="14" w16cid:durableId="1986353634">
    <w:abstractNumId w:val="15"/>
  </w:num>
  <w:num w:numId="15" w16cid:durableId="94716443">
    <w:abstractNumId w:val="10"/>
  </w:num>
  <w:num w:numId="16" w16cid:durableId="1264613833">
    <w:abstractNumId w:val="35"/>
  </w:num>
  <w:num w:numId="17" w16cid:durableId="1524397395">
    <w:abstractNumId w:val="13"/>
  </w:num>
  <w:num w:numId="18" w16cid:durableId="1350334103">
    <w:abstractNumId w:val="21"/>
  </w:num>
  <w:num w:numId="19" w16cid:durableId="1488743299">
    <w:abstractNumId w:val="44"/>
  </w:num>
  <w:num w:numId="20" w16cid:durableId="1327854606">
    <w:abstractNumId w:val="23"/>
  </w:num>
  <w:num w:numId="21" w16cid:durableId="164635392">
    <w:abstractNumId w:val="20"/>
  </w:num>
  <w:num w:numId="22" w16cid:durableId="1829441122">
    <w:abstractNumId w:val="24"/>
  </w:num>
  <w:num w:numId="23" w16cid:durableId="2107729089">
    <w:abstractNumId w:val="7"/>
  </w:num>
  <w:num w:numId="24" w16cid:durableId="51585088">
    <w:abstractNumId w:val="39"/>
  </w:num>
  <w:num w:numId="25" w16cid:durableId="1805810009">
    <w:abstractNumId w:val="14"/>
  </w:num>
  <w:num w:numId="26" w16cid:durableId="428359347">
    <w:abstractNumId w:val="0"/>
  </w:num>
  <w:num w:numId="27" w16cid:durableId="697631559">
    <w:abstractNumId w:val="29"/>
  </w:num>
  <w:num w:numId="28" w16cid:durableId="1865556426">
    <w:abstractNumId w:val="8"/>
  </w:num>
  <w:num w:numId="29" w16cid:durableId="1804301956">
    <w:abstractNumId w:val="33"/>
  </w:num>
  <w:num w:numId="30" w16cid:durableId="81873077">
    <w:abstractNumId w:val="22"/>
  </w:num>
  <w:num w:numId="31" w16cid:durableId="2064480394">
    <w:abstractNumId w:val="36"/>
  </w:num>
  <w:num w:numId="32" w16cid:durableId="638731087">
    <w:abstractNumId w:val="27"/>
  </w:num>
  <w:num w:numId="33" w16cid:durableId="1638022775">
    <w:abstractNumId w:val="18"/>
  </w:num>
  <w:num w:numId="34" w16cid:durableId="787820341">
    <w:abstractNumId w:val="42"/>
  </w:num>
  <w:num w:numId="35" w16cid:durableId="1175340871">
    <w:abstractNumId w:val="40"/>
  </w:num>
  <w:num w:numId="36" w16cid:durableId="1093936097">
    <w:abstractNumId w:val="19"/>
  </w:num>
  <w:num w:numId="37" w16cid:durableId="454058695">
    <w:abstractNumId w:val="2"/>
  </w:num>
  <w:num w:numId="38" w16cid:durableId="950478047">
    <w:abstractNumId w:val="31"/>
  </w:num>
  <w:num w:numId="39" w16cid:durableId="1117724957">
    <w:abstractNumId w:val="1"/>
  </w:num>
  <w:num w:numId="40" w16cid:durableId="28071049">
    <w:abstractNumId w:val="3"/>
  </w:num>
  <w:num w:numId="41" w16cid:durableId="1452163974">
    <w:abstractNumId w:val="11"/>
  </w:num>
  <w:num w:numId="42" w16cid:durableId="978653769">
    <w:abstractNumId w:val="16"/>
  </w:num>
  <w:num w:numId="43" w16cid:durableId="457839379">
    <w:abstractNumId w:val="43"/>
  </w:num>
  <w:num w:numId="44" w16cid:durableId="1808742181">
    <w:abstractNumId w:val="17"/>
  </w:num>
  <w:num w:numId="45" w16cid:durableId="998387089">
    <w:abstractNumId w:val="28"/>
  </w:num>
  <w:num w:numId="46" w16cid:durableId="121596928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O" w:val=" "/>
  </w:docVars>
  <w:rsids>
    <w:rsidRoot w:val="0000102A"/>
    <w:rsid w:val="00000922"/>
    <w:rsid w:val="000009B4"/>
    <w:rsid w:val="00000E51"/>
    <w:rsid w:val="0000102A"/>
    <w:rsid w:val="00001303"/>
    <w:rsid w:val="00002E77"/>
    <w:rsid w:val="00003FB1"/>
    <w:rsid w:val="000056B6"/>
    <w:rsid w:val="0000570F"/>
    <w:rsid w:val="0000793F"/>
    <w:rsid w:val="00012C7A"/>
    <w:rsid w:val="00012EB7"/>
    <w:rsid w:val="00013ECD"/>
    <w:rsid w:val="00015D2B"/>
    <w:rsid w:val="00022F0B"/>
    <w:rsid w:val="00023EAD"/>
    <w:rsid w:val="000248A6"/>
    <w:rsid w:val="000270D7"/>
    <w:rsid w:val="00027681"/>
    <w:rsid w:val="00027DFB"/>
    <w:rsid w:val="00033D40"/>
    <w:rsid w:val="0003526C"/>
    <w:rsid w:val="00036104"/>
    <w:rsid w:val="00036979"/>
    <w:rsid w:val="00037017"/>
    <w:rsid w:val="00037E09"/>
    <w:rsid w:val="00040426"/>
    <w:rsid w:val="00040EED"/>
    <w:rsid w:val="000418CF"/>
    <w:rsid w:val="00042D4A"/>
    <w:rsid w:val="0004375B"/>
    <w:rsid w:val="00043C7F"/>
    <w:rsid w:val="00044615"/>
    <w:rsid w:val="00046AD3"/>
    <w:rsid w:val="00047310"/>
    <w:rsid w:val="0004790D"/>
    <w:rsid w:val="0005034C"/>
    <w:rsid w:val="0005200D"/>
    <w:rsid w:val="0005290C"/>
    <w:rsid w:val="000560E3"/>
    <w:rsid w:val="00057635"/>
    <w:rsid w:val="00060971"/>
    <w:rsid w:val="00060F19"/>
    <w:rsid w:val="00061215"/>
    <w:rsid w:val="00062C47"/>
    <w:rsid w:val="00064B4A"/>
    <w:rsid w:val="00065963"/>
    <w:rsid w:val="00067DC8"/>
    <w:rsid w:val="000723A9"/>
    <w:rsid w:val="00072735"/>
    <w:rsid w:val="00073576"/>
    <w:rsid w:val="00073706"/>
    <w:rsid w:val="00073D8E"/>
    <w:rsid w:val="000758C3"/>
    <w:rsid w:val="00076939"/>
    <w:rsid w:val="00076ACA"/>
    <w:rsid w:val="0007766C"/>
    <w:rsid w:val="000832BF"/>
    <w:rsid w:val="00083983"/>
    <w:rsid w:val="00083FCD"/>
    <w:rsid w:val="0008449F"/>
    <w:rsid w:val="00085B60"/>
    <w:rsid w:val="0008666A"/>
    <w:rsid w:val="0008695E"/>
    <w:rsid w:val="00087DF4"/>
    <w:rsid w:val="00090267"/>
    <w:rsid w:val="000923D9"/>
    <w:rsid w:val="000929FE"/>
    <w:rsid w:val="00092CE6"/>
    <w:rsid w:val="00092F49"/>
    <w:rsid w:val="00093B58"/>
    <w:rsid w:val="00093DAA"/>
    <w:rsid w:val="00096946"/>
    <w:rsid w:val="00096D51"/>
    <w:rsid w:val="000A0647"/>
    <w:rsid w:val="000A0AFD"/>
    <w:rsid w:val="000A1E98"/>
    <w:rsid w:val="000A21D6"/>
    <w:rsid w:val="000A2B63"/>
    <w:rsid w:val="000A2BF6"/>
    <w:rsid w:val="000A2EB2"/>
    <w:rsid w:val="000A3146"/>
    <w:rsid w:val="000A3EE5"/>
    <w:rsid w:val="000A42C1"/>
    <w:rsid w:val="000A4C2C"/>
    <w:rsid w:val="000A547C"/>
    <w:rsid w:val="000A59CF"/>
    <w:rsid w:val="000A6B91"/>
    <w:rsid w:val="000B1131"/>
    <w:rsid w:val="000B1D51"/>
    <w:rsid w:val="000B53B9"/>
    <w:rsid w:val="000B5977"/>
    <w:rsid w:val="000B74D9"/>
    <w:rsid w:val="000B7511"/>
    <w:rsid w:val="000B7C55"/>
    <w:rsid w:val="000C0490"/>
    <w:rsid w:val="000C0D8E"/>
    <w:rsid w:val="000C1615"/>
    <w:rsid w:val="000C19F5"/>
    <w:rsid w:val="000C248C"/>
    <w:rsid w:val="000C2FCC"/>
    <w:rsid w:val="000C3D75"/>
    <w:rsid w:val="000C6A29"/>
    <w:rsid w:val="000D377E"/>
    <w:rsid w:val="000D4239"/>
    <w:rsid w:val="000D5993"/>
    <w:rsid w:val="000D5AE6"/>
    <w:rsid w:val="000D5BD2"/>
    <w:rsid w:val="000D646C"/>
    <w:rsid w:val="000D79EC"/>
    <w:rsid w:val="000E1D5D"/>
    <w:rsid w:val="000E24AC"/>
    <w:rsid w:val="000E2EC1"/>
    <w:rsid w:val="000E2EF8"/>
    <w:rsid w:val="000E36F2"/>
    <w:rsid w:val="000E3CE9"/>
    <w:rsid w:val="000E66BB"/>
    <w:rsid w:val="000E74D4"/>
    <w:rsid w:val="000E7B3C"/>
    <w:rsid w:val="000F0716"/>
    <w:rsid w:val="000F0F70"/>
    <w:rsid w:val="000F286B"/>
    <w:rsid w:val="000F2B2E"/>
    <w:rsid w:val="000F2DC6"/>
    <w:rsid w:val="000F30C6"/>
    <w:rsid w:val="000F3E72"/>
    <w:rsid w:val="000F5047"/>
    <w:rsid w:val="000F50B4"/>
    <w:rsid w:val="000F66A9"/>
    <w:rsid w:val="000F6BC9"/>
    <w:rsid w:val="000F72F3"/>
    <w:rsid w:val="000F751F"/>
    <w:rsid w:val="000F764A"/>
    <w:rsid w:val="000F7C72"/>
    <w:rsid w:val="0010020E"/>
    <w:rsid w:val="00104345"/>
    <w:rsid w:val="00105717"/>
    <w:rsid w:val="00106C90"/>
    <w:rsid w:val="00106D21"/>
    <w:rsid w:val="001104BF"/>
    <w:rsid w:val="00110549"/>
    <w:rsid w:val="0011172D"/>
    <w:rsid w:val="00113F86"/>
    <w:rsid w:val="00116120"/>
    <w:rsid w:val="001167EE"/>
    <w:rsid w:val="00116A12"/>
    <w:rsid w:val="001171AB"/>
    <w:rsid w:val="00120EB3"/>
    <w:rsid w:val="001215DF"/>
    <w:rsid w:val="001220BC"/>
    <w:rsid w:val="00123D96"/>
    <w:rsid w:val="00124C84"/>
    <w:rsid w:val="00124E02"/>
    <w:rsid w:val="0012514A"/>
    <w:rsid w:val="00126257"/>
    <w:rsid w:val="0012661F"/>
    <w:rsid w:val="0012683A"/>
    <w:rsid w:val="001269BB"/>
    <w:rsid w:val="00126B4B"/>
    <w:rsid w:val="00126EF6"/>
    <w:rsid w:val="001274C1"/>
    <w:rsid w:val="00127766"/>
    <w:rsid w:val="00127D45"/>
    <w:rsid w:val="00130413"/>
    <w:rsid w:val="00131E93"/>
    <w:rsid w:val="00131FA5"/>
    <w:rsid w:val="00133AE0"/>
    <w:rsid w:val="00134147"/>
    <w:rsid w:val="00134A9E"/>
    <w:rsid w:val="00134BB5"/>
    <w:rsid w:val="00135E06"/>
    <w:rsid w:val="00136A71"/>
    <w:rsid w:val="00136AC4"/>
    <w:rsid w:val="001379B2"/>
    <w:rsid w:val="00140ED2"/>
    <w:rsid w:val="00141385"/>
    <w:rsid w:val="001425BF"/>
    <w:rsid w:val="00142ED3"/>
    <w:rsid w:val="001444DB"/>
    <w:rsid w:val="00145C25"/>
    <w:rsid w:val="001478F2"/>
    <w:rsid w:val="001479AA"/>
    <w:rsid w:val="00147E55"/>
    <w:rsid w:val="00152AC0"/>
    <w:rsid w:val="0015335B"/>
    <w:rsid w:val="001546A9"/>
    <w:rsid w:val="001548C5"/>
    <w:rsid w:val="001600EC"/>
    <w:rsid w:val="00160297"/>
    <w:rsid w:val="00161EC0"/>
    <w:rsid w:val="0016373E"/>
    <w:rsid w:val="00164644"/>
    <w:rsid w:val="00164E69"/>
    <w:rsid w:val="001661D2"/>
    <w:rsid w:val="00166642"/>
    <w:rsid w:val="0016712D"/>
    <w:rsid w:val="00167178"/>
    <w:rsid w:val="001718E7"/>
    <w:rsid w:val="0017337F"/>
    <w:rsid w:val="001733D0"/>
    <w:rsid w:val="001737D8"/>
    <w:rsid w:val="00174790"/>
    <w:rsid w:val="00174918"/>
    <w:rsid w:val="00174F62"/>
    <w:rsid w:val="00175656"/>
    <w:rsid w:val="00182F5D"/>
    <w:rsid w:val="00183477"/>
    <w:rsid w:val="0018406A"/>
    <w:rsid w:val="0018460E"/>
    <w:rsid w:val="00184C31"/>
    <w:rsid w:val="00186411"/>
    <w:rsid w:val="00186E3C"/>
    <w:rsid w:val="001905C7"/>
    <w:rsid w:val="00190F83"/>
    <w:rsid w:val="00191834"/>
    <w:rsid w:val="0019195B"/>
    <w:rsid w:val="001952BF"/>
    <w:rsid w:val="001A31C7"/>
    <w:rsid w:val="001A5A85"/>
    <w:rsid w:val="001A65E0"/>
    <w:rsid w:val="001A7110"/>
    <w:rsid w:val="001B0D20"/>
    <w:rsid w:val="001B1846"/>
    <w:rsid w:val="001B1853"/>
    <w:rsid w:val="001B2F9C"/>
    <w:rsid w:val="001B3317"/>
    <w:rsid w:val="001B3387"/>
    <w:rsid w:val="001B41B3"/>
    <w:rsid w:val="001B48D3"/>
    <w:rsid w:val="001B576C"/>
    <w:rsid w:val="001B74CA"/>
    <w:rsid w:val="001B7A0D"/>
    <w:rsid w:val="001C1530"/>
    <w:rsid w:val="001C33CD"/>
    <w:rsid w:val="001C4678"/>
    <w:rsid w:val="001C5A09"/>
    <w:rsid w:val="001C5FBC"/>
    <w:rsid w:val="001C71D3"/>
    <w:rsid w:val="001C72FA"/>
    <w:rsid w:val="001D3A37"/>
    <w:rsid w:val="001D5561"/>
    <w:rsid w:val="001D5DC3"/>
    <w:rsid w:val="001D64D1"/>
    <w:rsid w:val="001D7494"/>
    <w:rsid w:val="001E0AB3"/>
    <w:rsid w:val="001E1272"/>
    <w:rsid w:val="001E14F8"/>
    <w:rsid w:val="001E1D1E"/>
    <w:rsid w:val="001E3080"/>
    <w:rsid w:val="001E662E"/>
    <w:rsid w:val="001F4466"/>
    <w:rsid w:val="001F7419"/>
    <w:rsid w:val="001F7723"/>
    <w:rsid w:val="00200948"/>
    <w:rsid w:val="0020220F"/>
    <w:rsid w:val="00202AE1"/>
    <w:rsid w:val="00203909"/>
    <w:rsid w:val="00203C80"/>
    <w:rsid w:val="00204ECF"/>
    <w:rsid w:val="002105AB"/>
    <w:rsid w:val="00210C94"/>
    <w:rsid w:val="0021127C"/>
    <w:rsid w:val="002129C3"/>
    <w:rsid w:val="00214F4C"/>
    <w:rsid w:val="00215643"/>
    <w:rsid w:val="0022025C"/>
    <w:rsid w:val="00222EA2"/>
    <w:rsid w:val="00223161"/>
    <w:rsid w:val="002232C7"/>
    <w:rsid w:val="00225641"/>
    <w:rsid w:val="0022621B"/>
    <w:rsid w:val="002267A2"/>
    <w:rsid w:val="00226CF2"/>
    <w:rsid w:val="002271F2"/>
    <w:rsid w:val="002306A3"/>
    <w:rsid w:val="00230A15"/>
    <w:rsid w:val="002312F9"/>
    <w:rsid w:val="002313EC"/>
    <w:rsid w:val="00231CEE"/>
    <w:rsid w:val="002325DB"/>
    <w:rsid w:val="00232BB9"/>
    <w:rsid w:val="00233F9A"/>
    <w:rsid w:val="002349FC"/>
    <w:rsid w:val="002356DC"/>
    <w:rsid w:val="00236439"/>
    <w:rsid w:val="002367FB"/>
    <w:rsid w:val="00236FDF"/>
    <w:rsid w:val="0024058F"/>
    <w:rsid w:val="00242CD9"/>
    <w:rsid w:val="0025050C"/>
    <w:rsid w:val="00250DFD"/>
    <w:rsid w:val="00251900"/>
    <w:rsid w:val="0025290D"/>
    <w:rsid w:val="00253664"/>
    <w:rsid w:val="00255851"/>
    <w:rsid w:val="00260742"/>
    <w:rsid w:val="0026105F"/>
    <w:rsid w:val="002610C9"/>
    <w:rsid w:val="0026201F"/>
    <w:rsid w:val="00262CDD"/>
    <w:rsid w:val="00263DFA"/>
    <w:rsid w:val="00263EEF"/>
    <w:rsid w:val="00264013"/>
    <w:rsid w:val="00264F35"/>
    <w:rsid w:val="0026571C"/>
    <w:rsid w:val="00266479"/>
    <w:rsid w:val="00266771"/>
    <w:rsid w:val="00267175"/>
    <w:rsid w:val="002672B2"/>
    <w:rsid w:val="00267567"/>
    <w:rsid w:val="00267BE0"/>
    <w:rsid w:val="00267D8B"/>
    <w:rsid w:val="00267EDD"/>
    <w:rsid w:val="00270348"/>
    <w:rsid w:val="00274064"/>
    <w:rsid w:val="0027741E"/>
    <w:rsid w:val="002775B2"/>
    <w:rsid w:val="00281514"/>
    <w:rsid w:val="002815E8"/>
    <w:rsid w:val="0028216A"/>
    <w:rsid w:val="00286D5D"/>
    <w:rsid w:val="00287DE0"/>
    <w:rsid w:val="0029003E"/>
    <w:rsid w:val="002915F2"/>
    <w:rsid w:val="00293F4E"/>
    <w:rsid w:val="00294188"/>
    <w:rsid w:val="00295EDD"/>
    <w:rsid w:val="002A0351"/>
    <w:rsid w:val="002A2032"/>
    <w:rsid w:val="002A2C2D"/>
    <w:rsid w:val="002A35D5"/>
    <w:rsid w:val="002A3BB8"/>
    <w:rsid w:val="002A51F3"/>
    <w:rsid w:val="002B394E"/>
    <w:rsid w:val="002B51B2"/>
    <w:rsid w:val="002B6AB8"/>
    <w:rsid w:val="002B6C5A"/>
    <w:rsid w:val="002B7E75"/>
    <w:rsid w:val="002C06CA"/>
    <w:rsid w:val="002C0C5E"/>
    <w:rsid w:val="002C1B8D"/>
    <w:rsid w:val="002C24AF"/>
    <w:rsid w:val="002C506B"/>
    <w:rsid w:val="002C5ED7"/>
    <w:rsid w:val="002C72BA"/>
    <w:rsid w:val="002C736E"/>
    <w:rsid w:val="002C7483"/>
    <w:rsid w:val="002D34F8"/>
    <w:rsid w:val="002D3C8B"/>
    <w:rsid w:val="002D4495"/>
    <w:rsid w:val="002D496A"/>
    <w:rsid w:val="002D4FD7"/>
    <w:rsid w:val="002D5B96"/>
    <w:rsid w:val="002D6649"/>
    <w:rsid w:val="002D7670"/>
    <w:rsid w:val="002E0B8A"/>
    <w:rsid w:val="002E2790"/>
    <w:rsid w:val="002E34F3"/>
    <w:rsid w:val="002E4D18"/>
    <w:rsid w:val="002E5CF2"/>
    <w:rsid w:val="002E701F"/>
    <w:rsid w:val="002F0A43"/>
    <w:rsid w:val="002F1C12"/>
    <w:rsid w:val="002F32B4"/>
    <w:rsid w:val="002F34A9"/>
    <w:rsid w:val="002F3519"/>
    <w:rsid w:val="002F4F52"/>
    <w:rsid w:val="002F5BFC"/>
    <w:rsid w:val="002F6994"/>
    <w:rsid w:val="002F708F"/>
    <w:rsid w:val="00300426"/>
    <w:rsid w:val="00301FBE"/>
    <w:rsid w:val="003029B6"/>
    <w:rsid w:val="00303E04"/>
    <w:rsid w:val="00304AC7"/>
    <w:rsid w:val="003073FA"/>
    <w:rsid w:val="0030774E"/>
    <w:rsid w:val="003079F1"/>
    <w:rsid w:val="00307C75"/>
    <w:rsid w:val="00307CC3"/>
    <w:rsid w:val="0031023D"/>
    <w:rsid w:val="00311C7F"/>
    <w:rsid w:val="0031265A"/>
    <w:rsid w:val="00317E94"/>
    <w:rsid w:val="003200E0"/>
    <w:rsid w:val="00320AF8"/>
    <w:rsid w:val="00320BF2"/>
    <w:rsid w:val="00321458"/>
    <w:rsid w:val="0032146A"/>
    <w:rsid w:val="003217B8"/>
    <w:rsid w:val="003223F4"/>
    <w:rsid w:val="003225AD"/>
    <w:rsid w:val="003233F1"/>
    <w:rsid w:val="00324667"/>
    <w:rsid w:val="00326F9E"/>
    <w:rsid w:val="003276A5"/>
    <w:rsid w:val="00327CF6"/>
    <w:rsid w:val="00327EDF"/>
    <w:rsid w:val="00333B7B"/>
    <w:rsid w:val="00334592"/>
    <w:rsid w:val="00335955"/>
    <w:rsid w:val="0033637E"/>
    <w:rsid w:val="00336BF3"/>
    <w:rsid w:val="00337B93"/>
    <w:rsid w:val="003409BD"/>
    <w:rsid w:val="00340C65"/>
    <w:rsid w:val="00340D21"/>
    <w:rsid w:val="00342A91"/>
    <w:rsid w:val="00344A39"/>
    <w:rsid w:val="003463E7"/>
    <w:rsid w:val="00350C94"/>
    <w:rsid w:val="00350D92"/>
    <w:rsid w:val="00351EA0"/>
    <w:rsid w:val="00354851"/>
    <w:rsid w:val="00356306"/>
    <w:rsid w:val="0035718B"/>
    <w:rsid w:val="003578D9"/>
    <w:rsid w:val="00357A25"/>
    <w:rsid w:val="003601C7"/>
    <w:rsid w:val="00360806"/>
    <w:rsid w:val="00360841"/>
    <w:rsid w:val="0036130C"/>
    <w:rsid w:val="00361D9A"/>
    <w:rsid w:val="00363BFB"/>
    <w:rsid w:val="00363CB4"/>
    <w:rsid w:val="003648CE"/>
    <w:rsid w:val="0036576F"/>
    <w:rsid w:val="00365A07"/>
    <w:rsid w:val="00366DAA"/>
    <w:rsid w:val="00372F36"/>
    <w:rsid w:val="00373F94"/>
    <w:rsid w:val="00374539"/>
    <w:rsid w:val="0037500C"/>
    <w:rsid w:val="00375098"/>
    <w:rsid w:val="00375607"/>
    <w:rsid w:val="00377959"/>
    <w:rsid w:val="00381D9B"/>
    <w:rsid w:val="0038424F"/>
    <w:rsid w:val="00384282"/>
    <w:rsid w:val="0038578F"/>
    <w:rsid w:val="003858D8"/>
    <w:rsid w:val="0039091D"/>
    <w:rsid w:val="00390B71"/>
    <w:rsid w:val="0039127A"/>
    <w:rsid w:val="00391334"/>
    <w:rsid w:val="003919FE"/>
    <w:rsid w:val="003928DF"/>
    <w:rsid w:val="00393C73"/>
    <w:rsid w:val="00393EC6"/>
    <w:rsid w:val="0039420C"/>
    <w:rsid w:val="0039639F"/>
    <w:rsid w:val="003970D4"/>
    <w:rsid w:val="003A0357"/>
    <w:rsid w:val="003A0FB8"/>
    <w:rsid w:val="003A375E"/>
    <w:rsid w:val="003A3AA5"/>
    <w:rsid w:val="003A63E1"/>
    <w:rsid w:val="003A7117"/>
    <w:rsid w:val="003A74AC"/>
    <w:rsid w:val="003A7C20"/>
    <w:rsid w:val="003A7F14"/>
    <w:rsid w:val="003B1CF5"/>
    <w:rsid w:val="003B26C0"/>
    <w:rsid w:val="003B3080"/>
    <w:rsid w:val="003B30E9"/>
    <w:rsid w:val="003B4453"/>
    <w:rsid w:val="003B5C27"/>
    <w:rsid w:val="003C0B68"/>
    <w:rsid w:val="003C0BE2"/>
    <w:rsid w:val="003C16DD"/>
    <w:rsid w:val="003C1ED1"/>
    <w:rsid w:val="003C250A"/>
    <w:rsid w:val="003C2E13"/>
    <w:rsid w:val="003C32D6"/>
    <w:rsid w:val="003C35EC"/>
    <w:rsid w:val="003C6204"/>
    <w:rsid w:val="003D0D50"/>
    <w:rsid w:val="003D1045"/>
    <w:rsid w:val="003D31B3"/>
    <w:rsid w:val="003D46F8"/>
    <w:rsid w:val="003D4979"/>
    <w:rsid w:val="003D56B8"/>
    <w:rsid w:val="003D5D07"/>
    <w:rsid w:val="003D7270"/>
    <w:rsid w:val="003D7566"/>
    <w:rsid w:val="003D7A12"/>
    <w:rsid w:val="003E0C40"/>
    <w:rsid w:val="003E1588"/>
    <w:rsid w:val="003E166A"/>
    <w:rsid w:val="003E1B73"/>
    <w:rsid w:val="003E24AE"/>
    <w:rsid w:val="003E518D"/>
    <w:rsid w:val="003F06B0"/>
    <w:rsid w:val="003F1572"/>
    <w:rsid w:val="003F3818"/>
    <w:rsid w:val="003F3F6A"/>
    <w:rsid w:val="003F45FC"/>
    <w:rsid w:val="003F4B63"/>
    <w:rsid w:val="003F5579"/>
    <w:rsid w:val="003F5A0A"/>
    <w:rsid w:val="003F5DB8"/>
    <w:rsid w:val="004004EB"/>
    <w:rsid w:val="00401CC5"/>
    <w:rsid w:val="004032D1"/>
    <w:rsid w:val="00404934"/>
    <w:rsid w:val="00404C97"/>
    <w:rsid w:val="0040631B"/>
    <w:rsid w:val="00406BFF"/>
    <w:rsid w:val="004072B4"/>
    <w:rsid w:val="00411FE2"/>
    <w:rsid w:val="0041331D"/>
    <w:rsid w:val="00414F74"/>
    <w:rsid w:val="004167D7"/>
    <w:rsid w:val="0042040C"/>
    <w:rsid w:val="00421119"/>
    <w:rsid w:val="00421DB0"/>
    <w:rsid w:val="00423FE3"/>
    <w:rsid w:val="004249A9"/>
    <w:rsid w:val="004251FB"/>
    <w:rsid w:val="00425796"/>
    <w:rsid w:val="004266B9"/>
    <w:rsid w:val="00426AF2"/>
    <w:rsid w:val="00426B08"/>
    <w:rsid w:val="00426F4C"/>
    <w:rsid w:val="00427179"/>
    <w:rsid w:val="00427A93"/>
    <w:rsid w:val="00427AA4"/>
    <w:rsid w:val="00431544"/>
    <w:rsid w:val="00432AF8"/>
    <w:rsid w:val="004332ED"/>
    <w:rsid w:val="00434FBA"/>
    <w:rsid w:val="00435B52"/>
    <w:rsid w:val="00441B89"/>
    <w:rsid w:val="004422D2"/>
    <w:rsid w:val="00442301"/>
    <w:rsid w:val="00444741"/>
    <w:rsid w:val="0044753C"/>
    <w:rsid w:val="00447912"/>
    <w:rsid w:val="00447F38"/>
    <w:rsid w:val="004503FB"/>
    <w:rsid w:val="0045044B"/>
    <w:rsid w:val="004507B3"/>
    <w:rsid w:val="00450B90"/>
    <w:rsid w:val="00451614"/>
    <w:rsid w:val="00452B25"/>
    <w:rsid w:val="00454B49"/>
    <w:rsid w:val="004553F8"/>
    <w:rsid w:val="00461403"/>
    <w:rsid w:val="004642C1"/>
    <w:rsid w:val="00465C9F"/>
    <w:rsid w:val="00470BE0"/>
    <w:rsid w:val="00470EB7"/>
    <w:rsid w:val="00472BF4"/>
    <w:rsid w:val="004743AC"/>
    <w:rsid w:val="00474448"/>
    <w:rsid w:val="004774CF"/>
    <w:rsid w:val="0048083A"/>
    <w:rsid w:val="004827A0"/>
    <w:rsid w:val="00483384"/>
    <w:rsid w:val="00487794"/>
    <w:rsid w:val="00490896"/>
    <w:rsid w:val="0049139D"/>
    <w:rsid w:val="00496D36"/>
    <w:rsid w:val="00497B28"/>
    <w:rsid w:val="004A1C54"/>
    <w:rsid w:val="004A1D55"/>
    <w:rsid w:val="004A26F5"/>
    <w:rsid w:val="004A2D5E"/>
    <w:rsid w:val="004A50B2"/>
    <w:rsid w:val="004A534A"/>
    <w:rsid w:val="004A62D9"/>
    <w:rsid w:val="004A6738"/>
    <w:rsid w:val="004A709F"/>
    <w:rsid w:val="004B1195"/>
    <w:rsid w:val="004B37C2"/>
    <w:rsid w:val="004B3AE8"/>
    <w:rsid w:val="004B4662"/>
    <w:rsid w:val="004B627A"/>
    <w:rsid w:val="004B641F"/>
    <w:rsid w:val="004B6F06"/>
    <w:rsid w:val="004B7234"/>
    <w:rsid w:val="004B7F52"/>
    <w:rsid w:val="004C1AC0"/>
    <w:rsid w:val="004C2807"/>
    <w:rsid w:val="004C2F0E"/>
    <w:rsid w:val="004C344D"/>
    <w:rsid w:val="004C37F2"/>
    <w:rsid w:val="004C3F64"/>
    <w:rsid w:val="004C574C"/>
    <w:rsid w:val="004C6585"/>
    <w:rsid w:val="004C7688"/>
    <w:rsid w:val="004D0E71"/>
    <w:rsid w:val="004D6B59"/>
    <w:rsid w:val="004D6F7B"/>
    <w:rsid w:val="004D7110"/>
    <w:rsid w:val="004E1C64"/>
    <w:rsid w:val="004E21F8"/>
    <w:rsid w:val="004E2C16"/>
    <w:rsid w:val="004E2DE3"/>
    <w:rsid w:val="004E5905"/>
    <w:rsid w:val="004E6B4E"/>
    <w:rsid w:val="004F07FF"/>
    <w:rsid w:val="004F356F"/>
    <w:rsid w:val="004F424D"/>
    <w:rsid w:val="004F61A8"/>
    <w:rsid w:val="00501379"/>
    <w:rsid w:val="005013F4"/>
    <w:rsid w:val="00502808"/>
    <w:rsid w:val="00502F18"/>
    <w:rsid w:val="0050778F"/>
    <w:rsid w:val="00507CB6"/>
    <w:rsid w:val="00510BA0"/>
    <w:rsid w:val="00512CE8"/>
    <w:rsid w:val="00514B72"/>
    <w:rsid w:val="00515345"/>
    <w:rsid w:val="005171C1"/>
    <w:rsid w:val="005175D8"/>
    <w:rsid w:val="00521996"/>
    <w:rsid w:val="00521B53"/>
    <w:rsid w:val="0052569F"/>
    <w:rsid w:val="00526795"/>
    <w:rsid w:val="00527087"/>
    <w:rsid w:val="00530AFE"/>
    <w:rsid w:val="005336F2"/>
    <w:rsid w:val="005343D3"/>
    <w:rsid w:val="00534543"/>
    <w:rsid w:val="00535A52"/>
    <w:rsid w:val="00536713"/>
    <w:rsid w:val="00537D58"/>
    <w:rsid w:val="00545B9E"/>
    <w:rsid w:val="00546397"/>
    <w:rsid w:val="0055020D"/>
    <w:rsid w:val="005504BD"/>
    <w:rsid w:val="00551DC5"/>
    <w:rsid w:val="005533EB"/>
    <w:rsid w:val="0055367A"/>
    <w:rsid w:val="0055382C"/>
    <w:rsid w:val="0055393B"/>
    <w:rsid w:val="00553E39"/>
    <w:rsid w:val="00554902"/>
    <w:rsid w:val="005572DF"/>
    <w:rsid w:val="00560DD9"/>
    <w:rsid w:val="0056171A"/>
    <w:rsid w:val="00562849"/>
    <w:rsid w:val="00563C4D"/>
    <w:rsid w:val="00563D50"/>
    <w:rsid w:val="00566306"/>
    <w:rsid w:val="00566803"/>
    <w:rsid w:val="00566BEF"/>
    <w:rsid w:val="00570FAB"/>
    <w:rsid w:val="00572584"/>
    <w:rsid w:val="00572CB1"/>
    <w:rsid w:val="005767A1"/>
    <w:rsid w:val="005777B0"/>
    <w:rsid w:val="00581B92"/>
    <w:rsid w:val="00582B07"/>
    <w:rsid w:val="0058313E"/>
    <w:rsid w:val="00583BD4"/>
    <w:rsid w:val="00585FDC"/>
    <w:rsid w:val="00586533"/>
    <w:rsid w:val="00586C22"/>
    <w:rsid w:val="00586DD5"/>
    <w:rsid w:val="00591BB5"/>
    <w:rsid w:val="00591CFE"/>
    <w:rsid w:val="00593F29"/>
    <w:rsid w:val="00594071"/>
    <w:rsid w:val="0059452B"/>
    <w:rsid w:val="00596D00"/>
    <w:rsid w:val="005A00A0"/>
    <w:rsid w:val="005A0F60"/>
    <w:rsid w:val="005A1C77"/>
    <w:rsid w:val="005A33DA"/>
    <w:rsid w:val="005A6F34"/>
    <w:rsid w:val="005B1C00"/>
    <w:rsid w:val="005B3D31"/>
    <w:rsid w:val="005B422C"/>
    <w:rsid w:val="005B46A2"/>
    <w:rsid w:val="005B6D89"/>
    <w:rsid w:val="005B724B"/>
    <w:rsid w:val="005C2A54"/>
    <w:rsid w:val="005C37C2"/>
    <w:rsid w:val="005C406E"/>
    <w:rsid w:val="005C5338"/>
    <w:rsid w:val="005C5450"/>
    <w:rsid w:val="005D1A1D"/>
    <w:rsid w:val="005D211A"/>
    <w:rsid w:val="005D32FD"/>
    <w:rsid w:val="005D531B"/>
    <w:rsid w:val="005D57B2"/>
    <w:rsid w:val="005D662C"/>
    <w:rsid w:val="005D692C"/>
    <w:rsid w:val="005D6A64"/>
    <w:rsid w:val="005D6E96"/>
    <w:rsid w:val="005D72BE"/>
    <w:rsid w:val="005E1F9D"/>
    <w:rsid w:val="005E37AA"/>
    <w:rsid w:val="005E61BC"/>
    <w:rsid w:val="005E6A7B"/>
    <w:rsid w:val="005E7C36"/>
    <w:rsid w:val="005F0EC1"/>
    <w:rsid w:val="005F1879"/>
    <w:rsid w:val="005F3385"/>
    <w:rsid w:val="005F3DBC"/>
    <w:rsid w:val="005F5652"/>
    <w:rsid w:val="005F5B36"/>
    <w:rsid w:val="005F6B03"/>
    <w:rsid w:val="00600AC5"/>
    <w:rsid w:val="00601C24"/>
    <w:rsid w:val="00602043"/>
    <w:rsid w:val="00602AAD"/>
    <w:rsid w:val="00602E5A"/>
    <w:rsid w:val="00603EB6"/>
    <w:rsid w:val="006046A4"/>
    <w:rsid w:val="006057E7"/>
    <w:rsid w:val="00605E3B"/>
    <w:rsid w:val="006079B5"/>
    <w:rsid w:val="00607CAF"/>
    <w:rsid w:val="0061120C"/>
    <w:rsid w:val="00612BCA"/>
    <w:rsid w:val="00612F7E"/>
    <w:rsid w:val="00613233"/>
    <w:rsid w:val="006136A1"/>
    <w:rsid w:val="0061470C"/>
    <w:rsid w:val="006150ED"/>
    <w:rsid w:val="00615B8B"/>
    <w:rsid w:val="00615C4E"/>
    <w:rsid w:val="006166C0"/>
    <w:rsid w:val="0062098E"/>
    <w:rsid w:val="006210AA"/>
    <w:rsid w:val="00623C05"/>
    <w:rsid w:val="0062790C"/>
    <w:rsid w:val="00632611"/>
    <w:rsid w:val="0063407F"/>
    <w:rsid w:val="00634992"/>
    <w:rsid w:val="006418F4"/>
    <w:rsid w:val="00643AE7"/>
    <w:rsid w:val="006455DB"/>
    <w:rsid w:val="00645DC0"/>
    <w:rsid w:val="0065024D"/>
    <w:rsid w:val="00650C74"/>
    <w:rsid w:val="00654005"/>
    <w:rsid w:val="0065575E"/>
    <w:rsid w:val="00655926"/>
    <w:rsid w:val="00656122"/>
    <w:rsid w:val="00656832"/>
    <w:rsid w:val="006570CD"/>
    <w:rsid w:val="00657196"/>
    <w:rsid w:val="0066073F"/>
    <w:rsid w:val="00660B81"/>
    <w:rsid w:val="006616A5"/>
    <w:rsid w:val="00661762"/>
    <w:rsid w:val="00661FC9"/>
    <w:rsid w:val="00663139"/>
    <w:rsid w:val="00663ADC"/>
    <w:rsid w:val="006644F9"/>
    <w:rsid w:val="00665E68"/>
    <w:rsid w:val="00666D82"/>
    <w:rsid w:val="0066742B"/>
    <w:rsid w:val="006702D0"/>
    <w:rsid w:val="00672E78"/>
    <w:rsid w:val="00673240"/>
    <w:rsid w:val="00677F99"/>
    <w:rsid w:val="00681918"/>
    <w:rsid w:val="006851CE"/>
    <w:rsid w:val="006866D7"/>
    <w:rsid w:val="006872FF"/>
    <w:rsid w:val="00692439"/>
    <w:rsid w:val="0069281C"/>
    <w:rsid w:val="006953A4"/>
    <w:rsid w:val="00695DE6"/>
    <w:rsid w:val="00696CB8"/>
    <w:rsid w:val="0069734F"/>
    <w:rsid w:val="006A003A"/>
    <w:rsid w:val="006A0400"/>
    <w:rsid w:val="006A0699"/>
    <w:rsid w:val="006A2B9C"/>
    <w:rsid w:val="006A52CF"/>
    <w:rsid w:val="006A6367"/>
    <w:rsid w:val="006A733F"/>
    <w:rsid w:val="006B0E96"/>
    <w:rsid w:val="006B22A8"/>
    <w:rsid w:val="006B259A"/>
    <w:rsid w:val="006C410B"/>
    <w:rsid w:val="006C53AC"/>
    <w:rsid w:val="006C6B6B"/>
    <w:rsid w:val="006D001C"/>
    <w:rsid w:val="006D1C71"/>
    <w:rsid w:val="006D22D1"/>
    <w:rsid w:val="006D2CF0"/>
    <w:rsid w:val="006D2F7C"/>
    <w:rsid w:val="006D3227"/>
    <w:rsid w:val="006D5AA8"/>
    <w:rsid w:val="006D673C"/>
    <w:rsid w:val="006D6F3D"/>
    <w:rsid w:val="006E1835"/>
    <w:rsid w:val="006E3438"/>
    <w:rsid w:val="006E367C"/>
    <w:rsid w:val="006E3B40"/>
    <w:rsid w:val="006E49A3"/>
    <w:rsid w:val="006E5105"/>
    <w:rsid w:val="006F0897"/>
    <w:rsid w:val="006F1BB0"/>
    <w:rsid w:val="006F1EAE"/>
    <w:rsid w:val="006F23E3"/>
    <w:rsid w:val="006F3C61"/>
    <w:rsid w:val="006F4BC4"/>
    <w:rsid w:val="006F5E90"/>
    <w:rsid w:val="00700731"/>
    <w:rsid w:val="007025BC"/>
    <w:rsid w:val="00702B8D"/>
    <w:rsid w:val="00704126"/>
    <w:rsid w:val="007064D4"/>
    <w:rsid w:val="00711335"/>
    <w:rsid w:val="007119EF"/>
    <w:rsid w:val="00712C79"/>
    <w:rsid w:val="00712E48"/>
    <w:rsid w:val="0071339E"/>
    <w:rsid w:val="00714A2E"/>
    <w:rsid w:val="0071560D"/>
    <w:rsid w:val="00723D8F"/>
    <w:rsid w:val="0072468E"/>
    <w:rsid w:val="00724B5D"/>
    <w:rsid w:val="007264B4"/>
    <w:rsid w:val="00732317"/>
    <w:rsid w:val="007336FC"/>
    <w:rsid w:val="00733C6A"/>
    <w:rsid w:val="00733CC4"/>
    <w:rsid w:val="0073463B"/>
    <w:rsid w:val="007354DB"/>
    <w:rsid w:val="00736970"/>
    <w:rsid w:val="00737BD2"/>
    <w:rsid w:val="00737D31"/>
    <w:rsid w:val="00740146"/>
    <w:rsid w:val="00740511"/>
    <w:rsid w:val="007414FE"/>
    <w:rsid w:val="007417A3"/>
    <w:rsid w:val="007426A3"/>
    <w:rsid w:val="00742D62"/>
    <w:rsid w:val="00742D64"/>
    <w:rsid w:val="00743799"/>
    <w:rsid w:val="0074383F"/>
    <w:rsid w:val="0074524C"/>
    <w:rsid w:val="007454D4"/>
    <w:rsid w:val="00745D49"/>
    <w:rsid w:val="00746B27"/>
    <w:rsid w:val="007513D8"/>
    <w:rsid w:val="00751AA9"/>
    <w:rsid w:val="00752244"/>
    <w:rsid w:val="007523ED"/>
    <w:rsid w:val="00752829"/>
    <w:rsid w:val="00756873"/>
    <w:rsid w:val="007568CF"/>
    <w:rsid w:val="00761D37"/>
    <w:rsid w:val="00762D25"/>
    <w:rsid w:val="00763B38"/>
    <w:rsid w:val="00771192"/>
    <w:rsid w:val="007711F6"/>
    <w:rsid w:val="007729DE"/>
    <w:rsid w:val="00772C8F"/>
    <w:rsid w:val="00773067"/>
    <w:rsid w:val="00774EA0"/>
    <w:rsid w:val="00783624"/>
    <w:rsid w:val="00783E93"/>
    <w:rsid w:val="00783FB6"/>
    <w:rsid w:val="00785560"/>
    <w:rsid w:val="00786198"/>
    <w:rsid w:val="007868C9"/>
    <w:rsid w:val="00790AEA"/>
    <w:rsid w:val="00791095"/>
    <w:rsid w:val="00791656"/>
    <w:rsid w:val="007919CC"/>
    <w:rsid w:val="0079441A"/>
    <w:rsid w:val="0079521F"/>
    <w:rsid w:val="00796E1B"/>
    <w:rsid w:val="0079760B"/>
    <w:rsid w:val="007A0B8E"/>
    <w:rsid w:val="007A2656"/>
    <w:rsid w:val="007A3ACB"/>
    <w:rsid w:val="007A3C82"/>
    <w:rsid w:val="007A3DBD"/>
    <w:rsid w:val="007A55E6"/>
    <w:rsid w:val="007A604B"/>
    <w:rsid w:val="007A767A"/>
    <w:rsid w:val="007A7D47"/>
    <w:rsid w:val="007B0260"/>
    <w:rsid w:val="007B0DF2"/>
    <w:rsid w:val="007B11D6"/>
    <w:rsid w:val="007B160E"/>
    <w:rsid w:val="007B672A"/>
    <w:rsid w:val="007B6FE0"/>
    <w:rsid w:val="007C2192"/>
    <w:rsid w:val="007C36F6"/>
    <w:rsid w:val="007C5364"/>
    <w:rsid w:val="007C5685"/>
    <w:rsid w:val="007C641E"/>
    <w:rsid w:val="007C6F7C"/>
    <w:rsid w:val="007D0560"/>
    <w:rsid w:val="007D06DF"/>
    <w:rsid w:val="007D0729"/>
    <w:rsid w:val="007D29C6"/>
    <w:rsid w:val="007D334C"/>
    <w:rsid w:val="007D5769"/>
    <w:rsid w:val="007D634B"/>
    <w:rsid w:val="007D760E"/>
    <w:rsid w:val="007D7E71"/>
    <w:rsid w:val="007E2815"/>
    <w:rsid w:val="007E4174"/>
    <w:rsid w:val="007E575D"/>
    <w:rsid w:val="007E68DA"/>
    <w:rsid w:val="007F00B8"/>
    <w:rsid w:val="007F0ACE"/>
    <w:rsid w:val="007F122C"/>
    <w:rsid w:val="007F2562"/>
    <w:rsid w:val="007F26A9"/>
    <w:rsid w:val="007F3C3A"/>
    <w:rsid w:val="007F411A"/>
    <w:rsid w:val="007F4459"/>
    <w:rsid w:val="007F4C7C"/>
    <w:rsid w:val="007F707E"/>
    <w:rsid w:val="007F719C"/>
    <w:rsid w:val="007F7581"/>
    <w:rsid w:val="007F7AF5"/>
    <w:rsid w:val="007F7D16"/>
    <w:rsid w:val="008009C7"/>
    <w:rsid w:val="00802E4E"/>
    <w:rsid w:val="00806CE7"/>
    <w:rsid w:val="00806FF1"/>
    <w:rsid w:val="008075E8"/>
    <w:rsid w:val="008076F2"/>
    <w:rsid w:val="00807A68"/>
    <w:rsid w:val="00810048"/>
    <w:rsid w:val="008112E2"/>
    <w:rsid w:val="00815CFC"/>
    <w:rsid w:val="00817177"/>
    <w:rsid w:val="0081732F"/>
    <w:rsid w:val="0082104A"/>
    <w:rsid w:val="00824003"/>
    <w:rsid w:val="00824D38"/>
    <w:rsid w:val="00824E5E"/>
    <w:rsid w:val="008250E7"/>
    <w:rsid w:val="0082555F"/>
    <w:rsid w:val="00826D81"/>
    <w:rsid w:val="008273F0"/>
    <w:rsid w:val="00827B75"/>
    <w:rsid w:val="00831DEB"/>
    <w:rsid w:val="0083333F"/>
    <w:rsid w:val="00833E99"/>
    <w:rsid w:val="00834F54"/>
    <w:rsid w:val="00835412"/>
    <w:rsid w:val="00835428"/>
    <w:rsid w:val="00836E4D"/>
    <w:rsid w:val="00837244"/>
    <w:rsid w:val="008379F2"/>
    <w:rsid w:val="00842345"/>
    <w:rsid w:val="0084332E"/>
    <w:rsid w:val="008434D6"/>
    <w:rsid w:val="00846483"/>
    <w:rsid w:val="008471A4"/>
    <w:rsid w:val="00847A77"/>
    <w:rsid w:val="00847DFC"/>
    <w:rsid w:val="008525C1"/>
    <w:rsid w:val="00852CD6"/>
    <w:rsid w:val="00854BF4"/>
    <w:rsid w:val="00854E8F"/>
    <w:rsid w:val="00855B56"/>
    <w:rsid w:val="00856732"/>
    <w:rsid w:val="008567A5"/>
    <w:rsid w:val="00860E2C"/>
    <w:rsid w:val="00861D6C"/>
    <w:rsid w:val="00862F2A"/>
    <w:rsid w:val="008645EE"/>
    <w:rsid w:val="00865FE6"/>
    <w:rsid w:val="00867158"/>
    <w:rsid w:val="008671BA"/>
    <w:rsid w:val="00867DE5"/>
    <w:rsid w:val="00871530"/>
    <w:rsid w:val="0087246F"/>
    <w:rsid w:val="00872C37"/>
    <w:rsid w:val="008743AB"/>
    <w:rsid w:val="0087742D"/>
    <w:rsid w:val="00880850"/>
    <w:rsid w:val="0088331F"/>
    <w:rsid w:val="00883813"/>
    <w:rsid w:val="008858FB"/>
    <w:rsid w:val="008863A0"/>
    <w:rsid w:val="008905FF"/>
    <w:rsid w:val="00891A8D"/>
    <w:rsid w:val="00893167"/>
    <w:rsid w:val="008935B8"/>
    <w:rsid w:val="0089401F"/>
    <w:rsid w:val="00894357"/>
    <w:rsid w:val="00894D1A"/>
    <w:rsid w:val="00894D7B"/>
    <w:rsid w:val="00895A8D"/>
    <w:rsid w:val="00895D13"/>
    <w:rsid w:val="0089665B"/>
    <w:rsid w:val="00897178"/>
    <w:rsid w:val="008A03CF"/>
    <w:rsid w:val="008A1F82"/>
    <w:rsid w:val="008A2937"/>
    <w:rsid w:val="008A2A9F"/>
    <w:rsid w:val="008A2C66"/>
    <w:rsid w:val="008A6306"/>
    <w:rsid w:val="008B0BC6"/>
    <w:rsid w:val="008B2E42"/>
    <w:rsid w:val="008B408F"/>
    <w:rsid w:val="008B43F3"/>
    <w:rsid w:val="008C0989"/>
    <w:rsid w:val="008C0A2D"/>
    <w:rsid w:val="008C2025"/>
    <w:rsid w:val="008C248C"/>
    <w:rsid w:val="008C4215"/>
    <w:rsid w:val="008C4376"/>
    <w:rsid w:val="008C582F"/>
    <w:rsid w:val="008C586B"/>
    <w:rsid w:val="008C6012"/>
    <w:rsid w:val="008C675F"/>
    <w:rsid w:val="008C6BB3"/>
    <w:rsid w:val="008D0134"/>
    <w:rsid w:val="008D2462"/>
    <w:rsid w:val="008D4644"/>
    <w:rsid w:val="008D4B75"/>
    <w:rsid w:val="008D667D"/>
    <w:rsid w:val="008D725E"/>
    <w:rsid w:val="008E0FA6"/>
    <w:rsid w:val="008E1373"/>
    <w:rsid w:val="008E3430"/>
    <w:rsid w:val="008E4281"/>
    <w:rsid w:val="008E4505"/>
    <w:rsid w:val="008E592C"/>
    <w:rsid w:val="008E5EA2"/>
    <w:rsid w:val="008E7CC7"/>
    <w:rsid w:val="008F0326"/>
    <w:rsid w:val="008F1124"/>
    <w:rsid w:val="008F1761"/>
    <w:rsid w:val="008F2641"/>
    <w:rsid w:val="008F2A3F"/>
    <w:rsid w:val="008F3157"/>
    <w:rsid w:val="008F3ADE"/>
    <w:rsid w:val="008F3DD7"/>
    <w:rsid w:val="008F7613"/>
    <w:rsid w:val="009000C2"/>
    <w:rsid w:val="00900472"/>
    <w:rsid w:val="00903092"/>
    <w:rsid w:val="00903D1B"/>
    <w:rsid w:val="00905A60"/>
    <w:rsid w:val="0090687D"/>
    <w:rsid w:val="009077E4"/>
    <w:rsid w:val="00907E0F"/>
    <w:rsid w:val="00910A8A"/>
    <w:rsid w:val="009139AB"/>
    <w:rsid w:val="009142FF"/>
    <w:rsid w:val="009148F1"/>
    <w:rsid w:val="00915060"/>
    <w:rsid w:val="00915196"/>
    <w:rsid w:val="0091621B"/>
    <w:rsid w:val="00920F2A"/>
    <w:rsid w:val="00920FEA"/>
    <w:rsid w:val="00920FFA"/>
    <w:rsid w:val="0092273C"/>
    <w:rsid w:val="009243A9"/>
    <w:rsid w:val="009252DD"/>
    <w:rsid w:val="00925616"/>
    <w:rsid w:val="00925DE1"/>
    <w:rsid w:val="00930D7E"/>
    <w:rsid w:val="009320B2"/>
    <w:rsid w:val="009320D3"/>
    <w:rsid w:val="00932D77"/>
    <w:rsid w:val="00933544"/>
    <w:rsid w:val="0093362B"/>
    <w:rsid w:val="00933ED2"/>
    <w:rsid w:val="00935179"/>
    <w:rsid w:val="009368DA"/>
    <w:rsid w:val="00943001"/>
    <w:rsid w:val="009442D8"/>
    <w:rsid w:val="00947535"/>
    <w:rsid w:val="0095208B"/>
    <w:rsid w:val="009529DC"/>
    <w:rsid w:val="00954774"/>
    <w:rsid w:val="00955650"/>
    <w:rsid w:val="00957DD6"/>
    <w:rsid w:val="00962830"/>
    <w:rsid w:val="009637D6"/>
    <w:rsid w:val="00964A77"/>
    <w:rsid w:val="00964DF3"/>
    <w:rsid w:val="00965CF8"/>
    <w:rsid w:val="00967285"/>
    <w:rsid w:val="00967816"/>
    <w:rsid w:val="00967E0A"/>
    <w:rsid w:val="009709FF"/>
    <w:rsid w:val="00970D64"/>
    <w:rsid w:val="00975140"/>
    <w:rsid w:val="0097767C"/>
    <w:rsid w:val="00977D85"/>
    <w:rsid w:val="00981C32"/>
    <w:rsid w:val="00981D2E"/>
    <w:rsid w:val="009830B0"/>
    <w:rsid w:val="009866B6"/>
    <w:rsid w:val="009867D2"/>
    <w:rsid w:val="00986AE5"/>
    <w:rsid w:val="00986FD7"/>
    <w:rsid w:val="00987BF3"/>
    <w:rsid w:val="00987C27"/>
    <w:rsid w:val="0099050B"/>
    <w:rsid w:val="0099092C"/>
    <w:rsid w:val="00990E69"/>
    <w:rsid w:val="009912A1"/>
    <w:rsid w:val="0099194C"/>
    <w:rsid w:val="009938D9"/>
    <w:rsid w:val="00993D67"/>
    <w:rsid w:val="009975C3"/>
    <w:rsid w:val="00997CCD"/>
    <w:rsid w:val="009A0322"/>
    <w:rsid w:val="009A0B0F"/>
    <w:rsid w:val="009A3976"/>
    <w:rsid w:val="009A5B46"/>
    <w:rsid w:val="009A67DC"/>
    <w:rsid w:val="009A69F2"/>
    <w:rsid w:val="009B1D5F"/>
    <w:rsid w:val="009B2733"/>
    <w:rsid w:val="009B2B69"/>
    <w:rsid w:val="009B41C8"/>
    <w:rsid w:val="009B6223"/>
    <w:rsid w:val="009C1545"/>
    <w:rsid w:val="009C1B58"/>
    <w:rsid w:val="009C2E58"/>
    <w:rsid w:val="009C477C"/>
    <w:rsid w:val="009C486D"/>
    <w:rsid w:val="009C75DC"/>
    <w:rsid w:val="009C7AD0"/>
    <w:rsid w:val="009D0AD0"/>
    <w:rsid w:val="009D207D"/>
    <w:rsid w:val="009D3D5C"/>
    <w:rsid w:val="009D4832"/>
    <w:rsid w:val="009D488E"/>
    <w:rsid w:val="009D719A"/>
    <w:rsid w:val="009E09F1"/>
    <w:rsid w:val="009E0D30"/>
    <w:rsid w:val="009E13E8"/>
    <w:rsid w:val="009E33BC"/>
    <w:rsid w:val="009E388E"/>
    <w:rsid w:val="009E62CC"/>
    <w:rsid w:val="009F1377"/>
    <w:rsid w:val="009F5306"/>
    <w:rsid w:val="009F7698"/>
    <w:rsid w:val="00A02928"/>
    <w:rsid w:val="00A03F18"/>
    <w:rsid w:val="00A04B19"/>
    <w:rsid w:val="00A0749C"/>
    <w:rsid w:val="00A07CE7"/>
    <w:rsid w:val="00A10929"/>
    <w:rsid w:val="00A10F9E"/>
    <w:rsid w:val="00A1551B"/>
    <w:rsid w:val="00A16243"/>
    <w:rsid w:val="00A16BC9"/>
    <w:rsid w:val="00A17507"/>
    <w:rsid w:val="00A177FA"/>
    <w:rsid w:val="00A17920"/>
    <w:rsid w:val="00A20ADF"/>
    <w:rsid w:val="00A22F81"/>
    <w:rsid w:val="00A25D6A"/>
    <w:rsid w:val="00A2790A"/>
    <w:rsid w:val="00A30299"/>
    <w:rsid w:val="00A30457"/>
    <w:rsid w:val="00A30747"/>
    <w:rsid w:val="00A3274F"/>
    <w:rsid w:val="00A33625"/>
    <w:rsid w:val="00A34B77"/>
    <w:rsid w:val="00A35510"/>
    <w:rsid w:val="00A357E5"/>
    <w:rsid w:val="00A37B57"/>
    <w:rsid w:val="00A40479"/>
    <w:rsid w:val="00A409CF"/>
    <w:rsid w:val="00A423C6"/>
    <w:rsid w:val="00A42943"/>
    <w:rsid w:val="00A455F0"/>
    <w:rsid w:val="00A47CA5"/>
    <w:rsid w:val="00A511A4"/>
    <w:rsid w:val="00A51FD5"/>
    <w:rsid w:val="00A5302B"/>
    <w:rsid w:val="00A53A4C"/>
    <w:rsid w:val="00A54E5B"/>
    <w:rsid w:val="00A55FCC"/>
    <w:rsid w:val="00A60623"/>
    <w:rsid w:val="00A60668"/>
    <w:rsid w:val="00A620E2"/>
    <w:rsid w:val="00A62EAC"/>
    <w:rsid w:val="00A62F38"/>
    <w:rsid w:val="00A63425"/>
    <w:rsid w:val="00A63E56"/>
    <w:rsid w:val="00A67B51"/>
    <w:rsid w:val="00A67CBD"/>
    <w:rsid w:val="00A67D24"/>
    <w:rsid w:val="00A73232"/>
    <w:rsid w:val="00A73DD2"/>
    <w:rsid w:val="00A7537F"/>
    <w:rsid w:val="00A76B6D"/>
    <w:rsid w:val="00A820C6"/>
    <w:rsid w:val="00A82E5E"/>
    <w:rsid w:val="00A82F2F"/>
    <w:rsid w:val="00A841E5"/>
    <w:rsid w:val="00A85240"/>
    <w:rsid w:val="00A86C04"/>
    <w:rsid w:val="00A87C06"/>
    <w:rsid w:val="00A87F32"/>
    <w:rsid w:val="00A95061"/>
    <w:rsid w:val="00A97F65"/>
    <w:rsid w:val="00AA328D"/>
    <w:rsid w:val="00AA439C"/>
    <w:rsid w:val="00AA45A9"/>
    <w:rsid w:val="00AA480F"/>
    <w:rsid w:val="00AA5563"/>
    <w:rsid w:val="00AA6225"/>
    <w:rsid w:val="00AA6255"/>
    <w:rsid w:val="00AA62B2"/>
    <w:rsid w:val="00AA6AEC"/>
    <w:rsid w:val="00AA7775"/>
    <w:rsid w:val="00AA781D"/>
    <w:rsid w:val="00AA7B39"/>
    <w:rsid w:val="00AB03AA"/>
    <w:rsid w:val="00AB6E44"/>
    <w:rsid w:val="00AB726F"/>
    <w:rsid w:val="00AC2862"/>
    <w:rsid w:val="00AC350F"/>
    <w:rsid w:val="00AC433B"/>
    <w:rsid w:val="00AC4FF3"/>
    <w:rsid w:val="00AC5FA2"/>
    <w:rsid w:val="00AC7EC0"/>
    <w:rsid w:val="00AD064F"/>
    <w:rsid w:val="00AD1619"/>
    <w:rsid w:val="00AD2973"/>
    <w:rsid w:val="00AD3667"/>
    <w:rsid w:val="00AD3A4B"/>
    <w:rsid w:val="00AD6745"/>
    <w:rsid w:val="00AD6E5D"/>
    <w:rsid w:val="00AD6FE9"/>
    <w:rsid w:val="00AE1E3D"/>
    <w:rsid w:val="00AE2C63"/>
    <w:rsid w:val="00AE4452"/>
    <w:rsid w:val="00AE5AFA"/>
    <w:rsid w:val="00AE616A"/>
    <w:rsid w:val="00AE681E"/>
    <w:rsid w:val="00AE6FEB"/>
    <w:rsid w:val="00AF04DF"/>
    <w:rsid w:val="00AF3574"/>
    <w:rsid w:val="00AF4FED"/>
    <w:rsid w:val="00AF5660"/>
    <w:rsid w:val="00AF5AFA"/>
    <w:rsid w:val="00AF64BA"/>
    <w:rsid w:val="00AF6F46"/>
    <w:rsid w:val="00AF7831"/>
    <w:rsid w:val="00B00776"/>
    <w:rsid w:val="00B01B55"/>
    <w:rsid w:val="00B027BA"/>
    <w:rsid w:val="00B02BCD"/>
    <w:rsid w:val="00B04385"/>
    <w:rsid w:val="00B04AA0"/>
    <w:rsid w:val="00B06C54"/>
    <w:rsid w:val="00B06DFC"/>
    <w:rsid w:val="00B112E1"/>
    <w:rsid w:val="00B123E7"/>
    <w:rsid w:val="00B12997"/>
    <w:rsid w:val="00B12D28"/>
    <w:rsid w:val="00B12E11"/>
    <w:rsid w:val="00B12F0A"/>
    <w:rsid w:val="00B13D18"/>
    <w:rsid w:val="00B13DB0"/>
    <w:rsid w:val="00B14DB0"/>
    <w:rsid w:val="00B161E0"/>
    <w:rsid w:val="00B1674A"/>
    <w:rsid w:val="00B17E3B"/>
    <w:rsid w:val="00B21608"/>
    <w:rsid w:val="00B222C7"/>
    <w:rsid w:val="00B22864"/>
    <w:rsid w:val="00B23E9A"/>
    <w:rsid w:val="00B25654"/>
    <w:rsid w:val="00B272F6"/>
    <w:rsid w:val="00B31C76"/>
    <w:rsid w:val="00B32AD2"/>
    <w:rsid w:val="00B33451"/>
    <w:rsid w:val="00B339F7"/>
    <w:rsid w:val="00B343DD"/>
    <w:rsid w:val="00B34F70"/>
    <w:rsid w:val="00B377BD"/>
    <w:rsid w:val="00B42160"/>
    <w:rsid w:val="00B423F7"/>
    <w:rsid w:val="00B42B56"/>
    <w:rsid w:val="00B437BF"/>
    <w:rsid w:val="00B44F4F"/>
    <w:rsid w:val="00B466ED"/>
    <w:rsid w:val="00B50756"/>
    <w:rsid w:val="00B50B55"/>
    <w:rsid w:val="00B52B00"/>
    <w:rsid w:val="00B5374E"/>
    <w:rsid w:val="00B53A72"/>
    <w:rsid w:val="00B53E65"/>
    <w:rsid w:val="00B54052"/>
    <w:rsid w:val="00B54C93"/>
    <w:rsid w:val="00B54FC8"/>
    <w:rsid w:val="00B660C3"/>
    <w:rsid w:val="00B67A6B"/>
    <w:rsid w:val="00B71CB3"/>
    <w:rsid w:val="00B72F2F"/>
    <w:rsid w:val="00B73E3D"/>
    <w:rsid w:val="00B74C91"/>
    <w:rsid w:val="00B7506C"/>
    <w:rsid w:val="00B7525D"/>
    <w:rsid w:val="00B76704"/>
    <w:rsid w:val="00B77A47"/>
    <w:rsid w:val="00B82774"/>
    <w:rsid w:val="00B82E99"/>
    <w:rsid w:val="00B87DC0"/>
    <w:rsid w:val="00B91089"/>
    <w:rsid w:val="00B9226F"/>
    <w:rsid w:val="00B92D67"/>
    <w:rsid w:val="00B94316"/>
    <w:rsid w:val="00B94567"/>
    <w:rsid w:val="00BA18E2"/>
    <w:rsid w:val="00BA63A3"/>
    <w:rsid w:val="00BA66D5"/>
    <w:rsid w:val="00BA75B0"/>
    <w:rsid w:val="00BB1043"/>
    <w:rsid w:val="00BB1E70"/>
    <w:rsid w:val="00BB2DCB"/>
    <w:rsid w:val="00BB3372"/>
    <w:rsid w:val="00BB6707"/>
    <w:rsid w:val="00BB76CB"/>
    <w:rsid w:val="00BB7DF0"/>
    <w:rsid w:val="00BC06FA"/>
    <w:rsid w:val="00BC0E15"/>
    <w:rsid w:val="00BC2ECB"/>
    <w:rsid w:val="00BC411E"/>
    <w:rsid w:val="00BC4306"/>
    <w:rsid w:val="00BC5880"/>
    <w:rsid w:val="00BC602E"/>
    <w:rsid w:val="00BC6C26"/>
    <w:rsid w:val="00BC75F4"/>
    <w:rsid w:val="00BC77C1"/>
    <w:rsid w:val="00BC7AD4"/>
    <w:rsid w:val="00BD003A"/>
    <w:rsid w:val="00BD15F8"/>
    <w:rsid w:val="00BD27F2"/>
    <w:rsid w:val="00BD3283"/>
    <w:rsid w:val="00BD35F4"/>
    <w:rsid w:val="00BD4D1D"/>
    <w:rsid w:val="00BD51DD"/>
    <w:rsid w:val="00BD521D"/>
    <w:rsid w:val="00BE0D1F"/>
    <w:rsid w:val="00BE0ED4"/>
    <w:rsid w:val="00BE17A9"/>
    <w:rsid w:val="00BE1E28"/>
    <w:rsid w:val="00BE24CD"/>
    <w:rsid w:val="00BE2AC3"/>
    <w:rsid w:val="00BE300A"/>
    <w:rsid w:val="00BF118D"/>
    <w:rsid w:val="00BF2DAC"/>
    <w:rsid w:val="00BF3712"/>
    <w:rsid w:val="00BF5B8A"/>
    <w:rsid w:val="00BF5C03"/>
    <w:rsid w:val="00BF761A"/>
    <w:rsid w:val="00BF7631"/>
    <w:rsid w:val="00BF7981"/>
    <w:rsid w:val="00C001B9"/>
    <w:rsid w:val="00C00A68"/>
    <w:rsid w:val="00C01E5C"/>
    <w:rsid w:val="00C03A9D"/>
    <w:rsid w:val="00C04357"/>
    <w:rsid w:val="00C04BEF"/>
    <w:rsid w:val="00C04DAF"/>
    <w:rsid w:val="00C05C3F"/>
    <w:rsid w:val="00C10AAC"/>
    <w:rsid w:val="00C1187E"/>
    <w:rsid w:val="00C11C75"/>
    <w:rsid w:val="00C140F8"/>
    <w:rsid w:val="00C140F9"/>
    <w:rsid w:val="00C14609"/>
    <w:rsid w:val="00C150D2"/>
    <w:rsid w:val="00C16E7F"/>
    <w:rsid w:val="00C20BBD"/>
    <w:rsid w:val="00C21581"/>
    <w:rsid w:val="00C2234A"/>
    <w:rsid w:val="00C22F56"/>
    <w:rsid w:val="00C23C25"/>
    <w:rsid w:val="00C25C01"/>
    <w:rsid w:val="00C27266"/>
    <w:rsid w:val="00C30866"/>
    <w:rsid w:val="00C31A00"/>
    <w:rsid w:val="00C32060"/>
    <w:rsid w:val="00C338D7"/>
    <w:rsid w:val="00C33F21"/>
    <w:rsid w:val="00C34308"/>
    <w:rsid w:val="00C343DF"/>
    <w:rsid w:val="00C345BC"/>
    <w:rsid w:val="00C35F42"/>
    <w:rsid w:val="00C369E3"/>
    <w:rsid w:val="00C427EB"/>
    <w:rsid w:val="00C43512"/>
    <w:rsid w:val="00C45AD3"/>
    <w:rsid w:val="00C51EE3"/>
    <w:rsid w:val="00C51F24"/>
    <w:rsid w:val="00C521E3"/>
    <w:rsid w:val="00C533CD"/>
    <w:rsid w:val="00C55534"/>
    <w:rsid w:val="00C567D8"/>
    <w:rsid w:val="00C604BF"/>
    <w:rsid w:val="00C6273B"/>
    <w:rsid w:val="00C62902"/>
    <w:rsid w:val="00C6336A"/>
    <w:rsid w:val="00C63B9F"/>
    <w:rsid w:val="00C6627B"/>
    <w:rsid w:val="00C672BF"/>
    <w:rsid w:val="00C67D9F"/>
    <w:rsid w:val="00C70114"/>
    <w:rsid w:val="00C74208"/>
    <w:rsid w:val="00C74364"/>
    <w:rsid w:val="00C751F7"/>
    <w:rsid w:val="00C762BD"/>
    <w:rsid w:val="00C81E25"/>
    <w:rsid w:val="00C82A06"/>
    <w:rsid w:val="00C82CE7"/>
    <w:rsid w:val="00C836F4"/>
    <w:rsid w:val="00C84423"/>
    <w:rsid w:val="00C867C0"/>
    <w:rsid w:val="00C87A63"/>
    <w:rsid w:val="00C87CE8"/>
    <w:rsid w:val="00C92581"/>
    <w:rsid w:val="00C965A1"/>
    <w:rsid w:val="00CA0C26"/>
    <w:rsid w:val="00CA1F45"/>
    <w:rsid w:val="00CA2197"/>
    <w:rsid w:val="00CA2972"/>
    <w:rsid w:val="00CA2D1D"/>
    <w:rsid w:val="00CA545D"/>
    <w:rsid w:val="00CA6760"/>
    <w:rsid w:val="00CB0836"/>
    <w:rsid w:val="00CB2231"/>
    <w:rsid w:val="00CB485B"/>
    <w:rsid w:val="00CB5389"/>
    <w:rsid w:val="00CB7E1E"/>
    <w:rsid w:val="00CC108B"/>
    <w:rsid w:val="00CC1D3E"/>
    <w:rsid w:val="00CC473D"/>
    <w:rsid w:val="00CC51D9"/>
    <w:rsid w:val="00CC51F3"/>
    <w:rsid w:val="00CC527A"/>
    <w:rsid w:val="00CC5557"/>
    <w:rsid w:val="00CC5AD6"/>
    <w:rsid w:val="00CD09B0"/>
    <w:rsid w:val="00CD0B59"/>
    <w:rsid w:val="00CD29E6"/>
    <w:rsid w:val="00CD340A"/>
    <w:rsid w:val="00CD347A"/>
    <w:rsid w:val="00CD34E2"/>
    <w:rsid w:val="00CD3F6F"/>
    <w:rsid w:val="00CD670F"/>
    <w:rsid w:val="00CD719C"/>
    <w:rsid w:val="00CE0A66"/>
    <w:rsid w:val="00CE26AE"/>
    <w:rsid w:val="00CE3EE3"/>
    <w:rsid w:val="00CE52D1"/>
    <w:rsid w:val="00CE54C7"/>
    <w:rsid w:val="00CE5CD6"/>
    <w:rsid w:val="00CE5F1D"/>
    <w:rsid w:val="00CF092E"/>
    <w:rsid w:val="00CF0DA2"/>
    <w:rsid w:val="00CF25CD"/>
    <w:rsid w:val="00CF4B04"/>
    <w:rsid w:val="00CF4CF4"/>
    <w:rsid w:val="00CF5ADE"/>
    <w:rsid w:val="00D0116A"/>
    <w:rsid w:val="00D017A2"/>
    <w:rsid w:val="00D017D5"/>
    <w:rsid w:val="00D036F8"/>
    <w:rsid w:val="00D04A29"/>
    <w:rsid w:val="00D04BFD"/>
    <w:rsid w:val="00D05435"/>
    <w:rsid w:val="00D07B10"/>
    <w:rsid w:val="00D11BC2"/>
    <w:rsid w:val="00D16C2B"/>
    <w:rsid w:val="00D2059F"/>
    <w:rsid w:val="00D20858"/>
    <w:rsid w:val="00D20997"/>
    <w:rsid w:val="00D218C7"/>
    <w:rsid w:val="00D21CEF"/>
    <w:rsid w:val="00D22C1E"/>
    <w:rsid w:val="00D22FB0"/>
    <w:rsid w:val="00D2382C"/>
    <w:rsid w:val="00D25661"/>
    <w:rsid w:val="00D267FC"/>
    <w:rsid w:val="00D26AC4"/>
    <w:rsid w:val="00D27185"/>
    <w:rsid w:val="00D31454"/>
    <w:rsid w:val="00D32835"/>
    <w:rsid w:val="00D3317F"/>
    <w:rsid w:val="00D3330F"/>
    <w:rsid w:val="00D35F5F"/>
    <w:rsid w:val="00D37C74"/>
    <w:rsid w:val="00D40BBD"/>
    <w:rsid w:val="00D4289E"/>
    <w:rsid w:val="00D437DB"/>
    <w:rsid w:val="00D441DD"/>
    <w:rsid w:val="00D46CB2"/>
    <w:rsid w:val="00D47AEB"/>
    <w:rsid w:val="00D47CD5"/>
    <w:rsid w:val="00D516E8"/>
    <w:rsid w:val="00D51A35"/>
    <w:rsid w:val="00D51E4C"/>
    <w:rsid w:val="00D52AFD"/>
    <w:rsid w:val="00D52C02"/>
    <w:rsid w:val="00D52E78"/>
    <w:rsid w:val="00D53E3A"/>
    <w:rsid w:val="00D541CC"/>
    <w:rsid w:val="00D54690"/>
    <w:rsid w:val="00D54EA0"/>
    <w:rsid w:val="00D56817"/>
    <w:rsid w:val="00D5723F"/>
    <w:rsid w:val="00D61B7C"/>
    <w:rsid w:val="00D622C4"/>
    <w:rsid w:val="00D63F38"/>
    <w:rsid w:val="00D678A4"/>
    <w:rsid w:val="00D70354"/>
    <w:rsid w:val="00D7163A"/>
    <w:rsid w:val="00D74BFE"/>
    <w:rsid w:val="00D757A0"/>
    <w:rsid w:val="00D76C9C"/>
    <w:rsid w:val="00D77B31"/>
    <w:rsid w:val="00D80E12"/>
    <w:rsid w:val="00D83AEA"/>
    <w:rsid w:val="00D83D27"/>
    <w:rsid w:val="00D86D19"/>
    <w:rsid w:val="00D873C7"/>
    <w:rsid w:val="00D87633"/>
    <w:rsid w:val="00D90345"/>
    <w:rsid w:val="00D9097C"/>
    <w:rsid w:val="00D91BC9"/>
    <w:rsid w:val="00D94539"/>
    <w:rsid w:val="00D949B9"/>
    <w:rsid w:val="00D9726F"/>
    <w:rsid w:val="00DA0340"/>
    <w:rsid w:val="00DA0591"/>
    <w:rsid w:val="00DA30E5"/>
    <w:rsid w:val="00DA4E96"/>
    <w:rsid w:val="00DA553F"/>
    <w:rsid w:val="00DA5D18"/>
    <w:rsid w:val="00DA5F45"/>
    <w:rsid w:val="00DA6452"/>
    <w:rsid w:val="00DB13CA"/>
    <w:rsid w:val="00DB2386"/>
    <w:rsid w:val="00DB31BF"/>
    <w:rsid w:val="00DB7B12"/>
    <w:rsid w:val="00DC0636"/>
    <w:rsid w:val="00DC147A"/>
    <w:rsid w:val="00DC1550"/>
    <w:rsid w:val="00DC2D9E"/>
    <w:rsid w:val="00DC6145"/>
    <w:rsid w:val="00DC7BE1"/>
    <w:rsid w:val="00DD3C20"/>
    <w:rsid w:val="00DD3D4D"/>
    <w:rsid w:val="00DD45AF"/>
    <w:rsid w:val="00DD5587"/>
    <w:rsid w:val="00DE2CAA"/>
    <w:rsid w:val="00DE3C46"/>
    <w:rsid w:val="00DE3EA2"/>
    <w:rsid w:val="00DE49F2"/>
    <w:rsid w:val="00DE613D"/>
    <w:rsid w:val="00DE6DAC"/>
    <w:rsid w:val="00DE6E1C"/>
    <w:rsid w:val="00DE7EE6"/>
    <w:rsid w:val="00DF07E9"/>
    <w:rsid w:val="00DF15E6"/>
    <w:rsid w:val="00DF25DE"/>
    <w:rsid w:val="00DF3125"/>
    <w:rsid w:val="00DF642F"/>
    <w:rsid w:val="00DF7836"/>
    <w:rsid w:val="00E00036"/>
    <w:rsid w:val="00E0089F"/>
    <w:rsid w:val="00E04DC9"/>
    <w:rsid w:val="00E05350"/>
    <w:rsid w:val="00E10E0E"/>
    <w:rsid w:val="00E11258"/>
    <w:rsid w:val="00E1256E"/>
    <w:rsid w:val="00E1317D"/>
    <w:rsid w:val="00E14607"/>
    <w:rsid w:val="00E147E8"/>
    <w:rsid w:val="00E15054"/>
    <w:rsid w:val="00E158E9"/>
    <w:rsid w:val="00E16DCA"/>
    <w:rsid w:val="00E1768A"/>
    <w:rsid w:val="00E22A71"/>
    <w:rsid w:val="00E23DA0"/>
    <w:rsid w:val="00E30CAC"/>
    <w:rsid w:val="00E313FB"/>
    <w:rsid w:val="00E32AE3"/>
    <w:rsid w:val="00E33E34"/>
    <w:rsid w:val="00E345A4"/>
    <w:rsid w:val="00E37CCE"/>
    <w:rsid w:val="00E41A42"/>
    <w:rsid w:val="00E43CC8"/>
    <w:rsid w:val="00E445E2"/>
    <w:rsid w:val="00E4474F"/>
    <w:rsid w:val="00E4543F"/>
    <w:rsid w:val="00E457E3"/>
    <w:rsid w:val="00E45E9D"/>
    <w:rsid w:val="00E50977"/>
    <w:rsid w:val="00E50982"/>
    <w:rsid w:val="00E52938"/>
    <w:rsid w:val="00E53F51"/>
    <w:rsid w:val="00E56A2F"/>
    <w:rsid w:val="00E578B3"/>
    <w:rsid w:val="00E57F80"/>
    <w:rsid w:val="00E607D5"/>
    <w:rsid w:val="00E630B1"/>
    <w:rsid w:val="00E63838"/>
    <w:rsid w:val="00E6420E"/>
    <w:rsid w:val="00E66A23"/>
    <w:rsid w:val="00E702E5"/>
    <w:rsid w:val="00E7147C"/>
    <w:rsid w:val="00E716E2"/>
    <w:rsid w:val="00E71A78"/>
    <w:rsid w:val="00E71B7A"/>
    <w:rsid w:val="00E72E07"/>
    <w:rsid w:val="00E75A17"/>
    <w:rsid w:val="00E773E2"/>
    <w:rsid w:val="00E77E6B"/>
    <w:rsid w:val="00E83207"/>
    <w:rsid w:val="00E8343F"/>
    <w:rsid w:val="00E9074B"/>
    <w:rsid w:val="00E9160F"/>
    <w:rsid w:val="00E92CD6"/>
    <w:rsid w:val="00E93A98"/>
    <w:rsid w:val="00E97A08"/>
    <w:rsid w:val="00EA2577"/>
    <w:rsid w:val="00EA2675"/>
    <w:rsid w:val="00EA28E1"/>
    <w:rsid w:val="00EA3C5F"/>
    <w:rsid w:val="00EA440E"/>
    <w:rsid w:val="00EA4B4A"/>
    <w:rsid w:val="00EA5758"/>
    <w:rsid w:val="00EB1222"/>
    <w:rsid w:val="00EB1774"/>
    <w:rsid w:val="00EB1EC4"/>
    <w:rsid w:val="00EB5043"/>
    <w:rsid w:val="00EB5CEF"/>
    <w:rsid w:val="00EB6045"/>
    <w:rsid w:val="00EB60B3"/>
    <w:rsid w:val="00EB6116"/>
    <w:rsid w:val="00EB6200"/>
    <w:rsid w:val="00EB6E60"/>
    <w:rsid w:val="00EC24FE"/>
    <w:rsid w:val="00EC26D6"/>
    <w:rsid w:val="00EC5281"/>
    <w:rsid w:val="00EC533D"/>
    <w:rsid w:val="00EC6EA2"/>
    <w:rsid w:val="00EC7D8B"/>
    <w:rsid w:val="00ED0A64"/>
    <w:rsid w:val="00ED2034"/>
    <w:rsid w:val="00ED29C8"/>
    <w:rsid w:val="00ED5A7E"/>
    <w:rsid w:val="00ED714F"/>
    <w:rsid w:val="00EE1A9B"/>
    <w:rsid w:val="00EE2B2C"/>
    <w:rsid w:val="00EE4578"/>
    <w:rsid w:val="00EE5A96"/>
    <w:rsid w:val="00EE7260"/>
    <w:rsid w:val="00EE7271"/>
    <w:rsid w:val="00EF06AB"/>
    <w:rsid w:val="00EF0D15"/>
    <w:rsid w:val="00EF10DE"/>
    <w:rsid w:val="00EF2D3D"/>
    <w:rsid w:val="00EF3640"/>
    <w:rsid w:val="00EF3A89"/>
    <w:rsid w:val="00EF5D73"/>
    <w:rsid w:val="00EF6379"/>
    <w:rsid w:val="00EF7166"/>
    <w:rsid w:val="00EF731C"/>
    <w:rsid w:val="00EF7407"/>
    <w:rsid w:val="00F00519"/>
    <w:rsid w:val="00F00763"/>
    <w:rsid w:val="00F01C38"/>
    <w:rsid w:val="00F02C61"/>
    <w:rsid w:val="00F03225"/>
    <w:rsid w:val="00F052BA"/>
    <w:rsid w:val="00F116F1"/>
    <w:rsid w:val="00F11AB3"/>
    <w:rsid w:val="00F11DC7"/>
    <w:rsid w:val="00F131F2"/>
    <w:rsid w:val="00F13DA4"/>
    <w:rsid w:val="00F14CCB"/>
    <w:rsid w:val="00F17B3C"/>
    <w:rsid w:val="00F21888"/>
    <w:rsid w:val="00F2210C"/>
    <w:rsid w:val="00F22F08"/>
    <w:rsid w:val="00F23883"/>
    <w:rsid w:val="00F23AAB"/>
    <w:rsid w:val="00F241E6"/>
    <w:rsid w:val="00F24B7E"/>
    <w:rsid w:val="00F26634"/>
    <w:rsid w:val="00F266AC"/>
    <w:rsid w:val="00F26E57"/>
    <w:rsid w:val="00F31112"/>
    <w:rsid w:val="00F3313C"/>
    <w:rsid w:val="00F34BF8"/>
    <w:rsid w:val="00F34FBB"/>
    <w:rsid w:val="00F35051"/>
    <w:rsid w:val="00F350AF"/>
    <w:rsid w:val="00F358AB"/>
    <w:rsid w:val="00F37A90"/>
    <w:rsid w:val="00F4384C"/>
    <w:rsid w:val="00F44F3B"/>
    <w:rsid w:val="00F45102"/>
    <w:rsid w:val="00F45451"/>
    <w:rsid w:val="00F455AF"/>
    <w:rsid w:val="00F4777B"/>
    <w:rsid w:val="00F47879"/>
    <w:rsid w:val="00F508F8"/>
    <w:rsid w:val="00F51492"/>
    <w:rsid w:val="00F517A1"/>
    <w:rsid w:val="00F536C7"/>
    <w:rsid w:val="00F53CB1"/>
    <w:rsid w:val="00F55AD4"/>
    <w:rsid w:val="00F564F5"/>
    <w:rsid w:val="00F5750B"/>
    <w:rsid w:val="00F5780F"/>
    <w:rsid w:val="00F6159F"/>
    <w:rsid w:val="00F6199A"/>
    <w:rsid w:val="00F62B4B"/>
    <w:rsid w:val="00F632D6"/>
    <w:rsid w:val="00F634C4"/>
    <w:rsid w:val="00F63685"/>
    <w:rsid w:val="00F67E87"/>
    <w:rsid w:val="00F701EB"/>
    <w:rsid w:val="00F713BA"/>
    <w:rsid w:val="00F71EC4"/>
    <w:rsid w:val="00F77D86"/>
    <w:rsid w:val="00F8111A"/>
    <w:rsid w:val="00F8291F"/>
    <w:rsid w:val="00F83420"/>
    <w:rsid w:val="00F83787"/>
    <w:rsid w:val="00F849F8"/>
    <w:rsid w:val="00F84A03"/>
    <w:rsid w:val="00F86993"/>
    <w:rsid w:val="00F8749D"/>
    <w:rsid w:val="00F87C76"/>
    <w:rsid w:val="00F90EA5"/>
    <w:rsid w:val="00F917A1"/>
    <w:rsid w:val="00F91DEF"/>
    <w:rsid w:val="00F93583"/>
    <w:rsid w:val="00F96336"/>
    <w:rsid w:val="00F9646D"/>
    <w:rsid w:val="00F9708B"/>
    <w:rsid w:val="00F97F08"/>
    <w:rsid w:val="00FA27B1"/>
    <w:rsid w:val="00FA31FC"/>
    <w:rsid w:val="00FA466E"/>
    <w:rsid w:val="00FA46F7"/>
    <w:rsid w:val="00FA702C"/>
    <w:rsid w:val="00FA772B"/>
    <w:rsid w:val="00FA7C39"/>
    <w:rsid w:val="00FB27B5"/>
    <w:rsid w:val="00FB3E88"/>
    <w:rsid w:val="00FC0581"/>
    <w:rsid w:val="00FC230E"/>
    <w:rsid w:val="00FC5C8D"/>
    <w:rsid w:val="00FC5F3D"/>
    <w:rsid w:val="00FD1144"/>
    <w:rsid w:val="00FD32B4"/>
    <w:rsid w:val="00FD3961"/>
    <w:rsid w:val="00FD50EB"/>
    <w:rsid w:val="00FD5695"/>
    <w:rsid w:val="00FD5722"/>
    <w:rsid w:val="00FD6808"/>
    <w:rsid w:val="00FE0878"/>
    <w:rsid w:val="00FE1630"/>
    <w:rsid w:val="00FE41E4"/>
    <w:rsid w:val="00FE5364"/>
    <w:rsid w:val="00FE544F"/>
    <w:rsid w:val="00FE62C8"/>
    <w:rsid w:val="00FF05D5"/>
    <w:rsid w:val="00FF0F5E"/>
    <w:rsid w:val="00FF16E6"/>
    <w:rsid w:val="00FF20F8"/>
    <w:rsid w:val="00FF2E4F"/>
    <w:rsid w:val="00FF4B4A"/>
    <w:rsid w:val="00FF4B5E"/>
    <w:rsid w:val="00FF5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8733FE"/>
  <w15:chartTrackingRefBased/>
  <w15:docId w15:val="{8B92D58E-B81C-2849-9641-CFAB5A50D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3664"/>
    <w:rPr>
      <w:rFonts w:ascii="Arial" w:hAnsi="Arial"/>
      <w:sz w:val="22"/>
    </w:rPr>
  </w:style>
  <w:style w:type="paragraph" w:styleId="Heading1">
    <w:name w:val="heading 1"/>
    <w:basedOn w:val="Normal"/>
    <w:next w:val="Normal"/>
    <w:link w:val="Heading1Char"/>
    <w:qFormat/>
    <w:rsid w:val="00A620E2"/>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ientName">
    <w:name w:val="ClientName"/>
    <w:basedOn w:val="Normal"/>
    <w:pPr>
      <w:jc w:val="center"/>
      <w:outlineLvl w:val="0"/>
    </w:pPr>
    <w:rPr>
      <w:caps/>
      <w:u w:val="single"/>
    </w:rPr>
  </w:style>
  <w:style w:type="paragraph" w:styleId="Footer">
    <w:name w:val="footer"/>
    <w:basedOn w:val="Normal"/>
    <w:link w:val="FooterChar"/>
    <w:uiPriority w:val="99"/>
    <w:pPr>
      <w:tabs>
        <w:tab w:val="center" w:pos="4320"/>
        <w:tab w:val="right" w:pos="8640"/>
      </w:tabs>
    </w:pPr>
    <w:rPr>
      <w:rFonts w:ascii="Times New Roman" w:hAnsi="Times New Roman"/>
      <w:sz w:val="20"/>
    </w:rPr>
  </w:style>
  <w:style w:type="paragraph" w:styleId="Title">
    <w:name w:val="Title"/>
    <w:basedOn w:val="Normal"/>
    <w:qFormat/>
    <w:pPr>
      <w:jc w:val="center"/>
    </w:pPr>
    <w:rPr>
      <w:caps/>
      <w:spacing w:val="20"/>
      <w:u w:val="single"/>
    </w:rPr>
  </w:style>
  <w:style w:type="paragraph" w:customStyle="1" w:styleId="ContentsText">
    <w:name w:val="ContentsText"/>
    <w:basedOn w:val="Normal"/>
    <w:pPr>
      <w:tabs>
        <w:tab w:val="left" w:pos="288"/>
        <w:tab w:val="left" w:pos="576"/>
        <w:tab w:val="left" w:pos="864"/>
        <w:tab w:val="left" w:pos="1152"/>
        <w:tab w:val="left" w:pos="1440"/>
        <w:tab w:val="left" w:pos="1728"/>
        <w:tab w:val="left" w:pos="2016"/>
        <w:tab w:val="left" w:pos="2304"/>
      </w:tabs>
    </w:pPr>
  </w:style>
  <w:style w:type="paragraph" w:customStyle="1" w:styleId="ReportTitle">
    <w:name w:val="ReportTitle"/>
    <w:basedOn w:val="Normal"/>
    <w:pPr>
      <w:tabs>
        <w:tab w:val="left" w:pos="288"/>
        <w:tab w:val="left" w:pos="576"/>
        <w:tab w:val="left" w:pos="864"/>
        <w:tab w:val="left" w:pos="1152"/>
        <w:tab w:val="left" w:pos="1440"/>
        <w:tab w:val="left" w:pos="1728"/>
        <w:tab w:val="left" w:pos="2016"/>
        <w:tab w:val="left" w:pos="2304"/>
      </w:tabs>
      <w:spacing w:line="360" w:lineRule="exact"/>
      <w:jc w:val="center"/>
      <w:outlineLvl w:val="0"/>
    </w:pPr>
    <w:rPr>
      <w:u w:val="single"/>
    </w:rPr>
  </w:style>
  <w:style w:type="paragraph" w:customStyle="1" w:styleId="ContentsPageNum">
    <w:name w:val="ContentsPageNum"/>
    <w:basedOn w:val="Title"/>
    <w:rPr>
      <w:u w:val="none"/>
    </w:rPr>
  </w:style>
  <w:style w:type="paragraph" w:customStyle="1" w:styleId="BasicText">
    <w:name w:val="Basic Text"/>
    <w:basedOn w:val="Normal"/>
    <w:pPr>
      <w:spacing w:line="360" w:lineRule="exact"/>
      <w:ind w:firstLine="576"/>
      <w:jc w:val="both"/>
    </w:pPr>
  </w:style>
  <w:style w:type="paragraph" w:styleId="Header">
    <w:name w:val="header"/>
    <w:basedOn w:val="Normal"/>
    <w:link w:val="HeaderChar"/>
    <w:uiPriority w:val="99"/>
    <w:pPr>
      <w:tabs>
        <w:tab w:val="center" w:pos="4320"/>
        <w:tab w:val="right" w:pos="8640"/>
      </w:tabs>
    </w:pPr>
    <w:rPr>
      <w:rFonts w:ascii="Times New Roman" w:hAnsi="Times New Roman"/>
      <w:sz w:val="20"/>
    </w:rPr>
  </w:style>
  <w:style w:type="paragraph" w:customStyle="1" w:styleId="DollarRight">
    <w:name w:val="DollarRight"/>
    <w:basedOn w:val="Normal"/>
    <w:pPr>
      <w:jc w:val="right"/>
    </w:pPr>
  </w:style>
  <w:style w:type="paragraph" w:customStyle="1" w:styleId="Opine1">
    <w:name w:val="Opine1"/>
    <w:next w:val="Opine2"/>
    <w:autoRedefine/>
    <w:pPr>
      <w:spacing w:line="360" w:lineRule="exact"/>
      <w:outlineLvl w:val="0"/>
    </w:pPr>
    <w:rPr>
      <w:rFonts w:ascii="Gill Sans MT" w:hAnsi="Gill Sans MT"/>
      <w:sz w:val="36"/>
    </w:rPr>
  </w:style>
  <w:style w:type="paragraph" w:customStyle="1" w:styleId="Opine2">
    <w:name w:val="Opine2"/>
    <w:next w:val="Opine3"/>
    <w:autoRedefine/>
    <w:pPr>
      <w:pBdr>
        <w:bottom w:val="single" w:sz="4" w:space="1" w:color="auto"/>
      </w:pBdr>
      <w:spacing w:line="220" w:lineRule="exact"/>
    </w:pPr>
    <w:rPr>
      <w:rFonts w:ascii="Gill Sans MT" w:hAnsi="Gill Sans MT"/>
    </w:rPr>
  </w:style>
  <w:style w:type="paragraph" w:customStyle="1" w:styleId="Opine3">
    <w:name w:val="Opine3"/>
    <w:autoRedefine/>
    <w:pPr>
      <w:tabs>
        <w:tab w:val="left" w:pos="540"/>
        <w:tab w:val="left" w:pos="720"/>
        <w:tab w:val="left" w:pos="900"/>
      </w:tabs>
      <w:spacing w:line="220" w:lineRule="exact"/>
      <w:ind w:right="-29"/>
      <w:jc w:val="right"/>
    </w:pPr>
    <w:rPr>
      <w:rFonts w:ascii="Gill Sans MT" w:hAnsi="Gill Sans MT"/>
    </w:rPr>
  </w:style>
  <w:style w:type="paragraph" w:customStyle="1" w:styleId="StdAddress">
    <w:name w:val="StdAddress"/>
    <w:basedOn w:val="Normal"/>
    <w:pPr>
      <w:tabs>
        <w:tab w:val="left" w:pos="288"/>
        <w:tab w:val="left" w:pos="576"/>
        <w:tab w:val="left" w:pos="864"/>
        <w:tab w:val="left" w:pos="1152"/>
        <w:tab w:val="left" w:pos="1440"/>
        <w:tab w:val="left" w:pos="1728"/>
        <w:tab w:val="left" w:pos="2016"/>
        <w:tab w:val="left" w:pos="2304"/>
      </w:tabs>
    </w:pPr>
    <w:rPr>
      <w:caps/>
    </w:rPr>
  </w:style>
  <w:style w:type="paragraph" w:customStyle="1" w:styleId="SectionTitle">
    <w:name w:val="SectionTitle"/>
    <w:basedOn w:val="Normal"/>
    <w:pPr>
      <w:jc w:val="center"/>
    </w:pPr>
    <w:rPr>
      <w:caps/>
      <w:u w:val="single"/>
    </w:rPr>
  </w:style>
  <w:style w:type="paragraph" w:customStyle="1" w:styleId="SectionDate">
    <w:name w:val="SectionDate"/>
    <w:basedOn w:val="Normal"/>
    <w:pPr>
      <w:jc w:val="center"/>
    </w:pPr>
    <w:rPr>
      <w:u w:val="single"/>
    </w:rPr>
  </w:style>
  <w:style w:type="paragraph" w:customStyle="1" w:styleId="TableText">
    <w:name w:val="TableText"/>
    <w:basedOn w:val="BaseText"/>
    <w:pPr>
      <w:tabs>
        <w:tab w:val="left" w:pos="288"/>
        <w:tab w:val="left" w:pos="576"/>
        <w:tab w:val="left" w:pos="864"/>
        <w:tab w:val="left" w:pos="1152"/>
        <w:tab w:val="left" w:pos="1440"/>
        <w:tab w:val="left" w:pos="1728"/>
        <w:tab w:val="left" w:pos="2016"/>
        <w:tab w:val="left" w:pos="2304"/>
      </w:tabs>
    </w:pPr>
  </w:style>
  <w:style w:type="paragraph" w:customStyle="1" w:styleId="BaseText">
    <w:name w:val="BaseText"/>
    <w:basedOn w:val="Normal"/>
  </w:style>
  <w:style w:type="paragraph" w:customStyle="1" w:styleId="TableHeader">
    <w:name w:val="TableHeader"/>
    <w:basedOn w:val="BaseText"/>
    <w:pPr>
      <w:jc w:val="center"/>
    </w:pPr>
  </w:style>
  <w:style w:type="paragraph" w:customStyle="1" w:styleId="TableSubheader">
    <w:name w:val="TableSubheader"/>
    <w:basedOn w:val="BaseText"/>
    <w:pPr>
      <w:jc w:val="center"/>
    </w:pPr>
  </w:style>
  <w:style w:type="paragraph" w:customStyle="1" w:styleId="TableSpacer">
    <w:name w:val="TableSpacer"/>
    <w:basedOn w:val="BaseText"/>
    <w:pPr>
      <w:spacing w:line="280" w:lineRule="exact"/>
    </w:pPr>
  </w:style>
  <w:style w:type="paragraph" w:customStyle="1" w:styleId="TableDollarSpacer">
    <w:name w:val="TableDollarSpacer"/>
    <w:basedOn w:val="BaseText"/>
    <w:pPr>
      <w:jc w:val="center"/>
    </w:pPr>
  </w:style>
  <w:style w:type="paragraph" w:customStyle="1" w:styleId="TableDollar">
    <w:name w:val="TableDollar"/>
    <w:basedOn w:val="BaseText"/>
    <w:pPr>
      <w:tabs>
        <w:tab w:val="decimal" w:pos="1235"/>
      </w:tabs>
    </w:pPr>
  </w:style>
  <w:style w:type="paragraph" w:customStyle="1" w:styleId="FinancialText">
    <w:name w:val="FinancialText"/>
    <w:basedOn w:val="TableText"/>
    <w:pPr>
      <w:tabs>
        <w:tab w:val="clear" w:pos="288"/>
        <w:tab w:val="clear" w:pos="576"/>
        <w:tab w:val="clear" w:pos="864"/>
        <w:tab w:val="clear" w:pos="1152"/>
        <w:tab w:val="clear" w:pos="1440"/>
        <w:tab w:val="clear" w:pos="1728"/>
        <w:tab w:val="clear" w:pos="2016"/>
        <w:tab w:val="clear" w:pos="2304"/>
      </w:tabs>
      <w:spacing w:line="260" w:lineRule="exact"/>
      <w:ind w:left="720" w:hanging="720"/>
    </w:p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paragraph" w:customStyle="1" w:styleId="SmallTableDollarSpacer">
    <w:name w:val="SmallTableDollarSpacer"/>
    <w:basedOn w:val="TableDollarSpacer"/>
    <w:rPr>
      <w:noProof/>
    </w:rPr>
  </w:style>
  <w:style w:type="paragraph" w:styleId="BodyTextIndent2">
    <w:name w:val="Body Text Indent 2"/>
    <w:basedOn w:val="Normal"/>
    <w:pPr>
      <w:spacing w:line="260" w:lineRule="exact"/>
      <w:ind w:left="720"/>
      <w:jc w:val="both"/>
    </w:pPr>
  </w:style>
  <w:style w:type="paragraph" w:styleId="BodyText">
    <w:name w:val="Body Text"/>
    <w:basedOn w:val="Normal"/>
    <w:pPr>
      <w:spacing w:after="120"/>
    </w:pPr>
  </w:style>
  <w:style w:type="paragraph" w:customStyle="1" w:styleId="XSmallTableText">
    <w:name w:val="XSmallTableText"/>
    <w:basedOn w:val="TableText"/>
    <w:rPr>
      <w:sz w:val="12"/>
    </w:rPr>
  </w:style>
  <w:style w:type="paragraph" w:customStyle="1" w:styleId="XSmallDollarSpacer">
    <w:name w:val="XSmallDollarSpacer"/>
    <w:basedOn w:val="Normal"/>
    <w:pPr>
      <w:spacing w:line="200" w:lineRule="exact"/>
      <w:jc w:val="right"/>
    </w:pPr>
    <w:rPr>
      <w:b/>
      <w:sz w:val="12"/>
    </w:rPr>
  </w:style>
  <w:style w:type="paragraph" w:customStyle="1" w:styleId="XSmallDollarCol">
    <w:name w:val="XSmallDollarCol"/>
    <w:basedOn w:val="Normal"/>
    <w:pPr>
      <w:spacing w:line="200" w:lineRule="exact"/>
      <w:jc w:val="right"/>
    </w:pPr>
    <w:rPr>
      <w:b/>
      <w:sz w:val="12"/>
    </w:rPr>
  </w:style>
  <w:style w:type="paragraph" w:customStyle="1" w:styleId="XSmallPercentCol">
    <w:name w:val="XSmallPercentCol"/>
    <w:basedOn w:val="Normal"/>
    <w:pPr>
      <w:spacing w:line="200" w:lineRule="exact"/>
      <w:jc w:val="right"/>
    </w:pPr>
    <w:rPr>
      <w:b/>
      <w:sz w:val="12"/>
    </w:rPr>
  </w:style>
  <w:style w:type="paragraph" w:customStyle="1" w:styleId="PercentRight">
    <w:name w:val="PercentRight"/>
    <w:basedOn w:val="TablePercent"/>
  </w:style>
  <w:style w:type="paragraph" w:customStyle="1" w:styleId="TablePercent">
    <w:name w:val="TablePercent"/>
    <w:basedOn w:val="BaseText"/>
    <w:pPr>
      <w:jc w:val="right"/>
    </w:pPr>
  </w:style>
  <w:style w:type="paragraph" w:customStyle="1" w:styleId="TablePercentSpacer">
    <w:name w:val="TablePercentSpacer"/>
    <w:basedOn w:val="BaseText"/>
    <w:pPr>
      <w:jc w:val="center"/>
    </w:pPr>
  </w:style>
  <w:style w:type="paragraph" w:customStyle="1" w:styleId="SubClientName">
    <w:name w:val="SubClientName"/>
    <w:basedOn w:val="Normal"/>
    <w:pPr>
      <w:jc w:val="center"/>
    </w:pPr>
    <w:rPr>
      <w:u w:val="single"/>
    </w:rPr>
  </w:style>
  <w:style w:type="paragraph" w:customStyle="1" w:styleId="SmallTableText">
    <w:name w:val="SmallTableText"/>
    <w:basedOn w:val="Footer"/>
    <w:pPr>
      <w:tabs>
        <w:tab w:val="clear" w:pos="4320"/>
        <w:tab w:val="clear" w:pos="8640"/>
        <w:tab w:val="left" w:pos="288"/>
        <w:tab w:val="left" w:pos="576"/>
        <w:tab w:val="left" w:pos="864"/>
        <w:tab w:val="left" w:pos="1152"/>
        <w:tab w:val="left" w:pos="1440"/>
        <w:tab w:val="left" w:pos="1728"/>
      </w:tabs>
    </w:pPr>
    <w:rPr>
      <w:rFonts w:ascii="Arial" w:hAnsi="Arial"/>
      <w:sz w:val="18"/>
    </w:rPr>
  </w:style>
  <w:style w:type="paragraph" w:customStyle="1" w:styleId="SmallTableHeader">
    <w:name w:val="SmallTableHeader"/>
    <w:basedOn w:val="TableHeader"/>
  </w:style>
  <w:style w:type="paragraph" w:customStyle="1" w:styleId="SmallTableSubheader">
    <w:name w:val="SmallTableSubheader"/>
    <w:basedOn w:val="SmallReportSubtitle"/>
    <w:pPr>
      <w:tabs>
        <w:tab w:val="clear" w:pos="1235"/>
      </w:tabs>
    </w:pPr>
    <w:rPr>
      <w:sz w:val="22"/>
      <w:u w:val="none"/>
    </w:rPr>
  </w:style>
  <w:style w:type="paragraph" w:customStyle="1" w:styleId="SmallReportSubtitle">
    <w:name w:val="SmallReportSubtitle"/>
    <w:basedOn w:val="TableDollar"/>
    <w:pPr>
      <w:jc w:val="center"/>
    </w:pPr>
    <w:rPr>
      <w:sz w:val="18"/>
      <w:u w:val="single"/>
    </w:rPr>
  </w:style>
  <w:style w:type="paragraph" w:customStyle="1" w:styleId="SmallPercentRight">
    <w:name w:val="SmallPercentRight"/>
    <w:basedOn w:val="SmallTablePercent"/>
    <w:rPr>
      <w:sz w:val="22"/>
    </w:rPr>
  </w:style>
  <w:style w:type="paragraph" w:customStyle="1" w:styleId="SmallTablePercent">
    <w:name w:val="SmallTablePercent"/>
    <w:basedOn w:val="TablePercent"/>
    <w:rPr>
      <w:sz w:val="18"/>
    </w:rPr>
  </w:style>
  <w:style w:type="paragraph" w:customStyle="1" w:styleId="SmallTablePercentSpacer">
    <w:name w:val="SmallTablePercentSpacer"/>
    <w:basedOn w:val="TablePercentSpacer"/>
  </w:style>
  <w:style w:type="paragraph" w:customStyle="1" w:styleId="SmallDollarRight">
    <w:name w:val="SmallDollarRight"/>
    <w:basedOn w:val="SmallTableDollar"/>
    <w:pPr>
      <w:tabs>
        <w:tab w:val="clear" w:pos="930"/>
      </w:tabs>
      <w:jc w:val="right"/>
    </w:pPr>
  </w:style>
  <w:style w:type="paragraph" w:customStyle="1" w:styleId="SmallTableDollar">
    <w:name w:val="SmallTableDollar"/>
    <w:basedOn w:val="TableDollar"/>
    <w:pPr>
      <w:tabs>
        <w:tab w:val="clear" w:pos="1235"/>
        <w:tab w:val="decimal" w:pos="930"/>
      </w:tabs>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basedOn w:val="DefaultParagraphFont"/>
    <w:link w:val="Footer"/>
    <w:uiPriority w:val="99"/>
    <w:rsid w:val="00BB1E70"/>
  </w:style>
  <w:style w:type="paragraph" w:styleId="BodyTextIndent">
    <w:name w:val="Body Text Indent"/>
    <w:basedOn w:val="Normal"/>
    <w:link w:val="BodyTextIndentChar1"/>
    <w:rsid w:val="00681918"/>
    <w:pPr>
      <w:spacing w:line="244" w:lineRule="exact"/>
      <w:ind w:left="1800" w:hanging="360"/>
      <w:jc w:val="both"/>
    </w:pPr>
    <w:rPr>
      <w:rFonts w:ascii="Times New Roman" w:hAnsi="Times New Roman"/>
      <w:sz w:val="24"/>
    </w:rPr>
  </w:style>
  <w:style w:type="character" w:customStyle="1" w:styleId="BodyTextIndentChar">
    <w:name w:val="Body Text Indent Char"/>
    <w:rsid w:val="00681918"/>
    <w:rPr>
      <w:rFonts w:ascii="Arial" w:hAnsi="Arial"/>
      <w:sz w:val="22"/>
    </w:rPr>
  </w:style>
  <w:style w:type="character" w:customStyle="1" w:styleId="BodyTextIndentChar1">
    <w:name w:val="Body Text Indent Char1"/>
    <w:link w:val="BodyTextIndent"/>
    <w:locked/>
    <w:rsid w:val="00681918"/>
    <w:rPr>
      <w:sz w:val="24"/>
    </w:rPr>
  </w:style>
  <w:style w:type="paragraph" w:customStyle="1" w:styleId="PAParaText">
    <w:name w:val="PA_ParaText"/>
    <w:basedOn w:val="Normal"/>
    <w:rsid w:val="002E5CF2"/>
    <w:pPr>
      <w:spacing w:after="120"/>
      <w:jc w:val="both"/>
    </w:pPr>
    <w:rPr>
      <w:rFonts w:eastAsia="SimSun"/>
      <w:sz w:val="20"/>
      <w:lang w:eastAsia="zh-CN"/>
    </w:rPr>
  </w:style>
  <w:style w:type="character" w:customStyle="1" w:styleId="HeaderChar">
    <w:name w:val="Header Char"/>
    <w:basedOn w:val="DefaultParagraphFont"/>
    <w:link w:val="Header"/>
    <w:uiPriority w:val="99"/>
    <w:rsid w:val="00CC51F3"/>
  </w:style>
  <w:style w:type="character" w:customStyle="1" w:styleId="Heading1Char">
    <w:name w:val="Heading 1 Char"/>
    <w:link w:val="Heading1"/>
    <w:rsid w:val="00A620E2"/>
    <w:rPr>
      <w:rFonts w:ascii="Cambria" w:eastAsia="Times New Roman" w:hAnsi="Cambria" w:cs="Times New Roman"/>
      <w:b/>
      <w:bCs/>
      <w:kern w:val="32"/>
      <w:sz w:val="32"/>
      <w:szCs w:val="32"/>
    </w:rPr>
  </w:style>
  <w:style w:type="character" w:styleId="Emphasis">
    <w:name w:val="Emphasis"/>
    <w:qFormat/>
    <w:rsid w:val="00A620E2"/>
    <w:rPr>
      <w:i/>
      <w:iCs/>
    </w:rPr>
  </w:style>
  <w:style w:type="paragraph" w:styleId="NormalWeb">
    <w:name w:val="Normal (Web)"/>
    <w:basedOn w:val="Normal"/>
    <w:unhideWhenUsed/>
    <w:rsid w:val="00357A25"/>
    <w:pPr>
      <w:spacing w:before="100" w:beforeAutospacing="1" w:after="100" w:afterAutospacing="1"/>
    </w:pPr>
    <w:rPr>
      <w:rFonts w:ascii="Times New Roman" w:eastAsia="Calibri" w:hAnsi="Times New Roman"/>
      <w:sz w:val="24"/>
      <w:szCs w:val="24"/>
    </w:rPr>
  </w:style>
  <w:style w:type="table" w:styleId="TableGrid">
    <w:name w:val="Table Grid"/>
    <w:basedOn w:val="TableNormal"/>
    <w:uiPriority w:val="39"/>
    <w:rsid w:val="00A8524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42B56"/>
    <w:rPr>
      <w:rFonts w:ascii="Arial" w:hAnsi="Arial"/>
      <w:sz w:val="22"/>
    </w:rPr>
  </w:style>
  <w:style w:type="character" w:styleId="CommentReference">
    <w:name w:val="annotation reference"/>
    <w:uiPriority w:val="99"/>
    <w:unhideWhenUsed/>
    <w:rsid w:val="00253664"/>
    <w:rPr>
      <w:sz w:val="16"/>
      <w:szCs w:val="16"/>
    </w:rPr>
  </w:style>
  <w:style w:type="paragraph" w:styleId="CommentText">
    <w:name w:val="annotation text"/>
    <w:basedOn w:val="Normal"/>
    <w:link w:val="CommentTextChar"/>
    <w:uiPriority w:val="99"/>
    <w:unhideWhenUsed/>
    <w:rsid w:val="00253664"/>
    <w:pPr>
      <w:spacing w:after="160"/>
    </w:pPr>
    <w:rPr>
      <w:rFonts w:ascii="Calibri" w:eastAsia="Calibri" w:hAnsi="Calibri"/>
      <w:sz w:val="20"/>
    </w:rPr>
  </w:style>
  <w:style w:type="character" w:customStyle="1" w:styleId="CommentTextChar">
    <w:name w:val="Comment Text Char"/>
    <w:link w:val="CommentText"/>
    <w:uiPriority w:val="99"/>
    <w:rsid w:val="00253664"/>
    <w:rPr>
      <w:rFonts w:ascii="Calibri" w:eastAsia="Calibri" w:hAnsi="Calibri"/>
    </w:rPr>
  </w:style>
  <w:style w:type="paragraph" w:styleId="CommentSubject">
    <w:name w:val="annotation subject"/>
    <w:basedOn w:val="CommentText"/>
    <w:next w:val="CommentText"/>
    <w:link w:val="CommentSubjectChar"/>
    <w:rsid w:val="00677F99"/>
    <w:pPr>
      <w:spacing w:after="0"/>
    </w:pPr>
    <w:rPr>
      <w:rFonts w:ascii="Arial" w:eastAsia="Times New Roman" w:hAnsi="Arial"/>
      <w:b/>
      <w:bCs/>
    </w:rPr>
  </w:style>
  <w:style w:type="character" w:customStyle="1" w:styleId="CommentSubjectChar">
    <w:name w:val="Comment Subject Char"/>
    <w:link w:val="CommentSubject"/>
    <w:rsid w:val="00677F99"/>
    <w:rPr>
      <w:rFonts w:ascii="Arial" w:eastAsia="Calibri" w:hAnsi="Arial"/>
      <w:b/>
      <w:bCs/>
    </w:rPr>
  </w:style>
  <w:style w:type="paragraph" w:customStyle="1" w:styleId="pf0">
    <w:name w:val="pf0"/>
    <w:basedOn w:val="Normal"/>
    <w:rsid w:val="00A455F0"/>
    <w:pPr>
      <w:spacing w:before="100" w:beforeAutospacing="1" w:after="100" w:afterAutospacing="1"/>
    </w:pPr>
    <w:rPr>
      <w:rFonts w:ascii="Times New Roman" w:hAnsi="Times New Roman"/>
      <w:sz w:val="24"/>
      <w:szCs w:val="24"/>
    </w:rPr>
  </w:style>
  <w:style w:type="character" w:customStyle="1" w:styleId="cf01">
    <w:name w:val="cf01"/>
    <w:rsid w:val="00A455F0"/>
    <w:rPr>
      <w:rFonts w:ascii="Segoe UI" w:hAnsi="Segoe UI" w:cs="Segoe UI" w:hint="default"/>
      <w:sz w:val="18"/>
      <w:szCs w:val="18"/>
    </w:rPr>
  </w:style>
  <w:style w:type="character" w:styleId="Hyperlink">
    <w:name w:val="Hyperlink"/>
    <w:rsid w:val="00933ED2"/>
    <w:rPr>
      <w:color w:val="0563C1"/>
      <w:u w:val="single"/>
    </w:rPr>
  </w:style>
  <w:style w:type="character" w:styleId="UnresolvedMention">
    <w:name w:val="Unresolved Mention"/>
    <w:uiPriority w:val="99"/>
    <w:semiHidden/>
    <w:unhideWhenUsed/>
    <w:rsid w:val="00933ED2"/>
    <w:rPr>
      <w:color w:val="605E5C"/>
      <w:shd w:val="clear" w:color="auto" w:fill="E1DFDD"/>
    </w:rPr>
  </w:style>
  <w:style w:type="paragraph" w:customStyle="1" w:styleId="Default">
    <w:name w:val="Default"/>
    <w:rsid w:val="0029003E"/>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175973">
      <w:bodyDiv w:val="1"/>
      <w:marLeft w:val="0"/>
      <w:marRight w:val="0"/>
      <w:marTop w:val="0"/>
      <w:marBottom w:val="0"/>
      <w:divBdr>
        <w:top w:val="none" w:sz="0" w:space="0" w:color="auto"/>
        <w:left w:val="none" w:sz="0" w:space="0" w:color="auto"/>
        <w:bottom w:val="none" w:sz="0" w:space="0" w:color="auto"/>
        <w:right w:val="none" w:sz="0" w:space="0" w:color="auto"/>
      </w:divBdr>
    </w:div>
    <w:div w:id="468476639">
      <w:bodyDiv w:val="1"/>
      <w:marLeft w:val="0"/>
      <w:marRight w:val="0"/>
      <w:marTop w:val="0"/>
      <w:marBottom w:val="0"/>
      <w:divBdr>
        <w:top w:val="none" w:sz="0" w:space="0" w:color="auto"/>
        <w:left w:val="none" w:sz="0" w:space="0" w:color="auto"/>
        <w:bottom w:val="none" w:sz="0" w:space="0" w:color="auto"/>
        <w:right w:val="none" w:sz="0" w:space="0" w:color="auto"/>
      </w:divBdr>
    </w:div>
    <w:div w:id="471138757">
      <w:bodyDiv w:val="1"/>
      <w:marLeft w:val="0"/>
      <w:marRight w:val="0"/>
      <w:marTop w:val="0"/>
      <w:marBottom w:val="0"/>
      <w:divBdr>
        <w:top w:val="none" w:sz="0" w:space="0" w:color="auto"/>
        <w:left w:val="none" w:sz="0" w:space="0" w:color="auto"/>
        <w:bottom w:val="none" w:sz="0" w:space="0" w:color="auto"/>
        <w:right w:val="none" w:sz="0" w:space="0" w:color="auto"/>
      </w:divBdr>
    </w:div>
    <w:div w:id="644972197">
      <w:bodyDiv w:val="1"/>
      <w:marLeft w:val="0"/>
      <w:marRight w:val="0"/>
      <w:marTop w:val="0"/>
      <w:marBottom w:val="0"/>
      <w:divBdr>
        <w:top w:val="none" w:sz="0" w:space="0" w:color="auto"/>
        <w:left w:val="none" w:sz="0" w:space="0" w:color="auto"/>
        <w:bottom w:val="none" w:sz="0" w:space="0" w:color="auto"/>
        <w:right w:val="none" w:sz="0" w:space="0" w:color="auto"/>
      </w:divBdr>
    </w:div>
    <w:div w:id="661471398">
      <w:bodyDiv w:val="1"/>
      <w:marLeft w:val="0"/>
      <w:marRight w:val="0"/>
      <w:marTop w:val="0"/>
      <w:marBottom w:val="0"/>
      <w:divBdr>
        <w:top w:val="none" w:sz="0" w:space="0" w:color="auto"/>
        <w:left w:val="none" w:sz="0" w:space="0" w:color="auto"/>
        <w:bottom w:val="none" w:sz="0" w:space="0" w:color="auto"/>
        <w:right w:val="none" w:sz="0" w:space="0" w:color="auto"/>
      </w:divBdr>
    </w:div>
    <w:div w:id="697004997">
      <w:bodyDiv w:val="1"/>
      <w:marLeft w:val="0"/>
      <w:marRight w:val="0"/>
      <w:marTop w:val="0"/>
      <w:marBottom w:val="0"/>
      <w:divBdr>
        <w:top w:val="none" w:sz="0" w:space="0" w:color="auto"/>
        <w:left w:val="none" w:sz="0" w:space="0" w:color="auto"/>
        <w:bottom w:val="none" w:sz="0" w:space="0" w:color="auto"/>
        <w:right w:val="none" w:sz="0" w:space="0" w:color="auto"/>
      </w:divBdr>
    </w:div>
    <w:div w:id="1165559047">
      <w:bodyDiv w:val="1"/>
      <w:marLeft w:val="0"/>
      <w:marRight w:val="0"/>
      <w:marTop w:val="0"/>
      <w:marBottom w:val="0"/>
      <w:divBdr>
        <w:top w:val="none" w:sz="0" w:space="0" w:color="auto"/>
        <w:left w:val="none" w:sz="0" w:space="0" w:color="auto"/>
        <w:bottom w:val="none" w:sz="0" w:space="0" w:color="auto"/>
        <w:right w:val="none" w:sz="0" w:space="0" w:color="auto"/>
      </w:divBdr>
    </w:div>
    <w:div w:id="1230921921">
      <w:bodyDiv w:val="1"/>
      <w:marLeft w:val="0"/>
      <w:marRight w:val="0"/>
      <w:marTop w:val="0"/>
      <w:marBottom w:val="0"/>
      <w:divBdr>
        <w:top w:val="none" w:sz="0" w:space="0" w:color="auto"/>
        <w:left w:val="none" w:sz="0" w:space="0" w:color="auto"/>
        <w:bottom w:val="none" w:sz="0" w:space="0" w:color="auto"/>
        <w:right w:val="none" w:sz="0" w:space="0" w:color="auto"/>
      </w:divBdr>
    </w:div>
    <w:div w:id="1370570152">
      <w:bodyDiv w:val="1"/>
      <w:marLeft w:val="0"/>
      <w:marRight w:val="0"/>
      <w:marTop w:val="0"/>
      <w:marBottom w:val="0"/>
      <w:divBdr>
        <w:top w:val="none" w:sz="0" w:space="0" w:color="auto"/>
        <w:left w:val="none" w:sz="0" w:space="0" w:color="auto"/>
        <w:bottom w:val="none" w:sz="0" w:space="0" w:color="auto"/>
        <w:right w:val="none" w:sz="0" w:space="0" w:color="auto"/>
      </w:divBdr>
    </w:div>
    <w:div w:id="1386686471">
      <w:bodyDiv w:val="1"/>
      <w:marLeft w:val="0"/>
      <w:marRight w:val="0"/>
      <w:marTop w:val="0"/>
      <w:marBottom w:val="0"/>
      <w:divBdr>
        <w:top w:val="none" w:sz="0" w:space="0" w:color="auto"/>
        <w:left w:val="none" w:sz="0" w:space="0" w:color="auto"/>
        <w:bottom w:val="none" w:sz="0" w:space="0" w:color="auto"/>
        <w:right w:val="none" w:sz="0" w:space="0" w:color="auto"/>
      </w:divBdr>
    </w:div>
    <w:div w:id="1568223950">
      <w:bodyDiv w:val="1"/>
      <w:marLeft w:val="0"/>
      <w:marRight w:val="0"/>
      <w:marTop w:val="0"/>
      <w:marBottom w:val="0"/>
      <w:divBdr>
        <w:top w:val="none" w:sz="0" w:space="0" w:color="auto"/>
        <w:left w:val="none" w:sz="0" w:space="0" w:color="auto"/>
        <w:bottom w:val="none" w:sz="0" w:space="0" w:color="auto"/>
        <w:right w:val="none" w:sz="0" w:space="0" w:color="auto"/>
      </w:divBdr>
    </w:div>
    <w:div w:id="1607956921">
      <w:bodyDiv w:val="1"/>
      <w:marLeft w:val="0"/>
      <w:marRight w:val="0"/>
      <w:marTop w:val="0"/>
      <w:marBottom w:val="0"/>
      <w:divBdr>
        <w:top w:val="none" w:sz="0" w:space="0" w:color="auto"/>
        <w:left w:val="none" w:sz="0" w:space="0" w:color="auto"/>
        <w:bottom w:val="none" w:sz="0" w:space="0" w:color="auto"/>
        <w:right w:val="none" w:sz="0" w:space="0" w:color="auto"/>
      </w:divBdr>
    </w:div>
    <w:div w:id="1691375856">
      <w:bodyDiv w:val="1"/>
      <w:marLeft w:val="0"/>
      <w:marRight w:val="0"/>
      <w:marTop w:val="0"/>
      <w:marBottom w:val="0"/>
      <w:divBdr>
        <w:top w:val="none" w:sz="0" w:space="0" w:color="auto"/>
        <w:left w:val="none" w:sz="0" w:space="0" w:color="auto"/>
        <w:bottom w:val="none" w:sz="0" w:space="0" w:color="auto"/>
        <w:right w:val="none" w:sz="0" w:space="0" w:color="auto"/>
      </w:divBdr>
    </w:div>
    <w:div w:id="1820338928">
      <w:bodyDiv w:val="1"/>
      <w:marLeft w:val="0"/>
      <w:marRight w:val="0"/>
      <w:marTop w:val="0"/>
      <w:marBottom w:val="0"/>
      <w:divBdr>
        <w:top w:val="none" w:sz="0" w:space="0" w:color="auto"/>
        <w:left w:val="none" w:sz="0" w:space="0" w:color="auto"/>
        <w:bottom w:val="none" w:sz="0" w:space="0" w:color="auto"/>
        <w:right w:val="none" w:sz="0" w:space="0" w:color="auto"/>
      </w:divBdr>
    </w:div>
    <w:div w:id="205044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cms.gov/newsroom/fact-sheets/cy-2022-medicare-hospital-outpatient-prospective-payment-system-and-ambulatory-surgical-center-0" TargetMode="External"/><Relationship Id="rId10" Type="http://schemas.openxmlformats.org/officeDocument/2006/relationships/header" Target="header3.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cms.gov/newsroom/fact-sheets/cy-2022-medicare-hospital-outpatient-prospective-payment-system-and-ambulatory-surgical-center-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5FFE7-5A79-4B87-8A13-427524630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2631</Words>
  <Characters>14998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CAVANAUGH TOCCI ASSOCIATES, INC</vt:lpstr>
    </vt:vector>
  </TitlesOfParts>
  <Company>Sullivan &amp; Shuman, P.C.</Company>
  <LinksUpToDate>false</LinksUpToDate>
  <CharactersWithSpaces>17594</CharactersWithSpaces>
  <SharedDoc>false</SharedDoc>
  <HLinks>
    <vt:vector size="6" baseType="variant">
      <vt:variant>
        <vt:i4>5898251</vt:i4>
      </vt:variant>
      <vt:variant>
        <vt:i4>0</vt:i4>
      </vt:variant>
      <vt:variant>
        <vt:i4>0</vt:i4>
      </vt:variant>
      <vt:variant>
        <vt:i4>5</vt:i4>
      </vt:variant>
      <vt:variant>
        <vt:lpwstr>https://www.cms.gov/newsroom/fact-sheets/cy-2022-medicare-hospital-outpatient-prospective-payment-system-and-ambulatory-surgical-center-0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CAVANAUGH TOCCI ASSOCIATES, INC</dc:title>
  <dc:subject/>
  <dc:creator>Katya Taradai</dc:creator>
  <cp:keywords/>
  <dc:description/>
  <cp:lastModifiedBy>Marks, Brett (DPH)</cp:lastModifiedBy>
  <cp:revision>6</cp:revision>
  <cp:lastPrinted>2022-09-29T15:58:00Z</cp:lastPrinted>
  <dcterms:created xsi:type="dcterms:W3CDTF">2024-01-03T15:47:00Z</dcterms:created>
  <dcterms:modified xsi:type="dcterms:W3CDTF">2024-01-22T17:23:00Z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i4>20</vt:i4>
  </property>
  <property fmtid="{D5CDD505-2E9C-101B-9397-08002B2CF9AE}" pid="3" name="tabName">
    <vt:lpwstr>Financial Statements &amp; Supporting Workpapers</vt:lpwstr>
  </property>
  <property fmtid="{D5CDD505-2E9C-101B-9397-08002B2CF9AE}" pid="4" name="tabIndex">
    <vt:lpwstr>I</vt:lpwstr>
  </property>
  <property fmtid="{D5CDD505-2E9C-101B-9397-08002B2CF9AE}" pid="5" name="workpaperIndex">
    <vt:lpwstr>I.02</vt:lpwstr>
  </property>
  <property fmtid="{D5CDD505-2E9C-101B-9397-08002B2CF9AE}" pid="6" name="CYEDATEFORMAT">
    <vt:lpwstr>mmmm dd, yyyy</vt:lpwstr>
  </property>
  <property fmtid="{D5CDD505-2E9C-101B-9397-08002B2CF9AE}" pid="7" name="CYEDATE">
    <vt:lpwstr>December 31, 2015</vt:lpwstr>
  </property>
  <property fmtid="{D5CDD505-2E9C-101B-9397-08002B2CF9AE}" pid="8" name="PY(1)">
    <vt:lpwstr>2014</vt:lpwstr>
  </property>
  <property fmtid="{D5CDD505-2E9C-101B-9397-08002B2CF9AE}" pid="9" name="PJNAME">
    <vt:lpwstr>Cavanaugh Tocci Associates, Inc.</vt:lpwstr>
  </property>
  <property fmtid="{D5CDD505-2E9C-101B-9397-08002B2CF9AE}" pid="10" name="CPEDATE">
    <vt:lpwstr>December 31, 2015 and 2014</vt:lpwstr>
  </property>
  <property fmtid="{D5CDD505-2E9C-101B-9397-08002B2CF9AE}" pid="11" name="CPEDATEFORMAT">
    <vt:lpwstr>mmmm dd, yyyyzzzz</vt:lpwstr>
  </property>
</Properties>
</file>