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over/Flysheet Client Name"/>
        <w:tag w:val="Cover/Flysheet Client Name"/>
        <w:id w:val="1699735212"/>
        <w:placeholder>
          <w:docPart w:val="DefaultPlaceholder_1081868574"/>
        </w:placeholder>
      </w:sdtPr>
      <w:sdtEndPr/>
      <w:sdtContent>
        <w:p w14:paraId="25500219" w14:textId="77777777" w:rsidR="009A2BEA" w:rsidRPr="00D35971" w:rsidRDefault="00D3103D">
          <w:pPr>
            <w:pStyle w:val="A-CoverTitle"/>
          </w:pPr>
          <w:r w:rsidRPr="00D35971">
            <w:t xml:space="preserve">Analysis of the Reasonableness of Assumptions Used For and </w:t>
          </w:r>
        </w:p>
        <w:p w14:paraId="096D418B" w14:textId="77777777" w:rsidR="009A2BEA" w:rsidRPr="00D35971" w:rsidRDefault="00D3103D">
          <w:pPr>
            <w:pStyle w:val="A-CoverTitle"/>
          </w:pPr>
          <w:r w:rsidRPr="00D35971">
            <w:t>Feasibility of Projected Financials of:</w:t>
          </w:r>
        </w:p>
      </w:sdtContent>
    </w:sdt>
    <w:p w14:paraId="3F781769" w14:textId="77777777" w:rsidR="009A2BEA" w:rsidRPr="002E63C8" w:rsidRDefault="009A2BEA">
      <w:pPr>
        <w:pStyle w:val="A-CoverTitle"/>
        <w:rPr>
          <w:highlight w:val="yellow"/>
        </w:rPr>
      </w:pPr>
    </w:p>
    <w:bookmarkStart w:id="0" w:name="_Hlk26365320" w:displacedByCustomXml="next"/>
    <w:sdt>
      <w:sdtPr>
        <w:rPr>
          <w:sz w:val="24"/>
        </w:rPr>
        <w:alias w:val="Cover/Flysheet Description"/>
        <w:tag w:val="Cover/Flysheet Description"/>
        <w:id w:val="1509566082"/>
        <w:placeholder>
          <w:docPart w:val="DefaultPlaceholder_1081868574"/>
        </w:placeholder>
      </w:sdtPr>
      <w:sdtEndPr>
        <w:rPr>
          <w:sz w:val="28"/>
        </w:rPr>
      </w:sdtEndPr>
      <w:sdtContent>
        <w:bookmarkEnd w:id="0" w:displacedByCustomXml="prev"/>
        <w:p w14:paraId="7D26ED89" w14:textId="08E553F1" w:rsidR="009A2BEA" w:rsidRPr="00A77CA0" w:rsidRDefault="002E63C8" w:rsidP="00CE574D">
          <w:pPr>
            <w:pStyle w:val="A-CoverDescription"/>
          </w:pPr>
          <w:r w:rsidRPr="00A77CA0">
            <w:t>Cambridge Health Alliance</w:t>
          </w:r>
          <w:r w:rsidR="000B22A3" w:rsidRPr="00A77CA0">
            <w:t xml:space="preserve"> </w:t>
          </w:r>
        </w:p>
      </w:sdtContent>
    </w:sdt>
    <w:sdt>
      <w:sdtPr>
        <w:alias w:val="Cover/Flysheet Year End"/>
        <w:tag w:val="Cover/Flysheet Year End"/>
        <w:id w:val="-1501266546"/>
        <w:placeholder>
          <w:docPart w:val="DefaultPlaceholder_1081868574"/>
        </w:placeholder>
      </w:sdtPr>
      <w:sdtEndPr/>
      <w:sdtContent>
        <w:p w14:paraId="59738B2B" w14:textId="4E17CC6A" w:rsidR="009A2BEA" w:rsidRPr="00A77CA0" w:rsidRDefault="00D3103D">
          <w:pPr>
            <w:pStyle w:val="A-CoverYearEnd"/>
          </w:pPr>
          <w:r w:rsidRPr="00A77CA0">
            <w:t xml:space="preserve">For the Years Ending </w:t>
          </w:r>
          <w:r w:rsidR="002E63C8" w:rsidRPr="00A77CA0">
            <w:t>June</w:t>
          </w:r>
          <w:r w:rsidRPr="00A77CA0">
            <w:t xml:space="preserve"> 30, 202</w:t>
          </w:r>
          <w:r w:rsidR="00C04486" w:rsidRPr="00A77CA0">
            <w:t>2</w:t>
          </w:r>
          <w:r w:rsidRPr="00A77CA0">
            <w:t xml:space="preserve"> </w:t>
          </w:r>
        </w:p>
        <w:p w14:paraId="40AEC7C3" w14:textId="3EE74675" w:rsidR="009A2BEA" w:rsidRPr="00A77CA0" w:rsidRDefault="00D3103D">
          <w:pPr>
            <w:pStyle w:val="A-CoverYearEnd"/>
          </w:pPr>
          <w:r w:rsidRPr="00A77CA0">
            <w:t xml:space="preserve">Through </w:t>
          </w:r>
          <w:r w:rsidR="002E63C8" w:rsidRPr="00A77CA0">
            <w:t>June</w:t>
          </w:r>
          <w:r w:rsidRPr="00A77CA0">
            <w:t xml:space="preserve"> 30, </w:t>
          </w:r>
          <w:r w:rsidR="00691961" w:rsidRPr="00A77CA0">
            <w:t>202</w:t>
          </w:r>
          <w:r w:rsidR="00A77CA0" w:rsidRPr="00A77CA0">
            <w:t>7</w:t>
          </w:r>
        </w:p>
      </w:sdtContent>
    </w:sdt>
    <w:p w14:paraId="0C326733" w14:textId="77777777" w:rsidR="009A2BEA" w:rsidRPr="00A77CA0" w:rsidRDefault="009A2BEA">
      <w:pPr>
        <w:pStyle w:val="A-CoverYearEnd"/>
      </w:pPr>
    </w:p>
    <w:p w14:paraId="04ADBD76" w14:textId="77777777" w:rsidR="009A2BEA" w:rsidRPr="002E63C8" w:rsidRDefault="009A2BEA">
      <w:pPr>
        <w:pStyle w:val="A-CoverYearEnd"/>
        <w:rPr>
          <w:highlight w:val="yellow"/>
        </w:rPr>
        <w:sectPr w:rsidR="009A2BEA" w:rsidRPr="002E63C8">
          <w:headerReference w:type="even" r:id="rId11"/>
          <w:headerReference w:type="default" r:id="rId12"/>
          <w:footerReference w:type="even" r:id="rId13"/>
          <w:footerReference w:type="default" r:id="rId14"/>
          <w:headerReference w:type="first" r:id="rId15"/>
          <w:footerReference w:type="first" r:id="rId16"/>
          <w:pgSz w:w="12240" w:h="15840"/>
          <w:pgMar w:top="4320" w:right="720" w:bottom="1440" w:left="5904" w:header="720" w:footer="720" w:gutter="0"/>
          <w:cols w:space="720"/>
          <w:titlePg/>
          <w:docGrid w:linePitch="360"/>
        </w:sectPr>
      </w:pPr>
    </w:p>
    <w:p w14:paraId="184A189C" w14:textId="5707DB99" w:rsidR="009A2BEA" w:rsidRPr="00D35971" w:rsidRDefault="00D3103D">
      <w:pPr>
        <w:tabs>
          <w:tab w:val="left" w:pos="2193"/>
        </w:tabs>
        <w:jc w:val="both"/>
        <w:rPr>
          <w:rFonts w:ascii="Trebuchet MS" w:hAnsi="Trebuchet MS"/>
          <w:sz w:val="22"/>
          <w:szCs w:val="22"/>
        </w:rPr>
      </w:pPr>
      <w:r w:rsidRPr="00D35971">
        <w:rPr>
          <w:rFonts w:ascii="Trebuchet MS" w:hAnsi="Trebuchet MS"/>
          <w:sz w:val="22"/>
          <w:szCs w:val="22"/>
        </w:rPr>
        <w:lastRenderedPageBreak/>
        <w:fldChar w:fldCharType="begin"/>
      </w:r>
      <w:r w:rsidRPr="00D35971">
        <w:rPr>
          <w:rFonts w:ascii="Trebuchet MS" w:hAnsi="Trebuchet MS"/>
          <w:sz w:val="22"/>
          <w:szCs w:val="22"/>
        </w:rPr>
        <w:instrText xml:space="preserve"> DATE \@ "MMMM d, yyyy" </w:instrText>
      </w:r>
      <w:r w:rsidRPr="00D35971">
        <w:rPr>
          <w:rFonts w:ascii="Trebuchet MS" w:hAnsi="Trebuchet MS"/>
          <w:sz w:val="22"/>
          <w:szCs w:val="22"/>
        </w:rPr>
        <w:fldChar w:fldCharType="separate"/>
      </w:r>
      <w:r w:rsidR="00281249">
        <w:rPr>
          <w:rFonts w:ascii="Trebuchet MS" w:hAnsi="Trebuchet MS"/>
          <w:noProof/>
          <w:sz w:val="22"/>
          <w:szCs w:val="22"/>
        </w:rPr>
        <w:t>October 19, 2022</w:t>
      </w:r>
      <w:r w:rsidRPr="00D35971">
        <w:rPr>
          <w:rFonts w:ascii="Trebuchet MS" w:hAnsi="Trebuchet MS"/>
          <w:sz w:val="22"/>
          <w:szCs w:val="22"/>
        </w:rPr>
        <w:fldChar w:fldCharType="end"/>
      </w:r>
      <w:r w:rsidRPr="00D35971">
        <w:rPr>
          <w:rFonts w:ascii="Trebuchet MS" w:hAnsi="Trebuchet MS"/>
          <w:sz w:val="22"/>
          <w:szCs w:val="22"/>
        </w:rPr>
        <w:tab/>
      </w:r>
    </w:p>
    <w:p w14:paraId="6D9EC9BF" w14:textId="77777777" w:rsidR="009A2BEA" w:rsidRPr="002E63C8" w:rsidRDefault="009A2BEA">
      <w:pPr>
        <w:tabs>
          <w:tab w:val="left" w:pos="4590"/>
        </w:tabs>
        <w:jc w:val="both"/>
        <w:rPr>
          <w:rFonts w:ascii="Trebuchet MS" w:hAnsi="Trebuchet MS"/>
          <w:sz w:val="22"/>
          <w:szCs w:val="22"/>
          <w:highlight w:val="yellow"/>
        </w:rPr>
      </w:pPr>
    </w:p>
    <w:p w14:paraId="7FAEA39D" w14:textId="77777777" w:rsidR="009A2BEA" w:rsidRPr="002E63C8" w:rsidRDefault="009A2BEA">
      <w:pPr>
        <w:tabs>
          <w:tab w:val="left" w:pos="4590"/>
        </w:tabs>
        <w:jc w:val="both"/>
        <w:rPr>
          <w:rFonts w:ascii="Trebuchet MS" w:hAnsi="Trebuchet MS"/>
          <w:sz w:val="22"/>
          <w:szCs w:val="22"/>
          <w:highlight w:val="yellow"/>
        </w:rPr>
      </w:pPr>
    </w:p>
    <w:p w14:paraId="69C7A85B" w14:textId="6E7C26CA" w:rsidR="00C04486" w:rsidRPr="00A77CA0" w:rsidRDefault="00A77CA0" w:rsidP="00304B75">
      <w:pPr>
        <w:tabs>
          <w:tab w:val="left" w:pos="4590"/>
        </w:tabs>
        <w:jc w:val="both"/>
        <w:rPr>
          <w:rFonts w:ascii="Trebuchet MS" w:hAnsi="Trebuchet MS"/>
          <w:sz w:val="22"/>
          <w:szCs w:val="22"/>
        </w:rPr>
      </w:pPr>
      <w:bookmarkStart w:id="1" w:name="_Hlk112850438"/>
      <w:r w:rsidRPr="00A77CA0">
        <w:rPr>
          <w:rFonts w:ascii="Trebuchet MS" w:hAnsi="Trebuchet MS"/>
          <w:sz w:val="22"/>
          <w:szCs w:val="22"/>
        </w:rPr>
        <w:t>Andrea Synnott</w:t>
      </w:r>
    </w:p>
    <w:p w14:paraId="2B92A1AC" w14:textId="4D9969DA" w:rsidR="000B22A3" w:rsidRPr="00A77CA0" w:rsidRDefault="00A77CA0" w:rsidP="00304B75">
      <w:pPr>
        <w:tabs>
          <w:tab w:val="left" w:pos="4590"/>
        </w:tabs>
        <w:jc w:val="both"/>
        <w:rPr>
          <w:rFonts w:ascii="Trebuchet MS" w:hAnsi="Trebuchet MS"/>
          <w:sz w:val="22"/>
          <w:szCs w:val="22"/>
        </w:rPr>
      </w:pPr>
      <w:r w:rsidRPr="00A77CA0">
        <w:rPr>
          <w:rFonts w:ascii="Trebuchet MS" w:hAnsi="Trebuchet MS"/>
          <w:sz w:val="22"/>
          <w:szCs w:val="22"/>
        </w:rPr>
        <w:t xml:space="preserve">Associate General Counsel </w:t>
      </w:r>
    </w:p>
    <w:p w14:paraId="33510B91" w14:textId="50605E1E" w:rsidR="00126CCA" w:rsidRPr="00A77CA0" w:rsidRDefault="00A77CA0" w:rsidP="00126CCA">
      <w:pPr>
        <w:tabs>
          <w:tab w:val="left" w:pos="4590"/>
        </w:tabs>
        <w:jc w:val="both"/>
        <w:rPr>
          <w:rFonts w:ascii="Trebuchet MS" w:hAnsi="Trebuchet MS"/>
          <w:sz w:val="22"/>
          <w:szCs w:val="22"/>
        </w:rPr>
      </w:pPr>
      <w:r w:rsidRPr="00A77CA0">
        <w:rPr>
          <w:rFonts w:ascii="Trebuchet MS" w:hAnsi="Trebuchet MS"/>
          <w:sz w:val="22"/>
          <w:szCs w:val="22"/>
        </w:rPr>
        <w:t xml:space="preserve">Cambridge Health Alliance </w:t>
      </w:r>
    </w:p>
    <w:p w14:paraId="47358979" w14:textId="506C7FD2" w:rsidR="000B22A3" w:rsidRPr="00A77CA0" w:rsidRDefault="00A77CA0" w:rsidP="00304B75">
      <w:pPr>
        <w:tabs>
          <w:tab w:val="left" w:pos="4590"/>
        </w:tabs>
        <w:jc w:val="both"/>
        <w:rPr>
          <w:rFonts w:ascii="Trebuchet MS" w:hAnsi="Trebuchet MS"/>
          <w:sz w:val="22"/>
          <w:szCs w:val="22"/>
        </w:rPr>
      </w:pPr>
      <w:r w:rsidRPr="00A77CA0">
        <w:rPr>
          <w:rFonts w:ascii="Trebuchet MS" w:hAnsi="Trebuchet MS"/>
          <w:sz w:val="22"/>
          <w:szCs w:val="22"/>
        </w:rPr>
        <w:t xml:space="preserve">1493 Cambridge Street </w:t>
      </w:r>
    </w:p>
    <w:p w14:paraId="6BE7D1F4" w14:textId="3E4BA864" w:rsidR="000B22A3" w:rsidRPr="00A77CA0" w:rsidRDefault="00A77CA0" w:rsidP="00304B75">
      <w:pPr>
        <w:tabs>
          <w:tab w:val="left" w:pos="4590"/>
        </w:tabs>
        <w:jc w:val="both"/>
        <w:rPr>
          <w:rFonts w:ascii="Trebuchet MS" w:hAnsi="Trebuchet MS"/>
          <w:sz w:val="22"/>
          <w:szCs w:val="22"/>
        </w:rPr>
      </w:pPr>
      <w:r w:rsidRPr="00A77CA0">
        <w:rPr>
          <w:rFonts w:ascii="Trebuchet MS" w:hAnsi="Trebuchet MS"/>
          <w:sz w:val="22"/>
          <w:szCs w:val="22"/>
        </w:rPr>
        <w:t xml:space="preserve">Cambridge, MA 02139 </w:t>
      </w:r>
    </w:p>
    <w:p w14:paraId="376E662B" w14:textId="77777777" w:rsidR="009A2BEA" w:rsidRPr="00A77CA0" w:rsidRDefault="009A2BEA">
      <w:pPr>
        <w:jc w:val="both"/>
        <w:rPr>
          <w:rFonts w:ascii="Trebuchet MS" w:hAnsi="Trebuchet MS"/>
          <w:sz w:val="22"/>
          <w:szCs w:val="22"/>
        </w:rPr>
      </w:pPr>
    </w:p>
    <w:bookmarkEnd w:id="1"/>
    <w:p w14:paraId="21524216" w14:textId="77777777" w:rsidR="009A2BEA" w:rsidRPr="00A77CA0" w:rsidRDefault="009A2BEA">
      <w:pPr>
        <w:jc w:val="both"/>
        <w:rPr>
          <w:rFonts w:ascii="Trebuchet MS" w:hAnsi="Trebuchet MS"/>
          <w:b/>
          <w:sz w:val="22"/>
          <w:szCs w:val="22"/>
          <w:lang w:eastAsia="en-GB"/>
        </w:rPr>
      </w:pPr>
    </w:p>
    <w:p w14:paraId="6BBDFDE3" w14:textId="6D0B238F" w:rsidR="000B22A3" w:rsidRPr="00A77CA0" w:rsidRDefault="00D3103D" w:rsidP="00D6680B">
      <w:pPr>
        <w:pStyle w:val="BDOBODY14ptleading"/>
        <w:ind w:left="720" w:hanging="720"/>
        <w:rPr>
          <w:b/>
          <w:sz w:val="22"/>
          <w:szCs w:val="22"/>
        </w:rPr>
      </w:pPr>
      <w:r w:rsidRPr="00A77CA0">
        <w:rPr>
          <w:b/>
          <w:sz w:val="22"/>
          <w:szCs w:val="22"/>
        </w:rPr>
        <w:t>RE:</w:t>
      </w:r>
      <w:r w:rsidRPr="00A77CA0">
        <w:rPr>
          <w:b/>
          <w:sz w:val="22"/>
          <w:szCs w:val="22"/>
        </w:rPr>
        <w:tab/>
      </w:r>
      <w:r w:rsidR="00A77CA0" w:rsidRPr="00A77CA0">
        <w:rPr>
          <w:b/>
          <w:sz w:val="22"/>
          <w:szCs w:val="22"/>
        </w:rPr>
        <w:t>Project Financial Feasibility Services Associated with DPH DON Factor 4</w:t>
      </w:r>
    </w:p>
    <w:p w14:paraId="72C1DAA2" w14:textId="77777777" w:rsidR="009A2BEA" w:rsidRPr="002E63C8" w:rsidRDefault="009A2BEA">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sz w:val="22"/>
          <w:szCs w:val="22"/>
          <w:highlight w:val="yellow"/>
        </w:rPr>
      </w:pPr>
    </w:p>
    <w:p w14:paraId="11ED6BB8" w14:textId="77777777" w:rsidR="009A2BEA" w:rsidRPr="00A77CA0" w:rsidRDefault="00D3103D">
      <w:pPr>
        <w:tabs>
          <w:tab w:val="left" w:pos="7383"/>
        </w:tabs>
        <w:jc w:val="both"/>
        <w:rPr>
          <w:rFonts w:ascii="Trebuchet MS" w:hAnsi="Trebuchet MS"/>
          <w:sz w:val="22"/>
          <w:szCs w:val="22"/>
        </w:rPr>
      </w:pPr>
      <w:r w:rsidRPr="00A77CA0">
        <w:rPr>
          <w:rFonts w:ascii="Trebuchet MS" w:hAnsi="Trebuchet MS"/>
          <w:sz w:val="22"/>
          <w:szCs w:val="22"/>
        </w:rPr>
        <w:tab/>
      </w:r>
    </w:p>
    <w:p w14:paraId="5C4A36DA" w14:textId="510CE8C8" w:rsidR="009A2BEA" w:rsidRPr="00A77CA0" w:rsidRDefault="00D3103D">
      <w:pPr>
        <w:jc w:val="both"/>
        <w:rPr>
          <w:rFonts w:ascii="Trebuchet MS" w:hAnsi="Trebuchet MS"/>
          <w:sz w:val="22"/>
          <w:szCs w:val="22"/>
        </w:rPr>
      </w:pPr>
      <w:r w:rsidRPr="00A77CA0">
        <w:rPr>
          <w:rFonts w:ascii="Trebuchet MS" w:hAnsi="Trebuchet MS"/>
          <w:sz w:val="22"/>
          <w:szCs w:val="22"/>
        </w:rPr>
        <w:t>Dear M</w:t>
      </w:r>
      <w:r w:rsidR="00224ADF" w:rsidRPr="00A77CA0">
        <w:rPr>
          <w:rFonts w:ascii="Trebuchet MS" w:hAnsi="Trebuchet MS"/>
          <w:sz w:val="22"/>
          <w:szCs w:val="22"/>
        </w:rPr>
        <w:t>s</w:t>
      </w:r>
      <w:r w:rsidR="000B22A3" w:rsidRPr="00A77CA0">
        <w:rPr>
          <w:rFonts w:ascii="Trebuchet MS" w:hAnsi="Trebuchet MS"/>
          <w:sz w:val="22"/>
          <w:szCs w:val="22"/>
        </w:rPr>
        <w:t xml:space="preserve">. </w:t>
      </w:r>
      <w:r w:rsidR="00A77CA0" w:rsidRPr="00A77CA0">
        <w:rPr>
          <w:rFonts w:ascii="Trebuchet MS" w:hAnsi="Trebuchet MS"/>
          <w:sz w:val="22"/>
          <w:szCs w:val="22"/>
        </w:rPr>
        <w:t>Synnott</w:t>
      </w:r>
      <w:r w:rsidRPr="00A77CA0">
        <w:rPr>
          <w:rFonts w:ascii="Trebuchet MS" w:hAnsi="Trebuchet MS"/>
          <w:sz w:val="22"/>
          <w:szCs w:val="22"/>
        </w:rPr>
        <w:t>:</w:t>
      </w:r>
    </w:p>
    <w:p w14:paraId="26272E33" w14:textId="77777777" w:rsidR="009A2BEA" w:rsidRPr="00A77CA0" w:rsidRDefault="009A2BEA">
      <w:pPr>
        <w:pStyle w:val="BodyText"/>
        <w:tabs>
          <w:tab w:val="clear" w:pos="-720"/>
          <w:tab w:val="clear" w:pos="0"/>
        </w:tabs>
        <w:suppressAutoHyphens w:val="0"/>
        <w:spacing w:line="240" w:lineRule="auto"/>
        <w:rPr>
          <w:rFonts w:ascii="Trebuchet MS" w:hAnsi="Trebuchet MS"/>
          <w:spacing w:val="0"/>
          <w:sz w:val="22"/>
          <w:szCs w:val="22"/>
        </w:rPr>
      </w:pPr>
    </w:p>
    <w:p w14:paraId="48242EAC" w14:textId="77777777" w:rsidR="009A2BEA" w:rsidRPr="00A77CA0" w:rsidRDefault="009A2BEA">
      <w:pPr>
        <w:pStyle w:val="BodyText"/>
        <w:tabs>
          <w:tab w:val="clear" w:pos="-720"/>
          <w:tab w:val="clear" w:pos="0"/>
        </w:tabs>
        <w:suppressAutoHyphens w:val="0"/>
        <w:spacing w:line="240" w:lineRule="auto"/>
        <w:rPr>
          <w:rFonts w:ascii="Trebuchet MS" w:hAnsi="Trebuchet MS"/>
          <w:spacing w:val="0"/>
          <w:sz w:val="22"/>
          <w:szCs w:val="22"/>
        </w:rPr>
      </w:pPr>
    </w:p>
    <w:p w14:paraId="2F1F55A7" w14:textId="2A23C459" w:rsidR="009A2BEA" w:rsidRPr="00A77CA0" w:rsidRDefault="00D3103D">
      <w:pPr>
        <w:ind w:left="720"/>
        <w:jc w:val="both"/>
        <w:rPr>
          <w:rFonts w:ascii="Trebuchet MS" w:hAnsi="Trebuchet MS"/>
          <w:b/>
          <w:sz w:val="22"/>
          <w:szCs w:val="22"/>
        </w:rPr>
      </w:pPr>
      <w:r w:rsidRPr="00A77CA0">
        <w:rPr>
          <w:rFonts w:ascii="Trebuchet MS" w:hAnsi="Trebuchet MS"/>
          <w:sz w:val="22"/>
          <w:szCs w:val="22"/>
        </w:rPr>
        <w:t>Enclosed is a copy of our report on the reasonableness of assumptions used for and feasibility of the</w:t>
      </w:r>
      <w:r w:rsidR="00070E4D" w:rsidRPr="00A77CA0">
        <w:rPr>
          <w:rFonts w:ascii="Trebuchet MS" w:hAnsi="Trebuchet MS"/>
          <w:sz w:val="22"/>
          <w:szCs w:val="22"/>
        </w:rPr>
        <w:t xml:space="preserve"> </w:t>
      </w:r>
      <w:r w:rsidRPr="00A77CA0">
        <w:rPr>
          <w:rFonts w:ascii="Trebuchet MS" w:hAnsi="Trebuchet MS"/>
          <w:sz w:val="22"/>
          <w:szCs w:val="22"/>
        </w:rPr>
        <w:t>financial projections for</w:t>
      </w:r>
      <w:r w:rsidR="00A23B4E" w:rsidRPr="00A77CA0">
        <w:rPr>
          <w:rFonts w:ascii="Trebuchet MS" w:hAnsi="Trebuchet MS"/>
          <w:sz w:val="22"/>
          <w:szCs w:val="22"/>
        </w:rPr>
        <w:t xml:space="preserve"> </w:t>
      </w:r>
      <w:r w:rsidR="00A77CA0" w:rsidRPr="00A77CA0">
        <w:rPr>
          <w:rFonts w:ascii="Trebuchet MS" w:hAnsi="Trebuchet MS"/>
          <w:sz w:val="22"/>
          <w:szCs w:val="22"/>
        </w:rPr>
        <w:t>Cambridge Health Alliance</w:t>
      </w:r>
      <w:r w:rsidRPr="00A77CA0">
        <w:rPr>
          <w:rFonts w:ascii="Trebuchet MS" w:hAnsi="Trebuchet MS"/>
          <w:sz w:val="22"/>
          <w:szCs w:val="22"/>
        </w:rPr>
        <w:t>. Please contact me to discuss this report once you have had an opportunity to review.</w:t>
      </w:r>
    </w:p>
    <w:p w14:paraId="6025A0FD" w14:textId="77777777" w:rsidR="009A2BEA" w:rsidRPr="00A77CA0" w:rsidRDefault="009A2BEA">
      <w:pPr>
        <w:pStyle w:val="BodyText"/>
        <w:tabs>
          <w:tab w:val="clear" w:pos="-720"/>
          <w:tab w:val="clear" w:pos="0"/>
        </w:tabs>
        <w:suppressAutoHyphens w:val="0"/>
        <w:spacing w:line="240" w:lineRule="auto"/>
        <w:rPr>
          <w:rFonts w:ascii="Trebuchet MS" w:hAnsi="Trebuchet MS"/>
          <w:spacing w:val="0"/>
          <w:sz w:val="22"/>
          <w:szCs w:val="22"/>
        </w:rPr>
      </w:pPr>
    </w:p>
    <w:p w14:paraId="1E9DE207" w14:textId="77777777" w:rsidR="009A2BEA" w:rsidRPr="00A77CA0" w:rsidRDefault="009A2BEA">
      <w:pPr>
        <w:pStyle w:val="BodyText"/>
        <w:tabs>
          <w:tab w:val="clear" w:pos="-720"/>
          <w:tab w:val="clear" w:pos="0"/>
        </w:tabs>
        <w:suppressAutoHyphens w:val="0"/>
        <w:spacing w:line="240" w:lineRule="auto"/>
        <w:rPr>
          <w:rFonts w:ascii="Trebuchet MS" w:hAnsi="Trebuchet MS"/>
          <w:spacing w:val="0"/>
          <w:sz w:val="22"/>
          <w:szCs w:val="22"/>
        </w:rPr>
      </w:pPr>
    </w:p>
    <w:p w14:paraId="29F4F166" w14:textId="77777777" w:rsidR="009A2BEA" w:rsidRPr="00A77CA0" w:rsidRDefault="009A2BEA">
      <w:pPr>
        <w:jc w:val="both"/>
        <w:rPr>
          <w:rFonts w:ascii="Trebuchet MS" w:hAnsi="Trebuchet MS"/>
          <w:sz w:val="22"/>
          <w:szCs w:val="22"/>
        </w:rPr>
      </w:pPr>
    </w:p>
    <w:p w14:paraId="34DD9B24" w14:textId="77777777" w:rsidR="009A2BEA" w:rsidRPr="00A77CA0" w:rsidRDefault="00D3103D">
      <w:pPr>
        <w:jc w:val="both"/>
        <w:rPr>
          <w:rFonts w:ascii="Trebuchet MS" w:hAnsi="Trebuchet MS"/>
          <w:sz w:val="22"/>
          <w:szCs w:val="22"/>
        </w:rPr>
      </w:pPr>
      <w:r w:rsidRPr="00A77CA0">
        <w:rPr>
          <w:rFonts w:ascii="Trebuchet MS" w:hAnsi="Trebuchet MS"/>
          <w:sz w:val="22"/>
          <w:szCs w:val="22"/>
        </w:rPr>
        <w:t>Sincerely,</w:t>
      </w:r>
    </w:p>
    <w:p w14:paraId="349579B0" w14:textId="77777777" w:rsidR="009A2BEA" w:rsidRPr="002E63C8" w:rsidRDefault="009A2BEA">
      <w:pPr>
        <w:tabs>
          <w:tab w:val="left" w:pos="4590"/>
        </w:tabs>
        <w:jc w:val="both"/>
        <w:rPr>
          <w:rFonts w:ascii="Trebuchet MS" w:hAnsi="Trebuchet MS"/>
          <w:sz w:val="22"/>
          <w:szCs w:val="22"/>
          <w:highlight w:val="yellow"/>
        </w:rPr>
      </w:pPr>
    </w:p>
    <w:p w14:paraId="3418CAE8" w14:textId="6A358300" w:rsidR="009A182B" w:rsidRPr="002E63C8" w:rsidRDefault="009A182B">
      <w:pPr>
        <w:tabs>
          <w:tab w:val="left" w:pos="4590"/>
        </w:tabs>
        <w:jc w:val="both"/>
        <w:rPr>
          <w:rFonts w:ascii="Trebuchet MS" w:hAnsi="Trebuchet MS"/>
          <w:color w:val="FF0000"/>
          <w:sz w:val="22"/>
          <w:szCs w:val="22"/>
          <w:highlight w:val="yellow"/>
        </w:rPr>
        <w:sectPr w:rsidR="009A182B" w:rsidRPr="002E63C8">
          <w:headerReference w:type="even" r:id="rId17"/>
          <w:headerReference w:type="default" r:id="rId18"/>
          <w:footerReference w:type="default" r:id="rId19"/>
          <w:headerReference w:type="first" r:id="rId20"/>
          <w:pgSz w:w="12240" w:h="15840"/>
          <w:pgMar w:top="2592" w:right="1440" w:bottom="1440" w:left="1656" w:header="792" w:footer="720" w:gutter="0"/>
          <w:cols w:space="720"/>
          <w:docGrid w:linePitch="360"/>
        </w:sectPr>
      </w:pPr>
    </w:p>
    <w:p w14:paraId="362D0272" w14:textId="77777777" w:rsidR="009A2BEA" w:rsidRPr="00D35971" w:rsidRDefault="00D3103D">
      <w:pPr>
        <w:tabs>
          <w:tab w:val="left" w:pos="-720"/>
        </w:tabs>
        <w:suppressAutoHyphens/>
        <w:jc w:val="center"/>
        <w:rPr>
          <w:rFonts w:ascii="Trebuchet MS" w:hAnsi="Trebuchet MS"/>
          <w:b/>
          <w:spacing w:val="-3"/>
          <w:sz w:val="22"/>
          <w:szCs w:val="22"/>
        </w:rPr>
      </w:pPr>
      <w:r w:rsidRPr="00D35971">
        <w:rPr>
          <w:rFonts w:ascii="Trebuchet MS" w:hAnsi="Trebuchet MS"/>
          <w:b/>
          <w:spacing w:val="-3"/>
          <w:sz w:val="22"/>
          <w:szCs w:val="22"/>
        </w:rPr>
        <w:lastRenderedPageBreak/>
        <w:t>TABLE OF CONTENTS</w:t>
      </w:r>
    </w:p>
    <w:p w14:paraId="77C392EC" w14:textId="77777777" w:rsidR="009A2BEA" w:rsidRPr="00D35971" w:rsidRDefault="009A2BEA">
      <w:pPr>
        <w:tabs>
          <w:tab w:val="left" w:pos="-720"/>
        </w:tabs>
        <w:suppressAutoHyphens/>
        <w:jc w:val="center"/>
        <w:rPr>
          <w:rFonts w:ascii="Trebuchet MS" w:hAnsi="Trebuchet MS"/>
          <w:spacing w:val="-3"/>
          <w:sz w:val="22"/>
          <w:szCs w:val="22"/>
        </w:rPr>
      </w:pPr>
    </w:p>
    <w:p w14:paraId="24E85AD4" w14:textId="77777777" w:rsidR="009A2BEA" w:rsidRPr="00D35971" w:rsidRDefault="009A2BEA">
      <w:pPr>
        <w:tabs>
          <w:tab w:val="left" w:pos="-720"/>
        </w:tabs>
        <w:suppressAutoHyphens/>
        <w:jc w:val="center"/>
        <w:rPr>
          <w:rFonts w:ascii="Trebuchet MS" w:hAnsi="Trebuchet MS"/>
          <w:spacing w:val="-3"/>
          <w:sz w:val="22"/>
          <w:szCs w:val="22"/>
        </w:rPr>
      </w:pPr>
    </w:p>
    <w:p w14:paraId="00F12A7F" w14:textId="77777777" w:rsidR="009A2BEA" w:rsidRPr="00D35971" w:rsidRDefault="009A2BEA">
      <w:pPr>
        <w:tabs>
          <w:tab w:val="left" w:pos="-720"/>
        </w:tabs>
        <w:suppressAutoHyphens/>
        <w:jc w:val="center"/>
        <w:rPr>
          <w:rFonts w:ascii="Trebuchet MS" w:hAnsi="Trebuchet MS"/>
          <w:spacing w:val="-3"/>
          <w:sz w:val="22"/>
          <w:szCs w:val="22"/>
        </w:rPr>
      </w:pPr>
    </w:p>
    <w:p w14:paraId="3EF7F572" w14:textId="77777777" w:rsidR="009A2BEA" w:rsidRPr="00D35971" w:rsidRDefault="00D3103D">
      <w:pPr>
        <w:tabs>
          <w:tab w:val="left" w:pos="-720"/>
        </w:tabs>
        <w:suppressAutoHyphens/>
        <w:jc w:val="right"/>
        <w:rPr>
          <w:rFonts w:ascii="Trebuchet MS" w:hAnsi="Trebuchet MS"/>
          <w:spacing w:val="-3"/>
          <w:sz w:val="22"/>
          <w:szCs w:val="22"/>
        </w:rPr>
      </w:pPr>
      <w:r w:rsidRPr="00D35971">
        <w:rPr>
          <w:rFonts w:ascii="Trebuchet MS" w:hAnsi="Trebuchet MS"/>
          <w:spacing w:val="-3"/>
          <w:sz w:val="22"/>
          <w:szCs w:val="22"/>
        </w:rPr>
        <w:t>Page</w:t>
      </w:r>
    </w:p>
    <w:p w14:paraId="498FEFCE" w14:textId="77777777" w:rsidR="009A2BEA" w:rsidRPr="00D35971"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D35971">
        <w:rPr>
          <w:rFonts w:ascii="Trebuchet MS" w:hAnsi="Trebuchet MS"/>
          <w:spacing w:val="-3"/>
          <w:sz w:val="22"/>
          <w:szCs w:val="22"/>
        </w:rPr>
        <w:t xml:space="preserve">I. </w:t>
      </w:r>
      <w:r w:rsidRPr="00D35971">
        <w:rPr>
          <w:rFonts w:ascii="Trebuchet MS" w:hAnsi="Trebuchet MS"/>
          <w:spacing w:val="-3"/>
          <w:sz w:val="22"/>
          <w:szCs w:val="22"/>
        </w:rPr>
        <w:tab/>
        <w:t>EXECUTIVE SUMMARY</w:t>
      </w:r>
      <w:r w:rsidRPr="00D35971">
        <w:rPr>
          <w:rFonts w:ascii="Trebuchet MS" w:hAnsi="Trebuchet MS"/>
          <w:spacing w:val="-3"/>
          <w:sz w:val="22"/>
          <w:szCs w:val="22"/>
        </w:rPr>
        <w:tab/>
      </w:r>
      <w:r w:rsidR="00017BCD" w:rsidRPr="00D35971">
        <w:rPr>
          <w:rFonts w:ascii="Trebuchet MS" w:hAnsi="Trebuchet MS"/>
          <w:spacing w:val="-3"/>
          <w:sz w:val="22"/>
          <w:szCs w:val="22"/>
        </w:rPr>
        <w:t>1</w:t>
      </w:r>
    </w:p>
    <w:p w14:paraId="31EF8B87" w14:textId="77777777" w:rsidR="009A2BEA" w:rsidRPr="00D35971"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D35971">
        <w:rPr>
          <w:rFonts w:ascii="Trebuchet MS" w:hAnsi="Trebuchet MS"/>
          <w:sz w:val="22"/>
          <w:szCs w:val="22"/>
        </w:rPr>
        <w:t xml:space="preserve">II. </w:t>
      </w:r>
      <w:r w:rsidRPr="00D35971">
        <w:rPr>
          <w:rFonts w:ascii="Trebuchet MS" w:hAnsi="Trebuchet MS"/>
          <w:sz w:val="22"/>
          <w:szCs w:val="22"/>
        </w:rPr>
        <w:tab/>
        <w:t>RELEVANT BACKGROUND INFORMATION</w:t>
      </w:r>
      <w:r w:rsidRPr="00D35971">
        <w:rPr>
          <w:rFonts w:ascii="Trebuchet MS" w:hAnsi="Trebuchet MS"/>
          <w:spacing w:val="-3"/>
          <w:sz w:val="22"/>
          <w:szCs w:val="22"/>
        </w:rPr>
        <w:tab/>
        <w:t>2</w:t>
      </w:r>
    </w:p>
    <w:p w14:paraId="4DC87DC7" w14:textId="77777777" w:rsidR="009A2BEA" w:rsidRPr="00D35971"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D35971">
        <w:rPr>
          <w:rFonts w:ascii="Trebuchet MS" w:hAnsi="Trebuchet MS"/>
          <w:spacing w:val="-3"/>
          <w:sz w:val="22"/>
          <w:szCs w:val="22"/>
        </w:rPr>
        <w:t xml:space="preserve">III. </w:t>
      </w:r>
      <w:r w:rsidRPr="00D35971">
        <w:rPr>
          <w:rFonts w:ascii="Trebuchet MS" w:hAnsi="Trebuchet MS"/>
          <w:spacing w:val="-3"/>
          <w:sz w:val="22"/>
          <w:szCs w:val="22"/>
        </w:rPr>
        <w:tab/>
      </w:r>
      <w:r w:rsidRPr="00D35971">
        <w:rPr>
          <w:rFonts w:ascii="Trebuchet MS" w:hAnsi="Trebuchet MS"/>
          <w:sz w:val="22"/>
          <w:szCs w:val="22"/>
        </w:rPr>
        <w:t>SCOPE OF REPORT</w:t>
      </w:r>
      <w:r w:rsidRPr="00D35971">
        <w:rPr>
          <w:rFonts w:ascii="Trebuchet MS" w:hAnsi="Trebuchet MS"/>
          <w:spacing w:val="-3"/>
          <w:sz w:val="22"/>
          <w:szCs w:val="22"/>
        </w:rPr>
        <w:tab/>
      </w:r>
      <w:r w:rsidR="00017BCD" w:rsidRPr="00D35971">
        <w:rPr>
          <w:rFonts w:ascii="Trebuchet MS" w:hAnsi="Trebuchet MS"/>
          <w:spacing w:val="-3"/>
          <w:sz w:val="22"/>
          <w:szCs w:val="22"/>
        </w:rPr>
        <w:t>4</w:t>
      </w:r>
    </w:p>
    <w:p w14:paraId="1F8E1CED" w14:textId="77777777" w:rsidR="009A2BEA" w:rsidRPr="00D35971"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D35971">
        <w:rPr>
          <w:rFonts w:ascii="Trebuchet MS" w:hAnsi="Trebuchet MS"/>
          <w:spacing w:val="-3"/>
          <w:sz w:val="22"/>
          <w:szCs w:val="22"/>
        </w:rPr>
        <w:t xml:space="preserve">IV. </w:t>
      </w:r>
      <w:r w:rsidRPr="00D35971">
        <w:rPr>
          <w:rFonts w:ascii="Trebuchet MS" w:hAnsi="Trebuchet MS"/>
          <w:spacing w:val="-3"/>
          <w:sz w:val="22"/>
          <w:szCs w:val="22"/>
        </w:rPr>
        <w:tab/>
      </w:r>
      <w:r w:rsidRPr="00D35971">
        <w:rPr>
          <w:rFonts w:ascii="Trebuchet MS" w:hAnsi="Trebuchet MS"/>
          <w:sz w:val="22"/>
          <w:szCs w:val="22"/>
        </w:rPr>
        <w:t>SOURCES OF INFORMATION UTILIZED</w:t>
      </w:r>
      <w:r w:rsidRPr="00D35971">
        <w:rPr>
          <w:rFonts w:ascii="Trebuchet MS" w:hAnsi="Trebuchet MS"/>
          <w:spacing w:val="-3"/>
          <w:sz w:val="22"/>
          <w:szCs w:val="22"/>
        </w:rPr>
        <w:tab/>
      </w:r>
      <w:r w:rsidR="00017BCD" w:rsidRPr="00D35971">
        <w:rPr>
          <w:rFonts w:ascii="Trebuchet MS" w:hAnsi="Trebuchet MS"/>
          <w:spacing w:val="-3"/>
          <w:sz w:val="22"/>
          <w:szCs w:val="22"/>
        </w:rPr>
        <w:t>5</w:t>
      </w:r>
    </w:p>
    <w:p w14:paraId="29F87D93" w14:textId="77777777" w:rsidR="009A2BEA" w:rsidRPr="00D35971"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D35971">
        <w:rPr>
          <w:rFonts w:ascii="Trebuchet MS" w:hAnsi="Trebuchet MS"/>
          <w:spacing w:val="-3"/>
          <w:sz w:val="22"/>
          <w:szCs w:val="22"/>
        </w:rPr>
        <w:t xml:space="preserve">V. </w:t>
      </w:r>
      <w:r w:rsidRPr="00D35971">
        <w:rPr>
          <w:rFonts w:ascii="Trebuchet MS" w:hAnsi="Trebuchet MS"/>
          <w:spacing w:val="-3"/>
          <w:sz w:val="22"/>
          <w:szCs w:val="22"/>
        </w:rPr>
        <w:tab/>
        <w:t>REVIEW OF THE PROJECTIONS</w:t>
      </w:r>
      <w:r w:rsidRPr="00D35971">
        <w:rPr>
          <w:rFonts w:ascii="Trebuchet MS" w:hAnsi="Trebuchet MS"/>
          <w:spacing w:val="-3"/>
          <w:sz w:val="22"/>
          <w:szCs w:val="22"/>
        </w:rPr>
        <w:tab/>
      </w:r>
      <w:r w:rsidR="00017BCD" w:rsidRPr="00D35971">
        <w:rPr>
          <w:rFonts w:ascii="Trebuchet MS" w:hAnsi="Trebuchet MS"/>
          <w:spacing w:val="-3"/>
          <w:sz w:val="22"/>
          <w:szCs w:val="22"/>
        </w:rPr>
        <w:t>6</w:t>
      </w:r>
    </w:p>
    <w:p w14:paraId="3CF64333" w14:textId="099E8EE9" w:rsidR="009A2BEA" w:rsidRPr="00D35971"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D35971">
        <w:rPr>
          <w:rFonts w:ascii="Trebuchet MS" w:hAnsi="Trebuchet MS"/>
          <w:spacing w:val="-3"/>
          <w:sz w:val="22"/>
          <w:szCs w:val="22"/>
        </w:rPr>
        <w:t xml:space="preserve">VI. </w:t>
      </w:r>
      <w:r w:rsidRPr="00D35971">
        <w:rPr>
          <w:rFonts w:ascii="Trebuchet MS" w:hAnsi="Trebuchet MS"/>
          <w:spacing w:val="-3"/>
          <w:sz w:val="22"/>
          <w:szCs w:val="22"/>
        </w:rPr>
        <w:tab/>
      </w:r>
      <w:r w:rsidRPr="00D35971">
        <w:rPr>
          <w:rFonts w:ascii="Trebuchet MS" w:hAnsi="Trebuchet MS"/>
          <w:sz w:val="22"/>
          <w:szCs w:val="22"/>
        </w:rPr>
        <w:t>FEASIBILITY</w:t>
      </w:r>
      <w:r w:rsidRPr="00D35971">
        <w:rPr>
          <w:rFonts w:ascii="Trebuchet MS" w:hAnsi="Trebuchet MS"/>
          <w:spacing w:val="-3"/>
          <w:sz w:val="22"/>
          <w:szCs w:val="22"/>
        </w:rPr>
        <w:tab/>
      </w:r>
      <w:r w:rsidR="00A22182" w:rsidRPr="00D35971">
        <w:rPr>
          <w:rFonts w:ascii="Trebuchet MS" w:hAnsi="Trebuchet MS"/>
          <w:spacing w:val="-3"/>
          <w:sz w:val="22"/>
          <w:szCs w:val="22"/>
        </w:rPr>
        <w:t>1</w:t>
      </w:r>
      <w:r w:rsidR="00F30ADA">
        <w:rPr>
          <w:rFonts w:ascii="Trebuchet MS" w:hAnsi="Trebuchet MS"/>
          <w:spacing w:val="-3"/>
          <w:sz w:val="22"/>
          <w:szCs w:val="22"/>
        </w:rPr>
        <w:t>4</w:t>
      </w:r>
    </w:p>
    <w:p w14:paraId="4E7CCA5A" w14:textId="77777777" w:rsidR="009A2BEA" w:rsidRPr="002E63C8" w:rsidRDefault="009A2BEA">
      <w:pPr>
        <w:tabs>
          <w:tab w:val="left" w:leader="dot" w:pos="9000"/>
          <w:tab w:val="right" w:pos="9360"/>
        </w:tabs>
        <w:suppressAutoHyphens/>
        <w:spacing w:before="480"/>
        <w:ind w:left="720" w:right="720" w:hanging="720"/>
        <w:rPr>
          <w:rFonts w:ascii="Trebuchet MS" w:hAnsi="Trebuchet MS"/>
          <w:spacing w:val="-3"/>
          <w:sz w:val="22"/>
          <w:szCs w:val="22"/>
          <w:highlight w:val="yellow"/>
        </w:rPr>
      </w:pPr>
    </w:p>
    <w:p w14:paraId="246BBBD5" w14:textId="77777777" w:rsidR="009A2BEA" w:rsidRPr="002E63C8" w:rsidRDefault="009A2BEA">
      <w:pPr>
        <w:tabs>
          <w:tab w:val="left" w:pos="-720"/>
        </w:tabs>
        <w:suppressAutoHyphens/>
        <w:rPr>
          <w:rFonts w:ascii="Trebuchet MS" w:hAnsi="Trebuchet MS"/>
          <w:b/>
          <w:spacing w:val="-3"/>
          <w:sz w:val="22"/>
          <w:szCs w:val="22"/>
          <w:highlight w:val="yellow"/>
        </w:rPr>
        <w:sectPr w:rsidR="009A2BEA" w:rsidRPr="002E63C8">
          <w:headerReference w:type="even" r:id="rId21"/>
          <w:headerReference w:type="default" r:id="rId22"/>
          <w:footerReference w:type="default" r:id="rId23"/>
          <w:headerReference w:type="first" r:id="rId24"/>
          <w:pgSz w:w="12240" w:h="15840"/>
          <w:pgMar w:top="2448" w:right="1440" w:bottom="1080" w:left="1440" w:header="720" w:footer="720" w:gutter="0"/>
          <w:pgNumType w:start="2"/>
          <w:cols w:space="720"/>
          <w:docGrid w:linePitch="360"/>
        </w:sectPr>
      </w:pPr>
    </w:p>
    <w:bookmarkStart w:id="2" w:name="_Toc463886374"/>
    <w:bookmarkStart w:id="3" w:name="_Ref467150440"/>
    <w:p w14:paraId="5411ABC0" w14:textId="3FE1A854" w:rsidR="009A2BEA" w:rsidRPr="00CF5742" w:rsidRDefault="00D3103D">
      <w:pPr>
        <w:tabs>
          <w:tab w:val="left" w:pos="2193"/>
        </w:tabs>
        <w:jc w:val="both"/>
        <w:rPr>
          <w:rFonts w:ascii="Trebuchet MS" w:hAnsi="Trebuchet MS"/>
          <w:sz w:val="22"/>
          <w:szCs w:val="22"/>
        </w:rPr>
      </w:pPr>
      <w:r w:rsidRPr="00CF5742">
        <w:rPr>
          <w:rFonts w:ascii="Trebuchet MS" w:hAnsi="Trebuchet MS"/>
          <w:sz w:val="22"/>
          <w:szCs w:val="22"/>
        </w:rPr>
        <w:lastRenderedPageBreak/>
        <w:fldChar w:fldCharType="begin"/>
      </w:r>
      <w:r w:rsidRPr="00CF5742">
        <w:rPr>
          <w:rFonts w:ascii="Trebuchet MS" w:hAnsi="Trebuchet MS"/>
          <w:sz w:val="22"/>
          <w:szCs w:val="22"/>
        </w:rPr>
        <w:instrText xml:space="preserve"> DATE \@ "MMMM d, yyyy" </w:instrText>
      </w:r>
      <w:r w:rsidRPr="00CF5742">
        <w:rPr>
          <w:rFonts w:ascii="Trebuchet MS" w:hAnsi="Trebuchet MS"/>
          <w:sz w:val="22"/>
          <w:szCs w:val="22"/>
        </w:rPr>
        <w:fldChar w:fldCharType="separate"/>
      </w:r>
      <w:r w:rsidR="00281249">
        <w:rPr>
          <w:rFonts w:ascii="Trebuchet MS" w:hAnsi="Trebuchet MS"/>
          <w:noProof/>
          <w:sz w:val="22"/>
          <w:szCs w:val="22"/>
        </w:rPr>
        <w:t>October 19, 2022</w:t>
      </w:r>
      <w:r w:rsidRPr="00CF5742">
        <w:rPr>
          <w:rFonts w:ascii="Trebuchet MS" w:hAnsi="Trebuchet MS"/>
          <w:sz w:val="22"/>
          <w:szCs w:val="22"/>
        </w:rPr>
        <w:fldChar w:fldCharType="end"/>
      </w:r>
    </w:p>
    <w:p w14:paraId="44F6C8A1" w14:textId="77777777" w:rsidR="009A2BEA" w:rsidRPr="002E63C8" w:rsidRDefault="009A2BEA">
      <w:pPr>
        <w:tabs>
          <w:tab w:val="left" w:pos="4590"/>
        </w:tabs>
        <w:jc w:val="both"/>
        <w:rPr>
          <w:rFonts w:ascii="Trebuchet MS" w:hAnsi="Trebuchet MS"/>
          <w:sz w:val="22"/>
          <w:szCs w:val="22"/>
          <w:highlight w:val="yellow"/>
        </w:rPr>
      </w:pPr>
    </w:p>
    <w:p w14:paraId="4A7BA733" w14:textId="77777777" w:rsidR="009A2BEA" w:rsidRPr="002E63C8" w:rsidRDefault="009A2BEA">
      <w:pPr>
        <w:tabs>
          <w:tab w:val="left" w:pos="4590"/>
        </w:tabs>
        <w:jc w:val="both"/>
        <w:rPr>
          <w:rFonts w:ascii="Trebuchet MS" w:hAnsi="Trebuchet MS"/>
          <w:sz w:val="22"/>
          <w:szCs w:val="22"/>
          <w:highlight w:val="yellow"/>
        </w:rPr>
      </w:pPr>
    </w:p>
    <w:p w14:paraId="061043D9" w14:textId="77777777" w:rsidR="00A77CA0" w:rsidRPr="00A77CA0" w:rsidRDefault="00A77CA0" w:rsidP="00A77CA0">
      <w:pPr>
        <w:jc w:val="both"/>
        <w:rPr>
          <w:rFonts w:ascii="Trebuchet MS" w:hAnsi="Trebuchet MS"/>
          <w:sz w:val="22"/>
          <w:szCs w:val="22"/>
        </w:rPr>
      </w:pPr>
      <w:r w:rsidRPr="00A77CA0">
        <w:rPr>
          <w:rFonts w:ascii="Trebuchet MS" w:hAnsi="Trebuchet MS"/>
          <w:sz w:val="22"/>
          <w:szCs w:val="22"/>
        </w:rPr>
        <w:t>Andrea Synnott</w:t>
      </w:r>
    </w:p>
    <w:p w14:paraId="3907A197" w14:textId="77777777" w:rsidR="00A77CA0" w:rsidRPr="00A77CA0" w:rsidRDefault="00A77CA0" w:rsidP="00A77CA0">
      <w:pPr>
        <w:jc w:val="both"/>
        <w:rPr>
          <w:rFonts w:ascii="Trebuchet MS" w:hAnsi="Trebuchet MS"/>
          <w:sz w:val="22"/>
          <w:szCs w:val="22"/>
        </w:rPr>
      </w:pPr>
      <w:r w:rsidRPr="00A77CA0">
        <w:rPr>
          <w:rFonts w:ascii="Trebuchet MS" w:hAnsi="Trebuchet MS"/>
          <w:sz w:val="22"/>
          <w:szCs w:val="22"/>
        </w:rPr>
        <w:t xml:space="preserve">Associate General Counsel </w:t>
      </w:r>
    </w:p>
    <w:p w14:paraId="74CEFBD0" w14:textId="77777777" w:rsidR="00A77CA0" w:rsidRPr="00A77CA0" w:rsidRDefault="00A77CA0" w:rsidP="00A77CA0">
      <w:pPr>
        <w:jc w:val="both"/>
        <w:rPr>
          <w:rFonts w:ascii="Trebuchet MS" w:hAnsi="Trebuchet MS"/>
          <w:sz w:val="22"/>
          <w:szCs w:val="22"/>
        </w:rPr>
      </w:pPr>
      <w:r w:rsidRPr="00A77CA0">
        <w:rPr>
          <w:rFonts w:ascii="Trebuchet MS" w:hAnsi="Trebuchet MS"/>
          <w:sz w:val="22"/>
          <w:szCs w:val="22"/>
        </w:rPr>
        <w:t xml:space="preserve">Cambridge Health Alliance </w:t>
      </w:r>
    </w:p>
    <w:p w14:paraId="439F5239" w14:textId="77777777" w:rsidR="00A77CA0" w:rsidRPr="00A77CA0" w:rsidRDefault="00A77CA0" w:rsidP="00A77CA0">
      <w:pPr>
        <w:jc w:val="both"/>
        <w:rPr>
          <w:rFonts w:ascii="Trebuchet MS" w:hAnsi="Trebuchet MS"/>
          <w:sz w:val="22"/>
          <w:szCs w:val="22"/>
        </w:rPr>
      </w:pPr>
      <w:r w:rsidRPr="00A77CA0">
        <w:rPr>
          <w:rFonts w:ascii="Trebuchet MS" w:hAnsi="Trebuchet MS"/>
          <w:sz w:val="22"/>
          <w:szCs w:val="22"/>
        </w:rPr>
        <w:t xml:space="preserve">1493 Cambridge Street </w:t>
      </w:r>
    </w:p>
    <w:p w14:paraId="522231B1" w14:textId="77777777" w:rsidR="00A77CA0" w:rsidRPr="00A77CA0" w:rsidRDefault="00A77CA0" w:rsidP="00A77CA0">
      <w:pPr>
        <w:jc w:val="both"/>
        <w:rPr>
          <w:rFonts w:ascii="Trebuchet MS" w:hAnsi="Trebuchet MS"/>
          <w:sz w:val="22"/>
          <w:szCs w:val="22"/>
        </w:rPr>
      </w:pPr>
      <w:r w:rsidRPr="00A77CA0">
        <w:rPr>
          <w:rFonts w:ascii="Trebuchet MS" w:hAnsi="Trebuchet MS"/>
          <w:sz w:val="22"/>
          <w:szCs w:val="22"/>
        </w:rPr>
        <w:t xml:space="preserve">Cambridge, MA 02139 </w:t>
      </w:r>
    </w:p>
    <w:p w14:paraId="6BB2EC7C" w14:textId="77777777" w:rsidR="009A2BEA" w:rsidRPr="002E63C8" w:rsidRDefault="009A2BEA">
      <w:pPr>
        <w:jc w:val="both"/>
        <w:rPr>
          <w:rFonts w:ascii="Trebuchet MS" w:hAnsi="Trebuchet MS"/>
          <w:sz w:val="22"/>
          <w:szCs w:val="22"/>
          <w:highlight w:val="yellow"/>
        </w:rPr>
      </w:pPr>
    </w:p>
    <w:p w14:paraId="4A27524C" w14:textId="77777777" w:rsidR="009A2BEA" w:rsidRPr="002E63C8" w:rsidRDefault="009A2BEA">
      <w:pPr>
        <w:jc w:val="both"/>
        <w:rPr>
          <w:rFonts w:ascii="Trebuchet MS" w:hAnsi="Trebuchet MS"/>
          <w:sz w:val="22"/>
          <w:szCs w:val="22"/>
          <w:highlight w:val="yellow"/>
        </w:rPr>
      </w:pPr>
    </w:p>
    <w:p w14:paraId="618D142F" w14:textId="77777777" w:rsidR="009A2BEA" w:rsidRPr="00A77CA0" w:rsidRDefault="00D3103D">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b/>
          <w:sz w:val="22"/>
          <w:szCs w:val="22"/>
        </w:rPr>
      </w:pPr>
      <w:r w:rsidRPr="00A77CA0">
        <w:rPr>
          <w:rFonts w:ascii="Trebuchet MS" w:hAnsi="Trebuchet MS"/>
          <w:b/>
          <w:sz w:val="22"/>
          <w:szCs w:val="22"/>
        </w:rPr>
        <w:t>RE:</w:t>
      </w:r>
      <w:r w:rsidRPr="00A77CA0">
        <w:rPr>
          <w:rFonts w:ascii="Trebuchet MS" w:hAnsi="Trebuchet MS"/>
          <w:b/>
          <w:sz w:val="22"/>
          <w:szCs w:val="22"/>
        </w:rPr>
        <w:tab/>
      </w:r>
      <w:r w:rsidR="00126CCA" w:rsidRPr="00A77CA0">
        <w:rPr>
          <w:rFonts w:ascii="Trebuchet MS" w:hAnsi="Trebuchet MS"/>
          <w:b/>
          <w:sz w:val="22"/>
          <w:szCs w:val="22"/>
        </w:rPr>
        <w:t>Project Financial Feasibility Services Associated with DPH DON Factor 4</w:t>
      </w:r>
    </w:p>
    <w:p w14:paraId="7C4C4276" w14:textId="77777777" w:rsidR="009A2BEA" w:rsidRPr="002E63C8" w:rsidRDefault="009A2BEA">
      <w:pPr>
        <w:tabs>
          <w:tab w:val="left" w:pos="7383"/>
        </w:tabs>
        <w:jc w:val="both"/>
        <w:rPr>
          <w:rFonts w:ascii="Trebuchet MS" w:hAnsi="Trebuchet MS"/>
          <w:sz w:val="22"/>
          <w:szCs w:val="22"/>
          <w:highlight w:val="yellow"/>
        </w:rPr>
      </w:pPr>
    </w:p>
    <w:p w14:paraId="149E9E95" w14:textId="77777777" w:rsidR="009A2BEA" w:rsidRPr="002E63C8" w:rsidRDefault="009A2BEA">
      <w:pPr>
        <w:tabs>
          <w:tab w:val="left" w:pos="7383"/>
        </w:tabs>
        <w:jc w:val="both"/>
        <w:rPr>
          <w:rFonts w:ascii="Trebuchet MS" w:hAnsi="Trebuchet MS"/>
          <w:sz w:val="22"/>
          <w:szCs w:val="22"/>
          <w:highlight w:val="yellow"/>
        </w:rPr>
      </w:pPr>
    </w:p>
    <w:p w14:paraId="24367B65" w14:textId="341C69CA" w:rsidR="009A2BEA" w:rsidRPr="00A77CA0" w:rsidRDefault="00D3103D">
      <w:pPr>
        <w:jc w:val="both"/>
        <w:rPr>
          <w:rFonts w:ascii="Trebuchet MS" w:hAnsi="Trebuchet MS"/>
          <w:sz w:val="22"/>
          <w:szCs w:val="22"/>
        </w:rPr>
      </w:pPr>
      <w:r w:rsidRPr="00A77CA0">
        <w:rPr>
          <w:rFonts w:ascii="Trebuchet MS" w:hAnsi="Trebuchet MS"/>
          <w:sz w:val="22"/>
          <w:szCs w:val="22"/>
        </w:rPr>
        <w:t>Dear M</w:t>
      </w:r>
      <w:r w:rsidR="00224ADF" w:rsidRPr="00A77CA0">
        <w:rPr>
          <w:rFonts w:ascii="Trebuchet MS" w:hAnsi="Trebuchet MS"/>
          <w:sz w:val="22"/>
          <w:szCs w:val="22"/>
        </w:rPr>
        <w:t xml:space="preserve">s. </w:t>
      </w:r>
      <w:r w:rsidR="00A77CA0" w:rsidRPr="00A77CA0">
        <w:rPr>
          <w:rFonts w:ascii="Trebuchet MS" w:hAnsi="Trebuchet MS"/>
          <w:sz w:val="22"/>
          <w:szCs w:val="22"/>
        </w:rPr>
        <w:t>Synnott</w:t>
      </w:r>
      <w:r w:rsidRPr="00A77CA0">
        <w:rPr>
          <w:rFonts w:ascii="Trebuchet MS" w:hAnsi="Trebuchet MS"/>
          <w:sz w:val="22"/>
          <w:szCs w:val="22"/>
        </w:rPr>
        <w:t>:</w:t>
      </w:r>
    </w:p>
    <w:p w14:paraId="59288D2F" w14:textId="77777777" w:rsidR="009A2BEA" w:rsidRPr="002E63C8" w:rsidRDefault="009A2BEA">
      <w:pPr>
        <w:jc w:val="both"/>
        <w:rPr>
          <w:rFonts w:ascii="Trebuchet MS" w:hAnsi="Trebuchet MS"/>
          <w:sz w:val="22"/>
          <w:szCs w:val="22"/>
          <w:highlight w:val="yellow"/>
        </w:rPr>
      </w:pPr>
    </w:p>
    <w:p w14:paraId="03BD2676" w14:textId="77777777" w:rsidR="009A2BEA" w:rsidRPr="002E63C8" w:rsidRDefault="009A2BEA">
      <w:pPr>
        <w:jc w:val="both"/>
        <w:rPr>
          <w:rFonts w:ascii="Trebuchet MS" w:hAnsi="Trebuchet MS"/>
          <w:sz w:val="22"/>
          <w:szCs w:val="22"/>
          <w:highlight w:val="yellow"/>
        </w:rPr>
      </w:pPr>
    </w:p>
    <w:p w14:paraId="0A791CF1" w14:textId="02C5FF27" w:rsidR="009A2BEA" w:rsidRPr="00A77CA0" w:rsidRDefault="00D3103D" w:rsidP="004A20AF">
      <w:pPr>
        <w:spacing w:line="480" w:lineRule="auto"/>
        <w:jc w:val="both"/>
        <w:rPr>
          <w:rFonts w:ascii="Trebuchet MS" w:hAnsi="Trebuchet MS"/>
          <w:sz w:val="22"/>
          <w:szCs w:val="22"/>
        </w:rPr>
      </w:pPr>
      <w:r w:rsidRPr="00A77CA0">
        <w:rPr>
          <w:rFonts w:ascii="Trebuchet MS" w:hAnsi="Trebuchet MS"/>
          <w:sz w:val="22"/>
          <w:szCs w:val="22"/>
        </w:rPr>
        <w:t xml:space="preserve">We have performed an analysis related to the reasonableness and feasibility of the financial projections (the “Projections”) of </w:t>
      </w:r>
      <w:r w:rsidR="00A12E7C">
        <w:rPr>
          <w:rFonts w:ascii="Trebuchet MS" w:hAnsi="Trebuchet MS"/>
          <w:sz w:val="22"/>
          <w:szCs w:val="22"/>
        </w:rPr>
        <w:t xml:space="preserve">The Cambridge Public Health Commission d/b/a </w:t>
      </w:r>
      <w:r w:rsidR="00A77CA0" w:rsidRPr="00A77CA0">
        <w:rPr>
          <w:rFonts w:ascii="Trebuchet MS" w:hAnsi="Trebuchet MS"/>
          <w:sz w:val="22"/>
          <w:szCs w:val="22"/>
        </w:rPr>
        <w:t>Cambridge Health Alliance</w:t>
      </w:r>
      <w:r w:rsidRPr="00A77CA0">
        <w:rPr>
          <w:rFonts w:ascii="Trebuchet MS" w:hAnsi="Trebuchet MS"/>
          <w:sz w:val="22"/>
          <w:szCs w:val="22"/>
        </w:rPr>
        <w:t xml:space="preserve"> (“</w:t>
      </w:r>
      <w:r w:rsidR="00A77CA0" w:rsidRPr="00A77CA0">
        <w:rPr>
          <w:rFonts w:ascii="Trebuchet MS" w:hAnsi="Trebuchet MS"/>
          <w:sz w:val="22"/>
          <w:szCs w:val="22"/>
        </w:rPr>
        <w:t>CH</w:t>
      </w:r>
      <w:r w:rsidR="00A77CA0">
        <w:rPr>
          <w:rFonts w:ascii="Trebuchet MS" w:hAnsi="Trebuchet MS"/>
          <w:sz w:val="22"/>
          <w:szCs w:val="22"/>
        </w:rPr>
        <w:t>A</w:t>
      </w:r>
      <w:r w:rsidRPr="00A77CA0">
        <w:rPr>
          <w:rFonts w:ascii="Trebuchet MS" w:hAnsi="Trebuchet MS"/>
          <w:sz w:val="22"/>
          <w:szCs w:val="22"/>
        </w:rPr>
        <w:t>” or “the Applicant”)</w:t>
      </w:r>
      <w:r w:rsidR="003F6E53" w:rsidRPr="00A77CA0">
        <w:rPr>
          <w:rFonts w:ascii="Trebuchet MS" w:hAnsi="Trebuchet MS"/>
          <w:sz w:val="22"/>
          <w:szCs w:val="22"/>
        </w:rPr>
        <w:t xml:space="preserve">, </w:t>
      </w:r>
      <w:r w:rsidRPr="00A77CA0">
        <w:rPr>
          <w:rFonts w:ascii="Trebuchet MS" w:hAnsi="Trebuchet MS"/>
          <w:sz w:val="22"/>
          <w:szCs w:val="22"/>
        </w:rPr>
        <w:t xml:space="preserve">related to </w:t>
      </w:r>
      <w:r w:rsidR="004F4399" w:rsidRPr="00A77CA0">
        <w:rPr>
          <w:rFonts w:ascii="Trebuchet MS" w:hAnsi="Trebuchet MS"/>
          <w:sz w:val="22"/>
          <w:szCs w:val="22"/>
        </w:rPr>
        <w:t xml:space="preserve">the </w:t>
      </w:r>
      <w:bookmarkStart w:id="4" w:name="_Hlk97099055"/>
      <w:r w:rsidR="00DD088E" w:rsidRPr="00A77CA0">
        <w:rPr>
          <w:rFonts w:ascii="Trebuchet MS" w:hAnsi="Trebuchet MS"/>
          <w:sz w:val="22"/>
          <w:szCs w:val="22"/>
        </w:rPr>
        <w:t xml:space="preserve">proposed </w:t>
      </w:r>
      <w:bookmarkEnd w:id="4"/>
      <w:r w:rsidR="00CB6750" w:rsidRPr="00A77CA0">
        <w:rPr>
          <w:rFonts w:ascii="Trebuchet MS" w:hAnsi="Trebuchet MS"/>
          <w:sz w:val="22"/>
          <w:szCs w:val="22"/>
        </w:rPr>
        <w:t>project as detailed further below (the “Proposed Project”)</w:t>
      </w:r>
      <w:r w:rsidR="00126CCA" w:rsidRPr="00A77CA0">
        <w:rPr>
          <w:rFonts w:ascii="Trebuchet MS" w:hAnsi="Trebuchet MS"/>
          <w:sz w:val="22"/>
          <w:szCs w:val="22"/>
        </w:rPr>
        <w:t xml:space="preserve">. </w:t>
      </w:r>
      <w:r w:rsidRPr="00A77CA0">
        <w:rPr>
          <w:rFonts w:ascii="Trebuchet MS" w:hAnsi="Trebuchet MS"/>
          <w:sz w:val="22"/>
          <w:szCs w:val="22"/>
        </w:rPr>
        <w:t xml:space="preserve">This report details our analysis and findings </w:t>
      </w:r>
      <w:proofErr w:type="gramStart"/>
      <w:r w:rsidRPr="00A77CA0">
        <w:rPr>
          <w:rFonts w:ascii="Trebuchet MS" w:hAnsi="Trebuchet MS"/>
          <w:sz w:val="22"/>
          <w:szCs w:val="22"/>
        </w:rPr>
        <w:t>with regard to</w:t>
      </w:r>
      <w:proofErr w:type="gramEnd"/>
      <w:r w:rsidRPr="00A77CA0">
        <w:rPr>
          <w:rFonts w:ascii="Trebuchet MS" w:hAnsi="Trebuchet MS"/>
          <w:sz w:val="22"/>
          <w:szCs w:val="22"/>
        </w:rPr>
        <w:t xml:space="preserve"> the reasonableness of assumptions used in the preparation of the Projections and feasibility of the projected financial results prepared by the management of </w:t>
      </w:r>
      <w:r w:rsidR="00A77CA0" w:rsidRPr="00A77CA0">
        <w:rPr>
          <w:rFonts w:ascii="Trebuchet MS" w:hAnsi="Trebuchet MS"/>
          <w:sz w:val="22"/>
          <w:szCs w:val="22"/>
        </w:rPr>
        <w:t>CH</w:t>
      </w:r>
      <w:r w:rsidR="00A12E7C">
        <w:rPr>
          <w:rFonts w:ascii="Trebuchet MS" w:hAnsi="Trebuchet MS"/>
          <w:sz w:val="22"/>
          <w:szCs w:val="22"/>
        </w:rPr>
        <w:t>A</w:t>
      </w:r>
      <w:r w:rsidR="004A20AF" w:rsidRPr="00A77CA0">
        <w:rPr>
          <w:rFonts w:ascii="Trebuchet MS" w:hAnsi="Trebuchet MS"/>
          <w:sz w:val="22"/>
          <w:szCs w:val="22"/>
        </w:rPr>
        <w:t xml:space="preserve"> </w:t>
      </w:r>
      <w:r w:rsidRPr="00A77CA0">
        <w:rPr>
          <w:rFonts w:ascii="Trebuchet MS" w:hAnsi="Trebuchet MS"/>
          <w:sz w:val="22"/>
          <w:szCs w:val="22"/>
        </w:rPr>
        <w:t xml:space="preserve">(“Management”). This report is to be used by </w:t>
      </w:r>
      <w:r w:rsidR="00A77CA0" w:rsidRPr="00A77CA0">
        <w:rPr>
          <w:rFonts w:ascii="Trebuchet MS" w:hAnsi="Trebuchet MS"/>
          <w:sz w:val="22"/>
          <w:szCs w:val="22"/>
        </w:rPr>
        <w:t>CH</w:t>
      </w:r>
      <w:r w:rsidR="00A12E7C">
        <w:rPr>
          <w:rFonts w:ascii="Trebuchet MS" w:hAnsi="Trebuchet MS"/>
          <w:sz w:val="22"/>
          <w:szCs w:val="22"/>
        </w:rPr>
        <w:t>A</w:t>
      </w:r>
      <w:r w:rsidR="00070E4D" w:rsidRPr="00A77CA0">
        <w:rPr>
          <w:rFonts w:ascii="Trebuchet MS" w:hAnsi="Trebuchet MS"/>
          <w:sz w:val="22"/>
          <w:szCs w:val="22"/>
        </w:rPr>
        <w:t xml:space="preserve"> </w:t>
      </w:r>
      <w:r w:rsidRPr="00A77CA0">
        <w:rPr>
          <w:rFonts w:ascii="Trebuchet MS" w:hAnsi="Trebuchet MS"/>
          <w:sz w:val="22"/>
          <w:szCs w:val="22"/>
        </w:rPr>
        <w:t xml:space="preserve">in connection with its </w:t>
      </w:r>
      <w:r w:rsidR="00970340" w:rsidRPr="00A77CA0">
        <w:rPr>
          <w:rFonts w:ascii="Trebuchet MS" w:hAnsi="Trebuchet MS"/>
          <w:sz w:val="22"/>
          <w:szCs w:val="22"/>
        </w:rPr>
        <w:t>Determination of Need (“</w:t>
      </w:r>
      <w:r w:rsidRPr="00A77CA0">
        <w:rPr>
          <w:rFonts w:ascii="Trebuchet MS" w:hAnsi="Trebuchet MS"/>
          <w:sz w:val="22"/>
          <w:szCs w:val="22"/>
        </w:rPr>
        <w:t>D</w:t>
      </w:r>
      <w:r w:rsidR="007F31AA" w:rsidRPr="00A77CA0">
        <w:rPr>
          <w:rFonts w:ascii="Trebuchet MS" w:hAnsi="Trebuchet MS"/>
          <w:sz w:val="22"/>
          <w:szCs w:val="22"/>
        </w:rPr>
        <w:t>O</w:t>
      </w:r>
      <w:r w:rsidRPr="00A77CA0">
        <w:rPr>
          <w:rFonts w:ascii="Trebuchet MS" w:hAnsi="Trebuchet MS"/>
          <w:sz w:val="22"/>
          <w:szCs w:val="22"/>
        </w:rPr>
        <w:t>N</w:t>
      </w:r>
      <w:r w:rsidR="00970340" w:rsidRPr="00A77CA0">
        <w:rPr>
          <w:rFonts w:ascii="Trebuchet MS" w:hAnsi="Trebuchet MS"/>
          <w:sz w:val="22"/>
          <w:szCs w:val="22"/>
        </w:rPr>
        <w:t>”)</w:t>
      </w:r>
      <w:r w:rsidRPr="00A77CA0">
        <w:rPr>
          <w:rFonts w:ascii="Trebuchet MS" w:hAnsi="Trebuchet MS"/>
          <w:sz w:val="22"/>
          <w:szCs w:val="22"/>
        </w:rPr>
        <w:t xml:space="preserve"> Application – Factor 4</w:t>
      </w:r>
      <w:r w:rsidR="00970340" w:rsidRPr="00A77CA0">
        <w:rPr>
          <w:rFonts w:ascii="Trebuchet MS" w:hAnsi="Trebuchet MS"/>
          <w:sz w:val="22"/>
          <w:szCs w:val="22"/>
        </w:rPr>
        <w:t>(a)</w:t>
      </w:r>
      <w:r w:rsidRPr="00A77CA0">
        <w:rPr>
          <w:rFonts w:ascii="Trebuchet MS" w:hAnsi="Trebuchet MS"/>
          <w:sz w:val="22"/>
          <w:szCs w:val="22"/>
        </w:rPr>
        <w:t xml:space="preserve"> and should not be distributed or relied upon for any other purpose.</w:t>
      </w:r>
    </w:p>
    <w:p w14:paraId="6357F322" w14:textId="77777777" w:rsidR="0024640C" w:rsidRPr="002E63C8" w:rsidRDefault="0024640C">
      <w:pPr>
        <w:spacing w:line="480" w:lineRule="auto"/>
        <w:jc w:val="both"/>
        <w:rPr>
          <w:rFonts w:ascii="Trebuchet MS" w:hAnsi="Trebuchet MS"/>
          <w:sz w:val="22"/>
          <w:szCs w:val="22"/>
          <w:highlight w:val="yellow"/>
        </w:rPr>
      </w:pPr>
    </w:p>
    <w:p w14:paraId="40175849" w14:textId="77777777" w:rsidR="009A2BEA" w:rsidRPr="00F04014" w:rsidRDefault="00D3103D">
      <w:pPr>
        <w:pStyle w:val="Heading1"/>
        <w:keepNext w:val="0"/>
        <w:numPr>
          <w:ilvl w:val="0"/>
          <w:numId w:val="1"/>
        </w:numPr>
        <w:tabs>
          <w:tab w:val="clear" w:pos="144"/>
        </w:tabs>
        <w:spacing w:line="480" w:lineRule="auto"/>
        <w:ind w:hanging="720"/>
        <w:rPr>
          <w:rFonts w:ascii="Trebuchet MS" w:hAnsi="Trebuchet MS"/>
          <w:sz w:val="22"/>
          <w:szCs w:val="22"/>
        </w:rPr>
      </w:pPr>
      <w:r w:rsidRPr="00F04014">
        <w:rPr>
          <w:rFonts w:ascii="Trebuchet MS" w:hAnsi="Trebuchet MS"/>
          <w:sz w:val="22"/>
          <w:szCs w:val="22"/>
        </w:rPr>
        <w:t>EXECUTIVE SUMMARY</w:t>
      </w:r>
    </w:p>
    <w:p w14:paraId="5AA2C8CD" w14:textId="77777777" w:rsidR="009A2BEA" w:rsidRPr="00F04014" w:rsidRDefault="009A2BEA">
      <w:pPr>
        <w:rPr>
          <w:rFonts w:ascii="Trebuchet MS" w:hAnsi="Trebuchet MS"/>
          <w:sz w:val="22"/>
          <w:szCs w:val="22"/>
        </w:rPr>
      </w:pPr>
    </w:p>
    <w:p w14:paraId="31FE49F9" w14:textId="3EC6DE5F" w:rsidR="00EF5377" w:rsidRPr="00F04014" w:rsidRDefault="00D3103D" w:rsidP="00EF5377">
      <w:pPr>
        <w:spacing w:line="480" w:lineRule="auto"/>
        <w:jc w:val="both"/>
        <w:rPr>
          <w:rFonts w:ascii="Trebuchet MS" w:hAnsi="Trebuchet MS"/>
          <w:sz w:val="22"/>
          <w:szCs w:val="22"/>
        </w:rPr>
      </w:pPr>
      <w:r w:rsidRPr="00F04014">
        <w:rPr>
          <w:rFonts w:ascii="Trebuchet MS" w:hAnsi="Trebuchet MS"/>
          <w:sz w:val="22"/>
          <w:szCs w:val="22"/>
        </w:rPr>
        <w:t xml:space="preserve">The scope of our review was limited to an analysis of the </w:t>
      </w:r>
      <w:r w:rsidR="004A20AF" w:rsidRPr="00F04014">
        <w:rPr>
          <w:rFonts w:ascii="Trebuchet MS" w:hAnsi="Trebuchet MS"/>
          <w:sz w:val="22"/>
          <w:szCs w:val="22"/>
        </w:rPr>
        <w:t xml:space="preserve">consolidated </w:t>
      </w:r>
      <w:r w:rsidR="00A12E7C">
        <w:rPr>
          <w:rFonts w:ascii="Trebuchet MS" w:hAnsi="Trebuchet MS"/>
          <w:sz w:val="22"/>
          <w:szCs w:val="22"/>
        </w:rPr>
        <w:t>six</w:t>
      </w:r>
      <w:r w:rsidRPr="00F04014">
        <w:rPr>
          <w:rFonts w:ascii="Trebuchet MS" w:hAnsi="Trebuchet MS"/>
          <w:sz w:val="22"/>
          <w:szCs w:val="22"/>
        </w:rPr>
        <w:t xml:space="preserve">-year financial projections for the Applicant for the fiscal years ending </w:t>
      </w:r>
      <w:r w:rsidR="00A77CA0" w:rsidRPr="00F04014">
        <w:rPr>
          <w:rFonts w:ascii="Trebuchet MS" w:hAnsi="Trebuchet MS"/>
          <w:sz w:val="22"/>
          <w:szCs w:val="22"/>
        </w:rPr>
        <w:t>June</w:t>
      </w:r>
      <w:r w:rsidR="000F0078" w:rsidRPr="00F04014">
        <w:rPr>
          <w:rFonts w:ascii="Trebuchet MS" w:hAnsi="Trebuchet MS"/>
          <w:sz w:val="22"/>
          <w:szCs w:val="22"/>
        </w:rPr>
        <w:t xml:space="preserve"> 30, </w:t>
      </w:r>
      <w:proofErr w:type="gramStart"/>
      <w:r w:rsidR="00FC48F0" w:rsidRPr="00F04014">
        <w:rPr>
          <w:rFonts w:ascii="Trebuchet MS" w:hAnsi="Trebuchet MS"/>
          <w:sz w:val="22"/>
          <w:szCs w:val="22"/>
        </w:rPr>
        <w:t>2022</w:t>
      </w:r>
      <w:proofErr w:type="gramEnd"/>
      <w:r w:rsidR="00FC48F0" w:rsidRPr="00F04014">
        <w:rPr>
          <w:rFonts w:ascii="Trebuchet MS" w:hAnsi="Trebuchet MS"/>
          <w:sz w:val="22"/>
          <w:szCs w:val="22"/>
        </w:rPr>
        <w:t xml:space="preserve"> </w:t>
      </w:r>
      <w:r w:rsidRPr="00F04014">
        <w:rPr>
          <w:rFonts w:ascii="Trebuchet MS" w:hAnsi="Trebuchet MS"/>
          <w:sz w:val="22"/>
          <w:szCs w:val="22"/>
        </w:rPr>
        <w:t xml:space="preserve">through </w:t>
      </w:r>
      <w:r w:rsidR="00A77CA0" w:rsidRPr="00F04014">
        <w:rPr>
          <w:rFonts w:ascii="Trebuchet MS" w:hAnsi="Trebuchet MS"/>
          <w:sz w:val="22"/>
          <w:szCs w:val="22"/>
        </w:rPr>
        <w:t>2027</w:t>
      </w:r>
      <w:r w:rsidR="00691961" w:rsidRPr="00F04014">
        <w:rPr>
          <w:rFonts w:ascii="Trebuchet MS" w:hAnsi="Trebuchet MS"/>
          <w:sz w:val="22"/>
          <w:szCs w:val="22"/>
        </w:rPr>
        <w:t xml:space="preserve"> </w:t>
      </w:r>
      <w:r w:rsidRPr="00F04014">
        <w:rPr>
          <w:rFonts w:ascii="Trebuchet MS" w:hAnsi="Trebuchet MS"/>
          <w:sz w:val="22"/>
          <w:szCs w:val="22"/>
        </w:rPr>
        <w:t>prepared by Management and the supporting documentation to render an opinion as to the reasonableness of assumptions used in the preparation and feasibility of the Projections.</w:t>
      </w:r>
      <w:r w:rsidR="00FF6B1B" w:rsidRPr="00F04014">
        <w:rPr>
          <w:rFonts w:ascii="Trebuchet MS" w:hAnsi="Trebuchet MS"/>
          <w:sz w:val="22"/>
          <w:szCs w:val="22"/>
        </w:rPr>
        <w:t xml:space="preserve">  </w:t>
      </w:r>
    </w:p>
    <w:p w14:paraId="60A9D8D5" w14:textId="5544A530" w:rsidR="00EF5377" w:rsidRPr="002E63C8" w:rsidRDefault="00661581" w:rsidP="00EF5377">
      <w:pPr>
        <w:spacing w:line="480" w:lineRule="auto"/>
        <w:jc w:val="both"/>
        <w:rPr>
          <w:rFonts w:ascii="Trebuchet MS" w:hAnsi="Trebuchet MS"/>
          <w:sz w:val="22"/>
          <w:szCs w:val="22"/>
          <w:highlight w:val="yellow"/>
        </w:rPr>
      </w:pPr>
      <w:r w:rsidRPr="001016A7">
        <w:rPr>
          <w:rFonts w:ascii="Trebuchet MS" w:hAnsi="Trebuchet MS"/>
          <w:sz w:val="22"/>
          <w:szCs w:val="22"/>
        </w:rPr>
        <w:lastRenderedPageBreak/>
        <w:t>T</w:t>
      </w:r>
      <w:r w:rsidR="003230EE" w:rsidRPr="001016A7">
        <w:rPr>
          <w:rFonts w:ascii="Trebuchet MS" w:hAnsi="Trebuchet MS"/>
          <w:sz w:val="22"/>
          <w:szCs w:val="22"/>
        </w:rPr>
        <w:t>he Projections exhibit a cumulative operating EBITDA</w:t>
      </w:r>
      <w:r w:rsidR="007722CF" w:rsidRPr="001016A7">
        <w:rPr>
          <w:rStyle w:val="FootnoteReference"/>
          <w:rFonts w:ascii="Trebuchet MS" w:hAnsi="Trebuchet MS"/>
          <w:sz w:val="22"/>
          <w:szCs w:val="22"/>
        </w:rPr>
        <w:footnoteReference w:id="1"/>
      </w:r>
      <w:r w:rsidR="007722CF" w:rsidRPr="001016A7">
        <w:rPr>
          <w:rFonts w:ascii="Trebuchet MS" w:hAnsi="Trebuchet MS"/>
          <w:sz w:val="22"/>
          <w:szCs w:val="22"/>
        </w:rPr>
        <w:t xml:space="preserve"> </w:t>
      </w:r>
      <w:r w:rsidR="003230EE" w:rsidRPr="001016A7">
        <w:rPr>
          <w:rFonts w:ascii="Trebuchet MS" w:hAnsi="Trebuchet MS"/>
          <w:sz w:val="22"/>
          <w:szCs w:val="22"/>
        </w:rPr>
        <w:t xml:space="preserve">surplus of approximately </w:t>
      </w:r>
      <w:r w:rsidR="00794B74">
        <w:rPr>
          <w:rFonts w:ascii="Trebuchet MS" w:hAnsi="Trebuchet MS"/>
          <w:sz w:val="22"/>
          <w:szCs w:val="22"/>
        </w:rPr>
        <w:t>1.9</w:t>
      </w:r>
      <w:r w:rsidR="003230EE" w:rsidRPr="001016A7">
        <w:rPr>
          <w:rFonts w:ascii="Trebuchet MS" w:hAnsi="Trebuchet MS"/>
          <w:sz w:val="22"/>
          <w:szCs w:val="22"/>
        </w:rPr>
        <w:t xml:space="preserve"> percent of cumulative projected revenue </w:t>
      </w:r>
      <w:r w:rsidR="00CE27E8" w:rsidRPr="001016A7">
        <w:rPr>
          <w:rFonts w:ascii="Trebuchet MS" w:hAnsi="Trebuchet MS"/>
          <w:sz w:val="22"/>
          <w:szCs w:val="22"/>
        </w:rPr>
        <w:t xml:space="preserve">of </w:t>
      </w:r>
      <w:r w:rsidR="00F04014" w:rsidRPr="001016A7">
        <w:rPr>
          <w:rFonts w:ascii="Trebuchet MS" w:hAnsi="Trebuchet MS"/>
          <w:sz w:val="22"/>
          <w:szCs w:val="22"/>
        </w:rPr>
        <w:t>CHA</w:t>
      </w:r>
      <w:r w:rsidR="003230EE" w:rsidRPr="00F04014">
        <w:rPr>
          <w:rFonts w:ascii="Trebuchet MS" w:hAnsi="Trebuchet MS"/>
          <w:sz w:val="22"/>
          <w:szCs w:val="22"/>
        </w:rPr>
        <w:t xml:space="preserve"> for the </w:t>
      </w:r>
      <w:r w:rsidR="00794B74">
        <w:rPr>
          <w:rFonts w:ascii="Trebuchet MS" w:hAnsi="Trebuchet MS"/>
          <w:sz w:val="22"/>
          <w:szCs w:val="22"/>
        </w:rPr>
        <w:t>six</w:t>
      </w:r>
      <w:r w:rsidR="00794B74" w:rsidRPr="00F04014">
        <w:rPr>
          <w:rFonts w:ascii="Trebuchet MS" w:hAnsi="Trebuchet MS"/>
          <w:sz w:val="22"/>
          <w:szCs w:val="22"/>
        </w:rPr>
        <w:t xml:space="preserve"> </w:t>
      </w:r>
      <w:r w:rsidR="003230EE" w:rsidRPr="00F04014">
        <w:rPr>
          <w:rFonts w:ascii="Trebuchet MS" w:hAnsi="Trebuchet MS"/>
          <w:sz w:val="22"/>
          <w:szCs w:val="22"/>
        </w:rPr>
        <w:t xml:space="preserve">years from </w:t>
      </w:r>
      <w:r w:rsidR="004132F5" w:rsidRPr="00F04014">
        <w:rPr>
          <w:rFonts w:ascii="Trebuchet MS" w:hAnsi="Trebuchet MS"/>
          <w:sz w:val="22"/>
          <w:szCs w:val="22"/>
        </w:rPr>
        <w:t>fiscal year (“</w:t>
      </w:r>
      <w:r w:rsidR="003230EE" w:rsidRPr="00F04014">
        <w:rPr>
          <w:rFonts w:ascii="Trebuchet MS" w:hAnsi="Trebuchet MS"/>
          <w:sz w:val="22"/>
          <w:szCs w:val="22"/>
        </w:rPr>
        <w:t>FY</w:t>
      </w:r>
      <w:r w:rsidR="004132F5" w:rsidRPr="00F04014">
        <w:rPr>
          <w:rFonts w:ascii="Trebuchet MS" w:hAnsi="Trebuchet MS"/>
          <w:sz w:val="22"/>
          <w:szCs w:val="22"/>
        </w:rPr>
        <w:t>”)</w:t>
      </w:r>
      <w:r w:rsidR="003230EE" w:rsidRPr="00F04014">
        <w:rPr>
          <w:rFonts w:ascii="Trebuchet MS" w:hAnsi="Trebuchet MS"/>
          <w:sz w:val="22"/>
          <w:szCs w:val="22"/>
        </w:rPr>
        <w:t xml:space="preserve"> </w:t>
      </w:r>
      <w:r w:rsidR="000239A4" w:rsidRPr="00F04014">
        <w:rPr>
          <w:rFonts w:ascii="Trebuchet MS" w:hAnsi="Trebuchet MS"/>
          <w:sz w:val="22"/>
          <w:szCs w:val="22"/>
        </w:rPr>
        <w:t xml:space="preserve">2022 </w:t>
      </w:r>
      <w:r w:rsidR="003230EE" w:rsidRPr="00F04014">
        <w:rPr>
          <w:rFonts w:ascii="Trebuchet MS" w:hAnsi="Trebuchet MS"/>
          <w:sz w:val="22"/>
          <w:szCs w:val="22"/>
        </w:rPr>
        <w:t xml:space="preserve">through </w:t>
      </w:r>
      <w:r w:rsidR="00691961" w:rsidRPr="00F04014">
        <w:rPr>
          <w:rFonts w:ascii="Trebuchet MS" w:hAnsi="Trebuchet MS"/>
          <w:sz w:val="22"/>
          <w:szCs w:val="22"/>
        </w:rPr>
        <w:t>202</w:t>
      </w:r>
      <w:r w:rsidR="00F04014" w:rsidRPr="00F04014">
        <w:rPr>
          <w:rFonts w:ascii="Trebuchet MS" w:hAnsi="Trebuchet MS"/>
          <w:sz w:val="22"/>
          <w:szCs w:val="22"/>
        </w:rPr>
        <w:t>7</w:t>
      </w:r>
      <w:r w:rsidR="003230EE" w:rsidRPr="00F04014">
        <w:rPr>
          <w:rFonts w:ascii="Trebuchet MS" w:hAnsi="Trebuchet MS"/>
          <w:sz w:val="22"/>
          <w:szCs w:val="22"/>
        </w:rPr>
        <w:t xml:space="preserve">. </w:t>
      </w:r>
      <w:r w:rsidRPr="00F04014">
        <w:rPr>
          <w:rFonts w:ascii="Trebuchet MS" w:hAnsi="Trebuchet MS"/>
          <w:sz w:val="22"/>
          <w:szCs w:val="22"/>
        </w:rPr>
        <w:t>Based upon our review of the relevant documents and analysis of the Projections, we determined the anticipated operating EBITDA surplus is a reasonable expectation and based upon feasible financial assumptions.</w:t>
      </w:r>
      <w:r w:rsidR="00DC6493" w:rsidRPr="00F04014">
        <w:rPr>
          <w:rFonts w:ascii="Trebuchet MS" w:hAnsi="Trebuchet MS"/>
          <w:sz w:val="22"/>
          <w:szCs w:val="22"/>
        </w:rPr>
        <w:t xml:space="preserve"> </w:t>
      </w:r>
      <w:r w:rsidR="00EF5377" w:rsidRPr="00F04014">
        <w:rPr>
          <w:rFonts w:ascii="Trebuchet MS" w:hAnsi="Trebuchet MS"/>
          <w:sz w:val="22"/>
          <w:szCs w:val="22"/>
        </w:rPr>
        <w:t xml:space="preserve">Accordingly, we determined that the Projections are reasonable and feasible, and not likely to have a negative impact on the Applicant’s patient panel or result in a liquidation of </w:t>
      </w:r>
      <w:r w:rsidR="00F04014" w:rsidRPr="00F04014">
        <w:rPr>
          <w:rFonts w:ascii="Trebuchet MS" w:hAnsi="Trebuchet MS"/>
          <w:sz w:val="22"/>
          <w:szCs w:val="22"/>
        </w:rPr>
        <w:t>CHA</w:t>
      </w:r>
      <w:r w:rsidR="00EF5377" w:rsidRPr="00F04014">
        <w:rPr>
          <w:rFonts w:ascii="Trebuchet MS" w:hAnsi="Trebuchet MS"/>
          <w:sz w:val="22"/>
          <w:szCs w:val="22"/>
        </w:rPr>
        <w:t>’s assets.</w:t>
      </w:r>
      <w:r w:rsidR="00970340" w:rsidRPr="00F04014">
        <w:rPr>
          <w:rFonts w:ascii="Trebuchet MS" w:hAnsi="Trebuchet MS"/>
          <w:sz w:val="22"/>
          <w:szCs w:val="22"/>
        </w:rPr>
        <w:t xml:space="preserve"> </w:t>
      </w:r>
      <w:r w:rsidR="00EF5377" w:rsidRPr="00F04014">
        <w:rPr>
          <w:rFonts w:ascii="Trebuchet MS" w:hAnsi="Trebuchet MS"/>
          <w:sz w:val="22"/>
          <w:szCs w:val="22"/>
        </w:rPr>
        <w:t>A detailed explanation of the basis for our determination of reasonableness and feasibility is contained within this report.</w:t>
      </w:r>
    </w:p>
    <w:p w14:paraId="6EF0598A" w14:textId="77777777" w:rsidR="00B423AF" w:rsidRPr="002E63C8" w:rsidRDefault="00B423AF">
      <w:pPr>
        <w:spacing w:line="480" w:lineRule="auto"/>
        <w:jc w:val="both"/>
        <w:rPr>
          <w:rFonts w:ascii="Trebuchet MS" w:hAnsi="Trebuchet MS"/>
          <w:sz w:val="22"/>
          <w:szCs w:val="22"/>
          <w:highlight w:val="yellow"/>
        </w:rPr>
      </w:pPr>
    </w:p>
    <w:p w14:paraId="15A7EE22" w14:textId="27661382" w:rsidR="00EF5377" w:rsidRPr="00CD24CA" w:rsidRDefault="00EF5377" w:rsidP="00EF5377">
      <w:pPr>
        <w:pStyle w:val="Heading1"/>
        <w:keepNext w:val="0"/>
        <w:numPr>
          <w:ilvl w:val="0"/>
          <w:numId w:val="1"/>
        </w:numPr>
        <w:tabs>
          <w:tab w:val="clear" w:pos="144"/>
        </w:tabs>
        <w:spacing w:line="480" w:lineRule="auto"/>
        <w:ind w:hanging="720"/>
        <w:rPr>
          <w:rFonts w:ascii="Trebuchet MS" w:hAnsi="Trebuchet MS"/>
          <w:sz w:val="22"/>
          <w:szCs w:val="22"/>
        </w:rPr>
      </w:pPr>
      <w:r w:rsidRPr="00CD24CA">
        <w:rPr>
          <w:rFonts w:ascii="Trebuchet MS" w:hAnsi="Trebuchet MS"/>
          <w:sz w:val="22"/>
          <w:szCs w:val="22"/>
        </w:rPr>
        <w:t>RELEVANT BACKGROUND INFORMATION</w:t>
      </w:r>
      <w:r w:rsidR="00925E94" w:rsidRPr="00CD24CA">
        <w:rPr>
          <w:rStyle w:val="FootnoteReference"/>
          <w:rFonts w:ascii="Trebuchet MS" w:hAnsi="Trebuchet MS"/>
          <w:sz w:val="22"/>
          <w:szCs w:val="22"/>
        </w:rPr>
        <w:footnoteReference w:id="2"/>
      </w:r>
    </w:p>
    <w:p w14:paraId="66675083" w14:textId="77777777" w:rsidR="00EF5377" w:rsidRPr="002E63C8" w:rsidRDefault="00EF5377" w:rsidP="00A22182">
      <w:pPr>
        <w:jc w:val="both"/>
        <w:rPr>
          <w:rFonts w:ascii="Trebuchet MS" w:hAnsi="Trebuchet MS"/>
          <w:sz w:val="22"/>
          <w:szCs w:val="22"/>
          <w:highlight w:val="yellow"/>
        </w:rPr>
      </w:pPr>
    </w:p>
    <w:p w14:paraId="24889A57" w14:textId="1D1BD7D9" w:rsidR="00BB7034" w:rsidRDefault="0047660F" w:rsidP="00220248">
      <w:pPr>
        <w:spacing w:line="480" w:lineRule="auto"/>
        <w:jc w:val="both"/>
        <w:rPr>
          <w:rFonts w:ascii="Trebuchet MS" w:hAnsi="Trebuchet MS"/>
          <w:sz w:val="22"/>
          <w:szCs w:val="22"/>
        </w:rPr>
      </w:pPr>
      <w:r w:rsidRPr="00CD24CA">
        <w:rPr>
          <w:rFonts w:ascii="Trebuchet MS" w:hAnsi="Trebuchet MS"/>
          <w:sz w:val="22"/>
          <w:szCs w:val="22"/>
        </w:rPr>
        <w:t xml:space="preserve">The Applicant, </w:t>
      </w:r>
      <w:r w:rsidR="00F04014" w:rsidRPr="00CD24CA">
        <w:rPr>
          <w:rFonts w:ascii="Trebuchet MS" w:hAnsi="Trebuchet MS"/>
          <w:sz w:val="22"/>
          <w:szCs w:val="22"/>
        </w:rPr>
        <w:t>Cambridge Health Alliance</w:t>
      </w:r>
      <w:r w:rsidR="00944BD9" w:rsidRPr="00CD24CA">
        <w:rPr>
          <w:rFonts w:ascii="Trebuchet MS" w:hAnsi="Trebuchet MS"/>
          <w:sz w:val="22"/>
          <w:szCs w:val="22"/>
        </w:rPr>
        <w:t>,</w:t>
      </w:r>
      <w:r w:rsidRPr="00CD24CA">
        <w:rPr>
          <w:rFonts w:ascii="Trebuchet MS" w:hAnsi="Trebuchet MS"/>
          <w:sz w:val="22"/>
          <w:szCs w:val="22"/>
        </w:rPr>
        <w:t xml:space="preserve"> is</w:t>
      </w:r>
      <w:r w:rsidR="00CD24CA" w:rsidRPr="00CD24CA">
        <w:rPr>
          <w:rFonts w:ascii="Trebuchet MS" w:hAnsi="Trebuchet MS"/>
          <w:sz w:val="22"/>
          <w:szCs w:val="22"/>
        </w:rPr>
        <w:t xml:space="preserve"> a </w:t>
      </w:r>
      <w:r w:rsidR="0010064D">
        <w:rPr>
          <w:rFonts w:ascii="Trebuchet MS" w:hAnsi="Trebuchet MS"/>
          <w:sz w:val="22"/>
          <w:szCs w:val="22"/>
        </w:rPr>
        <w:t xml:space="preserve">regional integrated healthcare system primarily serving Boston’s </w:t>
      </w:r>
      <w:r w:rsidR="00CD24CA" w:rsidRPr="00CD24CA">
        <w:rPr>
          <w:rFonts w:ascii="Trebuchet MS" w:hAnsi="Trebuchet MS"/>
          <w:sz w:val="22"/>
          <w:szCs w:val="22"/>
        </w:rPr>
        <w:t xml:space="preserve">metro-north communities. </w:t>
      </w:r>
      <w:r w:rsidR="005455C4">
        <w:rPr>
          <w:rFonts w:ascii="Trebuchet MS" w:hAnsi="Trebuchet MS"/>
          <w:sz w:val="22"/>
          <w:szCs w:val="22"/>
        </w:rPr>
        <w:t>CHA has an extensive network of primary care and ambulatory care centers</w:t>
      </w:r>
      <w:r w:rsidR="00415900">
        <w:rPr>
          <w:rFonts w:ascii="Trebuchet MS" w:hAnsi="Trebuchet MS"/>
          <w:sz w:val="22"/>
          <w:szCs w:val="22"/>
        </w:rPr>
        <w:t xml:space="preserve"> across its service area</w:t>
      </w:r>
      <w:r w:rsidR="005455C4">
        <w:rPr>
          <w:rFonts w:ascii="Trebuchet MS" w:hAnsi="Trebuchet MS"/>
          <w:sz w:val="22"/>
          <w:szCs w:val="22"/>
        </w:rPr>
        <w:t>, including a care center in Malden (“CHA Malden</w:t>
      </w:r>
      <w:r w:rsidR="00900B50">
        <w:rPr>
          <w:rFonts w:ascii="Trebuchet MS" w:hAnsi="Trebuchet MS"/>
          <w:sz w:val="22"/>
          <w:szCs w:val="22"/>
        </w:rPr>
        <w:t xml:space="preserve"> Care Center</w:t>
      </w:r>
      <w:r w:rsidR="005455C4">
        <w:rPr>
          <w:rFonts w:ascii="Trebuchet MS" w:hAnsi="Trebuchet MS"/>
          <w:sz w:val="22"/>
          <w:szCs w:val="22"/>
        </w:rPr>
        <w:t xml:space="preserve">”). </w:t>
      </w:r>
      <w:r w:rsidR="00CD24CA" w:rsidRPr="00CD24CA">
        <w:rPr>
          <w:rFonts w:ascii="Trebuchet MS" w:hAnsi="Trebuchet MS"/>
          <w:sz w:val="22"/>
          <w:szCs w:val="22"/>
        </w:rPr>
        <w:t xml:space="preserve">The Applicant </w:t>
      </w:r>
      <w:r w:rsidR="00D35E33">
        <w:rPr>
          <w:rFonts w:ascii="Trebuchet MS" w:hAnsi="Trebuchet MS"/>
          <w:sz w:val="22"/>
          <w:szCs w:val="22"/>
        </w:rPr>
        <w:t xml:space="preserve">has three hospital campuses, </w:t>
      </w:r>
      <w:r w:rsidR="00CD24CA" w:rsidRPr="00CD24CA">
        <w:rPr>
          <w:rFonts w:ascii="Trebuchet MS" w:hAnsi="Trebuchet MS"/>
          <w:sz w:val="22"/>
          <w:szCs w:val="22"/>
        </w:rPr>
        <w:t xml:space="preserve">two </w:t>
      </w:r>
      <w:r w:rsidR="00D35E33">
        <w:rPr>
          <w:rFonts w:ascii="Trebuchet MS" w:hAnsi="Trebuchet MS"/>
          <w:sz w:val="22"/>
          <w:szCs w:val="22"/>
        </w:rPr>
        <w:t xml:space="preserve">of which are </w:t>
      </w:r>
      <w:r w:rsidR="00CD24CA" w:rsidRPr="00CD24CA">
        <w:rPr>
          <w:rFonts w:ascii="Trebuchet MS" w:hAnsi="Trebuchet MS"/>
          <w:sz w:val="22"/>
          <w:szCs w:val="22"/>
        </w:rPr>
        <w:t xml:space="preserve">community level </w:t>
      </w:r>
      <w:r w:rsidR="0010064D">
        <w:rPr>
          <w:rFonts w:ascii="Trebuchet MS" w:hAnsi="Trebuchet MS"/>
          <w:sz w:val="22"/>
          <w:szCs w:val="22"/>
        </w:rPr>
        <w:t xml:space="preserve">acute care </w:t>
      </w:r>
      <w:r w:rsidR="00CD24CA" w:rsidRPr="00CD24CA">
        <w:rPr>
          <w:rFonts w:ascii="Trebuchet MS" w:hAnsi="Trebuchet MS"/>
          <w:sz w:val="22"/>
          <w:szCs w:val="22"/>
        </w:rPr>
        <w:t>hospital</w:t>
      </w:r>
      <w:r w:rsidR="00415900">
        <w:rPr>
          <w:rFonts w:ascii="Trebuchet MS" w:hAnsi="Trebuchet MS"/>
          <w:sz w:val="22"/>
          <w:szCs w:val="22"/>
        </w:rPr>
        <w:t>s</w:t>
      </w:r>
      <w:r w:rsidR="00CD24CA" w:rsidRPr="00CD24CA">
        <w:rPr>
          <w:rFonts w:ascii="Trebuchet MS" w:hAnsi="Trebuchet MS"/>
          <w:sz w:val="22"/>
          <w:szCs w:val="22"/>
        </w:rPr>
        <w:t>, the CHA Cambridge Hospital campus (“CHA Cambridge”) and the CHA Everett Hospital campus (“CHA Everett”)</w:t>
      </w:r>
      <w:r w:rsidR="00415900">
        <w:rPr>
          <w:rFonts w:ascii="Trebuchet MS" w:hAnsi="Trebuchet MS"/>
          <w:sz w:val="22"/>
          <w:szCs w:val="22"/>
        </w:rPr>
        <w:t>,</w:t>
      </w:r>
      <w:r w:rsidR="00D35E33">
        <w:rPr>
          <w:rFonts w:ascii="Trebuchet MS" w:hAnsi="Trebuchet MS"/>
          <w:sz w:val="22"/>
          <w:szCs w:val="22"/>
        </w:rPr>
        <w:t xml:space="preserve"> and a third which provides inpatient child and adolescent psychiatry services</w:t>
      </w:r>
      <w:r w:rsidR="00415900">
        <w:rPr>
          <w:rFonts w:ascii="Trebuchet MS" w:hAnsi="Trebuchet MS"/>
          <w:sz w:val="22"/>
          <w:szCs w:val="22"/>
        </w:rPr>
        <w:t xml:space="preserve"> at the CHA Somerville campus</w:t>
      </w:r>
      <w:r w:rsidR="00D35E33">
        <w:rPr>
          <w:rFonts w:ascii="Trebuchet MS" w:hAnsi="Trebuchet MS"/>
          <w:sz w:val="22"/>
          <w:szCs w:val="22"/>
        </w:rPr>
        <w:t xml:space="preserve"> </w:t>
      </w:r>
      <w:r w:rsidR="00EC336E">
        <w:rPr>
          <w:rFonts w:ascii="Trebuchet MS" w:hAnsi="Trebuchet MS"/>
          <w:sz w:val="22"/>
          <w:szCs w:val="22"/>
        </w:rPr>
        <w:t>(“CHA Somerville”)</w:t>
      </w:r>
      <w:r w:rsidR="00CD24CA" w:rsidRPr="00CD24CA">
        <w:rPr>
          <w:rFonts w:ascii="Trebuchet MS" w:hAnsi="Trebuchet MS"/>
          <w:sz w:val="22"/>
          <w:szCs w:val="22"/>
        </w:rPr>
        <w:t>. CHA also operates the Cambridge Public Health Department</w:t>
      </w:r>
      <w:r w:rsidR="00220248">
        <w:rPr>
          <w:rFonts w:ascii="Trebuchet MS" w:hAnsi="Trebuchet MS"/>
          <w:sz w:val="22"/>
          <w:szCs w:val="22"/>
        </w:rPr>
        <w:t xml:space="preserve">, serves as </w:t>
      </w:r>
      <w:r w:rsidR="00220248" w:rsidRPr="00220248">
        <w:rPr>
          <w:rFonts w:ascii="Trebuchet MS" w:hAnsi="Trebuchet MS"/>
          <w:sz w:val="22"/>
          <w:szCs w:val="22"/>
        </w:rPr>
        <w:t>a teaching hospital of Harvard Medical School, Harvard School of Public Health,</w:t>
      </w:r>
      <w:r w:rsidR="00220248">
        <w:rPr>
          <w:rFonts w:ascii="Trebuchet MS" w:hAnsi="Trebuchet MS"/>
          <w:sz w:val="22"/>
          <w:szCs w:val="22"/>
        </w:rPr>
        <w:t xml:space="preserve"> </w:t>
      </w:r>
      <w:r w:rsidR="00220248" w:rsidRPr="00220248">
        <w:rPr>
          <w:rFonts w:ascii="Trebuchet MS" w:hAnsi="Trebuchet MS"/>
          <w:sz w:val="22"/>
          <w:szCs w:val="22"/>
        </w:rPr>
        <w:t xml:space="preserve">Harvard School </w:t>
      </w:r>
      <w:r w:rsidR="00220248" w:rsidRPr="00220248">
        <w:rPr>
          <w:rFonts w:ascii="Trebuchet MS" w:hAnsi="Trebuchet MS"/>
          <w:sz w:val="22"/>
          <w:szCs w:val="22"/>
        </w:rPr>
        <w:lastRenderedPageBreak/>
        <w:t xml:space="preserve">of Dental </w:t>
      </w:r>
      <w:proofErr w:type="gramStart"/>
      <w:r w:rsidR="00220248" w:rsidRPr="00220248">
        <w:rPr>
          <w:rFonts w:ascii="Trebuchet MS" w:hAnsi="Trebuchet MS"/>
          <w:sz w:val="22"/>
          <w:szCs w:val="22"/>
        </w:rPr>
        <w:t>Medicine</w:t>
      </w:r>
      <w:proofErr w:type="gramEnd"/>
      <w:r w:rsidR="00220248" w:rsidRPr="00220248">
        <w:rPr>
          <w:rFonts w:ascii="Trebuchet MS" w:hAnsi="Trebuchet MS"/>
          <w:sz w:val="22"/>
          <w:szCs w:val="22"/>
        </w:rPr>
        <w:t xml:space="preserve"> and Tufts University School of Medicine</w:t>
      </w:r>
      <w:r w:rsidR="00220248">
        <w:rPr>
          <w:rFonts w:ascii="Trebuchet MS" w:hAnsi="Trebuchet MS"/>
          <w:sz w:val="22"/>
          <w:szCs w:val="22"/>
        </w:rPr>
        <w:t>,</w:t>
      </w:r>
      <w:r w:rsidR="00CD24CA" w:rsidRPr="00CD24CA">
        <w:rPr>
          <w:rFonts w:ascii="Trebuchet MS" w:hAnsi="Trebuchet MS"/>
          <w:sz w:val="22"/>
          <w:szCs w:val="22"/>
        </w:rPr>
        <w:t xml:space="preserve"> and provides numerous other healthcare and public health services throughout its service area.</w:t>
      </w:r>
    </w:p>
    <w:p w14:paraId="0B8BB653" w14:textId="77777777" w:rsidR="005455C4" w:rsidRPr="00220248" w:rsidRDefault="005455C4" w:rsidP="00220248">
      <w:pPr>
        <w:spacing w:line="480" w:lineRule="auto"/>
        <w:jc w:val="both"/>
        <w:rPr>
          <w:rFonts w:ascii="Trebuchet MS" w:hAnsi="Trebuchet MS"/>
          <w:sz w:val="22"/>
          <w:szCs w:val="22"/>
        </w:rPr>
      </w:pPr>
    </w:p>
    <w:p w14:paraId="474D3035" w14:textId="4016BAF9" w:rsidR="009A6A99" w:rsidRDefault="00C811D9" w:rsidP="00CD24CA">
      <w:pPr>
        <w:spacing w:line="480" w:lineRule="auto"/>
        <w:jc w:val="both"/>
        <w:rPr>
          <w:rFonts w:ascii="Trebuchet MS" w:hAnsi="Trebuchet MS"/>
          <w:sz w:val="22"/>
          <w:szCs w:val="22"/>
        </w:rPr>
      </w:pPr>
      <w:r w:rsidRPr="00CD24CA">
        <w:rPr>
          <w:rFonts w:ascii="Trebuchet MS" w:hAnsi="Trebuchet MS"/>
          <w:sz w:val="22"/>
          <w:szCs w:val="22"/>
        </w:rPr>
        <w:t xml:space="preserve">The </w:t>
      </w:r>
      <w:r w:rsidR="003C0C33" w:rsidRPr="00CD24CA">
        <w:rPr>
          <w:rFonts w:ascii="Trebuchet MS" w:hAnsi="Trebuchet MS"/>
          <w:sz w:val="22"/>
          <w:szCs w:val="22"/>
        </w:rPr>
        <w:t xml:space="preserve">Proposed Project consists of </w:t>
      </w:r>
      <w:r w:rsidR="00CD24CA" w:rsidRPr="00CD24CA">
        <w:rPr>
          <w:rFonts w:ascii="Trebuchet MS" w:hAnsi="Trebuchet MS"/>
          <w:sz w:val="22"/>
          <w:szCs w:val="22"/>
        </w:rPr>
        <w:t>the establishment of part-time</w:t>
      </w:r>
      <w:r w:rsidR="00900B50">
        <w:rPr>
          <w:rFonts w:ascii="Trebuchet MS" w:hAnsi="Trebuchet MS"/>
          <w:sz w:val="22"/>
          <w:szCs w:val="22"/>
        </w:rPr>
        <w:t>,</w:t>
      </w:r>
      <w:r w:rsidR="00CD24CA">
        <w:rPr>
          <w:rFonts w:ascii="Trebuchet MS" w:hAnsi="Trebuchet MS"/>
          <w:sz w:val="22"/>
          <w:szCs w:val="22"/>
        </w:rPr>
        <w:t xml:space="preserve"> </w:t>
      </w:r>
      <w:r w:rsidR="00CD24CA" w:rsidRPr="00CD24CA">
        <w:rPr>
          <w:rFonts w:ascii="Trebuchet MS" w:hAnsi="Trebuchet MS"/>
          <w:sz w:val="22"/>
          <w:szCs w:val="22"/>
        </w:rPr>
        <w:t>mobile positron emission tomography (“PET”)</w:t>
      </w:r>
      <w:r w:rsidR="00CD24CA">
        <w:rPr>
          <w:rFonts w:ascii="Trebuchet MS" w:hAnsi="Trebuchet MS"/>
          <w:sz w:val="22"/>
          <w:szCs w:val="22"/>
        </w:rPr>
        <w:t xml:space="preserve"> </w:t>
      </w:r>
      <w:r w:rsidR="00CD24CA" w:rsidRPr="00CD24CA">
        <w:rPr>
          <w:rFonts w:ascii="Trebuchet MS" w:hAnsi="Trebuchet MS"/>
          <w:sz w:val="22"/>
          <w:szCs w:val="22"/>
        </w:rPr>
        <w:t>/</w:t>
      </w:r>
      <w:r w:rsidR="00CD24CA">
        <w:rPr>
          <w:rFonts w:ascii="Trebuchet MS" w:hAnsi="Trebuchet MS"/>
          <w:sz w:val="22"/>
          <w:szCs w:val="22"/>
        </w:rPr>
        <w:t xml:space="preserve"> </w:t>
      </w:r>
      <w:r w:rsidR="00CD24CA" w:rsidRPr="00CD24CA">
        <w:rPr>
          <w:rFonts w:ascii="Trebuchet MS" w:hAnsi="Trebuchet MS"/>
          <w:sz w:val="22"/>
          <w:szCs w:val="22"/>
        </w:rPr>
        <w:t>computed tomography (“CT”) diagnostic services three days per</w:t>
      </w:r>
      <w:r w:rsidR="00CD24CA">
        <w:rPr>
          <w:rFonts w:ascii="Trebuchet MS" w:hAnsi="Trebuchet MS"/>
          <w:sz w:val="22"/>
          <w:szCs w:val="22"/>
        </w:rPr>
        <w:t xml:space="preserve"> </w:t>
      </w:r>
      <w:r w:rsidR="00CD24CA" w:rsidRPr="00CD24CA">
        <w:rPr>
          <w:rFonts w:ascii="Trebuchet MS" w:hAnsi="Trebuchet MS"/>
          <w:sz w:val="22"/>
          <w:szCs w:val="22"/>
        </w:rPr>
        <w:t xml:space="preserve">week at </w:t>
      </w:r>
      <w:r w:rsidR="005455C4">
        <w:rPr>
          <w:rFonts w:ascii="Trebuchet MS" w:hAnsi="Trebuchet MS"/>
          <w:sz w:val="22"/>
          <w:szCs w:val="22"/>
        </w:rPr>
        <w:t>CHA Malden</w:t>
      </w:r>
      <w:r w:rsidR="00900B50">
        <w:rPr>
          <w:rFonts w:ascii="Trebuchet MS" w:hAnsi="Trebuchet MS"/>
          <w:sz w:val="22"/>
          <w:szCs w:val="22"/>
        </w:rPr>
        <w:t xml:space="preserve"> Care Center (the “PET-CT Services”)</w:t>
      </w:r>
      <w:r w:rsidR="00CD24CA" w:rsidRPr="00CD24CA">
        <w:rPr>
          <w:rFonts w:ascii="Trebuchet MS" w:hAnsi="Trebuchet MS"/>
          <w:sz w:val="22"/>
          <w:szCs w:val="22"/>
        </w:rPr>
        <w:t xml:space="preserve">. </w:t>
      </w:r>
      <w:r w:rsidR="0099001D">
        <w:rPr>
          <w:rFonts w:ascii="Trebuchet MS" w:hAnsi="Trebuchet MS"/>
          <w:sz w:val="22"/>
          <w:szCs w:val="22"/>
        </w:rPr>
        <w:t>The state-of-the-art mobile van</w:t>
      </w:r>
      <w:r w:rsidR="00900B50">
        <w:rPr>
          <w:rFonts w:ascii="Trebuchet MS" w:hAnsi="Trebuchet MS"/>
          <w:sz w:val="22"/>
          <w:szCs w:val="22"/>
        </w:rPr>
        <w:t xml:space="preserve"> for the PET-CT Services</w:t>
      </w:r>
      <w:r w:rsidR="0099001D">
        <w:rPr>
          <w:rFonts w:ascii="Trebuchet MS" w:hAnsi="Trebuchet MS"/>
          <w:sz w:val="22"/>
          <w:szCs w:val="22"/>
        </w:rPr>
        <w:t xml:space="preserve"> will be located adjacent to the CHA Malden Care Center with a parking pad to support the weight of the van and a weather protected covered connector. </w:t>
      </w:r>
      <w:r w:rsidR="00CD24CA" w:rsidRPr="00CD24CA">
        <w:rPr>
          <w:rFonts w:ascii="Trebuchet MS" w:hAnsi="Trebuchet MS"/>
          <w:sz w:val="22"/>
          <w:szCs w:val="22"/>
        </w:rPr>
        <w:t>The total value</w:t>
      </w:r>
      <w:r w:rsidR="00CD24CA">
        <w:rPr>
          <w:rFonts w:ascii="Trebuchet MS" w:hAnsi="Trebuchet MS"/>
          <w:sz w:val="22"/>
          <w:szCs w:val="22"/>
        </w:rPr>
        <w:t xml:space="preserve"> </w:t>
      </w:r>
      <w:r w:rsidR="00CD24CA" w:rsidRPr="00CD24CA">
        <w:rPr>
          <w:rFonts w:ascii="Trebuchet MS" w:hAnsi="Trebuchet MS"/>
          <w:sz w:val="22"/>
          <w:szCs w:val="22"/>
        </w:rPr>
        <w:t>of the Proposed Project</w:t>
      </w:r>
      <w:r w:rsidR="00CD24CA">
        <w:rPr>
          <w:rFonts w:ascii="Trebuchet MS" w:hAnsi="Trebuchet MS"/>
          <w:sz w:val="22"/>
          <w:szCs w:val="22"/>
        </w:rPr>
        <w:t xml:space="preserve"> </w:t>
      </w:r>
      <w:r w:rsidR="00CD24CA" w:rsidRPr="00CD24CA">
        <w:rPr>
          <w:rFonts w:ascii="Trebuchet MS" w:hAnsi="Trebuchet MS"/>
          <w:sz w:val="22"/>
          <w:szCs w:val="22"/>
        </w:rPr>
        <w:t>based on the maximum capital expenditure</w:t>
      </w:r>
      <w:r w:rsidR="00CD24CA">
        <w:rPr>
          <w:rFonts w:ascii="Trebuchet MS" w:hAnsi="Trebuchet MS"/>
          <w:sz w:val="22"/>
          <w:szCs w:val="22"/>
        </w:rPr>
        <w:t xml:space="preserve"> </w:t>
      </w:r>
      <w:r w:rsidR="00CD24CA" w:rsidRPr="00CD24CA">
        <w:rPr>
          <w:rFonts w:ascii="Trebuchet MS" w:hAnsi="Trebuchet MS"/>
          <w:sz w:val="22"/>
          <w:szCs w:val="22"/>
        </w:rPr>
        <w:t>is $4</w:t>
      </w:r>
      <w:r w:rsidR="005054D2">
        <w:rPr>
          <w:rFonts w:ascii="Trebuchet MS" w:hAnsi="Trebuchet MS"/>
          <w:sz w:val="22"/>
          <w:szCs w:val="22"/>
        </w:rPr>
        <w:t>8</w:t>
      </w:r>
      <w:r w:rsidR="00CD24CA" w:rsidRPr="00CD24CA">
        <w:rPr>
          <w:rFonts w:ascii="Trebuchet MS" w:hAnsi="Trebuchet MS"/>
          <w:sz w:val="22"/>
          <w:szCs w:val="22"/>
        </w:rPr>
        <w:t>0</w:t>
      </w:r>
      <w:r w:rsidR="004C3EB3">
        <w:rPr>
          <w:rFonts w:ascii="Trebuchet MS" w:hAnsi="Trebuchet MS"/>
          <w:sz w:val="22"/>
          <w:szCs w:val="22"/>
        </w:rPr>
        <w:t>.0 thousand</w:t>
      </w:r>
      <w:r w:rsidR="00CD24CA" w:rsidRPr="00CD24CA">
        <w:rPr>
          <w:rFonts w:ascii="Trebuchet MS" w:hAnsi="Trebuchet MS"/>
          <w:sz w:val="22"/>
          <w:szCs w:val="22"/>
        </w:rPr>
        <w:t>.</w:t>
      </w:r>
    </w:p>
    <w:p w14:paraId="14F78C1F" w14:textId="77777777" w:rsidR="00CD24CA" w:rsidRPr="00CD24CA" w:rsidRDefault="00CD24CA" w:rsidP="00CD24CA">
      <w:pPr>
        <w:spacing w:line="480" w:lineRule="auto"/>
        <w:jc w:val="both"/>
        <w:rPr>
          <w:rFonts w:ascii="Trebuchet MS" w:hAnsi="Trebuchet MS"/>
          <w:sz w:val="22"/>
          <w:szCs w:val="22"/>
        </w:rPr>
      </w:pPr>
    </w:p>
    <w:p w14:paraId="5CA8BC48" w14:textId="23A94B4A" w:rsidR="00220248" w:rsidRDefault="00220248" w:rsidP="00BB7034">
      <w:pPr>
        <w:spacing w:line="480" w:lineRule="auto"/>
        <w:jc w:val="both"/>
        <w:rPr>
          <w:rFonts w:ascii="Trebuchet MS" w:hAnsi="Trebuchet MS"/>
          <w:sz w:val="22"/>
          <w:szCs w:val="22"/>
        </w:rPr>
      </w:pPr>
      <w:r>
        <w:rPr>
          <w:rFonts w:ascii="Trebuchet MS" w:hAnsi="Trebuchet MS"/>
          <w:sz w:val="22"/>
          <w:szCs w:val="22"/>
        </w:rPr>
        <w:t xml:space="preserve">The Proposed Project </w:t>
      </w:r>
      <w:r w:rsidR="00CD24CA" w:rsidRPr="00CD24CA">
        <w:rPr>
          <w:rFonts w:ascii="Trebuchet MS" w:hAnsi="Trebuchet MS"/>
          <w:sz w:val="22"/>
          <w:szCs w:val="22"/>
        </w:rPr>
        <w:t xml:space="preserve">will be available to the full CHA </w:t>
      </w:r>
      <w:r w:rsidR="001B1DCA">
        <w:rPr>
          <w:rFonts w:ascii="Trebuchet MS" w:hAnsi="Trebuchet MS"/>
          <w:sz w:val="22"/>
          <w:szCs w:val="22"/>
        </w:rPr>
        <w:t>p</w:t>
      </w:r>
      <w:r w:rsidR="00CD24CA" w:rsidRPr="00CD24CA">
        <w:rPr>
          <w:rFonts w:ascii="Trebuchet MS" w:hAnsi="Trebuchet MS"/>
          <w:sz w:val="22"/>
          <w:szCs w:val="22"/>
        </w:rPr>
        <w:t xml:space="preserve">atient </w:t>
      </w:r>
      <w:r w:rsidR="001B1DCA">
        <w:rPr>
          <w:rFonts w:ascii="Trebuchet MS" w:hAnsi="Trebuchet MS"/>
          <w:sz w:val="22"/>
          <w:szCs w:val="22"/>
        </w:rPr>
        <w:t>p</w:t>
      </w:r>
      <w:r w:rsidR="00CD24CA" w:rsidRPr="00CD24CA">
        <w:rPr>
          <w:rFonts w:ascii="Trebuchet MS" w:hAnsi="Trebuchet MS"/>
          <w:sz w:val="22"/>
          <w:szCs w:val="22"/>
        </w:rPr>
        <w:t xml:space="preserve">anel and to members of the wider community. </w:t>
      </w:r>
      <w:r w:rsidR="00900B50">
        <w:rPr>
          <w:rFonts w:ascii="Trebuchet MS" w:hAnsi="Trebuchet MS"/>
          <w:sz w:val="22"/>
          <w:szCs w:val="22"/>
        </w:rPr>
        <w:t>Prior to receiving PET-CT Services, p</w:t>
      </w:r>
      <w:r w:rsidR="00CD24CA" w:rsidRPr="00CD24CA">
        <w:rPr>
          <w:rFonts w:ascii="Trebuchet MS" w:hAnsi="Trebuchet MS"/>
          <w:sz w:val="22"/>
          <w:szCs w:val="22"/>
        </w:rPr>
        <w:t>hysicians will assess patients</w:t>
      </w:r>
      <w:r>
        <w:rPr>
          <w:rFonts w:ascii="Trebuchet MS" w:hAnsi="Trebuchet MS"/>
          <w:sz w:val="22"/>
          <w:szCs w:val="22"/>
        </w:rPr>
        <w:t xml:space="preserve"> </w:t>
      </w:r>
      <w:r w:rsidR="00CD24CA" w:rsidRPr="00CD24CA">
        <w:rPr>
          <w:rFonts w:ascii="Trebuchet MS" w:hAnsi="Trebuchet MS"/>
          <w:sz w:val="22"/>
          <w:szCs w:val="22"/>
        </w:rPr>
        <w:t>to</w:t>
      </w:r>
      <w:r>
        <w:rPr>
          <w:rFonts w:ascii="Trebuchet MS" w:hAnsi="Trebuchet MS"/>
          <w:sz w:val="22"/>
          <w:szCs w:val="22"/>
        </w:rPr>
        <w:t xml:space="preserve"> </w:t>
      </w:r>
      <w:r w:rsidR="00CD24CA" w:rsidRPr="00CD24CA">
        <w:rPr>
          <w:rFonts w:ascii="Trebuchet MS" w:hAnsi="Trebuchet MS"/>
          <w:sz w:val="22"/>
          <w:szCs w:val="22"/>
        </w:rPr>
        <w:t>determine if they (1) demonstrate the requisite underlying clinical condition/diagnosis and</w:t>
      </w:r>
      <w:r>
        <w:rPr>
          <w:rFonts w:ascii="Trebuchet MS" w:hAnsi="Trebuchet MS"/>
          <w:sz w:val="22"/>
          <w:szCs w:val="22"/>
        </w:rPr>
        <w:t xml:space="preserve"> </w:t>
      </w:r>
      <w:r w:rsidR="00CD24CA" w:rsidRPr="00CD24CA">
        <w:rPr>
          <w:rFonts w:ascii="Trebuchet MS" w:hAnsi="Trebuchet MS"/>
          <w:sz w:val="22"/>
          <w:szCs w:val="22"/>
        </w:rPr>
        <w:t>(2) meet clinical protocols that accord with the standard of care.</w:t>
      </w:r>
      <w:r w:rsidR="00CD24CA">
        <w:rPr>
          <w:rFonts w:ascii="Trebuchet MS" w:hAnsi="Trebuchet MS"/>
          <w:sz w:val="22"/>
          <w:szCs w:val="22"/>
        </w:rPr>
        <w:t xml:space="preserve"> </w:t>
      </w:r>
      <w:r w:rsidR="0099001D">
        <w:rPr>
          <w:rFonts w:ascii="Trebuchet MS" w:hAnsi="Trebuchet MS"/>
          <w:sz w:val="22"/>
          <w:szCs w:val="22"/>
        </w:rPr>
        <w:t xml:space="preserve">CHA </w:t>
      </w:r>
      <w:r w:rsidR="00CD24CA" w:rsidRPr="00CD24CA">
        <w:rPr>
          <w:rFonts w:ascii="Trebuchet MS" w:hAnsi="Trebuchet MS"/>
          <w:sz w:val="22"/>
          <w:szCs w:val="22"/>
        </w:rPr>
        <w:t>anticipates that the use of</w:t>
      </w:r>
      <w:r>
        <w:rPr>
          <w:rFonts w:ascii="Trebuchet MS" w:hAnsi="Trebuchet MS"/>
          <w:sz w:val="22"/>
          <w:szCs w:val="22"/>
        </w:rPr>
        <w:t xml:space="preserve"> </w:t>
      </w:r>
      <w:r w:rsidR="00CD24CA" w:rsidRPr="00CD24CA">
        <w:rPr>
          <w:rFonts w:ascii="Trebuchet MS" w:hAnsi="Trebuchet MS"/>
          <w:sz w:val="22"/>
          <w:szCs w:val="22"/>
        </w:rPr>
        <w:t xml:space="preserve">PET-CT </w:t>
      </w:r>
      <w:r w:rsidR="00900B50">
        <w:rPr>
          <w:rFonts w:ascii="Trebuchet MS" w:hAnsi="Trebuchet MS"/>
          <w:sz w:val="22"/>
          <w:szCs w:val="22"/>
        </w:rPr>
        <w:t xml:space="preserve">Services </w:t>
      </w:r>
      <w:r w:rsidR="00CD24CA" w:rsidRPr="00CD24CA">
        <w:rPr>
          <w:rFonts w:ascii="Trebuchet MS" w:hAnsi="Trebuchet MS"/>
          <w:sz w:val="22"/>
          <w:szCs w:val="22"/>
        </w:rPr>
        <w:t>will continue to evolve, expanding to</w:t>
      </w:r>
      <w:r>
        <w:rPr>
          <w:rFonts w:ascii="Trebuchet MS" w:hAnsi="Trebuchet MS"/>
          <w:sz w:val="22"/>
          <w:szCs w:val="22"/>
        </w:rPr>
        <w:t xml:space="preserve"> </w:t>
      </w:r>
      <w:r w:rsidR="00CD24CA" w:rsidRPr="00CD24CA">
        <w:rPr>
          <w:rFonts w:ascii="Trebuchet MS" w:hAnsi="Trebuchet MS"/>
          <w:sz w:val="22"/>
          <w:szCs w:val="22"/>
        </w:rPr>
        <w:t>other clinical applications as new isotopes are developed and approved for other clinical</w:t>
      </w:r>
      <w:r>
        <w:rPr>
          <w:rFonts w:ascii="Trebuchet MS" w:hAnsi="Trebuchet MS"/>
          <w:sz w:val="22"/>
          <w:szCs w:val="22"/>
        </w:rPr>
        <w:t xml:space="preserve"> </w:t>
      </w:r>
      <w:r w:rsidR="00CD24CA" w:rsidRPr="00CD24CA">
        <w:rPr>
          <w:rFonts w:ascii="Trebuchet MS" w:hAnsi="Trebuchet MS"/>
          <w:sz w:val="22"/>
          <w:szCs w:val="22"/>
        </w:rPr>
        <w:t>applications.</w:t>
      </w:r>
      <w:r>
        <w:rPr>
          <w:rFonts w:ascii="Trebuchet MS" w:hAnsi="Trebuchet MS"/>
          <w:sz w:val="22"/>
          <w:szCs w:val="22"/>
        </w:rPr>
        <w:t xml:space="preserve"> </w:t>
      </w:r>
      <w:r w:rsidR="00CD24CA" w:rsidRPr="00CD24CA">
        <w:rPr>
          <w:rFonts w:ascii="Trebuchet MS" w:hAnsi="Trebuchet MS"/>
          <w:sz w:val="22"/>
          <w:szCs w:val="22"/>
        </w:rPr>
        <w:t>By adding PET-CT</w:t>
      </w:r>
      <w:r w:rsidR="00900B50">
        <w:rPr>
          <w:rFonts w:ascii="Trebuchet MS" w:hAnsi="Trebuchet MS"/>
          <w:sz w:val="22"/>
          <w:szCs w:val="22"/>
        </w:rPr>
        <w:t xml:space="preserve"> Services, the Proposed Project </w:t>
      </w:r>
      <w:r w:rsidR="001B5AF7">
        <w:rPr>
          <w:rFonts w:ascii="Trebuchet MS" w:hAnsi="Trebuchet MS"/>
          <w:sz w:val="22"/>
          <w:szCs w:val="22"/>
        </w:rPr>
        <w:t xml:space="preserve">will </w:t>
      </w:r>
      <w:r w:rsidR="00CD24CA" w:rsidRPr="00CD24CA">
        <w:rPr>
          <w:rFonts w:ascii="Trebuchet MS" w:hAnsi="Trebuchet MS"/>
          <w:sz w:val="22"/>
          <w:szCs w:val="22"/>
        </w:rPr>
        <w:t>bring state-of-the-art imaging services to a patient</w:t>
      </w:r>
      <w:r>
        <w:rPr>
          <w:rFonts w:ascii="Trebuchet MS" w:hAnsi="Trebuchet MS"/>
          <w:sz w:val="22"/>
          <w:szCs w:val="22"/>
        </w:rPr>
        <w:t xml:space="preserve"> </w:t>
      </w:r>
      <w:r w:rsidR="00CD24CA" w:rsidRPr="00CD24CA">
        <w:rPr>
          <w:rFonts w:ascii="Trebuchet MS" w:hAnsi="Trebuchet MS"/>
          <w:sz w:val="22"/>
          <w:szCs w:val="22"/>
        </w:rPr>
        <w:t>population that has historically been underserved despite demonstrating higher levels of</w:t>
      </w:r>
      <w:r>
        <w:rPr>
          <w:rFonts w:ascii="Trebuchet MS" w:hAnsi="Trebuchet MS"/>
          <w:sz w:val="22"/>
          <w:szCs w:val="22"/>
        </w:rPr>
        <w:t xml:space="preserve"> </w:t>
      </w:r>
      <w:r w:rsidRPr="00220248">
        <w:rPr>
          <w:rFonts w:ascii="Trebuchet MS" w:hAnsi="Trebuchet MS"/>
          <w:sz w:val="22"/>
          <w:szCs w:val="22"/>
        </w:rPr>
        <w:t>chronic and other disease disparities.</w:t>
      </w:r>
      <w:r>
        <w:rPr>
          <w:rFonts w:ascii="Trebuchet MS" w:hAnsi="Trebuchet MS"/>
          <w:sz w:val="22"/>
          <w:szCs w:val="22"/>
        </w:rPr>
        <w:t xml:space="preserve"> The Proposed Project will eliminate a barrier to access of</w:t>
      </w:r>
      <w:r w:rsidRPr="00220248">
        <w:rPr>
          <w:rFonts w:ascii="Trebuchet MS" w:hAnsi="Trebuchet MS"/>
          <w:sz w:val="22"/>
          <w:szCs w:val="22"/>
        </w:rPr>
        <w:t xml:space="preserve"> timely, </w:t>
      </w:r>
      <w:proofErr w:type="gramStart"/>
      <w:r w:rsidRPr="00220248">
        <w:rPr>
          <w:rFonts w:ascii="Trebuchet MS" w:hAnsi="Trebuchet MS"/>
          <w:sz w:val="22"/>
          <w:szCs w:val="22"/>
        </w:rPr>
        <w:t>convenient</w:t>
      </w:r>
      <w:proofErr w:type="gramEnd"/>
      <w:r w:rsidRPr="00220248">
        <w:rPr>
          <w:rFonts w:ascii="Trebuchet MS" w:hAnsi="Trebuchet MS"/>
          <w:sz w:val="22"/>
          <w:szCs w:val="22"/>
        </w:rPr>
        <w:t xml:space="preserve"> and coordinated care for CHA patients who would</w:t>
      </w:r>
      <w:r>
        <w:rPr>
          <w:rFonts w:ascii="Trebuchet MS" w:hAnsi="Trebuchet MS"/>
          <w:sz w:val="22"/>
          <w:szCs w:val="22"/>
        </w:rPr>
        <w:t xml:space="preserve"> </w:t>
      </w:r>
      <w:r w:rsidRPr="00220248">
        <w:rPr>
          <w:rFonts w:ascii="Trebuchet MS" w:hAnsi="Trebuchet MS"/>
          <w:sz w:val="22"/>
          <w:szCs w:val="22"/>
        </w:rPr>
        <w:t>benefit from these imaging services.</w:t>
      </w:r>
    </w:p>
    <w:p w14:paraId="0786D861" w14:textId="77777777" w:rsidR="00AF4C5F" w:rsidRDefault="00AF4C5F" w:rsidP="00BB7034">
      <w:pPr>
        <w:spacing w:line="480" w:lineRule="auto"/>
        <w:jc w:val="both"/>
        <w:rPr>
          <w:rFonts w:ascii="Trebuchet MS" w:hAnsi="Trebuchet MS"/>
          <w:sz w:val="22"/>
          <w:szCs w:val="22"/>
        </w:rPr>
      </w:pPr>
    </w:p>
    <w:p w14:paraId="11F8A993" w14:textId="77777777" w:rsidR="002960A7" w:rsidRDefault="002960A7" w:rsidP="00BB7034">
      <w:pPr>
        <w:spacing w:line="480" w:lineRule="auto"/>
        <w:jc w:val="both"/>
        <w:rPr>
          <w:rFonts w:ascii="Trebuchet MS" w:hAnsi="Trebuchet MS"/>
          <w:sz w:val="22"/>
          <w:szCs w:val="22"/>
        </w:rPr>
      </w:pPr>
    </w:p>
    <w:p w14:paraId="43987057" w14:textId="77777777" w:rsidR="000D17B6" w:rsidRPr="00220248" w:rsidRDefault="000D17B6" w:rsidP="000D17B6">
      <w:pPr>
        <w:pStyle w:val="Heading1"/>
        <w:keepNext w:val="0"/>
        <w:numPr>
          <w:ilvl w:val="0"/>
          <w:numId w:val="1"/>
        </w:numPr>
        <w:spacing w:line="480" w:lineRule="auto"/>
        <w:ind w:hanging="720"/>
        <w:rPr>
          <w:rFonts w:ascii="Trebuchet MS" w:hAnsi="Trebuchet MS"/>
          <w:sz w:val="22"/>
          <w:szCs w:val="22"/>
        </w:rPr>
      </w:pPr>
      <w:r w:rsidRPr="00220248">
        <w:rPr>
          <w:rFonts w:ascii="Trebuchet MS" w:hAnsi="Trebuchet MS"/>
          <w:sz w:val="22"/>
          <w:szCs w:val="22"/>
        </w:rPr>
        <w:lastRenderedPageBreak/>
        <w:t>SCOPE OF REPORT</w:t>
      </w:r>
    </w:p>
    <w:p w14:paraId="4A1A9BB0" w14:textId="77777777" w:rsidR="000D17B6" w:rsidRPr="00220248" w:rsidRDefault="000D17B6" w:rsidP="00A22182">
      <w:pPr>
        <w:jc w:val="both"/>
        <w:rPr>
          <w:rFonts w:ascii="Trebuchet MS" w:hAnsi="Trebuchet MS"/>
          <w:b/>
          <w:sz w:val="22"/>
          <w:szCs w:val="22"/>
          <w:u w:val="single"/>
        </w:rPr>
      </w:pPr>
    </w:p>
    <w:p w14:paraId="79D37FDB" w14:textId="58858928" w:rsidR="000D17B6" w:rsidRPr="00220248" w:rsidRDefault="000D17B6" w:rsidP="000D17B6">
      <w:pPr>
        <w:tabs>
          <w:tab w:val="left" w:pos="720"/>
        </w:tabs>
        <w:spacing w:line="480" w:lineRule="auto"/>
        <w:jc w:val="both"/>
        <w:rPr>
          <w:rFonts w:ascii="Trebuchet MS" w:hAnsi="Trebuchet MS"/>
          <w:sz w:val="22"/>
          <w:szCs w:val="22"/>
        </w:rPr>
      </w:pPr>
      <w:r w:rsidRPr="00220248">
        <w:rPr>
          <w:rFonts w:ascii="Trebuchet MS" w:hAnsi="Trebuchet MS"/>
          <w:sz w:val="22"/>
          <w:szCs w:val="22"/>
        </w:rPr>
        <w:t xml:space="preserve">The scope of this report is limited to an analysis of the </w:t>
      </w:r>
      <w:r w:rsidR="00A1439F">
        <w:rPr>
          <w:rFonts w:ascii="Trebuchet MS" w:hAnsi="Trebuchet MS"/>
          <w:sz w:val="22"/>
          <w:szCs w:val="22"/>
        </w:rPr>
        <w:t>six</w:t>
      </w:r>
      <w:r w:rsidRPr="00220248">
        <w:rPr>
          <w:rFonts w:ascii="Trebuchet MS" w:hAnsi="Trebuchet MS"/>
          <w:sz w:val="22"/>
          <w:szCs w:val="22"/>
        </w:rPr>
        <w:t xml:space="preserve">-year </w:t>
      </w:r>
      <w:r w:rsidR="003F6E53" w:rsidRPr="00220248">
        <w:rPr>
          <w:rFonts w:ascii="Trebuchet MS" w:hAnsi="Trebuchet MS"/>
          <w:sz w:val="22"/>
          <w:szCs w:val="22"/>
        </w:rPr>
        <w:t>Projection</w:t>
      </w:r>
      <w:r w:rsidR="00DC6493" w:rsidRPr="00220248">
        <w:rPr>
          <w:rFonts w:ascii="Trebuchet MS" w:hAnsi="Trebuchet MS"/>
          <w:sz w:val="22"/>
          <w:szCs w:val="22"/>
        </w:rPr>
        <w:t>s</w:t>
      </w:r>
      <w:r w:rsidR="003F6E53" w:rsidRPr="00220248">
        <w:rPr>
          <w:rFonts w:ascii="Trebuchet MS" w:hAnsi="Trebuchet MS"/>
          <w:sz w:val="22"/>
          <w:szCs w:val="22"/>
        </w:rPr>
        <w:t xml:space="preserve"> </w:t>
      </w:r>
      <w:r w:rsidRPr="00220248">
        <w:rPr>
          <w:rFonts w:ascii="Trebuchet MS" w:hAnsi="Trebuchet MS"/>
          <w:sz w:val="22"/>
          <w:szCs w:val="22"/>
        </w:rPr>
        <w:t xml:space="preserve">for the fiscal years ending </w:t>
      </w:r>
      <w:r w:rsidR="00220248" w:rsidRPr="00220248">
        <w:rPr>
          <w:rFonts w:ascii="Trebuchet MS" w:hAnsi="Trebuchet MS"/>
          <w:sz w:val="22"/>
          <w:szCs w:val="22"/>
        </w:rPr>
        <w:t>June</w:t>
      </w:r>
      <w:r w:rsidRPr="00220248">
        <w:rPr>
          <w:rFonts w:ascii="Trebuchet MS" w:hAnsi="Trebuchet MS"/>
          <w:sz w:val="22"/>
          <w:szCs w:val="22"/>
        </w:rPr>
        <w:t xml:space="preserve"> 30,</w:t>
      </w:r>
      <w:r w:rsidR="003F53A3" w:rsidRPr="00220248">
        <w:rPr>
          <w:rFonts w:ascii="Trebuchet MS" w:hAnsi="Trebuchet MS"/>
          <w:sz w:val="22"/>
          <w:szCs w:val="22"/>
        </w:rPr>
        <w:t xml:space="preserve"> </w:t>
      </w:r>
      <w:proofErr w:type="gramStart"/>
      <w:r w:rsidR="009D5319" w:rsidRPr="00220248">
        <w:rPr>
          <w:rFonts w:ascii="Trebuchet MS" w:hAnsi="Trebuchet MS"/>
          <w:sz w:val="22"/>
          <w:szCs w:val="22"/>
        </w:rPr>
        <w:t>2022</w:t>
      </w:r>
      <w:proofErr w:type="gramEnd"/>
      <w:r w:rsidRPr="00220248">
        <w:rPr>
          <w:rFonts w:ascii="Trebuchet MS" w:hAnsi="Trebuchet MS"/>
          <w:sz w:val="22"/>
          <w:szCs w:val="22"/>
        </w:rPr>
        <w:t xml:space="preserve"> through </w:t>
      </w:r>
      <w:r w:rsidR="00691961" w:rsidRPr="00220248">
        <w:rPr>
          <w:rFonts w:ascii="Trebuchet MS" w:hAnsi="Trebuchet MS"/>
          <w:sz w:val="22"/>
          <w:szCs w:val="22"/>
        </w:rPr>
        <w:t>202</w:t>
      </w:r>
      <w:r w:rsidR="00220248" w:rsidRPr="00220248">
        <w:rPr>
          <w:rFonts w:ascii="Trebuchet MS" w:hAnsi="Trebuchet MS"/>
          <w:sz w:val="22"/>
          <w:szCs w:val="22"/>
        </w:rPr>
        <w:t>7</w:t>
      </w:r>
      <w:r w:rsidRPr="00220248">
        <w:rPr>
          <w:rFonts w:ascii="Trebuchet MS" w:hAnsi="Trebuchet MS"/>
          <w:sz w:val="22"/>
          <w:szCs w:val="22"/>
        </w:rPr>
        <w:t xml:space="preserve">, prepared by Management, and the supporting documentation </w:t>
      </w:r>
      <w:r w:rsidR="009D5319" w:rsidRPr="00220248">
        <w:rPr>
          <w:rFonts w:ascii="Trebuchet MS" w:hAnsi="Trebuchet MS"/>
          <w:sz w:val="22"/>
          <w:szCs w:val="22"/>
        </w:rPr>
        <w:t>to</w:t>
      </w:r>
      <w:r w:rsidRPr="00220248">
        <w:rPr>
          <w:rFonts w:ascii="Trebuchet MS" w:hAnsi="Trebuchet MS"/>
          <w:sz w:val="22"/>
          <w:szCs w:val="22"/>
        </w:rPr>
        <w:t xml:space="preserve"> render an opinion as to the reasonableness of assumptions used in the preparation and feasibility of the Projections. Reasonableness is defined within the context of this report as supportable and proper, given the underlying information. Feasibility is defined as based on the assumptions used, the Proposed Project </w:t>
      </w:r>
      <w:r w:rsidR="002611D5" w:rsidRPr="00220248">
        <w:rPr>
          <w:rFonts w:ascii="Trebuchet MS" w:hAnsi="Trebuchet MS"/>
          <w:sz w:val="22"/>
          <w:szCs w:val="22"/>
        </w:rPr>
        <w:t xml:space="preserve">is </w:t>
      </w:r>
      <w:r w:rsidRPr="00220248">
        <w:rPr>
          <w:rFonts w:ascii="Trebuchet MS" w:hAnsi="Trebuchet MS"/>
          <w:sz w:val="22"/>
          <w:szCs w:val="22"/>
        </w:rPr>
        <w:t>not likely to result in a liquidation of the underlying assets or the need for reorganization.</w:t>
      </w:r>
    </w:p>
    <w:p w14:paraId="41DCFB5B" w14:textId="77777777" w:rsidR="000D17B6" w:rsidRPr="002E63C8" w:rsidRDefault="000D17B6" w:rsidP="000D17B6">
      <w:pPr>
        <w:tabs>
          <w:tab w:val="left" w:pos="720"/>
        </w:tabs>
        <w:spacing w:line="480" w:lineRule="auto"/>
        <w:jc w:val="both"/>
        <w:rPr>
          <w:rFonts w:ascii="Trebuchet MS" w:hAnsi="Trebuchet MS"/>
          <w:sz w:val="22"/>
          <w:szCs w:val="22"/>
          <w:highlight w:val="yellow"/>
        </w:rPr>
      </w:pPr>
    </w:p>
    <w:p w14:paraId="55A3A334" w14:textId="15EBA205" w:rsidR="000D17B6" w:rsidRPr="00220248" w:rsidRDefault="000D17B6" w:rsidP="000D17B6">
      <w:pPr>
        <w:tabs>
          <w:tab w:val="left" w:pos="720"/>
        </w:tabs>
        <w:spacing w:line="480" w:lineRule="auto"/>
        <w:jc w:val="both"/>
        <w:rPr>
          <w:rFonts w:ascii="Trebuchet MS" w:hAnsi="Trebuchet MS"/>
          <w:sz w:val="22"/>
          <w:szCs w:val="22"/>
        </w:rPr>
      </w:pPr>
      <w:r w:rsidRPr="00220248">
        <w:rPr>
          <w:rFonts w:ascii="Trebuchet MS" w:hAnsi="Trebuchet MS"/>
          <w:sz w:val="22"/>
          <w:szCs w:val="22"/>
        </w:rPr>
        <w:t xml:space="preserve">This report is based on prospective financial information provided to us by Management. BDO understands the prospective financial information was developed as of </w:t>
      </w:r>
      <w:r w:rsidR="005054D2">
        <w:rPr>
          <w:rFonts w:ascii="Trebuchet MS" w:hAnsi="Trebuchet MS"/>
          <w:sz w:val="22"/>
          <w:szCs w:val="22"/>
        </w:rPr>
        <w:t>August 31</w:t>
      </w:r>
      <w:r w:rsidR="009D5319" w:rsidRPr="00220248">
        <w:rPr>
          <w:rFonts w:ascii="Trebuchet MS" w:hAnsi="Trebuchet MS"/>
          <w:sz w:val="22"/>
          <w:szCs w:val="22"/>
        </w:rPr>
        <w:t xml:space="preserve">, </w:t>
      </w:r>
      <w:proofErr w:type="gramStart"/>
      <w:r w:rsidR="009D5319" w:rsidRPr="00220248">
        <w:rPr>
          <w:rFonts w:ascii="Trebuchet MS" w:hAnsi="Trebuchet MS"/>
          <w:sz w:val="22"/>
          <w:szCs w:val="22"/>
        </w:rPr>
        <w:t>202</w:t>
      </w:r>
      <w:r w:rsidR="005C0B4E" w:rsidRPr="00220248">
        <w:rPr>
          <w:rFonts w:ascii="Trebuchet MS" w:hAnsi="Trebuchet MS"/>
          <w:sz w:val="22"/>
          <w:szCs w:val="22"/>
        </w:rPr>
        <w:t>2</w:t>
      </w:r>
      <w:proofErr w:type="gramEnd"/>
      <w:r w:rsidR="009D5319" w:rsidRPr="00220248">
        <w:rPr>
          <w:rFonts w:ascii="Trebuchet MS" w:hAnsi="Trebuchet MS"/>
          <w:sz w:val="22"/>
          <w:szCs w:val="22"/>
        </w:rPr>
        <w:t xml:space="preserve"> and</w:t>
      </w:r>
      <w:r w:rsidRPr="00220248">
        <w:rPr>
          <w:rFonts w:ascii="Trebuchet MS" w:hAnsi="Trebuchet MS"/>
          <w:sz w:val="22"/>
          <w:szCs w:val="22"/>
        </w:rPr>
        <w:t xml:space="preserve"> is still representative of Management’s expectations as of the drafting of this report.</w:t>
      </w:r>
      <w:r w:rsidR="002F290A">
        <w:rPr>
          <w:rStyle w:val="FootnoteReference"/>
          <w:rFonts w:ascii="Trebuchet MS" w:hAnsi="Trebuchet MS"/>
          <w:sz w:val="22"/>
          <w:szCs w:val="22"/>
        </w:rPr>
        <w:footnoteReference w:id="3"/>
      </w:r>
      <w:r w:rsidRPr="00220248">
        <w:rPr>
          <w:rFonts w:ascii="Trebuchet MS" w:hAnsi="Trebuchet MS"/>
          <w:sz w:val="22"/>
          <w:szCs w:val="22"/>
        </w:rPr>
        <w:t xml:space="preserve"> BDO has not audited or performed any other form of attestation services on the projected financial information related to the operations of </w:t>
      </w:r>
      <w:r w:rsidR="00220248" w:rsidRPr="00220248">
        <w:rPr>
          <w:rFonts w:ascii="Trebuchet MS" w:hAnsi="Trebuchet MS"/>
          <w:sz w:val="22"/>
          <w:szCs w:val="22"/>
        </w:rPr>
        <w:t>CHA</w:t>
      </w:r>
      <w:r w:rsidRPr="00220248">
        <w:rPr>
          <w:rFonts w:ascii="Trebuchet MS" w:hAnsi="Trebuchet MS"/>
          <w:sz w:val="22"/>
          <w:szCs w:val="22"/>
        </w:rPr>
        <w:t>.</w:t>
      </w:r>
    </w:p>
    <w:p w14:paraId="01B8F73C" w14:textId="77777777" w:rsidR="000D17B6" w:rsidRPr="002E63C8" w:rsidRDefault="000D17B6" w:rsidP="000D17B6">
      <w:pPr>
        <w:tabs>
          <w:tab w:val="left" w:pos="720"/>
        </w:tabs>
        <w:spacing w:line="480" w:lineRule="auto"/>
        <w:jc w:val="both"/>
        <w:rPr>
          <w:rFonts w:ascii="Trebuchet MS" w:hAnsi="Trebuchet MS"/>
          <w:sz w:val="22"/>
          <w:szCs w:val="22"/>
          <w:highlight w:val="yellow"/>
        </w:rPr>
      </w:pPr>
    </w:p>
    <w:p w14:paraId="58A8EF93" w14:textId="5F83A1EC" w:rsidR="003C0C33" w:rsidRDefault="000D17B6" w:rsidP="002B25F4">
      <w:pPr>
        <w:tabs>
          <w:tab w:val="left" w:pos="720"/>
        </w:tabs>
        <w:spacing w:line="480" w:lineRule="auto"/>
        <w:jc w:val="both"/>
        <w:rPr>
          <w:rFonts w:ascii="Trebuchet MS" w:hAnsi="Trebuchet MS"/>
          <w:sz w:val="22"/>
          <w:szCs w:val="22"/>
        </w:rPr>
      </w:pPr>
      <w:r w:rsidRPr="00220248">
        <w:rPr>
          <w:rFonts w:ascii="Trebuchet MS" w:hAnsi="Trebuchet MS"/>
          <w:sz w:val="22"/>
          <w:szCs w:val="22"/>
        </w:rPr>
        <w:t xml:space="preserve">If BDO had audited the underlying data, matters may have come to our attention that would have resulted in our using amounts that differ from those provided. Accordingly, we do not express an opinion or any other assurances on the underlying data or projections presented or relied upon in this report. We do not provide assurance on the achievability of the results forecasted by the Applicant because events and circumstances frequently do not occur as </w:t>
      </w:r>
      <w:r w:rsidRPr="00220248">
        <w:rPr>
          <w:rFonts w:ascii="Trebuchet MS" w:hAnsi="Trebuchet MS"/>
          <w:sz w:val="22"/>
          <w:szCs w:val="22"/>
        </w:rPr>
        <w:lastRenderedPageBreak/>
        <w:t xml:space="preserve">expected, and the achievement of the forecasted results is dependent on the actions, plans, and assumptions of Management. We reserve the right to update our analysis in the event we are provided with additional information. </w:t>
      </w:r>
    </w:p>
    <w:p w14:paraId="57E7B2B3" w14:textId="77777777" w:rsidR="00A1439F" w:rsidRPr="00D35971" w:rsidRDefault="00A1439F" w:rsidP="002B25F4">
      <w:pPr>
        <w:tabs>
          <w:tab w:val="left" w:pos="720"/>
        </w:tabs>
        <w:spacing w:line="480" w:lineRule="auto"/>
        <w:jc w:val="both"/>
        <w:rPr>
          <w:rFonts w:ascii="Trebuchet MS" w:hAnsi="Trebuchet MS"/>
          <w:sz w:val="22"/>
          <w:szCs w:val="22"/>
        </w:rPr>
      </w:pPr>
    </w:p>
    <w:p w14:paraId="63FBAFAB" w14:textId="77777777" w:rsidR="009A2BEA" w:rsidRPr="00220248" w:rsidRDefault="00D3103D">
      <w:pPr>
        <w:pStyle w:val="Heading1"/>
        <w:keepNext w:val="0"/>
        <w:numPr>
          <w:ilvl w:val="0"/>
          <w:numId w:val="1"/>
        </w:numPr>
        <w:spacing w:line="480" w:lineRule="auto"/>
        <w:ind w:hanging="720"/>
        <w:rPr>
          <w:rFonts w:ascii="Trebuchet MS" w:hAnsi="Trebuchet MS"/>
          <w:sz w:val="22"/>
          <w:szCs w:val="22"/>
        </w:rPr>
      </w:pPr>
      <w:bookmarkStart w:id="5" w:name="_Toc463886376"/>
      <w:bookmarkStart w:id="6" w:name="_Ref467150501"/>
      <w:bookmarkEnd w:id="2"/>
      <w:bookmarkEnd w:id="3"/>
      <w:r w:rsidRPr="00220248">
        <w:rPr>
          <w:rFonts w:ascii="Trebuchet MS" w:hAnsi="Trebuchet MS"/>
          <w:sz w:val="22"/>
          <w:szCs w:val="22"/>
        </w:rPr>
        <w:t>SOURCES OF INFORMATION UTILIZED</w:t>
      </w:r>
      <w:bookmarkEnd w:id="5"/>
      <w:bookmarkEnd w:id="6"/>
    </w:p>
    <w:p w14:paraId="498F2815" w14:textId="77777777" w:rsidR="009A2BEA" w:rsidRPr="00220248" w:rsidRDefault="009A2BEA">
      <w:pPr>
        <w:spacing w:line="480" w:lineRule="auto"/>
        <w:jc w:val="both"/>
        <w:rPr>
          <w:rFonts w:ascii="Trebuchet MS" w:hAnsi="Trebuchet MS"/>
          <w:b/>
          <w:sz w:val="22"/>
          <w:szCs w:val="22"/>
          <w:u w:val="single"/>
        </w:rPr>
      </w:pPr>
    </w:p>
    <w:p w14:paraId="14019C3A" w14:textId="77777777" w:rsidR="009A2BEA" w:rsidRPr="00220248" w:rsidRDefault="00D3103D">
      <w:pPr>
        <w:spacing w:line="480" w:lineRule="auto"/>
        <w:jc w:val="both"/>
        <w:rPr>
          <w:rFonts w:ascii="Trebuchet MS" w:hAnsi="Trebuchet MS"/>
          <w:sz w:val="22"/>
          <w:szCs w:val="22"/>
        </w:rPr>
      </w:pPr>
      <w:r w:rsidRPr="00220248">
        <w:rPr>
          <w:rFonts w:ascii="Trebuchet MS" w:hAnsi="Trebuchet MS"/>
          <w:sz w:val="22"/>
          <w:szCs w:val="22"/>
        </w:rPr>
        <w:t>In formulatin</w:t>
      </w:r>
      <w:r w:rsidR="00D31AC0" w:rsidRPr="00220248">
        <w:rPr>
          <w:rFonts w:ascii="Trebuchet MS" w:hAnsi="Trebuchet MS"/>
          <w:sz w:val="22"/>
          <w:szCs w:val="22"/>
        </w:rPr>
        <w:t>g</w:t>
      </w:r>
      <w:r w:rsidRPr="00220248">
        <w:rPr>
          <w:rFonts w:ascii="Trebuchet MS" w:hAnsi="Trebuchet MS"/>
          <w:sz w:val="22"/>
          <w:szCs w:val="22"/>
        </w:rPr>
        <w:t xml:space="preserve"> </w:t>
      </w:r>
      <w:r w:rsidR="00D31AC0" w:rsidRPr="00220248">
        <w:rPr>
          <w:rFonts w:ascii="Trebuchet MS" w:hAnsi="Trebuchet MS"/>
          <w:sz w:val="22"/>
          <w:szCs w:val="22"/>
        </w:rPr>
        <w:t>our</w:t>
      </w:r>
      <w:r w:rsidRPr="00220248">
        <w:rPr>
          <w:rFonts w:ascii="Trebuchet MS" w:hAnsi="Trebuchet MS"/>
          <w:sz w:val="22"/>
          <w:szCs w:val="22"/>
        </w:rPr>
        <w:t xml:space="preserve"> conclusions contained in this report, we reviewed documents produced by Management as well as third party industry data sources. The documents and information upon which we relied are identified below or are otherwise referenced in this report: </w:t>
      </w:r>
    </w:p>
    <w:p w14:paraId="1CD31472" w14:textId="77777777" w:rsidR="009A2BEA" w:rsidRPr="002E63C8" w:rsidRDefault="009A2BEA">
      <w:pPr>
        <w:spacing w:line="480" w:lineRule="auto"/>
        <w:jc w:val="both"/>
        <w:rPr>
          <w:rFonts w:ascii="Trebuchet MS" w:hAnsi="Trebuchet MS"/>
          <w:sz w:val="22"/>
          <w:szCs w:val="22"/>
          <w:highlight w:val="yellow"/>
        </w:rPr>
      </w:pPr>
    </w:p>
    <w:p w14:paraId="68C415CE" w14:textId="5B37050B" w:rsidR="009A2BEA" w:rsidRPr="00220248" w:rsidRDefault="00D3103D" w:rsidP="003C0C33">
      <w:pPr>
        <w:numPr>
          <w:ilvl w:val="0"/>
          <w:numId w:val="2"/>
        </w:numPr>
        <w:spacing w:line="480" w:lineRule="auto"/>
        <w:jc w:val="both"/>
        <w:rPr>
          <w:rFonts w:ascii="Trebuchet MS" w:hAnsi="Trebuchet MS"/>
          <w:sz w:val="22"/>
          <w:szCs w:val="22"/>
        </w:rPr>
      </w:pPr>
      <w:r w:rsidRPr="00220248">
        <w:rPr>
          <w:rFonts w:ascii="Trebuchet MS" w:hAnsi="Trebuchet MS"/>
          <w:sz w:val="22"/>
          <w:szCs w:val="22"/>
        </w:rPr>
        <w:t>Financial Model for</w:t>
      </w:r>
      <w:r w:rsidR="0014288E" w:rsidRPr="00220248">
        <w:rPr>
          <w:rFonts w:ascii="Trebuchet MS" w:hAnsi="Trebuchet MS"/>
          <w:sz w:val="22"/>
          <w:szCs w:val="22"/>
        </w:rPr>
        <w:t xml:space="preserve"> </w:t>
      </w:r>
      <w:r w:rsidR="00220248">
        <w:rPr>
          <w:rFonts w:ascii="Trebuchet MS" w:hAnsi="Trebuchet MS"/>
          <w:sz w:val="22"/>
          <w:szCs w:val="22"/>
        </w:rPr>
        <w:t>CHA</w:t>
      </w:r>
      <w:r w:rsidR="0014288E" w:rsidRPr="00220248">
        <w:rPr>
          <w:rFonts w:ascii="Trebuchet MS" w:hAnsi="Trebuchet MS"/>
          <w:sz w:val="22"/>
          <w:szCs w:val="22"/>
        </w:rPr>
        <w:t xml:space="preserve"> </w:t>
      </w:r>
      <w:r w:rsidRPr="00220248">
        <w:rPr>
          <w:rFonts w:ascii="Trebuchet MS" w:hAnsi="Trebuchet MS"/>
          <w:sz w:val="22"/>
          <w:szCs w:val="22"/>
        </w:rPr>
        <w:t xml:space="preserve">for the periods ending </w:t>
      </w:r>
      <w:r w:rsidR="00220248" w:rsidRPr="00220248">
        <w:rPr>
          <w:rFonts w:ascii="Trebuchet MS" w:hAnsi="Trebuchet MS"/>
          <w:sz w:val="22"/>
          <w:szCs w:val="22"/>
        </w:rPr>
        <w:t>June</w:t>
      </w:r>
      <w:r w:rsidRPr="00220248">
        <w:rPr>
          <w:rFonts w:ascii="Trebuchet MS" w:hAnsi="Trebuchet MS"/>
          <w:sz w:val="22"/>
          <w:szCs w:val="22"/>
        </w:rPr>
        <w:t xml:space="preserve"> 30, </w:t>
      </w:r>
      <w:proofErr w:type="gramStart"/>
      <w:r w:rsidR="009D5319" w:rsidRPr="00220248">
        <w:rPr>
          <w:rFonts w:ascii="Trebuchet MS" w:hAnsi="Trebuchet MS"/>
          <w:sz w:val="22"/>
          <w:szCs w:val="22"/>
        </w:rPr>
        <w:t>20</w:t>
      </w:r>
      <w:r w:rsidR="00220248" w:rsidRPr="00220248">
        <w:rPr>
          <w:rFonts w:ascii="Trebuchet MS" w:hAnsi="Trebuchet MS"/>
          <w:sz w:val="22"/>
          <w:szCs w:val="22"/>
        </w:rPr>
        <w:t>20</w:t>
      </w:r>
      <w:proofErr w:type="gramEnd"/>
      <w:r w:rsidRPr="00220248">
        <w:rPr>
          <w:rFonts w:ascii="Trebuchet MS" w:hAnsi="Trebuchet MS"/>
          <w:sz w:val="22"/>
          <w:szCs w:val="22"/>
        </w:rPr>
        <w:t xml:space="preserve"> through </w:t>
      </w:r>
      <w:r w:rsidR="00220248" w:rsidRPr="00220248">
        <w:rPr>
          <w:rFonts w:ascii="Trebuchet MS" w:hAnsi="Trebuchet MS"/>
          <w:sz w:val="22"/>
          <w:szCs w:val="22"/>
        </w:rPr>
        <w:t>June</w:t>
      </w:r>
      <w:r w:rsidRPr="00220248">
        <w:rPr>
          <w:rFonts w:ascii="Trebuchet MS" w:hAnsi="Trebuchet MS"/>
          <w:sz w:val="22"/>
          <w:szCs w:val="22"/>
        </w:rPr>
        <w:t xml:space="preserve"> 30, </w:t>
      </w:r>
      <w:r w:rsidR="00691961" w:rsidRPr="00220248">
        <w:rPr>
          <w:rFonts w:ascii="Trebuchet MS" w:hAnsi="Trebuchet MS"/>
          <w:sz w:val="22"/>
          <w:szCs w:val="22"/>
        </w:rPr>
        <w:t>202</w:t>
      </w:r>
      <w:r w:rsidR="00220248" w:rsidRPr="00220248">
        <w:rPr>
          <w:rFonts w:ascii="Trebuchet MS" w:hAnsi="Trebuchet MS"/>
          <w:sz w:val="22"/>
          <w:szCs w:val="22"/>
        </w:rPr>
        <w:t>7</w:t>
      </w:r>
      <w:r w:rsidRPr="00220248">
        <w:rPr>
          <w:rFonts w:ascii="Trebuchet MS" w:hAnsi="Trebuchet MS"/>
          <w:sz w:val="22"/>
          <w:szCs w:val="22"/>
        </w:rPr>
        <w:t>;</w:t>
      </w:r>
    </w:p>
    <w:p w14:paraId="4585691C" w14:textId="08DA979B" w:rsidR="00760B5A" w:rsidRPr="00EC336E" w:rsidRDefault="001A3EDC">
      <w:pPr>
        <w:numPr>
          <w:ilvl w:val="0"/>
          <w:numId w:val="2"/>
        </w:numPr>
        <w:spacing w:line="480" w:lineRule="auto"/>
        <w:jc w:val="both"/>
        <w:rPr>
          <w:rFonts w:ascii="Trebuchet MS" w:hAnsi="Trebuchet MS"/>
          <w:sz w:val="22"/>
          <w:szCs w:val="22"/>
        </w:rPr>
      </w:pPr>
      <w:r>
        <w:rPr>
          <w:rFonts w:ascii="Trebuchet MS" w:hAnsi="Trebuchet MS"/>
          <w:sz w:val="22"/>
          <w:szCs w:val="22"/>
        </w:rPr>
        <w:t xml:space="preserve">May Results Analysis and Fiscal Year 2022 Reprojection </w:t>
      </w:r>
      <w:r w:rsidR="00760B5A" w:rsidRPr="00EC336E">
        <w:rPr>
          <w:rFonts w:ascii="Trebuchet MS" w:hAnsi="Trebuchet MS"/>
          <w:sz w:val="22"/>
          <w:szCs w:val="22"/>
        </w:rPr>
        <w:t>Presentation to the</w:t>
      </w:r>
      <w:r w:rsidR="00220248" w:rsidRPr="00EC336E">
        <w:rPr>
          <w:rFonts w:ascii="Trebuchet MS" w:hAnsi="Trebuchet MS"/>
          <w:sz w:val="22"/>
          <w:szCs w:val="22"/>
        </w:rPr>
        <w:t xml:space="preserve"> CHA</w:t>
      </w:r>
      <w:r w:rsidR="00EC336E" w:rsidRPr="00EC336E">
        <w:rPr>
          <w:rFonts w:ascii="Trebuchet MS" w:hAnsi="Trebuchet MS"/>
          <w:sz w:val="22"/>
          <w:szCs w:val="22"/>
        </w:rPr>
        <w:t xml:space="preserve"> Board</w:t>
      </w:r>
      <w:r w:rsidR="00760B5A" w:rsidRPr="00EC336E">
        <w:rPr>
          <w:rFonts w:ascii="Trebuchet MS" w:hAnsi="Trebuchet MS"/>
          <w:sz w:val="22"/>
          <w:szCs w:val="22"/>
        </w:rPr>
        <w:t xml:space="preserve"> Finance Committee on </w:t>
      </w:r>
      <w:r w:rsidR="00EC336E" w:rsidRPr="00EC336E">
        <w:rPr>
          <w:rFonts w:ascii="Trebuchet MS" w:hAnsi="Trebuchet MS"/>
          <w:sz w:val="22"/>
          <w:szCs w:val="22"/>
        </w:rPr>
        <w:t xml:space="preserve">June 28, </w:t>
      </w:r>
      <w:proofErr w:type="gramStart"/>
      <w:r w:rsidR="00EC336E" w:rsidRPr="00EC336E">
        <w:rPr>
          <w:rFonts w:ascii="Trebuchet MS" w:hAnsi="Trebuchet MS"/>
          <w:sz w:val="22"/>
          <w:szCs w:val="22"/>
        </w:rPr>
        <w:t>2022</w:t>
      </w:r>
      <w:r w:rsidR="00760B5A" w:rsidRPr="00EC336E">
        <w:rPr>
          <w:rFonts w:ascii="Trebuchet MS" w:hAnsi="Trebuchet MS"/>
          <w:sz w:val="22"/>
          <w:szCs w:val="22"/>
        </w:rPr>
        <w:t>;</w:t>
      </w:r>
      <w:proofErr w:type="gramEnd"/>
    </w:p>
    <w:p w14:paraId="20EBB041" w14:textId="44F6CC88" w:rsidR="00EC336E" w:rsidRDefault="00EC336E">
      <w:pPr>
        <w:numPr>
          <w:ilvl w:val="0"/>
          <w:numId w:val="2"/>
        </w:numPr>
        <w:spacing w:line="480" w:lineRule="auto"/>
        <w:jc w:val="both"/>
        <w:rPr>
          <w:rFonts w:ascii="Trebuchet MS" w:hAnsi="Trebuchet MS"/>
          <w:sz w:val="22"/>
          <w:szCs w:val="22"/>
        </w:rPr>
      </w:pPr>
      <w:r w:rsidRPr="00EC336E">
        <w:rPr>
          <w:rFonts w:ascii="Trebuchet MS" w:hAnsi="Trebuchet MS"/>
          <w:sz w:val="22"/>
          <w:szCs w:val="22"/>
        </w:rPr>
        <w:t xml:space="preserve">Fiscal Year 2023 Budget Recommendation Presentation to the CHA Finance Committee on June 28, </w:t>
      </w:r>
      <w:proofErr w:type="gramStart"/>
      <w:r w:rsidRPr="00EC336E">
        <w:rPr>
          <w:rFonts w:ascii="Trebuchet MS" w:hAnsi="Trebuchet MS"/>
          <w:sz w:val="22"/>
          <w:szCs w:val="22"/>
        </w:rPr>
        <w:t>2022;</w:t>
      </w:r>
      <w:proofErr w:type="gramEnd"/>
    </w:p>
    <w:p w14:paraId="2A1E38E1" w14:textId="7CD9335E" w:rsidR="009A2BEA" w:rsidRDefault="004C085F">
      <w:pPr>
        <w:numPr>
          <w:ilvl w:val="0"/>
          <w:numId w:val="2"/>
        </w:numPr>
        <w:spacing w:line="480" w:lineRule="auto"/>
        <w:jc w:val="both"/>
        <w:rPr>
          <w:rFonts w:ascii="Trebuchet MS" w:hAnsi="Trebuchet MS"/>
          <w:sz w:val="22"/>
          <w:szCs w:val="22"/>
        </w:rPr>
      </w:pPr>
      <w:r>
        <w:rPr>
          <w:rFonts w:ascii="Trebuchet MS" w:hAnsi="Trebuchet MS"/>
          <w:sz w:val="22"/>
          <w:szCs w:val="22"/>
        </w:rPr>
        <w:t xml:space="preserve">Cambridge Health Alliance DON Application # CHA-22061514-RE dated August 31, </w:t>
      </w:r>
      <w:proofErr w:type="gramStart"/>
      <w:r>
        <w:rPr>
          <w:rFonts w:ascii="Trebuchet MS" w:hAnsi="Trebuchet MS"/>
          <w:sz w:val="22"/>
          <w:szCs w:val="22"/>
        </w:rPr>
        <w:t>2022</w:t>
      </w:r>
      <w:r w:rsidR="00D3103D" w:rsidRPr="00EC336E">
        <w:rPr>
          <w:rFonts w:ascii="Trebuchet MS" w:hAnsi="Trebuchet MS"/>
          <w:sz w:val="22"/>
          <w:szCs w:val="22"/>
        </w:rPr>
        <w:t>;</w:t>
      </w:r>
      <w:proofErr w:type="gramEnd"/>
    </w:p>
    <w:p w14:paraId="3A14EAB1" w14:textId="30BA205D" w:rsidR="00EC336E" w:rsidRDefault="00EC336E">
      <w:pPr>
        <w:numPr>
          <w:ilvl w:val="0"/>
          <w:numId w:val="2"/>
        </w:numPr>
        <w:spacing w:line="480" w:lineRule="auto"/>
        <w:jc w:val="both"/>
        <w:rPr>
          <w:rFonts w:ascii="Trebuchet MS" w:hAnsi="Trebuchet MS"/>
          <w:sz w:val="22"/>
          <w:szCs w:val="22"/>
        </w:rPr>
      </w:pPr>
      <w:bookmarkStart w:id="7" w:name="_Hlk104206200"/>
      <w:r w:rsidRPr="00EC336E">
        <w:rPr>
          <w:rFonts w:ascii="Trebuchet MS" w:hAnsi="Trebuchet MS"/>
          <w:sz w:val="22"/>
          <w:szCs w:val="22"/>
        </w:rPr>
        <w:t xml:space="preserve">A Project Budget for the project titled Malden PET </w:t>
      </w:r>
      <w:r w:rsidR="00900B50">
        <w:rPr>
          <w:rFonts w:ascii="Trebuchet MS" w:hAnsi="Trebuchet MS"/>
          <w:sz w:val="22"/>
          <w:szCs w:val="22"/>
        </w:rPr>
        <w:t>-</w:t>
      </w:r>
      <w:r w:rsidR="00900B50" w:rsidRPr="00EC336E">
        <w:rPr>
          <w:rFonts w:ascii="Trebuchet MS" w:hAnsi="Trebuchet MS"/>
          <w:sz w:val="22"/>
          <w:szCs w:val="22"/>
        </w:rPr>
        <w:t xml:space="preserve"> </w:t>
      </w:r>
      <w:r w:rsidRPr="00EC336E">
        <w:rPr>
          <w:rFonts w:ascii="Trebuchet MS" w:hAnsi="Trebuchet MS"/>
          <w:sz w:val="22"/>
          <w:szCs w:val="22"/>
        </w:rPr>
        <w:t xml:space="preserve">CT signed by David Farmer, Senior Director of Facilities, dated August 19, </w:t>
      </w:r>
      <w:proofErr w:type="gramStart"/>
      <w:r w:rsidRPr="00EC336E">
        <w:rPr>
          <w:rFonts w:ascii="Trebuchet MS" w:hAnsi="Trebuchet MS"/>
          <w:sz w:val="22"/>
          <w:szCs w:val="22"/>
        </w:rPr>
        <w:t>2022;</w:t>
      </w:r>
      <w:proofErr w:type="gramEnd"/>
      <w:r w:rsidRPr="00EC336E">
        <w:rPr>
          <w:rFonts w:ascii="Trebuchet MS" w:hAnsi="Trebuchet MS"/>
          <w:sz w:val="22"/>
          <w:szCs w:val="22"/>
        </w:rPr>
        <w:t xml:space="preserve"> </w:t>
      </w:r>
    </w:p>
    <w:p w14:paraId="1FD05CDF" w14:textId="728C4638" w:rsidR="00EC336E" w:rsidRPr="00EC336E" w:rsidRDefault="00D35971">
      <w:pPr>
        <w:numPr>
          <w:ilvl w:val="0"/>
          <w:numId w:val="2"/>
        </w:numPr>
        <w:spacing w:line="480" w:lineRule="auto"/>
        <w:jc w:val="both"/>
        <w:rPr>
          <w:rFonts w:ascii="Trebuchet MS" w:hAnsi="Trebuchet MS"/>
          <w:sz w:val="22"/>
          <w:szCs w:val="22"/>
        </w:rPr>
      </w:pPr>
      <w:r>
        <w:rPr>
          <w:rFonts w:ascii="Trebuchet MS" w:hAnsi="Trebuchet MS"/>
          <w:sz w:val="22"/>
          <w:szCs w:val="22"/>
        </w:rPr>
        <w:t xml:space="preserve">Public Announcement Concerning a Proposed Health Care </w:t>
      </w:r>
      <w:proofErr w:type="gramStart"/>
      <w:r>
        <w:rPr>
          <w:rFonts w:ascii="Trebuchet MS" w:hAnsi="Trebuchet MS"/>
          <w:sz w:val="22"/>
          <w:szCs w:val="22"/>
        </w:rPr>
        <w:t>Project;</w:t>
      </w:r>
      <w:proofErr w:type="gramEnd"/>
    </w:p>
    <w:p w14:paraId="324872E6" w14:textId="59A12A65" w:rsidR="00AD638C" w:rsidRPr="00D35971" w:rsidRDefault="00D35971">
      <w:pPr>
        <w:numPr>
          <w:ilvl w:val="0"/>
          <w:numId w:val="2"/>
        </w:numPr>
        <w:spacing w:line="480" w:lineRule="auto"/>
        <w:jc w:val="both"/>
        <w:rPr>
          <w:rFonts w:ascii="Trebuchet MS" w:hAnsi="Trebuchet MS"/>
          <w:sz w:val="22"/>
          <w:szCs w:val="22"/>
        </w:rPr>
      </w:pPr>
      <w:r w:rsidRPr="00D35971">
        <w:rPr>
          <w:rFonts w:ascii="Trebuchet MS" w:hAnsi="Trebuchet MS"/>
          <w:sz w:val="22"/>
          <w:szCs w:val="22"/>
        </w:rPr>
        <w:t xml:space="preserve">Projected Return on Investment (“ROI”) for Mobile PET </w:t>
      </w:r>
      <w:r w:rsidR="00303645">
        <w:rPr>
          <w:rFonts w:ascii="Trebuchet MS" w:hAnsi="Trebuchet MS"/>
          <w:sz w:val="22"/>
          <w:szCs w:val="22"/>
        </w:rPr>
        <w:t xml:space="preserve">Service </w:t>
      </w:r>
      <w:proofErr w:type="gramStart"/>
      <w:r w:rsidRPr="00D35971">
        <w:rPr>
          <w:rFonts w:ascii="Trebuchet MS" w:hAnsi="Trebuchet MS"/>
          <w:sz w:val="22"/>
          <w:szCs w:val="22"/>
        </w:rPr>
        <w:t>Project;</w:t>
      </w:r>
      <w:proofErr w:type="gramEnd"/>
      <w:r w:rsidRPr="00D35971">
        <w:rPr>
          <w:rFonts w:ascii="Trebuchet MS" w:hAnsi="Trebuchet MS"/>
          <w:sz w:val="22"/>
          <w:szCs w:val="22"/>
        </w:rPr>
        <w:t xml:space="preserve"> </w:t>
      </w:r>
    </w:p>
    <w:bookmarkEnd w:id="7"/>
    <w:p w14:paraId="206CB6E6" w14:textId="6E20C44F" w:rsidR="009A2BEA" w:rsidRDefault="00D3103D">
      <w:pPr>
        <w:numPr>
          <w:ilvl w:val="0"/>
          <w:numId w:val="2"/>
        </w:numPr>
        <w:spacing w:line="480" w:lineRule="auto"/>
        <w:jc w:val="both"/>
        <w:rPr>
          <w:rFonts w:ascii="Trebuchet MS" w:hAnsi="Trebuchet MS"/>
          <w:sz w:val="22"/>
          <w:szCs w:val="22"/>
        </w:rPr>
      </w:pPr>
      <w:r w:rsidRPr="00D35971">
        <w:rPr>
          <w:rFonts w:ascii="Trebuchet MS" w:hAnsi="Trebuchet MS"/>
          <w:sz w:val="22"/>
          <w:szCs w:val="22"/>
        </w:rPr>
        <w:t>Audited Financial Statements</w:t>
      </w:r>
      <w:bookmarkStart w:id="8" w:name="_Hlk57821392"/>
      <w:r w:rsidR="00303645">
        <w:rPr>
          <w:rFonts w:ascii="Trebuchet MS" w:hAnsi="Trebuchet MS"/>
          <w:sz w:val="22"/>
          <w:szCs w:val="22"/>
        </w:rPr>
        <w:t xml:space="preserve"> for</w:t>
      </w:r>
      <w:r w:rsidR="00D35971" w:rsidRPr="00D35971">
        <w:rPr>
          <w:rFonts w:ascii="Trebuchet MS" w:hAnsi="Trebuchet MS"/>
          <w:sz w:val="22"/>
          <w:szCs w:val="22"/>
        </w:rPr>
        <w:t xml:space="preserve"> Cambridge Health Alliance</w:t>
      </w:r>
      <w:r w:rsidR="0014288E" w:rsidRPr="00D35971">
        <w:rPr>
          <w:rFonts w:ascii="Trebuchet MS" w:hAnsi="Trebuchet MS"/>
          <w:sz w:val="22"/>
          <w:szCs w:val="22"/>
        </w:rPr>
        <w:t xml:space="preserve"> </w:t>
      </w:r>
      <w:bookmarkEnd w:id="8"/>
      <w:r w:rsidRPr="00D35971">
        <w:rPr>
          <w:rFonts w:ascii="Trebuchet MS" w:hAnsi="Trebuchet MS"/>
          <w:sz w:val="22"/>
          <w:szCs w:val="22"/>
        </w:rPr>
        <w:t>for Fiscal Year</w:t>
      </w:r>
      <w:r w:rsidR="005765D8" w:rsidRPr="00D35971">
        <w:rPr>
          <w:rFonts w:ascii="Trebuchet MS" w:hAnsi="Trebuchet MS"/>
          <w:sz w:val="22"/>
          <w:szCs w:val="22"/>
        </w:rPr>
        <w:t>s</w:t>
      </w:r>
      <w:r w:rsidRPr="00D35971">
        <w:rPr>
          <w:rFonts w:ascii="Trebuchet MS" w:hAnsi="Trebuchet MS"/>
          <w:sz w:val="22"/>
          <w:szCs w:val="22"/>
        </w:rPr>
        <w:t xml:space="preserve"> </w:t>
      </w:r>
      <w:r w:rsidR="009F125A" w:rsidRPr="00D35971">
        <w:rPr>
          <w:rFonts w:ascii="Trebuchet MS" w:hAnsi="Trebuchet MS"/>
          <w:sz w:val="22"/>
          <w:szCs w:val="22"/>
        </w:rPr>
        <w:t xml:space="preserve">Ended </w:t>
      </w:r>
      <w:r w:rsidR="00D35971" w:rsidRPr="00D35971">
        <w:rPr>
          <w:rFonts w:ascii="Trebuchet MS" w:hAnsi="Trebuchet MS"/>
          <w:sz w:val="22"/>
          <w:szCs w:val="22"/>
        </w:rPr>
        <w:t>June</w:t>
      </w:r>
      <w:r w:rsidRPr="00D35971">
        <w:rPr>
          <w:rFonts w:ascii="Trebuchet MS" w:hAnsi="Trebuchet MS"/>
          <w:sz w:val="22"/>
          <w:szCs w:val="22"/>
        </w:rPr>
        <w:t xml:space="preserve"> 30,</w:t>
      </w:r>
      <w:r w:rsidR="00303645">
        <w:rPr>
          <w:rFonts w:ascii="Trebuchet MS" w:hAnsi="Trebuchet MS"/>
          <w:sz w:val="22"/>
          <w:szCs w:val="22"/>
        </w:rPr>
        <w:t xml:space="preserve"> </w:t>
      </w:r>
      <w:proofErr w:type="gramStart"/>
      <w:r w:rsidR="00D35971" w:rsidRPr="00D35971">
        <w:rPr>
          <w:rFonts w:ascii="Trebuchet MS" w:hAnsi="Trebuchet MS"/>
          <w:sz w:val="22"/>
          <w:szCs w:val="22"/>
        </w:rPr>
        <w:t>2021</w:t>
      </w:r>
      <w:proofErr w:type="gramEnd"/>
      <w:r w:rsidR="00D35971" w:rsidRPr="00D35971">
        <w:rPr>
          <w:rFonts w:ascii="Trebuchet MS" w:hAnsi="Trebuchet MS"/>
          <w:sz w:val="22"/>
          <w:szCs w:val="22"/>
        </w:rPr>
        <w:t xml:space="preserve"> and 2020</w:t>
      </w:r>
      <w:r w:rsidRPr="00D35971">
        <w:rPr>
          <w:rFonts w:ascii="Trebuchet MS" w:hAnsi="Trebuchet MS"/>
          <w:sz w:val="22"/>
          <w:szCs w:val="22"/>
        </w:rPr>
        <w:t>;</w:t>
      </w:r>
    </w:p>
    <w:p w14:paraId="6C48993F" w14:textId="1EA037BC" w:rsidR="00303645" w:rsidRPr="00D35971" w:rsidRDefault="00303645" w:rsidP="00303645">
      <w:pPr>
        <w:numPr>
          <w:ilvl w:val="0"/>
          <w:numId w:val="2"/>
        </w:numPr>
        <w:spacing w:line="480" w:lineRule="auto"/>
        <w:jc w:val="both"/>
        <w:rPr>
          <w:rFonts w:ascii="Trebuchet MS" w:hAnsi="Trebuchet MS"/>
          <w:sz w:val="22"/>
          <w:szCs w:val="22"/>
        </w:rPr>
      </w:pPr>
      <w:r w:rsidRPr="00D35971">
        <w:rPr>
          <w:rFonts w:ascii="Trebuchet MS" w:hAnsi="Trebuchet MS"/>
          <w:sz w:val="22"/>
          <w:szCs w:val="22"/>
        </w:rPr>
        <w:lastRenderedPageBreak/>
        <w:t>Audited Financial Statements</w:t>
      </w:r>
      <w:r>
        <w:rPr>
          <w:rFonts w:ascii="Trebuchet MS" w:hAnsi="Trebuchet MS"/>
          <w:sz w:val="22"/>
          <w:szCs w:val="22"/>
        </w:rPr>
        <w:t xml:space="preserve"> for</w:t>
      </w:r>
      <w:r w:rsidRPr="00D35971">
        <w:rPr>
          <w:rFonts w:ascii="Trebuchet MS" w:hAnsi="Trebuchet MS"/>
          <w:sz w:val="22"/>
          <w:szCs w:val="22"/>
        </w:rPr>
        <w:t xml:space="preserve"> Cambridge Health Alliance for Fiscal Years Ended June 30,</w:t>
      </w:r>
      <w:r>
        <w:rPr>
          <w:rFonts w:ascii="Trebuchet MS" w:hAnsi="Trebuchet MS"/>
          <w:sz w:val="22"/>
          <w:szCs w:val="22"/>
        </w:rPr>
        <w:t xml:space="preserve"> </w:t>
      </w:r>
      <w:proofErr w:type="gramStart"/>
      <w:r w:rsidRPr="00D35971">
        <w:rPr>
          <w:rFonts w:ascii="Trebuchet MS" w:hAnsi="Trebuchet MS"/>
          <w:sz w:val="22"/>
          <w:szCs w:val="22"/>
        </w:rPr>
        <w:t>20</w:t>
      </w:r>
      <w:r>
        <w:rPr>
          <w:rFonts w:ascii="Trebuchet MS" w:hAnsi="Trebuchet MS"/>
          <w:sz w:val="22"/>
          <w:szCs w:val="22"/>
        </w:rPr>
        <w:t>19</w:t>
      </w:r>
      <w:proofErr w:type="gramEnd"/>
      <w:r w:rsidRPr="00D35971">
        <w:rPr>
          <w:rFonts w:ascii="Trebuchet MS" w:hAnsi="Trebuchet MS"/>
          <w:sz w:val="22"/>
          <w:szCs w:val="22"/>
        </w:rPr>
        <w:t xml:space="preserve"> and 20</w:t>
      </w:r>
      <w:r>
        <w:rPr>
          <w:rFonts w:ascii="Trebuchet MS" w:hAnsi="Trebuchet MS"/>
          <w:sz w:val="22"/>
          <w:szCs w:val="22"/>
        </w:rPr>
        <w:t>18</w:t>
      </w:r>
      <w:r w:rsidRPr="00D35971">
        <w:rPr>
          <w:rFonts w:ascii="Trebuchet MS" w:hAnsi="Trebuchet MS"/>
          <w:sz w:val="22"/>
          <w:szCs w:val="22"/>
        </w:rPr>
        <w:t>;</w:t>
      </w:r>
    </w:p>
    <w:p w14:paraId="2418F3AA" w14:textId="44E2EE37" w:rsidR="00303645" w:rsidRPr="00D35971" w:rsidRDefault="00303645">
      <w:pPr>
        <w:numPr>
          <w:ilvl w:val="0"/>
          <w:numId w:val="2"/>
        </w:numPr>
        <w:spacing w:line="480" w:lineRule="auto"/>
        <w:jc w:val="both"/>
        <w:rPr>
          <w:rFonts w:ascii="Trebuchet MS" w:hAnsi="Trebuchet MS"/>
          <w:sz w:val="22"/>
          <w:szCs w:val="22"/>
        </w:rPr>
      </w:pPr>
      <w:r>
        <w:rPr>
          <w:rFonts w:ascii="Trebuchet MS" w:hAnsi="Trebuchet MS"/>
          <w:sz w:val="22"/>
          <w:szCs w:val="22"/>
        </w:rPr>
        <w:t xml:space="preserve">Integra Reports, </w:t>
      </w:r>
      <w:r w:rsidRPr="00FB6986">
        <w:rPr>
          <w:rFonts w:ascii="Trebuchet MS" w:hAnsi="Trebuchet MS"/>
          <w:sz w:val="22"/>
          <w:szCs w:val="22"/>
        </w:rPr>
        <w:t xml:space="preserve">published by </w:t>
      </w:r>
      <w:proofErr w:type="spellStart"/>
      <w:r w:rsidRPr="00FB6986">
        <w:rPr>
          <w:rFonts w:ascii="Trebuchet MS" w:hAnsi="Trebuchet MS"/>
          <w:sz w:val="22"/>
          <w:szCs w:val="22"/>
        </w:rPr>
        <w:t>MicroBilt</w:t>
      </w:r>
      <w:proofErr w:type="spellEnd"/>
      <w:r w:rsidRPr="00FB6986">
        <w:rPr>
          <w:rFonts w:ascii="Trebuchet MS" w:hAnsi="Trebuchet MS"/>
          <w:sz w:val="22"/>
          <w:szCs w:val="22"/>
        </w:rPr>
        <w:t xml:space="preserve"> </w:t>
      </w:r>
      <w:proofErr w:type="gramStart"/>
      <w:r w:rsidRPr="00FB6986">
        <w:rPr>
          <w:rFonts w:ascii="Trebuchet MS" w:hAnsi="Trebuchet MS"/>
          <w:sz w:val="22"/>
          <w:szCs w:val="22"/>
        </w:rPr>
        <w:t>Corporation;</w:t>
      </w:r>
      <w:proofErr w:type="gramEnd"/>
    </w:p>
    <w:p w14:paraId="05B16B20" w14:textId="6EC03190" w:rsidR="009A2BEA" w:rsidRPr="00CF5742" w:rsidRDefault="00D3103D">
      <w:pPr>
        <w:numPr>
          <w:ilvl w:val="0"/>
          <w:numId w:val="2"/>
        </w:numPr>
        <w:spacing w:line="480" w:lineRule="auto"/>
        <w:jc w:val="both"/>
        <w:rPr>
          <w:rFonts w:ascii="Trebuchet MS" w:hAnsi="Trebuchet MS"/>
          <w:sz w:val="22"/>
          <w:szCs w:val="22"/>
        </w:rPr>
      </w:pPr>
      <w:r w:rsidRPr="00CF5742">
        <w:rPr>
          <w:rFonts w:ascii="Trebuchet MS" w:hAnsi="Trebuchet MS"/>
          <w:sz w:val="22"/>
          <w:szCs w:val="22"/>
        </w:rPr>
        <w:t xml:space="preserve">Definitive Healthcare </w:t>
      </w:r>
      <w:proofErr w:type="gramStart"/>
      <w:r w:rsidRPr="00CF5742">
        <w:rPr>
          <w:rFonts w:ascii="Trebuchet MS" w:hAnsi="Trebuchet MS"/>
          <w:sz w:val="22"/>
          <w:szCs w:val="22"/>
        </w:rPr>
        <w:t>data;</w:t>
      </w:r>
      <w:proofErr w:type="gramEnd"/>
      <w:r w:rsidRPr="00CF5742">
        <w:rPr>
          <w:rFonts w:ascii="Trebuchet MS" w:hAnsi="Trebuchet MS"/>
          <w:sz w:val="22"/>
          <w:szCs w:val="22"/>
        </w:rPr>
        <w:t xml:space="preserve"> </w:t>
      </w:r>
    </w:p>
    <w:p w14:paraId="27D160D4" w14:textId="00711A11" w:rsidR="00303645" w:rsidRDefault="00D3103D">
      <w:pPr>
        <w:numPr>
          <w:ilvl w:val="0"/>
          <w:numId w:val="2"/>
        </w:numPr>
        <w:spacing w:line="480" w:lineRule="auto"/>
        <w:jc w:val="both"/>
        <w:rPr>
          <w:rFonts w:ascii="Trebuchet MS" w:hAnsi="Trebuchet MS"/>
          <w:sz w:val="22"/>
          <w:szCs w:val="22"/>
        </w:rPr>
      </w:pPr>
      <w:r w:rsidRPr="00CF5742">
        <w:rPr>
          <w:rFonts w:ascii="Trebuchet MS" w:hAnsi="Trebuchet MS"/>
          <w:sz w:val="22"/>
          <w:szCs w:val="22"/>
        </w:rPr>
        <w:t xml:space="preserve">IBISWorld Industry Report, Hospitals in the US, dated </w:t>
      </w:r>
      <w:r w:rsidR="00A1439F" w:rsidRPr="00CF5742">
        <w:rPr>
          <w:rFonts w:ascii="Trebuchet MS" w:hAnsi="Trebuchet MS"/>
          <w:sz w:val="22"/>
          <w:szCs w:val="22"/>
        </w:rPr>
        <w:t>July 2022</w:t>
      </w:r>
      <w:r w:rsidR="00303645">
        <w:rPr>
          <w:rFonts w:ascii="Trebuchet MS" w:hAnsi="Trebuchet MS"/>
          <w:sz w:val="22"/>
          <w:szCs w:val="22"/>
        </w:rPr>
        <w:t>; and</w:t>
      </w:r>
    </w:p>
    <w:p w14:paraId="02676EBD" w14:textId="144B4CE3" w:rsidR="009A2BEA" w:rsidRPr="00CF5742" w:rsidRDefault="00303645">
      <w:pPr>
        <w:numPr>
          <w:ilvl w:val="0"/>
          <w:numId w:val="2"/>
        </w:numPr>
        <w:spacing w:line="480" w:lineRule="auto"/>
        <w:jc w:val="both"/>
        <w:rPr>
          <w:rFonts w:ascii="Trebuchet MS" w:hAnsi="Trebuchet MS"/>
          <w:sz w:val="22"/>
          <w:szCs w:val="22"/>
        </w:rPr>
      </w:pPr>
      <w:r w:rsidRPr="000E3826">
        <w:rPr>
          <w:rFonts w:ascii="Trebuchet MS" w:hAnsi="Trebuchet MS"/>
          <w:sz w:val="22"/>
          <w:szCs w:val="22"/>
        </w:rPr>
        <w:t>Determination of Need Application Instructions dated March 2017.</w:t>
      </w:r>
    </w:p>
    <w:p w14:paraId="2F7B4D9D" w14:textId="77777777" w:rsidR="00D35971" w:rsidRPr="00CF5742" w:rsidRDefault="00D35971" w:rsidP="00A22182">
      <w:pPr>
        <w:spacing w:line="480" w:lineRule="auto"/>
        <w:jc w:val="both"/>
        <w:rPr>
          <w:rFonts w:ascii="Trebuchet MS" w:hAnsi="Trebuchet MS"/>
          <w:sz w:val="22"/>
          <w:szCs w:val="22"/>
        </w:rPr>
      </w:pPr>
    </w:p>
    <w:p w14:paraId="61EC7504" w14:textId="77777777" w:rsidR="009A2BEA" w:rsidRPr="00CF5742" w:rsidRDefault="00D3103D">
      <w:pPr>
        <w:pStyle w:val="Heading1"/>
        <w:keepNext w:val="0"/>
        <w:numPr>
          <w:ilvl w:val="0"/>
          <w:numId w:val="1"/>
        </w:numPr>
        <w:spacing w:line="480" w:lineRule="auto"/>
        <w:ind w:hanging="720"/>
        <w:rPr>
          <w:rFonts w:ascii="Trebuchet MS" w:hAnsi="Trebuchet MS"/>
          <w:sz w:val="22"/>
          <w:szCs w:val="22"/>
        </w:rPr>
      </w:pPr>
      <w:r w:rsidRPr="00CF5742">
        <w:rPr>
          <w:rFonts w:ascii="Trebuchet MS" w:hAnsi="Trebuchet MS"/>
          <w:sz w:val="22"/>
          <w:szCs w:val="22"/>
        </w:rPr>
        <w:t>REVIEW OF THE PROJECTIONS</w:t>
      </w:r>
    </w:p>
    <w:p w14:paraId="47520620" w14:textId="77777777" w:rsidR="009A2BEA" w:rsidRPr="00CF5742" w:rsidRDefault="009A2BEA">
      <w:pPr>
        <w:tabs>
          <w:tab w:val="num" w:pos="1260"/>
        </w:tabs>
        <w:spacing w:line="480" w:lineRule="auto"/>
        <w:jc w:val="both"/>
        <w:rPr>
          <w:rFonts w:ascii="Trebuchet MS" w:hAnsi="Trebuchet MS"/>
          <w:sz w:val="22"/>
          <w:szCs w:val="22"/>
        </w:rPr>
      </w:pPr>
    </w:p>
    <w:p w14:paraId="30C1D424" w14:textId="22BB2501" w:rsidR="008D6D16" w:rsidRPr="002E63C8" w:rsidRDefault="00D3103D">
      <w:pPr>
        <w:tabs>
          <w:tab w:val="num" w:pos="1260"/>
        </w:tabs>
        <w:spacing w:line="480" w:lineRule="auto"/>
        <w:jc w:val="both"/>
        <w:rPr>
          <w:rFonts w:ascii="Trebuchet MS" w:hAnsi="Trebuchet MS"/>
          <w:sz w:val="22"/>
          <w:szCs w:val="22"/>
          <w:highlight w:val="yellow"/>
        </w:rPr>
      </w:pPr>
      <w:r w:rsidRPr="00CF5742">
        <w:rPr>
          <w:rFonts w:ascii="Trebuchet MS" w:hAnsi="Trebuchet MS"/>
          <w:sz w:val="22"/>
          <w:szCs w:val="22"/>
        </w:rPr>
        <w:t xml:space="preserve">This section of our report summarizes our review of the reasonableness of the assumptions used and feasibility of the Projections. </w:t>
      </w:r>
    </w:p>
    <w:p w14:paraId="16F42CBE" w14:textId="77777777" w:rsidR="00CE574D" w:rsidRPr="002E63C8" w:rsidRDefault="00CE574D" w:rsidP="008D6D16">
      <w:pPr>
        <w:tabs>
          <w:tab w:val="num" w:pos="1260"/>
        </w:tabs>
        <w:spacing w:line="480" w:lineRule="auto"/>
        <w:jc w:val="center"/>
        <w:rPr>
          <w:rFonts w:ascii="Trebuchet MS" w:hAnsi="Trebuchet MS"/>
          <w:sz w:val="22"/>
          <w:szCs w:val="22"/>
          <w:highlight w:val="yellow"/>
        </w:rPr>
      </w:pPr>
    </w:p>
    <w:p w14:paraId="30652953" w14:textId="0B8E334A" w:rsidR="009A2BEA" w:rsidRPr="009F196D" w:rsidRDefault="00D3103D">
      <w:pPr>
        <w:tabs>
          <w:tab w:val="num" w:pos="1260"/>
        </w:tabs>
        <w:spacing w:line="480" w:lineRule="auto"/>
        <w:jc w:val="both"/>
        <w:rPr>
          <w:rFonts w:ascii="Trebuchet MS" w:hAnsi="Trebuchet MS"/>
          <w:sz w:val="22"/>
          <w:szCs w:val="22"/>
        </w:rPr>
      </w:pPr>
      <w:r w:rsidRPr="009F196D">
        <w:rPr>
          <w:rFonts w:ascii="Trebuchet MS" w:hAnsi="Trebuchet MS"/>
          <w:sz w:val="22"/>
          <w:szCs w:val="22"/>
        </w:rPr>
        <w:t>The following table present</w:t>
      </w:r>
      <w:r w:rsidR="00801FE5" w:rsidRPr="009F196D">
        <w:rPr>
          <w:rFonts w:ascii="Trebuchet MS" w:hAnsi="Trebuchet MS"/>
          <w:sz w:val="22"/>
          <w:szCs w:val="22"/>
        </w:rPr>
        <w:t>s</w:t>
      </w:r>
      <w:r w:rsidRPr="009F196D">
        <w:rPr>
          <w:rFonts w:ascii="Trebuchet MS" w:hAnsi="Trebuchet MS"/>
          <w:sz w:val="22"/>
          <w:szCs w:val="22"/>
        </w:rPr>
        <w:t xml:space="preserve"> the Key Metrics, as defined below, which compare the </w:t>
      </w:r>
      <w:r w:rsidR="00801FE5" w:rsidRPr="009F196D">
        <w:rPr>
          <w:rFonts w:ascii="Trebuchet MS" w:hAnsi="Trebuchet MS"/>
          <w:sz w:val="22"/>
          <w:szCs w:val="22"/>
        </w:rPr>
        <w:t xml:space="preserve">forecasted </w:t>
      </w:r>
      <w:r w:rsidRPr="009F196D">
        <w:rPr>
          <w:rFonts w:ascii="Trebuchet MS" w:hAnsi="Trebuchet MS"/>
          <w:sz w:val="22"/>
          <w:szCs w:val="22"/>
        </w:rPr>
        <w:t xml:space="preserve">operating results </w:t>
      </w:r>
      <w:r w:rsidR="00C958B9" w:rsidRPr="009F196D">
        <w:rPr>
          <w:rFonts w:ascii="Trebuchet MS" w:hAnsi="Trebuchet MS"/>
          <w:sz w:val="22"/>
          <w:szCs w:val="22"/>
        </w:rPr>
        <w:t xml:space="preserve">of </w:t>
      </w:r>
      <w:r w:rsidR="005B7AF5" w:rsidRPr="009F196D">
        <w:rPr>
          <w:rFonts w:ascii="Trebuchet MS" w:hAnsi="Trebuchet MS"/>
          <w:sz w:val="22"/>
          <w:szCs w:val="22"/>
        </w:rPr>
        <w:t>CHA</w:t>
      </w:r>
      <w:r w:rsidR="00C958B9" w:rsidRPr="009F196D">
        <w:rPr>
          <w:rFonts w:ascii="Trebuchet MS" w:hAnsi="Trebuchet MS"/>
          <w:sz w:val="22"/>
          <w:szCs w:val="22"/>
        </w:rPr>
        <w:t xml:space="preserve"> </w:t>
      </w:r>
      <w:r w:rsidR="00F40688" w:rsidRPr="009F196D">
        <w:rPr>
          <w:rFonts w:ascii="Trebuchet MS" w:hAnsi="Trebuchet MS"/>
          <w:sz w:val="22"/>
          <w:szCs w:val="22"/>
        </w:rPr>
        <w:t>to</w:t>
      </w:r>
      <w:r w:rsidRPr="009F196D">
        <w:rPr>
          <w:rFonts w:ascii="Trebuchet MS" w:hAnsi="Trebuchet MS"/>
          <w:sz w:val="22"/>
          <w:szCs w:val="22"/>
        </w:rPr>
        <w:t xml:space="preserve"> </w:t>
      </w:r>
      <w:r w:rsidR="005B7AF5" w:rsidRPr="009F196D">
        <w:rPr>
          <w:rFonts w:ascii="Trebuchet MS" w:hAnsi="Trebuchet MS"/>
          <w:sz w:val="22"/>
          <w:szCs w:val="22"/>
        </w:rPr>
        <w:t xml:space="preserve">historical results for the Applicant and </w:t>
      </w:r>
      <w:r w:rsidRPr="009F196D">
        <w:rPr>
          <w:rFonts w:ascii="Trebuchet MS" w:hAnsi="Trebuchet MS"/>
          <w:sz w:val="22"/>
          <w:szCs w:val="22"/>
        </w:rPr>
        <w:t xml:space="preserve">market information from </w:t>
      </w:r>
      <w:r w:rsidR="005B7AF5" w:rsidRPr="009F196D">
        <w:rPr>
          <w:rFonts w:ascii="Trebuchet MS" w:hAnsi="Trebuchet MS"/>
          <w:sz w:val="22"/>
          <w:szCs w:val="22"/>
        </w:rPr>
        <w:t xml:space="preserve">Integra </w:t>
      </w:r>
      <w:r w:rsidR="009F196D" w:rsidRPr="009F196D">
        <w:rPr>
          <w:rFonts w:ascii="Trebuchet MS" w:hAnsi="Trebuchet MS"/>
          <w:sz w:val="22"/>
          <w:szCs w:val="22"/>
        </w:rPr>
        <w:t xml:space="preserve">Data, </w:t>
      </w:r>
      <w:r w:rsidRPr="009F196D">
        <w:rPr>
          <w:rFonts w:ascii="Trebuchet MS" w:hAnsi="Trebuchet MS"/>
          <w:sz w:val="22"/>
          <w:szCs w:val="22"/>
        </w:rPr>
        <w:t>IBISWorld</w:t>
      </w:r>
      <w:r w:rsidR="009F196D" w:rsidRPr="009F196D">
        <w:rPr>
          <w:rFonts w:ascii="Trebuchet MS" w:hAnsi="Trebuchet MS"/>
          <w:sz w:val="22"/>
          <w:szCs w:val="22"/>
        </w:rPr>
        <w:t>,</w:t>
      </w:r>
      <w:r w:rsidRPr="009F196D">
        <w:rPr>
          <w:rFonts w:ascii="Trebuchet MS" w:hAnsi="Trebuchet MS"/>
          <w:sz w:val="22"/>
          <w:szCs w:val="22"/>
        </w:rPr>
        <w:t xml:space="preserve"> and Definitive Healthcare to assess the reasonableness of the </w:t>
      </w:r>
      <w:r w:rsidR="00C958B9" w:rsidRPr="009F196D">
        <w:rPr>
          <w:rFonts w:ascii="Trebuchet MS" w:hAnsi="Trebuchet MS"/>
          <w:sz w:val="22"/>
          <w:szCs w:val="22"/>
        </w:rPr>
        <w:t>Projections</w:t>
      </w:r>
      <w:r w:rsidRPr="009F196D">
        <w:rPr>
          <w:rFonts w:ascii="Trebuchet MS" w:hAnsi="Trebuchet MS"/>
          <w:sz w:val="22"/>
          <w:szCs w:val="22"/>
        </w:rPr>
        <w:t>.</w:t>
      </w:r>
    </w:p>
    <w:p w14:paraId="28F5703C" w14:textId="77777777" w:rsidR="009F196D" w:rsidRPr="002E63C8" w:rsidRDefault="009F196D">
      <w:pPr>
        <w:tabs>
          <w:tab w:val="num" w:pos="1260"/>
        </w:tabs>
        <w:spacing w:line="480" w:lineRule="auto"/>
        <w:jc w:val="both"/>
        <w:rPr>
          <w:rFonts w:ascii="Trebuchet MS" w:hAnsi="Trebuchet MS"/>
          <w:sz w:val="22"/>
          <w:szCs w:val="22"/>
          <w:highlight w:val="yellow"/>
        </w:rPr>
      </w:pPr>
    </w:p>
    <w:p w14:paraId="33EF26C0" w14:textId="6ADF6A7D" w:rsidR="0086132A" w:rsidRDefault="005B7AF5">
      <w:pPr>
        <w:tabs>
          <w:tab w:val="num" w:pos="1260"/>
        </w:tabs>
        <w:spacing w:line="480" w:lineRule="auto"/>
        <w:jc w:val="both"/>
        <w:rPr>
          <w:rFonts w:ascii="Trebuchet MS" w:hAnsi="Trebuchet MS"/>
          <w:sz w:val="22"/>
          <w:szCs w:val="22"/>
          <w:highlight w:val="yellow"/>
        </w:rPr>
      </w:pPr>
      <w:r>
        <w:rPr>
          <w:noProof/>
        </w:rPr>
        <w:drawing>
          <wp:inline distT="0" distB="0" distL="0" distR="0" wp14:anchorId="32BB6B01" wp14:editId="5691E9F5">
            <wp:extent cx="5806440" cy="1830705"/>
            <wp:effectExtent l="0" t="0" r="3810" b="0"/>
            <wp:docPr id="3" name="Picture 1" descr="Table of key financial metrics and ratios, projecting CHA profitability and solvency in years 2022, 2023, 2024, 2025, 2026, and 2027 ">
              <a:extLst xmlns:a="http://schemas.openxmlformats.org/drawingml/2006/main">
                <a:ext uri="{FF2B5EF4-FFF2-40B4-BE49-F238E27FC236}">
                  <a16:creationId xmlns:a16="http://schemas.microsoft.com/office/drawing/2014/main" id="{34F558CA-D13D-4CB8-9661-2446AB90E4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able of key financial metrics and ratios, projecting CHA profitability and solvency in years 2022, 2023, 2024, 2025, 2026, and 2027 ">
                      <a:extLst>
                        <a:ext uri="{FF2B5EF4-FFF2-40B4-BE49-F238E27FC236}">
                          <a16:creationId xmlns:a16="http://schemas.microsoft.com/office/drawing/2014/main" id="{34F558CA-D13D-4CB8-9661-2446AB90E4A0}"/>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06440" cy="1830705"/>
                    </a:xfrm>
                    <a:prstGeom prst="rect">
                      <a:avLst/>
                    </a:prstGeom>
                    <a:noFill/>
                  </pic:spPr>
                </pic:pic>
              </a:graphicData>
            </a:graphic>
          </wp:inline>
        </w:drawing>
      </w:r>
    </w:p>
    <w:p w14:paraId="18051C32" w14:textId="77777777" w:rsidR="009F196D" w:rsidRDefault="009F196D">
      <w:pPr>
        <w:tabs>
          <w:tab w:val="num" w:pos="1260"/>
        </w:tabs>
        <w:spacing w:line="480" w:lineRule="auto"/>
        <w:jc w:val="both"/>
        <w:rPr>
          <w:rFonts w:ascii="Trebuchet MS" w:hAnsi="Trebuchet MS"/>
          <w:sz w:val="22"/>
          <w:szCs w:val="22"/>
          <w:highlight w:val="yellow"/>
        </w:rPr>
      </w:pPr>
    </w:p>
    <w:p w14:paraId="3165C596" w14:textId="68CBB8DF" w:rsidR="005B7AF5" w:rsidRPr="002E63C8" w:rsidRDefault="005B7AF5">
      <w:pPr>
        <w:tabs>
          <w:tab w:val="num" w:pos="1260"/>
        </w:tabs>
        <w:spacing w:line="480" w:lineRule="auto"/>
        <w:jc w:val="both"/>
        <w:rPr>
          <w:rFonts w:ascii="Trebuchet MS" w:hAnsi="Trebuchet MS"/>
          <w:sz w:val="22"/>
          <w:szCs w:val="22"/>
          <w:highlight w:val="yellow"/>
        </w:rPr>
      </w:pPr>
      <w:r>
        <w:rPr>
          <w:noProof/>
        </w:rPr>
        <w:drawing>
          <wp:inline distT="0" distB="0" distL="0" distR="0" wp14:anchorId="6A80295D" wp14:editId="6B806198">
            <wp:extent cx="5806440" cy="2359660"/>
            <wp:effectExtent l="0" t="0" r="0" b="2540"/>
            <wp:docPr id="9" name="Picture 2" descr="Table summarizing CHA's profitability, liquidity, and solvency in years 2018-2021">
              <a:extLst xmlns:a="http://schemas.openxmlformats.org/drawingml/2006/main">
                <a:ext uri="{FF2B5EF4-FFF2-40B4-BE49-F238E27FC236}">
                  <a16:creationId xmlns:a16="http://schemas.microsoft.com/office/drawing/2014/main" id="{956BF3B5-C806-43A0-B3A7-3990BDF3A2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Table summarizing CHA's profitability, liquidity, and solvency in years 2018-2021">
                      <a:extLst>
                        <a:ext uri="{FF2B5EF4-FFF2-40B4-BE49-F238E27FC236}">
                          <a16:creationId xmlns:a16="http://schemas.microsoft.com/office/drawing/2014/main" id="{956BF3B5-C806-43A0-B3A7-3990BDF3A23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06440" cy="2359660"/>
                    </a:xfrm>
                    <a:prstGeom prst="rect">
                      <a:avLst/>
                    </a:prstGeom>
                    <a:noFill/>
                  </pic:spPr>
                </pic:pic>
              </a:graphicData>
            </a:graphic>
          </wp:inline>
        </w:drawing>
      </w:r>
    </w:p>
    <w:p w14:paraId="18283359" w14:textId="77777777" w:rsidR="002C1375" w:rsidRPr="009F196D" w:rsidRDefault="002C1375" w:rsidP="002C1375">
      <w:pPr>
        <w:tabs>
          <w:tab w:val="num" w:pos="1260"/>
        </w:tabs>
        <w:spacing w:line="480" w:lineRule="auto"/>
        <w:jc w:val="center"/>
        <w:rPr>
          <w:rFonts w:ascii="Trebuchet MS" w:hAnsi="Trebuchet MS"/>
          <w:sz w:val="22"/>
          <w:szCs w:val="22"/>
        </w:rPr>
      </w:pPr>
    </w:p>
    <w:p w14:paraId="5946A87C" w14:textId="3F48CA1F" w:rsidR="00501F79" w:rsidRDefault="00D3103D">
      <w:pPr>
        <w:tabs>
          <w:tab w:val="num" w:pos="1260"/>
        </w:tabs>
        <w:spacing w:line="480" w:lineRule="auto"/>
        <w:jc w:val="both"/>
        <w:rPr>
          <w:rFonts w:ascii="Trebuchet MS" w:hAnsi="Trebuchet MS"/>
          <w:sz w:val="22"/>
          <w:szCs w:val="22"/>
        </w:rPr>
      </w:pPr>
      <w:r w:rsidRPr="009F196D">
        <w:rPr>
          <w:rFonts w:ascii="Trebuchet MS" w:hAnsi="Trebuchet MS"/>
          <w:sz w:val="22"/>
          <w:szCs w:val="22"/>
        </w:rPr>
        <w:t xml:space="preserve">The Key Metrics fall into three primary categories: profitability, liquidity, and solvency. Profitability metrics are used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 Additionally, certain metrics can be applicable to multiple categories. The table below shows how each of the Key Metrics </w:t>
      </w:r>
      <w:r w:rsidR="00240DE1" w:rsidRPr="009F196D">
        <w:rPr>
          <w:rFonts w:ascii="Trebuchet MS" w:hAnsi="Trebuchet MS"/>
          <w:sz w:val="22"/>
          <w:szCs w:val="22"/>
        </w:rPr>
        <w:t xml:space="preserve">is </w:t>
      </w:r>
      <w:r w:rsidRPr="009F196D">
        <w:rPr>
          <w:rFonts w:ascii="Trebuchet MS" w:hAnsi="Trebuchet MS"/>
          <w:sz w:val="22"/>
          <w:szCs w:val="22"/>
        </w:rPr>
        <w:t>calculated.</w:t>
      </w:r>
    </w:p>
    <w:p w14:paraId="06BA7E02" w14:textId="43C026A0" w:rsidR="002C1375" w:rsidRPr="002E63C8" w:rsidRDefault="009F196D">
      <w:pPr>
        <w:tabs>
          <w:tab w:val="num" w:pos="1260"/>
        </w:tabs>
        <w:spacing w:line="480" w:lineRule="auto"/>
        <w:jc w:val="both"/>
        <w:rPr>
          <w:rFonts w:ascii="Trebuchet MS" w:hAnsi="Trebuchet MS"/>
          <w:sz w:val="22"/>
          <w:szCs w:val="22"/>
          <w:highlight w:val="yellow"/>
        </w:rPr>
      </w:pPr>
      <w:r>
        <w:rPr>
          <w:noProof/>
        </w:rPr>
        <w:lastRenderedPageBreak/>
        <w:drawing>
          <wp:inline distT="0" distB="0" distL="0" distR="0" wp14:anchorId="3D968F02" wp14:editId="000073B2">
            <wp:extent cx="5806440" cy="2765425"/>
            <wp:effectExtent l="0" t="0" r="3810" b="0"/>
            <wp:docPr id="11" name="Picture 4" descr="Table of ratio definitions and their calculations">
              <a:extLst xmlns:a="http://schemas.openxmlformats.org/drawingml/2006/main">
                <a:ext uri="{FF2B5EF4-FFF2-40B4-BE49-F238E27FC236}">
                  <a16:creationId xmlns:a16="http://schemas.microsoft.com/office/drawing/2014/main" id="{8A978A91-161A-406A-AD42-BEB4CCC6CD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Table of ratio definitions and their calculations">
                      <a:extLst>
                        <a:ext uri="{FF2B5EF4-FFF2-40B4-BE49-F238E27FC236}">
                          <a16:creationId xmlns:a16="http://schemas.microsoft.com/office/drawing/2014/main" id="{8A978A91-161A-406A-AD42-BEB4CCC6CDD7}"/>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06440" cy="2765425"/>
                    </a:xfrm>
                    <a:prstGeom prst="rect">
                      <a:avLst/>
                    </a:prstGeom>
                    <a:noFill/>
                  </pic:spPr>
                </pic:pic>
              </a:graphicData>
            </a:graphic>
          </wp:inline>
        </w:drawing>
      </w:r>
    </w:p>
    <w:p w14:paraId="567FC7B7" w14:textId="77777777" w:rsidR="002C1375" w:rsidRPr="009F196D" w:rsidRDefault="002C1375" w:rsidP="002C1375">
      <w:pPr>
        <w:tabs>
          <w:tab w:val="num" w:pos="1260"/>
        </w:tabs>
        <w:spacing w:line="480" w:lineRule="auto"/>
        <w:jc w:val="center"/>
        <w:rPr>
          <w:rFonts w:ascii="Trebuchet MS" w:hAnsi="Trebuchet MS"/>
          <w:sz w:val="22"/>
          <w:szCs w:val="22"/>
        </w:rPr>
      </w:pPr>
    </w:p>
    <w:p w14:paraId="7F1DA94B" w14:textId="77777777" w:rsidR="009A2BEA" w:rsidRPr="009F196D" w:rsidRDefault="00D3103D">
      <w:pPr>
        <w:pStyle w:val="ListParagraph"/>
        <w:numPr>
          <w:ilvl w:val="0"/>
          <w:numId w:val="3"/>
        </w:numPr>
        <w:tabs>
          <w:tab w:val="num" w:pos="1260"/>
        </w:tabs>
        <w:spacing w:line="480" w:lineRule="auto"/>
        <w:jc w:val="both"/>
        <w:rPr>
          <w:rFonts w:ascii="Trebuchet MS" w:hAnsi="Trebuchet MS"/>
          <w:b/>
          <w:sz w:val="22"/>
          <w:szCs w:val="22"/>
        </w:rPr>
      </w:pPr>
      <w:r w:rsidRPr="009F196D">
        <w:rPr>
          <w:rFonts w:ascii="Trebuchet MS" w:hAnsi="Trebuchet MS"/>
          <w:b/>
          <w:sz w:val="22"/>
          <w:szCs w:val="22"/>
        </w:rPr>
        <w:t>Revenue</w:t>
      </w:r>
    </w:p>
    <w:p w14:paraId="2FF49F14" w14:textId="77777777" w:rsidR="009A2BEA" w:rsidRPr="00EF0D4D" w:rsidRDefault="009A2BEA" w:rsidP="00A22182">
      <w:pPr>
        <w:tabs>
          <w:tab w:val="num" w:pos="1260"/>
        </w:tabs>
        <w:jc w:val="both"/>
        <w:rPr>
          <w:rFonts w:ascii="Trebuchet MS" w:hAnsi="Trebuchet MS"/>
          <w:sz w:val="22"/>
          <w:szCs w:val="22"/>
        </w:rPr>
      </w:pPr>
    </w:p>
    <w:p w14:paraId="56878D6B" w14:textId="223B01A1" w:rsidR="0086132A" w:rsidRPr="00EF0D4D" w:rsidRDefault="00D3103D">
      <w:pPr>
        <w:tabs>
          <w:tab w:val="num" w:pos="1260"/>
        </w:tabs>
        <w:spacing w:line="480" w:lineRule="auto"/>
        <w:jc w:val="both"/>
        <w:rPr>
          <w:rFonts w:ascii="Trebuchet MS" w:hAnsi="Trebuchet MS"/>
          <w:sz w:val="22"/>
          <w:szCs w:val="22"/>
        </w:rPr>
      </w:pPr>
      <w:r w:rsidRPr="00EF0D4D">
        <w:rPr>
          <w:rFonts w:ascii="Trebuchet MS" w:hAnsi="Trebuchet MS"/>
          <w:sz w:val="22"/>
          <w:szCs w:val="22"/>
        </w:rPr>
        <w:t xml:space="preserve">We analyzed the projected revenue </w:t>
      </w:r>
      <w:r w:rsidR="003077BB">
        <w:rPr>
          <w:rFonts w:ascii="Trebuchet MS" w:hAnsi="Trebuchet MS"/>
          <w:sz w:val="22"/>
          <w:szCs w:val="22"/>
        </w:rPr>
        <w:t>included in</w:t>
      </w:r>
      <w:r w:rsidRPr="00EF0D4D">
        <w:rPr>
          <w:rFonts w:ascii="Trebuchet MS" w:hAnsi="Trebuchet MS"/>
          <w:sz w:val="22"/>
          <w:szCs w:val="22"/>
        </w:rPr>
        <w:t xml:space="preserve"> the Projections. </w:t>
      </w:r>
      <w:r w:rsidR="00925E94" w:rsidRPr="00EF0D4D">
        <w:rPr>
          <w:rFonts w:ascii="Trebuchet MS" w:hAnsi="Trebuchet MS"/>
          <w:sz w:val="22"/>
          <w:szCs w:val="22"/>
        </w:rPr>
        <w:t>Operating r</w:t>
      </w:r>
      <w:r w:rsidRPr="00EF0D4D">
        <w:rPr>
          <w:rFonts w:ascii="Trebuchet MS" w:hAnsi="Trebuchet MS"/>
          <w:sz w:val="22"/>
          <w:szCs w:val="22"/>
        </w:rPr>
        <w:t xml:space="preserve">evenue for the Applicant includes </w:t>
      </w:r>
      <w:r w:rsidR="00EF0D4D" w:rsidRPr="00EF0D4D">
        <w:rPr>
          <w:rFonts w:ascii="Trebuchet MS" w:hAnsi="Trebuchet MS"/>
          <w:sz w:val="22"/>
          <w:szCs w:val="22"/>
        </w:rPr>
        <w:t xml:space="preserve">net patient revenue, federal and state support, and </w:t>
      </w:r>
      <w:r w:rsidRPr="00EF0D4D">
        <w:rPr>
          <w:rFonts w:ascii="Trebuchet MS" w:hAnsi="Trebuchet MS"/>
          <w:sz w:val="22"/>
          <w:szCs w:val="22"/>
        </w:rPr>
        <w:t>other operating revenue.</w:t>
      </w:r>
      <w:r w:rsidR="003A56CE" w:rsidRPr="00EF0D4D">
        <w:rPr>
          <w:rFonts w:ascii="Trebuchet MS" w:hAnsi="Trebuchet MS"/>
          <w:sz w:val="22"/>
          <w:szCs w:val="22"/>
        </w:rPr>
        <w:t xml:space="preserve"> </w:t>
      </w:r>
      <w:r w:rsidR="00EF0D4D" w:rsidRPr="00EF0D4D">
        <w:rPr>
          <w:rFonts w:ascii="Trebuchet MS" w:hAnsi="Trebuchet MS"/>
          <w:sz w:val="22"/>
          <w:szCs w:val="22"/>
        </w:rPr>
        <w:t>Cumulative net patient revenue represents 45.6 percent of total operating revenue from FY 2022 – FY 2027, cumulative federal and state support reflects 33.7 percent, and cumulative other operating revenue reflects 20.8 percent.</w:t>
      </w:r>
      <w:r w:rsidRPr="00EF0D4D">
        <w:rPr>
          <w:rFonts w:ascii="Trebuchet MS" w:hAnsi="Trebuchet MS"/>
          <w:sz w:val="22"/>
          <w:szCs w:val="22"/>
        </w:rPr>
        <w:t xml:space="preserve"> </w:t>
      </w:r>
    </w:p>
    <w:p w14:paraId="609BF862" w14:textId="77777777" w:rsidR="00D31AC0" w:rsidRPr="002E63C8" w:rsidRDefault="00D31AC0">
      <w:pPr>
        <w:tabs>
          <w:tab w:val="num" w:pos="1260"/>
        </w:tabs>
        <w:spacing w:line="480" w:lineRule="auto"/>
        <w:jc w:val="both"/>
        <w:rPr>
          <w:rFonts w:ascii="Trebuchet MS" w:hAnsi="Trebuchet MS"/>
          <w:sz w:val="22"/>
          <w:szCs w:val="22"/>
          <w:highlight w:val="yellow"/>
        </w:rPr>
      </w:pPr>
    </w:p>
    <w:p w14:paraId="5A94B96B" w14:textId="0EE778C3" w:rsidR="003A56CE" w:rsidRPr="00EE700B" w:rsidRDefault="00EF0D4D" w:rsidP="00C64253">
      <w:pPr>
        <w:tabs>
          <w:tab w:val="num" w:pos="1260"/>
        </w:tabs>
        <w:spacing w:line="480" w:lineRule="auto"/>
        <w:jc w:val="both"/>
        <w:rPr>
          <w:rFonts w:ascii="Trebuchet MS" w:hAnsi="Trebuchet MS"/>
          <w:sz w:val="22"/>
          <w:szCs w:val="22"/>
        </w:rPr>
      </w:pPr>
      <w:r w:rsidRPr="00EE700B">
        <w:rPr>
          <w:rFonts w:ascii="Trebuchet MS" w:hAnsi="Trebuchet MS"/>
          <w:sz w:val="22"/>
          <w:szCs w:val="22"/>
        </w:rPr>
        <w:t>Net patient revenue is projected to grow between 2.0 percent and 6.5 percent annually</w:t>
      </w:r>
      <w:r w:rsidR="00EC68A9" w:rsidRPr="00EE700B">
        <w:rPr>
          <w:rFonts w:ascii="Trebuchet MS" w:hAnsi="Trebuchet MS"/>
          <w:sz w:val="22"/>
          <w:szCs w:val="22"/>
        </w:rPr>
        <w:t>.</w:t>
      </w:r>
      <w:r w:rsidR="00044949" w:rsidRPr="00EE700B">
        <w:rPr>
          <w:rFonts w:ascii="Trebuchet MS" w:hAnsi="Trebuchet MS"/>
          <w:sz w:val="22"/>
          <w:szCs w:val="22"/>
        </w:rPr>
        <w:t xml:space="preserve"> </w:t>
      </w:r>
      <w:r w:rsidR="000615C9" w:rsidRPr="00EE700B">
        <w:rPr>
          <w:rFonts w:ascii="Trebuchet MS" w:hAnsi="Trebuchet MS"/>
          <w:sz w:val="22"/>
          <w:szCs w:val="22"/>
        </w:rPr>
        <w:t xml:space="preserve">Projected growth rates fall within historical growth rates of -7.3 percent to 13.7 percent from FY 2018 through FY 2021. Projected growth in FY 2023 reflects </w:t>
      </w:r>
      <w:r w:rsidR="00AB6BBC" w:rsidRPr="00EE700B">
        <w:rPr>
          <w:rFonts w:ascii="Trebuchet MS" w:hAnsi="Trebuchet MS"/>
          <w:sz w:val="22"/>
          <w:szCs w:val="22"/>
        </w:rPr>
        <w:t xml:space="preserve">volume </w:t>
      </w:r>
      <w:r w:rsidR="000615C9" w:rsidRPr="00EE700B">
        <w:rPr>
          <w:rFonts w:ascii="Trebuchet MS" w:hAnsi="Trebuchet MS"/>
          <w:sz w:val="22"/>
          <w:szCs w:val="22"/>
        </w:rPr>
        <w:t xml:space="preserve">budgets prepared by </w:t>
      </w:r>
      <w:r w:rsidR="003077BB">
        <w:rPr>
          <w:rFonts w:ascii="Trebuchet MS" w:hAnsi="Trebuchet MS"/>
          <w:sz w:val="22"/>
          <w:szCs w:val="22"/>
        </w:rPr>
        <w:t xml:space="preserve">CHA’s </w:t>
      </w:r>
      <w:r w:rsidR="000615C9" w:rsidRPr="00EE700B">
        <w:rPr>
          <w:rFonts w:ascii="Trebuchet MS" w:hAnsi="Trebuchet MS"/>
          <w:sz w:val="22"/>
          <w:szCs w:val="22"/>
        </w:rPr>
        <w:t xml:space="preserve">service line leaders. </w:t>
      </w:r>
      <w:r w:rsidR="00897B33">
        <w:rPr>
          <w:rFonts w:ascii="Trebuchet MS" w:hAnsi="Trebuchet MS"/>
          <w:sz w:val="22"/>
          <w:szCs w:val="22"/>
        </w:rPr>
        <w:t>Volume g</w:t>
      </w:r>
      <w:r w:rsidR="000615C9" w:rsidRPr="00EE700B">
        <w:rPr>
          <w:rFonts w:ascii="Trebuchet MS" w:hAnsi="Trebuchet MS"/>
          <w:sz w:val="22"/>
          <w:szCs w:val="22"/>
        </w:rPr>
        <w:t>rowth is expected in surgical services and OB-GYN</w:t>
      </w:r>
      <w:r w:rsidR="00AB6BBC" w:rsidRPr="00EE700B">
        <w:rPr>
          <w:rFonts w:ascii="Trebuchet MS" w:hAnsi="Trebuchet MS"/>
          <w:sz w:val="22"/>
          <w:szCs w:val="22"/>
        </w:rPr>
        <w:t xml:space="preserve">, as well as inpatient behavioral health </w:t>
      </w:r>
      <w:r w:rsidR="00EE700B" w:rsidRPr="00EE700B">
        <w:rPr>
          <w:rFonts w:ascii="Trebuchet MS" w:hAnsi="Trebuchet MS"/>
          <w:sz w:val="22"/>
          <w:szCs w:val="22"/>
        </w:rPr>
        <w:t>due to the start</w:t>
      </w:r>
      <w:r w:rsidR="00EE700B">
        <w:rPr>
          <w:rFonts w:ascii="Trebuchet MS" w:hAnsi="Trebuchet MS"/>
          <w:sz w:val="22"/>
          <w:szCs w:val="22"/>
        </w:rPr>
        <w:t>-</w:t>
      </w:r>
      <w:r w:rsidR="00EE700B" w:rsidRPr="00EE700B">
        <w:rPr>
          <w:rFonts w:ascii="Trebuchet MS" w:hAnsi="Trebuchet MS"/>
          <w:sz w:val="22"/>
          <w:szCs w:val="22"/>
        </w:rPr>
        <w:t xml:space="preserve">up of </w:t>
      </w:r>
      <w:r w:rsidR="003077BB">
        <w:rPr>
          <w:rFonts w:ascii="Trebuchet MS" w:hAnsi="Trebuchet MS"/>
          <w:sz w:val="22"/>
          <w:szCs w:val="22"/>
        </w:rPr>
        <w:t>new</w:t>
      </w:r>
      <w:r w:rsidR="00EE700B" w:rsidRPr="00EE700B">
        <w:rPr>
          <w:rFonts w:ascii="Trebuchet MS" w:hAnsi="Trebuchet MS"/>
          <w:sz w:val="22"/>
          <w:szCs w:val="22"/>
        </w:rPr>
        <w:t xml:space="preserve"> Somerville campus units at the beginning of the fiscal year and partial year operation of the converted Cambridge Hospital </w:t>
      </w:r>
      <w:r w:rsidR="00EE700B" w:rsidRPr="00EE700B">
        <w:rPr>
          <w:rFonts w:ascii="Trebuchet MS" w:hAnsi="Trebuchet MS"/>
          <w:sz w:val="22"/>
          <w:szCs w:val="22"/>
        </w:rPr>
        <w:lastRenderedPageBreak/>
        <w:t xml:space="preserve">units. FY 2023 incorporates negotiated rate updates from commercial payers and published Medicare rates as of the date of preparation of the FY 2023 budget. Beyond FY 2023, growth rates ranging from 2.0 percent to 3.0 percent reflect continued growth in volume from inpatient behavioral health as well as volume growth in other service areas and rate adjustments. </w:t>
      </w:r>
    </w:p>
    <w:p w14:paraId="169A1457" w14:textId="77777777" w:rsidR="005F49E3" w:rsidRPr="002E63C8" w:rsidRDefault="005F49E3" w:rsidP="00C64253">
      <w:pPr>
        <w:tabs>
          <w:tab w:val="num" w:pos="1260"/>
        </w:tabs>
        <w:spacing w:line="480" w:lineRule="auto"/>
        <w:jc w:val="both"/>
        <w:rPr>
          <w:rFonts w:ascii="Trebuchet MS" w:hAnsi="Trebuchet MS"/>
          <w:sz w:val="22"/>
          <w:szCs w:val="22"/>
          <w:highlight w:val="yellow"/>
        </w:rPr>
      </w:pPr>
    </w:p>
    <w:p w14:paraId="300B189C" w14:textId="00DAD643" w:rsidR="005F49E3" w:rsidRDefault="00EE700B" w:rsidP="00C64253">
      <w:pPr>
        <w:tabs>
          <w:tab w:val="num" w:pos="1260"/>
        </w:tabs>
        <w:spacing w:line="480" w:lineRule="auto"/>
        <w:jc w:val="both"/>
        <w:rPr>
          <w:rFonts w:ascii="Trebuchet MS" w:hAnsi="Trebuchet MS"/>
          <w:sz w:val="22"/>
          <w:szCs w:val="22"/>
        </w:rPr>
      </w:pPr>
      <w:r w:rsidRPr="009D0193">
        <w:rPr>
          <w:rFonts w:ascii="Trebuchet MS" w:hAnsi="Trebuchet MS"/>
          <w:sz w:val="22"/>
          <w:szCs w:val="22"/>
        </w:rPr>
        <w:t xml:space="preserve">Federal and state support includes items such as public hospital transformation incentives, </w:t>
      </w:r>
      <w:r w:rsidR="0038208F" w:rsidRPr="009D0193">
        <w:rPr>
          <w:rFonts w:ascii="Trebuchet MS" w:hAnsi="Trebuchet MS"/>
          <w:sz w:val="22"/>
          <w:szCs w:val="22"/>
        </w:rPr>
        <w:t xml:space="preserve">hospital quality incentives, safety net funds, Delivery System Reform Incentive Payments (“DSRIP”), integrated care incentives, and behavior health incentives. Growth is projected at 6.4 percent in FY 2022, 6.7 percent in FY 2023, and 4.0 percent in FY 2024. </w:t>
      </w:r>
      <w:r w:rsidR="009D0193" w:rsidRPr="009D0193">
        <w:rPr>
          <w:rFonts w:ascii="Trebuchet MS" w:hAnsi="Trebuchet MS"/>
          <w:sz w:val="22"/>
          <w:szCs w:val="22"/>
        </w:rPr>
        <w:t xml:space="preserve">Thereafter growth in federal and state support is projected at 0.0 percent. Projected growth for FY 2022 </w:t>
      </w:r>
      <w:r w:rsidR="0068703F">
        <w:rPr>
          <w:rFonts w:ascii="Trebuchet MS" w:hAnsi="Trebuchet MS"/>
          <w:sz w:val="22"/>
          <w:szCs w:val="22"/>
        </w:rPr>
        <w:t>through</w:t>
      </w:r>
      <w:r w:rsidR="009D0193" w:rsidRPr="009D0193">
        <w:rPr>
          <w:rFonts w:ascii="Trebuchet MS" w:hAnsi="Trebuchet MS"/>
          <w:sz w:val="22"/>
          <w:szCs w:val="22"/>
        </w:rPr>
        <w:t xml:space="preserve"> FY 2024 falls within historical growths rates of 0.2 percent to 21.8 percent from FY 2018 through FY 2021. Projected federal and state support amounts reflect carry over of payments under the existing waiver and the Applicant’s discussions with the Executive Office of Health and Human Services (“EOHHS”) </w:t>
      </w:r>
      <w:proofErr w:type="gramStart"/>
      <w:r w:rsidR="009D0193" w:rsidRPr="009D0193">
        <w:rPr>
          <w:rFonts w:ascii="Trebuchet MS" w:hAnsi="Trebuchet MS"/>
          <w:sz w:val="22"/>
          <w:szCs w:val="22"/>
        </w:rPr>
        <w:t>in regard to</w:t>
      </w:r>
      <w:proofErr w:type="gramEnd"/>
      <w:r w:rsidR="009D0193" w:rsidRPr="009D0193">
        <w:rPr>
          <w:rFonts w:ascii="Trebuchet MS" w:hAnsi="Trebuchet MS"/>
          <w:sz w:val="22"/>
          <w:szCs w:val="22"/>
        </w:rPr>
        <w:t xml:space="preserve"> the various programs and associated funding levels they intend to incorporate into their waiver and program renewal application. </w:t>
      </w:r>
    </w:p>
    <w:p w14:paraId="648B901E" w14:textId="5924CB6E" w:rsidR="009D0193" w:rsidRDefault="009D0193" w:rsidP="00C64253">
      <w:pPr>
        <w:tabs>
          <w:tab w:val="num" w:pos="1260"/>
        </w:tabs>
        <w:spacing w:line="480" w:lineRule="auto"/>
        <w:jc w:val="both"/>
        <w:rPr>
          <w:rFonts w:ascii="Trebuchet MS" w:hAnsi="Trebuchet MS"/>
          <w:sz w:val="22"/>
          <w:szCs w:val="22"/>
        </w:rPr>
      </w:pPr>
    </w:p>
    <w:p w14:paraId="739D1074" w14:textId="665A676F" w:rsidR="009D0193" w:rsidRPr="009D0193" w:rsidRDefault="009D0193" w:rsidP="00C64253">
      <w:pPr>
        <w:tabs>
          <w:tab w:val="num" w:pos="1260"/>
        </w:tabs>
        <w:spacing w:line="480" w:lineRule="auto"/>
        <w:jc w:val="both"/>
        <w:rPr>
          <w:rFonts w:ascii="Trebuchet MS" w:hAnsi="Trebuchet MS"/>
          <w:sz w:val="22"/>
          <w:szCs w:val="22"/>
        </w:rPr>
      </w:pPr>
      <w:r>
        <w:rPr>
          <w:rFonts w:ascii="Trebuchet MS" w:hAnsi="Trebuchet MS"/>
          <w:sz w:val="22"/>
          <w:szCs w:val="22"/>
        </w:rPr>
        <w:t xml:space="preserve">Other operating revenue includes </w:t>
      </w:r>
      <w:r w:rsidR="003067DA">
        <w:rPr>
          <w:rFonts w:ascii="Trebuchet MS" w:hAnsi="Trebuchet MS"/>
          <w:sz w:val="22"/>
          <w:szCs w:val="22"/>
        </w:rPr>
        <w:t xml:space="preserve">grant revenue, </w:t>
      </w:r>
      <w:r>
        <w:rPr>
          <w:rFonts w:ascii="Trebuchet MS" w:hAnsi="Trebuchet MS"/>
          <w:sz w:val="22"/>
          <w:szCs w:val="22"/>
        </w:rPr>
        <w:t xml:space="preserve">premium revenue, and </w:t>
      </w:r>
      <w:r w:rsidR="003067DA">
        <w:rPr>
          <w:rFonts w:ascii="Trebuchet MS" w:hAnsi="Trebuchet MS"/>
          <w:sz w:val="22"/>
          <w:szCs w:val="22"/>
        </w:rPr>
        <w:t>other specialty program revenue</w:t>
      </w:r>
      <w:r>
        <w:rPr>
          <w:rFonts w:ascii="Trebuchet MS" w:hAnsi="Trebuchet MS"/>
          <w:sz w:val="22"/>
          <w:szCs w:val="22"/>
        </w:rPr>
        <w:t xml:space="preserve">. </w:t>
      </w:r>
      <w:r w:rsidR="003067DA">
        <w:rPr>
          <w:rFonts w:ascii="Trebuchet MS" w:hAnsi="Trebuchet MS"/>
          <w:sz w:val="22"/>
          <w:szCs w:val="22"/>
        </w:rPr>
        <w:t>The Applicant projected growth of 20.0 percent for FY 2022, which reflects 11 months of actual results. Thereafter, growth is projected to decline over the projection period from 5.6 percent in FY 2023 to 3.0 percent in FY 2027. The FY 2023 budget, which reflect</w:t>
      </w:r>
      <w:r w:rsidR="0068703F">
        <w:rPr>
          <w:rFonts w:ascii="Trebuchet MS" w:hAnsi="Trebuchet MS"/>
          <w:sz w:val="22"/>
          <w:szCs w:val="22"/>
        </w:rPr>
        <w:t>s</w:t>
      </w:r>
      <w:r w:rsidR="003067DA">
        <w:rPr>
          <w:rFonts w:ascii="Trebuchet MS" w:hAnsi="Trebuchet MS"/>
          <w:sz w:val="22"/>
          <w:szCs w:val="22"/>
        </w:rPr>
        <w:t xml:space="preserve"> growth of 5.6 percent, incorporates grant revenue in place as of the date of the preparation of the budget. </w:t>
      </w:r>
      <w:r w:rsidR="001C28B8">
        <w:rPr>
          <w:rFonts w:ascii="Trebuchet MS" w:hAnsi="Trebuchet MS"/>
          <w:sz w:val="22"/>
          <w:szCs w:val="22"/>
        </w:rPr>
        <w:t xml:space="preserve">Premium revenue growth reflects the increase in enrollment in </w:t>
      </w:r>
      <w:r w:rsidR="001C28B8">
        <w:rPr>
          <w:rFonts w:ascii="Trebuchet MS" w:hAnsi="Trebuchet MS"/>
          <w:sz w:val="22"/>
          <w:szCs w:val="22"/>
        </w:rPr>
        <w:lastRenderedPageBreak/>
        <w:t>CHA’s Program of All-Inclusive Care for the Elderly (“PACE”) program and revenue associated with the Applicant’s participation in the Medicare Primary Care First program. Further, the Applicant anticipates continued growth in its retail pharmacy program. While projected growth for FY 2022 exceeds historical levels, projected growth for fiscal years 2023 through 2027 is within historical growth levels ranging from -9.0 percent to 15.4 percent.</w:t>
      </w:r>
    </w:p>
    <w:p w14:paraId="34BBEBB2" w14:textId="77777777" w:rsidR="003A56CE" w:rsidRPr="002E63C8" w:rsidRDefault="003A56CE" w:rsidP="00C64253">
      <w:pPr>
        <w:tabs>
          <w:tab w:val="num" w:pos="1260"/>
        </w:tabs>
        <w:spacing w:line="480" w:lineRule="auto"/>
        <w:jc w:val="both"/>
        <w:rPr>
          <w:rFonts w:ascii="Trebuchet MS" w:hAnsi="Trebuchet MS"/>
          <w:sz w:val="22"/>
          <w:szCs w:val="22"/>
          <w:highlight w:val="yellow"/>
        </w:rPr>
      </w:pPr>
    </w:p>
    <w:p w14:paraId="284DC908" w14:textId="611094DF" w:rsidR="006A4A27" w:rsidRPr="002E63C8" w:rsidRDefault="00D3103D">
      <w:pPr>
        <w:tabs>
          <w:tab w:val="num" w:pos="1260"/>
        </w:tabs>
        <w:spacing w:line="480" w:lineRule="auto"/>
        <w:jc w:val="both"/>
        <w:rPr>
          <w:rFonts w:ascii="Trebuchet MS" w:hAnsi="Trebuchet MS"/>
          <w:sz w:val="22"/>
          <w:szCs w:val="22"/>
          <w:highlight w:val="yellow"/>
        </w:rPr>
      </w:pPr>
      <w:proofErr w:type="gramStart"/>
      <w:r w:rsidRPr="00EF0D4D">
        <w:rPr>
          <w:rFonts w:ascii="Trebuchet MS" w:hAnsi="Trebuchet MS"/>
          <w:sz w:val="22"/>
          <w:szCs w:val="22"/>
        </w:rPr>
        <w:t>In order to</w:t>
      </w:r>
      <w:proofErr w:type="gramEnd"/>
      <w:r w:rsidRPr="00EF0D4D">
        <w:rPr>
          <w:rFonts w:ascii="Trebuchet MS" w:hAnsi="Trebuchet MS"/>
          <w:sz w:val="22"/>
          <w:szCs w:val="22"/>
        </w:rPr>
        <w:t xml:space="preserve"> determine the reasonableness of the projected revenue, we reviewed the underlying assumptions upon which Management relied. Based upon our review</w:t>
      </w:r>
      <w:r w:rsidR="00D74144" w:rsidRPr="00EF0D4D">
        <w:rPr>
          <w:rFonts w:ascii="Trebuchet MS" w:hAnsi="Trebuchet MS"/>
          <w:sz w:val="22"/>
          <w:szCs w:val="22"/>
        </w:rPr>
        <w:t xml:space="preserve"> </w:t>
      </w:r>
      <w:r w:rsidR="00070D83" w:rsidRPr="00EF0D4D">
        <w:rPr>
          <w:rFonts w:ascii="Trebuchet MS" w:hAnsi="Trebuchet MS"/>
          <w:sz w:val="22"/>
          <w:szCs w:val="22"/>
        </w:rPr>
        <w:t xml:space="preserve">of the information provided </w:t>
      </w:r>
      <w:r w:rsidR="00D74144" w:rsidRPr="00EF0D4D">
        <w:rPr>
          <w:rFonts w:ascii="Trebuchet MS" w:hAnsi="Trebuchet MS"/>
          <w:sz w:val="22"/>
          <w:szCs w:val="22"/>
        </w:rPr>
        <w:t xml:space="preserve">and </w:t>
      </w:r>
      <w:r w:rsidR="00A9181D" w:rsidRPr="00EF0D4D">
        <w:rPr>
          <w:rFonts w:ascii="Trebuchet MS" w:hAnsi="Trebuchet MS"/>
          <w:sz w:val="22"/>
          <w:szCs w:val="22"/>
        </w:rPr>
        <w:t xml:space="preserve">the discussions </w:t>
      </w:r>
      <w:r w:rsidR="00D74144" w:rsidRPr="00EF0D4D">
        <w:rPr>
          <w:rFonts w:ascii="Trebuchet MS" w:hAnsi="Trebuchet MS"/>
          <w:sz w:val="22"/>
          <w:szCs w:val="22"/>
        </w:rPr>
        <w:t>noted above</w:t>
      </w:r>
      <w:r w:rsidRPr="00EF0D4D">
        <w:rPr>
          <w:rFonts w:ascii="Trebuchet MS" w:hAnsi="Trebuchet MS"/>
          <w:sz w:val="22"/>
          <w:szCs w:val="22"/>
        </w:rPr>
        <w:t xml:space="preserve">, </w:t>
      </w:r>
      <w:r w:rsidR="00070D83" w:rsidRPr="00EF0D4D">
        <w:rPr>
          <w:rFonts w:ascii="Trebuchet MS" w:hAnsi="Trebuchet MS"/>
          <w:sz w:val="22"/>
          <w:szCs w:val="22"/>
        </w:rPr>
        <w:t xml:space="preserve">we understand </w:t>
      </w:r>
      <w:r w:rsidRPr="00EF0D4D">
        <w:rPr>
          <w:rFonts w:ascii="Trebuchet MS" w:hAnsi="Trebuchet MS"/>
          <w:sz w:val="22"/>
          <w:szCs w:val="22"/>
        </w:rPr>
        <w:t>Management relied upon historical operat</w:t>
      </w:r>
      <w:r w:rsidR="00070D83" w:rsidRPr="00EF0D4D">
        <w:rPr>
          <w:rFonts w:ascii="Trebuchet MS" w:hAnsi="Trebuchet MS"/>
          <w:sz w:val="22"/>
          <w:szCs w:val="22"/>
        </w:rPr>
        <w:t>ing result</w:t>
      </w:r>
      <w:r w:rsidRPr="00EF0D4D">
        <w:rPr>
          <w:rFonts w:ascii="Trebuchet MS" w:hAnsi="Trebuchet MS"/>
          <w:sz w:val="22"/>
          <w:szCs w:val="22"/>
        </w:rPr>
        <w:t xml:space="preserve">s and anticipated </w:t>
      </w:r>
      <w:r w:rsidR="00070D83" w:rsidRPr="00EF0D4D">
        <w:rPr>
          <w:rFonts w:ascii="Trebuchet MS" w:hAnsi="Trebuchet MS"/>
          <w:sz w:val="22"/>
          <w:szCs w:val="22"/>
        </w:rPr>
        <w:t xml:space="preserve">demographic trends in </w:t>
      </w:r>
      <w:r w:rsidR="00EF0D4D" w:rsidRPr="00EF0D4D">
        <w:rPr>
          <w:rFonts w:ascii="Trebuchet MS" w:hAnsi="Trebuchet MS"/>
          <w:sz w:val="22"/>
          <w:szCs w:val="22"/>
        </w:rPr>
        <w:t>CHA</w:t>
      </w:r>
      <w:r w:rsidR="0068703F">
        <w:rPr>
          <w:rFonts w:ascii="Trebuchet MS" w:hAnsi="Trebuchet MS"/>
          <w:sz w:val="22"/>
          <w:szCs w:val="22"/>
        </w:rPr>
        <w:t>’s</w:t>
      </w:r>
      <w:r w:rsidR="00070D83" w:rsidRPr="00EF0D4D">
        <w:rPr>
          <w:rFonts w:ascii="Trebuchet MS" w:hAnsi="Trebuchet MS"/>
          <w:sz w:val="22"/>
          <w:szCs w:val="22"/>
        </w:rPr>
        <w:t xml:space="preserve"> </w:t>
      </w:r>
      <w:r w:rsidR="00070D83" w:rsidRPr="00A81DA0">
        <w:rPr>
          <w:rFonts w:ascii="Trebuchet MS" w:hAnsi="Trebuchet MS"/>
          <w:sz w:val="22"/>
          <w:szCs w:val="22"/>
        </w:rPr>
        <w:t>service area</w:t>
      </w:r>
      <w:r w:rsidRPr="00A81DA0">
        <w:rPr>
          <w:rFonts w:ascii="Trebuchet MS" w:hAnsi="Trebuchet MS"/>
          <w:sz w:val="22"/>
          <w:szCs w:val="22"/>
        </w:rPr>
        <w:t xml:space="preserve">. The </w:t>
      </w:r>
      <w:r w:rsidR="00A9181D" w:rsidRPr="00A81DA0">
        <w:rPr>
          <w:rFonts w:ascii="Trebuchet MS" w:hAnsi="Trebuchet MS"/>
          <w:sz w:val="22"/>
          <w:szCs w:val="22"/>
        </w:rPr>
        <w:t xml:space="preserve">revenue growth anticipated </w:t>
      </w:r>
      <w:r w:rsidR="00A81DA0" w:rsidRPr="00A81DA0">
        <w:rPr>
          <w:rFonts w:ascii="Trebuchet MS" w:hAnsi="Trebuchet MS"/>
          <w:sz w:val="22"/>
          <w:szCs w:val="22"/>
        </w:rPr>
        <w:t xml:space="preserve">is </w:t>
      </w:r>
      <w:r w:rsidR="006A4A27" w:rsidRPr="00A81DA0">
        <w:rPr>
          <w:rFonts w:ascii="Trebuchet MS" w:hAnsi="Trebuchet MS"/>
          <w:sz w:val="22"/>
          <w:szCs w:val="22"/>
        </w:rPr>
        <w:t xml:space="preserve">within </w:t>
      </w:r>
      <w:r w:rsidR="003613AE" w:rsidRPr="00A81DA0">
        <w:rPr>
          <w:rFonts w:ascii="Trebuchet MS" w:hAnsi="Trebuchet MS"/>
          <w:sz w:val="22"/>
          <w:szCs w:val="22"/>
        </w:rPr>
        <w:t xml:space="preserve">or below </w:t>
      </w:r>
      <w:r w:rsidR="006A4A27" w:rsidRPr="00A81DA0">
        <w:rPr>
          <w:rFonts w:ascii="Trebuchet MS" w:hAnsi="Trebuchet MS"/>
          <w:sz w:val="22"/>
          <w:szCs w:val="22"/>
        </w:rPr>
        <w:t xml:space="preserve">the </w:t>
      </w:r>
      <w:r w:rsidR="00070D83" w:rsidRPr="00A81DA0">
        <w:rPr>
          <w:rFonts w:ascii="Trebuchet MS" w:hAnsi="Trebuchet MS"/>
          <w:sz w:val="22"/>
          <w:szCs w:val="22"/>
        </w:rPr>
        <w:t xml:space="preserve">range of </w:t>
      </w:r>
      <w:r w:rsidR="00A81DA0" w:rsidRPr="00A81DA0">
        <w:rPr>
          <w:rFonts w:ascii="Trebuchet MS" w:hAnsi="Trebuchet MS"/>
          <w:sz w:val="22"/>
          <w:szCs w:val="22"/>
        </w:rPr>
        <w:t xml:space="preserve">historical </w:t>
      </w:r>
      <w:r w:rsidR="006A4A27" w:rsidRPr="00A81DA0">
        <w:rPr>
          <w:rFonts w:ascii="Trebuchet MS" w:hAnsi="Trebuchet MS"/>
          <w:sz w:val="22"/>
          <w:szCs w:val="22"/>
        </w:rPr>
        <w:t>annual revenue growth rate</w:t>
      </w:r>
      <w:r w:rsidR="00070D83" w:rsidRPr="00A81DA0">
        <w:rPr>
          <w:rFonts w:ascii="Trebuchet MS" w:hAnsi="Trebuchet MS"/>
          <w:sz w:val="22"/>
          <w:szCs w:val="22"/>
        </w:rPr>
        <w:t>s for the Applicant</w:t>
      </w:r>
      <w:r w:rsidR="006A4A27" w:rsidRPr="00A81DA0">
        <w:rPr>
          <w:rFonts w:ascii="Trebuchet MS" w:hAnsi="Trebuchet MS"/>
          <w:sz w:val="22"/>
          <w:szCs w:val="22"/>
        </w:rPr>
        <w:t xml:space="preserve"> between FY</w:t>
      </w:r>
      <w:r w:rsidR="00751018" w:rsidRPr="00A81DA0">
        <w:rPr>
          <w:rFonts w:ascii="Trebuchet MS" w:hAnsi="Trebuchet MS"/>
          <w:sz w:val="22"/>
          <w:szCs w:val="22"/>
        </w:rPr>
        <w:t xml:space="preserve"> </w:t>
      </w:r>
      <w:r w:rsidR="006A4A27" w:rsidRPr="00A81DA0">
        <w:rPr>
          <w:rFonts w:ascii="Trebuchet MS" w:hAnsi="Trebuchet MS"/>
          <w:sz w:val="22"/>
          <w:szCs w:val="22"/>
        </w:rPr>
        <w:t>201</w:t>
      </w:r>
      <w:r w:rsidR="004601DA">
        <w:rPr>
          <w:rFonts w:ascii="Trebuchet MS" w:hAnsi="Trebuchet MS"/>
          <w:sz w:val="22"/>
          <w:szCs w:val="22"/>
        </w:rPr>
        <w:t>7</w:t>
      </w:r>
      <w:r w:rsidR="006A4A27" w:rsidRPr="00A81DA0">
        <w:rPr>
          <w:rFonts w:ascii="Trebuchet MS" w:hAnsi="Trebuchet MS"/>
          <w:sz w:val="22"/>
          <w:szCs w:val="22"/>
        </w:rPr>
        <w:t xml:space="preserve"> and FY</w:t>
      </w:r>
      <w:r w:rsidR="00751018" w:rsidRPr="00A81DA0">
        <w:rPr>
          <w:rFonts w:ascii="Trebuchet MS" w:hAnsi="Trebuchet MS"/>
          <w:sz w:val="22"/>
          <w:szCs w:val="22"/>
        </w:rPr>
        <w:t xml:space="preserve"> </w:t>
      </w:r>
      <w:r w:rsidR="006A4A27" w:rsidRPr="00A81DA0">
        <w:rPr>
          <w:rFonts w:ascii="Trebuchet MS" w:hAnsi="Trebuchet MS"/>
          <w:sz w:val="22"/>
          <w:szCs w:val="22"/>
        </w:rPr>
        <w:t>202</w:t>
      </w:r>
      <w:r w:rsidR="006111AC" w:rsidRPr="00A81DA0">
        <w:rPr>
          <w:rFonts w:ascii="Trebuchet MS" w:hAnsi="Trebuchet MS"/>
          <w:sz w:val="22"/>
          <w:szCs w:val="22"/>
        </w:rPr>
        <w:t>1</w:t>
      </w:r>
      <w:r w:rsidR="006A4A27" w:rsidRPr="00A81DA0">
        <w:rPr>
          <w:rFonts w:ascii="Trebuchet MS" w:hAnsi="Trebuchet MS"/>
          <w:sz w:val="22"/>
          <w:szCs w:val="22"/>
        </w:rPr>
        <w:t xml:space="preserve"> as indicated in the table below</w:t>
      </w:r>
      <w:r w:rsidRPr="00A81DA0">
        <w:rPr>
          <w:rFonts w:ascii="Trebuchet MS" w:hAnsi="Trebuchet MS"/>
          <w:sz w:val="22"/>
          <w:szCs w:val="22"/>
        </w:rPr>
        <w:t>.</w:t>
      </w:r>
      <w:r w:rsidR="00DA63DD" w:rsidRPr="00A81DA0">
        <w:rPr>
          <w:rFonts w:ascii="Trebuchet MS" w:hAnsi="Trebuchet MS"/>
          <w:sz w:val="22"/>
          <w:szCs w:val="22"/>
        </w:rPr>
        <w:t xml:space="preserve"> </w:t>
      </w:r>
    </w:p>
    <w:p w14:paraId="4B2608AE" w14:textId="77777777" w:rsidR="005D4CD1" w:rsidRPr="002E63C8" w:rsidRDefault="005D4CD1">
      <w:pPr>
        <w:tabs>
          <w:tab w:val="num" w:pos="1260"/>
        </w:tabs>
        <w:spacing w:line="480" w:lineRule="auto"/>
        <w:jc w:val="both"/>
        <w:rPr>
          <w:rFonts w:ascii="Trebuchet MS" w:hAnsi="Trebuchet MS"/>
          <w:sz w:val="22"/>
          <w:szCs w:val="22"/>
          <w:highlight w:val="yellow"/>
        </w:rPr>
      </w:pPr>
    </w:p>
    <w:tbl>
      <w:tblPr>
        <w:tblW w:w="8640" w:type="dxa"/>
        <w:jc w:val="center"/>
        <w:tblBorders>
          <w:top w:val="single" w:sz="4" w:space="0" w:color="00B0F0"/>
          <w:bottom w:val="single" w:sz="4" w:space="0" w:color="00B0F0"/>
        </w:tblBorders>
        <w:tblCellMar>
          <w:top w:w="14" w:type="dxa"/>
          <w:left w:w="14" w:type="dxa"/>
          <w:bottom w:w="14" w:type="dxa"/>
          <w:right w:w="14" w:type="dxa"/>
        </w:tblCellMar>
        <w:tblLook w:val="04A0" w:firstRow="1" w:lastRow="0" w:firstColumn="1" w:lastColumn="0" w:noHBand="0" w:noVBand="1"/>
      </w:tblPr>
      <w:tblGrid>
        <w:gridCol w:w="1138"/>
        <w:gridCol w:w="42"/>
        <w:gridCol w:w="706"/>
        <w:gridCol w:w="706"/>
        <w:gridCol w:w="711"/>
        <w:gridCol w:w="706"/>
        <w:gridCol w:w="706"/>
        <w:gridCol w:w="706"/>
        <w:gridCol w:w="1419"/>
        <w:gridCol w:w="1800"/>
      </w:tblGrid>
      <w:tr w:rsidR="001C28B8" w:rsidRPr="002E63C8" w14:paraId="20CFC16A" w14:textId="77777777" w:rsidTr="006135EE">
        <w:trPr>
          <w:cantSplit/>
          <w:trHeight w:val="288"/>
          <w:jc w:val="center"/>
        </w:trPr>
        <w:tc>
          <w:tcPr>
            <w:tcW w:w="1138" w:type="dxa"/>
            <w:shd w:val="clear" w:color="auto" w:fill="005D7E"/>
            <w:vAlign w:val="center"/>
          </w:tcPr>
          <w:p w14:paraId="0D27CDB6" w14:textId="5F9EB785" w:rsidR="001C28B8" w:rsidRPr="001C28B8" w:rsidRDefault="001C28B8" w:rsidP="00A22182">
            <w:pPr>
              <w:pStyle w:val="VBABODY"/>
              <w:keepNext/>
              <w:spacing w:after="0" w:line="240" w:lineRule="auto"/>
              <w:jc w:val="center"/>
              <w:rPr>
                <w:color w:val="FFFFFF" w:themeColor="background1"/>
                <w:sz w:val="22"/>
                <w:szCs w:val="22"/>
              </w:rPr>
            </w:pPr>
            <w:bookmarkStart w:id="9" w:name="_Hlk57993377"/>
            <w:r w:rsidRPr="001C28B8">
              <w:rPr>
                <w:color w:val="FFFFFF" w:themeColor="background1"/>
                <w:sz w:val="22"/>
                <w:szCs w:val="22"/>
              </w:rPr>
              <w:t>Growth Rates</w:t>
            </w:r>
          </w:p>
        </w:tc>
        <w:tc>
          <w:tcPr>
            <w:tcW w:w="42" w:type="dxa"/>
            <w:shd w:val="clear" w:color="auto" w:fill="005D7E"/>
            <w:vAlign w:val="center"/>
          </w:tcPr>
          <w:p w14:paraId="4B0B7211" w14:textId="77777777" w:rsidR="001C28B8" w:rsidRPr="001C28B8" w:rsidRDefault="001C28B8" w:rsidP="00A22182">
            <w:pPr>
              <w:pStyle w:val="VBABODY"/>
              <w:keepNext/>
              <w:spacing w:after="0" w:line="240" w:lineRule="auto"/>
              <w:jc w:val="center"/>
              <w:rPr>
                <w:color w:val="FFFFFF" w:themeColor="background1"/>
                <w:sz w:val="22"/>
                <w:szCs w:val="22"/>
              </w:rPr>
            </w:pPr>
          </w:p>
        </w:tc>
        <w:tc>
          <w:tcPr>
            <w:tcW w:w="706" w:type="dxa"/>
            <w:shd w:val="clear" w:color="auto" w:fill="005D7E"/>
            <w:vAlign w:val="center"/>
          </w:tcPr>
          <w:p w14:paraId="1123E3CD" w14:textId="0B3C78D7" w:rsidR="001C28B8" w:rsidRPr="001C28B8" w:rsidRDefault="001C28B8" w:rsidP="00A22182">
            <w:pPr>
              <w:pStyle w:val="VBABODY"/>
              <w:keepNext/>
              <w:spacing w:after="0" w:line="240" w:lineRule="auto"/>
              <w:jc w:val="center"/>
              <w:rPr>
                <w:color w:val="FFFFFF" w:themeColor="background1"/>
                <w:sz w:val="22"/>
                <w:szCs w:val="22"/>
              </w:rPr>
            </w:pPr>
            <w:r w:rsidRPr="001C28B8">
              <w:rPr>
                <w:color w:val="FFFFFF" w:themeColor="background1"/>
                <w:sz w:val="22"/>
                <w:szCs w:val="22"/>
              </w:rPr>
              <w:t xml:space="preserve">2022 </w:t>
            </w:r>
          </w:p>
        </w:tc>
        <w:tc>
          <w:tcPr>
            <w:tcW w:w="706" w:type="dxa"/>
            <w:shd w:val="clear" w:color="auto" w:fill="005D7E"/>
            <w:vAlign w:val="center"/>
          </w:tcPr>
          <w:p w14:paraId="28E6D8FC" w14:textId="5B021050" w:rsidR="001C28B8" w:rsidRPr="001C28B8" w:rsidRDefault="001C28B8" w:rsidP="003613AE">
            <w:pPr>
              <w:tabs>
                <w:tab w:val="num" w:pos="1260"/>
              </w:tabs>
              <w:jc w:val="center"/>
              <w:rPr>
                <w:rFonts w:ascii="Trebuchet MS" w:hAnsi="Trebuchet MS"/>
                <w:color w:val="FFFFFF" w:themeColor="background1"/>
                <w:sz w:val="22"/>
                <w:szCs w:val="22"/>
              </w:rPr>
            </w:pPr>
            <w:r w:rsidRPr="001C28B8">
              <w:rPr>
                <w:rFonts w:ascii="Trebuchet MS" w:hAnsi="Trebuchet MS"/>
                <w:color w:val="FFFFFF" w:themeColor="background1"/>
                <w:sz w:val="22"/>
                <w:szCs w:val="22"/>
              </w:rPr>
              <w:t xml:space="preserve">2023 </w:t>
            </w:r>
          </w:p>
        </w:tc>
        <w:tc>
          <w:tcPr>
            <w:tcW w:w="711" w:type="dxa"/>
            <w:shd w:val="clear" w:color="auto" w:fill="005D7E"/>
            <w:vAlign w:val="center"/>
          </w:tcPr>
          <w:p w14:paraId="4F720211" w14:textId="655989D3" w:rsidR="001C28B8" w:rsidRPr="001C28B8" w:rsidRDefault="001C28B8" w:rsidP="001C28B8">
            <w:pPr>
              <w:tabs>
                <w:tab w:val="num" w:pos="1260"/>
              </w:tabs>
              <w:jc w:val="center"/>
              <w:rPr>
                <w:rFonts w:ascii="Trebuchet MS" w:hAnsi="Trebuchet MS"/>
                <w:color w:val="FFFFFF" w:themeColor="background1"/>
                <w:sz w:val="22"/>
                <w:szCs w:val="22"/>
              </w:rPr>
            </w:pPr>
            <w:r>
              <w:rPr>
                <w:rFonts w:ascii="Trebuchet MS" w:hAnsi="Trebuchet MS"/>
                <w:color w:val="FFFFFF" w:themeColor="background1"/>
                <w:sz w:val="22"/>
                <w:szCs w:val="22"/>
              </w:rPr>
              <w:t>2024</w:t>
            </w:r>
          </w:p>
        </w:tc>
        <w:tc>
          <w:tcPr>
            <w:tcW w:w="706" w:type="dxa"/>
            <w:shd w:val="clear" w:color="auto" w:fill="005D7E"/>
            <w:vAlign w:val="center"/>
          </w:tcPr>
          <w:p w14:paraId="304B8C33" w14:textId="03C4A267" w:rsidR="001C28B8" w:rsidRPr="001C28B8" w:rsidRDefault="001C28B8" w:rsidP="001C28B8">
            <w:pPr>
              <w:tabs>
                <w:tab w:val="num" w:pos="1260"/>
              </w:tabs>
              <w:jc w:val="center"/>
              <w:rPr>
                <w:rFonts w:ascii="Trebuchet MS" w:hAnsi="Trebuchet MS"/>
                <w:color w:val="FFFFFF" w:themeColor="background1"/>
                <w:sz w:val="22"/>
                <w:szCs w:val="22"/>
              </w:rPr>
            </w:pPr>
            <w:r>
              <w:rPr>
                <w:rFonts w:ascii="Trebuchet MS" w:hAnsi="Trebuchet MS"/>
                <w:color w:val="FFFFFF" w:themeColor="background1"/>
                <w:sz w:val="22"/>
                <w:szCs w:val="22"/>
              </w:rPr>
              <w:t>2025</w:t>
            </w:r>
          </w:p>
        </w:tc>
        <w:tc>
          <w:tcPr>
            <w:tcW w:w="706" w:type="dxa"/>
            <w:shd w:val="clear" w:color="auto" w:fill="005D7E"/>
            <w:vAlign w:val="center"/>
          </w:tcPr>
          <w:p w14:paraId="3B1F0726" w14:textId="1AB165E7" w:rsidR="001C28B8" w:rsidRPr="001C28B8" w:rsidRDefault="001C28B8" w:rsidP="001C28B8">
            <w:pPr>
              <w:tabs>
                <w:tab w:val="num" w:pos="1260"/>
              </w:tabs>
              <w:jc w:val="center"/>
              <w:rPr>
                <w:rFonts w:ascii="Trebuchet MS" w:hAnsi="Trebuchet MS"/>
                <w:color w:val="FFFFFF" w:themeColor="background1"/>
                <w:sz w:val="22"/>
                <w:szCs w:val="22"/>
              </w:rPr>
            </w:pPr>
            <w:r w:rsidRPr="001C28B8">
              <w:rPr>
                <w:rFonts w:ascii="Trebuchet MS" w:hAnsi="Trebuchet MS"/>
                <w:color w:val="FFFFFF" w:themeColor="background1"/>
                <w:sz w:val="22"/>
                <w:szCs w:val="22"/>
              </w:rPr>
              <w:t>2026</w:t>
            </w:r>
          </w:p>
        </w:tc>
        <w:tc>
          <w:tcPr>
            <w:tcW w:w="706" w:type="dxa"/>
            <w:shd w:val="clear" w:color="auto" w:fill="005D7E"/>
            <w:vAlign w:val="center"/>
          </w:tcPr>
          <w:p w14:paraId="5B4E7A77" w14:textId="04121429" w:rsidR="001C28B8" w:rsidRPr="001C28B8" w:rsidRDefault="001C28B8" w:rsidP="001C28B8">
            <w:pPr>
              <w:tabs>
                <w:tab w:val="num" w:pos="1260"/>
              </w:tabs>
              <w:jc w:val="center"/>
              <w:rPr>
                <w:rFonts w:ascii="Trebuchet MS" w:hAnsi="Trebuchet MS"/>
                <w:color w:val="FFFFFF" w:themeColor="background1"/>
                <w:sz w:val="22"/>
                <w:szCs w:val="22"/>
              </w:rPr>
            </w:pPr>
            <w:r>
              <w:rPr>
                <w:rFonts w:ascii="Trebuchet MS" w:hAnsi="Trebuchet MS"/>
                <w:color w:val="FFFFFF" w:themeColor="background1"/>
                <w:sz w:val="22"/>
                <w:szCs w:val="22"/>
              </w:rPr>
              <w:t>2027</w:t>
            </w:r>
          </w:p>
        </w:tc>
        <w:tc>
          <w:tcPr>
            <w:tcW w:w="1419" w:type="dxa"/>
            <w:shd w:val="clear" w:color="auto" w:fill="005D7E"/>
            <w:vAlign w:val="center"/>
          </w:tcPr>
          <w:p w14:paraId="30622136" w14:textId="3C7E7B57" w:rsidR="001C28B8" w:rsidRPr="001C28B8" w:rsidRDefault="001C28B8" w:rsidP="003A56CE">
            <w:pPr>
              <w:tabs>
                <w:tab w:val="num" w:pos="1260"/>
              </w:tabs>
              <w:jc w:val="center"/>
              <w:rPr>
                <w:rFonts w:ascii="Trebuchet MS" w:hAnsi="Trebuchet MS"/>
                <w:color w:val="FFFFFF" w:themeColor="background1"/>
                <w:sz w:val="22"/>
                <w:szCs w:val="22"/>
              </w:rPr>
            </w:pPr>
            <w:r w:rsidRPr="001C28B8">
              <w:rPr>
                <w:rFonts w:ascii="Trebuchet MS" w:hAnsi="Trebuchet MS"/>
                <w:color w:val="FFFFFF" w:themeColor="background1"/>
                <w:sz w:val="22"/>
                <w:szCs w:val="22"/>
              </w:rPr>
              <w:t xml:space="preserve">CAGR </w:t>
            </w:r>
          </w:p>
          <w:p w14:paraId="3FA0D761" w14:textId="35A46835" w:rsidR="001C28B8" w:rsidRPr="001C28B8" w:rsidRDefault="001C28B8" w:rsidP="00A22182">
            <w:pPr>
              <w:pStyle w:val="VBABODY"/>
              <w:keepNext/>
              <w:spacing w:after="0" w:line="240" w:lineRule="auto"/>
              <w:jc w:val="center"/>
              <w:rPr>
                <w:color w:val="FFFFFF" w:themeColor="background1"/>
                <w:sz w:val="22"/>
                <w:szCs w:val="22"/>
              </w:rPr>
            </w:pPr>
            <w:r w:rsidRPr="001C28B8">
              <w:rPr>
                <w:color w:val="FFFFFF" w:themeColor="background1"/>
                <w:sz w:val="22"/>
                <w:szCs w:val="22"/>
              </w:rPr>
              <w:t>(201</w:t>
            </w:r>
            <w:r w:rsidR="00A81DA0">
              <w:rPr>
                <w:color w:val="FFFFFF" w:themeColor="background1"/>
                <w:sz w:val="22"/>
                <w:szCs w:val="22"/>
              </w:rPr>
              <w:t>7</w:t>
            </w:r>
            <w:r w:rsidRPr="001C28B8">
              <w:rPr>
                <w:color w:val="FFFFFF" w:themeColor="background1"/>
                <w:sz w:val="22"/>
                <w:szCs w:val="22"/>
              </w:rPr>
              <w:t xml:space="preserve"> – 2021)</w:t>
            </w:r>
          </w:p>
        </w:tc>
        <w:tc>
          <w:tcPr>
            <w:tcW w:w="1800" w:type="dxa"/>
            <w:shd w:val="clear" w:color="auto" w:fill="005D7E"/>
            <w:tcMar>
              <w:left w:w="72" w:type="dxa"/>
              <w:right w:w="72" w:type="dxa"/>
            </w:tcMar>
            <w:vAlign w:val="center"/>
          </w:tcPr>
          <w:p w14:paraId="5994DA46" w14:textId="77777777" w:rsidR="001C28B8" w:rsidRPr="001C28B8" w:rsidRDefault="001C28B8" w:rsidP="00A22182">
            <w:pPr>
              <w:pStyle w:val="VBABODY"/>
              <w:keepNext/>
              <w:spacing w:after="0" w:line="240" w:lineRule="auto"/>
              <w:jc w:val="center"/>
              <w:rPr>
                <w:color w:val="FFFFFF" w:themeColor="background1"/>
                <w:sz w:val="22"/>
                <w:szCs w:val="22"/>
              </w:rPr>
            </w:pPr>
            <w:r w:rsidRPr="001C28B8">
              <w:rPr>
                <w:color w:val="FFFFFF" w:themeColor="background1"/>
                <w:sz w:val="22"/>
                <w:szCs w:val="22"/>
              </w:rPr>
              <w:t xml:space="preserve">Annual Growth Range </w:t>
            </w:r>
          </w:p>
          <w:p w14:paraId="18737803" w14:textId="521717CC" w:rsidR="001C28B8" w:rsidRPr="001C28B8" w:rsidRDefault="001C28B8" w:rsidP="00A22182">
            <w:pPr>
              <w:pStyle w:val="VBABODY"/>
              <w:keepNext/>
              <w:spacing w:after="0" w:line="240" w:lineRule="auto"/>
              <w:jc w:val="center"/>
              <w:rPr>
                <w:color w:val="FFFFFF" w:themeColor="background1"/>
                <w:sz w:val="22"/>
                <w:szCs w:val="22"/>
              </w:rPr>
            </w:pPr>
            <w:r w:rsidRPr="001C28B8">
              <w:rPr>
                <w:color w:val="FFFFFF" w:themeColor="background1"/>
                <w:sz w:val="22"/>
                <w:szCs w:val="22"/>
              </w:rPr>
              <w:t>(201</w:t>
            </w:r>
            <w:r>
              <w:rPr>
                <w:color w:val="FFFFFF" w:themeColor="background1"/>
                <w:sz w:val="22"/>
                <w:szCs w:val="22"/>
              </w:rPr>
              <w:t>8</w:t>
            </w:r>
            <w:r w:rsidRPr="001C28B8">
              <w:rPr>
                <w:color w:val="FFFFFF" w:themeColor="background1"/>
                <w:sz w:val="22"/>
                <w:szCs w:val="22"/>
              </w:rPr>
              <w:t xml:space="preserve"> – 2021)</w:t>
            </w:r>
          </w:p>
        </w:tc>
      </w:tr>
      <w:tr w:rsidR="001C28B8" w:rsidRPr="002E63C8" w14:paraId="46AF1215" w14:textId="77777777" w:rsidTr="00A81DA0">
        <w:trPr>
          <w:cantSplit/>
          <w:trHeight w:val="361"/>
          <w:jc w:val="center"/>
        </w:trPr>
        <w:tc>
          <w:tcPr>
            <w:tcW w:w="1138" w:type="dxa"/>
            <w:vAlign w:val="center"/>
          </w:tcPr>
          <w:p w14:paraId="5D3BCD6F" w14:textId="7BCD6E1D" w:rsidR="001C28B8" w:rsidRPr="001C28B8" w:rsidRDefault="001C28B8" w:rsidP="00A22182">
            <w:pPr>
              <w:keepNext/>
              <w:jc w:val="center"/>
              <w:rPr>
                <w:rFonts w:ascii="Trebuchet MS" w:hAnsi="Trebuchet MS" w:cs="Arial"/>
                <w:kern w:val="24"/>
                <w:sz w:val="22"/>
                <w:szCs w:val="22"/>
              </w:rPr>
            </w:pPr>
            <w:r>
              <w:rPr>
                <w:rFonts w:ascii="Trebuchet MS" w:hAnsi="Trebuchet MS"/>
                <w:sz w:val="22"/>
                <w:szCs w:val="22"/>
              </w:rPr>
              <w:t xml:space="preserve">Total </w:t>
            </w:r>
            <w:r w:rsidRPr="001C28B8">
              <w:rPr>
                <w:rFonts w:ascii="Trebuchet MS" w:hAnsi="Trebuchet MS"/>
                <w:sz w:val="22"/>
                <w:szCs w:val="22"/>
              </w:rPr>
              <w:t>Operating Revenue Projection</w:t>
            </w:r>
          </w:p>
        </w:tc>
        <w:tc>
          <w:tcPr>
            <w:tcW w:w="42" w:type="dxa"/>
          </w:tcPr>
          <w:p w14:paraId="5A44F191" w14:textId="77777777" w:rsidR="001C28B8" w:rsidRPr="001C28B8" w:rsidRDefault="001C28B8" w:rsidP="003A56CE">
            <w:pPr>
              <w:keepNext/>
              <w:rPr>
                <w:rFonts w:ascii="Trebuchet MS" w:hAnsi="Trebuchet MS" w:cs="Arial"/>
                <w:kern w:val="24"/>
                <w:sz w:val="22"/>
                <w:szCs w:val="22"/>
              </w:rPr>
            </w:pPr>
          </w:p>
        </w:tc>
        <w:tc>
          <w:tcPr>
            <w:tcW w:w="706" w:type="dxa"/>
            <w:vAlign w:val="center"/>
          </w:tcPr>
          <w:p w14:paraId="21F42424" w14:textId="1BA7B513" w:rsidR="001C28B8" w:rsidRPr="001C28B8" w:rsidRDefault="001C28B8" w:rsidP="001C28B8">
            <w:pPr>
              <w:keepNext/>
              <w:jc w:val="center"/>
              <w:rPr>
                <w:rFonts w:ascii="Trebuchet MS" w:hAnsi="Trebuchet MS"/>
                <w:sz w:val="22"/>
                <w:szCs w:val="22"/>
              </w:rPr>
            </w:pPr>
            <w:r>
              <w:rPr>
                <w:rFonts w:ascii="Trebuchet MS" w:hAnsi="Trebuchet MS"/>
                <w:sz w:val="22"/>
                <w:szCs w:val="22"/>
              </w:rPr>
              <w:t>6.9</w:t>
            </w:r>
            <w:r w:rsidRPr="001C28B8">
              <w:rPr>
                <w:rFonts w:ascii="Trebuchet MS" w:hAnsi="Trebuchet MS"/>
                <w:sz w:val="22"/>
                <w:szCs w:val="22"/>
              </w:rPr>
              <w:t>%</w:t>
            </w:r>
          </w:p>
        </w:tc>
        <w:tc>
          <w:tcPr>
            <w:tcW w:w="706" w:type="dxa"/>
            <w:vAlign w:val="center"/>
          </w:tcPr>
          <w:p w14:paraId="2E1B321A" w14:textId="15708B35" w:rsidR="001C28B8" w:rsidRPr="001C28B8" w:rsidRDefault="001C28B8" w:rsidP="001C28B8">
            <w:pPr>
              <w:keepNext/>
              <w:jc w:val="center"/>
              <w:rPr>
                <w:rFonts w:ascii="Trebuchet MS" w:hAnsi="Trebuchet MS"/>
                <w:sz w:val="22"/>
                <w:szCs w:val="22"/>
              </w:rPr>
            </w:pPr>
            <w:r>
              <w:rPr>
                <w:rFonts w:ascii="Trebuchet MS" w:hAnsi="Trebuchet MS"/>
                <w:sz w:val="22"/>
                <w:szCs w:val="22"/>
              </w:rPr>
              <w:t>6.4</w:t>
            </w:r>
            <w:r w:rsidRPr="001C28B8">
              <w:rPr>
                <w:rFonts w:ascii="Trebuchet MS" w:hAnsi="Trebuchet MS"/>
                <w:sz w:val="22"/>
                <w:szCs w:val="22"/>
              </w:rPr>
              <w:t>%</w:t>
            </w:r>
          </w:p>
        </w:tc>
        <w:tc>
          <w:tcPr>
            <w:tcW w:w="711" w:type="dxa"/>
            <w:vAlign w:val="center"/>
          </w:tcPr>
          <w:p w14:paraId="4300888A" w14:textId="75382AB1" w:rsidR="001C28B8" w:rsidRPr="001C28B8" w:rsidRDefault="001C28B8" w:rsidP="001C28B8">
            <w:pPr>
              <w:keepNext/>
              <w:jc w:val="center"/>
              <w:rPr>
                <w:rFonts w:ascii="Trebuchet MS" w:hAnsi="Trebuchet MS" w:cs="Arial"/>
                <w:kern w:val="24"/>
                <w:sz w:val="22"/>
                <w:szCs w:val="22"/>
              </w:rPr>
            </w:pPr>
            <w:r>
              <w:rPr>
                <w:rFonts w:ascii="Trebuchet MS" w:hAnsi="Trebuchet MS" w:cs="Arial"/>
                <w:kern w:val="24"/>
                <w:sz w:val="22"/>
                <w:szCs w:val="22"/>
              </w:rPr>
              <w:t>3.5%</w:t>
            </w:r>
          </w:p>
        </w:tc>
        <w:tc>
          <w:tcPr>
            <w:tcW w:w="706" w:type="dxa"/>
            <w:vAlign w:val="center"/>
          </w:tcPr>
          <w:p w14:paraId="1D365024" w14:textId="2C1623E9" w:rsidR="001C28B8" w:rsidRPr="001C28B8" w:rsidRDefault="001C28B8" w:rsidP="001C28B8">
            <w:pPr>
              <w:keepNext/>
              <w:jc w:val="center"/>
              <w:rPr>
                <w:rFonts w:ascii="Trebuchet MS" w:hAnsi="Trebuchet MS" w:cs="Arial"/>
                <w:kern w:val="24"/>
                <w:sz w:val="22"/>
                <w:szCs w:val="22"/>
              </w:rPr>
            </w:pPr>
            <w:r>
              <w:rPr>
                <w:rFonts w:ascii="Trebuchet MS" w:hAnsi="Trebuchet MS" w:cs="Arial"/>
                <w:kern w:val="24"/>
                <w:sz w:val="22"/>
                <w:szCs w:val="22"/>
              </w:rPr>
              <w:t>2.1%</w:t>
            </w:r>
          </w:p>
        </w:tc>
        <w:tc>
          <w:tcPr>
            <w:tcW w:w="706" w:type="dxa"/>
            <w:shd w:val="clear" w:color="auto" w:fill="auto"/>
            <w:tcMar>
              <w:left w:w="72" w:type="dxa"/>
              <w:right w:w="72" w:type="dxa"/>
            </w:tcMar>
            <w:vAlign w:val="center"/>
          </w:tcPr>
          <w:p w14:paraId="645DCBB0" w14:textId="25AE1F6D" w:rsidR="001C28B8" w:rsidRPr="001C28B8" w:rsidRDefault="001C28B8" w:rsidP="001C28B8">
            <w:pPr>
              <w:keepNext/>
              <w:jc w:val="center"/>
              <w:rPr>
                <w:rFonts w:ascii="Trebuchet MS" w:hAnsi="Trebuchet MS" w:cs="Arial"/>
                <w:kern w:val="24"/>
                <w:sz w:val="22"/>
                <w:szCs w:val="22"/>
              </w:rPr>
            </w:pPr>
            <w:r>
              <w:rPr>
                <w:rFonts w:ascii="Trebuchet MS" w:hAnsi="Trebuchet MS" w:cs="Arial"/>
                <w:kern w:val="24"/>
                <w:sz w:val="22"/>
                <w:szCs w:val="22"/>
              </w:rPr>
              <w:t>1.8%</w:t>
            </w:r>
          </w:p>
        </w:tc>
        <w:tc>
          <w:tcPr>
            <w:tcW w:w="706" w:type="dxa"/>
            <w:vAlign w:val="center"/>
          </w:tcPr>
          <w:p w14:paraId="2DAD555F" w14:textId="70A79C31" w:rsidR="001C28B8" w:rsidRPr="001C28B8" w:rsidRDefault="001C28B8" w:rsidP="001C28B8">
            <w:pPr>
              <w:keepNext/>
              <w:jc w:val="center"/>
              <w:rPr>
                <w:rFonts w:ascii="Trebuchet MS" w:hAnsi="Trebuchet MS"/>
                <w:sz w:val="22"/>
                <w:szCs w:val="22"/>
              </w:rPr>
            </w:pPr>
            <w:r>
              <w:rPr>
                <w:rFonts w:ascii="Trebuchet MS" w:hAnsi="Trebuchet MS"/>
                <w:sz w:val="22"/>
                <w:szCs w:val="22"/>
              </w:rPr>
              <w:t>1.5%</w:t>
            </w:r>
          </w:p>
        </w:tc>
        <w:tc>
          <w:tcPr>
            <w:tcW w:w="1419" w:type="dxa"/>
            <w:vAlign w:val="center"/>
          </w:tcPr>
          <w:p w14:paraId="7D5BFA46" w14:textId="7309F71F" w:rsidR="001C28B8" w:rsidRPr="001C28B8" w:rsidRDefault="00A81DA0" w:rsidP="001C28B8">
            <w:pPr>
              <w:keepNext/>
              <w:jc w:val="center"/>
              <w:rPr>
                <w:rFonts w:ascii="Trebuchet MS" w:hAnsi="Trebuchet MS" w:cs="Arial"/>
                <w:b/>
                <w:kern w:val="24"/>
                <w:sz w:val="22"/>
                <w:szCs w:val="22"/>
              </w:rPr>
            </w:pPr>
            <w:r>
              <w:rPr>
                <w:rFonts w:ascii="Trebuchet MS" w:hAnsi="Trebuchet MS"/>
                <w:sz w:val="22"/>
                <w:szCs w:val="22"/>
              </w:rPr>
              <w:t>6.4</w:t>
            </w:r>
            <w:r w:rsidR="001C28B8" w:rsidRPr="001C28B8">
              <w:rPr>
                <w:rFonts w:ascii="Trebuchet MS" w:hAnsi="Trebuchet MS"/>
                <w:sz w:val="22"/>
                <w:szCs w:val="22"/>
              </w:rPr>
              <w:t>%</w:t>
            </w:r>
          </w:p>
        </w:tc>
        <w:tc>
          <w:tcPr>
            <w:tcW w:w="1800" w:type="dxa"/>
            <w:vAlign w:val="center"/>
          </w:tcPr>
          <w:p w14:paraId="4C9D3961" w14:textId="00346082" w:rsidR="001C28B8" w:rsidRPr="001C28B8" w:rsidRDefault="001C28B8" w:rsidP="00A22182">
            <w:pPr>
              <w:keepNext/>
              <w:jc w:val="center"/>
              <w:rPr>
                <w:rFonts w:ascii="Trebuchet MS" w:hAnsi="Trebuchet MS" w:cs="Arial"/>
                <w:b/>
                <w:kern w:val="24"/>
                <w:sz w:val="22"/>
                <w:szCs w:val="22"/>
              </w:rPr>
            </w:pPr>
            <w:r w:rsidRPr="001C28B8">
              <w:rPr>
                <w:rFonts w:ascii="Trebuchet MS" w:hAnsi="Trebuchet MS"/>
                <w:sz w:val="22"/>
                <w:szCs w:val="22"/>
              </w:rPr>
              <w:t>2.</w:t>
            </w:r>
            <w:r>
              <w:rPr>
                <w:rFonts w:ascii="Trebuchet MS" w:hAnsi="Trebuchet MS"/>
                <w:sz w:val="22"/>
                <w:szCs w:val="22"/>
              </w:rPr>
              <w:t>4</w:t>
            </w:r>
            <w:r w:rsidRPr="001C28B8">
              <w:rPr>
                <w:rFonts w:ascii="Trebuchet MS" w:hAnsi="Trebuchet MS"/>
                <w:sz w:val="22"/>
                <w:szCs w:val="22"/>
              </w:rPr>
              <w:t>% - 1</w:t>
            </w:r>
            <w:r>
              <w:rPr>
                <w:rFonts w:ascii="Trebuchet MS" w:hAnsi="Trebuchet MS"/>
                <w:sz w:val="22"/>
                <w:szCs w:val="22"/>
              </w:rPr>
              <w:t>0</w:t>
            </w:r>
            <w:r w:rsidRPr="001C28B8">
              <w:rPr>
                <w:rFonts w:ascii="Trebuchet MS" w:hAnsi="Trebuchet MS"/>
                <w:sz w:val="22"/>
                <w:szCs w:val="22"/>
              </w:rPr>
              <w:t>.1%</w:t>
            </w:r>
          </w:p>
        </w:tc>
      </w:tr>
      <w:bookmarkEnd w:id="9"/>
    </w:tbl>
    <w:p w14:paraId="45559349" w14:textId="7B59BAAD" w:rsidR="003A56CE" w:rsidRDefault="003A56CE">
      <w:pPr>
        <w:tabs>
          <w:tab w:val="num" w:pos="1260"/>
        </w:tabs>
        <w:spacing w:line="480" w:lineRule="auto"/>
        <w:jc w:val="both"/>
        <w:rPr>
          <w:rFonts w:ascii="Trebuchet MS" w:hAnsi="Trebuchet MS"/>
          <w:sz w:val="22"/>
          <w:szCs w:val="22"/>
          <w:highlight w:val="yellow"/>
        </w:rPr>
      </w:pPr>
    </w:p>
    <w:p w14:paraId="3C5B81BF" w14:textId="76E3CE8A" w:rsidR="00D33A10" w:rsidRPr="007766DF" w:rsidRDefault="001052FF">
      <w:pPr>
        <w:tabs>
          <w:tab w:val="num" w:pos="1260"/>
        </w:tabs>
        <w:spacing w:line="480" w:lineRule="auto"/>
        <w:jc w:val="both"/>
        <w:rPr>
          <w:rFonts w:ascii="Trebuchet MS" w:hAnsi="Trebuchet MS"/>
          <w:sz w:val="22"/>
          <w:szCs w:val="22"/>
        </w:rPr>
      </w:pPr>
      <w:r w:rsidRPr="007766DF">
        <w:rPr>
          <w:rFonts w:ascii="Trebuchet MS" w:hAnsi="Trebuchet MS"/>
          <w:sz w:val="22"/>
          <w:szCs w:val="22"/>
        </w:rPr>
        <w:t xml:space="preserve">The </w:t>
      </w:r>
      <w:r w:rsidR="00D33A10" w:rsidRPr="007766DF">
        <w:rPr>
          <w:rFonts w:ascii="Trebuchet MS" w:hAnsi="Trebuchet MS"/>
          <w:sz w:val="22"/>
          <w:szCs w:val="22"/>
        </w:rPr>
        <w:t>Proposed Project</w:t>
      </w:r>
      <w:r w:rsidRPr="007766DF">
        <w:rPr>
          <w:rFonts w:ascii="Trebuchet MS" w:hAnsi="Trebuchet MS"/>
          <w:sz w:val="22"/>
          <w:szCs w:val="22"/>
        </w:rPr>
        <w:t xml:space="preserve"> assumes a ramp</w:t>
      </w:r>
      <w:r w:rsidR="005A4716" w:rsidRPr="007766DF">
        <w:rPr>
          <w:rFonts w:ascii="Trebuchet MS" w:hAnsi="Trebuchet MS"/>
          <w:sz w:val="22"/>
          <w:szCs w:val="22"/>
        </w:rPr>
        <w:t>-up</w:t>
      </w:r>
      <w:r w:rsidRPr="007766DF">
        <w:rPr>
          <w:rFonts w:ascii="Trebuchet MS" w:hAnsi="Trebuchet MS"/>
          <w:sz w:val="22"/>
          <w:szCs w:val="22"/>
        </w:rPr>
        <w:t xml:space="preserve"> </w:t>
      </w:r>
      <w:r w:rsidR="007766DF" w:rsidRPr="007766DF">
        <w:rPr>
          <w:rFonts w:ascii="Trebuchet MS" w:hAnsi="Trebuchet MS"/>
          <w:sz w:val="22"/>
          <w:szCs w:val="22"/>
        </w:rPr>
        <w:t>in</w:t>
      </w:r>
      <w:r w:rsidRPr="007766DF">
        <w:rPr>
          <w:rFonts w:ascii="Trebuchet MS" w:hAnsi="Trebuchet MS"/>
          <w:sz w:val="22"/>
          <w:szCs w:val="22"/>
        </w:rPr>
        <w:t xml:space="preserve"> </w:t>
      </w:r>
      <w:r w:rsidR="00900B50">
        <w:rPr>
          <w:rFonts w:ascii="Trebuchet MS" w:hAnsi="Trebuchet MS"/>
          <w:sz w:val="22"/>
          <w:szCs w:val="22"/>
        </w:rPr>
        <w:t>PET-CT Services</w:t>
      </w:r>
      <w:r w:rsidRPr="007766DF">
        <w:rPr>
          <w:rFonts w:ascii="Trebuchet MS" w:hAnsi="Trebuchet MS"/>
          <w:sz w:val="22"/>
          <w:szCs w:val="22"/>
        </w:rPr>
        <w:t xml:space="preserve"> to three days per week</w:t>
      </w:r>
      <w:r w:rsidR="005A4716" w:rsidRPr="007766DF">
        <w:rPr>
          <w:rFonts w:ascii="Trebuchet MS" w:hAnsi="Trebuchet MS"/>
          <w:sz w:val="22"/>
          <w:szCs w:val="22"/>
        </w:rPr>
        <w:t>. Annual scans are projected to increase from 296 scans in year one to 936 scans in year five. Corresponding revenue for the Proposed Project is expected to increase from $414</w:t>
      </w:r>
      <w:r w:rsidR="007766DF" w:rsidRPr="007766DF">
        <w:rPr>
          <w:rFonts w:ascii="Trebuchet MS" w:hAnsi="Trebuchet MS"/>
          <w:sz w:val="22"/>
          <w:szCs w:val="22"/>
        </w:rPr>
        <w:t>.4</w:t>
      </w:r>
      <w:r w:rsidR="005A4716" w:rsidRPr="007766DF">
        <w:rPr>
          <w:rFonts w:ascii="Trebuchet MS" w:hAnsi="Trebuchet MS"/>
          <w:sz w:val="22"/>
          <w:szCs w:val="22"/>
        </w:rPr>
        <w:t xml:space="preserve"> thousand in year </w:t>
      </w:r>
      <w:r w:rsidR="003077BB">
        <w:rPr>
          <w:rFonts w:ascii="Trebuchet MS" w:hAnsi="Trebuchet MS"/>
          <w:sz w:val="22"/>
          <w:szCs w:val="22"/>
        </w:rPr>
        <w:t>one</w:t>
      </w:r>
      <w:r w:rsidR="003077BB" w:rsidRPr="007766DF">
        <w:rPr>
          <w:rFonts w:ascii="Trebuchet MS" w:hAnsi="Trebuchet MS"/>
          <w:sz w:val="22"/>
          <w:szCs w:val="22"/>
        </w:rPr>
        <w:t xml:space="preserve"> </w:t>
      </w:r>
      <w:r w:rsidR="005A4716" w:rsidRPr="007766DF">
        <w:rPr>
          <w:rFonts w:ascii="Trebuchet MS" w:hAnsi="Trebuchet MS"/>
          <w:sz w:val="22"/>
          <w:szCs w:val="22"/>
        </w:rPr>
        <w:t xml:space="preserve">to $1.3 million in year five. The impact of the Proposed Project </w:t>
      </w:r>
      <w:r w:rsidR="007766DF" w:rsidRPr="007766DF">
        <w:rPr>
          <w:rFonts w:ascii="Trebuchet MS" w:hAnsi="Trebuchet MS"/>
          <w:sz w:val="22"/>
          <w:szCs w:val="22"/>
        </w:rPr>
        <w:t>on</w:t>
      </w:r>
      <w:r w:rsidR="005A4716" w:rsidRPr="007766DF">
        <w:rPr>
          <w:rFonts w:ascii="Trebuchet MS" w:hAnsi="Trebuchet MS"/>
          <w:sz w:val="22"/>
          <w:szCs w:val="22"/>
        </w:rPr>
        <w:t xml:space="preserve"> the Applicant </w:t>
      </w:r>
      <w:r w:rsidR="005A4716" w:rsidRPr="007766DF">
        <w:rPr>
          <w:rFonts w:ascii="Trebuchet MS" w:hAnsi="Trebuchet MS"/>
          <w:sz w:val="22"/>
          <w:szCs w:val="22"/>
        </w:rPr>
        <w:lastRenderedPageBreak/>
        <w:t xml:space="preserve">is small, with incremental revenue accounting for between 0.0 percent and 0.1 percent of total operating revenue for the Applicant. </w:t>
      </w:r>
    </w:p>
    <w:p w14:paraId="1EFF8CFF" w14:textId="77777777" w:rsidR="00A81DA0" w:rsidRPr="002E63C8" w:rsidRDefault="00A81DA0">
      <w:pPr>
        <w:tabs>
          <w:tab w:val="num" w:pos="1260"/>
        </w:tabs>
        <w:spacing w:line="480" w:lineRule="auto"/>
        <w:jc w:val="both"/>
        <w:rPr>
          <w:rFonts w:ascii="Trebuchet MS" w:hAnsi="Trebuchet MS"/>
          <w:sz w:val="22"/>
          <w:szCs w:val="22"/>
          <w:highlight w:val="yellow"/>
        </w:rPr>
      </w:pPr>
    </w:p>
    <w:p w14:paraId="7F002152" w14:textId="7E115E40" w:rsidR="009A2BEA" w:rsidRPr="002E63C8" w:rsidRDefault="00D3103D" w:rsidP="004F0094">
      <w:pPr>
        <w:spacing w:line="480" w:lineRule="auto"/>
        <w:jc w:val="both"/>
        <w:rPr>
          <w:rFonts w:ascii="Trebuchet MS" w:hAnsi="Trebuchet MS"/>
          <w:sz w:val="22"/>
          <w:szCs w:val="22"/>
          <w:highlight w:val="yellow"/>
        </w:rPr>
      </w:pPr>
      <w:r w:rsidRPr="00EF0D4D">
        <w:rPr>
          <w:rFonts w:ascii="Trebuchet MS" w:hAnsi="Trebuchet MS"/>
          <w:sz w:val="22"/>
          <w:szCs w:val="22"/>
        </w:rPr>
        <w:t xml:space="preserve">Based upon the foregoing, it is our opinion that the revenue growth projected by Management reflects a reasonable estimation of future revenue of </w:t>
      </w:r>
      <w:r w:rsidR="00EF0D4D" w:rsidRPr="00EF0D4D">
        <w:rPr>
          <w:rFonts w:ascii="Trebuchet MS" w:hAnsi="Trebuchet MS"/>
          <w:sz w:val="22"/>
          <w:szCs w:val="22"/>
        </w:rPr>
        <w:t>CHA</w:t>
      </w:r>
      <w:r w:rsidRPr="00EF0D4D">
        <w:rPr>
          <w:rFonts w:ascii="Trebuchet MS" w:hAnsi="Trebuchet MS"/>
          <w:sz w:val="22"/>
          <w:szCs w:val="22"/>
        </w:rPr>
        <w:t>.</w:t>
      </w:r>
      <w:r w:rsidR="00FD750E" w:rsidRPr="00EF0D4D">
        <w:rPr>
          <w:rFonts w:ascii="Trebuchet MS" w:hAnsi="Trebuchet MS"/>
          <w:sz w:val="22"/>
          <w:szCs w:val="22"/>
        </w:rPr>
        <w:t xml:space="preserve"> </w:t>
      </w:r>
    </w:p>
    <w:p w14:paraId="430B43C5" w14:textId="77777777" w:rsidR="00C81BCD" w:rsidRPr="00A81DA0" w:rsidRDefault="00C81BCD">
      <w:pPr>
        <w:tabs>
          <w:tab w:val="left" w:pos="2136"/>
        </w:tabs>
        <w:spacing w:line="480" w:lineRule="auto"/>
        <w:jc w:val="both"/>
        <w:rPr>
          <w:rFonts w:ascii="Trebuchet MS" w:hAnsi="Trebuchet MS"/>
          <w:sz w:val="22"/>
          <w:szCs w:val="22"/>
        </w:rPr>
      </w:pPr>
    </w:p>
    <w:p w14:paraId="2233B582" w14:textId="77777777" w:rsidR="009A2BEA" w:rsidRPr="00A81DA0" w:rsidRDefault="00D3103D">
      <w:pPr>
        <w:pStyle w:val="ListParagraph"/>
        <w:numPr>
          <w:ilvl w:val="0"/>
          <w:numId w:val="3"/>
        </w:numPr>
        <w:tabs>
          <w:tab w:val="num" w:pos="1260"/>
        </w:tabs>
        <w:spacing w:line="480" w:lineRule="auto"/>
        <w:jc w:val="both"/>
        <w:rPr>
          <w:rFonts w:ascii="Trebuchet MS" w:hAnsi="Trebuchet MS"/>
          <w:b/>
          <w:sz w:val="22"/>
          <w:szCs w:val="22"/>
        </w:rPr>
      </w:pPr>
      <w:r w:rsidRPr="00A81DA0">
        <w:rPr>
          <w:rFonts w:ascii="Trebuchet MS" w:hAnsi="Trebuchet MS"/>
          <w:b/>
          <w:sz w:val="22"/>
          <w:szCs w:val="22"/>
        </w:rPr>
        <w:t>Operating Expenses</w:t>
      </w:r>
    </w:p>
    <w:p w14:paraId="34C70702" w14:textId="77777777" w:rsidR="009A2BEA" w:rsidRPr="007766DF" w:rsidRDefault="009A2BEA">
      <w:pPr>
        <w:spacing w:line="480" w:lineRule="auto"/>
        <w:ind w:left="360"/>
        <w:jc w:val="both"/>
        <w:rPr>
          <w:rFonts w:ascii="Trebuchet MS" w:hAnsi="Trebuchet MS"/>
          <w:sz w:val="22"/>
          <w:szCs w:val="22"/>
        </w:rPr>
      </w:pPr>
    </w:p>
    <w:p w14:paraId="526495D7" w14:textId="3441FAEA" w:rsidR="00290BAE" w:rsidRPr="002E63C8" w:rsidRDefault="00D3103D" w:rsidP="006A4543">
      <w:pPr>
        <w:spacing w:line="480" w:lineRule="auto"/>
        <w:jc w:val="both"/>
        <w:rPr>
          <w:rFonts w:ascii="Trebuchet MS" w:hAnsi="Trebuchet MS"/>
          <w:sz w:val="22"/>
          <w:szCs w:val="22"/>
          <w:highlight w:val="yellow"/>
        </w:rPr>
      </w:pPr>
      <w:r w:rsidRPr="007766DF">
        <w:rPr>
          <w:rFonts w:ascii="Trebuchet MS" w:hAnsi="Trebuchet MS"/>
          <w:sz w:val="22"/>
          <w:szCs w:val="22"/>
        </w:rPr>
        <w:t xml:space="preserve">We analyzed each of the categorized operating expenses for reasonableness and feasibility related to </w:t>
      </w:r>
      <w:r w:rsidRPr="0047502E">
        <w:rPr>
          <w:rFonts w:ascii="Trebuchet MS" w:hAnsi="Trebuchet MS"/>
          <w:sz w:val="22"/>
          <w:szCs w:val="22"/>
        </w:rPr>
        <w:t>the Projections. The operating expenses in the analysis include salar</w:t>
      </w:r>
      <w:r w:rsidR="0047502E" w:rsidRPr="0047502E">
        <w:rPr>
          <w:rFonts w:ascii="Trebuchet MS" w:hAnsi="Trebuchet MS"/>
          <w:sz w:val="22"/>
          <w:szCs w:val="22"/>
        </w:rPr>
        <w:t>y</w:t>
      </w:r>
      <w:r w:rsidRPr="0047502E">
        <w:rPr>
          <w:rFonts w:ascii="Trebuchet MS" w:hAnsi="Trebuchet MS"/>
          <w:sz w:val="22"/>
          <w:szCs w:val="22"/>
        </w:rPr>
        <w:t xml:space="preserve"> and wages,</w:t>
      </w:r>
      <w:r w:rsidR="00092380" w:rsidRPr="0047502E">
        <w:rPr>
          <w:rFonts w:ascii="Trebuchet MS" w:hAnsi="Trebuchet MS"/>
          <w:sz w:val="22"/>
          <w:szCs w:val="22"/>
        </w:rPr>
        <w:t xml:space="preserve"> </w:t>
      </w:r>
      <w:r w:rsidR="0047502E" w:rsidRPr="0047502E">
        <w:rPr>
          <w:rFonts w:ascii="Trebuchet MS" w:hAnsi="Trebuchet MS"/>
          <w:sz w:val="22"/>
          <w:szCs w:val="22"/>
        </w:rPr>
        <w:t>supplies</w:t>
      </w:r>
      <w:r w:rsidR="00092380" w:rsidRPr="0047502E">
        <w:rPr>
          <w:rFonts w:ascii="Trebuchet MS" w:hAnsi="Trebuchet MS"/>
          <w:sz w:val="22"/>
          <w:szCs w:val="22"/>
        </w:rPr>
        <w:t xml:space="preserve">, purchased services, </w:t>
      </w:r>
      <w:r w:rsidR="0047502E" w:rsidRPr="0047502E">
        <w:rPr>
          <w:rFonts w:ascii="Trebuchet MS" w:hAnsi="Trebuchet MS"/>
          <w:sz w:val="22"/>
          <w:szCs w:val="22"/>
        </w:rPr>
        <w:t>travel and training</w:t>
      </w:r>
      <w:r w:rsidR="00092380" w:rsidRPr="0047502E">
        <w:rPr>
          <w:rFonts w:ascii="Trebuchet MS" w:hAnsi="Trebuchet MS"/>
          <w:sz w:val="22"/>
          <w:szCs w:val="22"/>
        </w:rPr>
        <w:t xml:space="preserve">, </w:t>
      </w:r>
      <w:r w:rsidR="0047502E" w:rsidRPr="0047502E">
        <w:rPr>
          <w:rFonts w:ascii="Trebuchet MS" w:hAnsi="Trebuchet MS"/>
          <w:sz w:val="22"/>
          <w:szCs w:val="22"/>
        </w:rPr>
        <w:t>other expenses - HSNO</w:t>
      </w:r>
      <w:r w:rsidR="00092380" w:rsidRPr="0047502E">
        <w:rPr>
          <w:rFonts w:ascii="Trebuchet MS" w:hAnsi="Trebuchet MS"/>
          <w:sz w:val="22"/>
          <w:szCs w:val="22"/>
        </w:rPr>
        <w:t xml:space="preserve">, </w:t>
      </w:r>
      <w:r w:rsidR="0047502E" w:rsidRPr="0047502E">
        <w:rPr>
          <w:rFonts w:ascii="Trebuchet MS" w:hAnsi="Trebuchet MS"/>
          <w:sz w:val="22"/>
          <w:szCs w:val="22"/>
        </w:rPr>
        <w:t>depreciation and amortization</w:t>
      </w:r>
      <w:r w:rsidRPr="0047502E">
        <w:rPr>
          <w:rFonts w:ascii="Trebuchet MS" w:hAnsi="Trebuchet MS"/>
          <w:sz w:val="22"/>
          <w:szCs w:val="22"/>
        </w:rPr>
        <w:t xml:space="preserve">. </w:t>
      </w:r>
      <w:r w:rsidR="00650EEA">
        <w:rPr>
          <w:rFonts w:ascii="Trebuchet MS" w:hAnsi="Trebuchet MS"/>
          <w:sz w:val="22"/>
          <w:szCs w:val="22"/>
        </w:rPr>
        <w:t xml:space="preserve">Salary and wages represent approximately 68.5 percent of total operating expenses and purchased services represent approximately 16.1 percent. </w:t>
      </w:r>
    </w:p>
    <w:p w14:paraId="7F15107B" w14:textId="77777777" w:rsidR="00290BAE" w:rsidRPr="002E63C8" w:rsidRDefault="00290BAE" w:rsidP="006A4543">
      <w:pPr>
        <w:spacing w:line="480" w:lineRule="auto"/>
        <w:jc w:val="both"/>
        <w:rPr>
          <w:rFonts w:ascii="Trebuchet MS" w:hAnsi="Trebuchet MS"/>
          <w:sz w:val="22"/>
          <w:szCs w:val="22"/>
          <w:highlight w:val="yellow"/>
        </w:rPr>
      </w:pPr>
    </w:p>
    <w:p w14:paraId="6626366B" w14:textId="3DB4A74F" w:rsidR="002203F0" w:rsidRPr="006C0F17" w:rsidRDefault="00650EEA" w:rsidP="006A4543">
      <w:pPr>
        <w:spacing w:line="480" w:lineRule="auto"/>
        <w:jc w:val="both"/>
        <w:rPr>
          <w:rFonts w:ascii="Trebuchet MS" w:hAnsi="Trebuchet MS"/>
          <w:sz w:val="22"/>
          <w:szCs w:val="22"/>
        </w:rPr>
      </w:pPr>
      <w:r w:rsidRPr="006C0F17">
        <w:rPr>
          <w:rFonts w:ascii="Trebuchet MS" w:hAnsi="Trebuchet MS"/>
          <w:sz w:val="22"/>
          <w:szCs w:val="22"/>
        </w:rPr>
        <w:t>Salary and wages</w:t>
      </w:r>
      <w:r w:rsidR="005A1940" w:rsidRPr="006C0F17">
        <w:rPr>
          <w:rFonts w:ascii="Trebuchet MS" w:hAnsi="Trebuchet MS"/>
          <w:sz w:val="22"/>
          <w:szCs w:val="22"/>
        </w:rPr>
        <w:t xml:space="preserve"> are projected to increase 15.6 percent in FY 2022 and 5.6 percent in FY 2023. After FY 2023, salary and wages are projected to increase between 1.0 percent and 2.3 percent annually. The Applicant indicated CHA is increasing headcount in FY 2023 by 185 full time equivalents to be </w:t>
      </w:r>
      <w:proofErr w:type="gramStart"/>
      <w:r w:rsidR="005A1940" w:rsidRPr="006C0F17">
        <w:rPr>
          <w:rFonts w:ascii="Trebuchet MS" w:hAnsi="Trebuchet MS"/>
          <w:sz w:val="22"/>
          <w:szCs w:val="22"/>
        </w:rPr>
        <w:t>in a position</w:t>
      </w:r>
      <w:proofErr w:type="gramEnd"/>
      <w:r w:rsidR="005A1940" w:rsidRPr="006C0F17">
        <w:rPr>
          <w:rFonts w:ascii="Trebuchet MS" w:hAnsi="Trebuchet MS"/>
          <w:sz w:val="22"/>
          <w:szCs w:val="22"/>
        </w:rPr>
        <w:t xml:space="preserve"> to support projected revenue beyond 2023. No headcount increases or decreases are expected in the rest of the projection period. </w:t>
      </w:r>
      <w:r w:rsidR="006C0F17" w:rsidRPr="006C0F17">
        <w:rPr>
          <w:rFonts w:ascii="Trebuchet MS" w:hAnsi="Trebuchet MS"/>
          <w:sz w:val="22"/>
          <w:szCs w:val="22"/>
        </w:rPr>
        <w:t>Wage and benefit increase</w:t>
      </w:r>
      <w:r w:rsidR="006C0F17">
        <w:rPr>
          <w:rFonts w:ascii="Trebuchet MS" w:hAnsi="Trebuchet MS"/>
          <w:sz w:val="22"/>
          <w:szCs w:val="22"/>
        </w:rPr>
        <w:t xml:space="preserve"> </w:t>
      </w:r>
      <w:r w:rsidR="006C0F17" w:rsidRPr="006C0F17">
        <w:rPr>
          <w:rFonts w:ascii="Trebuchet MS" w:hAnsi="Trebuchet MS"/>
          <w:sz w:val="22"/>
          <w:szCs w:val="22"/>
        </w:rPr>
        <w:t xml:space="preserve">in 2023 reflect negotiated agreements as well as an additional </w:t>
      </w:r>
      <w:r w:rsidR="004C3EB3">
        <w:rPr>
          <w:rFonts w:ascii="Trebuchet MS" w:hAnsi="Trebuchet MS"/>
          <w:sz w:val="22"/>
          <w:szCs w:val="22"/>
        </w:rPr>
        <w:t xml:space="preserve">$3.6 million </w:t>
      </w:r>
      <w:r w:rsidR="006C0F17" w:rsidRPr="006C0F17">
        <w:rPr>
          <w:rFonts w:ascii="Trebuchet MS" w:hAnsi="Trebuchet MS"/>
          <w:sz w:val="22"/>
          <w:szCs w:val="22"/>
        </w:rPr>
        <w:t xml:space="preserve">adjustment to be more competitive with </w:t>
      </w:r>
      <w:r w:rsidR="003077BB">
        <w:rPr>
          <w:rFonts w:ascii="Trebuchet MS" w:hAnsi="Trebuchet MS"/>
          <w:sz w:val="22"/>
          <w:szCs w:val="22"/>
        </w:rPr>
        <w:t xml:space="preserve">local </w:t>
      </w:r>
      <w:r w:rsidR="006C0F17" w:rsidRPr="006C0F17">
        <w:rPr>
          <w:rFonts w:ascii="Trebuchet MS" w:hAnsi="Trebuchet MS"/>
          <w:sz w:val="22"/>
          <w:szCs w:val="22"/>
        </w:rPr>
        <w:t>market</w:t>
      </w:r>
      <w:r w:rsidR="003077BB">
        <w:rPr>
          <w:rFonts w:ascii="Trebuchet MS" w:hAnsi="Trebuchet MS"/>
          <w:sz w:val="22"/>
          <w:szCs w:val="22"/>
        </w:rPr>
        <w:t xml:space="preserve"> compensation levels</w:t>
      </w:r>
      <w:r w:rsidR="006C0F17" w:rsidRPr="006C0F17">
        <w:rPr>
          <w:rFonts w:ascii="Trebuchet MS" w:hAnsi="Trebuchet MS"/>
          <w:sz w:val="22"/>
          <w:szCs w:val="22"/>
        </w:rPr>
        <w:t xml:space="preserve">. </w:t>
      </w:r>
    </w:p>
    <w:p w14:paraId="285393F6" w14:textId="77777777" w:rsidR="005A1940" w:rsidRDefault="005A1940" w:rsidP="006A4543">
      <w:pPr>
        <w:spacing w:line="480" w:lineRule="auto"/>
        <w:jc w:val="both"/>
        <w:rPr>
          <w:rFonts w:ascii="Trebuchet MS" w:hAnsi="Trebuchet MS"/>
          <w:sz w:val="22"/>
          <w:szCs w:val="22"/>
          <w:highlight w:val="yellow"/>
        </w:rPr>
      </w:pPr>
    </w:p>
    <w:p w14:paraId="60D8200C" w14:textId="280EB367" w:rsidR="00650EEA" w:rsidRDefault="00650EEA" w:rsidP="006A4543">
      <w:pPr>
        <w:spacing w:line="480" w:lineRule="auto"/>
        <w:jc w:val="both"/>
        <w:rPr>
          <w:rFonts w:ascii="Trebuchet MS" w:hAnsi="Trebuchet MS"/>
          <w:sz w:val="22"/>
          <w:szCs w:val="22"/>
        </w:rPr>
      </w:pPr>
      <w:r w:rsidRPr="006C0F17">
        <w:rPr>
          <w:rFonts w:ascii="Trebuchet MS" w:hAnsi="Trebuchet MS"/>
          <w:sz w:val="22"/>
          <w:szCs w:val="22"/>
        </w:rPr>
        <w:lastRenderedPageBreak/>
        <w:t xml:space="preserve">Purchased services </w:t>
      </w:r>
      <w:r w:rsidR="006C0F17" w:rsidRPr="006C0F17">
        <w:rPr>
          <w:rFonts w:ascii="Trebuchet MS" w:hAnsi="Trebuchet MS"/>
          <w:sz w:val="22"/>
          <w:szCs w:val="22"/>
        </w:rPr>
        <w:t xml:space="preserve">are expected to decrease by 9.0 percent in FY 2022. Thereafter, purchased services are expected to increase between 0.1 percent and 0.5 percent annually. We understand the Applicant undergoes annual reviews of all purchased services for savings and reductions. </w:t>
      </w:r>
    </w:p>
    <w:p w14:paraId="2DB4665F" w14:textId="77777777" w:rsidR="004601DA" w:rsidRDefault="004601DA" w:rsidP="004601DA">
      <w:pPr>
        <w:spacing w:line="480" w:lineRule="auto"/>
        <w:jc w:val="both"/>
        <w:rPr>
          <w:rFonts w:ascii="Trebuchet MS" w:hAnsi="Trebuchet MS"/>
          <w:sz w:val="22"/>
          <w:szCs w:val="22"/>
        </w:rPr>
      </w:pPr>
    </w:p>
    <w:p w14:paraId="57053E33" w14:textId="3E6AF0EB" w:rsidR="004601DA" w:rsidRDefault="004601DA" w:rsidP="004601DA">
      <w:pPr>
        <w:spacing w:line="480" w:lineRule="auto"/>
        <w:jc w:val="both"/>
        <w:rPr>
          <w:rFonts w:ascii="Trebuchet MS" w:hAnsi="Trebuchet MS"/>
          <w:sz w:val="22"/>
          <w:szCs w:val="22"/>
        </w:rPr>
      </w:pPr>
      <w:r>
        <w:rPr>
          <w:rFonts w:ascii="Trebuchet MS" w:hAnsi="Trebuchet MS"/>
          <w:sz w:val="22"/>
          <w:szCs w:val="22"/>
        </w:rPr>
        <w:t xml:space="preserve">The following table shows the projected operating expense growth in comparison to historical annual expense growth rates between FY 2017 and FY 2021. Projected operating expense growth for FY 2022 is within the historical range of growth. Thereafter, expense growth is below historical growth; however, we understand the Company expects expenses to increase </w:t>
      </w:r>
      <w:r w:rsidR="00065375">
        <w:rPr>
          <w:rFonts w:ascii="Trebuchet MS" w:hAnsi="Trebuchet MS"/>
          <w:sz w:val="22"/>
          <w:szCs w:val="22"/>
        </w:rPr>
        <w:t xml:space="preserve">at a slower rate as operations normalize and cost savings initiatives are implemented. </w:t>
      </w:r>
      <w:r>
        <w:rPr>
          <w:rFonts w:ascii="Trebuchet MS" w:hAnsi="Trebuchet MS"/>
          <w:sz w:val="22"/>
          <w:szCs w:val="22"/>
        </w:rPr>
        <w:t xml:space="preserve"> </w:t>
      </w:r>
    </w:p>
    <w:p w14:paraId="18D98B3B" w14:textId="77777777" w:rsidR="00B227D4" w:rsidRPr="006C0F17" w:rsidRDefault="00B227D4" w:rsidP="006A4543">
      <w:pPr>
        <w:spacing w:line="480" w:lineRule="auto"/>
        <w:jc w:val="both"/>
        <w:rPr>
          <w:rFonts w:ascii="Trebuchet MS" w:hAnsi="Trebuchet MS"/>
          <w:sz w:val="22"/>
          <w:szCs w:val="22"/>
        </w:rPr>
      </w:pPr>
    </w:p>
    <w:tbl>
      <w:tblPr>
        <w:tblW w:w="8640" w:type="dxa"/>
        <w:jc w:val="center"/>
        <w:tblBorders>
          <w:top w:val="single" w:sz="4" w:space="0" w:color="00B0F0"/>
          <w:bottom w:val="single" w:sz="4" w:space="0" w:color="00B0F0"/>
        </w:tblBorders>
        <w:tblCellMar>
          <w:top w:w="14" w:type="dxa"/>
          <w:left w:w="14" w:type="dxa"/>
          <w:bottom w:w="14" w:type="dxa"/>
          <w:right w:w="14" w:type="dxa"/>
        </w:tblCellMar>
        <w:tblLook w:val="04A0" w:firstRow="1" w:lastRow="0" w:firstColumn="1" w:lastColumn="0" w:noHBand="0" w:noVBand="1"/>
      </w:tblPr>
      <w:tblGrid>
        <w:gridCol w:w="1138"/>
        <w:gridCol w:w="42"/>
        <w:gridCol w:w="706"/>
        <w:gridCol w:w="706"/>
        <w:gridCol w:w="711"/>
        <w:gridCol w:w="706"/>
        <w:gridCol w:w="706"/>
        <w:gridCol w:w="706"/>
        <w:gridCol w:w="1419"/>
        <w:gridCol w:w="1800"/>
      </w:tblGrid>
      <w:tr w:rsidR="00B227D4" w:rsidRPr="002E63C8" w14:paraId="5F5A470A" w14:textId="77777777" w:rsidTr="006135EE">
        <w:trPr>
          <w:cantSplit/>
          <w:trHeight w:val="288"/>
          <w:jc w:val="center"/>
        </w:trPr>
        <w:tc>
          <w:tcPr>
            <w:tcW w:w="1138" w:type="dxa"/>
            <w:shd w:val="clear" w:color="auto" w:fill="005D7E"/>
            <w:vAlign w:val="center"/>
          </w:tcPr>
          <w:p w14:paraId="70BF3358" w14:textId="77777777" w:rsidR="00B227D4" w:rsidRPr="001C28B8" w:rsidRDefault="00B227D4" w:rsidP="009202EE">
            <w:pPr>
              <w:pStyle w:val="VBABODY"/>
              <w:keepNext/>
              <w:spacing w:after="0" w:line="240" w:lineRule="auto"/>
              <w:jc w:val="center"/>
              <w:rPr>
                <w:color w:val="FFFFFF" w:themeColor="background1"/>
                <w:sz w:val="22"/>
                <w:szCs w:val="22"/>
              </w:rPr>
            </w:pPr>
            <w:r w:rsidRPr="001C28B8">
              <w:rPr>
                <w:color w:val="FFFFFF" w:themeColor="background1"/>
                <w:sz w:val="22"/>
                <w:szCs w:val="22"/>
              </w:rPr>
              <w:t>Growth Rates</w:t>
            </w:r>
          </w:p>
        </w:tc>
        <w:tc>
          <w:tcPr>
            <w:tcW w:w="42" w:type="dxa"/>
            <w:shd w:val="clear" w:color="auto" w:fill="005D7E"/>
            <w:vAlign w:val="center"/>
          </w:tcPr>
          <w:p w14:paraId="7221AF9A" w14:textId="77777777" w:rsidR="00B227D4" w:rsidRPr="001C28B8" w:rsidRDefault="00B227D4" w:rsidP="009202EE">
            <w:pPr>
              <w:pStyle w:val="VBABODY"/>
              <w:keepNext/>
              <w:spacing w:after="0" w:line="240" w:lineRule="auto"/>
              <w:jc w:val="center"/>
              <w:rPr>
                <w:color w:val="FFFFFF" w:themeColor="background1"/>
                <w:sz w:val="22"/>
                <w:szCs w:val="22"/>
              </w:rPr>
            </w:pPr>
          </w:p>
        </w:tc>
        <w:tc>
          <w:tcPr>
            <w:tcW w:w="706" w:type="dxa"/>
            <w:shd w:val="clear" w:color="auto" w:fill="005D7E"/>
            <w:vAlign w:val="center"/>
          </w:tcPr>
          <w:p w14:paraId="115A91DF" w14:textId="77777777" w:rsidR="00B227D4" w:rsidRPr="001C28B8" w:rsidRDefault="00B227D4" w:rsidP="009202EE">
            <w:pPr>
              <w:pStyle w:val="VBABODY"/>
              <w:keepNext/>
              <w:spacing w:after="0" w:line="240" w:lineRule="auto"/>
              <w:jc w:val="center"/>
              <w:rPr>
                <w:color w:val="FFFFFF" w:themeColor="background1"/>
                <w:sz w:val="22"/>
                <w:szCs w:val="22"/>
              </w:rPr>
            </w:pPr>
            <w:r w:rsidRPr="001C28B8">
              <w:rPr>
                <w:color w:val="FFFFFF" w:themeColor="background1"/>
                <w:sz w:val="22"/>
                <w:szCs w:val="22"/>
              </w:rPr>
              <w:t xml:space="preserve">2022 </w:t>
            </w:r>
          </w:p>
        </w:tc>
        <w:tc>
          <w:tcPr>
            <w:tcW w:w="706" w:type="dxa"/>
            <w:shd w:val="clear" w:color="auto" w:fill="005D7E"/>
            <w:vAlign w:val="center"/>
          </w:tcPr>
          <w:p w14:paraId="5A9AD347" w14:textId="77777777" w:rsidR="00B227D4" w:rsidRPr="001C28B8" w:rsidRDefault="00B227D4" w:rsidP="009202EE">
            <w:pPr>
              <w:tabs>
                <w:tab w:val="num" w:pos="1260"/>
              </w:tabs>
              <w:jc w:val="center"/>
              <w:rPr>
                <w:rFonts w:ascii="Trebuchet MS" w:hAnsi="Trebuchet MS"/>
                <w:color w:val="FFFFFF" w:themeColor="background1"/>
                <w:sz w:val="22"/>
                <w:szCs w:val="22"/>
              </w:rPr>
            </w:pPr>
            <w:r w:rsidRPr="001C28B8">
              <w:rPr>
                <w:rFonts w:ascii="Trebuchet MS" w:hAnsi="Trebuchet MS"/>
                <w:color w:val="FFFFFF" w:themeColor="background1"/>
                <w:sz w:val="22"/>
                <w:szCs w:val="22"/>
              </w:rPr>
              <w:t xml:space="preserve">2023 </w:t>
            </w:r>
          </w:p>
        </w:tc>
        <w:tc>
          <w:tcPr>
            <w:tcW w:w="711" w:type="dxa"/>
            <w:shd w:val="clear" w:color="auto" w:fill="005D7E"/>
            <w:vAlign w:val="center"/>
          </w:tcPr>
          <w:p w14:paraId="00A83EA3" w14:textId="77777777" w:rsidR="00B227D4" w:rsidRPr="001C28B8" w:rsidRDefault="00B227D4" w:rsidP="009202EE">
            <w:pPr>
              <w:tabs>
                <w:tab w:val="num" w:pos="1260"/>
              </w:tabs>
              <w:jc w:val="center"/>
              <w:rPr>
                <w:rFonts w:ascii="Trebuchet MS" w:hAnsi="Trebuchet MS"/>
                <w:color w:val="FFFFFF" w:themeColor="background1"/>
                <w:sz w:val="22"/>
                <w:szCs w:val="22"/>
              </w:rPr>
            </w:pPr>
            <w:r>
              <w:rPr>
                <w:rFonts w:ascii="Trebuchet MS" w:hAnsi="Trebuchet MS"/>
                <w:color w:val="FFFFFF" w:themeColor="background1"/>
                <w:sz w:val="22"/>
                <w:szCs w:val="22"/>
              </w:rPr>
              <w:t>2024</w:t>
            </w:r>
          </w:p>
        </w:tc>
        <w:tc>
          <w:tcPr>
            <w:tcW w:w="706" w:type="dxa"/>
            <w:shd w:val="clear" w:color="auto" w:fill="005D7E"/>
            <w:vAlign w:val="center"/>
          </w:tcPr>
          <w:p w14:paraId="51779FA6" w14:textId="77777777" w:rsidR="00B227D4" w:rsidRPr="001C28B8" w:rsidRDefault="00B227D4" w:rsidP="009202EE">
            <w:pPr>
              <w:tabs>
                <w:tab w:val="num" w:pos="1260"/>
              </w:tabs>
              <w:jc w:val="center"/>
              <w:rPr>
                <w:rFonts w:ascii="Trebuchet MS" w:hAnsi="Trebuchet MS"/>
                <w:color w:val="FFFFFF" w:themeColor="background1"/>
                <w:sz w:val="22"/>
                <w:szCs w:val="22"/>
              </w:rPr>
            </w:pPr>
            <w:r>
              <w:rPr>
                <w:rFonts w:ascii="Trebuchet MS" w:hAnsi="Trebuchet MS"/>
                <w:color w:val="FFFFFF" w:themeColor="background1"/>
                <w:sz w:val="22"/>
                <w:szCs w:val="22"/>
              </w:rPr>
              <w:t>2025</w:t>
            </w:r>
          </w:p>
        </w:tc>
        <w:tc>
          <w:tcPr>
            <w:tcW w:w="706" w:type="dxa"/>
            <w:shd w:val="clear" w:color="auto" w:fill="005D7E"/>
            <w:vAlign w:val="center"/>
          </w:tcPr>
          <w:p w14:paraId="75347221" w14:textId="77777777" w:rsidR="00B227D4" w:rsidRPr="001C28B8" w:rsidRDefault="00B227D4" w:rsidP="009202EE">
            <w:pPr>
              <w:tabs>
                <w:tab w:val="num" w:pos="1260"/>
              </w:tabs>
              <w:jc w:val="center"/>
              <w:rPr>
                <w:rFonts w:ascii="Trebuchet MS" w:hAnsi="Trebuchet MS"/>
                <w:color w:val="FFFFFF" w:themeColor="background1"/>
                <w:sz w:val="22"/>
                <w:szCs w:val="22"/>
              </w:rPr>
            </w:pPr>
            <w:r w:rsidRPr="001C28B8">
              <w:rPr>
                <w:rFonts w:ascii="Trebuchet MS" w:hAnsi="Trebuchet MS"/>
                <w:color w:val="FFFFFF" w:themeColor="background1"/>
                <w:sz w:val="22"/>
                <w:szCs w:val="22"/>
              </w:rPr>
              <w:t>2026</w:t>
            </w:r>
          </w:p>
        </w:tc>
        <w:tc>
          <w:tcPr>
            <w:tcW w:w="706" w:type="dxa"/>
            <w:shd w:val="clear" w:color="auto" w:fill="005D7E"/>
            <w:vAlign w:val="center"/>
          </w:tcPr>
          <w:p w14:paraId="780B4496" w14:textId="77777777" w:rsidR="00B227D4" w:rsidRPr="001C28B8" w:rsidRDefault="00B227D4" w:rsidP="009202EE">
            <w:pPr>
              <w:tabs>
                <w:tab w:val="num" w:pos="1260"/>
              </w:tabs>
              <w:jc w:val="center"/>
              <w:rPr>
                <w:rFonts w:ascii="Trebuchet MS" w:hAnsi="Trebuchet MS"/>
                <w:color w:val="FFFFFF" w:themeColor="background1"/>
                <w:sz w:val="22"/>
                <w:szCs w:val="22"/>
              </w:rPr>
            </w:pPr>
            <w:r>
              <w:rPr>
                <w:rFonts w:ascii="Trebuchet MS" w:hAnsi="Trebuchet MS"/>
                <w:color w:val="FFFFFF" w:themeColor="background1"/>
                <w:sz w:val="22"/>
                <w:szCs w:val="22"/>
              </w:rPr>
              <w:t>2027</w:t>
            </w:r>
          </w:p>
        </w:tc>
        <w:tc>
          <w:tcPr>
            <w:tcW w:w="1419" w:type="dxa"/>
            <w:shd w:val="clear" w:color="auto" w:fill="005D7E"/>
            <w:vAlign w:val="center"/>
          </w:tcPr>
          <w:p w14:paraId="63531E35" w14:textId="77777777" w:rsidR="00B227D4" w:rsidRPr="001C28B8" w:rsidRDefault="00B227D4" w:rsidP="009202EE">
            <w:pPr>
              <w:tabs>
                <w:tab w:val="num" w:pos="1260"/>
              </w:tabs>
              <w:jc w:val="center"/>
              <w:rPr>
                <w:rFonts w:ascii="Trebuchet MS" w:hAnsi="Trebuchet MS"/>
                <w:color w:val="FFFFFF" w:themeColor="background1"/>
                <w:sz w:val="22"/>
                <w:szCs w:val="22"/>
              </w:rPr>
            </w:pPr>
            <w:r w:rsidRPr="001C28B8">
              <w:rPr>
                <w:rFonts w:ascii="Trebuchet MS" w:hAnsi="Trebuchet MS"/>
                <w:color w:val="FFFFFF" w:themeColor="background1"/>
                <w:sz w:val="22"/>
                <w:szCs w:val="22"/>
              </w:rPr>
              <w:t xml:space="preserve">CAGR </w:t>
            </w:r>
          </w:p>
          <w:p w14:paraId="06BAD0DE" w14:textId="77777777" w:rsidR="00B227D4" w:rsidRPr="001C28B8" w:rsidRDefault="00B227D4" w:rsidP="009202EE">
            <w:pPr>
              <w:pStyle w:val="VBABODY"/>
              <w:keepNext/>
              <w:spacing w:after="0" w:line="240" w:lineRule="auto"/>
              <w:jc w:val="center"/>
              <w:rPr>
                <w:color w:val="FFFFFF" w:themeColor="background1"/>
                <w:sz w:val="22"/>
                <w:szCs w:val="22"/>
              </w:rPr>
            </w:pPr>
            <w:r w:rsidRPr="001C28B8">
              <w:rPr>
                <w:color w:val="FFFFFF" w:themeColor="background1"/>
                <w:sz w:val="22"/>
                <w:szCs w:val="22"/>
              </w:rPr>
              <w:t>(201</w:t>
            </w:r>
            <w:r>
              <w:rPr>
                <w:color w:val="FFFFFF" w:themeColor="background1"/>
                <w:sz w:val="22"/>
                <w:szCs w:val="22"/>
              </w:rPr>
              <w:t>7</w:t>
            </w:r>
            <w:r w:rsidRPr="001C28B8">
              <w:rPr>
                <w:color w:val="FFFFFF" w:themeColor="background1"/>
                <w:sz w:val="22"/>
                <w:szCs w:val="22"/>
              </w:rPr>
              <w:t xml:space="preserve"> – 2021)</w:t>
            </w:r>
          </w:p>
        </w:tc>
        <w:tc>
          <w:tcPr>
            <w:tcW w:w="1800" w:type="dxa"/>
            <w:shd w:val="clear" w:color="auto" w:fill="005D7E"/>
            <w:tcMar>
              <w:left w:w="72" w:type="dxa"/>
              <w:right w:w="72" w:type="dxa"/>
            </w:tcMar>
            <w:vAlign w:val="center"/>
          </w:tcPr>
          <w:p w14:paraId="47EB808E" w14:textId="77777777" w:rsidR="00B227D4" w:rsidRPr="001C28B8" w:rsidRDefault="00B227D4" w:rsidP="009202EE">
            <w:pPr>
              <w:pStyle w:val="VBABODY"/>
              <w:keepNext/>
              <w:spacing w:after="0" w:line="240" w:lineRule="auto"/>
              <w:jc w:val="center"/>
              <w:rPr>
                <w:color w:val="FFFFFF" w:themeColor="background1"/>
                <w:sz w:val="22"/>
                <w:szCs w:val="22"/>
              </w:rPr>
            </w:pPr>
            <w:r w:rsidRPr="001C28B8">
              <w:rPr>
                <w:color w:val="FFFFFF" w:themeColor="background1"/>
                <w:sz w:val="22"/>
                <w:szCs w:val="22"/>
              </w:rPr>
              <w:t xml:space="preserve">Annual Growth Range </w:t>
            </w:r>
          </w:p>
          <w:p w14:paraId="30AFB25C" w14:textId="77777777" w:rsidR="00B227D4" w:rsidRPr="001C28B8" w:rsidRDefault="00B227D4" w:rsidP="009202EE">
            <w:pPr>
              <w:pStyle w:val="VBABODY"/>
              <w:keepNext/>
              <w:spacing w:after="0" w:line="240" w:lineRule="auto"/>
              <w:jc w:val="center"/>
              <w:rPr>
                <w:color w:val="FFFFFF" w:themeColor="background1"/>
                <w:sz w:val="22"/>
                <w:szCs w:val="22"/>
              </w:rPr>
            </w:pPr>
            <w:r w:rsidRPr="001C28B8">
              <w:rPr>
                <w:color w:val="FFFFFF" w:themeColor="background1"/>
                <w:sz w:val="22"/>
                <w:szCs w:val="22"/>
              </w:rPr>
              <w:t>(201</w:t>
            </w:r>
            <w:r>
              <w:rPr>
                <w:color w:val="FFFFFF" w:themeColor="background1"/>
                <w:sz w:val="22"/>
                <w:szCs w:val="22"/>
              </w:rPr>
              <w:t>8</w:t>
            </w:r>
            <w:r w:rsidRPr="001C28B8">
              <w:rPr>
                <w:color w:val="FFFFFF" w:themeColor="background1"/>
                <w:sz w:val="22"/>
                <w:szCs w:val="22"/>
              </w:rPr>
              <w:t xml:space="preserve"> – 2021)</w:t>
            </w:r>
          </w:p>
        </w:tc>
      </w:tr>
      <w:tr w:rsidR="00B227D4" w:rsidRPr="002E63C8" w14:paraId="19B3D807" w14:textId="77777777" w:rsidTr="009202EE">
        <w:trPr>
          <w:cantSplit/>
          <w:trHeight w:val="361"/>
          <w:jc w:val="center"/>
        </w:trPr>
        <w:tc>
          <w:tcPr>
            <w:tcW w:w="1138" w:type="dxa"/>
            <w:vAlign w:val="center"/>
          </w:tcPr>
          <w:p w14:paraId="25643FBF" w14:textId="513D3BBF" w:rsidR="00B227D4" w:rsidRPr="001C28B8" w:rsidRDefault="00B227D4" w:rsidP="009202EE">
            <w:pPr>
              <w:keepNext/>
              <w:jc w:val="center"/>
              <w:rPr>
                <w:rFonts w:ascii="Trebuchet MS" w:hAnsi="Trebuchet MS" w:cs="Arial"/>
                <w:kern w:val="24"/>
                <w:sz w:val="22"/>
                <w:szCs w:val="22"/>
              </w:rPr>
            </w:pPr>
            <w:r>
              <w:rPr>
                <w:rFonts w:ascii="Trebuchet MS" w:hAnsi="Trebuchet MS"/>
                <w:sz w:val="22"/>
                <w:szCs w:val="22"/>
              </w:rPr>
              <w:t xml:space="preserve">Total </w:t>
            </w:r>
            <w:r w:rsidRPr="001C28B8">
              <w:rPr>
                <w:rFonts w:ascii="Trebuchet MS" w:hAnsi="Trebuchet MS"/>
                <w:sz w:val="22"/>
                <w:szCs w:val="22"/>
              </w:rPr>
              <w:t xml:space="preserve">Operating </w:t>
            </w:r>
            <w:r>
              <w:rPr>
                <w:rFonts w:ascii="Trebuchet MS" w:hAnsi="Trebuchet MS"/>
                <w:sz w:val="22"/>
                <w:szCs w:val="22"/>
              </w:rPr>
              <w:t>Expense</w:t>
            </w:r>
            <w:r w:rsidRPr="001C28B8">
              <w:rPr>
                <w:rFonts w:ascii="Trebuchet MS" w:hAnsi="Trebuchet MS"/>
                <w:sz w:val="22"/>
                <w:szCs w:val="22"/>
              </w:rPr>
              <w:t xml:space="preserve"> Projection</w:t>
            </w:r>
          </w:p>
        </w:tc>
        <w:tc>
          <w:tcPr>
            <w:tcW w:w="42" w:type="dxa"/>
          </w:tcPr>
          <w:p w14:paraId="11EE588F" w14:textId="77777777" w:rsidR="00B227D4" w:rsidRPr="001C28B8" w:rsidRDefault="00B227D4" w:rsidP="009202EE">
            <w:pPr>
              <w:keepNext/>
              <w:rPr>
                <w:rFonts w:ascii="Trebuchet MS" w:hAnsi="Trebuchet MS" w:cs="Arial"/>
                <w:kern w:val="24"/>
                <w:sz w:val="22"/>
                <w:szCs w:val="22"/>
              </w:rPr>
            </w:pPr>
          </w:p>
        </w:tc>
        <w:tc>
          <w:tcPr>
            <w:tcW w:w="706" w:type="dxa"/>
            <w:vAlign w:val="center"/>
          </w:tcPr>
          <w:p w14:paraId="7FC81513" w14:textId="63FE1184" w:rsidR="00B227D4" w:rsidRPr="001C28B8" w:rsidRDefault="004601DA" w:rsidP="009202EE">
            <w:pPr>
              <w:keepNext/>
              <w:jc w:val="center"/>
              <w:rPr>
                <w:rFonts w:ascii="Trebuchet MS" w:hAnsi="Trebuchet MS"/>
                <w:sz w:val="22"/>
                <w:szCs w:val="22"/>
              </w:rPr>
            </w:pPr>
            <w:r>
              <w:rPr>
                <w:rFonts w:ascii="Trebuchet MS" w:hAnsi="Trebuchet MS"/>
                <w:sz w:val="22"/>
                <w:szCs w:val="22"/>
              </w:rPr>
              <w:t>9.0</w:t>
            </w:r>
            <w:r w:rsidR="00B227D4">
              <w:rPr>
                <w:rFonts w:ascii="Trebuchet MS" w:hAnsi="Trebuchet MS"/>
                <w:sz w:val="22"/>
                <w:szCs w:val="22"/>
              </w:rPr>
              <w:t>%</w:t>
            </w:r>
          </w:p>
        </w:tc>
        <w:tc>
          <w:tcPr>
            <w:tcW w:w="706" w:type="dxa"/>
            <w:vAlign w:val="center"/>
          </w:tcPr>
          <w:p w14:paraId="39DD83C5" w14:textId="18B13D92" w:rsidR="00B227D4" w:rsidRPr="001C28B8" w:rsidRDefault="004601DA" w:rsidP="009202EE">
            <w:pPr>
              <w:keepNext/>
              <w:jc w:val="center"/>
              <w:rPr>
                <w:rFonts w:ascii="Trebuchet MS" w:hAnsi="Trebuchet MS"/>
                <w:sz w:val="22"/>
                <w:szCs w:val="22"/>
              </w:rPr>
            </w:pPr>
            <w:r>
              <w:rPr>
                <w:rFonts w:ascii="Trebuchet MS" w:hAnsi="Trebuchet MS"/>
                <w:sz w:val="22"/>
                <w:szCs w:val="22"/>
              </w:rPr>
              <w:t>3.7</w:t>
            </w:r>
            <w:r w:rsidR="00B227D4" w:rsidRPr="001C28B8">
              <w:rPr>
                <w:rFonts w:ascii="Trebuchet MS" w:hAnsi="Trebuchet MS"/>
                <w:sz w:val="22"/>
                <w:szCs w:val="22"/>
              </w:rPr>
              <w:t>%</w:t>
            </w:r>
          </w:p>
        </w:tc>
        <w:tc>
          <w:tcPr>
            <w:tcW w:w="711" w:type="dxa"/>
            <w:vAlign w:val="center"/>
          </w:tcPr>
          <w:p w14:paraId="0214FECD" w14:textId="714388D1" w:rsidR="00B227D4" w:rsidRPr="001C28B8" w:rsidRDefault="004601DA" w:rsidP="009202EE">
            <w:pPr>
              <w:keepNext/>
              <w:jc w:val="center"/>
              <w:rPr>
                <w:rFonts w:ascii="Trebuchet MS" w:hAnsi="Trebuchet MS" w:cs="Arial"/>
                <w:kern w:val="24"/>
                <w:sz w:val="22"/>
                <w:szCs w:val="22"/>
              </w:rPr>
            </w:pPr>
            <w:r>
              <w:rPr>
                <w:rFonts w:ascii="Trebuchet MS" w:hAnsi="Trebuchet MS" w:cs="Arial"/>
                <w:kern w:val="24"/>
                <w:sz w:val="22"/>
                <w:szCs w:val="22"/>
              </w:rPr>
              <w:t>1.1</w:t>
            </w:r>
            <w:r w:rsidR="00B227D4">
              <w:rPr>
                <w:rFonts w:ascii="Trebuchet MS" w:hAnsi="Trebuchet MS" w:cs="Arial"/>
                <w:kern w:val="24"/>
                <w:sz w:val="22"/>
                <w:szCs w:val="22"/>
              </w:rPr>
              <w:t>%</w:t>
            </w:r>
          </w:p>
        </w:tc>
        <w:tc>
          <w:tcPr>
            <w:tcW w:w="706" w:type="dxa"/>
            <w:vAlign w:val="center"/>
          </w:tcPr>
          <w:p w14:paraId="7A7FB6F7" w14:textId="4F58E914" w:rsidR="00B227D4" w:rsidRPr="001C28B8" w:rsidRDefault="004601DA" w:rsidP="009202EE">
            <w:pPr>
              <w:keepNext/>
              <w:jc w:val="center"/>
              <w:rPr>
                <w:rFonts w:ascii="Trebuchet MS" w:hAnsi="Trebuchet MS" w:cs="Arial"/>
                <w:kern w:val="24"/>
                <w:sz w:val="22"/>
                <w:szCs w:val="22"/>
              </w:rPr>
            </w:pPr>
            <w:r>
              <w:rPr>
                <w:rFonts w:ascii="Trebuchet MS" w:hAnsi="Trebuchet MS" w:cs="Arial"/>
                <w:kern w:val="24"/>
                <w:sz w:val="22"/>
                <w:szCs w:val="22"/>
              </w:rPr>
              <w:t>1.8</w:t>
            </w:r>
            <w:r w:rsidR="00B227D4">
              <w:rPr>
                <w:rFonts w:ascii="Trebuchet MS" w:hAnsi="Trebuchet MS" w:cs="Arial"/>
                <w:kern w:val="24"/>
                <w:sz w:val="22"/>
                <w:szCs w:val="22"/>
              </w:rPr>
              <w:t>%</w:t>
            </w:r>
          </w:p>
        </w:tc>
        <w:tc>
          <w:tcPr>
            <w:tcW w:w="706" w:type="dxa"/>
            <w:shd w:val="clear" w:color="auto" w:fill="auto"/>
            <w:tcMar>
              <w:left w:w="72" w:type="dxa"/>
              <w:right w:w="72" w:type="dxa"/>
            </w:tcMar>
            <w:vAlign w:val="center"/>
          </w:tcPr>
          <w:p w14:paraId="109B204A" w14:textId="406EAB3D" w:rsidR="00B227D4" w:rsidRPr="001C28B8" w:rsidRDefault="004601DA" w:rsidP="009202EE">
            <w:pPr>
              <w:keepNext/>
              <w:jc w:val="center"/>
              <w:rPr>
                <w:rFonts w:ascii="Trebuchet MS" w:hAnsi="Trebuchet MS" w:cs="Arial"/>
                <w:kern w:val="24"/>
                <w:sz w:val="22"/>
                <w:szCs w:val="22"/>
              </w:rPr>
            </w:pPr>
            <w:r>
              <w:rPr>
                <w:rFonts w:ascii="Trebuchet MS" w:hAnsi="Trebuchet MS" w:cs="Arial"/>
                <w:kern w:val="24"/>
                <w:sz w:val="22"/>
                <w:szCs w:val="22"/>
              </w:rPr>
              <w:t>1.6</w:t>
            </w:r>
            <w:r w:rsidR="00B227D4">
              <w:rPr>
                <w:rFonts w:ascii="Trebuchet MS" w:hAnsi="Trebuchet MS" w:cs="Arial"/>
                <w:kern w:val="24"/>
                <w:sz w:val="22"/>
                <w:szCs w:val="22"/>
              </w:rPr>
              <w:t>%</w:t>
            </w:r>
          </w:p>
        </w:tc>
        <w:tc>
          <w:tcPr>
            <w:tcW w:w="706" w:type="dxa"/>
            <w:vAlign w:val="center"/>
          </w:tcPr>
          <w:p w14:paraId="2A327959" w14:textId="2AE581AE" w:rsidR="00B227D4" w:rsidRPr="001C28B8" w:rsidRDefault="004601DA" w:rsidP="009202EE">
            <w:pPr>
              <w:keepNext/>
              <w:jc w:val="center"/>
              <w:rPr>
                <w:rFonts w:ascii="Trebuchet MS" w:hAnsi="Trebuchet MS"/>
                <w:sz w:val="22"/>
                <w:szCs w:val="22"/>
              </w:rPr>
            </w:pPr>
            <w:r>
              <w:rPr>
                <w:rFonts w:ascii="Trebuchet MS" w:hAnsi="Trebuchet MS"/>
                <w:sz w:val="22"/>
                <w:szCs w:val="22"/>
              </w:rPr>
              <w:t>1.6</w:t>
            </w:r>
            <w:r w:rsidR="00B227D4">
              <w:rPr>
                <w:rFonts w:ascii="Trebuchet MS" w:hAnsi="Trebuchet MS"/>
                <w:sz w:val="22"/>
                <w:szCs w:val="22"/>
              </w:rPr>
              <w:t>%</w:t>
            </w:r>
          </w:p>
        </w:tc>
        <w:tc>
          <w:tcPr>
            <w:tcW w:w="1419" w:type="dxa"/>
            <w:vAlign w:val="center"/>
          </w:tcPr>
          <w:p w14:paraId="6D66033A" w14:textId="51864B97" w:rsidR="00B227D4" w:rsidRPr="001C28B8" w:rsidRDefault="004601DA" w:rsidP="009202EE">
            <w:pPr>
              <w:keepNext/>
              <w:jc w:val="center"/>
              <w:rPr>
                <w:rFonts w:ascii="Trebuchet MS" w:hAnsi="Trebuchet MS" w:cs="Arial"/>
                <w:b/>
                <w:kern w:val="24"/>
                <w:sz w:val="22"/>
                <w:szCs w:val="22"/>
              </w:rPr>
            </w:pPr>
            <w:r>
              <w:rPr>
                <w:rFonts w:ascii="Trebuchet MS" w:hAnsi="Trebuchet MS"/>
                <w:sz w:val="22"/>
                <w:szCs w:val="22"/>
              </w:rPr>
              <w:t>7.1</w:t>
            </w:r>
            <w:r w:rsidR="00B227D4" w:rsidRPr="001C28B8">
              <w:rPr>
                <w:rFonts w:ascii="Trebuchet MS" w:hAnsi="Trebuchet MS"/>
                <w:sz w:val="22"/>
                <w:szCs w:val="22"/>
              </w:rPr>
              <w:t>%</w:t>
            </w:r>
          </w:p>
        </w:tc>
        <w:tc>
          <w:tcPr>
            <w:tcW w:w="1800" w:type="dxa"/>
            <w:vAlign w:val="center"/>
          </w:tcPr>
          <w:p w14:paraId="7D96B53D" w14:textId="1A89DD93" w:rsidR="00B227D4" w:rsidRPr="001C28B8" w:rsidRDefault="004601DA" w:rsidP="009202EE">
            <w:pPr>
              <w:keepNext/>
              <w:jc w:val="center"/>
              <w:rPr>
                <w:rFonts w:ascii="Trebuchet MS" w:hAnsi="Trebuchet MS" w:cs="Arial"/>
                <w:b/>
                <w:kern w:val="24"/>
                <w:sz w:val="22"/>
                <w:szCs w:val="22"/>
              </w:rPr>
            </w:pPr>
            <w:r>
              <w:rPr>
                <w:rFonts w:ascii="Trebuchet MS" w:hAnsi="Trebuchet MS"/>
                <w:sz w:val="22"/>
                <w:szCs w:val="22"/>
              </w:rPr>
              <w:t>5.5</w:t>
            </w:r>
            <w:r w:rsidR="00B227D4" w:rsidRPr="001C28B8">
              <w:rPr>
                <w:rFonts w:ascii="Trebuchet MS" w:hAnsi="Trebuchet MS"/>
                <w:sz w:val="22"/>
                <w:szCs w:val="22"/>
              </w:rPr>
              <w:t xml:space="preserve">% - </w:t>
            </w:r>
            <w:r>
              <w:rPr>
                <w:rFonts w:ascii="Trebuchet MS" w:hAnsi="Trebuchet MS"/>
                <w:sz w:val="22"/>
                <w:szCs w:val="22"/>
              </w:rPr>
              <w:t>9.1</w:t>
            </w:r>
            <w:r w:rsidR="00B227D4" w:rsidRPr="001C28B8">
              <w:rPr>
                <w:rFonts w:ascii="Trebuchet MS" w:hAnsi="Trebuchet MS"/>
                <w:sz w:val="22"/>
                <w:szCs w:val="22"/>
              </w:rPr>
              <w:t>%</w:t>
            </w:r>
          </w:p>
        </w:tc>
      </w:tr>
    </w:tbl>
    <w:p w14:paraId="63028AE6" w14:textId="77777777" w:rsidR="002203F0" w:rsidRPr="001C59DB" w:rsidRDefault="002203F0" w:rsidP="006A4543">
      <w:pPr>
        <w:spacing w:line="480" w:lineRule="auto"/>
        <w:jc w:val="both"/>
        <w:rPr>
          <w:rFonts w:ascii="Trebuchet MS" w:hAnsi="Trebuchet MS"/>
          <w:sz w:val="22"/>
          <w:szCs w:val="22"/>
        </w:rPr>
      </w:pPr>
    </w:p>
    <w:p w14:paraId="5CB356DD" w14:textId="458D946D" w:rsidR="00650EEA" w:rsidRPr="001C59DB" w:rsidRDefault="006C0F17">
      <w:pPr>
        <w:spacing w:line="480" w:lineRule="auto"/>
        <w:jc w:val="both"/>
        <w:rPr>
          <w:rFonts w:ascii="Trebuchet MS" w:hAnsi="Trebuchet MS"/>
          <w:sz w:val="22"/>
          <w:szCs w:val="22"/>
        </w:rPr>
      </w:pPr>
      <w:r w:rsidRPr="001C59DB">
        <w:rPr>
          <w:rFonts w:ascii="Trebuchet MS" w:hAnsi="Trebuchet MS"/>
          <w:sz w:val="22"/>
          <w:szCs w:val="22"/>
        </w:rPr>
        <w:t xml:space="preserve">Incremental </w:t>
      </w:r>
      <w:r w:rsidR="00650EEA" w:rsidRPr="001C59DB">
        <w:rPr>
          <w:rFonts w:ascii="Trebuchet MS" w:hAnsi="Trebuchet MS"/>
          <w:sz w:val="22"/>
          <w:szCs w:val="22"/>
        </w:rPr>
        <w:t>expenses</w:t>
      </w:r>
      <w:r w:rsidRPr="001C59DB">
        <w:rPr>
          <w:rFonts w:ascii="Trebuchet MS" w:hAnsi="Trebuchet MS"/>
          <w:sz w:val="22"/>
          <w:szCs w:val="22"/>
        </w:rPr>
        <w:t xml:space="preserve"> related to the Proposed Project include salary and wages, supplies, purchased services, rental expense, and other expenses. Total expenses increase from $641.0 thousand in year one to $1.2 million </w:t>
      </w:r>
      <w:r w:rsidR="001C59DB" w:rsidRPr="001C59DB">
        <w:rPr>
          <w:rFonts w:ascii="Trebuchet MS" w:hAnsi="Trebuchet MS"/>
          <w:sz w:val="22"/>
          <w:szCs w:val="22"/>
        </w:rPr>
        <w:t xml:space="preserve">in year 5. </w:t>
      </w:r>
    </w:p>
    <w:p w14:paraId="4C24DD7E" w14:textId="77777777" w:rsidR="00650EEA" w:rsidRPr="001C59DB" w:rsidRDefault="00650EEA">
      <w:pPr>
        <w:spacing w:line="480" w:lineRule="auto"/>
        <w:jc w:val="both"/>
        <w:rPr>
          <w:rFonts w:ascii="Trebuchet MS" w:hAnsi="Trebuchet MS"/>
          <w:sz w:val="22"/>
          <w:szCs w:val="22"/>
        </w:rPr>
      </w:pPr>
    </w:p>
    <w:p w14:paraId="496777D2" w14:textId="0AF8278D" w:rsidR="009A2BEA" w:rsidRPr="001C59DB" w:rsidRDefault="00D3103D">
      <w:pPr>
        <w:tabs>
          <w:tab w:val="num" w:pos="1260"/>
        </w:tabs>
        <w:spacing w:line="480" w:lineRule="auto"/>
        <w:jc w:val="both"/>
        <w:rPr>
          <w:rFonts w:ascii="Trebuchet MS" w:hAnsi="Trebuchet MS"/>
          <w:sz w:val="22"/>
          <w:szCs w:val="22"/>
        </w:rPr>
      </w:pPr>
      <w:r w:rsidRPr="001C59DB">
        <w:rPr>
          <w:rFonts w:ascii="Trebuchet MS" w:hAnsi="Trebuchet MS"/>
          <w:sz w:val="22"/>
          <w:szCs w:val="22"/>
        </w:rPr>
        <w:t xml:space="preserve">Based upon the foregoing, it is our opinion that the operating expenses </w:t>
      </w:r>
      <w:r w:rsidR="007A6E86" w:rsidRPr="001C59DB">
        <w:rPr>
          <w:rFonts w:ascii="Trebuchet MS" w:hAnsi="Trebuchet MS"/>
          <w:sz w:val="22"/>
          <w:szCs w:val="22"/>
        </w:rPr>
        <w:t xml:space="preserve">within the Projections </w:t>
      </w:r>
      <w:r w:rsidRPr="001C59DB">
        <w:rPr>
          <w:rFonts w:ascii="Trebuchet MS" w:hAnsi="Trebuchet MS"/>
          <w:sz w:val="22"/>
          <w:szCs w:val="22"/>
        </w:rPr>
        <w:t xml:space="preserve">reflect </w:t>
      </w:r>
      <w:r w:rsidR="004C3EB3">
        <w:rPr>
          <w:rFonts w:ascii="Trebuchet MS" w:hAnsi="Trebuchet MS"/>
          <w:sz w:val="22"/>
          <w:szCs w:val="22"/>
        </w:rPr>
        <w:t xml:space="preserve">a </w:t>
      </w:r>
      <w:r w:rsidRPr="001C59DB">
        <w:rPr>
          <w:rFonts w:ascii="Trebuchet MS" w:hAnsi="Trebuchet MS"/>
          <w:sz w:val="22"/>
          <w:szCs w:val="22"/>
        </w:rPr>
        <w:t xml:space="preserve">reasonable estimation of future expenses of </w:t>
      </w:r>
      <w:r w:rsidR="007A6E86" w:rsidRPr="001C59DB">
        <w:rPr>
          <w:rFonts w:ascii="Trebuchet MS" w:hAnsi="Trebuchet MS"/>
          <w:sz w:val="22"/>
          <w:szCs w:val="22"/>
        </w:rPr>
        <w:t>the Applicant</w:t>
      </w:r>
      <w:r w:rsidRPr="001C59DB">
        <w:rPr>
          <w:rFonts w:ascii="Trebuchet MS" w:hAnsi="Trebuchet MS"/>
          <w:sz w:val="22"/>
          <w:szCs w:val="22"/>
        </w:rPr>
        <w:t>.</w:t>
      </w:r>
      <w:r w:rsidR="005F18CB" w:rsidRPr="001C59DB">
        <w:rPr>
          <w:rFonts w:ascii="Trebuchet MS" w:hAnsi="Trebuchet MS"/>
          <w:sz w:val="22"/>
          <w:szCs w:val="22"/>
        </w:rPr>
        <w:t xml:space="preserve"> We note that the projected total expenses </w:t>
      </w:r>
      <w:r w:rsidR="001D1DA0" w:rsidRPr="001C59DB">
        <w:rPr>
          <w:rFonts w:ascii="Trebuchet MS" w:hAnsi="Trebuchet MS"/>
          <w:sz w:val="22"/>
          <w:szCs w:val="22"/>
        </w:rPr>
        <w:t>as</w:t>
      </w:r>
      <w:r w:rsidR="005F18CB" w:rsidRPr="001C59DB">
        <w:rPr>
          <w:rFonts w:ascii="Trebuchet MS" w:hAnsi="Trebuchet MS"/>
          <w:sz w:val="22"/>
          <w:szCs w:val="22"/>
        </w:rPr>
        <w:t xml:space="preserve"> a percent</w:t>
      </w:r>
      <w:r w:rsidR="001D1DA0" w:rsidRPr="001C59DB">
        <w:rPr>
          <w:rFonts w:ascii="Trebuchet MS" w:hAnsi="Trebuchet MS"/>
          <w:sz w:val="22"/>
          <w:szCs w:val="22"/>
        </w:rPr>
        <w:t>age</w:t>
      </w:r>
      <w:r w:rsidR="005F18CB" w:rsidRPr="001C59DB">
        <w:rPr>
          <w:rFonts w:ascii="Trebuchet MS" w:hAnsi="Trebuchet MS"/>
          <w:sz w:val="22"/>
          <w:szCs w:val="22"/>
        </w:rPr>
        <w:t xml:space="preserve"> of total revenue range from </w:t>
      </w:r>
      <w:r w:rsidR="001C59DB" w:rsidRPr="001C59DB">
        <w:rPr>
          <w:rFonts w:ascii="Trebuchet MS" w:hAnsi="Trebuchet MS"/>
          <w:sz w:val="22"/>
          <w:szCs w:val="22"/>
        </w:rPr>
        <w:t>100</w:t>
      </w:r>
      <w:r w:rsidR="008F5352" w:rsidRPr="001C59DB">
        <w:rPr>
          <w:rFonts w:ascii="Trebuchet MS" w:hAnsi="Trebuchet MS"/>
          <w:sz w:val="22"/>
          <w:szCs w:val="22"/>
        </w:rPr>
        <w:t>.</w:t>
      </w:r>
      <w:r w:rsidR="00DE491C" w:rsidRPr="001C59DB">
        <w:rPr>
          <w:rFonts w:ascii="Trebuchet MS" w:hAnsi="Trebuchet MS"/>
          <w:sz w:val="22"/>
          <w:szCs w:val="22"/>
        </w:rPr>
        <w:t>5</w:t>
      </w:r>
      <w:r w:rsidR="005F18CB" w:rsidRPr="001C59DB">
        <w:rPr>
          <w:rFonts w:ascii="Trebuchet MS" w:hAnsi="Trebuchet MS"/>
          <w:sz w:val="22"/>
          <w:szCs w:val="22"/>
        </w:rPr>
        <w:t xml:space="preserve"> to </w:t>
      </w:r>
      <w:r w:rsidR="001C59DB" w:rsidRPr="001C59DB">
        <w:rPr>
          <w:rFonts w:ascii="Trebuchet MS" w:hAnsi="Trebuchet MS"/>
          <w:sz w:val="22"/>
          <w:szCs w:val="22"/>
        </w:rPr>
        <w:t>106.0</w:t>
      </w:r>
      <w:r w:rsidR="005F18CB" w:rsidRPr="001C59DB">
        <w:rPr>
          <w:rFonts w:ascii="Trebuchet MS" w:hAnsi="Trebuchet MS"/>
          <w:sz w:val="22"/>
          <w:szCs w:val="22"/>
        </w:rPr>
        <w:t xml:space="preserve"> percent </w:t>
      </w:r>
      <w:r w:rsidR="005F18CB" w:rsidRPr="001C59DB">
        <w:rPr>
          <w:rFonts w:ascii="Trebuchet MS" w:hAnsi="Trebuchet MS"/>
          <w:sz w:val="22"/>
          <w:szCs w:val="22"/>
        </w:rPr>
        <w:lastRenderedPageBreak/>
        <w:t>from FY 202</w:t>
      </w:r>
      <w:r w:rsidR="008F5352" w:rsidRPr="001C59DB">
        <w:rPr>
          <w:rFonts w:ascii="Trebuchet MS" w:hAnsi="Trebuchet MS"/>
          <w:sz w:val="22"/>
          <w:szCs w:val="22"/>
        </w:rPr>
        <w:t>2</w:t>
      </w:r>
      <w:r w:rsidR="005F18CB" w:rsidRPr="001C59DB">
        <w:rPr>
          <w:rFonts w:ascii="Trebuchet MS" w:hAnsi="Trebuchet MS"/>
          <w:sz w:val="22"/>
          <w:szCs w:val="22"/>
        </w:rPr>
        <w:t xml:space="preserve"> to FY 202</w:t>
      </w:r>
      <w:r w:rsidR="001C59DB" w:rsidRPr="001C59DB">
        <w:rPr>
          <w:rFonts w:ascii="Trebuchet MS" w:hAnsi="Trebuchet MS"/>
          <w:sz w:val="22"/>
          <w:szCs w:val="22"/>
        </w:rPr>
        <w:t>7</w:t>
      </w:r>
      <w:r w:rsidR="005F18CB" w:rsidRPr="001C59DB">
        <w:rPr>
          <w:rFonts w:ascii="Trebuchet MS" w:hAnsi="Trebuchet MS"/>
          <w:sz w:val="22"/>
          <w:szCs w:val="22"/>
        </w:rPr>
        <w:t xml:space="preserve">. We further note that this level of total expenses is consistent with </w:t>
      </w:r>
      <w:r w:rsidR="00F940AF" w:rsidRPr="001C59DB">
        <w:rPr>
          <w:rFonts w:ascii="Trebuchet MS" w:hAnsi="Trebuchet MS"/>
          <w:sz w:val="22"/>
          <w:szCs w:val="22"/>
        </w:rPr>
        <w:t xml:space="preserve">the </w:t>
      </w:r>
      <w:r w:rsidR="005F18CB" w:rsidRPr="001C59DB">
        <w:rPr>
          <w:rFonts w:ascii="Trebuchet MS" w:hAnsi="Trebuchet MS"/>
          <w:sz w:val="22"/>
          <w:szCs w:val="22"/>
        </w:rPr>
        <w:t>historical total expenses as a percent</w:t>
      </w:r>
      <w:r w:rsidR="00F940AF" w:rsidRPr="001C59DB">
        <w:rPr>
          <w:rFonts w:ascii="Trebuchet MS" w:hAnsi="Trebuchet MS"/>
          <w:sz w:val="22"/>
          <w:szCs w:val="22"/>
        </w:rPr>
        <w:t>age</w:t>
      </w:r>
      <w:r w:rsidR="005F18CB" w:rsidRPr="001C59DB">
        <w:rPr>
          <w:rFonts w:ascii="Trebuchet MS" w:hAnsi="Trebuchet MS"/>
          <w:sz w:val="22"/>
          <w:szCs w:val="22"/>
        </w:rPr>
        <w:t xml:space="preserve"> of total revenue which ranged from </w:t>
      </w:r>
      <w:r w:rsidR="001C59DB" w:rsidRPr="001C59DB">
        <w:rPr>
          <w:rFonts w:ascii="Trebuchet MS" w:hAnsi="Trebuchet MS"/>
          <w:sz w:val="22"/>
          <w:szCs w:val="22"/>
        </w:rPr>
        <w:t>100.5</w:t>
      </w:r>
      <w:r w:rsidR="005F18CB" w:rsidRPr="001C59DB">
        <w:rPr>
          <w:rFonts w:ascii="Trebuchet MS" w:hAnsi="Trebuchet MS"/>
          <w:sz w:val="22"/>
          <w:szCs w:val="22"/>
        </w:rPr>
        <w:t xml:space="preserve"> percent </w:t>
      </w:r>
      <w:r w:rsidR="001C59DB" w:rsidRPr="001C59DB">
        <w:rPr>
          <w:rFonts w:ascii="Trebuchet MS" w:hAnsi="Trebuchet MS"/>
          <w:sz w:val="22"/>
          <w:szCs w:val="22"/>
        </w:rPr>
        <w:t xml:space="preserve">to 106.5 percent </w:t>
      </w:r>
      <w:r w:rsidR="005F18CB" w:rsidRPr="001C59DB">
        <w:rPr>
          <w:rFonts w:ascii="Trebuchet MS" w:hAnsi="Trebuchet MS"/>
          <w:sz w:val="22"/>
          <w:szCs w:val="22"/>
        </w:rPr>
        <w:t>from FY 201</w:t>
      </w:r>
      <w:r w:rsidR="001C59DB" w:rsidRPr="001C59DB">
        <w:rPr>
          <w:rFonts w:ascii="Trebuchet MS" w:hAnsi="Trebuchet MS"/>
          <w:sz w:val="22"/>
          <w:szCs w:val="22"/>
        </w:rPr>
        <w:t>7</w:t>
      </w:r>
      <w:r w:rsidR="005F18CB" w:rsidRPr="001C59DB">
        <w:rPr>
          <w:rFonts w:ascii="Trebuchet MS" w:hAnsi="Trebuchet MS"/>
          <w:sz w:val="22"/>
          <w:szCs w:val="22"/>
        </w:rPr>
        <w:t xml:space="preserve"> to FY 202</w:t>
      </w:r>
      <w:r w:rsidR="007D0A8D" w:rsidRPr="001C59DB">
        <w:rPr>
          <w:rFonts w:ascii="Trebuchet MS" w:hAnsi="Trebuchet MS"/>
          <w:sz w:val="22"/>
          <w:szCs w:val="22"/>
        </w:rPr>
        <w:t>1</w:t>
      </w:r>
      <w:r w:rsidR="005F18CB" w:rsidRPr="001C59DB">
        <w:rPr>
          <w:rFonts w:ascii="Trebuchet MS" w:hAnsi="Trebuchet MS"/>
          <w:sz w:val="22"/>
          <w:szCs w:val="22"/>
        </w:rPr>
        <w:t xml:space="preserve">. </w:t>
      </w:r>
    </w:p>
    <w:p w14:paraId="216C85B6" w14:textId="77777777" w:rsidR="00CE574D" w:rsidRPr="001C59DB" w:rsidRDefault="00CE574D">
      <w:pPr>
        <w:tabs>
          <w:tab w:val="num" w:pos="1260"/>
        </w:tabs>
        <w:spacing w:line="480" w:lineRule="auto"/>
        <w:jc w:val="both"/>
        <w:rPr>
          <w:rFonts w:ascii="Trebuchet MS" w:hAnsi="Trebuchet MS"/>
          <w:sz w:val="22"/>
          <w:szCs w:val="22"/>
        </w:rPr>
      </w:pPr>
    </w:p>
    <w:p w14:paraId="5B526976" w14:textId="77777777" w:rsidR="009A2BEA" w:rsidRPr="001C59DB" w:rsidRDefault="00D3103D">
      <w:pPr>
        <w:pStyle w:val="ListParagraph"/>
        <w:numPr>
          <w:ilvl w:val="0"/>
          <w:numId w:val="3"/>
        </w:numPr>
        <w:tabs>
          <w:tab w:val="num" w:pos="1260"/>
        </w:tabs>
        <w:spacing w:line="480" w:lineRule="auto"/>
        <w:jc w:val="both"/>
        <w:rPr>
          <w:rFonts w:ascii="Trebuchet MS" w:hAnsi="Trebuchet MS"/>
          <w:b/>
          <w:sz w:val="22"/>
          <w:szCs w:val="22"/>
        </w:rPr>
      </w:pPr>
      <w:r w:rsidRPr="001C59DB">
        <w:rPr>
          <w:rFonts w:ascii="Trebuchet MS" w:hAnsi="Trebuchet MS"/>
          <w:b/>
          <w:sz w:val="22"/>
          <w:szCs w:val="22"/>
        </w:rPr>
        <w:t xml:space="preserve">Capital Expenditures </w:t>
      </w:r>
      <w:r w:rsidR="0050325B" w:rsidRPr="001C59DB">
        <w:rPr>
          <w:rFonts w:ascii="Trebuchet MS" w:hAnsi="Trebuchet MS"/>
          <w:b/>
          <w:sz w:val="22"/>
          <w:szCs w:val="22"/>
        </w:rPr>
        <w:t>and Proposed Project Financing</w:t>
      </w:r>
    </w:p>
    <w:p w14:paraId="03A4C59D" w14:textId="77777777" w:rsidR="00FE2A0F" w:rsidRPr="009F1FDC" w:rsidRDefault="00FE2A0F" w:rsidP="00FE2A0F">
      <w:pPr>
        <w:pStyle w:val="ListParagraph"/>
        <w:spacing w:line="480" w:lineRule="auto"/>
        <w:ind w:left="360"/>
        <w:jc w:val="both"/>
        <w:rPr>
          <w:rFonts w:ascii="Trebuchet MS" w:hAnsi="Trebuchet MS"/>
          <w:b/>
          <w:sz w:val="22"/>
          <w:szCs w:val="22"/>
        </w:rPr>
      </w:pPr>
    </w:p>
    <w:p w14:paraId="633DC12B" w14:textId="1C7778A6" w:rsidR="006F5B44" w:rsidRPr="002E63C8" w:rsidRDefault="00955F03" w:rsidP="006F5B44">
      <w:pPr>
        <w:spacing w:line="480" w:lineRule="auto"/>
        <w:jc w:val="both"/>
        <w:rPr>
          <w:rFonts w:ascii="Trebuchet MS" w:hAnsi="Trebuchet MS"/>
          <w:sz w:val="22"/>
          <w:szCs w:val="22"/>
          <w:highlight w:val="yellow"/>
        </w:rPr>
      </w:pPr>
      <w:r w:rsidRPr="009F1FDC">
        <w:rPr>
          <w:rFonts w:ascii="Trebuchet MS" w:hAnsi="Trebuchet MS"/>
          <w:sz w:val="22"/>
          <w:szCs w:val="22"/>
        </w:rPr>
        <w:t xml:space="preserve">We reviewed the capital expenditures projected related to the Proposed Project. The </w:t>
      </w:r>
      <w:r w:rsidR="00D93E61">
        <w:rPr>
          <w:rFonts w:ascii="Trebuchet MS" w:hAnsi="Trebuchet MS"/>
          <w:sz w:val="22"/>
          <w:szCs w:val="22"/>
        </w:rPr>
        <w:t xml:space="preserve">maximum capital expenditures </w:t>
      </w:r>
      <w:r w:rsidRPr="009F1FDC">
        <w:rPr>
          <w:rFonts w:ascii="Trebuchet MS" w:hAnsi="Trebuchet MS"/>
          <w:sz w:val="22"/>
          <w:szCs w:val="22"/>
        </w:rPr>
        <w:t xml:space="preserve">related to the </w:t>
      </w:r>
      <w:r w:rsidR="00900B50">
        <w:rPr>
          <w:rFonts w:ascii="Trebuchet MS" w:hAnsi="Trebuchet MS"/>
          <w:sz w:val="22"/>
          <w:szCs w:val="22"/>
        </w:rPr>
        <w:t>PET-CT Services</w:t>
      </w:r>
      <w:r w:rsidR="001C59DB" w:rsidRPr="009F1FDC">
        <w:rPr>
          <w:rFonts w:ascii="Trebuchet MS" w:hAnsi="Trebuchet MS"/>
          <w:sz w:val="22"/>
          <w:szCs w:val="22"/>
        </w:rPr>
        <w:t xml:space="preserve"> </w:t>
      </w:r>
      <w:r w:rsidRPr="009F1FDC">
        <w:rPr>
          <w:rFonts w:ascii="Trebuchet MS" w:hAnsi="Trebuchet MS"/>
          <w:sz w:val="22"/>
          <w:szCs w:val="22"/>
        </w:rPr>
        <w:t xml:space="preserve">are </w:t>
      </w:r>
      <w:r w:rsidR="003C0C33" w:rsidRPr="009F1FDC">
        <w:rPr>
          <w:rFonts w:ascii="Trebuchet MS" w:hAnsi="Trebuchet MS"/>
          <w:sz w:val="22"/>
          <w:szCs w:val="22"/>
        </w:rPr>
        <w:t xml:space="preserve">expected to be </w:t>
      </w:r>
      <w:r w:rsidRPr="009F1FDC">
        <w:rPr>
          <w:rFonts w:ascii="Trebuchet MS" w:hAnsi="Trebuchet MS"/>
          <w:sz w:val="22"/>
          <w:szCs w:val="22"/>
        </w:rPr>
        <w:t>approximately $</w:t>
      </w:r>
      <w:r w:rsidR="009F1FDC" w:rsidRPr="009F1FDC">
        <w:rPr>
          <w:rFonts w:ascii="Trebuchet MS" w:hAnsi="Trebuchet MS"/>
          <w:sz w:val="22"/>
          <w:szCs w:val="22"/>
        </w:rPr>
        <w:t>480.0</w:t>
      </w:r>
      <w:r w:rsidRPr="009F1FDC">
        <w:rPr>
          <w:rFonts w:ascii="Trebuchet MS" w:hAnsi="Trebuchet MS"/>
          <w:sz w:val="22"/>
          <w:szCs w:val="22"/>
        </w:rPr>
        <w:t xml:space="preserve"> </w:t>
      </w:r>
      <w:r w:rsidR="009F1FDC" w:rsidRPr="009F1FDC">
        <w:rPr>
          <w:rFonts w:ascii="Trebuchet MS" w:hAnsi="Trebuchet MS"/>
          <w:sz w:val="22"/>
          <w:szCs w:val="22"/>
        </w:rPr>
        <w:t>thousand</w:t>
      </w:r>
      <w:r w:rsidR="004C6B3F" w:rsidRPr="009F1FDC">
        <w:rPr>
          <w:rFonts w:ascii="Trebuchet MS" w:hAnsi="Trebuchet MS"/>
          <w:sz w:val="22"/>
          <w:szCs w:val="22"/>
        </w:rPr>
        <w:t xml:space="preserve">. The expenditures for the </w:t>
      </w:r>
      <w:r w:rsidR="009F1FDC" w:rsidRPr="009F1FDC">
        <w:rPr>
          <w:rFonts w:ascii="Trebuchet MS" w:hAnsi="Trebuchet MS"/>
          <w:sz w:val="22"/>
          <w:szCs w:val="22"/>
        </w:rPr>
        <w:t xml:space="preserve">Proposed Project </w:t>
      </w:r>
      <w:r w:rsidR="00D93E61">
        <w:rPr>
          <w:rFonts w:ascii="Trebuchet MS" w:hAnsi="Trebuchet MS"/>
          <w:sz w:val="22"/>
          <w:szCs w:val="22"/>
        </w:rPr>
        <w:t xml:space="preserve">related to </w:t>
      </w:r>
      <w:r w:rsidR="009F1FDC" w:rsidRPr="009F1FDC">
        <w:rPr>
          <w:rFonts w:ascii="Trebuchet MS" w:hAnsi="Trebuchet MS"/>
          <w:sz w:val="22"/>
          <w:szCs w:val="22"/>
        </w:rPr>
        <w:t xml:space="preserve">the parking pad </w:t>
      </w:r>
      <w:r w:rsidR="009F1FDC" w:rsidRPr="00D93E61">
        <w:rPr>
          <w:rFonts w:ascii="Trebuchet MS" w:hAnsi="Trebuchet MS"/>
          <w:sz w:val="22"/>
          <w:szCs w:val="22"/>
        </w:rPr>
        <w:t xml:space="preserve">and weather protected covered connector </w:t>
      </w:r>
      <w:r w:rsidRPr="00D93E61">
        <w:rPr>
          <w:rFonts w:ascii="Trebuchet MS" w:hAnsi="Trebuchet MS"/>
          <w:sz w:val="22"/>
          <w:szCs w:val="22"/>
        </w:rPr>
        <w:t xml:space="preserve">are included within the Projections </w:t>
      </w:r>
      <w:r w:rsidR="004C6B3F" w:rsidRPr="00D93E61">
        <w:rPr>
          <w:rFonts w:ascii="Trebuchet MS" w:hAnsi="Trebuchet MS"/>
          <w:sz w:val="22"/>
          <w:szCs w:val="22"/>
        </w:rPr>
        <w:t xml:space="preserve">in </w:t>
      </w:r>
      <w:r w:rsidR="00D93E61" w:rsidRPr="00D93E61">
        <w:rPr>
          <w:rFonts w:ascii="Trebuchet MS" w:hAnsi="Trebuchet MS"/>
          <w:sz w:val="22"/>
          <w:szCs w:val="22"/>
        </w:rPr>
        <w:t>the “P</w:t>
      </w:r>
      <w:r w:rsidR="009F1FDC" w:rsidRPr="00D93E61">
        <w:rPr>
          <w:rFonts w:ascii="Trebuchet MS" w:hAnsi="Trebuchet MS"/>
          <w:sz w:val="22"/>
          <w:szCs w:val="22"/>
        </w:rPr>
        <w:t xml:space="preserve">urchases of </w:t>
      </w:r>
      <w:r w:rsidR="00D93E61" w:rsidRPr="00D93E61">
        <w:rPr>
          <w:rFonts w:ascii="Trebuchet MS" w:hAnsi="Trebuchet MS"/>
          <w:sz w:val="22"/>
          <w:szCs w:val="22"/>
        </w:rPr>
        <w:t>C</w:t>
      </w:r>
      <w:r w:rsidR="009F1FDC" w:rsidRPr="00D93E61">
        <w:rPr>
          <w:rFonts w:ascii="Trebuchet MS" w:hAnsi="Trebuchet MS"/>
          <w:sz w:val="22"/>
          <w:szCs w:val="22"/>
        </w:rPr>
        <w:t xml:space="preserve">apital </w:t>
      </w:r>
      <w:r w:rsidR="00D93E61" w:rsidRPr="00D93E61">
        <w:rPr>
          <w:rFonts w:ascii="Trebuchet MS" w:hAnsi="Trebuchet MS"/>
          <w:sz w:val="22"/>
          <w:szCs w:val="22"/>
        </w:rPr>
        <w:t>A</w:t>
      </w:r>
      <w:r w:rsidR="009F1FDC" w:rsidRPr="00D93E61">
        <w:rPr>
          <w:rFonts w:ascii="Trebuchet MS" w:hAnsi="Trebuchet MS"/>
          <w:sz w:val="22"/>
          <w:szCs w:val="22"/>
        </w:rPr>
        <w:t>ssets</w:t>
      </w:r>
      <w:r w:rsidR="00D93E61" w:rsidRPr="00D93E61">
        <w:rPr>
          <w:rFonts w:ascii="Trebuchet MS" w:hAnsi="Trebuchet MS"/>
          <w:sz w:val="22"/>
          <w:szCs w:val="22"/>
        </w:rPr>
        <w:t>” line item</w:t>
      </w:r>
      <w:r w:rsidRPr="00D93E61">
        <w:rPr>
          <w:rFonts w:ascii="Trebuchet MS" w:hAnsi="Trebuchet MS"/>
          <w:sz w:val="22"/>
          <w:szCs w:val="22"/>
        </w:rPr>
        <w:t xml:space="preserve">. The project cost for the </w:t>
      </w:r>
      <w:r w:rsidR="00D93E61" w:rsidRPr="00D93E61">
        <w:rPr>
          <w:rFonts w:ascii="Trebuchet MS" w:hAnsi="Trebuchet MS"/>
          <w:sz w:val="22"/>
          <w:szCs w:val="22"/>
        </w:rPr>
        <w:t xml:space="preserve">Proposed Project </w:t>
      </w:r>
      <w:r w:rsidRPr="00D93E61">
        <w:rPr>
          <w:rFonts w:ascii="Trebuchet MS" w:hAnsi="Trebuchet MS"/>
          <w:sz w:val="22"/>
          <w:szCs w:val="22"/>
        </w:rPr>
        <w:t xml:space="preserve">was developed </w:t>
      </w:r>
      <w:r w:rsidR="00D93E61" w:rsidRPr="00D93E61">
        <w:rPr>
          <w:rFonts w:ascii="Trebuchet MS" w:hAnsi="Trebuchet MS"/>
          <w:sz w:val="22"/>
          <w:szCs w:val="22"/>
        </w:rPr>
        <w:t xml:space="preserve">by a senior director of facilities, design and construction </w:t>
      </w:r>
      <w:r w:rsidR="006F5B44" w:rsidRPr="00D93E61">
        <w:rPr>
          <w:rFonts w:ascii="Trebuchet MS" w:hAnsi="Trebuchet MS"/>
          <w:sz w:val="22"/>
          <w:szCs w:val="22"/>
        </w:rPr>
        <w:t>based upon prior experience</w:t>
      </w:r>
      <w:r w:rsidR="001C59DB" w:rsidRPr="00D93E61">
        <w:rPr>
          <w:rFonts w:ascii="Trebuchet MS" w:hAnsi="Trebuchet MS"/>
          <w:sz w:val="22"/>
          <w:szCs w:val="22"/>
        </w:rPr>
        <w:t>.</w:t>
      </w:r>
    </w:p>
    <w:p w14:paraId="5328841C" w14:textId="77777777" w:rsidR="00955F03" w:rsidRPr="00D93E61" w:rsidRDefault="00955F03" w:rsidP="00955F03">
      <w:pPr>
        <w:pStyle w:val="ListParagraph"/>
        <w:tabs>
          <w:tab w:val="num" w:pos="1260"/>
        </w:tabs>
        <w:spacing w:line="480" w:lineRule="auto"/>
        <w:ind w:left="0"/>
        <w:jc w:val="both"/>
        <w:rPr>
          <w:rFonts w:ascii="Trebuchet MS" w:hAnsi="Trebuchet MS"/>
          <w:sz w:val="22"/>
          <w:szCs w:val="22"/>
        </w:rPr>
      </w:pPr>
    </w:p>
    <w:p w14:paraId="5460F8D1" w14:textId="0338DB0B" w:rsidR="00955F03" w:rsidRDefault="00955F03" w:rsidP="00955F03">
      <w:pPr>
        <w:pStyle w:val="ListParagraph"/>
        <w:spacing w:line="480" w:lineRule="auto"/>
        <w:ind w:left="0"/>
        <w:jc w:val="both"/>
        <w:rPr>
          <w:rFonts w:ascii="Trebuchet MS" w:hAnsi="Trebuchet MS"/>
          <w:sz w:val="22"/>
          <w:szCs w:val="22"/>
        </w:rPr>
      </w:pPr>
      <w:r w:rsidRPr="00D93E61">
        <w:rPr>
          <w:rFonts w:ascii="Trebuchet MS" w:hAnsi="Trebuchet MS"/>
          <w:sz w:val="22"/>
          <w:szCs w:val="22"/>
        </w:rPr>
        <w:t xml:space="preserve">In addition to capital expenditures, we also reviewed the proposed financing of the project. The </w:t>
      </w:r>
      <w:r w:rsidR="001C59DB" w:rsidRPr="00D93E61">
        <w:rPr>
          <w:rFonts w:ascii="Trebuchet MS" w:hAnsi="Trebuchet MS"/>
          <w:sz w:val="22"/>
          <w:szCs w:val="22"/>
        </w:rPr>
        <w:t xml:space="preserve">Applicant indicated </w:t>
      </w:r>
      <w:r w:rsidR="00F77860" w:rsidRPr="00D93E61">
        <w:rPr>
          <w:rFonts w:ascii="Trebuchet MS" w:hAnsi="Trebuchet MS"/>
          <w:sz w:val="22"/>
          <w:szCs w:val="22"/>
        </w:rPr>
        <w:t xml:space="preserve">routine capital </w:t>
      </w:r>
      <w:r w:rsidR="001C59DB" w:rsidRPr="00D93E61">
        <w:rPr>
          <w:rFonts w:ascii="Trebuchet MS" w:hAnsi="Trebuchet MS"/>
          <w:sz w:val="22"/>
          <w:szCs w:val="22"/>
        </w:rPr>
        <w:t xml:space="preserve">/ cash on hand </w:t>
      </w:r>
      <w:r w:rsidR="00F77860" w:rsidRPr="00D93E61">
        <w:rPr>
          <w:rFonts w:ascii="Trebuchet MS" w:hAnsi="Trebuchet MS"/>
          <w:sz w:val="22"/>
          <w:szCs w:val="22"/>
        </w:rPr>
        <w:t xml:space="preserve">would be utilized to fund the Proposed Project. </w:t>
      </w:r>
      <w:r w:rsidR="001C59DB" w:rsidRPr="00D93E61">
        <w:rPr>
          <w:rFonts w:ascii="Trebuchet MS" w:hAnsi="Trebuchet MS"/>
          <w:sz w:val="22"/>
          <w:szCs w:val="22"/>
        </w:rPr>
        <w:t xml:space="preserve">As discussed above, </w:t>
      </w:r>
      <w:r w:rsidR="00D93E61" w:rsidRPr="00D93E61">
        <w:rPr>
          <w:rFonts w:ascii="Trebuchet MS" w:hAnsi="Trebuchet MS"/>
          <w:sz w:val="22"/>
          <w:szCs w:val="22"/>
        </w:rPr>
        <w:t xml:space="preserve">maximum </w:t>
      </w:r>
      <w:r w:rsidR="001C59DB" w:rsidRPr="00D93E61">
        <w:rPr>
          <w:rFonts w:ascii="Trebuchet MS" w:hAnsi="Trebuchet MS"/>
          <w:sz w:val="22"/>
          <w:szCs w:val="22"/>
        </w:rPr>
        <w:t>capital expenditure</w:t>
      </w:r>
      <w:r w:rsidR="00D93E61" w:rsidRPr="00D93E61">
        <w:rPr>
          <w:rFonts w:ascii="Trebuchet MS" w:hAnsi="Trebuchet MS"/>
          <w:sz w:val="22"/>
          <w:szCs w:val="22"/>
        </w:rPr>
        <w:t>s are expected to be approximately $480.0 thousand. The Applicant has a cash and cash equivalents balance exceeding $240 million throughout the projection period. As such, it appears the Applicant has sufficient capital to fund the Proposed Project without requiring CHA to obtain debt financing.</w:t>
      </w:r>
    </w:p>
    <w:p w14:paraId="3737E374" w14:textId="77777777" w:rsidR="00F30ADA" w:rsidRPr="00D93E61" w:rsidRDefault="00F30ADA" w:rsidP="00955F03">
      <w:pPr>
        <w:pStyle w:val="ListParagraph"/>
        <w:spacing w:line="480" w:lineRule="auto"/>
        <w:ind w:left="0"/>
        <w:jc w:val="both"/>
        <w:rPr>
          <w:rFonts w:ascii="Trebuchet MS" w:hAnsi="Trebuchet MS"/>
          <w:sz w:val="22"/>
          <w:szCs w:val="22"/>
        </w:rPr>
      </w:pPr>
    </w:p>
    <w:p w14:paraId="2736512E" w14:textId="77777777" w:rsidR="00955F03" w:rsidRPr="002E63C8" w:rsidRDefault="00955F03" w:rsidP="00955F03">
      <w:pPr>
        <w:tabs>
          <w:tab w:val="num" w:pos="1260"/>
        </w:tabs>
        <w:spacing w:line="480" w:lineRule="auto"/>
        <w:jc w:val="both"/>
        <w:rPr>
          <w:rFonts w:ascii="Trebuchet MS" w:hAnsi="Trebuchet MS"/>
          <w:sz w:val="22"/>
          <w:szCs w:val="22"/>
          <w:highlight w:val="yellow"/>
        </w:rPr>
      </w:pPr>
    </w:p>
    <w:p w14:paraId="69D510B9" w14:textId="77777777" w:rsidR="009A2BEA" w:rsidRPr="00D35971" w:rsidRDefault="00D3103D">
      <w:pPr>
        <w:pStyle w:val="Heading1"/>
        <w:keepNext w:val="0"/>
        <w:numPr>
          <w:ilvl w:val="0"/>
          <w:numId w:val="1"/>
        </w:numPr>
        <w:spacing w:line="480" w:lineRule="auto"/>
        <w:ind w:hanging="720"/>
        <w:rPr>
          <w:rFonts w:ascii="Trebuchet MS" w:hAnsi="Trebuchet MS"/>
          <w:sz w:val="22"/>
          <w:szCs w:val="22"/>
        </w:rPr>
      </w:pPr>
      <w:r w:rsidRPr="00D35971">
        <w:rPr>
          <w:rFonts w:ascii="Trebuchet MS" w:hAnsi="Trebuchet MS"/>
          <w:sz w:val="22"/>
          <w:szCs w:val="22"/>
        </w:rPr>
        <w:lastRenderedPageBreak/>
        <w:t>FEASIBILITY</w:t>
      </w:r>
    </w:p>
    <w:p w14:paraId="2DEF8032" w14:textId="77777777" w:rsidR="009A2BEA" w:rsidRPr="00D35971" w:rsidRDefault="009A2BEA">
      <w:pPr>
        <w:tabs>
          <w:tab w:val="num" w:pos="1260"/>
        </w:tabs>
        <w:spacing w:line="480" w:lineRule="auto"/>
        <w:jc w:val="both"/>
        <w:rPr>
          <w:rFonts w:ascii="Trebuchet MS" w:hAnsi="Trebuchet MS"/>
          <w:sz w:val="22"/>
          <w:szCs w:val="22"/>
        </w:rPr>
      </w:pPr>
    </w:p>
    <w:p w14:paraId="5815C2B9" w14:textId="77777777" w:rsidR="009A2BEA" w:rsidRPr="00D35971" w:rsidRDefault="00D3103D">
      <w:pPr>
        <w:tabs>
          <w:tab w:val="num" w:pos="1260"/>
        </w:tabs>
        <w:spacing w:line="480" w:lineRule="auto"/>
        <w:jc w:val="both"/>
        <w:rPr>
          <w:rFonts w:ascii="Trebuchet MS" w:hAnsi="Trebuchet MS"/>
          <w:sz w:val="22"/>
          <w:szCs w:val="22"/>
        </w:rPr>
      </w:pPr>
      <w:r w:rsidRPr="00D35971">
        <w:rPr>
          <w:rFonts w:ascii="Trebuchet MS" w:hAnsi="Trebuchet MS"/>
          <w:sz w:val="22"/>
          <w:szCs w:val="22"/>
        </w:rPr>
        <w:t>We analyzed the Projections and Key Metrics for the Proposed Project. In preparing our analysis we considered multiple sources of information including industry metrics, historical results, and Management expectations. It is important to note that the Projections do not account for any anticipated changes in accounting standards.</w:t>
      </w:r>
      <w:r w:rsidR="005C1BB6" w:rsidRPr="00D35971">
        <w:rPr>
          <w:rFonts w:ascii="Trebuchet MS" w:hAnsi="Trebuchet MS"/>
          <w:sz w:val="22"/>
          <w:szCs w:val="22"/>
        </w:rPr>
        <w:t xml:space="preserve"> </w:t>
      </w:r>
      <w:r w:rsidRPr="00D35971">
        <w:rPr>
          <w:rFonts w:ascii="Trebuchet MS" w:hAnsi="Trebuchet MS"/>
          <w:sz w:val="22"/>
          <w:szCs w:val="22"/>
        </w:rPr>
        <w:t xml:space="preserve">These standards, which may have a material impact on individual future years, are not anticipated to have a material impact on the aggregate Projections. </w:t>
      </w:r>
    </w:p>
    <w:p w14:paraId="55DC14C3" w14:textId="77777777" w:rsidR="009A2BEA" w:rsidRPr="002E63C8" w:rsidRDefault="009A2BEA">
      <w:pPr>
        <w:tabs>
          <w:tab w:val="num" w:pos="1260"/>
        </w:tabs>
        <w:spacing w:line="480" w:lineRule="auto"/>
        <w:jc w:val="both"/>
        <w:rPr>
          <w:rFonts w:ascii="Trebuchet MS" w:hAnsi="Trebuchet MS"/>
          <w:sz w:val="22"/>
          <w:szCs w:val="22"/>
          <w:highlight w:val="yellow"/>
        </w:rPr>
      </w:pPr>
    </w:p>
    <w:p w14:paraId="771569B5" w14:textId="34B08393" w:rsidR="007A6E86" w:rsidRPr="00D35971" w:rsidRDefault="007A6E86" w:rsidP="007A6E86">
      <w:pPr>
        <w:pStyle w:val="ListParagraph"/>
        <w:tabs>
          <w:tab w:val="num" w:pos="1260"/>
        </w:tabs>
        <w:spacing w:line="480" w:lineRule="auto"/>
        <w:ind w:left="0"/>
        <w:jc w:val="both"/>
        <w:rPr>
          <w:rFonts w:ascii="Trebuchet MS" w:hAnsi="Trebuchet MS"/>
          <w:sz w:val="22"/>
          <w:szCs w:val="22"/>
        </w:rPr>
      </w:pPr>
      <w:r w:rsidRPr="001016A7">
        <w:rPr>
          <w:rFonts w:ascii="Trebuchet MS" w:hAnsi="Trebuchet MS"/>
          <w:sz w:val="22"/>
          <w:szCs w:val="22"/>
        </w:rPr>
        <w:t xml:space="preserve">Within the projected financial information, the Projections exhibit a cumulative operating EBITDA surplus of approximately </w:t>
      </w:r>
      <w:r w:rsidR="00A1439F">
        <w:rPr>
          <w:rFonts w:ascii="Trebuchet MS" w:hAnsi="Trebuchet MS"/>
          <w:sz w:val="22"/>
          <w:szCs w:val="22"/>
        </w:rPr>
        <w:t>1.9</w:t>
      </w:r>
      <w:r w:rsidR="001016A7" w:rsidRPr="001016A7">
        <w:rPr>
          <w:rFonts w:ascii="Trebuchet MS" w:hAnsi="Trebuchet MS"/>
          <w:sz w:val="22"/>
          <w:szCs w:val="22"/>
        </w:rPr>
        <w:t xml:space="preserve"> </w:t>
      </w:r>
      <w:r w:rsidRPr="001016A7">
        <w:rPr>
          <w:rFonts w:ascii="Trebuchet MS" w:hAnsi="Trebuchet MS"/>
          <w:sz w:val="22"/>
          <w:szCs w:val="22"/>
        </w:rPr>
        <w:t>percent of cumulative projected operating revenue for</w:t>
      </w:r>
      <w:r w:rsidRPr="00D35971">
        <w:rPr>
          <w:rFonts w:ascii="Trebuchet MS" w:hAnsi="Trebuchet MS"/>
          <w:sz w:val="22"/>
          <w:szCs w:val="22"/>
        </w:rPr>
        <w:t xml:space="preserve"> the </w:t>
      </w:r>
      <w:r w:rsidR="00A1439F">
        <w:rPr>
          <w:rFonts w:ascii="Trebuchet MS" w:hAnsi="Trebuchet MS"/>
          <w:sz w:val="22"/>
          <w:szCs w:val="22"/>
        </w:rPr>
        <w:t>six</w:t>
      </w:r>
      <w:r w:rsidR="00A1439F" w:rsidRPr="00D35971">
        <w:rPr>
          <w:rFonts w:ascii="Trebuchet MS" w:hAnsi="Trebuchet MS"/>
          <w:sz w:val="22"/>
          <w:szCs w:val="22"/>
        </w:rPr>
        <w:t xml:space="preserve"> </w:t>
      </w:r>
      <w:r w:rsidRPr="00D35971">
        <w:rPr>
          <w:rFonts w:ascii="Trebuchet MS" w:hAnsi="Trebuchet MS"/>
          <w:sz w:val="22"/>
          <w:szCs w:val="22"/>
        </w:rPr>
        <w:t>years from FY 202</w:t>
      </w:r>
      <w:r w:rsidR="00CE27E8" w:rsidRPr="00D35971">
        <w:rPr>
          <w:rFonts w:ascii="Trebuchet MS" w:hAnsi="Trebuchet MS"/>
          <w:sz w:val="22"/>
          <w:szCs w:val="22"/>
        </w:rPr>
        <w:t>2</w:t>
      </w:r>
      <w:r w:rsidRPr="00D35971">
        <w:rPr>
          <w:rFonts w:ascii="Trebuchet MS" w:hAnsi="Trebuchet MS"/>
          <w:sz w:val="22"/>
          <w:szCs w:val="22"/>
        </w:rPr>
        <w:t xml:space="preserve"> through FY 202</w:t>
      </w:r>
      <w:r w:rsidR="00D35971" w:rsidRPr="00D35971">
        <w:rPr>
          <w:rFonts w:ascii="Trebuchet MS" w:hAnsi="Trebuchet MS"/>
          <w:sz w:val="22"/>
          <w:szCs w:val="22"/>
        </w:rPr>
        <w:t>7</w:t>
      </w:r>
      <w:r w:rsidRPr="00D35971">
        <w:rPr>
          <w:rFonts w:ascii="Trebuchet MS" w:hAnsi="Trebuchet MS"/>
          <w:sz w:val="22"/>
          <w:szCs w:val="22"/>
        </w:rPr>
        <w:t xml:space="preserve">. Based upon our review of the relevant documents and analysis of the Projections, we determined the anticipated EBITDA surplus is a reasonable expectation and based upon feasible financial assumptions. Accordingly, we determined that the Projections are reasonable and feasible, and not likely to have a negative impact on the patient panel or result in a liquidation of assets of </w:t>
      </w:r>
      <w:r w:rsidR="00D35971">
        <w:rPr>
          <w:rFonts w:ascii="Trebuchet MS" w:hAnsi="Trebuchet MS"/>
          <w:sz w:val="22"/>
          <w:szCs w:val="22"/>
        </w:rPr>
        <w:t>CHA</w:t>
      </w:r>
      <w:r w:rsidRPr="00D35971">
        <w:rPr>
          <w:rFonts w:ascii="Trebuchet MS" w:hAnsi="Trebuchet MS"/>
          <w:sz w:val="22"/>
          <w:szCs w:val="22"/>
        </w:rPr>
        <w:t>.</w:t>
      </w:r>
    </w:p>
    <w:p w14:paraId="0B85420A" w14:textId="77777777" w:rsidR="009A2BEA" w:rsidRPr="002E63C8" w:rsidRDefault="009A2BEA">
      <w:pPr>
        <w:pStyle w:val="ListParagraph"/>
        <w:tabs>
          <w:tab w:val="num" w:pos="1260"/>
        </w:tabs>
        <w:spacing w:line="480" w:lineRule="auto"/>
        <w:ind w:left="0"/>
        <w:jc w:val="both"/>
        <w:rPr>
          <w:rFonts w:ascii="Trebuchet MS" w:hAnsi="Trebuchet MS"/>
          <w:sz w:val="22"/>
          <w:szCs w:val="22"/>
          <w:highlight w:val="yellow"/>
        </w:rPr>
      </w:pPr>
    </w:p>
    <w:p w14:paraId="124321B9" w14:textId="77777777" w:rsidR="009A2BEA" w:rsidRPr="00D35971" w:rsidRDefault="00D3103D">
      <w:pPr>
        <w:rPr>
          <w:rFonts w:ascii="Trebuchet MS" w:hAnsi="Trebuchet MS"/>
          <w:sz w:val="22"/>
          <w:szCs w:val="22"/>
        </w:rPr>
      </w:pPr>
      <w:r w:rsidRPr="00D35971">
        <w:rPr>
          <w:rFonts w:ascii="Trebuchet MS" w:hAnsi="Trebuchet MS"/>
          <w:sz w:val="22"/>
          <w:szCs w:val="22"/>
        </w:rPr>
        <w:t>Respectively submitted,</w:t>
      </w:r>
    </w:p>
    <w:p w14:paraId="34717081" w14:textId="77777777" w:rsidR="009A2BEA" w:rsidRPr="00D35971" w:rsidRDefault="009A2BEA">
      <w:pPr>
        <w:jc w:val="both"/>
        <w:rPr>
          <w:rFonts w:ascii="Trebuchet MS" w:hAnsi="Trebuchet MS"/>
          <w:sz w:val="22"/>
          <w:szCs w:val="22"/>
        </w:rPr>
      </w:pPr>
    </w:p>
    <w:p w14:paraId="7EF5C479" w14:textId="77777777" w:rsidR="009A2BEA" w:rsidRPr="00D35971" w:rsidRDefault="009A2BEA">
      <w:pPr>
        <w:tabs>
          <w:tab w:val="left" w:pos="1190"/>
        </w:tabs>
        <w:jc w:val="both"/>
        <w:rPr>
          <w:rFonts w:ascii="Trebuchet MS" w:hAnsi="Trebuchet MS"/>
          <w:sz w:val="22"/>
          <w:szCs w:val="22"/>
        </w:rPr>
      </w:pPr>
    </w:p>
    <w:p w14:paraId="30819BF7" w14:textId="0D4F1866" w:rsidR="00247908" w:rsidRDefault="00247908">
      <w:pPr>
        <w:tabs>
          <w:tab w:val="left" w:pos="1190"/>
        </w:tabs>
        <w:jc w:val="both"/>
        <w:rPr>
          <w:rFonts w:ascii="Trebuchet MS" w:hAnsi="Trebuchet MS"/>
          <w:color w:val="FF0000"/>
          <w:sz w:val="22"/>
          <w:szCs w:val="22"/>
        </w:rPr>
      </w:pPr>
    </w:p>
    <w:p w14:paraId="2E67B7D4" w14:textId="77777777" w:rsidR="001B5AF7" w:rsidRPr="00D35971" w:rsidRDefault="001B5AF7">
      <w:pPr>
        <w:tabs>
          <w:tab w:val="left" w:pos="1190"/>
        </w:tabs>
        <w:jc w:val="both"/>
        <w:rPr>
          <w:rFonts w:ascii="Trebuchet MS" w:hAnsi="Trebuchet MS"/>
          <w:color w:val="FF0000"/>
          <w:sz w:val="22"/>
          <w:szCs w:val="22"/>
        </w:rPr>
      </w:pPr>
    </w:p>
    <w:p w14:paraId="72528678" w14:textId="77777777" w:rsidR="009A2BEA" w:rsidRPr="00D35971" w:rsidRDefault="009A2BEA">
      <w:pPr>
        <w:jc w:val="both"/>
        <w:rPr>
          <w:rFonts w:ascii="Trebuchet MS" w:hAnsi="Trebuchet MS"/>
          <w:sz w:val="22"/>
          <w:szCs w:val="22"/>
        </w:rPr>
      </w:pPr>
    </w:p>
    <w:p w14:paraId="62FD8E25" w14:textId="77777777" w:rsidR="009A2BEA" w:rsidRPr="00D35971" w:rsidRDefault="00EF2CDC">
      <w:pPr>
        <w:tabs>
          <w:tab w:val="left" w:pos="-936"/>
          <w:tab w:val="left" w:pos="-720"/>
          <w:tab w:val="left" w:pos="1"/>
          <w:tab w:val="left" w:pos="1584"/>
          <w:tab w:val="left" w:pos="1764"/>
          <w:tab w:val="left" w:pos="2394"/>
          <w:tab w:val="center" w:pos="2574"/>
          <w:tab w:val="left" w:pos="2880"/>
          <w:tab w:val="left" w:pos="3600"/>
          <w:tab w:val="left" w:pos="4320"/>
          <w:tab w:val="left" w:pos="5040"/>
          <w:tab w:val="left" w:pos="5760"/>
          <w:tab w:val="left" w:pos="6480"/>
          <w:tab w:val="decimal" w:pos="7164"/>
          <w:tab w:val="decimal" w:pos="90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rebuchet MS" w:hAnsi="Trebuchet MS"/>
          <w:sz w:val="22"/>
          <w:szCs w:val="22"/>
        </w:rPr>
      </w:pPr>
      <w:r w:rsidRPr="00D35971">
        <w:rPr>
          <w:rFonts w:ascii="Trebuchet MS" w:hAnsi="Trebuchet MS"/>
          <w:sz w:val="22"/>
          <w:szCs w:val="22"/>
        </w:rPr>
        <w:t>Erik Lynch</w:t>
      </w:r>
    </w:p>
    <w:p w14:paraId="344318A7" w14:textId="61AE4232" w:rsidR="009A2BEA" w:rsidRDefault="00D3103D">
      <w:pPr>
        <w:spacing w:line="480" w:lineRule="auto"/>
        <w:jc w:val="both"/>
        <w:rPr>
          <w:rFonts w:ascii="Trebuchet MS" w:hAnsi="Trebuchet MS"/>
          <w:spacing w:val="-3"/>
          <w:sz w:val="22"/>
          <w:szCs w:val="22"/>
        </w:rPr>
      </w:pPr>
      <w:r w:rsidRPr="00D35971">
        <w:rPr>
          <w:rFonts w:ascii="Trebuchet MS" w:hAnsi="Trebuchet MS"/>
          <w:spacing w:val="-3"/>
          <w:sz w:val="22"/>
          <w:szCs w:val="22"/>
        </w:rPr>
        <w:t>Partner, BDO USA LLP</w:t>
      </w:r>
    </w:p>
    <w:sectPr w:rsidR="009A2BEA" w:rsidSect="00CE574D">
      <w:headerReference w:type="even" r:id="rId28"/>
      <w:headerReference w:type="default" r:id="rId29"/>
      <w:headerReference w:type="first" r:id="rId30"/>
      <w:footerReference w:type="first" r:id="rId31"/>
      <w:pgSz w:w="12240" w:h="15840" w:code="1"/>
      <w:pgMar w:top="2592" w:right="1440" w:bottom="1440" w:left="1656" w:header="79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3AAB1" w14:textId="77777777" w:rsidR="00E95626" w:rsidRDefault="00E95626">
      <w:r>
        <w:separator/>
      </w:r>
    </w:p>
  </w:endnote>
  <w:endnote w:type="continuationSeparator" w:id="0">
    <w:p w14:paraId="4A5C8A8B" w14:textId="77777777" w:rsidR="00E95626" w:rsidRDefault="00E9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24BA" w14:textId="77777777" w:rsidR="002E0E01" w:rsidRDefault="002E0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79F2" w14:textId="77777777" w:rsidR="002E0E01" w:rsidRDefault="002E0E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23D8" w14:textId="77777777" w:rsidR="002E0E01" w:rsidRPr="00443DB1" w:rsidRDefault="002E0E01" w:rsidP="002E0E01">
    <w:pPr>
      <w:ind w:left="-5040" w:right="6426"/>
      <w:rPr>
        <w:rFonts w:ascii="Trebuchet MS" w:hAnsi="Trebuchet MS"/>
        <w:color w:val="000000" w:themeColor="text1"/>
        <w:sz w:val="12"/>
        <w:szCs w:val="12"/>
      </w:rPr>
    </w:pPr>
    <w:r w:rsidRPr="00443DB1">
      <w:rPr>
        <w:rFonts w:ascii="Trebuchet MS" w:hAnsi="Trebuchet MS"/>
        <w:color w:val="000000" w:themeColor="text1"/>
        <w:sz w:val="12"/>
        <w:szCs w:val="12"/>
      </w:rPr>
      <w:t xml:space="preserve">The report accompanying these financial statements was issued by </w:t>
    </w:r>
  </w:p>
  <w:p w14:paraId="1D1BE5B8" w14:textId="77777777" w:rsidR="002E0E01" w:rsidRPr="00443DB1" w:rsidRDefault="002E0E01" w:rsidP="002E0E01">
    <w:pPr>
      <w:ind w:left="-5040" w:right="6426"/>
      <w:rPr>
        <w:rFonts w:ascii="Trebuchet MS" w:hAnsi="Trebuchet MS"/>
        <w:color w:val="000000" w:themeColor="text1"/>
        <w:sz w:val="12"/>
        <w:szCs w:val="12"/>
      </w:rPr>
    </w:pPr>
    <w:r w:rsidRPr="00443DB1">
      <w:rPr>
        <w:rFonts w:ascii="Trebuchet MS" w:hAnsi="Trebuchet MS"/>
        <w:color w:val="000000" w:themeColor="text1"/>
        <w:sz w:val="12"/>
        <w:szCs w:val="12"/>
      </w:rPr>
      <w:t xml:space="preserve">BDO USA, LLP, a </w:t>
    </w:r>
    <w:r w:rsidRPr="005E1AA2">
      <w:rPr>
        <w:rFonts w:ascii="Trebuchet MS" w:hAnsi="Trebuchet MS"/>
        <w:color w:val="000000" w:themeColor="text1"/>
        <w:sz w:val="12"/>
        <w:szCs w:val="12"/>
      </w:rPr>
      <w:t xml:space="preserve">Delaware </w:t>
    </w:r>
    <w:r w:rsidRPr="00443DB1">
      <w:rPr>
        <w:rFonts w:ascii="Trebuchet MS" w:hAnsi="Trebuchet MS"/>
        <w:color w:val="000000" w:themeColor="text1"/>
        <w:sz w:val="12"/>
        <w:szCs w:val="12"/>
      </w:rPr>
      <w:t xml:space="preserve">limited liability partnership and the U.S. member of BDO International Limited, a UK company limited by guarantee. </w:t>
    </w:r>
  </w:p>
  <w:p w14:paraId="0427E5C3" w14:textId="7182DD49" w:rsidR="00116238" w:rsidRDefault="00116238" w:rsidP="002E0E01">
    <w:pPr>
      <w:pStyle w:val="Footer"/>
      <w:ind w:left="-44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00F45" w14:textId="77777777" w:rsidR="001508DC" w:rsidRDefault="001508DC" w:rsidP="001508DC">
    <w:pPr>
      <w:pStyle w:val="BDOFooter"/>
      <w:ind w:right="-86"/>
      <w:rPr>
        <w:rFonts w:ascii="Trebuchet MS" w:hAnsi="Trebuchet MS"/>
        <w:color w:val="auto"/>
        <w:szCs w:val="12"/>
        <w:lang w:val="it-IT"/>
      </w:rPr>
    </w:pPr>
    <w:r>
      <w:rPr>
        <w:rFonts w:ascii="Trebuchet MS" w:hAnsi="Trebuchet MS"/>
        <w:color w:val="auto"/>
        <w:szCs w:val="12"/>
        <w:lang w:val="it-IT"/>
      </w:rPr>
      <w:t>BDO USA, LLP, a Delaware limited liability partnership, is the U.S. member of BDO International Limited, a UK company limited by guarantee, and forms part of the international BDO network of independent member firms.</w:t>
    </w:r>
  </w:p>
  <w:p w14:paraId="49567D9E" w14:textId="77777777" w:rsidR="001508DC" w:rsidRDefault="001508DC" w:rsidP="001508DC">
    <w:pPr>
      <w:pStyle w:val="BDOFooter"/>
      <w:spacing w:line="80" w:lineRule="exact"/>
      <w:ind w:right="-86"/>
      <w:rPr>
        <w:rFonts w:ascii="Trebuchet MS" w:hAnsi="Trebuchet MS"/>
        <w:color w:val="auto"/>
        <w:szCs w:val="12"/>
        <w:lang w:val="it-IT"/>
      </w:rPr>
    </w:pPr>
  </w:p>
  <w:p w14:paraId="161DEF0B" w14:textId="77777777" w:rsidR="001508DC" w:rsidRDefault="001508DC" w:rsidP="001508DC">
    <w:pPr>
      <w:pStyle w:val="BDOFooter"/>
      <w:ind w:right="-86"/>
      <w:rPr>
        <w:rFonts w:ascii="Trebuchet MS" w:hAnsi="Trebuchet MS"/>
        <w:color w:val="auto"/>
        <w:szCs w:val="12"/>
        <w:lang w:val="it-IT"/>
      </w:rPr>
    </w:pPr>
    <w:r>
      <w:rPr>
        <w:rFonts w:ascii="Trebuchet MS" w:hAnsi="Trebuchet MS"/>
        <w:color w:val="auto"/>
        <w:szCs w:val="12"/>
        <w:lang w:val="it-IT"/>
      </w:rPr>
      <w:t>BDO is the brand name for the BDO network and for each of the BDO Member Firms.</w:t>
    </w:r>
  </w:p>
  <w:p w14:paraId="0E089488" w14:textId="45B3C101" w:rsidR="0088018C" w:rsidRDefault="0088018C">
    <w:pPr>
      <w:pStyle w:val="A-PageNumb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1E99" w14:textId="77777777" w:rsidR="0088018C" w:rsidRDefault="0088018C">
    <w:pPr>
      <w:pStyle w:val="A-PageNumb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7424" w14:textId="77777777" w:rsidR="00CE574D" w:rsidRPr="00CE574D" w:rsidRDefault="00CE574D" w:rsidP="001A3EDC">
    <w:pPr>
      <w:pStyle w:val="BDOFooter"/>
      <w:rPr>
        <w:rFonts w:ascii="Trebuchet MS" w:hAnsi="Trebuchet MS"/>
        <w:bCs/>
        <w:color w:val="685040"/>
        <w:szCs w:val="12"/>
        <w:lang w:val="it-IT"/>
      </w:rPr>
    </w:pPr>
  </w:p>
  <w:p w14:paraId="60445B46" w14:textId="77777777" w:rsidR="00CE574D" w:rsidRPr="00707244" w:rsidRDefault="00CE574D" w:rsidP="001A3EDC">
    <w:pPr>
      <w:pStyle w:val="BDOFooter"/>
      <w:rPr>
        <w:rFonts w:ascii="Trebuchet MS" w:hAnsi="Trebuchet MS"/>
        <w:bCs/>
        <w:color w:val="auto"/>
        <w:szCs w:val="12"/>
        <w:lang w:val="it-IT"/>
      </w:rPr>
    </w:pPr>
    <w:r w:rsidRPr="00707244">
      <w:rPr>
        <w:rFonts w:ascii="Trebuchet MS" w:hAnsi="Trebuchet MS"/>
        <w:bCs/>
        <w:color w:val="auto"/>
        <w:szCs w:val="12"/>
        <w:lang w:val="it-IT"/>
      </w:rPr>
      <w:t xml:space="preserve">BDO USA, LLP, a Delaware limited liability partnership, is the U.S. member of BDO International Limited, a UK company limited by guarantee, and forms part of the international BDO network of independent member firms. </w:t>
    </w:r>
  </w:p>
  <w:p w14:paraId="396E703C" w14:textId="77777777" w:rsidR="00CE574D" w:rsidRPr="00707244" w:rsidRDefault="00CE574D" w:rsidP="001A3EDC">
    <w:pPr>
      <w:pStyle w:val="BDOFooter"/>
      <w:rPr>
        <w:rFonts w:ascii="Trebuchet MS" w:hAnsi="Trebuchet MS"/>
        <w:bCs/>
        <w:color w:val="auto"/>
        <w:szCs w:val="12"/>
        <w:lang w:val="it-IT"/>
      </w:rPr>
    </w:pPr>
  </w:p>
  <w:p w14:paraId="5CD48589" w14:textId="77777777" w:rsidR="00116238" w:rsidRPr="00707244" w:rsidRDefault="00CE574D" w:rsidP="00CE574D">
    <w:pPr>
      <w:pStyle w:val="BDOFooter"/>
      <w:rPr>
        <w:rFonts w:ascii="Trebuchet MS" w:hAnsi="Trebuchet MS"/>
        <w:bCs/>
        <w:color w:val="auto"/>
        <w:szCs w:val="12"/>
        <w:lang w:val="it-IT"/>
      </w:rPr>
    </w:pPr>
    <w:r w:rsidRPr="00707244">
      <w:rPr>
        <w:rFonts w:ascii="Trebuchet MS" w:hAnsi="Trebuchet MS"/>
        <w:bCs/>
        <w:color w:val="auto"/>
        <w:szCs w:val="12"/>
        <w:lang w:val="it-IT"/>
      </w:rPr>
      <w:t>BDO is the brand name for the BDO network and for each of the BDO Member Firms.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D5986" w14:textId="77777777" w:rsidR="00E95626" w:rsidRDefault="00E95626">
      <w:r>
        <w:separator/>
      </w:r>
    </w:p>
  </w:footnote>
  <w:footnote w:type="continuationSeparator" w:id="0">
    <w:p w14:paraId="6C2F7225" w14:textId="77777777" w:rsidR="00E95626" w:rsidRDefault="00E95626">
      <w:r>
        <w:continuationSeparator/>
      </w:r>
    </w:p>
  </w:footnote>
  <w:footnote w:id="1">
    <w:p w14:paraId="28B4AC2D" w14:textId="77777777" w:rsidR="007722CF" w:rsidRPr="00925E94" w:rsidRDefault="007722CF">
      <w:pPr>
        <w:pStyle w:val="FootnoteText"/>
        <w:rPr>
          <w:rFonts w:ascii="Trebuchet MS" w:hAnsi="Trebuchet MS"/>
          <w:i/>
          <w:iCs/>
          <w:sz w:val="18"/>
          <w:szCs w:val="18"/>
        </w:rPr>
      </w:pPr>
      <w:r w:rsidRPr="00707244">
        <w:rPr>
          <w:rStyle w:val="FootnoteReference"/>
          <w:rFonts w:ascii="Trebuchet MS" w:hAnsi="Trebuchet MS"/>
          <w:i/>
          <w:iCs/>
          <w:sz w:val="18"/>
          <w:szCs w:val="18"/>
        </w:rPr>
        <w:footnoteRef/>
      </w:r>
      <w:r w:rsidRPr="00707244">
        <w:rPr>
          <w:rFonts w:ascii="Trebuchet MS" w:hAnsi="Trebuchet MS"/>
          <w:i/>
          <w:iCs/>
          <w:sz w:val="18"/>
          <w:szCs w:val="18"/>
        </w:rPr>
        <w:t xml:space="preserve"> EBITDA (“Earnings before Depreciation, Interest and Tax”</w:t>
      </w:r>
      <w:r w:rsidRPr="00925E94">
        <w:rPr>
          <w:rFonts w:ascii="Trebuchet MS" w:hAnsi="Trebuchet MS"/>
          <w:i/>
          <w:iCs/>
          <w:sz w:val="18"/>
          <w:szCs w:val="18"/>
        </w:rPr>
        <w:t>)</w:t>
      </w:r>
    </w:p>
  </w:footnote>
  <w:footnote w:id="2">
    <w:p w14:paraId="120717F4" w14:textId="1FBF239D" w:rsidR="00925E94" w:rsidRDefault="00925E94">
      <w:pPr>
        <w:pStyle w:val="FootnoteText"/>
      </w:pPr>
      <w:r w:rsidRPr="00245ADE">
        <w:rPr>
          <w:rStyle w:val="FootnoteReference"/>
          <w:rFonts w:ascii="Trebuchet MS" w:hAnsi="Trebuchet MS"/>
          <w:i/>
          <w:iCs/>
          <w:sz w:val="18"/>
          <w:szCs w:val="18"/>
        </w:rPr>
        <w:footnoteRef/>
      </w:r>
      <w:r w:rsidRPr="00245ADE">
        <w:rPr>
          <w:rFonts w:ascii="Trebuchet MS" w:hAnsi="Trebuchet MS"/>
          <w:i/>
          <w:iCs/>
          <w:sz w:val="18"/>
          <w:szCs w:val="18"/>
        </w:rPr>
        <w:t xml:space="preserve"> Portions of this section of the report were adapted directly from the Project Description section of the </w:t>
      </w:r>
      <w:r w:rsidR="00220248">
        <w:rPr>
          <w:rFonts w:ascii="Trebuchet MS" w:hAnsi="Trebuchet MS"/>
          <w:i/>
          <w:iCs/>
          <w:sz w:val="18"/>
          <w:szCs w:val="18"/>
        </w:rPr>
        <w:t>CHA</w:t>
      </w:r>
      <w:r w:rsidRPr="00245ADE">
        <w:rPr>
          <w:rFonts w:ascii="Trebuchet MS" w:hAnsi="Trebuchet MS"/>
          <w:i/>
          <w:iCs/>
          <w:sz w:val="18"/>
          <w:szCs w:val="18"/>
        </w:rPr>
        <w:t xml:space="preserve"> Application Form for DON Application as directed by the Applicant.</w:t>
      </w:r>
    </w:p>
  </w:footnote>
  <w:footnote w:id="3">
    <w:p w14:paraId="767C73CB" w14:textId="016F1A7C" w:rsidR="002F290A" w:rsidRPr="00CF5742" w:rsidRDefault="002F290A">
      <w:pPr>
        <w:pStyle w:val="FootnoteText"/>
        <w:rPr>
          <w:rFonts w:ascii="Trebuchet MS" w:hAnsi="Trebuchet MS"/>
          <w:i/>
          <w:iCs/>
          <w:sz w:val="18"/>
          <w:szCs w:val="18"/>
        </w:rPr>
      </w:pPr>
      <w:r w:rsidRPr="00CF5742">
        <w:rPr>
          <w:rStyle w:val="FootnoteReference"/>
          <w:rFonts w:ascii="Trebuchet MS" w:hAnsi="Trebuchet MS"/>
          <w:i/>
          <w:iCs/>
          <w:sz w:val="18"/>
          <w:szCs w:val="18"/>
        </w:rPr>
        <w:footnoteRef/>
      </w:r>
      <w:r w:rsidRPr="00CF5742">
        <w:rPr>
          <w:rFonts w:ascii="Trebuchet MS" w:hAnsi="Trebuchet MS"/>
          <w:i/>
          <w:iCs/>
          <w:sz w:val="18"/>
          <w:szCs w:val="18"/>
        </w:rPr>
        <w:t xml:space="preserve"> Prospective financial information includes the year ending June 30, 2022. As of the date of the multi-year projection model</w:t>
      </w:r>
      <w:r w:rsidR="001B1DCA">
        <w:rPr>
          <w:rFonts w:ascii="Trebuchet MS" w:hAnsi="Trebuchet MS"/>
          <w:i/>
          <w:iCs/>
          <w:sz w:val="18"/>
          <w:szCs w:val="18"/>
        </w:rPr>
        <w:t xml:space="preserve"> was prepared</w:t>
      </w:r>
      <w:r w:rsidRPr="00CF5742">
        <w:rPr>
          <w:rFonts w:ascii="Trebuchet MS" w:hAnsi="Trebuchet MS"/>
          <w:i/>
          <w:iCs/>
          <w:sz w:val="18"/>
          <w:szCs w:val="18"/>
        </w:rPr>
        <w:t xml:space="preserve">, fiscal year 2022 had ended; however, the model did not yet reflect 2022 actuals. We understand the </w:t>
      </w:r>
      <w:r w:rsidR="006C6A27" w:rsidRPr="00CF5742">
        <w:rPr>
          <w:rFonts w:ascii="Trebuchet MS" w:hAnsi="Trebuchet MS"/>
          <w:i/>
          <w:iCs/>
          <w:sz w:val="18"/>
          <w:szCs w:val="18"/>
        </w:rPr>
        <w:t xml:space="preserve">projected </w:t>
      </w:r>
      <w:r w:rsidRPr="00CF5742">
        <w:rPr>
          <w:rFonts w:ascii="Trebuchet MS" w:hAnsi="Trebuchet MS"/>
          <w:i/>
          <w:iCs/>
          <w:sz w:val="18"/>
          <w:szCs w:val="18"/>
        </w:rPr>
        <w:t>fiscal year 2022 reflects actuals through May 2022</w:t>
      </w:r>
      <w:r w:rsidR="001B1DCA">
        <w:rPr>
          <w:rFonts w:ascii="Trebuchet MS" w:hAnsi="Trebuchet MS"/>
          <w:i/>
          <w:iCs/>
          <w:sz w:val="18"/>
          <w:szCs w:val="18"/>
        </w:rPr>
        <w:t xml:space="preserve"> and budget for June 2022</w:t>
      </w:r>
      <w:r w:rsidR="006C6A27" w:rsidRPr="00CF5742">
        <w:rPr>
          <w:rFonts w:ascii="Trebuchet MS" w:hAnsi="Trebuchet MS"/>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AFC4" w14:textId="77777777" w:rsidR="002E0E01" w:rsidRDefault="002E0E0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BD6C" w14:textId="77777777" w:rsidR="00A72E5B" w:rsidRDefault="00A72E5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A766" w14:textId="0F759CB9" w:rsidR="0088018C" w:rsidRDefault="001508DC" w:rsidP="001508DC">
    <w:pPr>
      <w:pStyle w:val="BDONormal"/>
      <w:tabs>
        <w:tab w:val="left" w:pos="7200"/>
      </w:tabs>
      <w:rPr>
        <w:noProof/>
        <w:sz w:val="16"/>
        <w:szCs w:val="16"/>
        <w:lang w:eastAsia="en-US"/>
      </w:rPr>
    </w:pPr>
    <w:r>
      <w:rPr>
        <w:noProof/>
      </w:rPr>
      <w:drawing>
        <wp:inline distT="0" distB="0" distL="0" distR="0" wp14:anchorId="311252A5" wp14:editId="26F951DE">
          <wp:extent cx="981075" cy="371475"/>
          <wp:effectExtent l="0" t="0" r="9525" b="9525"/>
          <wp:docPr id="5" name="Picture 5"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DO"/>
                  <pic:cNvPicPr>
                    <a:picLocks noChangeAspect="1" noChangeArrowheads="1"/>
                  </pic:cNvPicPr>
                </pic:nvPicPr>
                <pic:blipFill>
                  <a:blip r:embed="rId1" cstate="print">
                    <a:extLst>
                      <a:ext uri="{28A0092B-C50C-407E-A947-70E740481C1C}">
                        <a14:useLocalDpi xmlns:a14="http://schemas.microsoft.com/office/drawing/2010/main" val="0"/>
                      </a:ext>
                    </a:extLst>
                  </a:blip>
                  <a:srcRect l="15771" t="26688" r="15950" b="27914"/>
                  <a:stretch>
                    <a:fillRect/>
                  </a:stretch>
                </pic:blipFill>
                <pic:spPr bwMode="auto">
                  <a:xfrm>
                    <a:off x="0" y="0"/>
                    <a:ext cx="981075" cy="371475"/>
                  </a:xfrm>
                  <a:prstGeom prst="rect">
                    <a:avLst/>
                  </a:prstGeom>
                  <a:noFill/>
                  <a:ln w="9525">
                    <a:noFill/>
                    <a:miter lim="800000"/>
                    <a:headEnd/>
                    <a:tailEnd/>
                  </a:ln>
                </pic:spPr>
              </pic:pic>
            </a:graphicData>
          </a:graphic>
        </wp:inline>
      </w:drawing>
    </w:r>
    <w:r>
      <w:rPr>
        <w:noProof/>
        <w:sz w:val="16"/>
        <w:szCs w:val="16"/>
        <w:lang w:eastAsia="en-US"/>
      </w:rPr>
      <w:tab/>
    </w:r>
    <w:r w:rsidR="0088018C">
      <w:rPr>
        <w:noProof/>
        <w:sz w:val="16"/>
        <w:szCs w:val="16"/>
        <w:lang w:eastAsia="en-US"/>
      </w:rPr>
      <w:t>M</w:t>
    </w:r>
    <w:r w:rsidR="00F84C57">
      <w:rPr>
        <w:noProof/>
        <w:sz w:val="16"/>
        <w:szCs w:val="16"/>
        <w:lang w:eastAsia="en-US"/>
      </w:rPr>
      <w:t xml:space="preserve">s. </w:t>
    </w:r>
    <w:r w:rsidR="00D35971">
      <w:rPr>
        <w:noProof/>
        <w:sz w:val="16"/>
        <w:szCs w:val="16"/>
        <w:lang w:eastAsia="en-US"/>
      </w:rPr>
      <w:t>Andrea Synnott</w:t>
    </w:r>
  </w:p>
  <w:p w14:paraId="2054D5C3" w14:textId="55CF8DB4" w:rsidR="0088018C" w:rsidRDefault="00D35971">
    <w:pPr>
      <w:pStyle w:val="BDONormal"/>
      <w:jc w:val="right"/>
      <w:rPr>
        <w:noProof/>
        <w:sz w:val="16"/>
        <w:szCs w:val="16"/>
        <w:lang w:eastAsia="en-US"/>
      </w:rPr>
    </w:pPr>
    <w:r>
      <w:rPr>
        <w:noProof/>
        <w:sz w:val="16"/>
        <w:szCs w:val="16"/>
        <w:lang w:eastAsia="en-US"/>
      </w:rPr>
      <w:t>Cambridge Health Alliance</w:t>
    </w:r>
  </w:p>
  <w:p w14:paraId="71996E48" w14:textId="52E07BDF" w:rsidR="00FF6B1B" w:rsidRDefault="00FF6B1B">
    <w:pPr>
      <w:pStyle w:val="Header"/>
      <w:jc w:val="right"/>
      <w:rPr>
        <w:rFonts w:ascii="Trebuchet MS" w:hAnsi="Trebuchet MS"/>
        <w:sz w:val="16"/>
        <w:szCs w:val="16"/>
        <w:lang w:eastAsia="en-GB"/>
      </w:rPr>
    </w:pPr>
    <w:r>
      <w:rPr>
        <w:rFonts w:ascii="Trebuchet MS" w:hAnsi="Trebuchet MS"/>
        <w:sz w:val="16"/>
        <w:szCs w:val="16"/>
        <w:lang w:eastAsia="en-GB"/>
      </w:rPr>
      <w:fldChar w:fldCharType="begin"/>
    </w:r>
    <w:r>
      <w:rPr>
        <w:rFonts w:ascii="Trebuchet MS" w:hAnsi="Trebuchet MS"/>
        <w:sz w:val="16"/>
        <w:szCs w:val="16"/>
        <w:lang w:eastAsia="en-GB"/>
      </w:rPr>
      <w:instrText xml:space="preserve"> DATE \@ "MMMM d, yyyy" </w:instrText>
    </w:r>
    <w:r>
      <w:rPr>
        <w:rFonts w:ascii="Trebuchet MS" w:hAnsi="Trebuchet MS"/>
        <w:sz w:val="16"/>
        <w:szCs w:val="16"/>
        <w:lang w:eastAsia="en-GB"/>
      </w:rPr>
      <w:fldChar w:fldCharType="separate"/>
    </w:r>
    <w:r w:rsidR="00281249">
      <w:rPr>
        <w:rFonts w:ascii="Trebuchet MS" w:hAnsi="Trebuchet MS"/>
        <w:noProof/>
        <w:sz w:val="16"/>
        <w:szCs w:val="16"/>
        <w:lang w:eastAsia="en-GB"/>
      </w:rPr>
      <w:t>October 19, 2022</w:t>
    </w:r>
    <w:r>
      <w:rPr>
        <w:rFonts w:ascii="Trebuchet MS" w:hAnsi="Trebuchet MS"/>
        <w:sz w:val="16"/>
        <w:szCs w:val="16"/>
        <w:lang w:eastAsia="en-GB"/>
      </w:rPr>
      <w:fldChar w:fldCharType="end"/>
    </w:r>
  </w:p>
  <w:p w14:paraId="2628B532" w14:textId="75C2C02F" w:rsidR="0088018C" w:rsidRDefault="0088018C">
    <w:pPr>
      <w:pStyle w:val="Header"/>
      <w:jc w:val="right"/>
      <w:rPr>
        <w:rFonts w:ascii="Trebuchet MS" w:hAnsi="Trebuchet MS"/>
        <w:sz w:val="16"/>
        <w:szCs w:val="16"/>
      </w:rPr>
    </w:pPr>
    <w:r>
      <w:rPr>
        <w:rFonts w:ascii="Trebuchet MS" w:hAnsi="Trebuchet MS"/>
        <w:sz w:val="16"/>
        <w:szCs w:val="16"/>
      </w:rPr>
      <w:t xml:space="preserve">Page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sidR="001357EA">
      <w:rPr>
        <w:rFonts w:ascii="Trebuchet MS" w:hAnsi="Trebuchet MS"/>
        <w:noProof/>
        <w:sz w:val="16"/>
        <w:szCs w:val="16"/>
      </w:rPr>
      <w:t>14</w:t>
    </w:r>
    <w:r>
      <w:rPr>
        <w:rFonts w:ascii="Trebuchet MS" w:hAnsi="Trebuchet MS"/>
        <w:sz w:val="16"/>
        <w:szCs w:val="16"/>
      </w:rPr>
      <w:fldChar w:fldCharType="end"/>
    </w:r>
  </w:p>
  <w:p w14:paraId="02BC0E84" w14:textId="0909C2C4" w:rsidR="0088018C" w:rsidRDefault="0088018C">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86" w:type="dxa"/>
      <w:tblLayout w:type="fixed"/>
      <w:tblCellMar>
        <w:left w:w="0" w:type="dxa"/>
        <w:right w:w="0" w:type="dxa"/>
      </w:tblCellMar>
      <w:tblLook w:val="0000" w:firstRow="0" w:lastRow="0" w:firstColumn="0" w:lastColumn="0" w:noHBand="0" w:noVBand="0"/>
    </w:tblPr>
    <w:tblGrid>
      <w:gridCol w:w="4186"/>
      <w:gridCol w:w="3014"/>
      <w:gridCol w:w="4186"/>
    </w:tblGrid>
    <w:tr w:rsidR="004D551E" w:rsidRPr="00260AC7" w14:paraId="01AD86B6" w14:textId="77777777" w:rsidTr="00475A9D">
      <w:tc>
        <w:tcPr>
          <w:tcW w:w="4186" w:type="dxa"/>
        </w:tcPr>
        <w:p w14:paraId="2E2EE7C2" w14:textId="77777777" w:rsidR="004D551E" w:rsidRDefault="004D551E" w:rsidP="004D551E">
          <w:pPr>
            <w:pStyle w:val="BDONormal"/>
          </w:pPr>
          <w:r w:rsidRPr="00D50A1D">
            <w:rPr>
              <w:noProof/>
              <w:lang w:eastAsia="en-US"/>
            </w:rPr>
            <w:drawing>
              <wp:inline distT="0" distB="0" distL="0" distR="0" wp14:anchorId="79159A2D" wp14:editId="4CC8BB0B">
                <wp:extent cx="981489" cy="371061"/>
                <wp:effectExtent l="0" t="0" r="0" b="0"/>
                <wp:docPr id="1" name="Picture 2"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DO"/>
                        <pic:cNvPicPr>
                          <a:picLocks noChangeAspect="1" noChangeArrowheads="1"/>
                        </pic:cNvPicPr>
                      </pic:nvPicPr>
                      <pic:blipFill>
                        <a:blip r:embed="rId1" cstate="print"/>
                        <a:srcRect l="15771" t="26688" r="15950" b="27914"/>
                        <a:stretch>
                          <a:fillRect/>
                        </a:stretch>
                      </pic:blipFill>
                      <pic:spPr bwMode="auto">
                        <a:xfrm>
                          <a:off x="0" y="0"/>
                          <a:ext cx="980661" cy="371061"/>
                        </a:xfrm>
                        <a:prstGeom prst="rect">
                          <a:avLst/>
                        </a:prstGeom>
                        <a:noFill/>
                        <a:ln w="9525">
                          <a:noFill/>
                          <a:miter lim="800000"/>
                          <a:headEnd/>
                          <a:tailEnd/>
                        </a:ln>
                      </pic:spPr>
                    </pic:pic>
                  </a:graphicData>
                </a:graphic>
              </wp:inline>
            </w:drawing>
          </w:r>
        </w:p>
      </w:tc>
      <w:tc>
        <w:tcPr>
          <w:tcW w:w="3014" w:type="dxa"/>
        </w:tcPr>
        <w:p w14:paraId="587DD3A5" w14:textId="77777777" w:rsidR="004D551E" w:rsidRPr="00260AC7" w:rsidRDefault="004D551E" w:rsidP="004D551E">
          <w:pPr>
            <w:tabs>
              <w:tab w:val="left" w:pos="360"/>
            </w:tabs>
            <w:rPr>
              <w:rFonts w:ascii="Trebuchet MS" w:hAnsi="Trebuchet MS"/>
              <w:sz w:val="16"/>
              <w:szCs w:val="16"/>
            </w:rPr>
          </w:pPr>
          <w:bookmarkStart w:id="10" w:name="Phone"/>
          <w:bookmarkEnd w:id="10"/>
          <w:r w:rsidRPr="00260AC7">
            <w:rPr>
              <w:rFonts w:ascii="Trebuchet MS" w:hAnsi="Trebuchet MS"/>
              <w:sz w:val="16"/>
              <w:szCs w:val="16"/>
            </w:rPr>
            <w:t>Tel:</w:t>
          </w:r>
          <w:r w:rsidRPr="00260AC7">
            <w:rPr>
              <w:rFonts w:ascii="Trebuchet MS" w:hAnsi="Trebuchet MS"/>
              <w:sz w:val="16"/>
              <w:szCs w:val="16"/>
            </w:rPr>
            <w:tab/>
            <w:t xml:space="preserve"> 617-422-0700</w:t>
          </w:r>
        </w:p>
        <w:p w14:paraId="6E2D366F" w14:textId="77777777" w:rsidR="004D551E" w:rsidRPr="00260AC7" w:rsidRDefault="004D551E" w:rsidP="004D551E">
          <w:pPr>
            <w:tabs>
              <w:tab w:val="left" w:pos="360"/>
            </w:tabs>
            <w:rPr>
              <w:rFonts w:ascii="Trebuchet MS" w:hAnsi="Trebuchet MS"/>
              <w:sz w:val="16"/>
              <w:szCs w:val="16"/>
            </w:rPr>
          </w:pPr>
          <w:r w:rsidRPr="00260AC7">
            <w:rPr>
              <w:rFonts w:ascii="Trebuchet MS" w:hAnsi="Trebuchet MS"/>
              <w:sz w:val="16"/>
              <w:szCs w:val="16"/>
            </w:rPr>
            <w:t>Fax:</w:t>
          </w:r>
          <w:r w:rsidRPr="00260AC7">
            <w:rPr>
              <w:rFonts w:ascii="Trebuchet MS" w:hAnsi="Trebuchet MS"/>
              <w:sz w:val="16"/>
              <w:szCs w:val="16"/>
            </w:rPr>
            <w:tab/>
            <w:t xml:space="preserve"> 617-422-0909</w:t>
          </w:r>
        </w:p>
        <w:p w14:paraId="578E23D4" w14:textId="77777777" w:rsidR="004D551E" w:rsidRPr="00260AC7" w:rsidRDefault="004D551E" w:rsidP="004D551E">
          <w:pPr>
            <w:rPr>
              <w:rFonts w:ascii="Trebuchet MS" w:hAnsi="Trebuchet MS"/>
              <w:b/>
              <w:sz w:val="16"/>
              <w:szCs w:val="16"/>
            </w:rPr>
          </w:pPr>
          <w:r w:rsidRPr="00260AC7">
            <w:rPr>
              <w:rFonts w:ascii="Trebuchet MS" w:hAnsi="Trebuchet MS"/>
              <w:b/>
              <w:sz w:val="16"/>
              <w:szCs w:val="16"/>
            </w:rPr>
            <w:t>www.bdo.com</w:t>
          </w:r>
        </w:p>
        <w:p w14:paraId="03015E40" w14:textId="77777777" w:rsidR="004D551E" w:rsidRPr="00260AC7" w:rsidRDefault="004D551E" w:rsidP="004D551E">
          <w:pPr>
            <w:pStyle w:val="BDONormal"/>
            <w:rPr>
              <w:noProof/>
              <w:lang w:eastAsia="en-US"/>
            </w:rPr>
          </w:pPr>
        </w:p>
      </w:tc>
      <w:tc>
        <w:tcPr>
          <w:tcW w:w="4186" w:type="dxa"/>
        </w:tcPr>
        <w:p w14:paraId="668975BE" w14:textId="77777777" w:rsidR="004D551E" w:rsidRPr="00260AC7" w:rsidRDefault="004D551E" w:rsidP="004D551E">
          <w:pPr>
            <w:rPr>
              <w:rFonts w:ascii="Trebuchet MS" w:hAnsi="Trebuchet MS"/>
              <w:sz w:val="16"/>
              <w:szCs w:val="16"/>
            </w:rPr>
          </w:pPr>
          <w:bookmarkStart w:id="11" w:name="Address"/>
          <w:bookmarkEnd w:id="11"/>
          <w:r w:rsidRPr="00260AC7">
            <w:rPr>
              <w:rFonts w:ascii="Trebuchet MS" w:hAnsi="Trebuchet MS"/>
              <w:sz w:val="16"/>
              <w:szCs w:val="16"/>
            </w:rPr>
            <w:t>One International Place</w:t>
          </w:r>
        </w:p>
        <w:p w14:paraId="4276F894" w14:textId="77777777" w:rsidR="004D551E" w:rsidRPr="00260AC7" w:rsidRDefault="004D551E" w:rsidP="004D551E">
          <w:pPr>
            <w:rPr>
              <w:rFonts w:ascii="Trebuchet MS" w:hAnsi="Trebuchet MS"/>
              <w:sz w:val="16"/>
              <w:szCs w:val="16"/>
            </w:rPr>
          </w:pPr>
          <w:r w:rsidRPr="00260AC7">
            <w:rPr>
              <w:rFonts w:ascii="Trebuchet MS" w:hAnsi="Trebuchet MS"/>
              <w:sz w:val="16"/>
              <w:szCs w:val="16"/>
            </w:rPr>
            <w:t>Boston, MA 02110-1745</w:t>
          </w:r>
        </w:p>
        <w:p w14:paraId="692B2E97" w14:textId="77777777" w:rsidR="004D551E" w:rsidRPr="00260AC7" w:rsidRDefault="004D551E" w:rsidP="004D551E">
          <w:pPr>
            <w:rPr>
              <w:rFonts w:ascii="Trebuchet MS" w:hAnsi="Trebuchet MS"/>
              <w:sz w:val="16"/>
              <w:szCs w:val="16"/>
            </w:rPr>
          </w:pPr>
        </w:p>
        <w:p w14:paraId="38A7351E" w14:textId="77777777" w:rsidR="004D551E" w:rsidRPr="00260AC7" w:rsidRDefault="004D551E" w:rsidP="004D551E">
          <w:pPr>
            <w:pStyle w:val="BDONormal"/>
            <w:rPr>
              <w:noProof/>
              <w:lang w:eastAsia="en-US"/>
            </w:rPr>
          </w:pPr>
        </w:p>
      </w:tc>
    </w:tr>
  </w:tbl>
  <w:p w14:paraId="383702F8" w14:textId="5FFAA8E9" w:rsidR="00A72E5B" w:rsidRDefault="00A72E5B" w:rsidP="004D5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23E4" w14:textId="77777777" w:rsidR="002E0E01" w:rsidRDefault="002E0E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622C" w14:textId="77777777" w:rsidR="0088018C" w:rsidRDefault="0088018C" w:rsidP="00666C4E">
    <w:pPr>
      <w:pStyle w:val="Header"/>
    </w:pPr>
  </w:p>
  <w:p w14:paraId="483A27C5" w14:textId="77777777" w:rsidR="0088018C" w:rsidRDefault="008801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6756" w14:textId="77777777" w:rsidR="00A72E5B" w:rsidRDefault="00A72E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86" w:type="dxa"/>
      <w:tblLayout w:type="fixed"/>
      <w:tblCellMar>
        <w:left w:w="0" w:type="dxa"/>
        <w:right w:w="0" w:type="dxa"/>
      </w:tblCellMar>
      <w:tblLook w:val="0000" w:firstRow="0" w:lastRow="0" w:firstColumn="0" w:lastColumn="0" w:noHBand="0" w:noVBand="0"/>
    </w:tblPr>
    <w:tblGrid>
      <w:gridCol w:w="4186"/>
      <w:gridCol w:w="3014"/>
      <w:gridCol w:w="4186"/>
    </w:tblGrid>
    <w:tr w:rsidR="001508DC" w14:paraId="69E6AE02" w14:textId="77777777" w:rsidTr="00475A9D">
      <w:tc>
        <w:tcPr>
          <w:tcW w:w="4186" w:type="dxa"/>
        </w:tcPr>
        <w:p w14:paraId="4F1B3A3E" w14:textId="77777777" w:rsidR="001508DC" w:rsidRDefault="001508DC" w:rsidP="001508DC">
          <w:pPr>
            <w:pStyle w:val="BDONormal"/>
          </w:pPr>
          <w:r>
            <w:rPr>
              <w:noProof/>
              <w:lang w:eastAsia="en-US"/>
            </w:rPr>
            <w:drawing>
              <wp:inline distT="0" distB="0" distL="0" distR="0" wp14:anchorId="51AE6661" wp14:editId="2A9A8768">
                <wp:extent cx="981489" cy="371061"/>
                <wp:effectExtent l="0" t="0" r="0" b="0"/>
                <wp:docPr id="14" name="Picture 2"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BDO"/>
                        <pic:cNvPicPr>
                          <a:picLocks noChangeAspect="1" noChangeArrowheads="1"/>
                        </pic:cNvPicPr>
                      </pic:nvPicPr>
                      <pic:blipFill>
                        <a:blip r:embed="rId1" cstate="print"/>
                        <a:srcRect l="15771" t="26688" r="15950" b="27914"/>
                        <a:stretch>
                          <a:fillRect/>
                        </a:stretch>
                      </pic:blipFill>
                      <pic:spPr bwMode="auto">
                        <a:xfrm>
                          <a:off x="0" y="0"/>
                          <a:ext cx="980661" cy="371061"/>
                        </a:xfrm>
                        <a:prstGeom prst="rect">
                          <a:avLst/>
                        </a:prstGeom>
                        <a:noFill/>
                        <a:ln w="9525">
                          <a:noFill/>
                          <a:miter lim="800000"/>
                          <a:headEnd/>
                          <a:tailEnd/>
                        </a:ln>
                      </pic:spPr>
                    </pic:pic>
                  </a:graphicData>
                </a:graphic>
              </wp:inline>
            </w:drawing>
          </w:r>
        </w:p>
      </w:tc>
      <w:tc>
        <w:tcPr>
          <w:tcW w:w="3014" w:type="dxa"/>
        </w:tcPr>
        <w:p w14:paraId="629647BE" w14:textId="77777777" w:rsidR="001508DC" w:rsidRDefault="001508DC" w:rsidP="001508DC">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Tel:</w:t>
          </w:r>
          <w:r>
            <w:rPr>
              <w:rFonts w:ascii="Trebuchet MS" w:hAnsi="Trebuchet MS"/>
              <w:color w:val="000000" w:themeColor="text1"/>
              <w:sz w:val="16"/>
              <w:szCs w:val="16"/>
            </w:rPr>
            <w:tab/>
            <w:t xml:space="preserve"> 617-422-0700</w:t>
          </w:r>
        </w:p>
        <w:p w14:paraId="3A4B4174" w14:textId="77777777" w:rsidR="001508DC" w:rsidRDefault="001508DC" w:rsidP="001508DC">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Fax:</w:t>
          </w:r>
          <w:r>
            <w:rPr>
              <w:rFonts w:ascii="Trebuchet MS" w:hAnsi="Trebuchet MS"/>
              <w:color w:val="000000" w:themeColor="text1"/>
              <w:sz w:val="16"/>
              <w:szCs w:val="16"/>
            </w:rPr>
            <w:tab/>
            <w:t xml:space="preserve"> 617-422-0909</w:t>
          </w:r>
        </w:p>
        <w:p w14:paraId="741ADB86" w14:textId="77777777" w:rsidR="001508DC" w:rsidRDefault="001508DC" w:rsidP="001508DC">
          <w:pPr>
            <w:rPr>
              <w:rFonts w:ascii="Trebuchet MS" w:hAnsi="Trebuchet MS"/>
              <w:b/>
              <w:color w:val="000000" w:themeColor="text1"/>
              <w:sz w:val="16"/>
              <w:szCs w:val="16"/>
            </w:rPr>
          </w:pPr>
          <w:r>
            <w:rPr>
              <w:rFonts w:ascii="Trebuchet MS" w:hAnsi="Trebuchet MS"/>
              <w:b/>
              <w:color w:val="000000" w:themeColor="text1"/>
              <w:sz w:val="16"/>
              <w:szCs w:val="16"/>
            </w:rPr>
            <w:t>www.bdo.com</w:t>
          </w:r>
        </w:p>
        <w:p w14:paraId="4564A275" w14:textId="77777777" w:rsidR="001508DC" w:rsidRDefault="001508DC" w:rsidP="001508DC">
          <w:pPr>
            <w:pStyle w:val="BDONormal"/>
            <w:rPr>
              <w:noProof/>
              <w:color w:val="000000" w:themeColor="text1"/>
              <w:lang w:eastAsia="en-US"/>
            </w:rPr>
          </w:pPr>
        </w:p>
      </w:tc>
      <w:tc>
        <w:tcPr>
          <w:tcW w:w="4186" w:type="dxa"/>
        </w:tcPr>
        <w:p w14:paraId="40B9493B" w14:textId="77777777" w:rsidR="001508DC" w:rsidRDefault="001508DC" w:rsidP="001508DC">
          <w:pPr>
            <w:rPr>
              <w:rFonts w:ascii="Trebuchet MS" w:hAnsi="Trebuchet MS"/>
              <w:color w:val="000000" w:themeColor="text1"/>
              <w:sz w:val="16"/>
              <w:szCs w:val="16"/>
            </w:rPr>
          </w:pPr>
          <w:r>
            <w:rPr>
              <w:rFonts w:ascii="Trebuchet MS" w:hAnsi="Trebuchet MS"/>
              <w:color w:val="000000" w:themeColor="text1"/>
              <w:sz w:val="16"/>
              <w:szCs w:val="16"/>
            </w:rPr>
            <w:t>One International Place</w:t>
          </w:r>
        </w:p>
        <w:p w14:paraId="1F3B3766" w14:textId="77777777" w:rsidR="001508DC" w:rsidRDefault="001508DC" w:rsidP="001508DC">
          <w:pPr>
            <w:rPr>
              <w:rFonts w:ascii="Trebuchet MS" w:hAnsi="Trebuchet MS"/>
              <w:color w:val="000000" w:themeColor="text1"/>
              <w:sz w:val="16"/>
              <w:szCs w:val="16"/>
            </w:rPr>
          </w:pPr>
          <w:r>
            <w:rPr>
              <w:rFonts w:ascii="Trebuchet MS" w:hAnsi="Trebuchet MS"/>
              <w:color w:val="000000" w:themeColor="text1"/>
              <w:sz w:val="16"/>
              <w:szCs w:val="16"/>
            </w:rPr>
            <w:t>Boston, MA 02110-1745</w:t>
          </w:r>
        </w:p>
        <w:p w14:paraId="3DC90B29" w14:textId="77777777" w:rsidR="001508DC" w:rsidRDefault="001508DC" w:rsidP="001508DC">
          <w:pPr>
            <w:rPr>
              <w:rFonts w:ascii="Trebuchet MS" w:hAnsi="Trebuchet MS"/>
              <w:color w:val="000000" w:themeColor="text1"/>
              <w:sz w:val="16"/>
              <w:szCs w:val="16"/>
            </w:rPr>
          </w:pPr>
        </w:p>
        <w:p w14:paraId="64BE0C31" w14:textId="77777777" w:rsidR="001508DC" w:rsidRDefault="001508DC" w:rsidP="001508DC">
          <w:pPr>
            <w:pStyle w:val="BDONormal"/>
            <w:rPr>
              <w:noProof/>
              <w:color w:val="000000" w:themeColor="text1"/>
              <w:lang w:eastAsia="en-US"/>
            </w:rPr>
          </w:pPr>
        </w:p>
      </w:tc>
    </w:tr>
  </w:tbl>
  <w:p w14:paraId="078D39DF" w14:textId="6B0C3A08" w:rsidR="0088018C" w:rsidRDefault="008801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7685" w14:textId="77777777" w:rsidR="00A72E5B" w:rsidRDefault="00A72E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50E5" w14:textId="77777777" w:rsidR="00A72E5B" w:rsidRDefault="00A72E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EAF9" w14:textId="77777777" w:rsidR="0088018C" w:rsidRDefault="0088018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3459" w14:textId="77777777" w:rsidR="00A72E5B" w:rsidRDefault="00A72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E107A"/>
    <w:multiLevelType w:val="hybridMultilevel"/>
    <w:tmpl w:val="BEBA8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87A1C"/>
    <w:multiLevelType w:val="hybridMultilevel"/>
    <w:tmpl w:val="CA92B9AA"/>
    <w:lvl w:ilvl="0" w:tplc="E5A45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5C617E"/>
    <w:multiLevelType w:val="hybridMultilevel"/>
    <w:tmpl w:val="7A6ACF7A"/>
    <w:lvl w:ilvl="0" w:tplc="0409000F">
      <w:start w:val="1"/>
      <w:numFmt w:val="decimal"/>
      <w:lvlText w:val="%1."/>
      <w:lvlJc w:val="left"/>
      <w:pPr>
        <w:ind w:left="360" w:hanging="360"/>
      </w:pPr>
    </w:lvl>
    <w:lvl w:ilvl="1" w:tplc="04090017">
      <w:start w:val="1"/>
      <w:numFmt w:val="lowerLetter"/>
      <w:lvlText w:val="%2)"/>
      <w:lvlJc w:val="left"/>
      <w:pPr>
        <w:ind w:left="1080" w:hanging="360"/>
      </w:pPr>
      <w:rPr>
        <w:rFonts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6F19AD"/>
    <w:multiLevelType w:val="hybridMultilevel"/>
    <w:tmpl w:val="613E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AB0A7C"/>
    <w:multiLevelType w:val="hybridMultilevel"/>
    <w:tmpl w:val="AB44C8A8"/>
    <w:lvl w:ilvl="0" w:tplc="C4D6C8A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B5C7D"/>
    <w:multiLevelType w:val="hybridMultilevel"/>
    <w:tmpl w:val="C7CEBAD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522CEB14">
      <w:start w:val="3"/>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2B6C12"/>
    <w:multiLevelType w:val="hybridMultilevel"/>
    <w:tmpl w:val="7958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37381"/>
    <w:multiLevelType w:val="hybridMultilevel"/>
    <w:tmpl w:val="5DE20DEC"/>
    <w:lvl w:ilvl="0" w:tplc="B4B41410">
      <w:start w:val="1"/>
      <w:numFmt w:val="upperRoman"/>
      <w:lvlText w:val="%1."/>
      <w:lvlJc w:val="left"/>
      <w:pPr>
        <w:ind w:left="720" w:hanging="360"/>
      </w:pPr>
      <w:rPr>
        <w:rFonts w:hint="default"/>
        <w:b/>
      </w:rPr>
    </w:lvl>
    <w:lvl w:ilvl="1" w:tplc="3CD63722">
      <w:start w:val="1"/>
      <w:numFmt w:val="upperLetter"/>
      <w:lvlText w:val="%2."/>
      <w:lvlJc w:val="left"/>
      <w:pPr>
        <w:ind w:left="1440" w:hanging="360"/>
      </w:pPr>
      <w:rPr>
        <w:rFonts w:hint="default"/>
      </w:rPr>
    </w:lvl>
    <w:lvl w:ilvl="2" w:tplc="A75C20A2">
      <w:start w:val="3"/>
      <w:numFmt w:val="decimal"/>
      <w:lvlText w:val="%3."/>
      <w:lvlJc w:val="right"/>
      <w:pPr>
        <w:ind w:left="2160" w:hanging="180"/>
      </w:pPr>
      <w:rPr>
        <w:rFonts w:hint="default"/>
      </w:rPr>
    </w:lvl>
    <w:lvl w:ilvl="3" w:tplc="353C8606">
      <w:start w:val="1"/>
      <w:numFmt w:val="lowerLetter"/>
      <w:lvlText w:val="%4."/>
      <w:lvlJc w:val="left"/>
      <w:pPr>
        <w:ind w:left="2880" w:hanging="360"/>
      </w:pPr>
      <w:rPr>
        <w:rFonts w:hint="default"/>
      </w:rPr>
    </w:lvl>
    <w:lvl w:ilvl="4" w:tplc="894EE0C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213D96"/>
    <w:multiLevelType w:val="multilevel"/>
    <w:tmpl w:val="D25A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5291539">
    <w:abstractNumId w:val="7"/>
  </w:num>
  <w:num w:numId="2" w16cid:durableId="1747917008">
    <w:abstractNumId w:val="5"/>
  </w:num>
  <w:num w:numId="3" w16cid:durableId="2006744637">
    <w:abstractNumId w:val="2"/>
  </w:num>
  <w:num w:numId="4" w16cid:durableId="704866297">
    <w:abstractNumId w:val="4"/>
  </w:num>
  <w:num w:numId="5" w16cid:durableId="1058817575">
    <w:abstractNumId w:val="6"/>
  </w:num>
  <w:num w:numId="6" w16cid:durableId="2074960232">
    <w:abstractNumId w:val="3"/>
  </w:num>
  <w:num w:numId="7" w16cid:durableId="1467506662">
    <w:abstractNumId w:val="1"/>
  </w:num>
  <w:num w:numId="8" w16cid:durableId="417678002">
    <w:abstractNumId w:val="8"/>
  </w:num>
  <w:num w:numId="9" w16cid:durableId="411969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BEA"/>
    <w:rsid w:val="00005059"/>
    <w:rsid w:val="0001362F"/>
    <w:rsid w:val="00017BCD"/>
    <w:rsid w:val="00023252"/>
    <w:rsid w:val="000239A4"/>
    <w:rsid w:val="00026824"/>
    <w:rsid w:val="000350C7"/>
    <w:rsid w:val="00036AA6"/>
    <w:rsid w:val="00041E09"/>
    <w:rsid w:val="00044949"/>
    <w:rsid w:val="000517E5"/>
    <w:rsid w:val="00052DBB"/>
    <w:rsid w:val="00054D6C"/>
    <w:rsid w:val="000615C9"/>
    <w:rsid w:val="00065375"/>
    <w:rsid w:val="00070D83"/>
    <w:rsid w:val="00070E4D"/>
    <w:rsid w:val="00073324"/>
    <w:rsid w:val="00085804"/>
    <w:rsid w:val="00090EF8"/>
    <w:rsid w:val="00092380"/>
    <w:rsid w:val="000A1582"/>
    <w:rsid w:val="000A1B15"/>
    <w:rsid w:val="000B22A3"/>
    <w:rsid w:val="000B3F19"/>
    <w:rsid w:val="000B4347"/>
    <w:rsid w:val="000D17B6"/>
    <w:rsid w:val="000D36DA"/>
    <w:rsid w:val="000D569F"/>
    <w:rsid w:val="000E30BF"/>
    <w:rsid w:val="000E384B"/>
    <w:rsid w:val="000F0078"/>
    <w:rsid w:val="0010064D"/>
    <w:rsid w:val="001016A7"/>
    <w:rsid w:val="001052FF"/>
    <w:rsid w:val="00116238"/>
    <w:rsid w:val="00124BD4"/>
    <w:rsid w:val="00126CCA"/>
    <w:rsid w:val="00131175"/>
    <w:rsid w:val="00132364"/>
    <w:rsid w:val="001357EA"/>
    <w:rsid w:val="0013724E"/>
    <w:rsid w:val="0014288E"/>
    <w:rsid w:val="00142C5A"/>
    <w:rsid w:val="00143EC7"/>
    <w:rsid w:val="00146840"/>
    <w:rsid w:val="001508DC"/>
    <w:rsid w:val="001609A2"/>
    <w:rsid w:val="0016236D"/>
    <w:rsid w:val="0016305A"/>
    <w:rsid w:val="001A00AC"/>
    <w:rsid w:val="001A3EDC"/>
    <w:rsid w:val="001B1DCA"/>
    <w:rsid w:val="001B5AF7"/>
    <w:rsid w:val="001C28B8"/>
    <w:rsid w:val="001C59DB"/>
    <w:rsid w:val="001D1DA0"/>
    <w:rsid w:val="001D22D0"/>
    <w:rsid w:val="001E1722"/>
    <w:rsid w:val="0020266C"/>
    <w:rsid w:val="00217984"/>
    <w:rsid w:val="00220248"/>
    <w:rsid w:val="002203F0"/>
    <w:rsid w:val="00224ADF"/>
    <w:rsid w:val="00227309"/>
    <w:rsid w:val="00240C55"/>
    <w:rsid w:val="00240DE1"/>
    <w:rsid w:val="002415B5"/>
    <w:rsid w:val="00245ADE"/>
    <w:rsid w:val="0024640C"/>
    <w:rsid w:val="002471E5"/>
    <w:rsid w:val="00247908"/>
    <w:rsid w:val="00253BA7"/>
    <w:rsid w:val="00254689"/>
    <w:rsid w:val="002572A4"/>
    <w:rsid w:val="00260AC7"/>
    <w:rsid w:val="002611D5"/>
    <w:rsid w:val="002636B7"/>
    <w:rsid w:val="0026508C"/>
    <w:rsid w:val="00281249"/>
    <w:rsid w:val="00290BAE"/>
    <w:rsid w:val="00292018"/>
    <w:rsid w:val="00295B22"/>
    <w:rsid w:val="002960A7"/>
    <w:rsid w:val="002B25F4"/>
    <w:rsid w:val="002C1375"/>
    <w:rsid w:val="002E094E"/>
    <w:rsid w:val="002E0E01"/>
    <w:rsid w:val="002E3C7F"/>
    <w:rsid w:val="002E63C8"/>
    <w:rsid w:val="002F290A"/>
    <w:rsid w:val="002F385B"/>
    <w:rsid w:val="002F6BEC"/>
    <w:rsid w:val="00303645"/>
    <w:rsid w:val="00304B3D"/>
    <w:rsid w:val="00304B75"/>
    <w:rsid w:val="003067DA"/>
    <w:rsid w:val="003077BB"/>
    <w:rsid w:val="0031162A"/>
    <w:rsid w:val="00321261"/>
    <w:rsid w:val="003230EE"/>
    <w:rsid w:val="00327537"/>
    <w:rsid w:val="00331223"/>
    <w:rsid w:val="003429B3"/>
    <w:rsid w:val="00346BF0"/>
    <w:rsid w:val="003532AD"/>
    <w:rsid w:val="00353380"/>
    <w:rsid w:val="003613AE"/>
    <w:rsid w:val="00366587"/>
    <w:rsid w:val="0038208F"/>
    <w:rsid w:val="003827DB"/>
    <w:rsid w:val="0038565E"/>
    <w:rsid w:val="003858EB"/>
    <w:rsid w:val="00387BAD"/>
    <w:rsid w:val="00391EEF"/>
    <w:rsid w:val="0039350D"/>
    <w:rsid w:val="003A56CE"/>
    <w:rsid w:val="003B3245"/>
    <w:rsid w:val="003B5787"/>
    <w:rsid w:val="003C0C33"/>
    <w:rsid w:val="003C20BE"/>
    <w:rsid w:val="003D2081"/>
    <w:rsid w:val="003D5CAA"/>
    <w:rsid w:val="003E0318"/>
    <w:rsid w:val="003E187B"/>
    <w:rsid w:val="003E623A"/>
    <w:rsid w:val="003F0587"/>
    <w:rsid w:val="003F1AB9"/>
    <w:rsid w:val="003F53A3"/>
    <w:rsid w:val="003F6E53"/>
    <w:rsid w:val="0040595B"/>
    <w:rsid w:val="004100C1"/>
    <w:rsid w:val="004132F5"/>
    <w:rsid w:val="00415900"/>
    <w:rsid w:val="00424467"/>
    <w:rsid w:val="00433B46"/>
    <w:rsid w:val="00433F0D"/>
    <w:rsid w:val="004444F0"/>
    <w:rsid w:val="00445BE9"/>
    <w:rsid w:val="004601DA"/>
    <w:rsid w:val="0047502E"/>
    <w:rsid w:val="0047660F"/>
    <w:rsid w:val="004908D1"/>
    <w:rsid w:val="00493679"/>
    <w:rsid w:val="004A20AF"/>
    <w:rsid w:val="004A36DB"/>
    <w:rsid w:val="004B698B"/>
    <w:rsid w:val="004C085F"/>
    <w:rsid w:val="004C3EB3"/>
    <w:rsid w:val="004C6978"/>
    <w:rsid w:val="004C6B3F"/>
    <w:rsid w:val="004D551E"/>
    <w:rsid w:val="004F0094"/>
    <w:rsid w:val="004F429F"/>
    <w:rsid w:val="004F4399"/>
    <w:rsid w:val="004F4C45"/>
    <w:rsid w:val="00501F79"/>
    <w:rsid w:val="00502E04"/>
    <w:rsid w:val="0050325B"/>
    <w:rsid w:val="005054D2"/>
    <w:rsid w:val="00506872"/>
    <w:rsid w:val="0051183F"/>
    <w:rsid w:val="005205C4"/>
    <w:rsid w:val="00526BE2"/>
    <w:rsid w:val="00531DC4"/>
    <w:rsid w:val="00544977"/>
    <w:rsid w:val="005455C4"/>
    <w:rsid w:val="00552650"/>
    <w:rsid w:val="00562173"/>
    <w:rsid w:val="005658C1"/>
    <w:rsid w:val="00575F49"/>
    <w:rsid w:val="005765D8"/>
    <w:rsid w:val="00585F0B"/>
    <w:rsid w:val="005868F2"/>
    <w:rsid w:val="005955ED"/>
    <w:rsid w:val="005A1940"/>
    <w:rsid w:val="005A4716"/>
    <w:rsid w:val="005A776B"/>
    <w:rsid w:val="005B7AF5"/>
    <w:rsid w:val="005C0576"/>
    <w:rsid w:val="005C0B4E"/>
    <w:rsid w:val="005C1BB6"/>
    <w:rsid w:val="005D4CD1"/>
    <w:rsid w:val="005D640E"/>
    <w:rsid w:val="005E37E4"/>
    <w:rsid w:val="005F0889"/>
    <w:rsid w:val="005F18CB"/>
    <w:rsid w:val="005F4284"/>
    <w:rsid w:val="005F49E3"/>
    <w:rsid w:val="005F710E"/>
    <w:rsid w:val="006111AC"/>
    <w:rsid w:val="006135EE"/>
    <w:rsid w:val="00650EEA"/>
    <w:rsid w:val="00661581"/>
    <w:rsid w:val="00665612"/>
    <w:rsid w:val="00666966"/>
    <w:rsid w:val="00666C4E"/>
    <w:rsid w:val="00670D74"/>
    <w:rsid w:val="00675328"/>
    <w:rsid w:val="0068703F"/>
    <w:rsid w:val="00691961"/>
    <w:rsid w:val="00692D63"/>
    <w:rsid w:val="006A1C83"/>
    <w:rsid w:val="006A4543"/>
    <w:rsid w:val="006A4A27"/>
    <w:rsid w:val="006A4DE3"/>
    <w:rsid w:val="006A576E"/>
    <w:rsid w:val="006B18CE"/>
    <w:rsid w:val="006C0F17"/>
    <w:rsid w:val="006C106E"/>
    <w:rsid w:val="006C508E"/>
    <w:rsid w:val="006C6A27"/>
    <w:rsid w:val="006C7942"/>
    <w:rsid w:val="006D5D0B"/>
    <w:rsid w:val="006E08A2"/>
    <w:rsid w:val="006E0C7C"/>
    <w:rsid w:val="006E31BB"/>
    <w:rsid w:val="006F5B44"/>
    <w:rsid w:val="00700592"/>
    <w:rsid w:val="007013DD"/>
    <w:rsid w:val="00703E72"/>
    <w:rsid w:val="00707244"/>
    <w:rsid w:val="00707854"/>
    <w:rsid w:val="00707BA0"/>
    <w:rsid w:val="00712E80"/>
    <w:rsid w:val="0072220C"/>
    <w:rsid w:val="007367E1"/>
    <w:rsid w:val="00743CF2"/>
    <w:rsid w:val="00751018"/>
    <w:rsid w:val="00760B5A"/>
    <w:rsid w:val="00761489"/>
    <w:rsid w:val="00762626"/>
    <w:rsid w:val="007674F3"/>
    <w:rsid w:val="007722CF"/>
    <w:rsid w:val="00774F9E"/>
    <w:rsid w:val="007766DF"/>
    <w:rsid w:val="00794B74"/>
    <w:rsid w:val="007A1311"/>
    <w:rsid w:val="007A6688"/>
    <w:rsid w:val="007A6E86"/>
    <w:rsid w:val="007B10E6"/>
    <w:rsid w:val="007B741A"/>
    <w:rsid w:val="007C0CF3"/>
    <w:rsid w:val="007C10D0"/>
    <w:rsid w:val="007C3C2D"/>
    <w:rsid w:val="007C63CC"/>
    <w:rsid w:val="007C7782"/>
    <w:rsid w:val="007D0A8D"/>
    <w:rsid w:val="007E0B0C"/>
    <w:rsid w:val="007F31AA"/>
    <w:rsid w:val="007F785D"/>
    <w:rsid w:val="00801FE5"/>
    <w:rsid w:val="00802325"/>
    <w:rsid w:val="00805ED3"/>
    <w:rsid w:val="0081501C"/>
    <w:rsid w:val="008212B7"/>
    <w:rsid w:val="00822F4D"/>
    <w:rsid w:val="00824F3E"/>
    <w:rsid w:val="0083098E"/>
    <w:rsid w:val="0083363C"/>
    <w:rsid w:val="008353A7"/>
    <w:rsid w:val="00844E2A"/>
    <w:rsid w:val="008562F9"/>
    <w:rsid w:val="0086132A"/>
    <w:rsid w:val="00863F01"/>
    <w:rsid w:val="00864604"/>
    <w:rsid w:val="00875C7D"/>
    <w:rsid w:val="0088018C"/>
    <w:rsid w:val="008932CE"/>
    <w:rsid w:val="00896D2E"/>
    <w:rsid w:val="00897B33"/>
    <w:rsid w:val="008A7636"/>
    <w:rsid w:val="008B00C3"/>
    <w:rsid w:val="008B1409"/>
    <w:rsid w:val="008B41D7"/>
    <w:rsid w:val="008C1AAB"/>
    <w:rsid w:val="008C389A"/>
    <w:rsid w:val="008C4C16"/>
    <w:rsid w:val="008C6A48"/>
    <w:rsid w:val="008D4798"/>
    <w:rsid w:val="008D6D16"/>
    <w:rsid w:val="008E154A"/>
    <w:rsid w:val="008E6905"/>
    <w:rsid w:val="008F3773"/>
    <w:rsid w:val="008F5352"/>
    <w:rsid w:val="00900B50"/>
    <w:rsid w:val="00911B44"/>
    <w:rsid w:val="0092232A"/>
    <w:rsid w:val="00925C65"/>
    <w:rsid w:val="00925E94"/>
    <w:rsid w:val="0093034B"/>
    <w:rsid w:val="009309D9"/>
    <w:rsid w:val="00931627"/>
    <w:rsid w:val="00934C4C"/>
    <w:rsid w:val="00935BE9"/>
    <w:rsid w:val="00937A21"/>
    <w:rsid w:val="0094254F"/>
    <w:rsid w:val="00942680"/>
    <w:rsid w:val="00944BD9"/>
    <w:rsid w:val="00944E67"/>
    <w:rsid w:val="00945F22"/>
    <w:rsid w:val="00951153"/>
    <w:rsid w:val="00954EE2"/>
    <w:rsid w:val="00955F03"/>
    <w:rsid w:val="009655C1"/>
    <w:rsid w:val="00970340"/>
    <w:rsid w:val="00971CD0"/>
    <w:rsid w:val="00972803"/>
    <w:rsid w:val="00973482"/>
    <w:rsid w:val="0097780F"/>
    <w:rsid w:val="00980F51"/>
    <w:rsid w:val="00986A1A"/>
    <w:rsid w:val="0099001D"/>
    <w:rsid w:val="009A182B"/>
    <w:rsid w:val="009A2BEA"/>
    <w:rsid w:val="009A6A99"/>
    <w:rsid w:val="009B1883"/>
    <w:rsid w:val="009D0193"/>
    <w:rsid w:val="009D5319"/>
    <w:rsid w:val="009E0046"/>
    <w:rsid w:val="009E4600"/>
    <w:rsid w:val="009F125A"/>
    <w:rsid w:val="009F196D"/>
    <w:rsid w:val="009F1FDC"/>
    <w:rsid w:val="009F3A06"/>
    <w:rsid w:val="009F5BA8"/>
    <w:rsid w:val="00A12E7C"/>
    <w:rsid w:val="00A1439F"/>
    <w:rsid w:val="00A22182"/>
    <w:rsid w:val="00A232E0"/>
    <w:rsid w:val="00A23B4E"/>
    <w:rsid w:val="00A3357B"/>
    <w:rsid w:val="00A43064"/>
    <w:rsid w:val="00A440B9"/>
    <w:rsid w:val="00A5163A"/>
    <w:rsid w:val="00A52D20"/>
    <w:rsid w:val="00A72E5B"/>
    <w:rsid w:val="00A77CA0"/>
    <w:rsid w:val="00A81DA0"/>
    <w:rsid w:val="00A9181D"/>
    <w:rsid w:val="00A9509A"/>
    <w:rsid w:val="00AA14E6"/>
    <w:rsid w:val="00AA6249"/>
    <w:rsid w:val="00AB6BBC"/>
    <w:rsid w:val="00AD638C"/>
    <w:rsid w:val="00AF3826"/>
    <w:rsid w:val="00AF4C5F"/>
    <w:rsid w:val="00B00740"/>
    <w:rsid w:val="00B02F8C"/>
    <w:rsid w:val="00B064BA"/>
    <w:rsid w:val="00B227D4"/>
    <w:rsid w:val="00B31BD4"/>
    <w:rsid w:val="00B423AF"/>
    <w:rsid w:val="00B56421"/>
    <w:rsid w:val="00B6361F"/>
    <w:rsid w:val="00B715B8"/>
    <w:rsid w:val="00B732DC"/>
    <w:rsid w:val="00B75571"/>
    <w:rsid w:val="00B86F77"/>
    <w:rsid w:val="00B90589"/>
    <w:rsid w:val="00BA2688"/>
    <w:rsid w:val="00BB46C4"/>
    <w:rsid w:val="00BB5A81"/>
    <w:rsid w:val="00BB7034"/>
    <w:rsid w:val="00BC070E"/>
    <w:rsid w:val="00BC49DB"/>
    <w:rsid w:val="00BD32CC"/>
    <w:rsid w:val="00BD43DA"/>
    <w:rsid w:val="00BD7045"/>
    <w:rsid w:val="00BE2D0F"/>
    <w:rsid w:val="00BE3C4A"/>
    <w:rsid w:val="00BE3DD1"/>
    <w:rsid w:val="00BE483E"/>
    <w:rsid w:val="00BE5DA2"/>
    <w:rsid w:val="00BE71FE"/>
    <w:rsid w:val="00BF7763"/>
    <w:rsid w:val="00C04486"/>
    <w:rsid w:val="00C050DB"/>
    <w:rsid w:val="00C16B49"/>
    <w:rsid w:val="00C17851"/>
    <w:rsid w:val="00C30B63"/>
    <w:rsid w:val="00C46E2C"/>
    <w:rsid w:val="00C64253"/>
    <w:rsid w:val="00C706F2"/>
    <w:rsid w:val="00C759D5"/>
    <w:rsid w:val="00C77024"/>
    <w:rsid w:val="00C811D9"/>
    <w:rsid w:val="00C81BCD"/>
    <w:rsid w:val="00C8315D"/>
    <w:rsid w:val="00C842C4"/>
    <w:rsid w:val="00C9206C"/>
    <w:rsid w:val="00C958B9"/>
    <w:rsid w:val="00C97183"/>
    <w:rsid w:val="00CA58EE"/>
    <w:rsid w:val="00CB6750"/>
    <w:rsid w:val="00CC045C"/>
    <w:rsid w:val="00CC64FA"/>
    <w:rsid w:val="00CD198A"/>
    <w:rsid w:val="00CD24CA"/>
    <w:rsid w:val="00CD287C"/>
    <w:rsid w:val="00CD5988"/>
    <w:rsid w:val="00CD7216"/>
    <w:rsid w:val="00CE27E8"/>
    <w:rsid w:val="00CE574D"/>
    <w:rsid w:val="00CE6849"/>
    <w:rsid w:val="00CF5742"/>
    <w:rsid w:val="00D00311"/>
    <w:rsid w:val="00D029F4"/>
    <w:rsid w:val="00D04824"/>
    <w:rsid w:val="00D21C5C"/>
    <w:rsid w:val="00D240A5"/>
    <w:rsid w:val="00D25C0D"/>
    <w:rsid w:val="00D26D85"/>
    <w:rsid w:val="00D3103D"/>
    <w:rsid w:val="00D31AC0"/>
    <w:rsid w:val="00D328C0"/>
    <w:rsid w:val="00D33A10"/>
    <w:rsid w:val="00D35201"/>
    <w:rsid w:val="00D35971"/>
    <w:rsid w:val="00D35E33"/>
    <w:rsid w:val="00D373F8"/>
    <w:rsid w:val="00D4620E"/>
    <w:rsid w:val="00D51375"/>
    <w:rsid w:val="00D5510B"/>
    <w:rsid w:val="00D6680B"/>
    <w:rsid w:val="00D74144"/>
    <w:rsid w:val="00D77C94"/>
    <w:rsid w:val="00D814FF"/>
    <w:rsid w:val="00D81AA0"/>
    <w:rsid w:val="00D83870"/>
    <w:rsid w:val="00D83D18"/>
    <w:rsid w:val="00D93E61"/>
    <w:rsid w:val="00D97A86"/>
    <w:rsid w:val="00D97D91"/>
    <w:rsid w:val="00DA1513"/>
    <w:rsid w:val="00DA63DD"/>
    <w:rsid w:val="00DB3FC1"/>
    <w:rsid w:val="00DB6E45"/>
    <w:rsid w:val="00DC293B"/>
    <w:rsid w:val="00DC6493"/>
    <w:rsid w:val="00DD088E"/>
    <w:rsid w:val="00DD23D2"/>
    <w:rsid w:val="00DD2CDC"/>
    <w:rsid w:val="00DE01DA"/>
    <w:rsid w:val="00DE0F13"/>
    <w:rsid w:val="00DE491C"/>
    <w:rsid w:val="00E1498F"/>
    <w:rsid w:val="00E24676"/>
    <w:rsid w:val="00E67A2A"/>
    <w:rsid w:val="00E73EBF"/>
    <w:rsid w:val="00E76825"/>
    <w:rsid w:val="00E76D4E"/>
    <w:rsid w:val="00E86A34"/>
    <w:rsid w:val="00E86E4B"/>
    <w:rsid w:val="00E95626"/>
    <w:rsid w:val="00EA236F"/>
    <w:rsid w:val="00EA44AD"/>
    <w:rsid w:val="00EA617B"/>
    <w:rsid w:val="00EB1286"/>
    <w:rsid w:val="00EC1155"/>
    <w:rsid w:val="00EC336E"/>
    <w:rsid w:val="00EC68A9"/>
    <w:rsid w:val="00ED7761"/>
    <w:rsid w:val="00EE700B"/>
    <w:rsid w:val="00EF0D4D"/>
    <w:rsid w:val="00EF2CDC"/>
    <w:rsid w:val="00EF5377"/>
    <w:rsid w:val="00F04014"/>
    <w:rsid w:val="00F06A6C"/>
    <w:rsid w:val="00F119C3"/>
    <w:rsid w:val="00F23D8F"/>
    <w:rsid w:val="00F30ADA"/>
    <w:rsid w:val="00F33A6C"/>
    <w:rsid w:val="00F34409"/>
    <w:rsid w:val="00F40688"/>
    <w:rsid w:val="00F4414E"/>
    <w:rsid w:val="00F613C5"/>
    <w:rsid w:val="00F663BF"/>
    <w:rsid w:val="00F71318"/>
    <w:rsid w:val="00F7242A"/>
    <w:rsid w:val="00F75D2E"/>
    <w:rsid w:val="00F77860"/>
    <w:rsid w:val="00F84C57"/>
    <w:rsid w:val="00F8533B"/>
    <w:rsid w:val="00F940AF"/>
    <w:rsid w:val="00FA5E0B"/>
    <w:rsid w:val="00FB3177"/>
    <w:rsid w:val="00FB47CD"/>
    <w:rsid w:val="00FB4B5E"/>
    <w:rsid w:val="00FC022D"/>
    <w:rsid w:val="00FC48F0"/>
    <w:rsid w:val="00FC6027"/>
    <w:rsid w:val="00FD6AF5"/>
    <w:rsid w:val="00FD750E"/>
    <w:rsid w:val="00FE2A0F"/>
    <w:rsid w:val="00FF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8B095"/>
  <w15:chartTrackingRefBased/>
  <w15:docId w15:val="{4CC0A67C-C970-49A4-8613-0C438025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tabs>
        <w:tab w:val="left" w:pos="144"/>
        <w:tab w:val="left" w:pos="1224"/>
        <w:tab w:val="left" w:pos="1674"/>
        <w:tab w:val="left" w:pos="5364"/>
        <w:tab w:val="left" w:pos="5994"/>
        <w:tab w:val="left" w:pos="8244"/>
      </w:tabs>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dditionalStatementFlysheet">
    <w:name w:val="A - Additional/Statement Flysheet"/>
    <w:pPr>
      <w:pBdr>
        <w:bottom w:val="single" w:sz="18" w:space="0" w:color="auto"/>
      </w:pBdr>
      <w:jc w:val="center"/>
    </w:pPr>
    <w:rPr>
      <w:rFonts w:ascii="Trebuchet MS" w:hAnsi="Trebuchet MS"/>
      <w:b/>
      <w:sz w:val="32"/>
    </w:rPr>
  </w:style>
  <w:style w:type="character" w:customStyle="1" w:styleId="A-AdditionalStatementFlysheetChar">
    <w:name w:val="A - Additional/Statement Flysheet Char"/>
    <w:basedOn w:val="DefaultParagraphFont"/>
    <w:rPr>
      <w:rFonts w:ascii="Trebuchet MS" w:hAnsi="Trebuchet MS"/>
      <w:b/>
      <w:sz w:val="32"/>
    </w:rPr>
  </w:style>
  <w:style w:type="paragraph" w:customStyle="1" w:styleId="A-ContentsSub-level">
    <w:name w:val="A - Contents Sub-level"/>
    <w:pPr>
      <w:tabs>
        <w:tab w:val="left" w:pos="144"/>
        <w:tab w:val="left" w:pos="288"/>
        <w:tab w:val="left" w:pos="432"/>
        <w:tab w:val="left" w:pos="576"/>
        <w:tab w:val="left" w:pos="720"/>
        <w:tab w:val="left" w:pos="864"/>
        <w:tab w:val="left" w:pos="1008"/>
        <w:tab w:val="left" w:pos="1152"/>
        <w:tab w:val="left" w:pos="1296"/>
        <w:tab w:val="right" w:pos="9360"/>
      </w:tabs>
      <w:ind w:left="144"/>
    </w:pPr>
    <w:rPr>
      <w:rFonts w:ascii="Trebuchet MS" w:hAnsi="Trebuchet MS"/>
      <w:sz w:val="21"/>
    </w:rPr>
  </w:style>
  <w:style w:type="character" w:customStyle="1" w:styleId="A-ContentsSub-levelChar">
    <w:name w:val="A - Contents Sub-level Char"/>
    <w:basedOn w:val="DefaultParagraphFont"/>
    <w:rPr>
      <w:rFonts w:ascii="Trebuchet MS" w:hAnsi="Trebuchet MS"/>
      <w:sz w:val="21"/>
    </w:rPr>
  </w:style>
  <w:style w:type="paragraph" w:customStyle="1" w:styleId="A-ContentsMainLevel">
    <w:name w:val="A - Contents Main Level"/>
    <w:next w:val="A-ContentsSub-level"/>
    <w:pPr>
      <w:tabs>
        <w:tab w:val="right" w:pos="9360"/>
      </w:tabs>
    </w:pPr>
    <w:rPr>
      <w:rFonts w:ascii="Trebuchet MS" w:hAnsi="Trebuchet MS"/>
      <w:b/>
      <w:sz w:val="21"/>
    </w:rPr>
  </w:style>
  <w:style w:type="character" w:customStyle="1" w:styleId="A-ContentsMainLevelChar">
    <w:name w:val="A - Contents Main Level Char"/>
    <w:basedOn w:val="DefaultParagraphFont"/>
    <w:rPr>
      <w:rFonts w:ascii="Trebuchet MS" w:hAnsi="Trebuchet MS"/>
      <w:b/>
      <w:sz w:val="21"/>
    </w:rPr>
  </w:style>
  <w:style w:type="paragraph" w:customStyle="1" w:styleId="A-CoverYearEnd">
    <w:name w:val="A - Cover Year End"/>
    <w:rPr>
      <w:rFonts w:ascii="Trebuchet MS" w:hAnsi="Trebuchet MS"/>
      <w:sz w:val="24"/>
    </w:rPr>
  </w:style>
  <w:style w:type="character" w:customStyle="1" w:styleId="A-CoverYearEndChar">
    <w:name w:val="A - Cover Year End Char"/>
    <w:basedOn w:val="DefaultParagraphFont"/>
    <w:rPr>
      <w:rFonts w:ascii="Trebuchet MS" w:hAnsi="Trebuchet MS"/>
      <w:sz w:val="24"/>
    </w:rPr>
  </w:style>
  <w:style w:type="paragraph" w:customStyle="1" w:styleId="A-CoverDescription">
    <w:name w:val="A - Cover Description"/>
    <w:next w:val="A-CoverYearEnd"/>
    <w:rPr>
      <w:rFonts w:ascii="Trebuchet MS" w:hAnsi="Trebuchet MS"/>
      <w:sz w:val="28"/>
    </w:rPr>
  </w:style>
  <w:style w:type="character" w:customStyle="1" w:styleId="A-CoverDescriptionChar">
    <w:name w:val="A - Cover Description Char"/>
    <w:basedOn w:val="DefaultParagraphFont"/>
    <w:rPr>
      <w:rFonts w:ascii="Trebuchet MS" w:hAnsi="Trebuchet MS"/>
      <w:sz w:val="28"/>
    </w:rPr>
  </w:style>
  <w:style w:type="paragraph" w:customStyle="1" w:styleId="A-CoverTitle">
    <w:name w:val="A - Cover Title"/>
    <w:link w:val="A-CoverTitleChar1"/>
    <w:rPr>
      <w:rFonts w:ascii="Trebuchet MS" w:hAnsi="Trebuchet MS"/>
      <w:b/>
      <w:sz w:val="32"/>
    </w:rPr>
  </w:style>
  <w:style w:type="character" w:customStyle="1" w:styleId="A-CoverTitleChar">
    <w:name w:val="A - Cover Title Char"/>
    <w:basedOn w:val="DefaultParagraphFont"/>
    <w:rPr>
      <w:rFonts w:ascii="Trebuchet MS" w:hAnsi="Trebuchet MS"/>
      <w:b/>
      <w:sz w:val="32"/>
    </w:rPr>
  </w:style>
  <w:style w:type="paragraph" w:customStyle="1" w:styleId="A-CoverSub-title">
    <w:name w:val="A - Cover Sub-title"/>
    <w:next w:val="A-CoverTitle"/>
    <w:rPr>
      <w:rFonts w:ascii="Trebuchet MS" w:hAnsi="Trebuchet MS"/>
      <w:b/>
      <w:sz w:val="24"/>
    </w:rPr>
  </w:style>
  <w:style w:type="character" w:customStyle="1" w:styleId="A-CoverSub-titleChar">
    <w:name w:val="A - Cover Sub-title Char"/>
    <w:basedOn w:val="DefaultParagraphFont"/>
    <w:rPr>
      <w:rFonts w:ascii="Trebuchet MS" w:hAnsi="Trebuchet MS"/>
      <w:b/>
      <w:sz w:val="24"/>
    </w:rPr>
  </w:style>
  <w:style w:type="paragraph" w:customStyle="1" w:styleId="A-FlysheetAdditional">
    <w:name w:val="A - Flysheet/Additional"/>
    <w:next w:val="Normal"/>
    <w:pPr>
      <w:pBdr>
        <w:bottom w:val="single" w:sz="18" w:space="0" w:color="auto"/>
      </w:pBdr>
      <w:jc w:val="center"/>
    </w:pPr>
    <w:rPr>
      <w:rFonts w:ascii="Trebuchet MS" w:hAnsi="Trebuchet MS"/>
      <w:b/>
      <w:sz w:val="32"/>
    </w:rPr>
  </w:style>
  <w:style w:type="character" w:customStyle="1" w:styleId="A-FlysheetAdditionalChar">
    <w:name w:val="A - Flysheet/Additional Char"/>
    <w:basedOn w:val="DefaultParagraphFont"/>
    <w:rPr>
      <w:rFonts w:ascii="Trebuchet MS" w:hAnsi="Trebuchet MS"/>
      <w:b/>
      <w:sz w:val="32"/>
    </w:rPr>
  </w:style>
  <w:style w:type="paragraph" w:customStyle="1" w:styleId="A-FlysheetYearEnd">
    <w:name w:val="A - Flysheet Year End"/>
    <w:pPr>
      <w:jc w:val="center"/>
    </w:pPr>
    <w:rPr>
      <w:rFonts w:ascii="Trebuchet MS" w:hAnsi="Trebuchet MS"/>
      <w:sz w:val="24"/>
    </w:rPr>
  </w:style>
  <w:style w:type="character" w:customStyle="1" w:styleId="A-FlysheetYearEndChar">
    <w:name w:val="A - Flysheet Year End Char"/>
    <w:basedOn w:val="DefaultParagraphFont"/>
    <w:rPr>
      <w:rFonts w:ascii="Trebuchet MS" w:hAnsi="Trebuchet MS"/>
      <w:sz w:val="24"/>
    </w:rPr>
  </w:style>
  <w:style w:type="paragraph" w:customStyle="1" w:styleId="A-FlysheetDescription">
    <w:name w:val="A - Flysheet Description"/>
    <w:next w:val="A-FlysheetYearEnd"/>
    <w:pPr>
      <w:jc w:val="center"/>
    </w:pPr>
    <w:rPr>
      <w:rFonts w:ascii="Trebuchet MS" w:hAnsi="Trebuchet MS"/>
      <w:sz w:val="28"/>
    </w:rPr>
  </w:style>
  <w:style w:type="character" w:customStyle="1" w:styleId="A-FlysheetDescriptionChar">
    <w:name w:val="A - Flysheet Description Char"/>
    <w:basedOn w:val="DefaultParagraphFont"/>
    <w:rPr>
      <w:rFonts w:ascii="Trebuchet MS" w:hAnsi="Trebuchet MS"/>
      <w:sz w:val="28"/>
    </w:rPr>
  </w:style>
  <w:style w:type="paragraph" w:customStyle="1" w:styleId="A-FlysheetSpacer-Line">
    <w:name w:val="A - Flysheet Spacer-Line"/>
    <w:next w:val="A-FlysheetDescription"/>
    <w:pPr>
      <w:pBdr>
        <w:top w:val="single" w:sz="18" w:space="0" w:color="auto"/>
      </w:pBdr>
      <w:jc w:val="center"/>
    </w:pPr>
    <w:rPr>
      <w:rFonts w:ascii="Trebuchet MS" w:hAnsi="Trebuchet MS"/>
      <w:sz w:val="16"/>
    </w:rPr>
  </w:style>
  <w:style w:type="character" w:customStyle="1" w:styleId="A-FlysheetSpacer-LineChar">
    <w:name w:val="A - Flysheet Spacer-Line Char"/>
    <w:basedOn w:val="DefaultParagraphFont"/>
    <w:rPr>
      <w:rFonts w:ascii="Trebuchet MS" w:hAnsi="Trebuchet MS"/>
      <w:sz w:val="16"/>
    </w:rPr>
  </w:style>
  <w:style w:type="paragraph" w:customStyle="1" w:styleId="A-FlysheetSub-title">
    <w:name w:val="A - Flysheet Sub-title"/>
    <w:next w:val="A-FlysheetSpacer-Line"/>
    <w:pPr>
      <w:jc w:val="center"/>
    </w:pPr>
    <w:rPr>
      <w:rFonts w:ascii="Trebuchet MS" w:hAnsi="Trebuchet MS"/>
      <w:b/>
      <w:sz w:val="24"/>
    </w:rPr>
  </w:style>
  <w:style w:type="character" w:customStyle="1" w:styleId="A-FlysheetSub-titleChar">
    <w:name w:val="A - Flysheet Sub-title Char"/>
    <w:basedOn w:val="DefaultParagraphFont"/>
    <w:rPr>
      <w:rFonts w:ascii="Trebuchet MS" w:hAnsi="Trebuchet MS"/>
      <w:b/>
      <w:sz w:val="24"/>
    </w:rPr>
  </w:style>
  <w:style w:type="paragraph" w:customStyle="1" w:styleId="A-FlysheetTitle">
    <w:name w:val="A - Flysheet Title"/>
    <w:next w:val="A-FlysheetSpacer-Line"/>
    <w:pPr>
      <w:jc w:val="center"/>
    </w:pPr>
    <w:rPr>
      <w:rFonts w:ascii="Trebuchet MS" w:hAnsi="Trebuchet MS"/>
      <w:b/>
      <w:sz w:val="32"/>
    </w:rPr>
  </w:style>
  <w:style w:type="character" w:customStyle="1" w:styleId="A-FlysheetTitleChar">
    <w:name w:val="A - Flysheet Title Char"/>
    <w:basedOn w:val="DefaultParagraphFont"/>
    <w:rPr>
      <w:rFonts w:ascii="Trebuchet MS" w:hAnsi="Trebuchet MS"/>
      <w:b/>
      <w:sz w:val="32"/>
    </w:rPr>
  </w:style>
  <w:style w:type="paragraph" w:customStyle="1" w:styleId="A-MainBodyText">
    <w:name w:val="A - Main Body Text"/>
    <w:pPr>
      <w:jc w:val="both"/>
    </w:pPr>
    <w:rPr>
      <w:rFonts w:ascii="Trebuchet MS" w:hAnsi="Trebuchet MS"/>
      <w:sz w:val="21"/>
    </w:rPr>
  </w:style>
  <w:style w:type="character" w:customStyle="1" w:styleId="A-MainBodyTextChar">
    <w:name w:val="A - Main Body Text Char"/>
    <w:basedOn w:val="DefaultParagraphFont"/>
    <w:rPr>
      <w:rFonts w:ascii="Trebuchet MS" w:hAnsi="Trebuchet MS"/>
      <w:sz w:val="21"/>
    </w:rPr>
  </w:style>
  <w:style w:type="paragraph" w:customStyle="1" w:styleId="A-Spacer">
    <w:name w:val="A - Spacer"/>
    <w:next w:val="A-MainBodyText"/>
    <w:qFormat/>
    <w:pPr>
      <w:jc w:val="center"/>
    </w:pPr>
    <w:rPr>
      <w:rFonts w:ascii="Trebuchet MS" w:hAnsi="Trebuchet MS"/>
      <w:sz w:val="16"/>
    </w:rPr>
  </w:style>
  <w:style w:type="character" w:customStyle="1" w:styleId="A-SpacerChar">
    <w:name w:val="A - Spacer Char"/>
    <w:basedOn w:val="DefaultParagraphFont"/>
    <w:rPr>
      <w:rFonts w:ascii="Trebuchet MS" w:hAnsi="Trebuchet MS"/>
      <w:sz w:val="16"/>
    </w:rPr>
  </w:style>
  <w:style w:type="paragraph" w:customStyle="1" w:styleId="A-HeaderDescription">
    <w:name w:val="A - Header Description"/>
    <w:next w:val="Normal"/>
    <w:pPr>
      <w:pBdr>
        <w:bottom w:val="single" w:sz="18" w:space="0" w:color="auto"/>
      </w:pBdr>
      <w:jc w:val="center"/>
    </w:pPr>
    <w:rPr>
      <w:rFonts w:ascii="Trebuchet MS" w:hAnsi="Trebuchet MS"/>
      <w:b/>
      <w:sz w:val="24"/>
    </w:rPr>
  </w:style>
  <w:style w:type="character" w:customStyle="1" w:styleId="A-HeaderDescriptionChar">
    <w:name w:val="A - Header Description Char"/>
    <w:basedOn w:val="DefaultParagraphFont"/>
    <w:rPr>
      <w:rFonts w:ascii="Trebuchet MS" w:hAnsi="Trebuchet MS"/>
      <w:b/>
      <w:sz w:val="24"/>
    </w:rPr>
  </w:style>
  <w:style w:type="paragraph" w:customStyle="1" w:styleId="A-HeaderSub-title">
    <w:name w:val="A - Header Sub-title"/>
    <w:next w:val="A-Spacer"/>
    <w:qFormat/>
    <w:pPr>
      <w:jc w:val="center"/>
    </w:pPr>
    <w:rPr>
      <w:rFonts w:ascii="Trebuchet MS" w:hAnsi="Trebuchet MS"/>
      <w:b/>
      <w:sz w:val="24"/>
    </w:rPr>
  </w:style>
  <w:style w:type="character" w:customStyle="1" w:styleId="A-HeaderSub-titleChar">
    <w:name w:val="A - Header Sub-title Char"/>
    <w:basedOn w:val="DefaultParagraphFont"/>
    <w:rPr>
      <w:rFonts w:ascii="Trebuchet MS" w:hAnsi="Trebuchet MS"/>
      <w:b/>
      <w:sz w:val="24"/>
    </w:rPr>
  </w:style>
  <w:style w:type="paragraph" w:customStyle="1" w:styleId="A-HeaderTitle">
    <w:name w:val="A - Header Title"/>
    <w:next w:val="A-Spacer"/>
    <w:qFormat/>
    <w:pPr>
      <w:jc w:val="center"/>
    </w:pPr>
    <w:rPr>
      <w:rFonts w:ascii="Trebuchet MS" w:hAnsi="Trebuchet MS"/>
      <w:b/>
      <w:sz w:val="28"/>
    </w:rPr>
  </w:style>
  <w:style w:type="character" w:customStyle="1" w:styleId="A-HeaderTitleChar">
    <w:name w:val="A - Header Title Char"/>
    <w:basedOn w:val="DefaultParagraphFont"/>
    <w:rPr>
      <w:rFonts w:ascii="Trebuchet MS" w:hAnsi="Trebuchet MS"/>
      <w:b/>
      <w:sz w:val="28"/>
    </w:rPr>
  </w:style>
  <w:style w:type="paragraph" w:customStyle="1" w:styleId="A-NotesSub-title">
    <w:name w:val="A - Notes Sub-title"/>
    <w:next w:val="A-MainBodyText"/>
    <w:rPr>
      <w:rFonts w:ascii="Trebuchet MS" w:hAnsi="Trebuchet MS"/>
      <w:b/>
      <w:i/>
      <w:sz w:val="21"/>
    </w:rPr>
  </w:style>
  <w:style w:type="character" w:customStyle="1" w:styleId="A-NotesSub-titleChar">
    <w:name w:val="A - Notes Sub-title Char"/>
    <w:basedOn w:val="DefaultParagraphFont"/>
    <w:rPr>
      <w:rFonts w:ascii="Trebuchet MS" w:hAnsi="Trebuchet MS"/>
      <w:b/>
      <w:i/>
      <w:sz w:val="21"/>
    </w:rPr>
  </w:style>
  <w:style w:type="paragraph" w:customStyle="1" w:styleId="A-NotesSub-title2">
    <w:name w:val="A - Notes Sub-title 2"/>
    <w:next w:val="A-MainBodyText"/>
    <w:rPr>
      <w:rFonts w:ascii="Trebuchet MS" w:hAnsi="Trebuchet MS"/>
      <w:i/>
      <w:sz w:val="21"/>
    </w:rPr>
  </w:style>
  <w:style w:type="character" w:customStyle="1" w:styleId="A-NotesSub-title2Char">
    <w:name w:val="A - Notes Sub-title 2 Char"/>
    <w:basedOn w:val="DefaultParagraphFont"/>
    <w:rPr>
      <w:rFonts w:ascii="Trebuchet MS" w:hAnsi="Trebuchet MS"/>
      <w:i/>
      <w:sz w:val="21"/>
    </w:rPr>
  </w:style>
  <w:style w:type="paragraph" w:customStyle="1" w:styleId="A-NotesSub-title3">
    <w:name w:val="A - Notes Sub-title 3"/>
    <w:next w:val="A-MainBodyText"/>
    <w:rPr>
      <w:rFonts w:ascii="Trebuchet MS" w:hAnsi="Trebuchet MS"/>
      <w:sz w:val="21"/>
      <w:u w:val="single"/>
    </w:rPr>
  </w:style>
  <w:style w:type="character" w:customStyle="1" w:styleId="A-NotesSub-title3Char">
    <w:name w:val="A - Notes Sub-title 3 Char"/>
    <w:basedOn w:val="DefaultParagraphFont"/>
    <w:rPr>
      <w:rFonts w:ascii="Trebuchet MS" w:hAnsi="Trebuchet MS"/>
      <w:sz w:val="21"/>
      <w:u w:val="single"/>
    </w:rPr>
  </w:style>
  <w:style w:type="paragraph" w:customStyle="1" w:styleId="A-NotesTitle">
    <w:name w:val="A - Notes Title"/>
    <w:next w:val="A-MainBodyText"/>
    <w:rPr>
      <w:rFonts w:ascii="Trebuchet MS" w:hAnsi="Trebuchet MS"/>
      <w:b/>
      <w:sz w:val="24"/>
    </w:rPr>
  </w:style>
  <w:style w:type="character" w:customStyle="1" w:styleId="A-NotesTitleChar">
    <w:name w:val="A - Notes Title Char"/>
    <w:basedOn w:val="DefaultParagraphFont"/>
    <w:rPr>
      <w:rFonts w:ascii="Trebuchet MS" w:hAnsi="Trebuchet MS"/>
      <w:b/>
      <w:sz w:val="24"/>
    </w:rPr>
  </w:style>
  <w:style w:type="paragraph" w:customStyle="1" w:styleId="A-OpinionTitle">
    <w:name w:val="A - Opinion Title"/>
    <w:next w:val="A-MainBodyText"/>
    <w:rPr>
      <w:rFonts w:ascii="Trebuchet MS" w:hAnsi="Trebuchet MS"/>
      <w:b/>
      <w:sz w:val="24"/>
    </w:rPr>
  </w:style>
  <w:style w:type="character" w:customStyle="1" w:styleId="A-OpinionTitleChar">
    <w:name w:val="A - Opinion Title Char"/>
    <w:basedOn w:val="DefaultParagraphFont"/>
    <w:rPr>
      <w:rFonts w:ascii="Trebuchet MS" w:hAnsi="Trebuchet MS"/>
      <w:b/>
      <w:sz w:val="24"/>
    </w:rPr>
  </w:style>
  <w:style w:type="paragraph" w:customStyle="1" w:styleId="A-PageNumber">
    <w:name w:val="A - Page Number"/>
    <w:pPr>
      <w:jc w:val="center"/>
    </w:pPr>
    <w:rPr>
      <w:rFonts w:ascii="Trebuchet MS" w:hAnsi="Trebuchet MS"/>
      <w:b/>
      <w:sz w:val="21"/>
    </w:rPr>
  </w:style>
  <w:style w:type="character" w:customStyle="1" w:styleId="A-PageNumberChar">
    <w:name w:val="A - Page Number Char"/>
    <w:basedOn w:val="DefaultParagraphFont"/>
    <w:rPr>
      <w:rFonts w:ascii="Trebuchet MS" w:hAnsi="Trebuchet MS"/>
      <w:b/>
      <w:sz w:val="21"/>
    </w:rPr>
  </w:style>
  <w:style w:type="paragraph" w:customStyle="1" w:styleId="A-StatementFlysheet">
    <w:name w:val="A - Statement Flysheet"/>
    <w:next w:val="A-MainBodyText"/>
    <w:pPr>
      <w:pBdr>
        <w:bottom w:val="single" w:sz="18" w:space="0" w:color="auto"/>
      </w:pBdr>
      <w:jc w:val="center"/>
    </w:pPr>
    <w:rPr>
      <w:rFonts w:ascii="Trebuchet MS" w:hAnsi="Trebuchet MS"/>
      <w:b/>
      <w:sz w:val="32"/>
    </w:rPr>
  </w:style>
  <w:style w:type="character" w:customStyle="1" w:styleId="A-StatementFlysheetChar">
    <w:name w:val="A - Statement Flysheet Char"/>
    <w:basedOn w:val="DefaultParagraphFont"/>
    <w:rPr>
      <w:rFonts w:ascii="Trebuchet MS" w:hAnsi="Trebuchet MS"/>
      <w:b/>
      <w:sz w:val="32"/>
    </w:rPr>
  </w:style>
  <w:style w:type="paragraph" w:customStyle="1" w:styleId="A-StatementReference">
    <w:name w:val="A - Statement Reference"/>
    <w:next w:val="A-MainBodyText"/>
    <w:pPr>
      <w:jc w:val="right"/>
    </w:pPr>
    <w:rPr>
      <w:rFonts w:ascii="Trebuchet MS" w:hAnsi="Trebuchet MS"/>
      <w:i/>
      <w:sz w:val="21"/>
    </w:rPr>
  </w:style>
  <w:style w:type="character" w:customStyle="1" w:styleId="A-StatementReferenceChar">
    <w:name w:val="A - Statement Reference Char"/>
    <w:basedOn w:val="DefaultParagraphFont"/>
    <w:rPr>
      <w:rFonts w:ascii="Trebuchet MS" w:hAnsi="Trebuchet MS"/>
      <w:i/>
      <w:sz w:val="21"/>
    </w:rPr>
  </w:style>
  <w:style w:type="paragraph" w:customStyle="1" w:styleId="A-TPILBFooters">
    <w:name w:val="A - TPILB &amp; Footers"/>
    <w:next w:val="A-MainBodyText"/>
    <w:pPr>
      <w:jc w:val="center"/>
    </w:pPr>
    <w:rPr>
      <w:rFonts w:ascii="Trebuchet MS" w:hAnsi="Trebuchet MS"/>
      <w:i/>
      <w:sz w:val="21"/>
    </w:rPr>
  </w:style>
  <w:style w:type="character" w:customStyle="1" w:styleId="A-TPILBFootersChar">
    <w:name w:val="A - TPILB &amp; Footers Char"/>
    <w:basedOn w:val="DefaultParagraphFont"/>
    <w:rPr>
      <w:rFonts w:ascii="Trebuchet MS" w:hAnsi="Trebuchet MS"/>
      <w:i/>
      <w:sz w:val="21"/>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rebuchet MS" w:hAnsi="Trebuchet MS"/>
      <w:sz w:val="21"/>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rebuchet MS" w:hAnsi="Trebuchet MS"/>
      <w:sz w:val="21"/>
    </w:rPr>
  </w:style>
  <w:style w:type="character" w:styleId="PlaceholderText">
    <w:name w:val="Placeholder Text"/>
    <w:basedOn w:val="DefaultParagraphFont"/>
    <w:uiPriority w:val="99"/>
    <w:semiHidden/>
    <w:rPr>
      <w:color w:val="808080"/>
    </w:rPr>
  </w:style>
  <w:style w:type="paragraph" w:customStyle="1" w:styleId="BDOFooter">
    <w:name w:val="BDO_Footer"/>
    <w:basedOn w:val="Normal"/>
    <w:pPr>
      <w:spacing w:line="144" w:lineRule="exact"/>
    </w:pPr>
    <w:rPr>
      <w:color w:val="786860"/>
      <w:sz w:val="12"/>
      <w:lang w:eastAsia="en-GB"/>
    </w:rPr>
  </w:style>
  <w:style w:type="character" w:styleId="PageNumber">
    <w:name w:val="page number"/>
    <w:basedOn w:val="DefaultParagraphFont"/>
  </w:style>
  <w:style w:type="paragraph" w:customStyle="1" w:styleId="A-HeaderDescriptionB-HeaderDescription">
    <w:name w:val="A - Header Description/B - Header Description"/>
    <w:next w:val="Normal"/>
    <w:link w:val="A-HeaderDescriptionB-HeaderDescriptionChar"/>
    <w:qFormat/>
    <w:pPr>
      <w:pBdr>
        <w:bottom w:val="single" w:sz="18" w:space="1" w:color="auto"/>
      </w:pBdr>
      <w:jc w:val="center"/>
    </w:pPr>
    <w:rPr>
      <w:rFonts w:ascii="Trebuchet MS" w:hAnsi="Trebuchet MS" w:cs="Times New Roman"/>
      <w:b/>
      <w:sz w:val="24"/>
      <w:szCs w:val="24"/>
    </w:rPr>
  </w:style>
  <w:style w:type="character" w:customStyle="1" w:styleId="A-HeaderDescriptionB-HeaderDescriptionChar">
    <w:name w:val="A - Header Description/B - Header Description Char"/>
    <w:basedOn w:val="HeaderChar"/>
    <w:link w:val="A-HeaderDescriptionB-HeaderDescription"/>
    <w:rPr>
      <w:rFonts w:ascii="Trebuchet MS" w:hAnsi="Trebuchet MS" w:cs="Times New Roman"/>
      <w:b/>
      <w:sz w:val="24"/>
      <w:szCs w:val="24"/>
    </w:rPr>
  </w:style>
  <w:style w:type="character" w:customStyle="1" w:styleId="Heading1Char">
    <w:name w:val="Heading 1 Char"/>
    <w:basedOn w:val="DefaultParagraphFont"/>
    <w:link w:val="Heading1"/>
    <w:rPr>
      <w:rFonts w:ascii="Times New Roman" w:eastAsia="Times New Roman" w:hAnsi="Times New Roman" w:cs="Times New Roman"/>
      <w:b/>
      <w:sz w:val="24"/>
      <w:szCs w:val="20"/>
      <w:u w:val="single"/>
    </w:rPr>
  </w:style>
  <w:style w:type="paragraph" w:customStyle="1" w:styleId="BDONormal">
    <w:name w:val="BDO_Normal"/>
    <w:link w:val="BDONormalChar"/>
    <w:rPr>
      <w:rFonts w:ascii="Trebuchet MS" w:eastAsia="Times New Roman" w:hAnsi="Trebuchet MS" w:cs="Times New Roman"/>
      <w:sz w:val="20"/>
      <w:szCs w:val="24"/>
      <w:lang w:eastAsia="en-GB"/>
    </w:rPr>
  </w:style>
  <w:style w:type="character" w:customStyle="1" w:styleId="BDONormalChar">
    <w:name w:val="BDO_Normal Char"/>
    <w:basedOn w:val="DefaultParagraphFont"/>
    <w:link w:val="BDONormal"/>
    <w:rPr>
      <w:rFonts w:ascii="Trebuchet MS" w:eastAsia="Times New Roman" w:hAnsi="Trebuchet MS" w:cs="Times New Roman"/>
      <w:sz w:val="20"/>
      <w:szCs w:val="24"/>
      <w:lang w:eastAsia="en-GB"/>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basedOn w:val="DefaultParagraphFont"/>
    <w:semiHidden/>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BodyText">
    <w:name w:val="Body Text"/>
    <w:basedOn w:val="Normal"/>
    <w:link w:val="BodyTextChar"/>
    <w:pPr>
      <w:tabs>
        <w:tab w:val="left" w:pos="-720"/>
        <w:tab w:val="left" w:pos="0"/>
      </w:tabs>
      <w:suppressAutoHyphens/>
      <w:spacing w:line="480" w:lineRule="auto"/>
      <w:jc w:val="both"/>
    </w:pPr>
    <w:rPr>
      <w:spacing w:val="-3"/>
      <w:szCs w:val="20"/>
    </w:rPr>
  </w:style>
  <w:style w:type="character" w:customStyle="1" w:styleId="BodyTextChar">
    <w:name w:val="Body Text Char"/>
    <w:basedOn w:val="DefaultParagraphFont"/>
    <w:link w:val="BodyText"/>
    <w:rPr>
      <w:rFonts w:ascii="Times New Roman" w:eastAsia="Times New Roman" w:hAnsi="Times New Roman" w:cs="Times New Roman"/>
      <w:spacing w:val="-3"/>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rPr>
      <w:rFonts w:ascii="Times New Roman" w:eastAsia="Times New Roman" w:hAnsi="Times New Roman" w:cs="Times New Roman"/>
      <w:sz w:val="24"/>
      <w:szCs w:val="24"/>
    </w:rPr>
  </w:style>
  <w:style w:type="paragraph" w:customStyle="1" w:styleId="BDOBODY14ptleading">
    <w:name w:val="BDO BODY 14 pt leading"/>
    <w:basedOn w:val="Normal"/>
    <w:link w:val="BDOBODY14ptleadingChar"/>
    <w:qFormat/>
    <w:rsid w:val="000B22A3"/>
    <w:pPr>
      <w:spacing w:after="240" w:line="280" w:lineRule="exact"/>
    </w:pPr>
    <w:rPr>
      <w:rFonts w:ascii="Trebuchet MS" w:hAnsi="Trebuchet MS"/>
      <w:sz w:val="20"/>
      <w:szCs w:val="20"/>
      <w:lang w:eastAsia="en-GB"/>
    </w:rPr>
  </w:style>
  <w:style w:type="character" w:customStyle="1" w:styleId="BDOBODY14ptleadingChar">
    <w:name w:val="BDO BODY 14 pt leading Char"/>
    <w:basedOn w:val="DefaultParagraphFont"/>
    <w:link w:val="BDOBODY14ptleading"/>
    <w:rsid w:val="000B22A3"/>
    <w:rPr>
      <w:rFonts w:ascii="Trebuchet MS" w:eastAsia="Times New Roman" w:hAnsi="Trebuchet MS" w:cs="Times New Roman"/>
      <w:sz w:val="20"/>
      <w:szCs w:val="20"/>
      <w:lang w:eastAsia="en-GB"/>
    </w:rPr>
  </w:style>
  <w:style w:type="table" w:styleId="TableGrid">
    <w:name w:val="Table Grid"/>
    <w:basedOn w:val="TableNormal"/>
    <w:uiPriority w:val="39"/>
    <w:rsid w:val="006A4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BABODY">
    <w:name w:val="VBA BODY"/>
    <w:basedOn w:val="Normal"/>
    <w:link w:val="VBABODYChar"/>
    <w:qFormat/>
    <w:rsid w:val="003A56CE"/>
    <w:pPr>
      <w:spacing w:after="240" w:line="280" w:lineRule="exact"/>
    </w:pPr>
    <w:rPr>
      <w:rFonts w:ascii="Trebuchet MS" w:hAnsi="Trebuchet MS"/>
      <w:color w:val="44546A" w:themeColor="text2"/>
      <w:sz w:val="18"/>
      <w:szCs w:val="20"/>
      <w:lang w:eastAsia="en-GB"/>
    </w:rPr>
  </w:style>
  <w:style w:type="character" w:customStyle="1" w:styleId="VBABODYChar">
    <w:name w:val="VBA BODY Char"/>
    <w:basedOn w:val="DefaultParagraphFont"/>
    <w:link w:val="VBABODY"/>
    <w:rsid w:val="003A56CE"/>
    <w:rPr>
      <w:rFonts w:ascii="Trebuchet MS" w:eastAsia="Times New Roman" w:hAnsi="Trebuchet MS" w:cs="Times New Roman"/>
      <w:color w:val="44546A" w:themeColor="text2"/>
      <w:sz w:val="18"/>
      <w:szCs w:val="20"/>
      <w:lang w:eastAsia="en-GB"/>
    </w:rPr>
  </w:style>
  <w:style w:type="paragraph" w:customStyle="1" w:styleId="DocID">
    <w:name w:val="DocID"/>
    <w:basedOn w:val="Footer"/>
    <w:next w:val="Footer"/>
    <w:link w:val="DocIDChar"/>
    <w:rsid w:val="00D77C94"/>
    <w:pPr>
      <w:tabs>
        <w:tab w:val="clear" w:pos="4680"/>
        <w:tab w:val="clear" w:pos="9360"/>
      </w:tabs>
    </w:pPr>
    <w:rPr>
      <w:sz w:val="16"/>
      <w:szCs w:val="20"/>
    </w:rPr>
  </w:style>
  <w:style w:type="character" w:customStyle="1" w:styleId="A-CoverTitleChar1">
    <w:name w:val="A - Cover Title Char1"/>
    <w:basedOn w:val="DefaultParagraphFont"/>
    <w:link w:val="A-CoverTitle"/>
    <w:rsid w:val="00D77C94"/>
    <w:rPr>
      <w:rFonts w:ascii="Trebuchet MS" w:hAnsi="Trebuchet MS"/>
      <w:b/>
      <w:sz w:val="32"/>
    </w:rPr>
  </w:style>
  <w:style w:type="character" w:customStyle="1" w:styleId="DocIDChar">
    <w:name w:val="DocID Char"/>
    <w:basedOn w:val="A-CoverTitleChar1"/>
    <w:link w:val="DocID"/>
    <w:rsid w:val="00D77C94"/>
    <w:rPr>
      <w:rFonts w:ascii="Times New Roman" w:eastAsia="Times New Roman" w:hAnsi="Times New Roman" w:cs="Times New Roman"/>
      <w:b w:val="0"/>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311">
      <w:bodyDiv w:val="1"/>
      <w:marLeft w:val="0"/>
      <w:marRight w:val="0"/>
      <w:marTop w:val="0"/>
      <w:marBottom w:val="0"/>
      <w:divBdr>
        <w:top w:val="none" w:sz="0" w:space="0" w:color="auto"/>
        <w:left w:val="none" w:sz="0" w:space="0" w:color="auto"/>
        <w:bottom w:val="none" w:sz="0" w:space="0" w:color="auto"/>
        <w:right w:val="none" w:sz="0" w:space="0" w:color="auto"/>
      </w:divBdr>
    </w:div>
    <w:div w:id="452674918">
      <w:bodyDiv w:val="1"/>
      <w:marLeft w:val="0"/>
      <w:marRight w:val="0"/>
      <w:marTop w:val="0"/>
      <w:marBottom w:val="0"/>
      <w:divBdr>
        <w:top w:val="none" w:sz="0" w:space="0" w:color="auto"/>
        <w:left w:val="none" w:sz="0" w:space="0" w:color="auto"/>
        <w:bottom w:val="none" w:sz="0" w:space="0" w:color="auto"/>
        <w:right w:val="none" w:sz="0" w:space="0" w:color="auto"/>
      </w:divBdr>
    </w:div>
    <w:div w:id="462891327">
      <w:bodyDiv w:val="1"/>
      <w:marLeft w:val="0"/>
      <w:marRight w:val="0"/>
      <w:marTop w:val="0"/>
      <w:marBottom w:val="0"/>
      <w:divBdr>
        <w:top w:val="none" w:sz="0" w:space="0" w:color="auto"/>
        <w:left w:val="none" w:sz="0" w:space="0" w:color="auto"/>
        <w:bottom w:val="none" w:sz="0" w:space="0" w:color="auto"/>
        <w:right w:val="none" w:sz="0" w:space="0" w:color="auto"/>
      </w:divBdr>
    </w:div>
    <w:div w:id="1401514698">
      <w:bodyDiv w:val="1"/>
      <w:marLeft w:val="0"/>
      <w:marRight w:val="0"/>
      <w:marTop w:val="0"/>
      <w:marBottom w:val="0"/>
      <w:divBdr>
        <w:top w:val="none" w:sz="0" w:space="0" w:color="auto"/>
        <w:left w:val="none" w:sz="0" w:space="0" w:color="auto"/>
        <w:bottom w:val="none" w:sz="0" w:space="0" w:color="auto"/>
        <w:right w:val="none" w:sz="0" w:space="0" w:color="auto"/>
      </w:divBdr>
    </w:div>
    <w:div w:id="1892837527">
      <w:bodyDiv w:val="1"/>
      <w:marLeft w:val="0"/>
      <w:marRight w:val="0"/>
      <w:marTop w:val="0"/>
      <w:marBottom w:val="0"/>
      <w:divBdr>
        <w:top w:val="none" w:sz="0" w:space="0" w:color="auto"/>
        <w:left w:val="none" w:sz="0" w:space="0" w:color="auto"/>
        <w:bottom w:val="none" w:sz="0" w:space="0" w:color="auto"/>
        <w:right w:val="none" w:sz="0" w:space="0" w:color="auto"/>
      </w:divBdr>
    </w:div>
    <w:div w:id="192695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2.e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image" Target="media/image4.emf"/><Relationship Id="rId30" Type="http://schemas.openxmlformats.org/officeDocument/2006/relationships/header" Target="header12.xml"/></Relationships>
</file>

<file path=word/_rels/header11.xml.rels><?xml version="1.0" encoding="UTF-8" standalone="yes"?>
<Relationships xmlns="http://schemas.openxmlformats.org/package/2006/relationships"><Relationship Id="rId1" Type="http://schemas.openxmlformats.org/officeDocument/2006/relationships/image" Target="media/image5.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0D5A5E8-DFB4-4E3F-806E-3548FB924CBD}"/>
      </w:docPartPr>
      <w:docPartBody>
        <w:p w:rsidR="00A54F44" w:rsidRDefault="00A54F44">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44"/>
    <w:rsid w:val="0018698E"/>
    <w:rsid w:val="00283951"/>
    <w:rsid w:val="00304F8D"/>
    <w:rsid w:val="00425E5F"/>
    <w:rsid w:val="00750F82"/>
    <w:rsid w:val="00753311"/>
    <w:rsid w:val="00A54F44"/>
    <w:rsid w:val="00BC331C"/>
    <w:rsid w:val="00EA1E78"/>
    <w:rsid w:val="00F7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E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E040C8D1CD345B13B4FDE7A14C0E3" ma:contentTypeVersion="9" ma:contentTypeDescription="Create a new document." ma:contentTypeScope="" ma:versionID="c44cc831213fef774191c4f43d3f838c">
  <xsd:schema xmlns:xsd="http://www.w3.org/2001/XMLSchema" xmlns:xs="http://www.w3.org/2001/XMLSchema" xmlns:p="http://schemas.microsoft.com/office/2006/metadata/properties" xmlns:ns3="b4bb7234-3767-417b-8069-110e3347921a" targetNamespace="http://schemas.microsoft.com/office/2006/metadata/properties" ma:root="true" ma:fieldsID="409d61b638e7caebecc30b478d6e3485" ns3:_="">
    <xsd:import namespace="b4bb7234-3767-417b-8069-110e334792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b7234-3767-417b-8069-110e33479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64A7F-F07B-4CED-85D6-7A8A603BB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b7234-3767-417b-8069-110e33479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8940-4FB3-4996-80F3-56FA0E77A243}">
  <ds:schemaRefs>
    <ds:schemaRef ds:uri="http://schemas.openxmlformats.org/officeDocument/2006/bibliography"/>
  </ds:schemaRefs>
</ds:datastoreItem>
</file>

<file path=customXml/itemProps3.xml><?xml version="1.0" encoding="utf-8"?>
<ds:datastoreItem xmlns:ds="http://schemas.openxmlformats.org/officeDocument/2006/customXml" ds:itemID="{DBFDD911-76FA-40E1-8D3E-3A7CCCE949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BA5F08-291D-43C4-94EA-93AB595C37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2875</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Prosniewski</dc:creator>
  <cp:keywords/>
  <dc:description/>
  <cp:lastModifiedBy>Pardee, Melissa (DPH)</cp:lastModifiedBy>
  <cp:revision>2</cp:revision>
  <cp:lastPrinted>2022-03-04T16:58:00Z</cp:lastPrinted>
  <dcterms:created xsi:type="dcterms:W3CDTF">2022-10-19T14:55:00Z</dcterms:created>
  <dcterms:modified xsi:type="dcterms:W3CDTF">2022-10-19T14:55:00Z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0x010100B73E040C8D1CD345B13B4FDE7A14C0E3</vt:lpwstr>
  </property>
  <property fmtid="{D5CDD505-2E9C-101B-9397-08002B2CF9AE}" pid="3" name="CUS_DocIDActiveBits">
    <vt:lpwstr>491520</vt:lpwstr>
  </property>
  <property fmtid="{D5CDD505-2E9C-101B-9397-08002B2CF9AE}" pid="4" name="CUS_DocIDLocation">
    <vt:lpwstr>END_OF_DOCUMENT</vt:lpwstr>
  </property>
  <property fmtid="{D5CDD505-2E9C-101B-9397-08002B2CF9AE}" pid="5" name="CUS_DocIDReference">
    <vt:lpwstr>endOfDocument</vt:lpwstr>
  </property>
  <property fmtid="{D5CDD505-2E9C-101B-9397-08002B2CF9AE}" pid="6" name="CUS_DocIDString">
    <vt:lpwstr>3965\0001\863876.2</vt:lpwstr>
  </property>
  <property fmtid="{D5CDD505-2E9C-101B-9397-08002B2CF9AE}" pid="7" name="CUS_DocIDChunk0">
    <vt:lpwstr>3965\0001\863876.2</vt:lpwstr>
  </property>
</Properties>
</file>